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29"/>
        </w:rPr>
      </w:pPr>
    </w:p>
    <w:p>
      <w:pPr>
        <w:spacing w:before="93"/>
        <w:ind w:left="1847" w:right="0" w:firstLine="0"/>
        <w:jc w:val="center"/>
        <w:rPr>
          <w:sz w:val="25"/>
        </w:rPr>
      </w:pPr>
      <w:r>
        <w:rPr/>
        <w:pict>
          <v:group style="position:absolute;margin-left:153.9086pt;margin-top:-74.259354pt;width:335.05pt;height:86.45pt;mso-position-horizontal-relative:page;mso-position-vertical-relative:paragraph;z-index:-28384256" id="docshapegroup1" coordorigin="3078,-1485" coordsize="6701,1729">
            <v:shape style="position:absolute;left:3078;top:-1486;width:6701;height:1203" type="#_x0000_t75" id="docshape2" stroked="false">
              <v:imagedata r:id="rId5" o:title=""/>
            </v:shape>
            <v:shapetype id="_x0000_t202" o:spt="202" coordsize="21600,21600" path="m,l,21600r21600,l21600,xe">
              <v:stroke joinstyle="miter"/>
              <v:path gradientshapeok="t" o:connecttype="rect"/>
            </v:shapetype>
            <v:shape style="position:absolute;left:3078;top:-1486;width:6701;height:1729" type="#_x0000_t202" id="docshape3" filled="false" stroked="false">
              <v:textbox inset="0,0,0,0">
                <w:txbxContent>
                  <w:p>
                    <w:pPr>
                      <w:spacing w:line="240" w:lineRule="auto" w:before="2"/>
                      <w:rPr>
                        <w:rFonts w:ascii="Times New Roman"/>
                        <w:sz w:val="78"/>
                      </w:rPr>
                    </w:pPr>
                  </w:p>
                  <w:p>
                    <w:pPr>
                      <w:spacing w:before="0"/>
                      <w:ind w:left="679" w:right="0" w:firstLine="0"/>
                      <w:jc w:val="left"/>
                      <w:rPr>
                        <w:b/>
                        <w:i/>
                        <w:sz w:val="60"/>
                      </w:rPr>
                    </w:pPr>
                    <w:r>
                      <w:rPr>
                        <w:rFonts w:ascii="Times New Roman"/>
                        <w:color w:val="0C131C"/>
                        <w:w w:val="85"/>
                        <w:sz w:val="72"/>
                        <w:u w:val="thick" w:color="0C131C"/>
                      </w:rPr>
                      <w:t>Nf,W</w:t>
                    </w:r>
                    <w:r>
                      <w:rPr>
                        <w:rFonts w:ascii="Times New Roman"/>
                        <w:color w:val="0C131C"/>
                        <w:spacing w:val="18"/>
                        <w:w w:val="150"/>
                        <w:sz w:val="72"/>
                        <w:u w:val="thick" w:color="0C131C"/>
                      </w:rPr>
                      <w:t> </w:t>
                    </w:r>
                    <w:r>
                      <w:rPr>
                        <w:rFonts w:ascii="Times New Roman"/>
                        <w:color w:val="0C131C"/>
                        <w:w w:val="85"/>
                        <w:sz w:val="72"/>
                        <w:u w:val="thick" w:color="0C131C"/>
                      </w:rPr>
                      <w:t>MEXICO</w:t>
                    </w:r>
                    <w:r>
                      <w:rPr>
                        <w:rFonts w:ascii="Times New Roman"/>
                        <w:color w:val="0C131C"/>
                        <w:spacing w:val="29"/>
                        <w:w w:val="150"/>
                        <w:sz w:val="72"/>
                      </w:rPr>
                      <w:t> </w:t>
                    </w:r>
                    <w:r>
                      <w:rPr>
                        <w:b/>
                        <w:i/>
                        <w:color w:val="0C131C"/>
                        <w:spacing w:val="-4"/>
                        <w:w w:val="85"/>
                        <w:sz w:val="60"/>
                        <w:u w:val="thick" w:color="0C131C"/>
                      </w:rPr>
                      <w:t>TECH</w:t>
                    </w:r>
                  </w:p>
                </w:txbxContent>
              </v:textbox>
              <w10:wrap type="none"/>
            </v:shape>
            <w10:wrap type="none"/>
          </v:group>
        </w:pict>
      </w:r>
      <w:r>
        <w:rPr/>
        <w:pict>
          <v:line style="position:absolute;mso-position-horizontal-relative:page;mso-position-vertical-relative:paragraph;z-index:15730176" from="55.448502pt,15.262561pt" to="55.448502pt,-52.39146pt" stroked="true" strokeweight="1.3675pt" strokecolor="#000000">
            <v:stroke dashstyle="solid"/>
            <w10:wrap type="none"/>
          </v:line>
        </w:pict>
      </w:r>
      <w:r>
        <w:rPr>
          <w:b/>
          <w:color w:val="0C131C"/>
          <w:w w:val="90"/>
          <w:sz w:val="27"/>
        </w:rPr>
        <w:t>SCIENCE•</w:t>
      </w:r>
      <w:r>
        <w:rPr>
          <w:b/>
          <w:color w:val="0C131C"/>
          <w:spacing w:val="2"/>
          <w:sz w:val="27"/>
        </w:rPr>
        <w:t> </w:t>
      </w:r>
      <w:r>
        <w:rPr>
          <w:b/>
          <w:color w:val="0C131C"/>
          <w:w w:val="90"/>
          <w:sz w:val="27"/>
        </w:rPr>
        <w:t>ENGINEERING•</w:t>
      </w:r>
      <w:r>
        <w:rPr>
          <w:b/>
          <w:color w:val="0C131C"/>
          <w:spacing w:val="47"/>
          <w:sz w:val="27"/>
        </w:rPr>
        <w:t> </w:t>
      </w:r>
      <w:r>
        <w:rPr>
          <w:b/>
          <w:color w:val="0C131C"/>
          <w:spacing w:val="-2"/>
          <w:w w:val="90"/>
          <w:sz w:val="27"/>
        </w:rPr>
        <w:t>RES!AR</w:t>
      </w:r>
      <w:r>
        <w:rPr>
          <w:b/>
          <w:color w:val="262D2D"/>
          <w:spacing w:val="-2"/>
          <w:w w:val="90"/>
          <w:sz w:val="27"/>
        </w:rPr>
        <w:t>C</w:t>
      </w:r>
      <w:r>
        <w:rPr>
          <w:b/>
          <w:color w:val="0C131C"/>
          <w:spacing w:val="-2"/>
          <w:w w:val="90"/>
          <w:sz w:val="27"/>
        </w:rPr>
        <w:t>H</w:t>
      </w:r>
      <w:r>
        <w:rPr>
          <w:color w:val="0C131C"/>
          <w:spacing w:val="-2"/>
          <w:w w:val="90"/>
          <w:sz w:val="25"/>
        </w:rPr>
        <w:t>UNIVERSITY</w:t>
      </w:r>
    </w:p>
    <w:p>
      <w:pPr>
        <w:pStyle w:val="Title"/>
      </w:pPr>
      <w:r>
        <w:rPr>
          <w:color w:val="262D2D"/>
          <w:w w:val="105"/>
        </w:rPr>
        <w:t>AU</w:t>
      </w:r>
      <w:r>
        <w:rPr>
          <w:color w:val="0C131C"/>
          <w:w w:val="105"/>
        </w:rPr>
        <w:t>DIT</w:t>
      </w:r>
      <w:r>
        <w:rPr>
          <w:color w:val="0C131C"/>
          <w:spacing w:val="19"/>
          <w:w w:val="105"/>
        </w:rPr>
        <w:t> </w:t>
      </w:r>
      <w:r>
        <w:rPr>
          <w:color w:val="0C131C"/>
          <w:w w:val="105"/>
        </w:rPr>
        <w:t>REPORT</w:t>
      </w:r>
      <w:r>
        <w:rPr>
          <w:color w:val="0C131C"/>
          <w:spacing w:val="20"/>
          <w:w w:val="105"/>
        </w:rPr>
        <w:t> </w:t>
      </w:r>
      <w:r>
        <w:rPr>
          <w:color w:val="0C131C"/>
          <w:spacing w:val="-4"/>
          <w:w w:val="105"/>
        </w:rPr>
        <w:t>2022</w:t>
      </w:r>
    </w:p>
    <w:p>
      <w:pPr>
        <w:spacing w:before="96"/>
        <w:ind w:left="1855" w:right="0" w:firstLine="0"/>
        <w:jc w:val="center"/>
        <w:rPr>
          <w:rFonts w:ascii="Times New Roman"/>
          <w:i/>
          <w:sz w:val="28"/>
        </w:rPr>
      </w:pPr>
      <w:r>
        <w:rPr>
          <w:rFonts w:ascii="Times New Roman"/>
          <w:i/>
          <w:color w:val="262D2D"/>
          <w:w w:val="95"/>
          <w:sz w:val="28"/>
        </w:rPr>
        <w:t>Y</w:t>
      </w:r>
      <w:r>
        <w:rPr>
          <w:rFonts w:ascii="Times New Roman"/>
          <w:i/>
          <w:color w:val="364642"/>
          <w:w w:val="95"/>
          <w:sz w:val="28"/>
        </w:rPr>
        <w:t>ear</w:t>
      </w:r>
      <w:r>
        <w:rPr>
          <w:rFonts w:ascii="Times New Roman"/>
          <w:i/>
          <w:color w:val="364642"/>
          <w:spacing w:val="3"/>
          <w:sz w:val="28"/>
        </w:rPr>
        <w:t> </w:t>
      </w:r>
      <w:r>
        <w:rPr>
          <w:rFonts w:ascii="Times New Roman"/>
          <w:i/>
          <w:color w:val="262D2D"/>
          <w:w w:val="95"/>
          <w:sz w:val="28"/>
        </w:rPr>
        <w:t>E</w:t>
      </w:r>
      <w:r>
        <w:rPr>
          <w:rFonts w:ascii="Times New Roman"/>
          <w:i/>
          <w:color w:val="364642"/>
          <w:w w:val="95"/>
          <w:sz w:val="28"/>
        </w:rPr>
        <w:t>11</w:t>
      </w:r>
      <w:r>
        <w:rPr>
          <w:rFonts w:ascii="Times New Roman"/>
          <w:i/>
          <w:color w:val="262D2D"/>
          <w:w w:val="95"/>
          <w:sz w:val="28"/>
        </w:rPr>
        <w:t>d</w:t>
      </w:r>
      <w:r>
        <w:rPr>
          <w:rFonts w:ascii="Times New Roman"/>
          <w:i/>
          <w:color w:val="364642"/>
          <w:w w:val="95"/>
          <w:sz w:val="28"/>
        </w:rPr>
        <w:t>i</w:t>
      </w:r>
      <w:r>
        <w:rPr>
          <w:rFonts w:ascii="Times New Roman"/>
          <w:i/>
          <w:color w:val="262D2D"/>
          <w:w w:val="95"/>
          <w:sz w:val="28"/>
        </w:rPr>
        <w:t>11</w:t>
      </w:r>
      <w:r>
        <w:rPr>
          <w:rFonts w:ascii="Times New Roman"/>
          <w:i/>
          <w:color w:val="364642"/>
          <w:w w:val="95"/>
          <w:sz w:val="28"/>
        </w:rPr>
        <w:t>g</w:t>
      </w:r>
      <w:r>
        <w:rPr>
          <w:rFonts w:ascii="Times New Roman"/>
          <w:i/>
          <w:color w:val="364642"/>
          <w:spacing w:val="22"/>
          <w:sz w:val="28"/>
        </w:rPr>
        <w:t> </w:t>
      </w:r>
      <w:r>
        <w:rPr>
          <w:rFonts w:ascii="Times New Roman"/>
          <w:i/>
          <w:color w:val="262D2D"/>
          <w:w w:val="95"/>
          <w:sz w:val="28"/>
        </w:rPr>
        <w:t>Jun</w:t>
      </w:r>
      <w:r>
        <w:rPr>
          <w:rFonts w:ascii="Times New Roman"/>
          <w:i/>
          <w:color w:val="364642"/>
          <w:w w:val="95"/>
          <w:sz w:val="28"/>
        </w:rPr>
        <w:t>e</w:t>
      </w:r>
      <w:r>
        <w:rPr>
          <w:rFonts w:ascii="Times New Roman"/>
          <w:i/>
          <w:color w:val="364642"/>
          <w:spacing w:val="-2"/>
          <w:w w:val="95"/>
          <w:sz w:val="28"/>
        </w:rPr>
        <w:t> </w:t>
      </w:r>
      <w:r>
        <w:rPr>
          <w:rFonts w:ascii="Times New Roman"/>
          <w:i/>
          <w:color w:val="364642"/>
          <w:w w:val="95"/>
          <w:sz w:val="28"/>
        </w:rPr>
        <w:t>30,</w:t>
      </w:r>
      <w:r>
        <w:rPr>
          <w:rFonts w:ascii="Times New Roman"/>
          <w:i/>
          <w:color w:val="364642"/>
          <w:spacing w:val="-16"/>
          <w:w w:val="95"/>
          <w:sz w:val="28"/>
        </w:rPr>
        <w:t> </w:t>
      </w:r>
      <w:r>
        <w:rPr>
          <w:rFonts w:ascii="Times New Roman"/>
          <w:i/>
          <w:color w:val="262D2D"/>
          <w:spacing w:val="-4"/>
          <w:w w:val="95"/>
          <w:sz w:val="28"/>
        </w:rPr>
        <w:t>2</w:t>
      </w:r>
      <w:r>
        <w:rPr>
          <w:rFonts w:ascii="Times New Roman"/>
          <w:i/>
          <w:color w:val="364642"/>
          <w:spacing w:val="-4"/>
          <w:w w:val="95"/>
          <w:sz w:val="28"/>
        </w:rPr>
        <w:t>0</w:t>
      </w:r>
      <w:r>
        <w:rPr>
          <w:rFonts w:ascii="Times New Roman"/>
          <w:i/>
          <w:color w:val="262D2D"/>
          <w:spacing w:val="-4"/>
          <w:w w:val="95"/>
          <w:sz w:val="28"/>
        </w:rPr>
        <w:t>2</w:t>
      </w:r>
      <w:r>
        <w:rPr>
          <w:rFonts w:ascii="Times New Roman"/>
          <w:i/>
          <w:color w:val="364642"/>
          <w:spacing w:val="-4"/>
          <w:w w:val="95"/>
          <w:sz w:val="28"/>
        </w:rPr>
        <w:t>2</w:t>
      </w:r>
    </w:p>
    <w:p>
      <w:pPr>
        <w:pStyle w:val="BodyText"/>
        <w:rPr>
          <w:rFonts w:ascii="Times New Roman"/>
          <w:i/>
          <w:sz w:val="14"/>
        </w:rPr>
      </w:pPr>
      <w:r>
        <w:rPr/>
        <w:drawing>
          <wp:anchor distT="0" distB="0" distL="0" distR="0" allowOverlap="1" layoutInCell="1" locked="0" behindDoc="0" simplePos="0" relativeHeight="0">
            <wp:simplePos x="0" y="0"/>
            <wp:positionH relativeFrom="page">
              <wp:posOffset>5254418</wp:posOffset>
            </wp:positionH>
            <wp:positionV relativeFrom="paragraph">
              <wp:posOffset>118020</wp:posOffset>
            </wp:positionV>
            <wp:extent cx="2081404" cy="988123"/>
            <wp:effectExtent l="0" t="0" r="0" b="0"/>
            <wp:wrapTopAndBottom/>
            <wp:docPr id="1" name="image2.jpeg"/>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2081404" cy="988123"/>
                    </a:xfrm>
                    <a:prstGeom prst="rect">
                      <a:avLst/>
                    </a:prstGeom>
                  </pic:spPr>
                </pic:pic>
              </a:graphicData>
            </a:graphic>
          </wp:anchor>
        </w:drawing>
      </w:r>
    </w:p>
    <w:p>
      <w:pPr>
        <w:pStyle w:val="BodyText"/>
        <w:rPr>
          <w:rFonts w:ascii="Times New Roman"/>
          <w:i/>
          <w:sz w:val="30"/>
        </w:rPr>
      </w:pPr>
    </w:p>
    <w:p>
      <w:pPr>
        <w:pStyle w:val="BodyText"/>
        <w:spacing w:before="4"/>
        <w:rPr>
          <w:rFonts w:ascii="Times New Roman"/>
          <w:i/>
          <w:sz w:val="29"/>
        </w:rPr>
      </w:pPr>
    </w:p>
    <w:p>
      <w:pPr>
        <w:tabs>
          <w:tab w:pos="4219" w:val="left" w:leader="none"/>
        </w:tabs>
        <w:spacing w:line="363" w:lineRule="exact" w:before="0"/>
        <w:ind w:left="3215" w:right="0" w:firstLine="0"/>
        <w:jc w:val="left"/>
        <w:rPr>
          <w:sz w:val="44"/>
        </w:rPr>
      </w:pPr>
      <w:r>
        <w:rPr>
          <w:rFonts w:ascii="Times New Roman"/>
          <w:color w:val="2A64AC"/>
          <w:spacing w:val="-10"/>
          <w:sz w:val="34"/>
        </w:rPr>
        <w:t>f</w:t>
      </w:r>
      <w:r>
        <w:rPr>
          <w:rFonts w:ascii="Times New Roman"/>
          <w:color w:val="2A64AC"/>
          <w:sz w:val="34"/>
        </w:rPr>
        <w:tab/>
      </w:r>
      <w:r>
        <w:rPr>
          <w:color w:val="2D4B77"/>
          <w:spacing w:val="-10"/>
          <w:sz w:val="44"/>
        </w:rPr>
        <w:t>t</w:t>
      </w:r>
    </w:p>
    <w:p>
      <w:pPr>
        <w:spacing w:after="0" w:line="363" w:lineRule="exact"/>
        <w:jc w:val="left"/>
        <w:rPr>
          <w:sz w:val="44"/>
        </w:rPr>
        <w:sectPr>
          <w:type w:val="continuous"/>
          <w:pgSz w:w="12240" w:h="15840"/>
          <w:pgMar w:top="1460" w:bottom="280" w:left="0" w:right="580"/>
        </w:sectPr>
      </w:pPr>
    </w:p>
    <w:p>
      <w:pPr>
        <w:spacing w:line="30" w:lineRule="exact" w:before="0"/>
        <w:ind w:left="0" w:right="0" w:firstLine="0"/>
        <w:jc w:val="right"/>
        <w:rPr>
          <w:rFonts w:ascii="Times New Roman"/>
          <w:sz w:val="31"/>
        </w:rPr>
      </w:pPr>
      <w:r>
        <w:rPr>
          <w:color w:val="23384D"/>
          <w:w w:val="80"/>
          <w:sz w:val="46"/>
        </w:rPr>
        <w:t>'</w:t>
      </w:r>
      <w:r>
        <w:rPr>
          <w:color w:val="23384D"/>
          <w:spacing w:val="53"/>
          <w:sz w:val="46"/>
        </w:rPr>
        <w:t> </w:t>
      </w:r>
      <w:r>
        <w:rPr>
          <w:rFonts w:ascii="Times New Roman"/>
          <w:color w:val="364642"/>
          <w:w w:val="80"/>
          <w:sz w:val="36"/>
        </w:rPr>
        <w:t>.</w:t>
      </w:r>
      <w:r>
        <w:rPr>
          <w:rFonts w:ascii="Times New Roman"/>
          <w:color w:val="364642"/>
          <w:spacing w:val="-25"/>
          <w:w w:val="80"/>
          <w:sz w:val="36"/>
        </w:rPr>
        <w:t> </w:t>
      </w:r>
      <w:r>
        <w:rPr>
          <w:rFonts w:ascii="Times New Roman"/>
          <w:color w:val="546754"/>
          <w:spacing w:val="-4"/>
          <w:w w:val="80"/>
          <w:sz w:val="31"/>
        </w:rPr>
        <w:t>....</w:t>
      </w:r>
    </w:p>
    <w:p>
      <w:pPr>
        <w:spacing w:before="10"/>
        <w:ind w:left="692" w:right="0" w:firstLine="0"/>
        <w:jc w:val="left"/>
        <w:rPr>
          <w:sz w:val="24"/>
        </w:rPr>
      </w:pPr>
      <w:r>
        <w:rPr/>
        <w:br w:type="column"/>
      </w:r>
      <w:r>
        <w:rPr>
          <w:color w:val="364642"/>
          <w:sz w:val="24"/>
        </w:rPr>
        <w:t>.i-'</w:t>
      </w:r>
      <w:r>
        <w:rPr>
          <w:color w:val="364642"/>
          <w:spacing w:val="48"/>
          <w:sz w:val="24"/>
        </w:rPr>
        <w:t> </w:t>
      </w:r>
      <w:r>
        <w:rPr>
          <w:color w:val="364642"/>
          <w:spacing w:val="-5"/>
          <w:sz w:val="24"/>
        </w:rPr>
        <w:t>•</w:t>
      </w:r>
      <w:r>
        <w:rPr>
          <w:color w:val="262D2D"/>
          <w:spacing w:val="-5"/>
          <w:sz w:val="24"/>
        </w:rPr>
        <w:t>•</w:t>
      </w:r>
    </w:p>
    <w:p>
      <w:pPr>
        <w:spacing w:after="0"/>
        <w:jc w:val="left"/>
        <w:rPr>
          <w:sz w:val="24"/>
        </w:rPr>
        <w:sectPr>
          <w:type w:val="continuous"/>
          <w:pgSz w:w="12240" w:h="15840"/>
          <w:pgMar w:top="1460" w:bottom="280" w:left="0" w:right="580"/>
          <w:cols w:num="2" w:equalWidth="0">
            <w:col w:w="3295" w:space="40"/>
            <w:col w:w="8325"/>
          </w:cols>
        </w:sectPr>
      </w:pPr>
    </w:p>
    <w:p>
      <w:pPr>
        <w:spacing w:line="345" w:lineRule="exact" w:before="0"/>
        <w:ind w:left="0" w:right="0" w:firstLine="0"/>
        <w:jc w:val="right"/>
        <w:rPr>
          <w:rFonts w:ascii="Times New Roman"/>
          <w:sz w:val="48"/>
        </w:rPr>
      </w:pPr>
      <w:r>
        <w:rPr>
          <w:rFonts w:ascii="Times New Roman"/>
          <w:color w:val="364642"/>
          <w:w w:val="80"/>
          <w:sz w:val="22"/>
        </w:rPr>
        <w:t>:,</w:t>
      </w:r>
      <w:r>
        <w:rPr>
          <w:rFonts w:ascii="Times New Roman"/>
          <w:color w:val="364642"/>
          <w:spacing w:val="-2"/>
          <w:sz w:val="22"/>
        </w:rPr>
        <w:t> </w:t>
      </w:r>
      <w:r>
        <w:rPr>
          <w:rFonts w:ascii="Times New Roman"/>
          <w:color w:val="2D4B77"/>
          <w:spacing w:val="-10"/>
          <w:w w:val="85"/>
          <w:position w:val="12"/>
          <w:sz w:val="48"/>
        </w:rPr>
        <w:t>.</w:t>
      </w:r>
    </w:p>
    <w:p>
      <w:pPr>
        <w:tabs>
          <w:tab w:pos="1261" w:val="left" w:leader="none"/>
        </w:tabs>
        <w:spacing w:line="91" w:lineRule="auto" w:before="0"/>
        <w:ind w:left="111" w:right="0" w:firstLine="0"/>
        <w:jc w:val="left"/>
        <w:rPr>
          <w:sz w:val="17"/>
        </w:rPr>
      </w:pPr>
      <w:r>
        <w:rPr/>
        <w:br w:type="column"/>
      </w:r>
      <w:r>
        <w:rPr>
          <w:rFonts w:ascii="Times New Roman"/>
          <w:color w:val="364642"/>
          <w:spacing w:val="-5"/>
          <w:w w:val="80"/>
          <w:position w:val="-11"/>
          <w:sz w:val="48"/>
        </w:rPr>
        <w:t>.</w:t>
      </w:r>
      <w:r>
        <w:rPr>
          <w:rFonts w:ascii="Times New Roman"/>
          <w:color w:val="546754"/>
          <w:spacing w:val="-5"/>
          <w:w w:val="80"/>
          <w:sz w:val="46"/>
        </w:rPr>
        <w:t>..</w:t>
      </w:r>
      <w:r>
        <w:rPr>
          <w:rFonts w:ascii="Times New Roman"/>
          <w:color w:val="546754"/>
          <w:sz w:val="46"/>
        </w:rPr>
        <w:tab/>
      </w:r>
      <w:r>
        <w:rPr>
          <w:rFonts w:ascii="Times New Roman"/>
          <w:color w:val="364642"/>
          <w:w w:val="60"/>
          <w:sz w:val="34"/>
        </w:rPr>
        <w:t>,,,</w:t>
      </w:r>
      <w:r>
        <w:rPr>
          <w:rFonts w:ascii="Times New Roman"/>
          <w:color w:val="364642"/>
          <w:spacing w:val="-17"/>
          <w:w w:val="60"/>
          <w:sz w:val="34"/>
        </w:rPr>
        <w:t> </w:t>
      </w:r>
      <w:r>
        <w:rPr>
          <w:color w:val="364642"/>
          <w:spacing w:val="-5"/>
          <w:w w:val="80"/>
          <w:position w:val="4"/>
          <w:sz w:val="17"/>
        </w:rPr>
        <w:t>"-</w:t>
      </w:r>
    </w:p>
    <w:p>
      <w:pPr>
        <w:pStyle w:val="ListParagraph"/>
        <w:numPr>
          <w:ilvl w:val="0"/>
          <w:numId w:val="1"/>
        </w:numPr>
        <w:tabs>
          <w:tab w:pos="795" w:val="left" w:leader="none"/>
          <w:tab w:pos="796" w:val="left" w:leader="none"/>
          <w:tab w:pos="1263" w:val="left" w:leader="none"/>
        </w:tabs>
        <w:spacing w:line="240" w:lineRule="auto" w:before="74" w:after="0"/>
        <w:ind w:left="795" w:right="0" w:hanging="267"/>
        <w:jc w:val="left"/>
        <w:rPr>
          <w:rFonts w:ascii="Times New Roman" w:hAnsi="Times New Roman"/>
          <w:sz w:val="9"/>
        </w:rPr>
      </w:pPr>
      <w:r>
        <w:rPr>
          <w:rFonts w:ascii="Times New Roman" w:hAnsi="Times New Roman"/>
          <w:color w:val="364642"/>
          <w:w w:val="70"/>
          <w:sz w:val="9"/>
        </w:rPr>
        <w:t>..</w:t>
      </w:r>
      <w:r>
        <w:rPr>
          <w:rFonts w:ascii="Times New Roman" w:hAnsi="Times New Roman"/>
          <w:color w:val="364642"/>
          <w:spacing w:val="55"/>
          <w:sz w:val="9"/>
        </w:rPr>
        <w:t> </w:t>
      </w:r>
      <w:r>
        <w:rPr>
          <w:rFonts w:ascii="Times New Roman" w:hAnsi="Times New Roman"/>
          <w:color w:val="364642"/>
          <w:spacing w:val="-5"/>
          <w:w w:val="70"/>
          <w:sz w:val="9"/>
        </w:rPr>
        <w:t>,.#</w:t>
      </w:r>
      <w:r>
        <w:rPr>
          <w:rFonts w:ascii="Times New Roman" w:hAnsi="Times New Roman"/>
          <w:color w:val="364642"/>
          <w:sz w:val="9"/>
        </w:rPr>
        <w:tab/>
      </w:r>
      <w:r>
        <w:rPr>
          <w:rFonts w:ascii="Times New Roman" w:hAnsi="Times New Roman"/>
          <w:color w:val="364642"/>
          <w:spacing w:val="-10"/>
          <w:w w:val="70"/>
          <w:sz w:val="9"/>
        </w:rPr>
        <w:t>'</w:t>
      </w:r>
    </w:p>
    <w:p>
      <w:pPr>
        <w:spacing w:after="0" w:line="240" w:lineRule="auto"/>
        <w:jc w:val="left"/>
        <w:rPr>
          <w:rFonts w:ascii="Times New Roman" w:hAnsi="Times New Roman"/>
          <w:sz w:val="9"/>
        </w:rPr>
        <w:sectPr>
          <w:type w:val="continuous"/>
          <w:pgSz w:w="12240" w:h="15840"/>
          <w:pgMar w:top="1460" w:bottom="280" w:left="0" w:right="580"/>
          <w:cols w:num="2" w:equalWidth="0">
            <w:col w:w="2811" w:space="40"/>
            <w:col w:w="8809"/>
          </w:cols>
        </w:sectPr>
      </w:pPr>
    </w:p>
    <w:p>
      <w:pPr>
        <w:spacing w:before="31"/>
        <w:ind w:left="2700" w:right="0" w:firstLine="0"/>
        <w:jc w:val="left"/>
        <w:rPr>
          <w:sz w:val="15"/>
        </w:rPr>
      </w:pPr>
      <w:r>
        <w:rPr/>
        <w:pict>
          <v:group style="position:absolute;margin-left:52.713501pt;margin-top:46.562611pt;width:557.950pt;height:723.7pt;mso-position-horizontal-relative:page;mso-position-vertical-relative:page;z-index:-28383744" id="docshapegroup4" coordorigin="1054,931" coordsize="11159,14474">
            <v:shape style="position:absolute;left:1081;top:6357;width:11132;height:9048" type="#_x0000_t75" id="docshape5" stroked="false">
              <v:imagedata r:id="rId7" o:title=""/>
            </v:shape>
            <v:shape style="position:absolute;left:1738;top:7724;width:958;height:465" type="#_x0000_t75" id="docshape6" stroked="false">
              <v:imagedata r:id="rId8" o:title=""/>
            </v:shape>
            <v:shape style="position:absolute;left:1054;top:9200;width:1778;height:711" type="#_x0000_t75" id="docshape7" stroked="false">
              <v:imagedata r:id="rId9" o:title=""/>
            </v:shape>
            <v:line style="position:absolute" from="1123,8243" to="1123,3678" stroked="true" strokeweight="2.05125pt" strokecolor="#000000">
              <v:stroke dashstyle="solid"/>
            </v:line>
            <v:line style="position:absolute" from="12117,4485" to="12117,931" stroked="true" strokeweight="1.3675pt" strokecolor="#000000">
              <v:stroke dashstyle="solid"/>
            </v:line>
            <v:line style="position:absolute" from="2449,972" to="12158,972" stroked="true" strokeweight="2.050123pt" strokecolor="#000000">
              <v:stroke dashstyle="solid"/>
            </v:line>
            <v:shape style="position:absolute;left:1081;top:958;width:10694;height:2543" id="docshape8" coordorigin="1082,959" coordsize="10694,2543" path="m1082,959l2340,959m10928,3501l11775,3501e" filled="false" stroked="true" strokeweight=".683562pt" strokecolor="#000000">
              <v:path arrowok="t"/>
              <v:stroke dashstyle="solid"/>
            </v:shape>
            <w10:wrap type="none"/>
          </v:group>
        </w:pict>
      </w:r>
      <w:r>
        <w:rPr>
          <w:color w:val="546754"/>
          <w:w w:val="95"/>
          <w:sz w:val="15"/>
        </w:rPr>
        <w:t>•</w:t>
      </w:r>
      <w:r>
        <w:rPr>
          <w:color w:val="364642"/>
          <w:w w:val="95"/>
          <w:sz w:val="15"/>
        </w:rPr>
        <w:t>a'V•c!.llr.:</w:t>
      </w:r>
      <w:r>
        <w:rPr>
          <w:color w:val="546754"/>
          <w:w w:val="95"/>
          <w:sz w:val="15"/>
        </w:rPr>
        <w:t>·</w:t>
      </w:r>
      <w:r>
        <w:rPr>
          <w:color w:val="546754"/>
          <w:spacing w:val="77"/>
          <w:sz w:val="15"/>
        </w:rPr>
        <w:t> </w:t>
      </w:r>
      <w:r>
        <w:rPr>
          <w:color w:val="364642"/>
          <w:spacing w:val="-5"/>
          <w:sz w:val="15"/>
        </w:rPr>
        <w:t>,.</w:t>
      </w:r>
    </w:p>
    <w:p>
      <w:pPr>
        <w:pStyle w:val="BodyText"/>
        <w:spacing w:before="6"/>
      </w:pPr>
    </w:p>
    <w:p>
      <w:pPr>
        <w:tabs>
          <w:tab w:pos="3588" w:val="left" w:leader="none"/>
        </w:tabs>
        <w:spacing w:line="163" w:lineRule="exact" w:before="0"/>
        <w:ind w:left="1170" w:right="0" w:firstLine="0"/>
        <w:jc w:val="left"/>
        <w:rPr>
          <w:sz w:val="21"/>
        </w:rPr>
      </w:pPr>
      <w:r>
        <w:rPr/>
        <w:pict>
          <v:shape style="position:absolute;margin-left:174.073303pt;margin-top:1.316257pt;width:13.35pt;height:26.75pt;mso-position-horizontal-relative:page;mso-position-vertical-relative:paragraph;z-index:-28382720" type="#_x0000_t202" id="docshape9" filled="false" stroked="false">
            <v:textbox inset="0,0,0,0">
              <w:txbxContent>
                <w:p>
                  <w:pPr>
                    <w:spacing w:line="535" w:lineRule="exact" w:before="0"/>
                    <w:ind w:left="0" w:right="0" w:firstLine="0"/>
                    <w:jc w:val="left"/>
                    <w:rPr>
                      <w:sz w:val="34"/>
                    </w:rPr>
                  </w:pPr>
                  <w:r>
                    <w:rPr>
                      <w:rFonts w:ascii="Times New Roman" w:hAnsi="Times New Roman"/>
                      <w:color w:val="364642"/>
                      <w:spacing w:val="14"/>
                      <w:w w:val="95"/>
                      <w:position w:val="-2"/>
                      <w:sz w:val="48"/>
                    </w:rPr>
                    <w:t>.</w:t>
                  </w:r>
                  <w:r>
                    <w:rPr>
                      <w:color w:val="546754"/>
                      <w:spacing w:val="14"/>
                      <w:w w:val="95"/>
                      <w:sz w:val="34"/>
                    </w:rPr>
                    <w:t>•</w:t>
                  </w:r>
                </w:p>
              </w:txbxContent>
            </v:textbox>
            <w10:wrap type="none"/>
          </v:shape>
        </w:pict>
      </w:r>
      <w:r>
        <w:rPr>
          <w:color w:val="546754"/>
          <w:spacing w:val="-48"/>
          <w:w w:val="85"/>
          <w:sz w:val="21"/>
        </w:rPr>
        <w:t>-</w:t>
      </w:r>
      <w:r>
        <w:rPr>
          <w:color w:val="546754"/>
          <w:spacing w:val="-12"/>
          <w:w w:val="95"/>
          <w:sz w:val="21"/>
        </w:rPr>
        <w:t>.</w:t>
      </w:r>
      <w:r>
        <w:rPr>
          <w:color w:val="546754"/>
          <w:sz w:val="21"/>
        </w:rPr>
        <w:tab/>
      </w:r>
      <w:r>
        <w:rPr>
          <w:color w:val="546754"/>
          <w:spacing w:val="-4"/>
          <w:w w:val="95"/>
          <w:sz w:val="21"/>
        </w:rPr>
        <w:t>?;,,</w:t>
      </w:r>
    </w:p>
    <w:p>
      <w:pPr>
        <w:tabs>
          <w:tab w:pos="2340" w:val="left" w:leader="none"/>
        </w:tabs>
        <w:spacing w:line="767" w:lineRule="exact" w:before="0"/>
        <w:ind w:left="1520" w:right="0" w:firstLine="0"/>
        <w:jc w:val="left"/>
        <w:rPr>
          <w:rFonts w:ascii="Times New Roman"/>
          <w:sz w:val="31"/>
        </w:rPr>
      </w:pPr>
      <w:r>
        <w:rPr/>
        <w:pict>
          <v:shape style="position:absolute;margin-left:132.018707pt;margin-top:28.716326pt;width:21.8pt;height:35.25pt;mso-position-horizontal-relative:page;mso-position-vertical-relative:paragraph;z-index:-28382208" type="#_x0000_t202" id="docshape10" filled="false" stroked="false">
            <v:textbox inset="0,0,0,0">
              <w:txbxContent>
                <w:p>
                  <w:pPr>
                    <w:spacing w:line="228" w:lineRule="auto" w:before="0"/>
                    <w:ind w:left="0" w:right="0" w:firstLine="0"/>
                    <w:jc w:val="left"/>
                    <w:rPr>
                      <w:rFonts w:ascii="Times New Roman"/>
                      <w:sz w:val="25"/>
                    </w:rPr>
                  </w:pPr>
                  <w:r>
                    <w:rPr>
                      <w:color w:val="364642"/>
                      <w:spacing w:val="-19"/>
                      <w:w w:val="109"/>
                      <w:position w:val="-20"/>
                      <w:sz w:val="45"/>
                    </w:rPr>
                    <w:t>.</w:t>
                  </w:r>
                  <w:r>
                    <w:rPr>
                      <w:rFonts w:ascii="Times New Roman"/>
                      <w:color w:val="546754"/>
                      <w:spacing w:val="-64"/>
                      <w:w w:val="54"/>
                      <w:sz w:val="45"/>
                    </w:rPr>
                    <w:t>-</w:t>
                  </w:r>
                  <w:r>
                    <w:rPr>
                      <w:color w:val="262D2D"/>
                      <w:spacing w:val="-75"/>
                      <w:w w:val="109"/>
                      <w:position w:val="-20"/>
                      <w:sz w:val="45"/>
                    </w:rPr>
                    <w:t>.</w:t>
                  </w:r>
                  <w:r>
                    <w:rPr>
                      <w:rFonts w:ascii="Times New Roman"/>
                      <w:color w:val="546754"/>
                      <w:w w:val="54"/>
                      <w:sz w:val="45"/>
                    </w:rPr>
                    <w:t>--</w:t>
                  </w:r>
                  <w:r>
                    <w:rPr>
                      <w:rFonts w:ascii="Times New Roman"/>
                      <w:color w:val="546754"/>
                      <w:spacing w:val="-51"/>
                      <w:sz w:val="45"/>
                    </w:rPr>
                    <w:t> </w:t>
                  </w:r>
                  <w:r>
                    <w:rPr>
                      <w:rFonts w:ascii="Times New Roman"/>
                      <w:color w:val="546754"/>
                      <w:spacing w:val="-58"/>
                      <w:w w:val="80"/>
                      <w:sz w:val="25"/>
                    </w:rPr>
                    <w:t>,</w:t>
                  </w:r>
                </w:p>
              </w:txbxContent>
            </v:textbox>
            <w10:wrap type="none"/>
          </v:shape>
        </w:pict>
      </w:r>
      <w:r>
        <w:rPr/>
        <w:pict>
          <v:shape style="position:absolute;margin-left:55.213619pt;margin-top:29.158276pt;width:1.05pt;height:6.7pt;mso-position-horizontal-relative:page;mso-position-vertical-relative:paragraph;z-index:15731712" type="#_x0000_t202" id="docshape11" filled="false" stroked="false">
            <v:textbox inset="0,0,0,0">
              <w:txbxContent>
                <w:p>
                  <w:pPr>
                    <w:spacing w:line="134" w:lineRule="exact" w:before="0"/>
                    <w:ind w:left="0" w:right="0" w:firstLine="0"/>
                    <w:jc w:val="left"/>
                    <w:rPr>
                      <w:rFonts w:ascii="Times New Roman"/>
                      <w:sz w:val="12"/>
                    </w:rPr>
                  </w:pPr>
                  <w:r>
                    <w:rPr>
                      <w:rFonts w:ascii="Times New Roman"/>
                      <w:color w:val="546754"/>
                      <w:w w:val="68"/>
                      <w:sz w:val="12"/>
                    </w:rPr>
                    <w:t>.</w:t>
                  </w:r>
                </w:p>
              </w:txbxContent>
            </v:textbox>
            <w10:wrap type="none"/>
          </v:shape>
        </w:pict>
      </w:r>
      <w:r>
        <w:rPr>
          <w:rFonts w:ascii="Times New Roman"/>
          <w:color w:val="546754"/>
          <w:spacing w:val="-10"/>
          <w:w w:val="80"/>
          <w:sz w:val="36"/>
        </w:rPr>
        <w:t>.</w:t>
      </w:r>
      <w:r>
        <w:rPr>
          <w:rFonts w:ascii="Times New Roman"/>
          <w:color w:val="546754"/>
          <w:sz w:val="36"/>
        </w:rPr>
        <w:tab/>
      </w:r>
      <w:r>
        <w:rPr>
          <w:rFonts w:ascii="Courier New"/>
          <w:i/>
          <w:color w:val="364642"/>
          <w:w w:val="80"/>
          <w:position w:val="18"/>
          <w:sz w:val="30"/>
        </w:rPr>
        <w:t>.</w:t>
      </w:r>
      <w:r>
        <w:rPr>
          <w:color w:val="262D2D"/>
          <w:w w:val="80"/>
          <w:position w:val="18"/>
          <w:sz w:val="50"/>
        </w:rPr>
        <w:t>-</w:t>
      </w:r>
      <w:r>
        <w:rPr>
          <w:color w:val="262D2D"/>
          <w:spacing w:val="16"/>
          <w:position w:val="18"/>
          <w:sz w:val="50"/>
        </w:rPr>
        <w:t> </w:t>
      </w:r>
      <w:r>
        <w:rPr>
          <w:rFonts w:ascii="Courier New"/>
          <w:i/>
          <w:color w:val="546754"/>
          <w:spacing w:val="-51"/>
          <w:w w:val="80"/>
          <w:position w:val="18"/>
          <w:sz w:val="22"/>
        </w:rPr>
        <w:t>,</w:t>
      </w:r>
      <w:r>
        <w:rPr>
          <w:rFonts w:ascii="Times New Roman"/>
          <w:color w:val="262D2D"/>
          <w:spacing w:val="54"/>
          <w:w w:val="80"/>
          <w:sz w:val="77"/>
        </w:rPr>
        <w:t>.</w:t>
      </w:r>
      <w:r>
        <w:rPr>
          <w:rFonts w:ascii="Times New Roman"/>
          <w:color w:val="546754"/>
          <w:spacing w:val="-40"/>
          <w:w w:val="80"/>
          <w:sz w:val="31"/>
        </w:rPr>
        <w:t>,</w:t>
      </w:r>
      <w:r>
        <w:rPr>
          <w:rFonts w:ascii="Times New Roman"/>
          <w:color w:val="546754"/>
          <w:spacing w:val="-1"/>
          <w:w w:val="80"/>
          <w:sz w:val="36"/>
        </w:rPr>
        <w:t>.</w:t>
      </w:r>
      <w:r>
        <w:rPr>
          <w:rFonts w:ascii="Times New Roman"/>
          <w:color w:val="546754"/>
          <w:spacing w:val="11"/>
          <w:w w:val="80"/>
          <w:sz w:val="31"/>
        </w:rPr>
        <w:t>:,</w:t>
      </w:r>
    </w:p>
    <w:p>
      <w:pPr>
        <w:spacing w:line="183" w:lineRule="exact" w:before="0"/>
        <w:ind w:left="3007" w:right="0" w:firstLine="0"/>
        <w:jc w:val="left"/>
        <w:rPr>
          <w:sz w:val="32"/>
        </w:rPr>
      </w:pPr>
      <w:r>
        <w:rPr>
          <w:color w:val="546754"/>
          <w:spacing w:val="-2"/>
          <w:w w:val="85"/>
          <w:sz w:val="32"/>
        </w:rPr>
        <w:t>....</w:t>
      </w:r>
      <w:r>
        <w:rPr>
          <w:color w:val="364642"/>
          <w:spacing w:val="-2"/>
          <w:w w:val="85"/>
          <w:sz w:val="32"/>
        </w:rPr>
        <w:t>..</w:t>
      </w:r>
    </w:p>
    <w:p>
      <w:pPr>
        <w:spacing w:line="214" w:lineRule="exact" w:before="0"/>
        <w:ind w:left="2799" w:right="0" w:firstLine="0"/>
        <w:jc w:val="left"/>
        <w:rPr>
          <w:rFonts w:ascii="Times New Roman"/>
          <w:sz w:val="30"/>
        </w:rPr>
      </w:pPr>
      <w:r>
        <w:rPr>
          <w:color w:val="364642"/>
          <w:spacing w:val="-2"/>
          <w:w w:val="85"/>
          <w:sz w:val="22"/>
        </w:rPr>
        <w:t>,</w:t>
      </w:r>
      <w:r>
        <w:rPr>
          <w:rFonts w:ascii="Times New Roman"/>
          <w:color w:val="546754"/>
          <w:spacing w:val="-2"/>
          <w:w w:val="85"/>
          <w:sz w:val="35"/>
        </w:rPr>
        <w:t>.</w:t>
      </w:r>
      <w:r>
        <w:rPr>
          <w:color w:val="546754"/>
          <w:spacing w:val="-2"/>
          <w:w w:val="85"/>
          <w:sz w:val="22"/>
        </w:rPr>
        <w:t>,</w:t>
      </w:r>
      <w:r>
        <w:rPr>
          <w:rFonts w:ascii="Times New Roman"/>
          <w:color w:val="546754"/>
          <w:spacing w:val="-2"/>
          <w:w w:val="85"/>
          <w:sz w:val="30"/>
        </w:rPr>
        <w:t>.</w:t>
      </w:r>
      <w:r>
        <w:rPr>
          <w:rFonts w:ascii="Times New Roman"/>
          <w:color w:val="546754"/>
          <w:spacing w:val="-2"/>
          <w:w w:val="85"/>
          <w:sz w:val="35"/>
        </w:rPr>
        <w:t>.</w:t>
      </w:r>
      <w:r>
        <w:rPr>
          <w:rFonts w:ascii="Times New Roman"/>
          <w:color w:val="546754"/>
          <w:spacing w:val="-2"/>
          <w:w w:val="85"/>
          <w:sz w:val="30"/>
        </w:rPr>
        <w:t>.,</w:t>
      </w:r>
    </w:p>
    <w:p>
      <w:pPr>
        <w:tabs>
          <w:tab w:pos="2456" w:val="left" w:leader="none"/>
          <w:tab w:pos="3019" w:val="left" w:leader="none"/>
        </w:tabs>
        <w:spacing w:line="428" w:lineRule="exact" w:before="0"/>
        <w:ind w:left="1068" w:right="0" w:firstLine="0"/>
        <w:jc w:val="left"/>
        <w:rPr>
          <w:rFonts w:ascii="Times New Roman" w:hAnsi="Times New Roman"/>
          <w:sz w:val="22"/>
        </w:rPr>
      </w:pPr>
      <w:r>
        <w:rPr/>
        <w:pict>
          <v:shape style="position:absolute;margin-left:151.848999pt;margin-top:7.467802pt;width:4.850pt;height:13.95pt;mso-position-horizontal-relative:page;mso-position-vertical-relative:paragraph;z-index:15732224" type="#_x0000_t202" id="docshape12" filled="false" stroked="false">
            <v:textbox inset="0,0,0,0">
              <w:txbxContent>
                <w:p>
                  <w:pPr>
                    <w:spacing w:line="278" w:lineRule="exact" w:before="0"/>
                    <w:ind w:left="0" w:right="0" w:firstLine="0"/>
                    <w:jc w:val="left"/>
                    <w:rPr>
                      <w:rFonts w:ascii="Times New Roman" w:hAnsi="Times New Roman"/>
                      <w:sz w:val="25"/>
                    </w:rPr>
                  </w:pPr>
                  <w:r>
                    <w:rPr>
                      <w:rFonts w:ascii="Times New Roman" w:hAnsi="Times New Roman"/>
                      <w:color w:val="546754"/>
                      <w:w w:val="109"/>
                      <w:sz w:val="25"/>
                    </w:rPr>
                    <w:t>•</w:t>
                  </w:r>
                </w:p>
              </w:txbxContent>
            </v:textbox>
            <w10:wrap type="none"/>
          </v:shape>
        </w:pict>
      </w:r>
      <w:r>
        <w:rPr>
          <w:color w:val="364642"/>
          <w:sz w:val="25"/>
        </w:rPr>
        <w:t>1mw1</w:t>
      </w:r>
      <w:r>
        <w:rPr>
          <w:color w:val="546754"/>
          <w:sz w:val="25"/>
        </w:rPr>
        <w:t>,</w:t>
      </w:r>
      <w:r>
        <w:rPr>
          <w:color w:val="364642"/>
          <w:sz w:val="25"/>
        </w:rPr>
        <w:t>,</w:t>
      </w:r>
      <w:r>
        <w:rPr>
          <w:color w:val="364642"/>
          <w:spacing w:val="28"/>
          <w:sz w:val="25"/>
        </w:rPr>
        <w:t>  </w:t>
      </w:r>
      <w:r>
        <w:rPr>
          <w:color w:val="364642"/>
          <w:spacing w:val="-10"/>
          <w:sz w:val="25"/>
        </w:rPr>
        <w:t>•</w:t>
      </w:r>
      <w:r>
        <w:rPr>
          <w:color w:val="364642"/>
          <w:sz w:val="25"/>
        </w:rPr>
        <w:tab/>
      </w:r>
      <w:r>
        <w:rPr>
          <w:color w:val="546754"/>
          <w:position w:val="16"/>
          <w:sz w:val="23"/>
        </w:rPr>
        <w:t>'</w:t>
      </w:r>
      <w:r>
        <w:rPr>
          <w:color w:val="546754"/>
          <w:spacing w:val="28"/>
          <w:position w:val="16"/>
          <w:sz w:val="23"/>
        </w:rPr>
        <w:t> </w:t>
      </w:r>
      <w:r>
        <w:rPr>
          <w:rFonts w:ascii="Times New Roman" w:hAnsi="Times New Roman"/>
          <w:i/>
          <w:color w:val="364642"/>
          <w:spacing w:val="-10"/>
          <w:sz w:val="25"/>
        </w:rPr>
        <w:t>r</w:t>
      </w:r>
      <w:r>
        <w:rPr>
          <w:rFonts w:ascii="Times New Roman" w:hAnsi="Times New Roman"/>
          <w:i/>
          <w:color w:val="364642"/>
          <w:sz w:val="25"/>
        </w:rPr>
        <w:tab/>
      </w:r>
      <w:r>
        <w:rPr>
          <w:rFonts w:ascii="Times New Roman" w:hAnsi="Times New Roman"/>
          <w:color w:val="546754"/>
          <w:spacing w:val="-10"/>
          <w:position w:val="16"/>
          <w:sz w:val="22"/>
        </w:rPr>
        <w:t>,</w:t>
      </w:r>
    </w:p>
    <w:p>
      <w:pPr>
        <w:spacing w:after="0" w:line="428" w:lineRule="exact"/>
        <w:jc w:val="left"/>
        <w:rPr>
          <w:rFonts w:ascii="Times New Roman" w:hAnsi="Times New Roman"/>
          <w:sz w:val="22"/>
        </w:rPr>
        <w:sectPr>
          <w:type w:val="continuous"/>
          <w:pgSz w:w="12240" w:h="15840"/>
          <w:pgMar w:top="1460" w:bottom="280" w:left="0" w:right="5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19"/>
        </w:rPr>
      </w:pPr>
    </w:p>
    <w:p>
      <w:pPr>
        <w:pStyle w:val="Heading1"/>
      </w:pPr>
      <w:r>
        <w:rPr/>
        <w:pict>
          <v:rect style="position:absolute;margin-left:70.5pt;margin-top:23.887531pt;width:471.001pt;height:1.5pt;mso-position-horizontal-relative:page;mso-position-vertical-relative:paragraph;z-index:-15724544;mso-wrap-distance-left:0;mso-wrap-distance-right:0" id="docshape13" filled="true" fillcolor="#231f20" stroked="false">
            <v:fill type="solid"/>
            <w10:wrap type="topAndBottom"/>
          </v:rect>
        </w:pict>
      </w:r>
      <w:r>
        <w:rPr/>
        <w:drawing>
          <wp:anchor distT="0" distB="0" distL="0" distR="0" allowOverlap="1" layoutInCell="1" locked="0" behindDoc="0" simplePos="0" relativeHeight="15733248">
            <wp:simplePos x="0" y="0"/>
            <wp:positionH relativeFrom="page">
              <wp:posOffset>0</wp:posOffset>
            </wp:positionH>
            <wp:positionV relativeFrom="paragraph">
              <wp:posOffset>-1305210</wp:posOffset>
            </wp:positionV>
            <wp:extent cx="185928" cy="2538983"/>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10" cstate="print"/>
                    <a:stretch>
                      <a:fillRect/>
                    </a:stretch>
                  </pic:blipFill>
                  <pic:spPr>
                    <a:xfrm>
                      <a:off x="0" y="0"/>
                      <a:ext cx="185928" cy="2538983"/>
                    </a:xfrm>
                    <a:prstGeom prst="rect">
                      <a:avLst/>
                    </a:prstGeom>
                  </pic:spPr>
                </pic:pic>
              </a:graphicData>
            </a:graphic>
          </wp:anchor>
        </w:drawing>
      </w:r>
      <w:r>
        <w:rPr>
          <w:color w:val="231F20"/>
        </w:rPr>
        <w:t>Table</w:t>
      </w:r>
      <w:r>
        <w:rPr>
          <w:color w:val="231F20"/>
          <w:spacing w:val="-6"/>
        </w:rPr>
        <w:t> </w:t>
      </w:r>
      <w:r>
        <w:rPr>
          <w:color w:val="231F20"/>
        </w:rPr>
        <w:t>of</w:t>
      </w:r>
      <w:r>
        <w:rPr>
          <w:color w:val="231F20"/>
          <w:spacing w:val="-6"/>
        </w:rPr>
        <w:t> </w:t>
      </w:r>
      <w:r>
        <w:rPr>
          <w:color w:val="231F20"/>
          <w:spacing w:val="-2"/>
        </w:rPr>
        <w:t>Contents</w:t>
      </w:r>
    </w:p>
    <w:p>
      <w:pPr>
        <w:pStyle w:val="BodyText"/>
        <w:spacing w:before="9"/>
        <w:rPr>
          <w:b/>
          <w:sz w:val="14"/>
        </w:rPr>
      </w:pPr>
    </w:p>
    <w:p>
      <w:pPr>
        <w:pStyle w:val="BodyText"/>
        <w:spacing w:before="95"/>
        <w:ind w:right="939"/>
        <w:jc w:val="right"/>
      </w:pPr>
      <w:r>
        <w:rPr>
          <w:color w:val="231F20"/>
          <w:spacing w:val="-4"/>
        </w:rPr>
        <w:t>PAGE</w:t>
      </w:r>
    </w:p>
    <w:p>
      <w:pPr>
        <w:pStyle w:val="BodyText"/>
        <w:spacing w:before="10"/>
        <w:rPr>
          <w:sz w:val="19"/>
        </w:rPr>
      </w:pPr>
    </w:p>
    <w:p>
      <w:pPr>
        <w:pStyle w:val="Heading4"/>
        <w:tabs>
          <w:tab w:pos="10418" w:val="left" w:leader="none"/>
        </w:tabs>
        <w:spacing w:before="1"/>
        <w:rPr>
          <w:b w:val="0"/>
        </w:rPr>
      </w:pPr>
      <w:r>
        <w:rPr>
          <w:color w:val="231F20"/>
        </w:rPr>
        <w:t>Official</w:t>
      </w:r>
      <w:r>
        <w:rPr>
          <w:color w:val="231F20"/>
          <w:spacing w:val="-1"/>
        </w:rPr>
        <w:t> </w:t>
      </w:r>
      <w:r>
        <w:rPr>
          <w:color w:val="231F20"/>
          <w:spacing w:val="-2"/>
        </w:rPr>
        <w:t>Roster</w:t>
      </w:r>
      <w:r>
        <w:rPr>
          <w:color w:val="231F20"/>
        </w:rPr>
        <w:tab/>
      </w:r>
      <w:r>
        <w:rPr>
          <w:b w:val="0"/>
          <w:color w:val="231F20"/>
          <w:spacing w:val="-10"/>
        </w:rPr>
        <w:t>i</w:t>
      </w:r>
    </w:p>
    <w:sdt>
      <w:sdtPr>
        <w:docPartObj>
          <w:docPartGallery w:val="Table of Contents"/>
          <w:docPartUnique/>
        </w:docPartObj>
      </w:sdtPr>
      <w:sdtEndPr/>
      <w:sdtContent>
        <w:p>
          <w:pPr>
            <w:pStyle w:val="TOC1"/>
            <w:tabs>
              <w:tab w:pos="10607" w:val="right" w:leader="none"/>
            </w:tabs>
            <w:spacing w:before="299"/>
            <w:rPr>
              <w:b w:val="0"/>
            </w:rPr>
          </w:pPr>
          <w:hyperlink w:history="true" w:anchor="_TOC_250002">
            <w:r>
              <w:rPr>
                <w:color w:val="231F20"/>
              </w:rPr>
              <w:t>Report</w:t>
            </w:r>
            <w:r>
              <w:rPr>
                <w:color w:val="231F20"/>
                <w:spacing w:val="-3"/>
              </w:rPr>
              <w:t> </w:t>
            </w:r>
            <w:r>
              <w:rPr>
                <w:color w:val="231F20"/>
              </w:rPr>
              <w:t>of</w:t>
            </w:r>
            <w:r>
              <w:rPr>
                <w:color w:val="231F20"/>
                <w:spacing w:val="-2"/>
              </w:rPr>
              <w:t> </w:t>
            </w:r>
            <w:r>
              <w:rPr>
                <w:color w:val="231F20"/>
              </w:rPr>
              <w:t>Independent</w:t>
            </w:r>
            <w:r>
              <w:rPr>
                <w:color w:val="231F20"/>
                <w:spacing w:val="-3"/>
              </w:rPr>
              <w:t> </w:t>
            </w:r>
            <w:r>
              <w:rPr>
                <w:color w:val="231F20"/>
                <w:spacing w:val="-2"/>
              </w:rPr>
              <w:t>Auditors</w:t>
            </w:r>
            <w:r>
              <w:rPr>
                <w:color w:val="231F20"/>
              </w:rPr>
              <w:tab/>
            </w:r>
            <w:r>
              <w:rPr>
                <w:b w:val="0"/>
                <w:color w:val="231F20"/>
                <w:spacing w:val="-5"/>
              </w:rPr>
              <w:t>1–4</w:t>
            </w:r>
          </w:hyperlink>
        </w:p>
        <w:p>
          <w:pPr>
            <w:pStyle w:val="TOC1"/>
            <w:tabs>
              <w:tab w:pos="10664" w:val="right" w:leader="none"/>
            </w:tabs>
            <w:spacing w:before="299"/>
            <w:rPr>
              <w:b w:val="0"/>
            </w:rPr>
          </w:pPr>
          <w:r>
            <w:rPr>
              <w:color w:val="231F20"/>
            </w:rPr>
            <w:t>Management’s</w:t>
          </w:r>
          <w:r>
            <w:rPr>
              <w:color w:val="231F20"/>
              <w:spacing w:val="-2"/>
            </w:rPr>
            <w:t> </w:t>
          </w:r>
          <w:r>
            <w:rPr>
              <w:color w:val="231F20"/>
            </w:rPr>
            <w:t>Discussion</w:t>
          </w:r>
          <w:r>
            <w:rPr>
              <w:color w:val="231F20"/>
              <w:spacing w:val="-2"/>
            </w:rPr>
            <w:t> </w:t>
          </w:r>
          <w:r>
            <w:rPr>
              <w:color w:val="231F20"/>
            </w:rPr>
            <w:t>and</w:t>
          </w:r>
          <w:r>
            <w:rPr>
              <w:color w:val="231F20"/>
              <w:spacing w:val="-1"/>
            </w:rPr>
            <w:t> </w:t>
          </w:r>
          <w:r>
            <w:rPr>
              <w:color w:val="231F20"/>
              <w:spacing w:val="-2"/>
            </w:rPr>
            <w:t>Analysis</w:t>
          </w:r>
          <w:r>
            <w:rPr>
              <w:color w:val="231F20"/>
            </w:rPr>
            <w:tab/>
          </w:r>
          <w:r>
            <w:rPr>
              <w:b w:val="0"/>
              <w:color w:val="231F20"/>
              <w:spacing w:val="-4"/>
            </w:rPr>
            <w:t>5–15</w:t>
          </w:r>
        </w:p>
        <w:p>
          <w:pPr>
            <w:pStyle w:val="TOC1"/>
          </w:pPr>
          <w:r>
            <w:rPr>
              <w:color w:val="231F20"/>
            </w:rPr>
            <w:t>Basic</w:t>
          </w:r>
          <w:r>
            <w:rPr>
              <w:color w:val="231F20"/>
              <w:spacing w:val="-2"/>
            </w:rPr>
            <w:t> </w:t>
          </w:r>
          <w:r>
            <w:rPr>
              <w:color w:val="231F20"/>
            </w:rPr>
            <w:t>Financial</w:t>
          </w:r>
          <w:r>
            <w:rPr>
              <w:color w:val="231F20"/>
              <w:spacing w:val="-1"/>
            </w:rPr>
            <w:t> </w:t>
          </w:r>
          <w:r>
            <w:rPr>
              <w:color w:val="231F20"/>
              <w:spacing w:val="-2"/>
            </w:rPr>
            <w:t>Statements</w:t>
          </w:r>
        </w:p>
        <w:p>
          <w:pPr>
            <w:pStyle w:val="TOC2"/>
            <w:tabs>
              <w:tab w:pos="10715" w:val="right" w:leader="none"/>
            </w:tabs>
            <w:spacing w:before="35"/>
          </w:pPr>
          <w:r>
            <w:rPr>
              <w:color w:val="231F20"/>
            </w:rPr>
            <w:t>Statement</w:t>
          </w:r>
          <w:r>
            <w:rPr>
              <w:color w:val="231F20"/>
              <w:spacing w:val="-2"/>
            </w:rPr>
            <w:t> </w:t>
          </w:r>
          <w:r>
            <w:rPr>
              <w:color w:val="231F20"/>
            </w:rPr>
            <w:t>of</w:t>
          </w:r>
          <w:r>
            <w:rPr>
              <w:color w:val="231F20"/>
              <w:spacing w:val="-2"/>
            </w:rPr>
            <w:t> </w:t>
          </w:r>
          <w:r>
            <w:rPr>
              <w:color w:val="231F20"/>
            </w:rPr>
            <w:t>Net</w:t>
          </w:r>
          <w:r>
            <w:rPr>
              <w:color w:val="231F20"/>
              <w:spacing w:val="-2"/>
            </w:rPr>
            <w:t> </w:t>
          </w:r>
          <w:r>
            <w:rPr>
              <w:color w:val="231F20"/>
            </w:rPr>
            <w:t>Position</w:t>
          </w:r>
          <w:r>
            <w:rPr>
              <w:color w:val="231F20"/>
              <w:spacing w:val="-3"/>
            </w:rPr>
            <w:t> </w:t>
          </w:r>
          <w:r>
            <w:rPr>
              <w:color w:val="231F20"/>
            </w:rPr>
            <w:t>–</w:t>
          </w:r>
          <w:r>
            <w:rPr>
              <w:color w:val="231F20"/>
              <w:spacing w:val="-2"/>
            </w:rPr>
            <w:t> </w:t>
          </w:r>
          <w:r>
            <w:rPr>
              <w:color w:val="231F20"/>
            </w:rPr>
            <w:t>Proprietary</w:t>
          </w:r>
          <w:r>
            <w:rPr>
              <w:color w:val="231F20"/>
              <w:spacing w:val="-2"/>
            </w:rPr>
            <w:t> Funds</w:t>
          </w:r>
          <w:r>
            <w:rPr>
              <w:color w:val="231F20"/>
            </w:rPr>
            <w:tab/>
          </w:r>
          <w:r>
            <w:rPr>
              <w:color w:val="231F20"/>
              <w:spacing w:val="-2"/>
            </w:rPr>
            <w:t>16–17</w:t>
          </w:r>
        </w:p>
        <w:p>
          <w:pPr>
            <w:pStyle w:val="TOC2"/>
          </w:pPr>
          <w:hyperlink w:history="true" w:anchor="_TOC_250001">
            <w:r>
              <w:rPr>
                <w:color w:val="231F20"/>
              </w:rPr>
              <w:t>Statement</w:t>
            </w:r>
            <w:r>
              <w:rPr>
                <w:color w:val="231F20"/>
                <w:spacing w:val="-4"/>
              </w:rPr>
              <w:t> </w:t>
            </w:r>
            <w:r>
              <w:rPr>
                <w:color w:val="231F20"/>
              </w:rPr>
              <w:t>of</w:t>
            </w:r>
            <w:r>
              <w:rPr>
                <w:color w:val="231F20"/>
                <w:spacing w:val="-4"/>
              </w:rPr>
              <w:t> </w:t>
            </w:r>
            <w:r>
              <w:rPr>
                <w:color w:val="231F20"/>
              </w:rPr>
              <w:t>Revenues,</w:t>
            </w:r>
            <w:r>
              <w:rPr>
                <w:color w:val="231F20"/>
                <w:spacing w:val="-3"/>
              </w:rPr>
              <w:t> </w:t>
            </w:r>
            <w:r>
              <w:rPr>
                <w:color w:val="231F20"/>
              </w:rPr>
              <w:t>Expenses,</w:t>
            </w:r>
            <w:r>
              <w:rPr>
                <w:color w:val="231F20"/>
                <w:spacing w:val="-4"/>
              </w:rPr>
              <w:t> </w:t>
            </w:r>
            <w:r>
              <w:rPr>
                <w:color w:val="231F20"/>
              </w:rPr>
              <w:t>and</w:t>
            </w:r>
            <w:r>
              <w:rPr>
                <w:color w:val="231F20"/>
                <w:spacing w:val="-4"/>
              </w:rPr>
              <w:t> </w:t>
            </w:r>
            <w:r>
              <w:rPr>
                <w:color w:val="231F20"/>
              </w:rPr>
              <w:t>Changes</w:t>
            </w:r>
            <w:r>
              <w:rPr>
                <w:color w:val="231F20"/>
                <w:spacing w:val="-3"/>
              </w:rPr>
              <w:t> </w:t>
            </w:r>
            <w:r>
              <w:rPr>
                <w:color w:val="231F20"/>
              </w:rPr>
              <w:t>in</w:t>
            </w:r>
            <w:r>
              <w:rPr>
                <w:color w:val="231F20"/>
                <w:spacing w:val="-4"/>
              </w:rPr>
              <w:t> </w:t>
            </w:r>
            <w:r>
              <w:rPr>
                <w:color w:val="231F20"/>
              </w:rPr>
              <w:t>Net</w:t>
            </w:r>
            <w:r>
              <w:rPr>
                <w:color w:val="231F20"/>
                <w:spacing w:val="-3"/>
              </w:rPr>
              <w:t> </w:t>
            </w:r>
            <w:r>
              <w:rPr>
                <w:color w:val="231F20"/>
                <w:spacing w:val="-2"/>
              </w:rPr>
              <w:t>Position</w:t>
            </w:r>
          </w:hyperlink>
        </w:p>
        <w:p>
          <w:pPr>
            <w:pStyle w:val="TOC4"/>
            <w:tabs>
              <w:tab w:pos="10716" w:val="right" w:leader="none"/>
            </w:tabs>
          </w:pPr>
          <w:r>
            <w:rPr>
              <w:color w:val="231F20"/>
            </w:rPr>
            <w:t>–</w:t>
          </w:r>
          <w:r>
            <w:rPr>
              <w:color w:val="231F20"/>
              <w:spacing w:val="-6"/>
            </w:rPr>
            <w:t> </w:t>
          </w:r>
          <w:r>
            <w:rPr>
              <w:color w:val="231F20"/>
            </w:rPr>
            <w:t>Proprietary</w:t>
          </w:r>
          <w:r>
            <w:rPr>
              <w:color w:val="231F20"/>
              <w:spacing w:val="-6"/>
            </w:rPr>
            <w:t> </w:t>
          </w:r>
          <w:r>
            <w:rPr>
              <w:color w:val="231F20"/>
              <w:spacing w:val="-2"/>
            </w:rPr>
            <w:t>Funds</w:t>
          </w:r>
          <w:r>
            <w:rPr>
              <w:color w:val="231F20"/>
            </w:rPr>
            <w:tab/>
          </w:r>
          <w:r>
            <w:rPr>
              <w:color w:val="231F20"/>
              <w:spacing w:val="-2"/>
            </w:rPr>
            <w:t>18–19</w:t>
          </w:r>
        </w:p>
        <w:p>
          <w:pPr>
            <w:pStyle w:val="TOC2"/>
            <w:tabs>
              <w:tab w:pos="10713" w:val="right" w:leader="none"/>
            </w:tabs>
          </w:pPr>
          <w:r>
            <w:rPr>
              <w:color w:val="231F20"/>
            </w:rPr>
            <w:t>Statement</w:t>
          </w:r>
          <w:r>
            <w:rPr>
              <w:color w:val="231F20"/>
              <w:spacing w:val="-6"/>
            </w:rPr>
            <w:t> </w:t>
          </w:r>
          <w:r>
            <w:rPr>
              <w:color w:val="231F20"/>
            </w:rPr>
            <w:t>of</w:t>
          </w:r>
          <w:r>
            <w:rPr>
              <w:color w:val="231F20"/>
              <w:spacing w:val="-5"/>
            </w:rPr>
            <w:t> </w:t>
          </w:r>
          <w:r>
            <w:rPr>
              <w:color w:val="231F20"/>
            </w:rPr>
            <w:t>Cash</w:t>
          </w:r>
          <w:r>
            <w:rPr>
              <w:color w:val="231F20"/>
              <w:spacing w:val="-5"/>
            </w:rPr>
            <w:t> </w:t>
          </w:r>
          <w:r>
            <w:rPr>
              <w:color w:val="231F20"/>
            </w:rPr>
            <w:t>Flows</w:t>
          </w:r>
          <w:r>
            <w:rPr>
              <w:color w:val="231F20"/>
              <w:spacing w:val="-6"/>
            </w:rPr>
            <w:t> </w:t>
          </w:r>
          <w:r>
            <w:rPr>
              <w:color w:val="231F20"/>
            </w:rPr>
            <w:t>–</w:t>
          </w:r>
          <w:r>
            <w:rPr>
              <w:color w:val="231F20"/>
              <w:spacing w:val="-5"/>
            </w:rPr>
            <w:t> </w:t>
          </w:r>
          <w:r>
            <w:rPr>
              <w:color w:val="231F20"/>
            </w:rPr>
            <w:t>Proprietary</w:t>
          </w:r>
          <w:r>
            <w:rPr>
              <w:color w:val="231F20"/>
              <w:spacing w:val="-5"/>
            </w:rPr>
            <w:t> </w:t>
          </w:r>
          <w:r>
            <w:rPr>
              <w:color w:val="231F20"/>
              <w:spacing w:val="-2"/>
            </w:rPr>
            <w:t>Funds</w:t>
          </w:r>
          <w:r>
            <w:rPr>
              <w:color w:val="231F20"/>
            </w:rPr>
            <w:tab/>
          </w:r>
          <w:r>
            <w:rPr>
              <w:color w:val="231F20"/>
              <w:spacing w:val="-2"/>
            </w:rPr>
            <w:t>20–21</w:t>
          </w:r>
        </w:p>
        <w:p>
          <w:pPr>
            <w:pStyle w:val="TOC2"/>
            <w:tabs>
              <w:tab w:pos="10716" w:val="right" w:leader="none"/>
            </w:tabs>
          </w:pPr>
          <w:r>
            <w:rPr>
              <w:color w:val="231F20"/>
            </w:rPr>
            <w:t>Notes</w:t>
          </w:r>
          <w:r>
            <w:rPr>
              <w:color w:val="231F20"/>
              <w:spacing w:val="-6"/>
            </w:rPr>
            <w:t> </w:t>
          </w:r>
          <w:r>
            <w:rPr>
              <w:color w:val="231F20"/>
            </w:rPr>
            <w:t>to</w:t>
          </w:r>
          <w:r>
            <w:rPr>
              <w:color w:val="231F20"/>
              <w:spacing w:val="-5"/>
            </w:rPr>
            <w:t> </w:t>
          </w:r>
          <w:r>
            <w:rPr>
              <w:color w:val="231F20"/>
            </w:rPr>
            <w:t>Financial</w:t>
          </w:r>
          <w:r>
            <w:rPr>
              <w:color w:val="231F20"/>
              <w:spacing w:val="-5"/>
            </w:rPr>
            <w:t> </w:t>
          </w:r>
          <w:r>
            <w:rPr>
              <w:color w:val="231F20"/>
              <w:spacing w:val="-2"/>
            </w:rPr>
            <w:t>Statements</w:t>
          </w:r>
          <w:r>
            <w:rPr>
              <w:color w:val="231F20"/>
            </w:rPr>
            <w:tab/>
          </w:r>
          <w:r>
            <w:rPr>
              <w:color w:val="231F20"/>
              <w:spacing w:val="-2"/>
            </w:rPr>
            <w:t>22–75</w:t>
          </w:r>
        </w:p>
        <w:p>
          <w:pPr>
            <w:pStyle w:val="TOC1"/>
            <w:spacing w:before="300"/>
          </w:pPr>
          <w:r>
            <w:rPr>
              <w:color w:val="231F20"/>
            </w:rPr>
            <w:t>Required</w:t>
          </w:r>
          <w:r>
            <w:rPr>
              <w:color w:val="231F20"/>
              <w:spacing w:val="-2"/>
            </w:rPr>
            <w:t> </w:t>
          </w:r>
          <w:r>
            <w:rPr>
              <w:color w:val="231F20"/>
            </w:rPr>
            <w:t>Supplementary</w:t>
          </w:r>
          <w:r>
            <w:rPr>
              <w:color w:val="231F20"/>
              <w:spacing w:val="-2"/>
            </w:rPr>
            <w:t> </w:t>
          </w:r>
          <w:r>
            <w:rPr>
              <w:color w:val="231F20"/>
            </w:rPr>
            <w:t>Information</w:t>
          </w:r>
          <w:r>
            <w:rPr>
              <w:color w:val="231F20"/>
              <w:spacing w:val="-2"/>
            </w:rPr>
            <w:t> (unaudited)</w:t>
          </w:r>
        </w:p>
        <w:p>
          <w:pPr>
            <w:pStyle w:val="TOC2"/>
            <w:tabs>
              <w:tab w:pos="10548" w:val="right" w:leader="none"/>
            </w:tabs>
            <w:spacing w:before="35"/>
          </w:pPr>
          <w:r>
            <w:rPr>
              <w:color w:val="231F20"/>
            </w:rPr>
            <w:t>Schedule</w:t>
          </w:r>
          <w:r>
            <w:rPr>
              <w:color w:val="231F20"/>
              <w:spacing w:val="-4"/>
            </w:rPr>
            <w:t> </w:t>
          </w:r>
          <w:r>
            <w:rPr>
              <w:color w:val="231F20"/>
            </w:rPr>
            <w:t>of</w:t>
          </w:r>
          <w:r>
            <w:rPr>
              <w:color w:val="231F20"/>
              <w:spacing w:val="-2"/>
            </w:rPr>
            <w:t> </w:t>
          </w:r>
          <w:r>
            <w:rPr>
              <w:color w:val="231F20"/>
            </w:rPr>
            <w:t>Proportionate</w:t>
          </w:r>
          <w:r>
            <w:rPr>
              <w:color w:val="231F20"/>
              <w:spacing w:val="-2"/>
            </w:rPr>
            <w:t> </w:t>
          </w:r>
          <w:r>
            <w:rPr>
              <w:color w:val="231F20"/>
            </w:rPr>
            <w:t>Share</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Net</w:t>
          </w:r>
          <w:r>
            <w:rPr>
              <w:color w:val="231F20"/>
              <w:spacing w:val="-2"/>
            </w:rPr>
            <w:t> </w:t>
          </w:r>
          <w:r>
            <w:rPr>
              <w:color w:val="231F20"/>
            </w:rPr>
            <w:t>Pension</w:t>
          </w:r>
          <w:r>
            <w:rPr>
              <w:color w:val="231F20"/>
              <w:spacing w:val="-2"/>
            </w:rPr>
            <w:t> </w:t>
          </w:r>
          <w:r>
            <w:rPr>
              <w:color w:val="231F20"/>
              <w:spacing w:val="-2"/>
              <w:w w:val="95"/>
            </w:rPr>
            <w:t>Liability</w:t>
          </w:r>
          <w:r>
            <w:rPr>
              <w:color w:val="231F20"/>
            </w:rPr>
            <w:tab/>
          </w:r>
          <w:r>
            <w:rPr>
              <w:color w:val="231F20"/>
              <w:spacing w:val="-5"/>
            </w:rPr>
            <w:t>76</w:t>
          </w:r>
        </w:p>
        <w:p>
          <w:pPr>
            <w:pStyle w:val="TOC2"/>
            <w:tabs>
              <w:tab w:pos="10551" w:val="right" w:leader="none"/>
            </w:tabs>
          </w:pPr>
          <w:r>
            <w:rPr>
              <w:color w:val="231F20"/>
            </w:rPr>
            <w:t>Schedule</w:t>
          </w:r>
          <w:r>
            <w:rPr>
              <w:color w:val="231F20"/>
              <w:spacing w:val="-2"/>
            </w:rPr>
            <w:t> </w:t>
          </w:r>
          <w:r>
            <w:rPr>
              <w:color w:val="231F20"/>
            </w:rPr>
            <w:t>of</w:t>
          </w:r>
          <w:r>
            <w:rPr>
              <w:color w:val="231F20"/>
              <w:spacing w:val="-1"/>
            </w:rPr>
            <w:t> </w:t>
          </w:r>
          <w:r>
            <w:rPr>
              <w:color w:val="231F20"/>
              <w:spacing w:val="-2"/>
            </w:rPr>
            <w:t>Contributions</w:t>
          </w:r>
          <w:r>
            <w:rPr>
              <w:color w:val="231F20"/>
            </w:rPr>
            <w:tab/>
          </w:r>
          <w:r>
            <w:rPr>
              <w:color w:val="231F20"/>
              <w:spacing w:val="-5"/>
            </w:rPr>
            <w:t>77</w:t>
          </w:r>
        </w:p>
        <w:p>
          <w:pPr>
            <w:pStyle w:val="TOC2"/>
            <w:tabs>
              <w:tab w:pos="10548" w:val="right" w:leader="none"/>
            </w:tabs>
          </w:pPr>
          <w:r>
            <w:rPr>
              <w:color w:val="231F20"/>
            </w:rPr>
            <w:t>Notes</w:t>
          </w:r>
          <w:r>
            <w:rPr>
              <w:color w:val="231F20"/>
              <w:spacing w:val="-7"/>
            </w:rPr>
            <w:t> </w:t>
          </w:r>
          <w:r>
            <w:rPr>
              <w:color w:val="231F20"/>
            </w:rPr>
            <w:t>to</w:t>
          </w:r>
          <w:r>
            <w:rPr>
              <w:color w:val="231F20"/>
              <w:spacing w:val="-4"/>
            </w:rPr>
            <w:t> </w:t>
          </w:r>
          <w:r>
            <w:rPr>
              <w:color w:val="231F20"/>
            </w:rPr>
            <w:t>Defined</w:t>
          </w:r>
          <w:r>
            <w:rPr>
              <w:color w:val="231F20"/>
              <w:spacing w:val="-4"/>
            </w:rPr>
            <w:t> </w:t>
          </w:r>
          <w:r>
            <w:rPr>
              <w:color w:val="231F20"/>
            </w:rPr>
            <w:t>Benefit</w:t>
          </w:r>
          <w:r>
            <w:rPr>
              <w:color w:val="231F20"/>
              <w:spacing w:val="-5"/>
            </w:rPr>
            <w:t> </w:t>
          </w:r>
          <w:r>
            <w:rPr>
              <w:color w:val="231F20"/>
            </w:rPr>
            <w:t>Retirement</w:t>
          </w:r>
          <w:r>
            <w:rPr>
              <w:color w:val="231F20"/>
              <w:spacing w:val="-4"/>
            </w:rPr>
            <w:t> </w:t>
          </w:r>
          <w:r>
            <w:rPr>
              <w:color w:val="231F20"/>
            </w:rPr>
            <w:t>Plan</w:t>
          </w:r>
          <w:r>
            <w:rPr>
              <w:color w:val="231F20"/>
              <w:spacing w:val="-4"/>
            </w:rPr>
            <w:t> </w:t>
          </w:r>
          <w:r>
            <w:rPr>
              <w:color w:val="231F20"/>
              <w:spacing w:val="-5"/>
            </w:rPr>
            <w:t>RSI</w:t>
          </w:r>
          <w:r>
            <w:rPr>
              <w:color w:val="231F20"/>
            </w:rPr>
            <w:tab/>
          </w:r>
          <w:r>
            <w:rPr>
              <w:color w:val="231F20"/>
              <w:spacing w:val="-5"/>
            </w:rPr>
            <w:t>78</w:t>
          </w:r>
        </w:p>
        <w:p>
          <w:pPr>
            <w:pStyle w:val="TOC2"/>
            <w:tabs>
              <w:tab w:pos="10549" w:val="right" w:leader="none"/>
            </w:tabs>
            <w:spacing w:before="35"/>
          </w:pPr>
          <w:r>
            <w:rPr>
              <w:color w:val="231F20"/>
            </w:rPr>
            <w:t>Schedule</w:t>
          </w:r>
          <w:r>
            <w:rPr>
              <w:color w:val="231F20"/>
              <w:spacing w:val="-5"/>
            </w:rPr>
            <w:t> </w:t>
          </w:r>
          <w:r>
            <w:rPr>
              <w:color w:val="231F20"/>
            </w:rPr>
            <w:t>of</w:t>
          </w:r>
          <w:r>
            <w:rPr>
              <w:color w:val="231F20"/>
              <w:spacing w:val="-3"/>
            </w:rPr>
            <w:t> </w:t>
          </w:r>
          <w:r>
            <w:rPr>
              <w:color w:val="231F20"/>
            </w:rPr>
            <w:t>Employer</w:t>
          </w:r>
          <w:r>
            <w:rPr>
              <w:color w:val="231F20"/>
              <w:spacing w:val="-2"/>
            </w:rPr>
            <w:t> </w:t>
          </w:r>
          <w:r>
            <w:rPr>
              <w:color w:val="231F20"/>
            </w:rPr>
            <w:t>Contributions</w:t>
          </w:r>
          <w:r>
            <w:rPr>
              <w:color w:val="231F20"/>
              <w:spacing w:val="-3"/>
            </w:rPr>
            <w:t> </w:t>
          </w:r>
          <w:r>
            <w:rPr>
              <w:color w:val="231F20"/>
            </w:rPr>
            <w:t>–</w:t>
          </w:r>
          <w:r>
            <w:rPr>
              <w:color w:val="231F20"/>
              <w:spacing w:val="-3"/>
            </w:rPr>
            <w:t> </w:t>
          </w:r>
          <w:r>
            <w:rPr>
              <w:color w:val="231F20"/>
            </w:rPr>
            <w:t>Other</w:t>
          </w:r>
          <w:r>
            <w:rPr>
              <w:color w:val="231F20"/>
              <w:spacing w:val="-2"/>
            </w:rPr>
            <w:t> </w:t>
          </w:r>
          <w:r>
            <w:rPr>
              <w:color w:val="231F20"/>
            </w:rPr>
            <w:t>Postemployment</w:t>
          </w:r>
          <w:r>
            <w:rPr>
              <w:color w:val="231F20"/>
              <w:spacing w:val="-3"/>
            </w:rPr>
            <w:t> </w:t>
          </w:r>
          <w:r>
            <w:rPr>
              <w:color w:val="231F20"/>
            </w:rPr>
            <w:t>Benefits</w:t>
          </w:r>
          <w:r>
            <w:rPr>
              <w:color w:val="231F20"/>
              <w:spacing w:val="-2"/>
            </w:rPr>
            <w:t> (OPEB)</w:t>
          </w:r>
          <w:r>
            <w:rPr>
              <w:color w:val="231F20"/>
            </w:rPr>
            <w:tab/>
          </w:r>
          <w:r>
            <w:rPr>
              <w:color w:val="231F20"/>
              <w:spacing w:val="-5"/>
            </w:rPr>
            <w:t>79</w:t>
          </w:r>
        </w:p>
        <w:p>
          <w:pPr>
            <w:pStyle w:val="TOC2"/>
            <w:tabs>
              <w:tab w:pos="10548" w:val="right" w:leader="none"/>
            </w:tabs>
          </w:pPr>
          <w:r>
            <w:rPr>
              <w:color w:val="231F20"/>
            </w:rPr>
            <w:t>Schedule</w:t>
          </w:r>
          <w:r>
            <w:rPr>
              <w:color w:val="231F20"/>
              <w:spacing w:val="-4"/>
            </w:rPr>
            <w:t> </w:t>
          </w:r>
          <w:r>
            <w:rPr>
              <w:color w:val="231F20"/>
            </w:rPr>
            <w:t>of</w:t>
          </w:r>
          <w:r>
            <w:rPr>
              <w:color w:val="231F20"/>
              <w:spacing w:val="-4"/>
            </w:rPr>
            <w:t> </w:t>
          </w:r>
          <w:r>
            <w:rPr>
              <w:color w:val="231F20"/>
            </w:rPr>
            <w:t>Changes</w:t>
          </w:r>
          <w:r>
            <w:rPr>
              <w:color w:val="231F20"/>
              <w:spacing w:val="-3"/>
            </w:rPr>
            <w:t> </w:t>
          </w:r>
          <w:r>
            <w:rPr>
              <w:color w:val="231F20"/>
            </w:rPr>
            <w:t>in</w:t>
          </w:r>
          <w:r>
            <w:rPr>
              <w:color w:val="231F20"/>
              <w:spacing w:val="-4"/>
            </w:rPr>
            <w:t> </w:t>
          </w:r>
          <w:r>
            <w:rPr>
              <w:color w:val="231F20"/>
            </w:rPr>
            <w:t>Net</w:t>
          </w:r>
          <w:r>
            <w:rPr>
              <w:color w:val="231F20"/>
              <w:spacing w:val="-3"/>
            </w:rPr>
            <w:t> </w:t>
          </w:r>
          <w:r>
            <w:rPr>
              <w:color w:val="231F20"/>
            </w:rPr>
            <w:t>OPEB</w:t>
          </w:r>
          <w:r>
            <w:rPr>
              <w:color w:val="231F20"/>
              <w:spacing w:val="-4"/>
            </w:rPr>
            <w:t> </w:t>
          </w:r>
          <w:r>
            <w:rPr>
              <w:color w:val="231F20"/>
            </w:rPr>
            <w:t>Liability</w:t>
          </w:r>
          <w:r>
            <w:rPr>
              <w:color w:val="231F20"/>
              <w:spacing w:val="-3"/>
            </w:rPr>
            <w:t> </w:t>
          </w:r>
          <w:r>
            <w:rPr>
              <w:color w:val="231F20"/>
            </w:rPr>
            <w:t>and</w:t>
          </w:r>
          <w:r>
            <w:rPr>
              <w:color w:val="231F20"/>
              <w:spacing w:val="-4"/>
            </w:rPr>
            <w:t> </w:t>
          </w:r>
          <w:r>
            <w:rPr>
              <w:color w:val="231F20"/>
            </w:rPr>
            <w:t>Related</w:t>
          </w:r>
          <w:r>
            <w:rPr>
              <w:color w:val="231F20"/>
              <w:spacing w:val="-3"/>
            </w:rPr>
            <w:t> </w:t>
          </w:r>
          <w:r>
            <w:rPr>
              <w:color w:val="231F20"/>
              <w:spacing w:val="-2"/>
            </w:rPr>
            <w:t>Ratios</w:t>
          </w:r>
          <w:r>
            <w:rPr>
              <w:color w:val="231F20"/>
            </w:rPr>
            <w:tab/>
          </w:r>
          <w:r>
            <w:rPr>
              <w:color w:val="231F20"/>
              <w:spacing w:val="-5"/>
            </w:rPr>
            <w:t>80</w:t>
          </w:r>
        </w:p>
        <w:p>
          <w:pPr>
            <w:pStyle w:val="TOC2"/>
            <w:tabs>
              <w:tab w:pos="10550" w:val="right" w:leader="none"/>
            </w:tabs>
            <w:spacing w:before="35"/>
          </w:pPr>
          <w:r>
            <w:rPr>
              <w:color w:val="231F20"/>
            </w:rPr>
            <w:t>Schedule</w:t>
          </w:r>
          <w:r>
            <w:rPr>
              <w:color w:val="231F20"/>
              <w:spacing w:val="-2"/>
            </w:rPr>
            <w:t> </w:t>
          </w:r>
          <w:r>
            <w:rPr>
              <w:color w:val="231F20"/>
            </w:rPr>
            <w:t>of</w:t>
          </w:r>
          <w:r>
            <w:rPr>
              <w:color w:val="231F20"/>
              <w:spacing w:val="-2"/>
            </w:rPr>
            <w:t> </w:t>
          </w:r>
          <w:r>
            <w:rPr>
              <w:color w:val="231F20"/>
            </w:rPr>
            <w:t>OPEB</w:t>
          </w:r>
          <w:r>
            <w:rPr>
              <w:color w:val="231F20"/>
              <w:spacing w:val="-2"/>
            </w:rPr>
            <w:t> </w:t>
          </w:r>
          <w:r>
            <w:rPr>
              <w:color w:val="231F20"/>
            </w:rPr>
            <w:t>Investment</w:t>
          </w:r>
          <w:r>
            <w:rPr>
              <w:color w:val="231F20"/>
              <w:spacing w:val="-1"/>
            </w:rPr>
            <w:t> </w:t>
          </w:r>
          <w:r>
            <w:rPr>
              <w:color w:val="231F20"/>
              <w:spacing w:val="-2"/>
            </w:rPr>
            <w:t>Returns</w:t>
          </w:r>
          <w:r>
            <w:rPr>
              <w:color w:val="231F20"/>
            </w:rPr>
            <w:tab/>
          </w:r>
          <w:r>
            <w:rPr>
              <w:color w:val="231F20"/>
              <w:spacing w:val="-5"/>
            </w:rPr>
            <w:t>81</w:t>
          </w:r>
        </w:p>
        <w:p>
          <w:pPr>
            <w:pStyle w:val="TOC1"/>
          </w:pPr>
          <w:hyperlink w:history="true" w:anchor="_TOC_250000">
            <w:r>
              <w:rPr>
                <w:color w:val="231F20"/>
              </w:rPr>
              <w:t>Supplementary</w:t>
            </w:r>
            <w:r>
              <w:rPr>
                <w:color w:val="231F20"/>
                <w:spacing w:val="-1"/>
              </w:rPr>
              <w:t> </w:t>
            </w:r>
            <w:r>
              <w:rPr>
                <w:color w:val="231F20"/>
                <w:spacing w:val="-2"/>
              </w:rPr>
              <w:t>Information</w:t>
            </w:r>
          </w:hyperlink>
        </w:p>
        <w:p>
          <w:pPr>
            <w:pStyle w:val="TOC2"/>
            <w:tabs>
              <w:tab w:pos="10550" w:val="right" w:leader="none"/>
            </w:tabs>
            <w:spacing w:before="35"/>
          </w:pPr>
          <w:r>
            <w:rPr>
              <w:color w:val="231F20"/>
            </w:rPr>
            <w:t>Budget</w:t>
          </w:r>
          <w:r>
            <w:rPr>
              <w:color w:val="231F20"/>
              <w:spacing w:val="-5"/>
            </w:rPr>
            <w:t> </w:t>
          </w:r>
          <w:r>
            <w:rPr>
              <w:color w:val="231F20"/>
            </w:rPr>
            <w:t>Comparisons</w:t>
          </w:r>
          <w:r>
            <w:rPr>
              <w:color w:val="231F20"/>
              <w:spacing w:val="-2"/>
            </w:rPr>
            <w:t> </w:t>
          </w:r>
          <w:r>
            <w:rPr>
              <w:color w:val="231F20"/>
            </w:rPr>
            <w:t>–</w:t>
          </w:r>
          <w:r>
            <w:rPr>
              <w:color w:val="231F20"/>
              <w:spacing w:val="-2"/>
            </w:rPr>
            <w:t> </w:t>
          </w:r>
          <w:r>
            <w:rPr>
              <w:color w:val="231F20"/>
            </w:rPr>
            <w:t>Unrestricted</w:t>
          </w:r>
          <w:r>
            <w:rPr>
              <w:color w:val="231F20"/>
              <w:spacing w:val="-3"/>
            </w:rPr>
            <w:t> </w:t>
          </w:r>
          <w:r>
            <w:rPr>
              <w:color w:val="231F20"/>
            </w:rPr>
            <w:t>and</w:t>
          </w:r>
          <w:r>
            <w:rPr>
              <w:color w:val="231F20"/>
              <w:spacing w:val="-2"/>
            </w:rPr>
            <w:t> </w:t>
          </w:r>
          <w:r>
            <w:rPr>
              <w:color w:val="231F20"/>
            </w:rPr>
            <w:t>Restricted</w:t>
          </w:r>
          <w:r>
            <w:rPr>
              <w:color w:val="231F20"/>
              <w:spacing w:val="-2"/>
            </w:rPr>
            <w:t> </w:t>
          </w:r>
          <w:r>
            <w:rPr>
              <w:color w:val="231F20"/>
            </w:rPr>
            <w:t>–</w:t>
          </w:r>
          <w:r>
            <w:rPr>
              <w:color w:val="231F20"/>
              <w:spacing w:val="-3"/>
            </w:rPr>
            <w:t> </w:t>
          </w:r>
          <w:r>
            <w:rPr>
              <w:color w:val="231F20"/>
            </w:rPr>
            <w:t>All</w:t>
          </w:r>
          <w:r>
            <w:rPr>
              <w:color w:val="231F20"/>
              <w:spacing w:val="-2"/>
            </w:rPr>
            <w:t> </w:t>
          </w:r>
          <w:r>
            <w:rPr>
              <w:color w:val="231F20"/>
            </w:rPr>
            <w:t>Operations</w:t>
          </w:r>
          <w:r>
            <w:rPr>
              <w:color w:val="231F20"/>
              <w:spacing w:val="-1"/>
            </w:rPr>
            <w:t> </w:t>
          </w:r>
          <w:r>
            <w:rPr>
              <w:color w:val="231F20"/>
            </w:rPr>
            <w:t>(Schedule</w:t>
          </w:r>
          <w:r>
            <w:rPr>
              <w:color w:val="231F20"/>
              <w:spacing w:val="-2"/>
            </w:rPr>
            <w:t> </w:t>
          </w:r>
          <w:r>
            <w:rPr>
              <w:color w:val="231F20"/>
              <w:spacing w:val="-5"/>
            </w:rPr>
            <w:t>1)</w:t>
          </w:r>
          <w:r>
            <w:rPr>
              <w:color w:val="231F20"/>
            </w:rPr>
            <w:tab/>
          </w:r>
          <w:r>
            <w:rPr>
              <w:color w:val="231F20"/>
              <w:spacing w:val="-5"/>
            </w:rPr>
            <w:t>82</w:t>
          </w:r>
        </w:p>
        <w:p>
          <w:pPr>
            <w:pStyle w:val="TOC2"/>
            <w:tabs>
              <w:tab w:pos="10548" w:val="right" w:leader="none"/>
            </w:tabs>
          </w:pPr>
          <w:r>
            <w:rPr>
              <w:color w:val="231F20"/>
            </w:rPr>
            <w:t>Unrestricted</w:t>
          </w:r>
          <w:r>
            <w:rPr>
              <w:color w:val="231F20"/>
              <w:spacing w:val="-5"/>
            </w:rPr>
            <w:t> </w:t>
          </w:r>
          <w:r>
            <w:rPr>
              <w:color w:val="231F20"/>
            </w:rPr>
            <w:t>Revenues</w:t>
          </w:r>
          <w:r>
            <w:rPr>
              <w:color w:val="231F20"/>
              <w:spacing w:val="-2"/>
            </w:rPr>
            <w:t> </w:t>
          </w:r>
          <w:r>
            <w:rPr>
              <w:color w:val="231F20"/>
            </w:rPr>
            <w:t>and</w:t>
          </w:r>
          <w:r>
            <w:rPr>
              <w:color w:val="231F20"/>
              <w:spacing w:val="-3"/>
            </w:rPr>
            <w:t> </w:t>
          </w:r>
          <w:r>
            <w:rPr>
              <w:color w:val="231F20"/>
            </w:rPr>
            <w:t>Expenditures</w:t>
          </w:r>
          <w:r>
            <w:rPr>
              <w:color w:val="231F20"/>
              <w:spacing w:val="-3"/>
            </w:rPr>
            <w:t> </w:t>
          </w:r>
          <w:r>
            <w:rPr>
              <w:color w:val="231F20"/>
            </w:rPr>
            <w:t>–</w:t>
          </w:r>
          <w:r>
            <w:rPr>
              <w:color w:val="231F20"/>
              <w:spacing w:val="-2"/>
            </w:rPr>
            <w:t> </w:t>
          </w:r>
          <w:r>
            <w:rPr>
              <w:color w:val="231F20"/>
            </w:rPr>
            <w:t>Budget</w:t>
          </w:r>
          <w:r>
            <w:rPr>
              <w:color w:val="231F20"/>
              <w:spacing w:val="-3"/>
            </w:rPr>
            <w:t> </w:t>
          </w:r>
          <w:r>
            <w:rPr>
              <w:color w:val="231F20"/>
            </w:rPr>
            <w:t>Comparisons</w:t>
          </w:r>
          <w:r>
            <w:rPr>
              <w:color w:val="231F20"/>
              <w:spacing w:val="-3"/>
            </w:rPr>
            <w:t> </w:t>
          </w:r>
          <w:r>
            <w:rPr>
              <w:color w:val="231F20"/>
            </w:rPr>
            <w:t>(Schedule</w:t>
          </w:r>
          <w:r>
            <w:rPr>
              <w:color w:val="231F20"/>
              <w:spacing w:val="-2"/>
            </w:rPr>
            <w:t> </w:t>
          </w:r>
          <w:r>
            <w:rPr>
              <w:color w:val="231F20"/>
              <w:spacing w:val="-5"/>
            </w:rPr>
            <w:t>2)</w:t>
          </w:r>
          <w:r>
            <w:rPr>
              <w:color w:val="231F20"/>
            </w:rPr>
            <w:tab/>
          </w:r>
          <w:r>
            <w:rPr>
              <w:color w:val="231F20"/>
              <w:spacing w:val="-5"/>
            </w:rPr>
            <w:t>83</w:t>
          </w:r>
        </w:p>
        <w:p>
          <w:pPr>
            <w:pStyle w:val="TOC2"/>
            <w:spacing w:before="35"/>
          </w:pPr>
          <w:r>
            <w:rPr>
              <w:color w:val="231F20"/>
            </w:rPr>
            <w:t>Restricted</w:t>
          </w:r>
          <w:r>
            <w:rPr>
              <w:color w:val="231F20"/>
              <w:spacing w:val="-5"/>
            </w:rPr>
            <w:t> </w:t>
          </w:r>
          <w:r>
            <w:rPr>
              <w:color w:val="231F20"/>
            </w:rPr>
            <w:t>Current</w:t>
          </w:r>
          <w:r>
            <w:rPr>
              <w:color w:val="231F20"/>
              <w:spacing w:val="-2"/>
            </w:rPr>
            <w:t> </w:t>
          </w:r>
          <w:r>
            <w:rPr>
              <w:color w:val="231F20"/>
            </w:rPr>
            <w:t>Funds</w:t>
          </w:r>
          <w:r>
            <w:rPr>
              <w:color w:val="231F20"/>
              <w:spacing w:val="-2"/>
            </w:rPr>
            <w:t> </w:t>
          </w:r>
          <w:r>
            <w:rPr>
              <w:color w:val="231F20"/>
            </w:rPr>
            <w:t>–</w:t>
          </w:r>
          <w:r>
            <w:rPr>
              <w:color w:val="231F20"/>
              <w:spacing w:val="-4"/>
            </w:rPr>
            <w:t> </w:t>
          </w:r>
          <w:r>
            <w:rPr>
              <w:color w:val="231F20"/>
            </w:rPr>
            <w:t>Revenues</w:t>
          </w:r>
          <w:r>
            <w:rPr>
              <w:color w:val="231F20"/>
              <w:spacing w:val="-2"/>
            </w:rPr>
            <w:t> </w:t>
          </w:r>
          <w:r>
            <w:rPr>
              <w:color w:val="231F20"/>
            </w:rPr>
            <w:t>and</w:t>
          </w:r>
          <w:r>
            <w:rPr>
              <w:color w:val="231F20"/>
              <w:spacing w:val="-2"/>
            </w:rPr>
            <w:t> </w:t>
          </w:r>
          <w:r>
            <w:rPr>
              <w:color w:val="231F20"/>
            </w:rPr>
            <w:t>Expenditures</w:t>
          </w:r>
          <w:r>
            <w:rPr>
              <w:color w:val="231F20"/>
              <w:spacing w:val="-2"/>
            </w:rPr>
            <w:t> </w:t>
          </w:r>
          <w:r>
            <w:rPr>
              <w:color w:val="231F20"/>
              <w:spacing w:val="-10"/>
            </w:rPr>
            <w:t>–</w:t>
          </w:r>
        </w:p>
        <w:p>
          <w:pPr>
            <w:pStyle w:val="TOC3"/>
            <w:tabs>
              <w:tab w:pos="10551" w:val="right" w:leader="none"/>
            </w:tabs>
          </w:pPr>
          <w:r>
            <w:rPr>
              <w:color w:val="231F20"/>
            </w:rPr>
            <w:t>Budget</w:t>
          </w:r>
          <w:r>
            <w:rPr>
              <w:color w:val="231F20"/>
              <w:spacing w:val="-3"/>
            </w:rPr>
            <w:t> </w:t>
          </w:r>
          <w:r>
            <w:rPr>
              <w:color w:val="231F20"/>
            </w:rPr>
            <w:t>Comparisons</w:t>
          </w:r>
          <w:r>
            <w:rPr>
              <w:color w:val="231F20"/>
              <w:spacing w:val="-2"/>
            </w:rPr>
            <w:t> </w:t>
          </w:r>
          <w:r>
            <w:rPr>
              <w:color w:val="231F20"/>
            </w:rPr>
            <w:t>(Schedule</w:t>
          </w:r>
          <w:r>
            <w:rPr>
              <w:color w:val="231F20"/>
              <w:spacing w:val="-2"/>
            </w:rPr>
            <w:t> </w:t>
          </w:r>
          <w:r>
            <w:rPr>
              <w:color w:val="231F20"/>
              <w:spacing w:val="-5"/>
            </w:rPr>
            <w:t>3)</w:t>
          </w:r>
          <w:r>
            <w:rPr>
              <w:color w:val="231F20"/>
            </w:rPr>
            <w:tab/>
          </w:r>
          <w:r>
            <w:rPr>
              <w:color w:val="231F20"/>
              <w:spacing w:val="-5"/>
            </w:rPr>
            <w:t>84</w:t>
          </w:r>
        </w:p>
        <w:p>
          <w:pPr>
            <w:pStyle w:val="TOC2"/>
          </w:pPr>
          <w:r>
            <w:rPr>
              <w:color w:val="231F20"/>
            </w:rPr>
            <w:t>Unrestricted</w:t>
          </w:r>
          <w:r>
            <w:rPr>
              <w:color w:val="231F20"/>
              <w:spacing w:val="-2"/>
            </w:rPr>
            <w:t> </w:t>
          </w:r>
          <w:r>
            <w:rPr>
              <w:color w:val="231F20"/>
            </w:rPr>
            <w:t>Current</w:t>
          </w:r>
          <w:r>
            <w:rPr>
              <w:color w:val="231F20"/>
              <w:spacing w:val="-2"/>
            </w:rPr>
            <w:t> </w:t>
          </w:r>
          <w:r>
            <w:rPr>
              <w:color w:val="231F20"/>
            </w:rPr>
            <w:t>Funds</w:t>
          </w:r>
          <w:r>
            <w:rPr>
              <w:color w:val="231F20"/>
              <w:spacing w:val="-2"/>
            </w:rPr>
            <w:t> </w:t>
          </w:r>
          <w:r>
            <w:rPr>
              <w:color w:val="231F20"/>
            </w:rPr>
            <w:t>–</w:t>
          </w:r>
          <w:r>
            <w:rPr>
              <w:color w:val="231F20"/>
              <w:spacing w:val="-2"/>
            </w:rPr>
            <w:t> </w:t>
          </w:r>
          <w:r>
            <w:rPr>
              <w:color w:val="231F20"/>
            </w:rPr>
            <w:t>Summary</w:t>
          </w:r>
          <w:r>
            <w:rPr>
              <w:color w:val="231F20"/>
              <w:spacing w:val="-2"/>
            </w:rPr>
            <w:t> </w:t>
          </w:r>
          <w:r>
            <w:rPr>
              <w:color w:val="231F20"/>
            </w:rPr>
            <w:t>of</w:t>
          </w:r>
          <w:r>
            <w:rPr>
              <w:color w:val="231F20"/>
              <w:spacing w:val="-2"/>
            </w:rPr>
            <w:t> </w:t>
          </w:r>
          <w:r>
            <w:rPr>
              <w:color w:val="231F20"/>
            </w:rPr>
            <w:t>Instruction</w:t>
          </w:r>
          <w:r>
            <w:rPr>
              <w:color w:val="231F20"/>
              <w:spacing w:val="-3"/>
            </w:rPr>
            <w:t> </w:t>
          </w:r>
          <w:r>
            <w:rPr>
              <w:color w:val="231F20"/>
            </w:rPr>
            <w:t>and</w:t>
          </w:r>
          <w:r>
            <w:rPr>
              <w:color w:val="231F20"/>
              <w:spacing w:val="-1"/>
            </w:rPr>
            <w:t> </w:t>
          </w:r>
          <w:r>
            <w:rPr>
              <w:color w:val="231F20"/>
              <w:spacing w:val="-2"/>
            </w:rPr>
            <w:t>General</w:t>
          </w:r>
        </w:p>
        <w:p>
          <w:pPr>
            <w:pStyle w:val="TOC3"/>
            <w:tabs>
              <w:tab w:pos="10551" w:val="right" w:leader="none"/>
            </w:tabs>
            <w:spacing w:before="35"/>
          </w:pPr>
          <w:r>
            <w:rPr>
              <w:color w:val="231F20"/>
            </w:rPr>
            <w:t>Budget</w:t>
          </w:r>
          <w:r>
            <w:rPr>
              <w:color w:val="231F20"/>
              <w:spacing w:val="-3"/>
            </w:rPr>
            <w:t> </w:t>
          </w:r>
          <w:r>
            <w:rPr>
              <w:color w:val="231F20"/>
            </w:rPr>
            <w:t>Comparisons</w:t>
          </w:r>
          <w:r>
            <w:rPr>
              <w:color w:val="231F20"/>
              <w:spacing w:val="-2"/>
            </w:rPr>
            <w:t> </w:t>
          </w:r>
          <w:r>
            <w:rPr>
              <w:color w:val="231F20"/>
            </w:rPr>
            <w:t>(Schedule</w:t>
          </w:r>
          <w:r>
            <w:rPr>
              <w:color w:val="231F20"/>
              <w:spacing w:val="-2"/>
            </w:rPr>
            <w:t> </w:t>
          </w:r>
          <w:r>
            <w:rPr>
              <w:color w:val="231F20"/>
              <w:spacing w:val="-5"/>
            </w:rPr>
            <w:t>4)</w:t>
          </w:r>
          <w:r>
            <w:rPr>
              <w:color w:val="231F20"/>
            </w:rPr>
            <w:tab/>
          </w:r>
          <w:r>
            <w:rPr>
              <w:color w:val="231F20"/>
              <w:spacing w:val="-5"/>
            </w:rPr>
            <w:t>85</w:t>
          </w:r>
        </w:p>
        <w:p>
          <w:pPr>
            <w:pStyle w:val="TOC2"/>
            <w:tabs>
              <w:tab w:pos="10549" w:val="right" w:leader="none"/>
            </w:tabs>
          </w:pPr>
          <w:r>
            <w:rPr>
              <w:color w:val="231F20"/>
            </w:rPr>
            <w:t>Schedule</w:t>
          </w:r>
          <w:r>
            <w:rPr>
              <w:color w:val="231F20"/>
              <w:spacing w:val="-3"/>
            </w:rPr>
            <w:t> </w:t>
          </w:r>
          <w:r>
            <w:rPr>
              <w:color w:val="231F20"/>
            </w:rPr>
            <w:t>of</w:t>
          </w:r>
          <w:r>
            <w:rPr>
              <w:color w:val="231F20"/>
              <w:spacing w:val="-2"/>
            </w:rPr>
            <w:t> </w:t>
          </w:r>
          <w:r>
            <w:rPr>
              <w:color w:val="231F20"/>
            </w:rPr>
            <w:t>Pledged</w:t>
          </w:r>
          <w:r>
            <w:rPr>
              <w:color w:val="231F20"/>
              <w:spacing w:val="-4"/>
            </w:rPr>
            <w:t> </w:t>
          </w:r>
          <w:r>
            <w:rPr>
              <w:color w:val="231F20"/>
            </w:rPr>
            <w:t>Collateral</w:t>
          </w:r>
          <w:r>
            <w:rPr>
              <w:color w:val="231F20"/>
              <w:spacing w:val="-2"/>
            </w:rPr>
            <w:t> </w:t>
          </w:r>
          <w:r>
            <w:rPr>
              <w:color w:val="231F20"/>
            </w:rPr>
            <w:t>(Schedule</w:t>
          </w:r>
          <w:r>
            <w:rPr>
              <w:color w:val="231F20"/>
              <w:spacing w:val="-2"/>
            </w:rPr>
            <w:t> </w:t>
          </w:r>
          <w:r>
            <w:rPr>
              <w:color w:val="231F20"/>
              <w:spacing w:val="-5"/>
            </w:rPr>
            <w:t>5)</w:t>
          </w:r>
          <w:r>
            <w:rPr>
              <w:color w:val="231F20"/>
            </w:rPr>
            <w:tab/>
          </w:r>
          <w:r>
            <w:rPr>
              <w:color w:val="231F20"/>
              <w:spacing w:val="-5"/>
            </w:rPr>
            <w:t>86</w:t>
          </w:r>
        </w:p>
        <w:p>
          <w:pPr>
            <w:pStyle w:val="TOC2"/>
            <w:tabs>
              <w:tab w:pos="10550" w:val="right" w:leader="none"/>
            </w:tabs>
            <w:spacing w:before="35"/>
          </w:pPr>
          <w:r>
            <w:rPr>
              <w:color w:val="231F20"/>
            </w:rPr>
            <w:t>Schedule</w:t>
          </w:r>
          <w:r>
            <w:rPr>
              <w:color w:val="231F20"/>
              <w:spacing w:val="-4"/>
            </w:rPr>
            <w:t> </w:t>
          </w:r>
          <w:r>
            <w:rPr>
              <w:color w:val="231F20"/>
            </w:rPr>
            <w:t>of</w:t>
          </w:r>
          <w:r>
            <w:rPr>
              <w:color w:val="231F20"/>
              <w:spacing w:val="-2"/>
            </w:rPr>
            <w:t> </w:t>
          </w:r>
          <w:r>
            <w:rPr>
              <w:color w:val="231F20"/>
            </w:rPr>
            <w:t>Individual</w:t>
          </w:r>
          <w:r>
            <w:rPr>
              <w:color w:val="231F20"/>
              <w:spacing w:val="-2"/>
            </w:rPr>
            <w:t> </w:t>
          </w:r>
          <w:r>
            <w:rPr>
              <w:color w:val="231F20"/>
            </w:rPr>
            <w:t>Deposit</w:t>
          </w:r>
          <w:r>
            <w:rPr>
              <w:color w:val="231F20"/>
              <w:spacing w:val="-2"/>
            </w:rPr>
            <w:t> </w:t>
          </w:r>
          <w:r>
            <w:rPr>
              <w:color w:val="231F20"/>
            </w:rPr>
            <w:t>and</w:t>
          </w:r>
          <w:r>
            <w:rPr>
              <w:color w:val="231F20"/>
              <w:spacing w:val="-1"/>
            </w:rPr>
            <w:t> </w:t>
          </w:r>
          <w:r>
            <w:rPr>
              <w:color w:val="231F20"/>
            </w:rPr>
            <w:t>Investment</w:t>
          </w:r>
          <w:r>
            <w:rPr>
              <w:color w:val="231F20"/>
              <w:spacing w:val="-2"/>
            </w:rPr>
            <w:t> </w:t>
          </w:r>
          <w:r>
            <w:rPr>
              <w:color w:val="231F20"/>
            </w:rPr>
            <w:t>Accounts</w:t>
          </w:r>
          <w:r>
            <w:rPr>
              <w:color w:val="231F20"/>
              <w:spacing w:val="-2"/>
            </w:rPr>
            <w:t> </w:t>
          </w:r>
          <w:r>
            <w:rPr>
              <w:color w:val="231F20"/>
            </w:rPr>
            <w:t>–</w:t>
          </w:r>
          <w:r>
            <w:rPr>
              <w:color w:val="231F20"/>
              <w:spacing w:val="-2"/>
            </w:rPr>
            <w:t> </w:t>
          </w:r>
          <w:r>
            <w:rPr>
              <w:color w:val="231F20"/>
            </w:rPr>
            <w:t>Institute</w:t>
          </w:r>
          <w:r>
            <w:rPr>
              <w:color w:val="231F20"/>
              <w:spacing w:val="-3"/>
            </w:rPr>
            <w:t> </w:t>
          </w:r>
          <w:r>
            <w:rPr>
              <w:color w:val="231F20"/>
            </w:rPr>
            <w:t>(Schedule</w:t>
          </w:r>
          <w:r>
            <w:rPr>
              <w:color w:val="231F20"/>
              <w:spacing w:val="-1"/>
            </w:rPr>
            <w:t> </w:t>
          </w:r>
          <w:r>
            <w:rPr>
              <w:color w:val="231F20"/>
              <w:spacing w:val="-5"/>
            </w:rPr>
            <w:t>6)</w:t>
          </w:r>
          <w:r>
            <w:rPr>
              <w:color w:val="231F20"/>
            </w:rPr>
            <w:tab/>
          </w:r>
          <w:r>
            <w:rPr>
              <w:color w:val="231F20"/>
              <w:spacing w:val="-5"/>
            </w:rPr>
            <w:t>87</w:t>
          </w:r>
        </w:p>
        <w:p>
          <w:pPr>
            <w:pStyle w:val="TOC2"/>
          </w:pPr>
          <w:r>
            <w:rPr>
              <w:color w:val="231F20"/>
            </w:rPr>
            <w:t>Schedule</w:t>
          </w:r>
          <w:r>
            <w:rPr>
              <w:color w:val="231F20"/>
              <w:spacing w:val="-4"/>
            </w:rPr>
            <w:t> </w:t>
          </w:r>
          <w:r>
            <w:rPr>
              <w:color w:val="231F20"/>
            </w:rPr>
            <w:t>of</w:t>
          </w:r>
          <w:r>
            <w:rPr>
              <w:color w:val="231F20"/>
              <w:spacing w:val="-2"/>
            </w:rPr>
            <w:t> </w:t>
          </w:r>
          <w:r>
            <w:rPr>
              <w:color w:val="231F20"/>
            </w:rPr>
            <w:t>Individual</w:t>
          </w:r>
          <w:r>
            <w:rPr>
              <w:color w:val="231F20"/>
              <w:spacing w:val="-2"/>
            </w:rPr>
            <w:t> </w:t>
          </w:r>
          <w:r>
            <w:rPr>
              <w:color w:val="231F20"/>
            </w:rPr>
            <w:t>Deposit</w:t>
          </w:r>
          <w:r>
            <w:rPr>
              <w:color w:val="231F20"/>
              <w:spacing w:val="-1"/>
            </w:rPr>
            <w:t> </w:t>
          </w:r>
          <w:r>
            <w:rPr>
              <w:color w:val="231F20"/>
            </w:rPr>
            <w:t>and</w:t>
          </w:r>
          <w:r>
            <w:rPr>
              <w:color w:val="231F20"/>
              <w:spacing w:val="-2"/>
            </w:rPr>
            <w:t> </w:t>
          </w:r>
          <w:r>
            <w:rPr>
              <w:color w:val="231F20"/>
            </w:rPr>
            <w:t>Investment</w:t>
          </w:r>
          <w:r>
            <w:rPr>
              <w:color w:val="231F20"/>
              <w:spacing w:val="-2"/>
            </w:rPr>
            <w:t> </w:t>
          </w:r>
          <w:r>
            <w:rPr>
              <w:color w:val="231F20"/>
            </w:rPr>
            <w:t>Accounts</w:t>
          </w:r>
          <w:r>
            <w:rPr>
              <w:color w:val="231F20"/>
              <w:spacing w:val="-2"/>
            </w:rPr>
            <w:t> </w:t>
          </w:r>
          <w:r>
            <w:rPr>
              <w:color w:val="231F20"/>
            </w:rPr>
            <w:t>–</w:t>
          </w:r>
          <w:r>
            <w:rPr>
              <w:color w:val="231F20"/>
              <w:spacing w:val="-1"/>
            </w:rPr>
            <w:t> </w:t>
          </w:r>
          <w:r>
            <w:rPr>
              <w:color w:val="231F20"/>
              <w:spacing w:val="-2"/>
            </w:rPr>
            <w:t>Discretely</w:t>
          </w:r>
        </w:p>
        <w:p>
          <w:pPr>
            <w:pStyle w:val="TOC3"/>
            <w:tabs>
              <w:tab w:pos="10550" w:val="right" w:leader="none"/>
            </w:tabs>
          </w:pPr>
          <w:r>
            <w:rPr>
              <w:color w:val="231F20"/>
            </w:rPr>
            <w:t>Presented</w:t>
          </w:r>
          <w:r>
            <w:rPr>
              <w:color w:val="231F20"/>
              <w:spacing w:val="-3"/>
            </w:rPr>
            <w:t> </w:t>
          </w:r>
          <w:r>
            <w:rPr>
              <w:color w:val="231F20"/>
            </w:rPr>
            <w:t>Component</w:t>
          </w:r>
          <w:r>
            <w:rPr>
              <w:color w:val="231F20"/>
              <w:spacing w:val="-2"/>
            </w:rPr>
            <w:t> </w:t>
          </w:r>
          <w:r>
            <w:rPr>
              <w:color w:val="231F20"/>
            </w:rPr>
            <w:t>Unit</w:t>
          </w:r>
          <w:r>
            <w:rPr>
              <w:color w:val="231F20"/>
              <w:spacing w:val="-3"/>
            </w:rPr>
            <w:t> </w:t>
          </w:r>
          <w:r>
            <w:rPr>
              <w:color w:val="231F20"/>
            </w:rPr>
            <w:t>(Schedule</w:t>
          </w:r>
          <w:r>
            <w:rPr>
              <w:color w:val="231F20"/>
              <w:spacing w:val="-1"/>
            </w:rPr>
            <w:t> </w:t>
          </w:r>
          <w:r>
            <w:rPr>
              <w:color w:val="231F20"/>
              <w:spacing w:val="-5"/>
            </w:rPr>
            <w:t>7)</w:t>
          </w:r>
          <w:r>
            <w:rPr>
              <w:color w:val="231F20"/>
            </w:rPr>
            <w:tab/>
          </w:r>
          <w:r>
            <w:rPr>
              <w:color w:val="231F20"/>
              <w:spacing w:val="-5"/>
            </w:rPr>
            <w:t>88</w:t>
          </w:r>
        </w:p>
      </w:sdtContent>
    </w:sdt>
    <w:p>
      <w:pPr>
        <w:pStyle w:val="BodyText"/>
        <w:spacing w:before="36" w:after="40"/>
        <w:ind w:left="1728"/>
      </w:pPr>
      <w:r>
        <w:rPr>
          <w:color w:val="231F20"/>
        </w:rPr>
        <w:t>Schedule</w:t>
      </w:r>
      <w:r>
        <w:rPr>
          <w:color w:val="231F20"/>
          <w:spacing w:val="-1"/>
        </w:rPr>
        <w:t> </w:t>
      </w:r>
      <w:r>
        <w:rPr>
          <w:color w:val="231F20"/>
        </w:rPr>
        <w:t>of</w:t>
      </w:r>
      <w:r>
        <w:rPr>
          <w:color w:val="231F20"/>
          <w:spacing w:val="-1"/>
        </w:rPr>
        <w:t> </w:t>
      </w:r>
      <w:r>
        <w:rPr>
          <w:color w:val="231F20"/>
        </w:rPr>
        <w:t>Multiple</w:t>
      </w:r>
      <w:r>
        <w:rPr>
          <w:color w:val="231F20"/>
          <w:spacing w:val="-1"/>
        </w:rPr>
        <w:t> </w:t>
      </w:r>
      <w:r>
        <w:rPr>
          <w:color w:val="231F20"/>
        </w:rPr>
        <w:t>Year</w:t>
      </w:r>
      <w:r>
        <w:rPr>
          <w:color w:val="231F20"/>
          <w:spacing w:val="-2"/>
        </w:rPr>
        <w:t> </w:t>
      </w:r>
      <w:r>
        <w:rPr>
          <w:color w:val="231F20"/>
        </w:rPr>
        <w:t>Capital</w:t>
      </w:r>
      <w:r>
        <w:rPr>
          <w:color w:val="231F20"/>
          <w:spacing w:val="-1"/>
        </w:rPr>
        <w:t> </w:t>
      </w:r>
      <w:r>
        <w:rPr>
          <w:color w:val="231F20"/>
        </w:rPr>
        <w:t>Projects</w:t>
      </w:r>
      <w:r>
        <w:rPr>
          <w:color w:val="231F20"/>
          <w:spacing w:val="-1"/>
        </w:rPr>
        <w:t> </w:t>
      </w:r>
      <w:r>
        <w:rPr>
          <w:color w:val="231F20"/>
        </w:rPr>
        <w:t>Funded</w:t>
      </w:r>
      <w:r>
        <w:rPr>
          <w:color w:val="231F20"/>
          <w:spacing w:val="-1"/>
        </w:rPr>
        <w:t> </w:t>
      </w:r>
      <w:r>
        <w:rPr>
          <w:color w:val="231F20"/>
        </w:rPr>
        <w:t>by</w:t>
      </w:r>
      <w:r>
        <w:rPr>
          <w:color w:val="231F20"/>
          <w:spacing w:val="-1"/>
        </w:rPr>
        <w:t> </w:t>
      </w:r>
      <w:r>
        <w:rPr>
          <w:color w:val="231F20"/>
          <w:spacing w:val="-2"/>
        </w:rPr>
        <w:t>General</w:t>
      </w:r>
    </w:p>
    <w:tbl>
      <w:tblPr>
        <w:tblW w:w="0" w:type="auto"/>
        <w:jc w:val="left"/>
        <w:tblInd w:w="1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7"/>
        <w:gridCol w:w="2046"/>
      </w:tblGrid>
      <w:tr>
        <w:trPr>
          <w:trHeight w:val="244" w:hRule="atLeast"/>
        </w:trPr>
        <w:tc>
          <w:tcPr>
            <w:tcW w:w="7047" w:type="dxa"/>
          </w:tcPr>
          <w:p>
            <w:pPr>
              <w:pStyle w:val="TableParagraph"/>
              <w:spacing w:line="224" w:lineRule="exact"/>
              <w:ind w:left="338"/>
              <w:rPr>
                <w:sz w:val="20"/>
              </w:rPr>
            </w:pPr>
            <w:r>
              <w:rPr>
                <w:color w:val="231F20"/>
                <w:sz w:val="20"/>
              </w:rPr>
              <w:t>Obligation</w:t>
            </w:r>
            <w:r>
              <w:rPr>
                <w:color w:val="231F20"/>
                <w:spacing w:val="-2"/>
                <w:sz w:val="20"/>
              </w:rPr>
              <w:t> </w:t>
            </w:r>
            <w:r>
              <w:rPr>
                <w:color w:val="231F20"/>
                <w:sz w:val="20"/>
              </w:rPr>
              <w:t>Revenue</w:t>
            </w:r>
            <w:r>
              <w:rPr>
                <w:color w:val="231F20"/>
                <w:spacing w:val="-2"/>
                <w:sz w:val="20"/>
              </w:rPr>
              <w:t> </w:t>
            </w:r>
            <w:r>
              <w:rPr>
                <w:color w:val="231F20"/>
                <w:sz w:val="20"/>
              </w:rPr>
              <w:t>Bond</w:t>
            </w:r>
            <w:r>
              <w:rPr>
                <w:color w:val="231F20"/>
                <w:spacing w:val="-3"/>
                <w:sz w:val="20"/>
              </w:rPr>
              <w:t> </w:t>
            </w:r>
            <w:r>
              <w:rPr>
                <w:color w:val="231F20"/>
                <w:sz w:val="20"/>
              </w:rPr>
              <w:t>and</w:t>
            </w:r>
            <w:r>
              <w:rPr>
                <w:color w:val="231F20"/>
                <w:spacing w:val="-1"/>
                <w:sz w:val="20"/>
              </w:rPr>
              <w:t> </w:t>
            </w:r>
            <w:r>
              <w:rPr>
                <w:color w:val="231F20"/>
                <w:sz w:val="20"/>
              </w:rPr>
              <w:t>Severance</w:t>
            </w:r>
            <w:r>
              <w:rPr>
                <w:color w:val="231F20"/>
                <w:spacing w:val="-2"/>
                <w:sz w:val="20"/>
              </w:rPr>
              <w:t> </w:t>
            </w:r>
            <w:r>
              <w:rPr>
                <w:color w:val="231F20"/>
                <w:sz w:val="20"/>
              </w:rPr>
              <w:t>Tax</w:t>
            </w:r>
            <w:r>
              <w:rPr>
                <w:color w:val="231F20"/>
                <w:spacing w:val="-2"/>
                <w:sz w:val="20"/>
              </w:rPr>
              <w:t> </w:t>
            </w:r>
            <w:r>
              <w:rPr>
                <w:color w:val="231F20"/>
                <w:sz w:val="20"/>
              </w:rPr>
              <w:t>Bond</w:t>
            </w:r>
            <w:r>
              <w:rPr>
                <w:color w:val="231F20"/>
                <w:spacing w:val="-2"/>
                <w:sz w:val="20"/>
              </w:rPr>
              <w:t> Capital</w:t>
            </w:r>
          </w:p>
        </w:tc>
        <w:tc>
          <w:tcPr>
            <w:tcW w:w="2046" w:type="dxa"/>
          </w:tcPr>
          <w:p>
            <w:pPr>
              <w:pStyle w:val="TableParagraph"/>
              <w:rPr>
                <w:rFonts w:ascii="Times New Roman"/>
                <w:sz w:val="16"/>
              </w:rPr>
            </w:pPr>
          </w:p>
        </w:tc>
      </w:tr>
      <w:tr>
        <w:trPr>
          <w:trHeight w:val="264" w:hRule="atLeast"/>
        </w:trPr>
        <w:tc>
          <w:tcPr>
            <w:tcW w:w="7047" w:type="dxa"/>
          </w:tcPr>
          <w:p>
            <w:pPr>
              <w:pStyle w:val="TableParagraph"/>
              <w:spacing w:before="14"/>
              <w:ind w:left="338"/>
              <w:rPr>
                <w:sz w:val="20"/>
              </w:rPr>
            </w:pPr>
            <w:r>
              <w:rPr>
                <w:color w:val="231F20"/>
                <w:sz w:val="20"/>
              </w:rPr>
              <w:t>Outlay</w:t>
            </w:r>
            <w:r>
              <w:rPr>
                <w:color w:val="231F20"/>
                <w:spacing w:val="-2"/>
                <w:sz w:val="20"/>
              </w:rPr>
              <w:t> </w:t>
            </w:r>
            <w:r>
              <w:rPr>
                <w:color w:val="231F20"/>
                <w:sz w:val="20"/>
              </w:rPr>
              <w:t>Appropriations</w:t>
            </w:r>
            <w:r>
              <w:rPr>
                <w:color w:val="231F20"/>
                <w:spacing w:val="-2"/>
                <w:sz w:val="20"/>
              </w:rPr>
              <w:t> </w:t>
            </w:r>
            <w:r>
              <w:rPr>
                <w:color w:val="231F20"/>
                <w:sz w:val="20"/>
              </w:rPr>
              <w:t>from</w:t>
            </w:r>
            <w:r>
              <w:rPr>
                <w:color w:val="231F20"/>
                <w:spacing w:val="-3"/>
                <w:sz w:val="20"/>
              </w:rPr>
              <w:t> </w:t>
            </w:r>
            <w:r>
              <w:rPr>
                <w:color w:val="231F20"/>
                <w:sz w:val="20"/>
              </w:rPr>
              <w:t>the</w:t>
            </w:r>
            <w:r>
              <w:rPr>
                <w:color w:val="231F20"/>
                <w:spacing w:val="-2"/>
                <w:sz w:val="20"/>
              </w:rPr>
              <w:t> </w:t>
            </w:r>
            <w:r>
              <w:rPr>
                <w:color w:val="231F20"/>
                <w:sz w:val="20"/>
              </w:rPr>
              <w:t>State</w:t>
            </w:r>
            <w:r>
              <w:rPr>
                <w:color w:val="231F20"/>
                <w:spacing w:val="-2"/>
                <w:sz w:val="20"/>
              </w:rPr>
              <w:t> </w:t>
            </w:r>
            <w:r>
              <w:rPr>
                <w:color w:val="231F20"/>
                <w:sz w:val="20"/>
              </w:rPr>
              <w:t>(Schedule</w:t>
            </w:r>
            <w:r>
              <w:rPr>
                <w:color w:val="231F20"/>
                <w:spacing w:val="-1"/>
                <w:sz w:val="20"/>
              </w:rPr>
              <w:t> </w:t>
            </w:r>
            <w:r>
              <w:rPr>
                <w:color w:val="231F20"/>
                <w:spacing w:val="-5"/>
                <w:sz w:val="20"/>
              </w:rPr>
              <w:t>8)</w:t>
            </w:r>
          </w:p>
        </w:tc>
        <w:tc>
          <w:tcPr>
            <w:tcW w:w="2046" w:type="dxa"/>
          </w:tcPr>
          <w:p>
            <w:pPr>
              <w:pStyle w:val="TableParagraph"/>
              <w:spacing w:before="14"/>
              <w:ind w:left="1420" w:right="37"/>
              <w:jc w:val="center"/>
              <w:rPr>
                <w:sz w:val="20"/>
              </w:rPr>
            </w:pPr>
            <w:r>
              <w:rPr>
                <w:color w:val="231F20"/>
                <w:spacing w:val="-5"/>
                <w:sz w:val="20"/>
              </w:rPr>
              <w:t>89</w:t>
            </w:r>
          </w:p>
        </w:tc>
      </w:tr>
      <w:tr>
        <w:trPr>
          <w:trHeight w:val="263" w:hRule="atLeast"/>
        </w:trPr>
        <w:tc>
          <w:tcPr>
            <w:tcW w:w="7047" w:type="dxa"/>
          </w:tcPr>
          <w:p>
            <w:pPr>
              <w:pStyle w:val="TableParagraph"/>
              <w:spacing w:before="14"/>
              <w:ind w:left="50"/>
              <w:rPr>
                <w:sz w:val="20"/>
              </w:rPr>
            </w:pPr>
            <w:r>
              <w:rPr>
                <w:color w:val="231F20"/>
                <w:sz w:val="20"/>
              </w:rPr>
              <w:t>Schedule</w:t>
            </w:r>
            <w:r>
              <w:rPr>
                <w:color w:val="231F20"/>
                <w:spacing w:val="-2"/>
                <w:sz w:val="20"/>
              </w:rPr>
              <w:t> </w:t>
            </w:r>
            <w:r>
              <w:rPr>
                <w:color w:val="231F20"/>
                <w:sz w:val="20"/>
              </w:rPr>
              <w:t>of</w:t>
            </w:r>
            <w:r>
              <w:rPr>
                <w:color w:val="231F20"/>
                <w:spacing w:val="-2"/>
                <w:sz w:val="20"/>
              </w:rPr>
              <w:t> </w:t>
            </w:r>
            <w:r>
              <w:rPr>
                <w:color w:val="231F20"/>
                <w:sz w:val="20"/>
              </w:rPr>
              <w:t>Joint</w:t>
            </w:r>
            <w:r>
              <w:rPr>
                <w:color w:val="231F20"/>
                <w:spacing w:val="-2"/>
                <w:sz w:val="20"/>
              </w:rPr>
              <w:t> </w:t>
            </w:r>
            <w:r>
              <w:rPr>
                <w:color w:val="231F20"/>
                <w:sz w:val="20"/>
              </w:rPr>
              <w:t>Powers</w:t>
            </w:r>
            <w:r>
              <w:rPr>
                <w:color w:val="231F20"/>
                <w:spacing w:val="-3"/>
                <w:sz w:val="20"/>
              </w:rPr>
              <w:t> </w:t>
            </w:r>
            <w:r>
              <w:rPr>
                <w:color w:val="231F20"/>
                <w:sz w:val="20"/>
              </w:rPr>
              <w:t>Agreements</w:t>
            </w:r>
            <w:r>
              <w:rPr>
                <w:color w:val="231F20"/>
                <w:spacing w:val="-3"/>
                <w:sz w:val="20"/>
              </w:rPr>
              <w:t> </w:t>
            </w:r>
            <w:r>
              <w:rPr>
                <w:color w:val="231F20"/>
                <w:sz w:val="20"/>
              </w:rPr>
              <w:t>(Schedule</w:t>
            </w:r>
            <w:r>
              <w:rPr>
                <w:color w:val="231F20"/>
                <w:spacing w:val="-1"/>
                <w:sz w:val="20"/>
              </w:rPr>
              <w:t> </w:t>
            </w:r>
            <w:r>
              <w:rPr>
                <w:color w:val="231F20"/>
                <w:spacing w:val="-5"/>
                <w:sz w:val="20"/>
              </w:rPr>
              <w:t>9)</w:t>
            </w:r>
          </w:p>
        </w:tc>
        <w:tc>
          <w:tcPr>
            <w:tcW w:w="2046" w:type="dxa"/>
          </w:tcPr>
          <w:p>
            <w:pPr>
              <w:pStyle w:val="TableParagraph"/>
              <w:spacing w:before="14"/>
              <w:ind w:left="1418" w:right="37"/>
              <w:jc w:val="center"/>
              <w:rPr>
                <w:sz w:val="20"/>
              </w:rPr>
            </w:pPr>
            <w:r>
              <w:rPr>
                <w:color w:val="231F20"/>
                <w:spacing w:val="-5"/>
                <w:sz w:val="20"/>
              </w:rPr>
              <w:t>90</w:t>
            </w:r>
          </w:p>
        </w:tc>
      </w:tr>
      <w:tr>
        <w:trPr>
          <w:trHeight w:val="264" w:hRule="atLeast"/>
        </w:trPr>
        <w:tc>
          <w:tcPr>
            <w:tcW w:w="7047" w:type="dxa"/>
          </w:tcPr>
          <w:p>
            <w:pPr>
              <w:pStyle w:val="TableParagraph"/>
              <w:spacing w:before="14"/>
              <w:ind w:left="50"/>
              <w:rPr>
                <w:sz w:val="20"/>
              </w:rPr>
            </w:pPr>
            <w:r>
              <w:rPr>
                <w:color w:val="231F20"/>
                <w:sz w:val="20"/>
              </w:rPr>
              <w:t>Schedule</w:t>
            </w:r>
            <w:r>
              <w:rPr>
                <w:color w:val="231F20"/>
                <w:spacing w:val="-2"/>
                <w:sz w:val="20"/>
              </w:rPr>
              <w:t> </w:t>
            </w:r>
            <w:r>
              <w:rPr>
                <w:color w:val="231F20"/>
                <w:sz w:val="20"/>
              </w:rPr>
              <w:t>of</w:t>
            </w:r>
            <w:r>
              <w:rPr>
                <w:color w:val="231F20"/>
                <w:spacing w:val="-2"/>
                <w:sz w:val="20"/>
              </w:rPr>
              <w:t> </w:t>
            </w:r>
            <w:r>
              <w:rPr>
                <w:color w:val="231F20"/>
                <w:sz w:val="20"/>
              </w:rPr>
              <w:t>Expenditures</w:t>
            </w:r>
            <w:r>
              <w:rPr>
                <w:color w:val="231F20"/>
                <w:spacing w:val="-2"/>
                <w:sz w:val="20"/>
              </w:rPr>
              <w:t> </w:t>
            </w:r>
            <w:r>
              <w:rPr>
                <w:color w:val="231F20"/>
                <w:sz w:val="20"/>
              </w:rPr>
              <w:t>of</w:t>
            </w:r>
            <w:r>
              <w:rPr>
                <w:color w:val="231F20"/>
                <w:spacing w:val="-2"/>
                <w:sz w:val="20"/>
              </w:rPr>
              <w:t> </w:t>
            </w:r>
            <w:r>
              <w:rPr>
                <w:color w:val="231F20"/>
                <w:sz w:val="20"/>
              </w:rPr>
              <w:t>Federal</w:t>
            </w:r>
            <w:r>
              <w:rPr>
                <w:color w:val="231F20"/>
                <w:spacing w:val="-1"/>
                <w:sz w:val="20"/>
              </w:rPr>
              <w:t> </w:t>
            </w:r>
            <w:r>
              <w:rPr>
                <w:color w:val="231F20"/>
                <w:sz w:val="20"/>
              </w:rPr>
              <w:t>Awards</w:t>
            </w:r>
            <w:r>
              <w:rPr>
                <w:color w:val="231F20"/>
                <w:spacing w:val="-3"/>
                <w:sz w:val="20"/>
              </w:rPr>
              <w:t> </w:t>
            </w:r>
            <w:r>
              <w:rPr>
                <w:color w:val="231F20"/>
                <w:sz w:val="20"/>
              </w:rPr>
              <w:t>(Schedule</w:t>
            </w:r>
            <w:r>
              <w:rPr>
                <w:color w:val="231F20"/>
                <w:spacing w:val="-1"/>
                <w:sz w:val="20"/>
              </w:rPr>
              <w:t> </w:t>
            </w:r>
            <w:r>
              <w:rPr>
                <w:color w:val="231F20"/>
                <w:spacing w:val="-5"/>
                <w:sz w:val="20"/>
              </w:rPr>
              <w:t>10)</w:t>
            </w:r>
          </w:p>
        </w:tc>
        <w:tc>
          <w:tcPr>
            <w:tcW w:w="2046" w:type="dxa"/>
          </w:tcPr>
          <w:p>
            <w:pPr>
              <w:pStyle w:val="TableParagraph"/>
              <w:spacing w:before="14"/>
              <w:ind w:left="1422" w:right="37"/>
              <w:jc w:val="center"/>
              <w:rPr>
                <w:sz w:val="20"/>
              </w:rPr>
            </w:pPr>
            <w:r>
              <w:rPr>
                <w:color w:val="231F20"/>
                <w:spacing w:val="-2"/>
                <w:sz w:val="20"/>
              </w:rPr>
              <w:t>91–98</w:t>
            </w:r>
          </w:p>
        </w:tc>
      </w:tr>
      <w:tr>
        <w:trPr>
          <w:trHeight w:val="246" w:hRule="atLeast"/>
        </w:trPr>
        <w:tc>
          <w:tcPr>
            <w:tcW w:w="7047" w:type="dxa"/>
          </w:tcPr>
          <w:p>
            <w:pPr>
              <w:pStyle w:val="TableParagraph"/>
              <w:spacing w:line="212" w:lineRule="exact" w:before="14"/>
              <w:ind w:left="50"/>
              <w:rPr>
                <w:sz w:val="20"/>
              </w:rPr>
            </w:pPr>
            <w:r>
              <w:rPr>
                <w:color w:val="231F20"/>
                <w:sz w:val="20"/>
              </w:rPr>
              <w:t>Notes</w:t>
            </w:r>
            <w:r>
              <w:rPr>
                <w:color w:val="231F20"/>
                <w:spacing w:val="-4"/>
                <w:sz w:val="20"/>
              </w:rPr>
              <w:t> </w:t>
            </w:r>
            <w:r>
              <w:rPr>
                <w:color w:val="231F20"/>
                <w:sz w:val="20"/>
              </w:rPr>
              <w:t>to</w:t>
            </w:r>
            <w:r>
              <w:rPr>
                <w:color w:val="231F20"/>
                <w:spacing w:val="-2"/>
                <w:sz w:val="20"/>
              </w:rPr>
              <w:t> </w:t>
            </w:r>
            <w:r>
              <w:rPr>
                <w:color w:val="231F20"/>
                <w:sz w:val="20"/>
              </w:rPr>
              <w:t>the</w:t>
            </w:r>
            <w:r>
              <w:rPr>
                <w:color w:val="231F20"/>
                <w:spacing w:val="-2"/>
                <w:sz w:val="20"/>
              </w:rPr>
              <w:t> </w:t>
            </w:r>
            <w:r>
              <w:rPr>
                <w:color w:val="231F20"/>
                <w:sz w:val="20"/>
              </w:rPr>
              <w:t>Schedule</w:t>
            </w:r>
            <w:r>
              <w:rPr>
                <w:color w:val="231F20"/>
                <w:spacing w:val="-1"/>
                <w:sz w:val="20"/>
              </w:rPr>
              <w:t> </w:t>
            </w:r>
            <w:r>
              <w:rPr>
                <w:color w:val="231F20"/>
                <w:sz w:val="20"/>
              </w:rPr>
              <w:t>of</w:t>
            </w:r>
            <w:r>
              <w:rPr>
                <w:color w:val="231F20"/>
                <w:spacing w:val="-2"/>
                <w:sz w:val="20"/>
              </w:rPr>
              <w:t> </w:t>
            </w:r>
            <w:r>
              <w:rPr>
                <w:color w:val="231F20"/>
                <w:sz w:val="20"/>
              </w:rPr>
              <w:t>Expenditures</w:t>
            </w:r>
            <w:r>
              <w:rPr>
                <w:color w:val="231F20"/>
                <w:spacing w:val="-3"/>
                <w:sz w:val="20"/>
              </w:rPr>
              <w:t> </w:t>
            </w:r>
            <w:r>
              <w:rPr>
                <w:color w:val="231F20"/>
                <w:sz w:val="20"/>
              </w:rPr>
              <w:t>of</w:t>
            </w:r>
            <w:r>
              <w:rPr>
                <w:color w:val="231F20"/>
                <w:spacing w:val="-2"/>
                <w:sz w:val="20"/>
              </w:rPr>
              <w:t> </w:t>
            </w:r>
            <w:r>
              <w:rPr>
                <w:color w:val="231F20"/>
                <w:sz w:val="20"/>
              </w:rPr>
              <w:t>Federal</w:t>
            </w:r>
            <w:r>
              <w:rPr>
                <w:color w:val="231F20"/>
                <w:spacing w:val="-1"/>
                <w:sz w:val="20"/>
              </w:rPr>
              <w:t> </w:t>
            </w:r>
            <w:r>
              <w:rPr>
                <w:color w:val="231F20"/>
                <w:spacing w:val="-2"/>
                <w:sz w:val="20"/>
              </w:rPr>
              <w:t>Awards</w:t>
            </w:r>
          </w:p>
        </w:tc>
        <w:tc>
          <w:tcPr>
            <w:tcW w:w="2046" w:type="dxa"/>
          </w:tcPr>
          <w:p>
            <w:pPr>
              <w:pStyle w:val="TableParagraph"/>
              <w:spacing w:line="210" w:lineRule="exact" w:before="16"/>
              <w:ind w:left="1421" w:right="37"/>
              <w:jc w:val="center"/>
              <w:rPr>
                <w:sz w:val="20"/>
              </w:rPr>
            </w:pPr>
            <w:r>
              <w:rPr>
                <w:color w:val="231F20"/>
                <w:spacing w:val="-5"/>
                <w:sz w:val="20"/>
              </w:rPr>
              <w:t>99</w:t>
            </w:r>
          </w:p>
        </w:tc>
      </w:tr>
    </w:tbl>
    <w:p>
      <w:pPr>
        <w:spacing w:after="0" w:line="210" w:lineRule="exact"/>
        <w:jc w:val="center"/>
        <w:rPr>
          <w:sz w:val="20"/>
        </w:rPr>
        <w:sectPr>
          <w:pgSz w:w="12240" w:h="15840"/>
          <w:pgMar w:top="1160" w:bottom="280" w:left="0" w:right="580"/>
        </w:sectPr>
      </w:pPr>
    </w:p>
    <w:p>
      <w:pPr>
        <w:pStyle w:val="BodyText"/>
      </w:pPr>
    </w:p>
    <w:p>
      <w:pPr>
        <w:pStyle w:val="BodyText"/>
      </w:pPr>
    </w:p>
    <w:p>
      <w:pPr>
        <w:pStyle w:val="BodyText"/>
      </w:pPr>
    </w:p>
    <w:p>
      <w:pPr>
        <w:pStyle w:val="BodyText"/>
      </w:pPr>
    </w:p>
    <w:p>
      <w:pPr>
        <w:pStyle w:val="BodyText"/>
      </w:pPr>
    </w:p>
    <w:p>
      <w:pPr>
        <w:pStyle w:val="BodyText"/>
        <w:spacing w:before="10"/>
        <w:rPr>
          <w:sz w:val="21"/>
        </w:rPr>
      </w:pPr>
    </w:p>
    <w:p>
      <w:pPr>
        <w:pStyle w:val="Heading1"/>
      </w:pPr>
      <w:r>
        <w:rPr/>
        <w:pict>
          <v:rect style="position:absolute;margin-left:70.5pt;margin-top:23.887531pt;width:471.001pt;height:1.5pt;mso-position-horizontal-relative:page;mso-position-vertical-relative:paragraph;z-index:-15723520;mso-wrap-distance-left:0;mso-wrap-distance-right:0" id="docshape14" filled="true" fillcolor="#231f20" stroked="false">
            <v:fill type="solid"/>
            <w10:wrap type="topAndBottom"/>
          </v:rect>
        </w:pict>
      </w:r>
      <w:r>
        <w:rPr>
          <w:color w:val="231F20"/>
        </w:rPr>
        <w:t>Table</w:t>
      </w:r>
      <w:r>
        <w:rPr>
          <w:color w:val="231F20"/>
          <w:spacing w:val="-4"/>
        </w:rPr>
        <w:t> </w:t>
      </w:r>
      <w:r>
        <w:rPr>
          <w:color w:val="231F20"/>
        </w:rPr>
        <w:t>of</w:t>
      </w:r>
      <w:r>
        <w:rPr>
          <w:color w:val="231F20"/>
          <w:spacing w:val="-3"/>
        </w:rPr>
        <w:t> </w:t>
      </w:r>
      <w:r>
        <w:rPr>
          <w:color w:val="231F20"/>
          <w:spacing w:val="-2"/>
        </w:rPr>
        <w:t>Contents</w:t>
      </w:r>
    </w:p>
    <w:p>
      <w:pPr>
        <w:pStyle w:val="BodyText"/>
        <w:spacing w:before="9"/>
        <w:rPr>
          <w:b/>
          <w:sz w:val="14"/>
        </w:rPr>
      </w:pPr>
    </w:p>
    <w:p>
      <w:pPr>
        <w:pStyle w:val="BodyText"/>
        <w:spacing w:before="94"/>
        <w:ind w:right="939"/>
        <w:jc w:val="right"/>
      </w:pPr>
      <w:r>
        <w:rPr>
          <w:color w:val="231F20"/>
          <w:spacing w:val="-4"/>
        </w:rPr>
        <w:t>PAGE</w:t>
      </w:r>
    </w:p>
    <w:p>
      <w:pPr>
        <w:pStyle w:val="BodyText"/>
        <w:rPr>
          <w:sz w:val="23"/>
        </w:rPr>
      </w:pPr>
    </w:p>
    <w:p>
      <w:pPr>
        <w:spacing w:line="276" w:lineRule="auto" w:before="0"/>
        <w:ind w:left="1728" w:right="3584" w:hanging="289"/>
        <w:jc w:val="left"/>
        <w:rPr>
          <w:b/>
          <w:sz w:val="20"/>
        </w:rPr>
      </w:pPr>
      <w:r>
        <w:rPr>
          <w:b/>
          <w:color w:val="231F20"/>
          <w:sz w:val="20"/>
        </w:rPr>
        <w:t>Report</w:t>
      </w:r>
      <w:r>
        <w:rPr>
          <w:b/>
          <w:color w:val="231F20"/>
          <w:spacing w:val="-5"/>
          <w:sz w:val="20"/>
        </w:rPr>
        <w:t> </w:t>
      </w:r>
      <w:r>
        <w:rPr>
          <w:b/>
          <w:color w:val="231F20"/>
          <w:sz w:val="20"/>
        </w:rPr>
        <w:t>of</w:t>
      </w:r>
      <w:r>
        <w:rPr>
          <w:b/>
          <w:color w:val="231F20"/>
          <w:spacing w:val="-5"/>
          <w:sz w:val="20"/>
        </w:rPr>
        <w:t> </w:t>
      </w:r>
      <w:r>
        <w:rPr>
          <w:b/>
          <w:color w:val="231F20"/>
          <w:sz w:val="20"/>
        </w:rPr>
        <w:t>Independent</w:t>
      </w:r>
      <w:r>
        <w:rPr>
          <w:b/>
          <w:color w:val="231F20"/>
          <w:spacing w:val="-6"/>
          <w:sz w:val="20"/>
        </w:rPr>
        <w:t> </w:t>
      </w:r>
      <w:r>
        <w:rPr>
          <w:b/>
          <w:color w:val="231F20"/>
          <w:sz w:val="20"/>
        </w:rPr>
        <w:t>Auditors</w:t>
      </w:r>
      <w:r>
        <w:rPr>
          <w:b/>
          <w:color w:val="231F20"/>
          <w:spacing w:val="-5"/>
          <w:sz w:val="20"/>
        </w:rPr>
        <w:t> </w:t>
      </w:r>
      <w:r>
        <w:rPr>
          <w:b/>
          <w:color w:val="231F20"/>
          <w:sz w:val="20"/>
        </w:rPr>
        <w:t>on</w:t>
      </w:r>
      <w:r>
        <w:rPr>
          <w:b/>
          <w:color w:val="231F20"/>
          <w:spacing w:val="-5"/>
          <w:sz w:val="20"/>
        </w:rPr>
        <w:t> </w:t>
      </w:r>
      <w:r>
        <w:rPr>
          <w:b/>
          <w:color w:val="231F20"/>
          <w:sz w:val="20"/>
        </w:rPr>
        <w:t>Internal</w:t>
      </w:r>
      <w:r>
        <w:rPr>
          <w:b/>
          <w:color w:val="231F20"/>
          <w:spacing w:val="-6"/>
          <w:sz w:val="20"/>
        </w:rPr>
        <w:t> </w:t>
      </w:r>
      <w:r>
        <w:rPr>
          <w:b/>
          <w:color w:val="231F20"/>
          <w:sz w:val="20"/>
        </w:rPr>
        <w:t>Control</w:t>
      </w:r>
      <w:r>
        <w:rPr>
          <w:b/>
          <w:color w:val="231F20"/>
          <w:spacing w:val="-5"/>
          <w:sz w:val="20"/>
        </w:rPr>
        <w:t> </w:t>
      </w:r>
      <w:r>
        <w:rPr>
          <w:b/>
          <w:color w:val="231F20"/>
          <w:sz w:val="20"/>
        </w:rPr>
        <w:t>Over</w:t>
      </w:r>
      <w:r>
        <w:rPr>
          <w:b/>
          <w:color w:val="231F20"/>
          <w:spacing w:val="-5"/>
          <w:sz w:val="20"/>
        </w:rPr>
        <w:t> </w:t>
      </w:r>
      <w:r>
        <w:rPr>
          <w:b/>
          <w:color w:val="231F20"/>
          <w:sz w:val="20"/>
        </w:rPr>
        <w:t>Financial Reporting and on Compliance and Other Matters Based on an Audit of Financial Statements Performed in Accordance with</w:t>
      </w:r>
    </w:p>
    <w:p>
      <w:pPr>
        <w:tabs>
          <w:tab w:pos="10800" w:val="right" w:leader="none"/>
        </w:tabs>
        <w:spacing w:line="230" w:lineRule="exact" w:before="0"/>
        <w:ind w:left="1727" w:right="0" w:firstLine="0"/>
        <w:jc w:val="left"/>
        <w:rPr>
          <w:sz w:val="20"/>
        </w:rPr>
      </w:pPr>
      <w:r>
        <w:rPr>
          <w:b/>
          <w:i/>
          <w:color w:val="231F20"/>
          <w:sz w:val="20"/>
        </w:rPr>
        <w:t>Government</w:t>
      </w:r>
      <w:r>
        <w:rPr>
          <w:b/>
          <w:i/>
          <w:color w:val="231F20"/>
          <w:spacing w:val="-10"/>
          <w:sz w:val="20"/>
        </w:rPr>
        <w:t> </w:t>
      </w:r>
      <w:r>
        <w:rPr>
          <w:b/>
          <w:i/>
          <w:color w:val="231F20"/>
          <w:sz w:val="20"/>
        </w:rPr>
        <w:t>Auditing</w:t>
      </w:r>
      <w:r>
        <w:rPr>
          <w:b/>
          <w:i/>
          <w:color w:val="231F20"/>
          <w:spacing w:val="-9"/>
          <w:sz w:val="20"/>
        </w:rPr>
        <w:t> </w:t>
      </w:r>
      <w:r>
        <w:rPr>
          <w:b/>
          <w:i/>
          <w:color w:val="231F20"/>
          <w:spacing w:val="-2"/>
          <w:sz w:val="20"/>
        </w:rPr>
        <w:t>Standards</w:t>
      </w:r>
      <w:r>
        <w:rPr>
          <w:b/>
          <w:i/>
          <w:color w:val="231F20"/>
          <w:sz w:val="20"/>
        </w:rPr>
        <w:tab/>
      </w:r>
      <w:r>
        <w:rPr>
          <w:color w:val="231F20"/>
          <w:spacing w:val="-2"/>
          <w:sz w:val="20"/>
        </w:rPr>
        <w:t>100–101</w:t>
      </w:r>
    </w:p>
    <w:p>
      <w:pPr>
        <w:pStyle w:val="Heading4"/>
        <w:spacing w:line="276" w:lineRule="auto" w:before="274"/>
        <w:ind w:left="1728" w:right="4284" w:hanging="289"/>
      </w:pPr>
      <w:r>
        <w:rPr>
          <w:color w:val="231F20"/>
        </w:rPr>
        <w:t>Report of Independent Auditors on Compliance for Each</w:t>
      </w:r>
      <w:r>
        <w:rPr>
          <w:color w:val="231F20"/>
          <w:spacing w:val="40"/>
        </w:rPr>
        <w:t> </w:t>
      </w:r>
      <w:r>
        <w:rPr>
          <w:color w:val="231F20"/>
        </w:rPr>
        <w:t>Major</w:t>
      </w:r>
      <w:r>
        <w:rPr>
          <w:color w:val="231F20"/>
          <w:spacing w:val="-5"/>
        </w:rPr>
        <w:t> </w:t>
      </w:r>
      <w:r>
        <w:rPr>
          <w:color w:val="231F20"/>
        </w:rPr>
        <w:t>Federal</w:t>
      </w:r>
      <w:r>
        <w:rPr>
          <w:color w:val="231F20"/>
          <w:spacing w:val="-5"/>
        </w:rPr>
        <w:t> </w:t>
      </w:r>
      <w:r>
        <w:rPr>
          <w:color w:val="231F20"/>
        </w:rPr>
        <w:t>Program</w:t>
      </w:r>
      <w:r>
        <w:rPr>
          <w:color w:val="231F20"/>
          <w:spacing w:val="-5"/>
        </w:rPr>
        <w:t> </w:t>
      </w:r>
      <w:r>
        <w:rPr>
          <w:color w:val="231F20"/>
        </w:rPr>
        <w:t>and</w:t>
      </w:r>
      <w:r>
        <w:rPr>
          <w:color w:val="231F20"/>
          <w:spacing w:val="-5"/>
        </w:rPr>
        <w:t> </w:t>
      </w:r>
      <w:r>
        <w:rPr>
          <w:color w:val="231F20"/>
        </w:rPr>
        <w:t>Report</w:t>
      </w:r>
      <w:r>
        <w:rPr>
          <w:color w:val="231F20"/>
          <w:spacing w:val="-5"/>
        </w:rPr>
        <w:t> </w:t>
      </w:r>
      <w:r>
        <w:rPr>
          <w:color w:val="231F20"/>
        </w:rPr>
        <w:t>on</w:t>
      </w:r>
      <w:r>
        <w:rPr>
          <w:color w:val="231F20"/>
          <w:spacing w:val="-5"/>
        </w:rPr>
        <w:t> </w:t>
      </w:r>
      <w:r>
        <w:rPr>
          <w:color w:val="231F20"/>
        </w:rPr>
        <w:t>Internal</w:t>
      </w:r>
      <w:r>
        <w:rPr>
          <w:color w:val="231F20"/>
          <w:spacing w:val="-5"/>
        </w:rPr>
        <w:t> </w:t>
      </w:r>
      <w:r>
        <w:rPr>
          <w:color w:val="231F20"/>
        </w:rPr>
        <w:t>Control</w:t>
      </w:r>
      <w:r>
        <w:rPr>
          <w:color w:val="231F20"/>
          <w:spacing w:val="-5"/>
        </w:rPr>
        <w:t> </w:t>
      </w:r>
      <w:r>
        <w:rPr>
          <w:color w:val="231F20"/>
        </w:rPr>
        <w:t>Over</w:t>
      </w:r>
    </w:p>
    <w:p>
      <w:pPr>
        <w:pStyle w:val="Heading4"/>
        <w:tabs>
          <w:tab w:pos="10800" w:val="right" w:leader="none"/>
        </w:tabs>
        <w:spacing w:before="1"/>
        <w:ind w:left="1728"/>
        <w:rPr>
          <w:b w:val="0"/>
        </w:rPr>
      </w:pPr>
      <w:r>
        <w:rPr>
          <w:color w:val="231F20"/>
        </w:rPr>
        <w:t>Compliance</w:t>
      </w:r>
      <w:r>
        <w:rPr>
          <w:color w:val="231F20"/>
          <w:spacing w:val="-4"/>
        </w:rPr>
        <w:t> </w:t>
      </w:r>
      <w:r>
        <w:rPr>
          <w:color w:val="231F20"/>
        </w:rPr>
        <w:t>Required</w:t>
      </w:r>
      <w:r>
        <w:rPr>
          <w:color w:val="231F20"/>
          <w:spacing w:val="-2"/>
        </w:rPr>
        <w:t> </w:t>
      </w:r>
      <w:r>
        <w:rPr>
          <w:color w:val="231F20"/>
        </w:rPr>
        <w:t>by</w:t>
      </w:r>
      <w:r>
        <w:rPr>
          <w:color w:val="231F20"/>
          <w:spacing w:val="-3"/>
        </w:rPr>
        <w:t> </w:t>
      </w:r>
      <w:r>
        <w:rPr>
          <w:color w:val="231F20"/>
        </w:rPr>
        <w:t>the</w:t>
      </w:r>
      <w:r>
        <w:rPr>
          <w:color w:val="231F20"/>
          <w:spacing w:val="-2"/>
        </w:rPr>
        <w:t> </w:t>
      </w:r>
      <w:r>
        <w:rPr>
          <w:color w:val="231F20"/>
        </w:rPr>
        <w:t>Uniform</w:t>
      </w:r>
      <w:r>
        <w:rPr>
          <w:color w:val="231F20"/>
          <w:spacing w:val="-3"/>
        </w:rPr>
        <w:t> </w:t>
      </w:r>
      <w:r>
        <w:rPr>
          <w:color w:val="231F20"/>
          <w:spacing w:val="-2"/>
        </w:rPr>
        <w:t>Guidance</w:t>
      </w:r>
      <w:r>
        <w:rPr>
          <w:color w:val="231F20"/>
        </w:rPr>
        <w:tab/>
      </w:r>
      <w:r>
        <w:rPr>
          <w:b w:val="0"/>
          <w:color w:val="231F20"/>
          <w:spacing w:val="-2"/>
        </w:rPr>
        <w:t>102–104</w:t>
      </w:r>
    </w:p>
    <w:p>
      <w:pPr>
        <w:pStyle w:val="Heading4"/>
        <w:tabs>
          <w:tab w:pos="10800" w:val="right" w:leader="none"/>
        </w:tabs>
        <w:spacing w:before="275"/>
        <w:ind w:left="1439"/>
        <w:rPr>
          <w:b w:val="0"/>
        </w:rPr>
      </w:pPr>
      <w:r>
        <w:rPr>
          <w:color w:val="231F20"/>
        </w:rPr>
        <w:t>Schedule</w:t>
      </w:r>
      <w:r>
        <w:rPr>
          <w:color w:val="231F20"/>
          <w:spacing w:val="-5"/>
        </w:rPr>
        <w:t> </w:t>
      </w:r>
      <w:r>
        <w:rPr>
          <w:color w:val="231F20"/>
        </w:rPr>
        <w:t>of</w:t>
      </w:r>
      <w:r>
        <w:rPr>
          <w:color w:val="231F20"/>
          <w:spacing w:val="-4"/>
        </w:rPr>
        <w:t> </w:t>
      </w:r>
      <w:r>
        <w:rPr>
          <w:color w:val="231F20"/>
        </w:rPr>
        <w:t>Findings</w:t>
      </w:r>
      <w:r>
        <w:rPr>
          <w:color w:val="231F20"/>
          <w:spacing w:val="-4"/>
        </w:rPr>
        <w:t> </w:t>
      </w:r>
      <w:r>
        <w:rPr>
          <w:color w:val="231F20"/>
        </w:rPr>
        <w:t>and</w:t>
      </w:r>
      <w:r>
        <w:rPr>
          <w:color w:val="231F20"/>
          <w:spacing w:val="-4"/>
        </w:rPr>
        <w:t> </w:t>
      </w:r>
      <w:r>
        <w:rPr>
          <w:color w:val="231F20"/>
        </w:rPr>
        <w:t>Questioned</w:t>
      </w:r>
      <w:r>
        <w:rPr>
          <w:color w:val="231F20"/>
          <w:spacing w:val="-4"/>
        </w:rPr>
        <w:t> Costs</w:t>
      </w:r>
      <w:r>
        <w:rPr>
          <w:color w:val="231F20"/>
        </w:rPr>
        <w:tab/>
      </w:r>
      <w:r>
        <w:rPr>
          <w:b w:val="0"/>
          <w:color w:val="231F20"/>
          <w:spacing w:val="-2"/>
        </w:rPr>
        <w:t>105–114</w:t>
      </w:r>
    </w:p>
    <w:p>
      <w:pPr>
        <w:pStyle w:val="Heading4"/>
        <w:tabs>
          <w:tab w:pos="10607" w:val="right" w:leader="none"/>
        </w:tabs>
        <w:spacing w:before="274"/>
        <w:ind w:left="1439"/>
        <w:rPr>
          <w:b w:val="0"/>
        </w:rPr>
      </w:pPr>
      <w:r>
        <w:rPr>
          <w:color w:val="231F20"/>
        </w:rPr>
        <w:t>Summary</w:t>
      </w:r>
      <w:r>
        <w:rPr>
          <w:color w:val="231F20"/>
          <w:spacing w:val="-5"/>
        </w:rPr>
        <w:t> </w:t>
      </w:r>
      <w:r>
        <w:rPr>
          <w:color w:val="231F20"/>
        </w:rPr>
        <w:t>Schedule</w:t>
      </w:r>
      <w:r>
        <w:rPr>
          <w:color w:val="231F20"/>
          <w:spacing w:val="-4"/>
        </w:rPr>
        <w:t> </w:t>
      </w:r>
      <w:r>
        <w:rPr>
          <w:color w:val="231F20"/>
        </w:rPr>
        <w:t>of</w:t>
      </w:r>
      <w:r>
        <w:rPr>
          <w:color w:val="231F20"/>
          <w:spacing w:val="-5"/>
        </w:rPr>
        <w:t> </w:t>
      </w:r>
      <w:r>
        <w:rPr>
          <w:color w:val="231F20"/>
        </w:rPr>
        <w:t>Prior</w:t>
      </w:r>
      <w:r>
        <w:rPr>
          <w:color w:val="231F20"/>
          <w:spacing w:val="-4"/>
        </w:rPr>
        <w:t> </w:t>
      </w:r>
      <w:r>
        <w:rPr>
          <w:color w:val="231F20"/>
        </w:rPr>
        <w:t>Audit</w:t>
      </w:r>
      <w:r>
        <w:rPr>
          <w:color w:val="231F20"/>
          <w:spacing w:val="-4"/>
        </w:rPr>
        <w:t> </w:t>
      </w:r>
      <w:r>
        <w:rPr>
          <w:color w:val="231F20"/>
          <w:spacing w:val="-2"/>
        </w:rPr>
        <w:t>Findings</w:t>
      </w:r>
      <w:r>
        <w:rPr>
          <w:color w:val="231F20"/>
        </w:rPr>
        <w:tab/>
      </w:r>
      <w:r>
        <w:rPr>
          <w:b w:val="0"/>
          <w:color w:val="231F20"/>
          <w:spacing w:val="-5"/>
        </w:rPr>
        <w:t>115</w:t>
      </w:r>
    </w:p>
    <w:p>
      <w:pPr>
        <w:tabs>
          <w:tab w:pos="10800" w:val="right" w:leader="none"/>
        </w:tabs>
        <w:spacing w:before="274"/>
        <w:ind w:left="1439" w:right="0" w:firstLine="0"/>
        <w:jc w:val="left"/>
        <w:rPr>
          <w:sz w:val="20"/>
        </w:rPr>
      </w:pPr>
      <w:r>
        <w:rPr>
          <w:b/>
          <w:color w:val="231F20"/>
          <w:sz w:val="20"/>
        </w:rPr>
        <w:t>Corrective</w:t>
      </w:r>
      <w:r>
        <w:rPr>
          <w:b/>
          <w:color w:val="231F20"/>
          <w:spacing w:val="-9"/>
          <w:sz w:val="20"/>
        </w:rPr>
        <w:t> </w:t>
      </w:r>
      <w:r>
        <w:rPr>
          <w:b/>
          <w:color w:val="231F20"/>
          <w:sz w:val="20"/>
        </w:rPr>
        <w:t>Action</w:t>
      </w:r>
      <w:r>
        <w:rPr>
          <w:b/>
          <w:color w:val="231F20"/>
          <w:spacing w:val="-9"/>
          <w:sz w:val="20"/>
        </w:rPr>
        <w:t> </w:t>
      </w:r>
      <w:r>
        <w:rPr>
          <w:b/>
          <w:color w:val="231F20"/>
          <w:spacing w:val="-4"/>
          <w:sz w:val="20"/>
        </w:rPr>
        <w:t>Plan</w:t>
      </w:r>
      <w:r>
        <w:rPr>
          <w:b/>
          <w:color w:val="231F20"/>
          <w:sz w:val="20"/>
        </w:rPr>
        <w:tab/>
      </w:r>
      <w:r>
        <w:rPr>
          <w:color w:val="231F20"/>
          <w:spacing w:val="-2"/>
          <w:sz w:val="20"/>
        </w:rPr>
        <w:t>116–117</w:t>
      </w:r>
    </w:p>
    <w:p>
      <w:pPr>
        <w:pStyle w:val="Heading4"/>
        <w:tabs>
          <w:tab w:pos="10607" w:val="right" w:leader="none"/>
        </w:tabs>
        <w:spacing w:before="275"/>
        <w:ind w:left="1439"/>
        <w:rPr>
          <w:b w:val="0"/>
        </w:rPr>
      </w:pPr>
      <w:r>
        <w:rPr>
          <w:color w:val="231F20"/>
        </w:rPr>
        <w:t>Exit</w:t>
      </w:r>
      <w:r>
        <w:rPr>
          <w:color w:val="231F20"/>
          <w:spacing w:val="-6"/>
        </w:rPr>
        <w:t> </w:t>
      </w:r>
      <w:r>
        <w:rPr>
          <w:color w:val="231F20"/>
          <w:spacing w:val="-2"/>
        </w:rPr>
        <w:t>Conference</w:t>
      </w:r>
      <w:r>
        <w:rPr>
          <w:color w:val="231F20"/>
        </w:rPr>
        <w:tab/>
      </w:r>
      <w:r>
        <w:rPr>
          <w:b w:val="0"/>
          <w:color w:val="231F20"/>
          <w:spacing w:val="-5"/>
        </w:rPr>
        <w:t>118</w:t>
      </w:r>
    </w:p>
    <w:p>
      <w:pPr>
        <w:spacing w:after="0"/>
        <w:sectPr>
          <w:pgSz w:w="12240" w:h="15840"/>
          <w:pgMar w:top="1820" w:bottom="280" w:left="0" w:right="580"/>
        </w:sectPr>
      </w:pPr>
    </w:p>
    <w:p>
      <w:pPr>
        <w:pStyle w:val="Heading2"/>
        <w:spacing w:line="322" w:lineRule="exact" w:before="67"/>
        <w:ind w:left="580"/>
        <w:jc w:val="center"/>
      </w:pPr>
      <w:r>
        <w:rPr>
          <w:color w:val="231F20"/>
        </w:rPr>
        <w:t>New</w:t>
      </w:r>
      <w:r>
        <w:rPr>
          <w:color w:val="231F20"/>
          <w:spacing w:val="-8"/>
        </w:rPr>
        <w:t> </w:t>
      </w:r>
      <w:r>
        <w:rPr>
          <w:color w:val="231F20"/>
        </w:rPr>
        <w:t>Mexico</w:t>
      </w:r>
      <w:r>
        <w:rPr>
          <w:color w:val="231F20"/>
          <w:spacing w:val="-7"/>
        </w:rPr>
        <w:t> </w:t>
      </w:r>
      <w:r>
        <w:rPr>
          <w:color w:val="231F20"/>
        </w:rPr>
        <w:t>Institute</w:t>
      </w:r>
      <w:r>
        <w:rPr>
          <w:color w:val="231F20"/>
          <w:spacing w:val="-8"/>
        </w:rPr>
        <w:t> </w:t>
      </w:r>
      <w:r>
        <w:rPr>
          <w:color w:val="231F20"/>
        </w:rPr>
        <w:t>of</w:t>
      </w:r>
      <w:r>
        <w:rPr>
          <w:color w:val="231F20"/>
          <w:spacing w:val="-7"/>
        </w:rPr>
        <w:t> </w:t>
      </w:r>
      <w:r>
        <w:rPr>
          <w:color w:val="231F20"/>
        </w:rPr>
        <w:t>Mining</w:t>
      </w:r>
      <w:r>
        <w:rPr>
          <w:color w:val="231F20"/>
          <w:spacing w:val="-8"/>
        </w:rPr>
        <w:t> </w:t>
      </w:r>
      <w:r>
        <w:rPr>
          <w:color w:val="231F20"/>
        </w:rPr>
        <w:t>and</w:t>
      </w:r>
      <w:r>
        <w:rPr>
          <w:color w:val="231F20"/>
          <w:spacing w:val="-7"/>
        </w:rPr>
        <w:t> </w:t>
      </w:r>
      <w:r>
        <w:rPr>
          <w:color w:val="231F20"/>
          <w:spacing w:val="-2"/>
        </w:rPr>
        <w:t>Technology</w:t>
      </w:r>
    </w:p>
    <w:p>
      <w:pPr>
        <w:pStyle w:val="Heading3"/>
        <w:spacing w:before="0"/>
        <w:ind w:left="5299" w:right="4717"/>
      </w:pPr>
      <w:r>
        <w:rPr/>
        <w:pict>
          <v:rect style="position:absolute;margin-left:70.5pt;margin-top:28.535664pt;width:471.001pt;height:1.5pt;mso-position-horizontal-relative:page;mso-position-vertical-relative:paragraph;z-index:-15723008;mso-wrap-distance-left:0;mso-wrap-distance-right:0" id="docshape16" filled="true" fillcolor="#231f20" stroked="false">
            <v:fill type="solid"/>
            <w10:wrap type="topAndBottom"/>
          </v:rect>
        </w:pict>
      </w:r>
      <w:r>
        <w:rPr>
          <w:color w:val="231F20"/>
        </w:rPr>
        <w:t>Official</w:t>
      </w:r>
      <w:r>
        <w:rPr>
          <w:color w:val="231F20"/>
          <w:spacing w:val="-17"/>
        </w:rPr>
        <w:t> </w:t>
      </w:r>
      <w:r>
        <w:rPr>
          <w:color w:val="231F20"/>
        </w:rPr>
        <w:t>Roster June 30, 2022</w:t>
      </w:r>
    </w:p>
    <w:p>
      <w:pPr>
        <w:pStyle w:val="BodyText"/>
        <w:rPr>
          <w:b/>
          <w:sz w:val="26"/>
        </w:rPr>
      </w:pPr>
    </w:p>
    <w:p>
      <w:pPr>
        <w:spacing w:before="230"/>
        <w:ind w:left="579" w:right="0" w:firstLine="0"/>
        <w:jc w:val="center"/>
        <w:rPr>
          <w:b/>
          <w:sz w:val="24"/>
        </w:rPr>
      </w:pPr>
      <w:r>
        <w:rPr>
          <w:b/>
          <w:color w:val="231F20"/>
          <w:sz w:val="24"/>
        </w:rPr>
        <w:t>Board</w:t>
      </w:r>
      <w:r>
        <w:rPr>
          <w:b/>
          <w:color w:val="231F20"/>
          <w:spacing w:val="-2"/>
          <w:sz w:val="24"/>
        </w:rPr>
        <w:t> </w:t>
      </w:r>
      <w:r>
        <w:rPr>
          <w:b/>
          <w:color w:val="231F20"/>
          <w:sz w:val="24"/>
        </w:rPr>
        <w:t>of</w:t>
      </w:r>
      <w:r>
        <w:rPr>
          <w:b/>
          <w:color w:val="231F20"/>
          <w:spacing w:val="-2"/>
          <w:sz w:val="24"/>
        </w:rPr>
        <w:t> Regents</w:t>
      </w:r>
    </w:p>
    <w:p>
      <w:pPr>
        <w:pStyle w:val="BodyText"/>
        <w:spacing w:before="6"/>
        <w:rPr>
          <w:b/>
          <w:sz w:val="26"/>
        </w:rPr>
      </w:pPr>
    </w:p>
    <w:p>
      <w:pPr>
        <w:pStyle w:val="Heading4"/>
        <w:spacing w:before="1"/>
        <w:ind w:left="580"/>
        <w:jc w:val="center"/>
      </w:pPr>
      <w:r>
        <w:rPr>
          <w:color w:val="231F20"/>
        </w:rPr>
        <w:t>Ex-Officio</w:t>
      </w:r>
      <w:r>
        <w:rPr>
          <w:color w:val="231F20"/>
          <w:spacing w:val="-3"/>
        </w:rPr>
        <w:t> </w:t>
      </w:r>
      <w:r>
        <w:rPr>
          <w:color w:val="231F20"/>
          <w:spacing w:val="-2"/>
        </w:rPr>
        <w:t>Members</w:t>
      </w:r>
    </w:p>
    <w:p>
      <w:pPr>
        <w:pStyle w:val="BodyText"/>
        <w:rPr>
          <w:b/>
          <w:sz w:val="26"/>
        </w:rPr>
      </w:pPr>
    </w:p>
    <w:p>
      <w:pPr>
        <w:pStyle w:val="BodyText"/>
        <w:tabs>
          <w:tab w:pos="5935" w:val="left" w:leader="none"/>
        </w:tabs>
        <w:ind w:left="1799"/>
      </w:pPr>
      <w:r>
        <w:rPr>
          <w:color w:val="231F20"/>
        </w:rPr>
        <w:t>The</w:t>
      </w:r>
      <w:r>
        <w:rPr>
          <w:color w:val="231F20"/>
          <w:spacing w:val="-5"/>
        </w:rPr>
        <w:t> </w:t>
      </w:r>
      <w:r>
        <w:rPr>
          <w:color w:val="231F20"/>
        </w:rPr>
        <w:t>Honorable</w:t>
      </w:r>
      <w:r>
        <w:rPr>
          <w:color w:val="231F20"/>
          <w:spacing w:val="-5"/>
        </w:rPr>
        <w:t> </w:t>
      </w:r>
      <w:r>
        <w:rPr>
          <w:color w:val="231F20"/>
        </w:rPr>
        <w:t>Michelle</w:t>
      </w:r>
      <w:r>
        <w:rPr>
          <w:color w:val="231F20"/>
          <w:spacing w:val="-5"/>
        </w:rPr>
        <w:t> </w:t>
      </w:r>
      <w:r>
        <w:rPr>
          <w:color w:val="231F20"/>
        </w:rPr>
        <w:t>Lujan</w:t>
      </w:r>
      <w:r>
        <w:rPr>
          <w:color w:val="231F20"/>
          <w:spacing w:val="-4"/>
        </w:rPr>
        <w:t> </w:t>
      </w:r>
      <w:r>
        <w:rPr>
          <w:color w:val="231F20"/>
          <w:spacing w:val="-2"/>
        </w:rPr>
        <w:t>Grisham</w:t>
      </w:r>
      <w:r>
        <w:rPr>
          <w:color w:val="231F20"/>
        </w:rPr>
        <w:tab/>
        <w:t>Governor</w:t>
      </w:r>
      <w:r>
        <w:rPr>
          <w:color w:val="231F20"/>
          <w:spacing w:val="-5"/>
        </w:rPr>
        <w:t> </w:t>
      </w:r>
      <w:r>
        <w:rPr>
          <w:color w:val="231F20"/>
        </w:rPr>
        <w:t>of</w:t>
      </w:r>
      <w:r>
        <w:rPr>
          <w:color w:val="231F20"/>
          <w:spacing w:val="-2"/>
        </w:rPr>
        <w:t> </w:t>
      </w:r>
      <w:r>
        <w:rPr>
          <w:color w:val="231F20"/>
        </w:rPr>
        <w:t>the</w:t>
      </w:r>
      <w:r>
        <w:rPr>
          <w:color w:val="231F20"/>
          <w:spacing w:val="-2"/>
        </w:rPr>
        <w:t> </w:t>
      </w:r>
      <w:r>
        <w:rPr>
          <w:color w:val="231F20"/>
        </w:rPr>
        <w:t>State</w:t>
      </w:r>
      <w:r>
        <w:rPr>
          <w:color w:val="231F20"/>
          <w:spacing w:val="-2"/>
        </w:rPr>
        <w:t> </w:t>
      </w:r>
      <w:r>
        <w:rPr>
          <w:color w:val="231F20"/>
        </w:rPr>
        <w:t>of</w:t>
      </w:r>
      <w:r>
        <w:rPr>
          <w:color w:val="231F20"/>
          <w:spacing w:val="-2"/>
        </w:rPr>
        <w:t> </w:t>
      </w:r>
      <w:r>
        <w:rPr>
          <w:color w:val="231F20"/>
        </w:rPr>
        <w:t>New</w:t>
      </w:r>
      <w:r>
        <w:rPr>
          <w:color w:val="231F20"/>
          <w:spacing w:val="-2"/>
        </w:rPr>
        <w:t> Mexico</w:t>
      </w:r>
    </w:p>
    <w:p>
      <w:pPr>
        <w:pStyle w:val="BodyText"/>
        <w:tabs>
          <w:tab w:pos="5938" w:val="left" w:leader="none"/>
        </w:tabs>
        <w:spacing w:before="35"/>
        <w:ind w:left="1799"/>
      </w:pPr>
      <w:r>
        <w:rPr>
          <w:color w:val="231F20"/>
        </w:rPr>
        <w:t>Stephanie</w:t>
      </w:r>
      <w:r>
        <w:rPr>
          <w:color w:val="231F20"/>
          <w:spacing w:val="-10"/>
        </w:rPr>
        <w:t> </w:t>
      </w:r>
      <w:r>
        <w:rPr>
          <w:color w:val="231F20"/>
          <w:spacing w:val="-2"/>
        </w:rPr>
        <w:t>Rodriguez</w:t>
      </w:r>
      <w:r>
        <w:rPr>
          <w:color w:val="231F20"/>
        </w:rPr>
        <w:tab/>
        <w:t>Cabinet</w:t>
      </w:r>
      <w:r>
        <w:rPr>
          <w:color w:val="231F20"/>
          <w:spacing w:val="-11"/>
        </w:rPr>
        <w:t> </w:t>
      </w:r>
      <w:r>
        <w:rPr>
          <w:color w:val="231F20"/>
        </w:rPr>
        <w:t>Secretary,</w:t>
      </w:r>
      <w:r>
        <w:rPr>
          <w:color w:val="231F20"/>
          <w:spacing w:val="-8"/>
        </w:rPr>
        <w:t> </w:t>
      </w:r>
      <w:r>
        <w:rPr>
          <w:color w:val="231F20"/>
        </w:rPr>
        <w:t>Higher</w:t>
      </w:r>
      <w:r>
        <w:rPr>
          <w:color w:val="231F20"/>
          <w:spacing w:val="-9"/>
        </w:rPr>
        <w:t> </w:t>
      </w:r>
      <w:r>
        <w:rPr>
          <w:color w:val="231F20"/>
        </w:rPr>
        <w:t>Education</w:t>
      </w:r>
      <w:r>
        <w:rPr>
          <w:color w:val="231F20"/>
          <w:spacing w:val="-8"/>
        </w:rPr>
        <w:t> </w:t>
      </w:r>
      <w:r>
        <w:rPr>
          <w:color w:val="231F20"/>
          <w:spacing w:val="-2"/>
        </w:rPr>
        <w:t>Department</w:t>
      </w:r>
    </w:p>
    <w:p>
      <w:pPr>
        <w:pStyle w:val="BodyText"/>
        <w:spacing w:before="10"/>
        <w:rPr>
          <w:sz w:val="25"/>
        </w:rPr>
      </w:pPr>
    </w:p>
    <w:p>
      <w:pPr>
        <w:pStyle w:val="Heading4"/>
        <w:spacing w:before="1"/>
        <w:ind w:left="580"/>
        <w:jc w:val="center"/>
      </w:pPr>
      <w:r>
        <w:rPr>
          <w:color w:val="231F20"/>
        </w:rPr>
        <w:t>Appointed</w:t>
      </w:r>
      <w:r>
        <w:rPr>
          <w:color w:val="231F20"/>
          <w:spacing w:val="-3"/>
        </w:rPr>
        <w:t> </w:t>
      </w:r>
      <w:r>
        <w:rPr>
          <w:color w:val="231F20"/>
          <w:spacing w:val="-2"/>
        </w:rPr>
        <w:t>Members</w:t>
      </w:r>
    </w:p>
    <w:p>
      <w:pPr>
        <w:pStyle w:val="BodyText"/>
        <w:rPr>
          <w:b/>
          <w:sz w:val="26"/>
        </w:rPr>
      </w:pPr>
    </w:p>
    <w:p>
      <w:pPr>
        <w:pStyle w:val="BodyText"/>
        <w:tabs>
          <w:tab w:pos="5939" w:val="left" w:leader="none"/>
        </w:tabs>
        <w:ind w:left="1799"/>
      </w:pPr>
      <w:r>
        <w:rPr>
          <w:color w:val="231F20"/>
        </w:rPr>
        <w:t>Deborah</w:t>
      </w:r>
      <w:r>
        <w:rPr>
          <w:color w:val="231F20"/>
          <w:spacing w:val="-5"/>
        </w:rPr>
        <w:t> </w:t>
      </w:r>
      <w:r>
        <w:rPr>
          <w:color w:val="231F20"/>
          <w:spacing w:val="-2"/>
        </w:rPr>
        <w:t>Peacock</w:t>
      </w:r>
      <w:r>
        <w:rPr>
          <w:color w:val="231F20"/>
        </w:rPr>
        <w:tab/>
      </w:r>
      <w:r>
        <w:rPr>
          <w:color w:val="231F20"/>
          <w:spacing w:val="-2"/>
        </w:rPr>
        <w:t>President</w:t>
      </w:r>
    </w:p>
    <w:p>
      <w:pPr>
        <w:pStyle w:val="BodyText"/>
        <w:tabs>
          <w:tab w:pos="5940" w:val="left" w:leader="none"/>
        </w:tabs>
        <w:spacing w:before="35"/>
        <w:ind w:left="1799"/>
      </w:pPr>
      <w:r>
        <w:rPr>
          <w:color w:val="231F20"/>
        </w:rPr>
        <w:t>Jerry</w:t>
      </w:r>
      <w:r>
        <w:rPr>
          <w:color w:val="231F20"/>
          <w:spacing w:val="-4"/>
        </w:rPr>
        <w:t> </w:t>
      </w:r>
      <w:r>
        <w:rPr>
          <w:color w:val="231F20"/>
        </w:rPr>
        <w:t>A.</w:t>
      </w:r>
      <w:r>
        <w:rPr>
          <w:color w:val="231F20"/>
          <w:spacing w:val="-3"/>
        </w:rPr>
        <w:t> </w:t>
      </w:r>
      <w:r>
        <w:rPr>
          <w:color w:val="231F20"/>
          <w:spacing w:val="-2"/>
        </w:rPr>
        <w:t>Armijo</w:t>
      </w:r>
      <w:r>
        <w:rPr>
          <w:color w:val="231F20"/>
        </w:rPr>
        <w:tab/>
      </w:r>
      <w:r>
        <w:rPr>
          <w:color w:val="231F20"/>
          <w:spacing w:val="-2"/>
        </w:rPr>
        <w:t>Secretary-Treasurer</w:t>
      </w:r>
    </w:p>
    <w:p>
      <w:pPr>
        <w:pStyle w:val="BodyText"/>
        <w:tabs>
          <w:tab w:pos="5939" w:val="left" w:leader="none"/>
        </w:tabs>
        <w:spacing w:before="34"/>
        <w:ind w:left="1799"/>
      </w:pPr>
      <w:r>
        <w:rPr>
          <w:color w:val="231F20"/>
        </w:rPr>
        <w:t>Dr.</w:t>
      </w:r>
      <w:r>
        <w:rPr>
          <w:color w:val="231F20"/>
          <w:spacing w:val="-4"/>
        </w:rPr>
        <w:t> </w:t>
      </w:r>
      <w:r>
        <w:rPr>
          <w:color w:val="231F20"/>
        </w:rPr>
        <w:t>Yolanda</w:t>
      </w:r>
      <w:r>
        <w:rPr>
          <w:color w:val="231F20"/>
          <w:spacing w:val="-3"/>
        </w:rPr>
        <w:t> </w:t>
      </w:r>
      <w:r>
        <w:rPr>
          <w:color w:val="231F20"/>
        </w:rPr>
        <w:t>Jones</w:t>
      </w:r>
      <w:r>
        <w:rPr>
          <w:color w:val="231F20"/>
          <w:spacing w:val="-3"/>
        </w:rPr>
        <w:t> </w:t>
      </w:r>
      <w:r>
        <w:rPr>
          <w:color w:val="231F20"/>
          <w:spacing w:val="-4"/>
        </w:rPr>
        <w:t>King</w:t>
      </w:r>
      <w:r>
        <w:rPr>
          <w:color w:val="231F20"/>
        </w:rPr>
        <w:tab/>
      </w:r>
      <w:r>
        <w:rPr>
          <w:color w:val="231F20"/>
          <w:spacing w:val="-2"/>
        </w:rPr>
        <w:t>Member</w:t>
      </w:r>
    </w:p>
    <w:p>
      <w:pPr>
        <w:pStyle w:val="BodyText"/>
        <w:tabs>
          <w:tab w:pos="5939" w:val="left" w:leader="none"/>
        </w:tabs>
        <w:spacing w:before="34"/>
        <w:ind w:left="1799"/>
      </w:pPr>
      <w:r>
        <w:rPr>
          <w:color w:val="231F20"/>
        </w:rPr>
        <w:t>Dr.</w:t>
      </w:r>
      <w:r>
        <w:rPr>
          <w:color w:val="231F20"/>
          <w:spacing w:val="-4"/>
        </w:rPr>
        <w:t> </w:t>
      </w:r>
      <w:r>
        <w:rPr>
          <w:color w:val="231F20"/>
        </w:rPr>
        <w:t>David</w:t>
      </w:r>
      <w:r>
        <w:rPr>
          <w:color w:val="231F20"/>
          <w:spacing w:val="-3"/>
        </w:rPr>
        <w:t> </w:t>
      </w:r>
      <w:r>
        <w:rPr>
          <w:color w:val="231F20"/>
        </w:rPr>
        <w:t>Lepre,</w:t>
      </w:r>
      <w:r>
        <w:rPr>
          <w:color w:val="231F20"/>
          <w:spacing w:val="-3"/>
        </w:rPr>
        <w:t> </w:t>
      </w:r>
      <w:r>
        <w:rPr>
          <w:color w:val="231F20"/>
          <w:spacing w:val="-5"/>
        </w:rPr>
        <w:t>Sr.</w:t>
      </w:r>
      <w:r>
        <w:rPr>
          <w:color w:val="231F20"/>
        </w:rPr>
        <w:tab/>
      </w:r>
      <w:r>
        <w:rPr>
          <w:color w:val="231F20"/>
          <w:spacing w:val="-2"/>
        </w:rPr>
        <w:t>Member</w:t>
      </w:r>
    </w:p>
    <w:p>
      <w:pPr>
        <w:pStyle w:val="BodyText"/>
        <w:tabs>
          <w:tab w:pos="5938" w:val="left" w:leader="none"/>
        </w:tabs>
        <w:spacing w:before="35"/>
        <w:ind w:left="1799"/>
      </w:pPr>
      <w:r>
        <w:rPr>
          <w:color w:val="231F20"/>
        </w:rPr>
        <w:t>Veronica</w:t>
      </w:r>
      <w:r>
        <w:rPr>
          <w:color w:val="231F20"/>
          <w:spacing w:val="-9"/>
        </w:rPr>
        <w:t> </w:t>
      </w:r>
      <w:r>
        <w:rPr>
          <w:color w:val="231F20"/>
          <w:spacing w:val="-2"/>
        </w:rPr>
        <w:t>Espinoza</w:t>
      </w:r>
      <w:r>
        <w:rPr>
          <w:color w:val="231F20"/>
        </w:rPr>
        <w:tab/>
      </w:r>
      <w:r>
        <w:rPr>
          <w:color w:val="231F20"/>
          <w:spacing w:val="-2"/>
        </w:rPr>
        <w:t>Member</w:t>
      </w:r>
    </w:p>
    <w:p>
      <w:pPr>
        <w:pStyle w:val="BodyText"/>
        <w:spacing w:before="10"/>
        <w:rPr>
          <w:sz w:val="25"/>
        </w:rPr>
      </w:pPr>
    </w:p>
    <w:p>
      <w:pPr>
        <w:pStyle w:val="Heading4"/>
        <w:spacing w:before="1"/>
        <w:ind w:left="580"/>
        <w:jc w:val="center"/>
      </w:pPr>
      <w:r>
        <w:rPr>
          <w:color w:val="231F20"/>
        </w:rPr>
        <w:t>Principal</w:t>
      </w:r>
      <w:r>
        <w:rPr>
          <w:color w:val="231F20"/>
          <w:spacing w:val="-13"/>
        </w:rPr>
        <w:t> </w:t>
      </w:r>
      <w:r>
        <w:rPr>
          <w:color w:val="231F20"/>
        </w:rPr>
        <w:t>Administrative</w:t>
      </w:r>
      <w:r>
        <w:rPr>
          <w:color w:val="231F20"/>
          <w:spacing w:val="-13"/>
        </w:rPr>
        <w:t> </w:t>
      </w:r>
      <w:r>
        <w:rPr>
          <w:color w:val="231F20"/>
          <w:spacing w:val="-2"/>
        </w:rPr>
        <w:t>Officials</w:t>
      </w:r>
    </w:p>
    <w:p>
      <w:pPr>
        <w:pStyle w:val="BodyText"/>
        <w:rPr>
          <w:b/>
          <w:sz w:val="26"/>
        </w:rPr>
      </w:pPr>
    </w:p>
    <w:p>
      <w:pPr>
        <w:pStyle w:val="BodyText"/>
        <w:tabs>
          <w:tab w:pos="5940" w:val="left" w:leader="none"/>
        </w:tabs>
        <w:ind w:left="1799"/>
      </w:pPr>
      <w:r>
        <w:rPr>
          <w:color w:val="231F20"/>
        </w:rPr>
        <w:t>Dr.</w:t>
      </w:r>
      <w:r>
        <w:rPr>
          <w:color w:val="231F20"/>
          <w:spacing w:val="-4"/>
        </w:rPr>
        <w:t> </w:t>
      </w:r>
      <w:r>
        <w:rPr>
          <w:color w:val="231F20"/>
        </w:rPr>
        <w:t>Stephen</w:t>
      </w:r>
      <w:r>
        <w:rPr>
          <w:color w:val="231F20"/>
          <w:spacing w:val="-3"/>
        </w:rPr>
        <w:t> </w:t>
      </w:r>
      <w:r>
        <w:rPr>
          <w:color w:val="231F20"/>
        </w:rPr>
        <w:t>G.</w:t>
      </w:r>
      <w:r>
        <w:rPr>
          <w:color w:val="231F20"/>
          <w:spacing w:val="-3"/>
        </w:rPr>
        <w:t> </w:t>
      </w:r>
      <w:r>
        <w:rPr>
          <w:color w:val="231F20"/>
          <w:spacing w:val="-2"/>
        </w:rPr>
        <w:t>Wells</w:t>
      </w:r>
      <w:r>
        <w:rPr>
          <w:color w:val="231F20"/>
        </w:rPr>
        <w:tab/>
      </w:r>
      <w:r>
        <w:rPr>
          <w:color w:val="231F20"/>
          <w:spacing w:val="-2"/>
        </w:rPr>
        <w:t>President</w:t>
      </w:r>
    </w:p>
    <w:p>
      <w:pPr>
        <w:pStyle w:val="BodyText"/>
        <w:tabs>
          <w:tab w:pos="5938" w:val="left" w:leader="none"/>
        </w:tabs>
        <w:spacing w:before="35"/>
        <w:ind w:left="1799"/>
      </w:pPr>
      <w:r>
        <w:rPr>
          <w:color w:val="231F20"/>
        </w:rPr>
        <w:t>Dr.</w:t>
      </w:r>
      <w:r>
        <w:rPr>
          <w:color w:val="231F20"/>
          <w:spacing w:val="-6"/>
        </w:rPr>
        <w:t> </w:t>
      </w:r>
      <w:r>
        <w:rPr>
          <w:color w:val="231F20"/>
        </w:rPr>
        <w:t>Cleve</w:t>
      </w:r>
      <w:r>
        <w:rPr>
          <w:color w:val="231F20"/>
          <w:spacing w:val="-5"/>
        </w:rPr>
        <w:t> </w:t>
      </w:r>
      <w:r>
        <w:rPr>
          <w:color w:val="231F20"/>
          <w:spacing w:val="-2"/>
        </w:rPr>
        <w:t>McDaniel</w:t>
      </w:r>
      <w:r>
        <w:rPr>
          <w:color w:val="231F20"/>
        </w:rPr>
        <w:tab/>
        <w:t>Vice</w:t>
      </w:r>
      <w:r>
        <w:rPr>
          <w:color w:val="231F20"/>
          <w:spacing w:val="-5"/>
        </w:rPr>
        <w:t> </w:t>
      </w:r>
      <w:r>
        <w:rPr>
          <w:color w:val="231F20"/>
        </w:rPr>
        <w:t>President</w:t>
      </w:r>
      <w:r>
        <w:rPr>
          <w:color w:val="231F20"/>
          <w:spacing w:val="-2"/>
        </w:rPr>
        <w:t> </w:t>
      </w:r>
      <w:r>
        <w:rPr>
          <w:color w:val="231F20"/>
        </w:rPr>
        <w:t>for</w:t>
      </w:r>
      <w:r>
        <w:rPr>
          <w:color w:val="231F20"/>
          <w:spacing w:val="-10"/>
        </w:rPr>
        <w:t> </w:t>
      </w:r>
      <w:r>
        <w:rPr>
          <w:color w:val="231F20"/>
        </w:rPr>
        <w:t>Administration</w:t>
      </w:r>
      <w:r>
        <w:rPr>
          <w:color w:val="231F20"/>
          <w:spacing w:val="-2"/>
        </w:rPr>
        <w:t> </w:t>
      </w:r>
      <w:r>
        <w:rPr>
          <w:color w:val="231F20"/>
        </w:rPr>
        <w:t>and</w:t>
      </w:r>
      <w:r>
        <w:rPr>
          <w:color w:val="231F20"/>
          <w:spacing w:val="-2"/>
        </w:rPr>
        <w:t> Finance</w:t>
      </w:r>
    </w:p>
    <w:p>
      <w:pPr>
        <w:pStyle w:val="BodyText"/>
        <w:tabs>
          <w:tab w:pos="5936" w:val="left" w:leader="none"/>
        </w:tabs>
        <w:spacing w:line="276" w:lineRule="auto" w:before="34"/>
        <w:ind w:left="6479" w:right="2963" w:hanging="4680"/>
      </w:pPr>
      <w:r>
        <w:rPr>
          <w:color w:val="231F20"/>
        </w:rPr>
        <w:t>Dr. David L. Greene</w:t>
        <w:tab/>
        <w:t>Vice</w:t>
      </w:r>
      <w:r>
        <w:rPr>
          <w:color w:val="231F20"/>
          <w:spacing w:val="-10"/>
        </w:rPr>
        <w:t> </w:t>
      </w:r>
      <w:r>
        <w:rPr>
          <w:color w:val="231F20"/>
        </w:rPr>
        <w:t>President</w:t>
      </w:r>
      <w:r>
        <w:rPr>
          <w:color w:val="231F20"/>
          <w:spacing w:val="-10"/>
        </w:rPr>
        <w:t> </w:t>
      </w:r>
      <w:r>
        <w:rPr>
          <w:color w:val="231F20"/>
        </w:rPr>
        <w:t>for</w:t>
      </w:r>
      <w:r>
        <w:rPr>
          <w:color w:val="231F20"/>
          <w:spacing w:val="-10"/>
        </w:rPr>
        <w:t> </w:t>
      </w:r>
      <w:r>
        <w:rPr>
          <w:color w:val="231F20"/>
        </w:rPr>
        <w:t>Student</w:t>
      </w:r>
      <w:r>
        <w:rPr>
          <w:color w:val="231F20"/>
          <w:spacing w:val="-10"/>
        </w:rPr>
        <w:t> </w:t>
      </w:r>
      <w:r>
        <w:rPr>
          <w:color w:val="231F20"/>
        </w:rPr>
        <w:t>Life/ Chief Diversity Officer</w:t>
      </w:r>
    </w:p>
    <w:p>
      <w:pPr>
        <w:pStyle w:val="BodyText"/>
        <w:tabs>
          <w:tab w:pos="5937" w:val="left" w:leader="none"/>
        </w:tabs>
        <w:ind w:left="1799"/>
      </w:pPr>
      <w:r>
        <w:rPr>
          <w:color w:val="231F20"/>
        </w:rPr>
        <w:t>Dr.</w:t>
      </w:r>
      <w:r>
        <w:rPr>
          <w:color w:val="231F20"/>
          <w:spacing w:val="-7"/>
        </w:rPr>
        <w:t> </w:t>
      </w:r>
      <w:r>
        <w:rPr>
          <w:color w:val="231F20"/>
        </w:rPr>
        <w:t>Douglas</w:t>
      </w:r>
      <w:r>
        <w:rPr>
          <w:color w:val="231F20"/>
          <w:spacing w:val="-7"/>
        </w:rPr>
        <w:t> </w:t>
      </w:r>
      <w:r>
        <w:rPr>
          <w:color w:val="231F20"/>
          <w:spacing w:val="-2"/>
        </w:rPr>
        <w:t>Wells</w:t>
      </w:r>
      <w:r>
        <w:rPr>
          <w:color w:val="231F20"/>
        </w:rPr>
        <w:tab/>
        <w:t>Vice</w:t>
      </w:r>
      <w:r>
        <w:rPr>
          <w:color w:val="231F20"/>
          <w:spacing w:val="-7"/>
        </w:rPr>
        <w:t> </w:t>
      </w:r>
      <w:r>
        <w:rPr>
          <w:color w:val="231F20"/>
        </w:rPr>
        <w:t>President</w:t>
      </w:r>
      <w:r>
        <w:rPr>
          <w:color w:val="231F20"/>
          <w:spacing w:val="-6"/>
        </w:rPr>
        <w:t> </w:t>
      </w:r>
      <w:r>
        <w:rPr>
          <w:color w:val="231F20"/>
        </w:rPr>
        <w:t>for</w:t>
      </w:r>
      <w:r>
        <w:rPr>
          <w:color w:val="231F20"/>
          <w:spacing w:val="-6"/>
        </w:rPr>
        <w:t> </w:t>
      </w:r>
      <w:r>
        <w:rPr>
          <w:color w:val="231F20"/>
        </w:rPr>
        <w:t>Academic</w:t>
      </w:r>
      <w:r>
        <w:rPr>
          <w:color w:val="231F20"/>
          <w:spacing w:val="-13"/>
        </w:rPr>
        <w:t> </w:t>
      </w:r>
      <w:r>
        <w:rPr>
          <w:color w:val="231F20"/>
          <w:spacing w:val="-2"/>
        </w:rPr>
        <w:t>Affairs</w:t>
      </w:r>
    </w:p>
    <w:p>
      <w:pPr>
        <w:pStyle w:val="BodyText"/>
        <w:tabs>
          <w:tab w:pos="5938" w:val="left" w:leader="none"/>
        </w:tabs>
        <w:spacing w:before="34"/>
        <w:ind w:left="1799"/>
      </w:pPr>
      <w:r>
        <w:rPr>
          <w:color w:val="231F20"/>
        </w:rPr>
        <w:t>Dr.</w:t>
      </w:r>
      <w:r>
        <w:rPr>
          <w:color w:val="231F20"/>
          <w:spacing w:val="-5"/>
        </w:rPr>
        <w:t> </w:t>
      </w:r>
      <w:r>
        <w:rPr>
          <w:color w:val="231F20"/>
        </w:rPr>
        <w:t>Nelia</w:t>
      </w:r>
      <w:r>
        <w:rPr>
          <w:color w:val="231F20"/>
          <w:spacing w:val="-4"/>
        </w:rPr>
        <w:t> </w:t>
      </w:r>
      <w:r>
        <w:rPr>
          <w:color w:val="231F20"/>
          <w:spacing w:val="-2"/>
        </w:rPr>
        <w:t>Dunbar</w:t>
      </w:r>
      <w:r>
        <w:rPr>
          <w:color w:val="231F20"/>
        </w:rPr>
        <w:tab/>
        <w:t>Interim</w:t>
      </w:r>
      <w:r>
        <w:rPr>
          <w:color w:val="231F20"/>
          <w:spacing w:val="-5"/>
        </w:rPr>
        <w:t> </w:t>
      </w:r>
      <w:r>
        <w:rPr>
          <w:color w:val="231F20"/>
        </w:rPr>
        <w:t>Vice</w:t>
      </w:r>
      <w:r>
        <w:rPr>
          <w:color w:val="231F20"/>
          <w:spacing w:val="-3"/>
        </w:rPr>
        <w:t> </w:t>
      </w:r>
      <w:r>
        <w:rPr>
          <w:color w:val="231F20"/>
        </w:rPr>
        <w:t>President</w:t>
      </w:r>
      <w:r>
        <w:rPr>
          <w:color w:val="231F20"/>
          <w:spacing w:val="-7"/>
        </w:rPr>
        <w:t> </w:t>
      </w:r>
      <w:r>
        <w:rPr>
          <w:color w:val="231F20"/>
        </w:rPr>
        <w:t>for</w:t>
      </w:r>
      <w:r>
        <w:rPr>
          <w:color w:val="231F20"/>
          <w:spacing w:val="-5"/>
        </w:rPr>
        <w:t> </w:t>
      </w:r>
      <w:r>
        <w:rPr>
          <w:color w:val="231F20"/>
          <w:spacing w:val="-2"/>
        </w:rPr>
        <w:t>Research</w:t>
      </w:r>
    </w:p>
    <w:p>
      <w:pPr>
        <w:pStyle w:val="BodyText"/>
        <w:tabs>
          <w:tab w:pos="5939" w:val="left" w:leader="none"/>
        </w:tabs>
        <w:spacing w:before="35"/>
        <w:ind w:left="1799"/>
      </w:pPr>
      <w:r>
        <w:rPr>
          <w:color w:val="231F20"/>
        </w:rPr>
        <w:t>Dr.</w:t>
      </w:r>
      <w:r>
        <w:rPr>
          <w:color w:val="231F20"/>
          <w:spacing w:val="-6"/>
        </w:rPr>
        <w:t> </w:t>
      </w:r>
      <w:r>
        <w:rPr>
          <w:color w:val="231F20"/>
        </w:rPr>
        <w:t>Michael</w:t>
      </w:r>
      <w:r>
        <w:rPr>
          <w:color w:val="231F20"/>
          <w:spacing w:val="-5"/>
        </w:rPr>
        <w:t> </w:t>
      </w:r>
      <w:r>
        <w:rPr>
          <w:color w:val="231F20"/>
          <w:spacing w:val="-2"/>
        </w:rPr>
        <w:t>Jackson</w:t>
      </w:r>
      <w:r>
        <w:rPr>
          <w:color w:val="231F20"/>
        </w:rPr>
        <w:tab/>
        <w:t>Associate</w:t>
      </w:r>
      <w:r>
        <w:rPr>
          <w:color w:val="231F20"/>
          <w:spacing w:val="-10"/>
        </w:rPr>
        <w:t> </w:t>
      </w:r>
      <w:r>
        <w:rPr>
          <w:color w:val="231F20"/>
        </w:rPr>
        <w:t>Vice</w:t>
      </w:r>
      <w:r>
        <w:rPr>
          <w:color w:val="231F20"/>
          <w:spacing w:val="-6"/>
        </w:rPr>
        <w:t> </w:t>
      </w:r>
      <w:r>
        <w:rPr>
          <w:color w:val="231F20"/>
        </w:rPr>
        <w:t>President</w:t>
      </w:r>
      <w:r>
        <w:rPr>
          <w:color w:val="231F20"/>
          <w:spacing w:val="-8"/>
        </w:rPr>
        <w:t> </w:t>
      </w:r>
      <w:r>
        <w:rPr>
          <w:color w:val="231F20"/>
        </w:rPr>
        <w:t>for</w:t>
      </w:r>
      <w:r>
        <w:rPr>
          <w:color w:val="231F20"/>
          <w:spacing w:val="-7"/>
        </w:rPr>
        <w:t> </w:t>
      </w:r>
      <w:r>
        <w:rPr>
          <w:color w:val="231F20"/>
        </w:rPr>
        <w:t>Academic</w:t>
      </w:r>
      <w:r>
        <w:rPr>
          <w:color w:val="231F20"/>
          <w:spacing w:val="-7"/>
        </w:rPr>
        <w:t> </w:t>
      </w:r>
      <w:r>
        <w:rPr>
          <w:color w:val="231F20"/>
          <w:spacing w:val="-2"/>
        </w:rPr>
        <w:t>Affairs</w:t>
      </w:r>
    </w:p>
    <w:p>
      <w:pPr>
        <w:pStyle w:val="BodyText"/>
        <w:tabs>
          <w:tab w:pos="5938" w:val="left" w:leader="none"/>
        </w:tabs>
        <w:spacing w:line="276" w:lineRule="auto" w:before="34"/>
        <w:ind w:left="6479" w:right="2097" w:hanging="4680"/>
      </w:pPr>
      <w:r>
        <w:rPr>
          <w:color w:val="231F20"/>
        </w:rPr>
        <w:t>Dr. Peter Phaiah</w:t>
        <w:tab/>
        <w:t>Assistant</w:t>
      </w:r>
      <w:r>
        <w:rPr>
          <w:color w:val="231F20"/>
          <w:spacing w:val="-8"/>
        </w:rPr>
        <w:t> </w:t>
      </w:r>
      <w:r>
        <w:rPr>
          <w:color w:val="231F20"/>
        </w:rPr>
        <w:t>Vice</w:t>
      </w:r>
      <w:r>
        <w:rPr>
          <w:color w:val="231F20"/>
          <w:spacing w:val="-8"/>
        </w:rPr>
        <w:t> </w:t>
      </w:r>
      <w:r>
        <w:rPr>
          <w:color w:val="231F20"/>
        </w:rPr>
        <w:t>President</w:t>
      </w:r>
      <w:r>
        <w:rPr>
          <w:color w:val="231F20"/>
          <w:spacing w:val="-8"/>
        </w:rPr>
        <w:t> </w:t>
      </w:r>
      <w:r>
        <w:rPr>
          <w:color w:val="231F20"/>
        </w:rPr>
        <w:t>for</w:t>
      </w:r>
      <w:r>
        <w:rPr>
          <w:color w:val="231F20"/>
          <w:spacing w:val="-8"/>
        </w:rPr>
        <w:t> </w:t>
      </w:r>
      <w:r>
        <w:rPr>
          <w:color w:val="231F20"/>
        </w:rPr>
        <w:t>Student</w:t>
      </w:r>
      <w:r>
        <w:rPr>
          <w:color w:val="231F20"/>
          <w:spacing w:val="-8"/>
        </w:rPr>
        <w:t> </w:t>
      </w:r>
      <w:r>
        <w:rPr>
          <w:color w:val="231F20"/>
        </w:rPr>
        <w:t>Life/ Title IX Coordinator</w:t>
      </w:r>
    </w:p>
    <w:p>
      <w:pPr>
        <w:pStyle w:val="BodyText"/>
        <w:tabs>
          <w:tab w:pos="5939" w:val="left" w:leader="none"/>
        </w:tabs>
        <w:spacing w:line="276" w:lineRule="auto"/>
        <w:ind w:left="6479" w:right="1505" w:hanging="4680"/>
      </w:pPr>
      <w:r>
        <w:rPr>
          <w:color w:val="231F20"/>
        </w:rPr>
        <w:t>Shaojie “Jenny” Ma</w:t>
        <w:tab/>
        <w:t>Associate</w:t>
      </w:r>
      <w:r>
        <w:rPr>
          <w:color w:val="231F20"/>
          <w:spacing w:val="-8"/>
        </w:rPr>
        <w:t> </w:t>
      </w:r>
      <w:r>
        <w:rPr>
          <w:color w:val="231F20"/>
        </w:rPr>
        <w:t>Vice</w:t>
      </w:r>
      <w:r>
        <w:rPr>
          <w:color w:val="231F20"/>
          <w:spacing w:val="-8"/>
        </w:rPr>
        <w:t> </w:t>
      </w:r>
      <w:r>
        <w:rPr>
          <w:color w:val="231F20"/>
        </w:rPr>
        <w:t>President</w:t>
      </w:r>
      <w:r>
        <w:rPr>
          <w:color w:val="231F20"/>
          <w:spacing w:val="-8"/>
        </w:rPr>
        <w:t> </w:t>
      </w:r>
      <w:r>
        <w:rPr>
          <w:color w:val="231F20"/>
        </w:rPr>
        <w:t>for</w:t>
      </w:r>
      <w:r>
        <w:rPr>
          <w:color w:val="231F20"/>
          <w:spacing w:val="-8"/>
        </w:rPr>
        <w:t> </w:t>
      </w:r>
      <w:r>
        <w:rPr>
          <w:color w:val="231F20"/>
        </w:rPr>
        <w:t>Administration</w:t>
      </w:r>
      <w:r>
        <w:rPr>
          <w:color w:val="231F20"/>
          <w:spacing w:val="-8"/>
        </w:rPr>
        <w:t> </w:t>
      </w:r>
      <w:r>
        <w:rPr>
          <w:color w:val="231F20"/>
        </w:rPr>
        <w:t>and Finance/Budget Director</w:t>
      </w:r>
    </w:p>
    <w:p>
      <w:pPr>
        <w:pStyle w:val="BodyText"/>
        <w:tabs>
          <w:tab w:pos="5937" w:val="left" w:leader="none"/>
        </w:tabs>
        <w:spacing w:before="1"/>
        <w:ind w:left="1799"/>
      </w:pPr>
      <w:r>
        <w:rPr>
          <w:color w:val="231F20"/>
        </w:rPr>
        <w:t>Carlos</w:t>
      </w:r>
      <w:r>
        <w:rPr>
          <w:color w:val="231F20"/>
          <w:spacing w:val="-6"/>
        </w:rPr>
        <w:t> </w:t>
      </w:r>
      <w:r>
        <w:rPr>
          <w:color w:val="231F20"/>
          <w:spacing w:val="-2"/>
        </w:rPr>
        <w:t>Romero</w:t>
      </w:r>
      <w:r>
        <w:rPr>
          <w:color w:val="231F20"/>
        </w:rPr>
        <w:tab/>
        <w:t>Associate</w:t>
      </w:r>
      <w:r>
        <w:rPr>
          <w:color w:val="231F20"/>
          <w:spacing w:val="-5"/>
        </w:rPr>
        <w:t> </w:t>
      </w:r>
      <w:r>
        <w:rPr>
          <w:color w:val="231F20"/>
        </w:rPr>
        <w:t>Vice</w:t>
      </w:r>
      <w:r>
        <w:rPr>
          <w:color w:val="231F20"/>
          <w:spacing w:val="-2"/>
        </w:rPr>
        <w:t> </w:t>
      </w:r>
      <w:r>
        <w:rPr>
          <w:color w:val="231F20"/>
        </w:rPr>
        <w:t>President</w:t>
      </w:r>
      <w:r>
        <w:rPr>
          <w:color w:val="231F20"/>
          <w:spacing w:val="-3"/>
        </w:rPr>
        <w:t> </w:t>
      </w:r>
      <w:r>
        <w:rPr>
          <w:color w:val="231F20"/>
        </w:rPr>
        <w:t>for</w:t>
      </w:r>
      <w:r>
        <w:rPr>
          <w:color w:val="231F20"/>
          <w:spacing w:val="-2"/>
        </w:rPr>
        <w:t> Research</w:t>
      </w:r>
    </w:p>
    <w:p>
      <w:pPr>
        <w:pStyle w:val="BodyText"/>
        <w:tabs>
          <w:tab w:pos="5940" w:val="left" w:leader="none"/>
        </w:tabs>
        <w:spacing w:line="276" w:lineRule="auto" w:before="33"/>
        <w:ind w:left="6479" w:right="1048" w:hanging="4680"/>
      </w:pPr>
      <w:r>
        <w:rPr>
          <w:color w:val="231F20"/>
        </w:rPr>
        <w:t>Dr. Mike Timmons</w:t>
        <w:tab/>
        <w:t>Interim</w:t>
      </w:r>
      <w:r>
        <w:rPr>
          <w:color w:val="231F20"/>
          <w:spacing w:val="-6"/>
        </w:rPr>
        <w:t> </w:t>
      </w:r>
      <w:r>
        <w:rPr>
          <w:color w:val="231F20"/>
        </w:rPr>
        <w:t>Director,</w:t>
      </w:r>
      <w:r>
        <w:rPr>
          <w:color w:val="231F20"/>
          <w:spacing w:val="-6"/>
        </w:rPr>
        <w:t> </w:t>
      </w:r>
      <w:r>
        <w:rPr>
          <w:color w:val="231F20"/>
        </w:rPr>
        <w:t>New</w:t>
      </w:r>
      <w:r>
        <w:rPr>
          <w:color w:val="231F20"/>
          <w:spacing w:val="-12"/>
        </w:rPr>
        <w:t> </w:t>
      </w:r>
      <w:r>
        <w:rPr>
          <w:color w:val="231F20"/>
        </w:rPr>
        <w:t>Mexico</w:t>
      </w:r>
      <w:r>
        <w:rPr>
          <w:color w:val="231F20"/>
          <w:spacing w:val="-8"/>
        </w:rPr>
        <w:t> </w:t>
      </w:r>
      <w:r>
        <w:rPr>
          <w:color w:val="231F20"/>
        </w:rPr>
        <w:t>Bureau</w:t>
      </w:r>
      <w:r>
        <w:rPr>
          <w:color w:val="231F20"/>
          <w:spacing w:val="-6"/>
        </w:rPr>
        <w:t> </w:t>
      </w:r>
      <w:r>
        <w:rPr>
          <w:color w:val="231F20"/>
        </w:rPr>
        <w:t>of</w:t>
      </w:r>
      <w:r>
        <w:rPr>
          <w:color w:val="231F20"/>
          <w:spacing w:val="-6"/>
        </w:rPr>
        <w:t> </w:t>
      </w:r>
      <w:r>
        <w:rPr>
          <w:color w:val="231F20"/>
        </w:rPr>
        <w:t>Geology</w:t>
      </w:r>
      <w:r>
        <w:rPr>
          <w:color w:val="231F20"/>
          <w:spacing w:val="-6"/>
        </w:rPr>
        <w:t> </w:t>
      </w:r>
      <w:r>
        <w:rPr>
          <w:color w:val="231F20"/>
        </w:rPr>
        <w:t>and Mineral</w:t>
      </w:r>
      <w:r>
        <w:rPr>
          <w:color w:val="231F20"/>
          <w:spacing w:val="-1"/>
        </w:rPr>
        <w:t> </w:t>
      </w:r>
      <w:r>
        <w:rPr>
          <w:color w:val="231F20"/>
        </w:rPr>
        <w:t>Resources</w:t>
      </w:r>
    </w:p>
    <w:p>
      <w:pPr>
        <w:pStyle w:val="BodyText"/>
        <w:tabs>
          <w:tab w:pos="5939" w:val="left" w:leader="none"/>
        </w:tabs>
        <w:spacing w:line="276" w:lineRule="auto" w:before="1"/>
        <w:ind w:left="6479" w:right="1959" w:hanging="4680"/>
      </w:pPr>
      <w:r>
        <w:rPr>
          <w:color w:val="231F20"/>
        </w:rPr>
        <w:t>Dr. Robert Balch</w:t>
        <w:tab/>
        <w:t>Director,</w:t>
      </w:r>
      <w:r>
        <w:rPr>
          <w:color w:val="231F20"/>
          <w:spacing w:val="-10"/>
        </w:rPr>
        <w:t> </w:t>
      </w:r>
      <w:r>
        <w:rPr>
          <w:color w:val="231F20"/>
        </w:rPr>
        <w:t>New</w:t>
      </w:r>
      <w:r>
        <w:rPr>
          <w:color w:val="231F20"/>
          <w:spacing w:val="-14"/>
        </w:rPr>
        <w:t> </w:t>
      </w:r>
      <w:r>
        <w:rPr>
          <w:color w:val="231F20"/>
        </w:rPr>
        <w:t>Mexico</w:t>
      </w:r>
      <w:r>
        <w:rPr>
          <w:color w:val="231F20"/>
          <w:spacing w:val="-13"/>
        </w:rPr>
        <w:t> </w:t>
      </w:r>
      <w:r>
        <w:rPr>
          <w:color w:val="231F20"/>
        </w:rPr>
        <w:t>Petroleum</w:t>
      </w:r>
      <w:r>
        <w:rPr>
          <w:color w:val="231F20"/>
          <w:spacing w:val="-10"/>
        </w:rPr>
        <w:t> </w:t>
      </w:r>
      <w:r>
        <w:rPr>
          <w:color w:val="231F20"/>
        </w:rPr>
        <w:t>Recovery Research Center</w:t>
      </w:r>
    </w:p>
    <w:p>
      <w:pPr>
        <w:pStyle w:val="BodyText"/>
        <w:tabs>
          <w:tab w:pos="5939" w:val="left" w:leader="none"/>
        </w:tabs>
        <w:spacing w:line="276" w:lineRule="auto"/>
        <w:ind w:left="6479" w:right="1289" w:hanging="4680"/>
      </w:pPr>
      <w:r>
        <w:rPr>
          <w:color w:val="231F20"/>
        </w:rPr>
        <w:t>Joel Haley</w:t>
        <w:tab/>
        <w:t>Acting</w:t>
      </w:r>
      <w:r>
        <w:rPr>
          <w:color w:val="231F20"/>
          <w:spacing w:val="-8"/>
        </w:rPr>
        <w:t> </w:t>
      </w:r>
      <w:r>
        <w:rPr>
          <w:color w:val="231F20"/>
        </w:rPr>
        <w:t>Director,</w:t>
      </w:r>
      <w:r>
        <w:rPr>
          <w:color w:val="231F20"/>
          <w:spacing w:val="-12"/>
        </w:rPr>
        <w:t> </w:t>
      </w:r>
      <w:r>
        <w:rPr>
          <w:color w:val="231F20"/>
        </w:rPr>
        <w:t>Energetic</w:t>
      </w:r>
      <w:r>
        <w:rPr>
          <w:color w:val="231F20"/>
          <w:spacing w:val="-10"/>
        </w:rPr>
        <w:t> </w:t>
      </w:r>
      <w:r>
        <w:rPr>
          <w:color w:val="231F20"/>
        </w:rPr>
        <w:t>Materials</w:t>
      </w:r>
      <w:r>
        <w:rPr>
          <w:color w:val="231F20"/>
          <w:spacing w:val="-8"/>
        </w:rPr>
        <w:t> </w:t>
      </w:r>
      <w:r>
        <w:rPr>
          <w:color w:val="231F20"/>
        </w:rPr>
        <w:t>Research</w:t>
      </w:r>
      <w:r>
        <w:rPr>
          <w:color w:val="231F20"/>
          <w:spacing w:val="-8"/>
        </w:rPr>
        <w:t> </w:t>
      </w:r>
      <w:r>
        <w:rPr>
          <w:color w:val="231F20"/>
        </w:rPr>
        <w:t>and Testing</w:t>
      </w:r>
      <w:r>
        <w:rPr>
          <w:color w:val="231F20"/>
          <w:spacing w:val="-3"/>
        </w:rPr>
        <w:t> </w:t>
      </w:r>
      <w:r>
        <w:rPr>
          <w:color w:val="231F20"/>
        </w:rPr>
        <w:t>Center</w:t>
      </w:r>
    </w:p>
    <w:p>
      <w:pPr>
        <w:pStyle w:val="BodyText"/>
        <w:tabs>
          <w:tab w:pos="5940" w:val="left" w:leader="none"/>
        </w:tabs>
        <w:spacing w:line="229" w:lineRule="exact"/>
        <w:ind w:left="1799"/>
      </w:pPr>
      <w:r>
        <w:rPr>
          <w:color w:val="231F20"/>
        </w:rPr>
        <w:t>JoAnn</w:t>
      </w:r>
      <w:r>
        <w:rPr>
          <w:color w:val="231F20"/>
          <w:spacing w:val="-2"/>
        </w:rPr>
        <w:t> Salome</w:t>
      </w:r>
      <w:r>
        <w:rPr>
          <w:color w:val="231F20"/>
        </w:rPr>
        <w:tab/>
        <w:t>Director,</w:t>
      </w:r>
      <w:r>
        <w:rPr>
          <w:color w:val="231F20"/>
          <w:spacing w:val="-7"/>
        </w:rPr>
        <w:t> </w:t>
      </w:r>
      <w:r>
        <w:rPr>
          <w:color w:val="231F20"/>
        </w:rPr>
        <w:t>Human</w:t>
      </w:r>
      <w:r>
        <w:rPr>
          <w:color w:val="231F20"/>
          <w:spacing w:val="-11"/>
        </w:rPr>
        <w:t> </w:t>
      </w:r>
      <w:r>
        <w:rPr>
          <w:color w:val="231F20"/>
          <w:spacing w:val="-2"/>
        </w:rPr>
        <w:t>Resources</w:t>
      </w:r>
    </w:p>
    <w:p>
      <w:pPr>
        <w:pStyle w:val="BodyText"/>
        <w:tabs>
          <w:tab w:pos="5937" w:val="left" w:leader="none"/>
        </w:tabs>
        <w:spacing w:before="35"/>
        <w:ind w:left="1799"/>
      </w:pPr>
      <w:r>
        <w:rPr>
          <w:color w:val="231F20"/>
        </w:rPr>
        <w:t>Daniel</w:t>
      </w:r>
      <w:r>
        <w:rPr>
          <w:color w:val="231F20"/>
          <w:spacing w:val="-7"/>
        </w:rPr>
        <w:t> </w:t>
      </w:r>
      <w:r>
        <w:rPr>
          <w:color w:val="231F20"/>
          <w:spacing w:val="-2"/>
        </w:rPr>
        <w:t>Lunceford</w:t>
      </w:r>
      <w:r>
        <w:rPr>
          <w:color w:val="231F20"/>
        </w:rPr>
        <w:tab/>
        <w:t>Director,</w:t>
      </w:r>
      <w:r>
        <w:rPr>
          <w:color w:val="231F20"/>
          <w:spacing w:val="-8"/>
        </w:rPr>
        <w:t> </w:t>
      </w:r>
      <w:r>
        <w:rPr>
          <w:color w:val="231F20"/>
        </w:rPr>
        <w:t>Information</w:t>
      </w:r>
      <w:r>
        <w:rPr>
          <w:color w:val="231F20"/>
          <w:spacing w:val="-5"/>
        </w:rPr>
        <w:t> </w:t>
      </w:r>
      <w:r>
        <w:rPr>
          <w:color w:val="231F20"/>
        </w:rPr>
        <w:t>Technology</w:t>
      </w:r>
      <w:r>
        <w:rPr>
          <w:color w:val="231F20"/>
          <w:spacing w:val="-5"/>
        </w:rPr>
        <w:t> </w:t>
      </w:r>
      <w:r>
        <w:rPr>
          <w:color w:val="231F20"/>
        </w:rPr>
        <w:t>and</w:t>
      </w:r>
      <w:r>
        <w:rPr>
          <w:color w:val="231F20"/>
          <w:spacing w:val="-6"/>
        </w:rPr>
        <w:t> </w:t>
      </w:r>
      <w:r>
        <w:rPr>
          <w:color w:val="231F20"/>
          <w:spacing w:val="-2"/>
        </w:rPr>
        <w:t>Communications</w:t>
      </w:r>
    </w:p>
    <w:p>
      <w:pPr>
        <w:pStyle w:val="BodyText"/>
        <w:tabs>
          <w:tab w:pos="5940" w:val="left" w:leader="none"/>
        </w:tabs>
        <w:spacing w:before="34"/>
        <w:ind w:left="1799"/>
      </w:pPr>
      <w:r>
        <w:rPr>
          <w:color w:val="231F20"/>
        </w:rPr>
        <w:t>Gayle</w:t>
      </w:r>
      <w:r>
        <w:rPr>
          <w:color w:val="231F20"/>
          <w:spacing w:val="-5"/>
        </w:rPr>
        <w:t> </w:t>
      </w:r>
      <w:r>
        <w:rPr>
          <w:color w:val="231F20"/>
          <w:spacing w:val="-2"/>
        </w:rPr>
        <w:t>Bailey</w:t>
      </w:r>
      <w:r>
        <w:rPr>
          <w:color w:val="231F20"/>
        </w:rPr>
        <w:tab/>
        <w:t>Director,</w:t>
      </w:r>
      <w:r>
        <w:rPr>
          <w:color w:val="231F20"/>
          <w:spacing w:val="-8"/>
        </w:rPr>
        <w:t> </w:t>
      </w:r>
      <w:r>
        <w:rPr>
          <w:color w:val="231F20"/>
        </w:rPr>
        <w:t>Sponsored</w:t>
      </w:r>
      <w:r>
        <w:rPr>
          <w:color w:val="231F20"/>
          <w:spacing w:val="-11"/>
        </w:rPr>
        <w:t> </w:t>
      </w:r>
      <w:r>
        <w:rPr>
          <w:color w:val="231F20"/>
          <w:spacing w:val="-2"/>
        </w:rPr>
        <w:t>Projects</w:t>
      </w:r>
    </w:p>
    <w:p>
      <w:pPr>
        <w:pStyle w:val="BodyText"/>
        <w:tabs>
          <w:tab w:pos="5939" w:val="left" w:leader="none"/>
        </w:tabs>
        <w:spacing w:before="35"/>
        <w:ind w:left="1799"/>
      </w:pPr>
      <w:r>
        <w:rPr>
          <w:color w:val="231F20"/>
        </w:rPr>
        <w:t>Carrie</w:t>
      </w:r>
      <w:r>
        <w:rPr>
          <w:color w:val="231F20"/>
          <w:spacing w:val="-1"/>
        </w:rPr>
        <w:t> </w:t>
      </w:r>
      <w:r>
        <w:rPr>
          <w:color w:val="231F20"/>
          <w:spacing w:val="-2"/>
        </w:rPr>
        <w:t>Marsyla</w:t>
      </w:r>
      <w:r>
        <w:rPr>
          <w:color w:val="231F20"/>
        </w:rPr>
        <w:tab/>
        <w:t>Director,</w:t>
      </w:r>
      <w:r>
        <w:rPr>
          <w:color w:val="231F20"/>
          <w:spacing w:val="-6"/>
        </w:rPr>
        <w:t> </w:t>
      </w:r>
      <w:r>
        <w:rPr>
          <w:color w:val="231F20"/>
        </w:rPr>
        <w:t>Cost</w:t>
      </w:r>
      <w:r>
        <w:rPr>
          <w:color w:val="231F20"/>
          <w:spacing w:val="-3"/>
        </w:rPr>
        <w:t> </w:t>
      </w:r>
      <w:r>
        <w:rPr>
          <w:color w:val="231F20"/>
        </w:rPr>
        <w:t>Accounting</w:t>
      </w:r>
      <w:r>
        <w:rPr>
          <w:color w:val="231F20"/>
          <w:spacing w:val="-4"/>
        </w:rPr>
        <w:t> </w:t>
      </w:r>
      <w:r>
        <w:rPr>
          <w:color w:val="231F20"/>
        </w:rPr>
        <w:t>and</w:t>
      </w:r>
      <w:r>
        <w:rPr>
          <w:color w:val="231F20"/>
          <w:spacing w:val="-3"/>
        </w:rPr>
        <w:t> </w:t>
      </w:r>
      <w:r>
        <w:rPr>
          <w:color w:val="231F20"/>
          <w:spacing w:val="-2"/>
        </w:rPr>
        <w:t>Reporting</w:t>
      </w:r>
    </w:p>
    <w:p>
      <w:pPr>
        <w:pStyle w:val="BodyText"/>
        <w:tabs>
          <w:tab w:pos="5938" w:val="left" w:leader="none"/>
        </w:tabs>
        <w:spacing w:before="34"/>
        <w:ind w:left="1799"/>
      </w:pPr>
      <w:r>
        <w:rPr>
          <w:color w:val="231F20"/>
        </w:rPr>
        <w:t>Melissa</w:t>
      </w:r>
      <w:r>
        <w:rPr>
          <w:color w:val="231F20"/>
          <w:spacing w:val="-11"/>
        </w:rPr>
        <w:t> </w:t>
      </w:r>
      <w:r>
        <w:rPr>
          <w:color w:val="231F20"/>
          <w:spacing w:val="-4"/>
        </w:rPr>
        <w:t>Tull</w:t>
      </w:r>
      <w:r>
        <w:rPr>
          <w:color w:val="231F20"/>
        </w:rPr>
        <w:tab/>
      </w:r>
      <w:r>
        <w:rPr>
          <w:color w:val="231F20"/>
          <w:spacing w:val="-2"/>
        </w:rPr>
        <w:t>Controller</w:t>
      </w:r>
    </w:p>
    <w:p>
      <w:pPr>
        <w:pStyle w:val="BodyText"/>
        <w:tabs>
          <w:tab w:pos="5941" w:val="left" w:leader="none"/>
        </w:tabs>
        <w:spacing w:before="34"/>
        <w:ind w:left="1799"/>
      </w:pPr>
      <w:r>
        <w:rPr>
          <w:color w:val="231F20"/>
        </w:rPr>
        <w:t>Emma</w:t>
      </w:r>
      <w:r>
        <w:rPr>
          <w:color w:val="231F20"/>
          <w:spacing w:val="-3"/>
        </w:rPr>
        <w:t> </w:t>
      </w:r>
      <w:r>
        <w:rPr>
          <w:color w:val="231F20"/>
          <w:spacing w:val="-2"/>
        </w:rPr>
        <w:t>Aafloy</w:t>
      </w:r>
      <w:r>
        <w:rPr>
          <w:color w:val="231F20"/>
        </w:rPr>
        <w:tab/>
        <w:t>Associate</w:t>
      </w:r>
      <w:r>
        <w:rPr>
          <w:color w:val="231F20"/>
          <w:spacing w:val="-9"/>
        </w:rPr>
        <w:t> </w:t>
      </w:r>
      <w:r>
        <w:rPr>
          <w:color w:val="231F20"/>
        </w:rPr>
        <w:t>Director</w:t>
      </w:r>
      <w:r>
        <w:rPr>
          <w:color w:val="231F20"/>
          <w:spacing w:val="-7"/>
        </w:rPr>
        <w:t> </w:t>
      </w:r>
      <w:r>
        <w:rPr>
          <w:color w:val="231F20"/>
        </w:rPr>
        <w:t>for</w:t>
      </w:r>
      <w:r>
        <w:rPr>
          <w:color w:val="231F20"/>
          <w:spacing w:val="-4"/>
        </w:rPr>
        <w:t> </w:t>
      </w:r>
      <w:r>
        <w:rPr>
          <w:color w:val="231F20"/>
        </w:rPr>
        <w:t>Budget</w:t>
      </w:r>
      <w:r>
        <w:rPr>
          <w:color w:val="231F20"/>
          <w:spacing w:val="-5"/>
        </w:rPr>
        <w:t> </w:t>
      </w:r>
      <w:r>
        <w:rPr>
          <w:color w:val="231F20"/>
        </w:rPr>
        <w:t>and</w:t>
      </w:r>
      <w:r>
        <w:rPr>
          <w:color w:val="231F20"/>
          <w:spacing w:val="-6"/>
        </w:rPr>
        <w:t> </w:t>
      </w:r>
      <w:r>
        <w:rPr>
          <w:color w:val="231F20"/>
          <w:spacing w:val="-2"/>
        </w:rPr>
        <w:t>Analysis</w:t>
      </w:r>
    </w:p>
    <w:p>
      <w:pPr>
        <w:spacing w:after="0"/>
        <w:sectPr>
          <w:footerReference w:type="default" r:id="rId11"/>
          <w:pgSz w:w="12240" w:h="15840"/>
          <w:pgMar w:footer="778" w:header="0" w:top="1240" w:bottom="960" w:left="0" w:right="580"/>
        </w:sectPr>
      </w:pPr>
    </w:p>
    <w:p>
      <w:pPr>
        <w:spacing w:line="240" w:lineRule="auto"/>
        <w:ind w:left="858" w:right="0" w:firstLine="0"/>
        <w:rPr>
          <w:sz w:val="20"/>
        </w:rPr>
      </w:pPr>
      <w:r>
        <w:rPr>
          <w:sz w:val="20"/>
        </w:rPr>
        <w:pict>
          <v:group style="width:30.6pt;height:30.55pt;mso-position-horizontal-relative:char;mso-position-vertical-relative:line" id="docshapegroup18" coordorigin="0,0" coordsize="612,611">
            <v:shape style="position:absolute;left:172;top:159;width:267;height:244" type="#_x0000_t75" id="docshape19" stroked="false">
              <v:imagedata r:id="rId13" o:title=""/>
            </v:shape>
            <v:shape style="position:absolute;left:0;top:0;width:612;height:611" id="docshape20" coordorigin="0,0" coordsize="612,611" path="m370,442l367,439,362,439,246,439,242,442,242,449,246,452,367,452,370,449,370,442xm612,306l604,236,588,192,588,306,578,381,549,448,505,504,448,548,381,577,306,587,231,577,164,548,107,504,62,448,34,381,24,306,34,231,62,164,107,106,164,62,231,34,306,24,381,34,448,62,505,106,549,164,578,231,588,306,588,192,581,171,544,115,497,67,440,31,420,24,376,8,306,0,236,8,172,31,115,67,68,115,31,171,8,236,0,306,8,376,31,440,68,497,115,544,172,580,236,603,306,611,376,603,421,587,440,580,497,544,544,497,581,440,604,376,612,306xe" filled="true" fillcolor="#46666b" stroked="false">
              <v:path arrowok="t"/>
              <v:fill type="solid"/>
            </v:shape>
          </v:group>
        </w:pict>
      </w:r>
      <w:r>
        <w:rPr>
          <w:sz w:val="20"/>
        </w:rPr>
      </w:r>
      <w:r>
        <w:rPr>
          <w:rFonts w:ascii="Times New Roman"/>
          <w:spacing w:val="83"/>
          <w:sz w:val="20"/>
        </w:rPr>
        <w:t> </w:t>
      </w:r>
      <w:r>
        <w:rPr>
          <w:spacing w:val="83"/>
          <w:position w:val="16"/>
          <w:sz w:val="20"/>
        </w:rPr>
        <w:pict>
          <v:group style="width:67.7pt;height:10.8pt;mso-position-horizontal-relative:char;mso-position-vertical-relative:line" id="docshapegroup21" coordorigin="0,0" coordsize="1354,216">
            <v:shape style="position:absolute;left:0;top:3;width:130;height:164" type="#_x0000_t75" id="docshape22" stroked="false">
              <v:imagedata r:id="rId14" o:title=""/>
            </v:shape>
            <v:shape style="position:absolute;left:171;top:0;width:140;height:170" type="#_x0000_t75" id="docshape23" stroked="false">
              <v:imagedata r:id="rId15" o:title=""/>
            </v:shape>
            <v:shape style="position:absolute;left:344;top:0;width:234;height:170" id="docshape24" coordorigin="344,0" coordsize="234,170" path="m442,28l442,23,440,20,437,18,436,17,432,12,427,10,418,4,408,0,394,0,376,3,362,10,353,23,349,40,351,54,357,67,369,79,386,91,403,102,414,110,420,119,421,130,421,142,414,151,383,151,373,144,365,133,362,132,361,131,360,127,355,127,354,130,348,133,344,136,344,139,347,143,349,144,350,148,353,149,360,157,370,163,382,168,396,169,417,166,431,156,434,151,439,143,442,127,439,112,431,99,418,87,398,76,385,66,377,57,372,49,371,40,371,26,380,18,404,18,412,22,420,28,421,29,424,32,427,34,428,36,433,36,434,34,440,29,442,28xm578,23l575,20,572,17,566,12,553,4,542,0,530,0,512,3,498,10,487,23,484,40,486,54,492,67,504,79,522,91,538,102,549,110,554,119,556,130,556,142,550,151,518,151,508,144,500,133,499,133,498,132,498,131,494,127,492,127,484,133,481,136,480,139,482,143,488,149,495,157,506,163,518,168,532,169,553,166,568,156,576,143,578,127,576,112,567,99,554,87,535,76,520,66,511,57,507,49,505,40,505,26,516,18,539,18,547,22,556,28,562,34,565,36,568,36,571,34,575,29,578,28,578,23xe" filled="true" fillcolor="#46666b" stroked="false">
              <v:path arrowok="t"/>
              <v:fill type="solid"/>
            </v:shape>
            <v:shape style="position:absolute;left:615;top:3;width:123;height:165" type="#_x0000_t75" id="docshape25" stroked="false">
              <v:imagedata r:id="rId16" o:title=""/>
            </v:shape>
            <v:shape style="position:absolute;left:1082;top:3;width:129;height:164" type="#_x0000_t75" id="docshape26" stroked="false">
              <v:imagedata r:id="rId17" o:title=""/>
            </v:shape>
            <v:shape style="position:absolute;left:1256;top:0;width:98;height:170" id="docshape27" coordorigin="1256,0" coordsize="98,170" path="m1319,0l1306,0,1288,3,1273,10,1263,23,1259,40,1261,54,1267,67,1279,79,1297,91,1314,102,1324,110,1329,119,1331,130,1331,142,1325,151,1294,151,1283,144,1276,133,1274,133,1273,132,1273,131,1270,127,1267,127,1259,133,1256,136,1256,139,1258,143,1264,149,1271,157,1281,163,1293,168,1307,169,1328,166,1343,156,1351,143,1354,127,1351,112,1342,99,1329,87,1310,76,1296,66,1286,57,1282,49,1280,40,1280,26,1291,18,1315,18,1322,22,1331,28,1333,29,1336,32,1337,34,1340,36,1343,36,1346,34,1350,29,1354,28,1354,23,1350,20,1348,17,1342,12,1328,4,1319,0xe" filled="true" fillcolor="#46666b" stroked="false">
              <v:path arrowok="t"/>
              <v:fill type="solid"/>
            </v:shape>
            <v:shape style="position:absolute;left:916;top:3;width:123;height:165" type="#_x0000_t75" id="docshape28" stroked="false">
              <v:imagedata r:id="rId18" o:title=""/>
            </v:shape>
            <v:shape style="position:absolute;left:782;top:3;width:101;height:164" type="#_x0000_t75" id="docshape29" stroked="false">
              <v:imagedata r:id="rId19" o:title=""/>
            </v:shape>
            <v:shape style="position:absolute;left:613;top:202;width:128;height:14" id="docshape30" coordorigin="613,203" coordsize="128,14" path="m737,203l732,203,616,203,613,205,613,212,616,216,737,216,740,212,740,205,737,203xe" filled="true" fillcolor="#46666b" stroked="false">
              <v:path arrowok="t"/>
              <v:fill type="solid"/>
            </v:shape>
          </v:group>
        </w:pict>
      </w:r>
      <w:r>
        <w:rPr>
          <w:spacing w:val="83"/>
          <w:position w:val="16"/>
          <w:sz w:val="20"/>
        </w:rPr>
      </w:r>
    </w:p>
    <w:p>
      <w:pPr>
        <w:pStyle w:val="BodyText"/>
      </w:pPr>
    </w:p>
    <w:p>
      <w:pPr>
        <w:pStyle w:val="BodyText"/>
      </w:pPr>
    </w:p>
    <w:p>
      <w:pPr>
        <w:pStyle w:val="BodyText"/>
        <w:spacing w:before="7"/>
        <w:rPr>
          <w:sz w:val="15"/>
        </w:rPr>
      </w:pPr>
    </w:p>
    <w:p>
      <w:pPr>
        <w:pStyle w:val="Heading2"/>
        <w:spacing w:before="100"/>
        <w:ind w:left="1620"/>
        <w:rPr>
          <w:rFonts w:ascii="Georgia"/>
        </w:rPr>
      </w:pPr>
      <w:bookmarkStart w:name="_TOC_250002" w:id="1"/>
      <w:r>
        <w:rPr>
          <w:rFonts w:ascii="Georgia"/>
          <w:color w:val="231F20"/>
        </w:rPr>
        <w:t>Report</w:t>
      </w:r>
      <w:r>
        <w:rPr>
          <w:rFonts w:ascii="Georgia"/>
          <w:color w:val="231F20"/>
          <w:spacing w:val="-11"/>
        </w:rPr>
        <w:t> </w:t>
      </w:r>
      <w:r>
        <w:rPr>
          <w:rFonts w:ascii="Georgia"/>
          <w:color w:val="231F20"/>
        </w:rPr>
        <w:t>of</w:t>
      </w:r>
      <w:r>
        <w:rPr>
          <w:rFonts w:ascii="Georgia"/>
          <w:color w:val="231F20"/>
          <w:spacing w:val="-10"/>
        </w:rPr>
        <w:t> </w:t>
      </w:r>
      <w:r>
        <w:rPr>
          <w:rFonts w:ascii="Georgia"/>
          <w:color w:val="231F20"/>
        </w:rPr>
        <w:t>Independent</w:t>
      </w:r>
      <w:r>
        <w:rPr>
          <w:rFonts w:ascii="Georgia"/>
          <w:color w:val="231F20"/>
          <w:spacing w:val="-11"/>
        </w:rPr>
        <w:t> </w:t>
      </w:r>
      <w:bookmarkEnd w:id="1"/>
      <w:r>
        <w:rPr>
          <w:rFonts w:ascii="Georgia"/>
          <w:color w:val="231F20"/>
          <w:spacing w:val="-2"/>
        </w:rPr>
        <w:t>Auditors</w:t>
      </w:r>
    </w:p>
    <w:p>
      <w:pPr>
        <w:pStyle w:val="BodyText"/>
        <w:spacing w:before="5"/>
        <w:rPr>
          <w:rFonts w:ascii="Georgia"/>
          <w:b/>
          <w:sz w:val="46"/>
        </w:rPr>
      </w:pPr>
    </w:p>
    <w:p>
      <w:pPr>
        <w:pStyle w:val="BodyText"/>
        <w:ind w:left="1620"/>
      </w:pPr>
      <w:r>
        <w:rPr>
          <w:color w:val="231F20"/>
        </w:rPr>
        <w:t>The</w:t>
      </w:r>
      <w:r>
        <w:rPr>
          <w:color w:val="231F20"/>
          <w:spacing w:val="-4"/>
        </w:rPr>
        <w:t> </w:t>
      </w:r>
      <w:r>
        <w:rPr>
          <w:color w:val="231F20"/>
        </w:rPr>
        <w:t>Board</w:t>
      </w:r>
      <w:r>
        <w:rPr>
          <w:color w:val="231F20"/>
          <w:spacing w:val="-3"/>
        </w:rPr>
        <w:t> </w:t>
      </w:r>
      <w:r>
        <w:rPr>
          <w:color w:val="231F20"/>
        </w:rPr>
        <w:t>of</w:t>
      </w:r>
      <w:r>
        <w:rPr>
          <w:color w:val="231F20"/>
          <w:spacing w:val="-3"/>
        </w:rPr>
        <w:t> </w:t>
      </w:r>
      <w:r>
        <w:rPr>
          <w:color w:val="231F20"/>
          <w:spacing w:val="-2"/>
        </w:rPr>
        <w:t>Regents</w:t>
      </w:r>
    </w:p>
    <w:p>
      <w:pPr>
        <w:pStyle w:val="BodyText"/>
        <w:spacing w:line="276" w:lineRule="auto" w:before="34"/>
        <w:ind w:left="1620" w:right="5589"/>
      </w:pPr>
      <w:r>
        <w:rPr>
          <w:color w:val="231F20"/>
        </w:rPr>
        <w:t>New</w:t>
      </w:r>
      <w:r>
        <w:rPr>
          <w:color w:val="231F20"/>
          <w:spacing w:val="-7"/>
        </w:rPr>
        <w:t> </w:t>
      </w:r>
      <w:r>
        <w:rPr>
          <w:color w:val="231F20"/>
        </w:rPr>
        <w:t>Mexico</w:t>
      </w:r>
      <w:r>
        <w:rPr>
          <w:color w:val="231F20"/>
          <w:spacing w:val="-7"/>
        </w:rPr>
        <w:t> </w:t>
      </w:r>
      <w:r>
        <w:rPr>
          <w:color w:val="231F20"/>
        </w:rPr>
        <w:t>Institute</w:t>
      </w:r>
      <w:r>
        <w:rPr>
          <w:color w:val="231F20"/>
          <w:spacing w:val="-7"/>
        </w:rPr>
        <w:t> </w:t>
      </w:r>
      <w:r>
        <w:rPr>
          <w:color w:val="231F20"/>
        </w:rPr>
        <w:t>of</w:t>
      </w:r>
      <w:r>
        <w:rPr>
          <w:color w:val="231F20"/>
          <w:spacing w:val="-7"/>
        </w:rPr>
        <w:t> </w:t>
      </w:r>
      <w:r>
        <w:rPr>
          <w:color w:val="231F20"/>
        </w:rPr>
        <w:t>Mining</w:t>
      </w:r>
      <w:r>
        <w:rPr>
          <w:color w:val="231F20"/>
          <w:spacing w:val="-7"/>
        </w:rPr>
        <w:t> </w:t>
      </w:r>
      <w:r>
        <w:rPr>
          <w:color w:val="231F20"/>
        </w:rPr>
        <w:t>and</w:t>
      </w:r>
      <w:r>
        <w:rPr>
          <w:color w:val="231F20"/>
          <w:spacing w:val="-7"/>
        </w:rPr>
        <w:t> </w:t>
      </w:r>
      <w:r>
        <w:rPr>
          <w:color w:val="231F20"/>
        </w:rPr>
        <w:t>Technology </w:t>
      </w:r>
      <w:r>
        <w:rPr>
          <w:color w:val="231F20"/>
          <w:spacing w:val="-4"/>
        </w:rPr>
        <w:t>and</w:t>
      </w:r>
    </w:p>
    <w:p>
      <w:pPr>
        <w:pStyle w:val="BodyText"/>
        <w:ind w:left="1620" w:right="7735"/>
      </w:pPr>
      <w:r>
        <w:rPr>
          <w:color w:val="231F20"/>
        </w:rPr>
        <w:t>Mr.</w:t>
      </w:r>
      <w:r>
        <w:rPr>
          <w:color w:val="231F20"/>
          <w:spacing w:val="-4"/>
        </w:rPr>
        <w:t> </w:t>
      </w:r>
      <w:r>
        <w:rPr>
          <w:color w:val="231F20"/>
        </w:rPr>
        <w:t>Brian</w:t>
      </w:r>
      <w:r>
        <w:rPr>
          <w:color w:val="231F20"/>
          <w:spacing w:val="-4"/>
        </w:rPr>
        <w:t> </w:t>
      </w:r>
      <w:r>
        <w:rPr>
          <w:color w:val="231F20"/>
        </w:rPr>
        <w:t>S.</w:t>
      </w:r>
      <w:r>
        <w:rPr>
          <w:color w:val="231F20"/>
          <w:spacing w:val="-4"/>
        </w:rPr>
        <w:t> </w:t>
      </w:r>
      <w:r>
        <w:rPr>
          <w:color w:val="231F20"/>
        </w:rPr>
        <w:t>Colón,</w:t>
      </w:r>
      <w:r>
        <w:rPr>
          <w:color w:val="231F20"/>
          <w:spacing w:val="-4"/>
        </w:rPr>
        <w:t> Esq.</w:t>
      </w:r>
    </w:p>
    <w:p>
      <w:pPr>
        <w:pStyle w:val="BodyText"/>
        <w:spacing w:before="34"/>
        <w:ind w:left="1620" w:right="7735"/>
      </w:pPr>
      <w:r>
        <w:rPr>
          <w:color w:val="231F20"/>
        </w:rPr>
        <w:t>New</w:t>
      </w:r>
      <w:r>
        <w:rPr>
          <w:color w:val="231F20"/>
          <w:spacing w:val="-3"/>
        </w:rPr>
        <w:t> </w:t>
      </w:r>
      <w:r>
        <w:rPr>
          <w:color w:val="231F20"/>
        </w:rPr>
        <w:t>Mexico</w:t>
      </w:r>
      <w:r>
        <w:rPr>
          <w:color w:val="231F20"/>
          <w:spacing w:val="-3"/>
        </w:rPr>
        <w:t> </w:t>
      </w:r>
      <w:r>
        <w:rPr>
          <w:color w:val="231F20"/>
        </w:rPr>
        <w:t>State</w:t>
      </w:r>
      <w:r>
        <w:rPr>
          <w:color w:val="231F20"/>
          <w:spacing w:val="-2"/>
        </w:rPr>
        <w:t> </w:t>
      </w:r>
      <w:r>
        <w:rPr>
          <w:color w:val="231F20"/>
          <w:spacing w:val="-2"/>
        </w:rPr>
        <w:t>Auditor</w:t>
      </w:r>
    </w:p>
    <w:p>
      <w:pPr>
        <w:pStyle w:val="BodyText"/>
        <w:rPr>
          <w:sz w:val="24"/>
        </w:rPr>
      </w:pPr>
    </w:p>
    <w:p>
      <w:pPr>
        <w:pStyle w:val="Heading4"/>
        <w:ind w:left="1620"/>
        <w:rPr>
          <w:rFonts w:ascii="Georgia"/>
        </w:rPr>
      </w:pPr>
      <w:r>
        <w:rPr>
          <w:rFonts w:ascii="Georgia"/>
          <w:color w:val="231F20"/>
        </w:rPr>
        <w:t>Report</w:t>
      </w:r>
      <w:r>
        <w:rPr>
          <w:rFonts w:ascii="Georgia"/>
          <w:color w:val="231F20"/>
          <w:spacing w:val="-3"/>
        </w:rPr>
        <w:t> </w:t>
      </w:r>
      <w:r>
        <w:rPr>
          <w:rFonts w:ascii="Georgia"/>
          <w:color w:val="231F20"/>
        </w:rPr>
        <w:t>on</w:t>
      </w:r>
      <w:r>
        <w:rPr>
          <w:rFonts w:ascii="Georgia"/>
          <w:color w:val="231F20"/>
          <w:spacing w:val="-3"/>
        </w:rPr>
        <w:t> </w:t>
      </w:r>
      <w:r>
        <w:rPr>
          <w:rFonts w:ascii="Georgia"/>
          <w:color w:val="231F20"/>
        </w:rPr>
        <w:t>the</w:t>
      </w:r>
      <w:r>
        <w:rPr>
          <w:rFonts w:ascii="Georgia"/>
          <w:color w:val="231F20"/>
          <w:spacing w:val="-3"/>
        </w:rPr>
        <w:t> </w:t>
      </w:r>
      <w:r>
        <w:rPr>
          <w:rFonts w:ascii="Georgia"/>
          <w:color w:val="231F20"/>
        </w:rPr>
        <w:t>Audit</w:t>
      </w:r>
      <w:r>
        <w:rPr>
          <w:rFonts w:ascii="Georgia"/>
          <w:color w:val="231F20"/>
          <w:spacing w:val="-3"/>
        </w:rPr>
        <w:t> </w:t>
      </w:r>
      <w:r>
        <w:rPr>
          <w:rFonts w:ascii="Georgia"/>
          <w:color w:val="231F20"/>
        </w:rPr>
        <w:t>of</w:t>
      </w:r>
      <w:r>
        <w:rPr>
          <w:rFonts w:ascii="Georgia"/>
          <w:color w:val="231F20"/>
          <w:spacing w:val="-2"/>
        </w:rPr>
        <w:t> </w:t>
      </w:r>
      <w:r>
        <w:rPr>
          <w:rFonts w:ascii="Georgia"/>
          <w:color w:val="231F20"/>
        </w:rPr>
        <w:t>the</w:t>
      </w:r>
      <w:r>
        <w:rPr>
          <w:rFonts w:ascii="Georgia"/>
          <w:color w:val="231F20"/>
          <w:spacing w:val="-3"/>
        </w:rPr>
        <w:t> </w:t>
      </w:r>
      <w:r>
        <w:rPr>
          <w:rFonts w:ascii="Georgia"/>
          <w:color w:val="231F20"/>
        </w:rPr>
        <w:t>Financial</w:t>
      </w:r>
      <w:r>
        <w:rPr>
          <w:rFonts w:ascii="Georgia"/>
          <w:color w:val="231F20"/>
          <w:spacing w:val="-2"/>
        </w:rPr>
        <w:t> Statements</w:t>
      </w:r>
    </w:p>
    <w:p>
      <w:pPr>
        <w:spacing w:before="154"/>
        <w:ind w:left="1620" w:right="0" w:firstLine="0"/>
        <w:jc w:val="left"/>
        <w:rPr>
          <w:rFonts w:ascii="Georgia"/>
          <w:b/>
          <w:i/>
          <w:sz w:val="19"/>
        </w:rPr>
      </w:pPr>
      <w:r>
        <w:rPr>
          <w:rFonts w:ascii="Georgia"/>
          <w:b/>
          <w:i/>
          <w:color w:val="231F20"/>
          <w:spacing w:val="-2"/>
          <w:sz w:val="19"/>
        </w:rPr>
        <w:t>Opinions</w:t>
      </w:r>
    </w:p>
    <w:p>
      <w:pPr>
        <w:pStyle w:val="BodyText"/>
        <w:spacing w:line="276" w:lineRule="auto" w:before="152"/>
        <w:ind w:left="1620" w:right="1110"/>
      </w:pPr>
      <w:r>
        <w:rPr>
          <w:color w:val="231F20"/>
        </w:rPr>
        <w:t>We</w:t>
      </w:r>
      <w:r>
        <w:rPr>
          <w:color w:val="231F20"/>
          <w:spacing w:val="-4"/>
        </w:rPr>
        <w:t> </w:t>
      </w:r>
      <w:r>
        <w:rPr>
          <w:color w:val="231F20"/>
        </w:rPr>
        <w:t>have</w:t>
      </w:r>
      <w:r>
        <w:rPr>
          <w:color w:val="231F20"/>
          <w:spacing w:val="-4"/>
        </w:rPr>
        <w:t> </w:t>
      </w:r>
      <w:r>
        <w:rPr>
          <w:color w:val="231F20"/>
        </w:rPr>
        <w:t>audited</w:t>
      </w:r>
      <w:r>
        <w:rPr>
          <w:color w:val="231F20"/>
          <w:spacing w:val="-4"/>
        </w:rPr>
        <w:t> </w:t>
      </w:r>
      <w:r>
        <w:rPr>
          <w:color w:val="231F20"/>
        </w:rPr>
        <w:t>the</w:t>
      </w:r>
      <w:r>
        <w:rPr>
          <w:color w:val="231F20"/>
          <w:spacing w:val="-4"/>
        </w:rPr>
        <w:t> </w:t>
      </w:r>
      <w:r>
        <w:rPr>
          <w:color w:val="231F20"/>
        </w:rPr>
        <w:t>financial</w:t>
      </w:r>
      <w:r>
        <w:rPr>
          <w:color w:val="231F20"/>
          <w:spacing w:val="-4"/>
        </w:rPr>
        <w:t> </w:t>
      </w:r>
      <w:r>
        <w:rPr>
          <w:color w:val="231F20"/>
        </w:rPr>
        <w:t>statements</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business-type</w:t>
      </w:r>
      <w:r>
        <w:rPr>
          <w:color w:val="231F20"/>
          <w:spacing w:val="-4"/>
        </w:rPr>
        <w:t> </w:t>
      </w:r>
      <w:r>
        <w:rPr>
          <w:color w:val="231F20"/>
        </w:rPr>
        <w:t>activities</w:t>
      </w:r>
      <w:r>
        <w:rPr>
          <w:color w:val="231F20"/>
          <w:spacing w:val="-4"/>
        </w:rPr>
        <w:t> </w:t>
      </w:r>
      <w:r>
        <w:rPr>
          <w:color w:val="231F20"/>
        </w:rPr>
        <w:t>and</w:t>
      </w:r>
      <w:r>
        <w:rPr>
          <w:color w:val="231F20"/>
          <w:spacing w:val="-4"/>
        </w:rPr>
        <w:t> </w:t>
      </w:r>
      <w:r>
        <w:rPr>
          <w:color w:val="231F20"/>
        </w:rPr>
        <w:t>the</w:t>
      </w:r>
      <w:r>
        <w:rPr>
          <w:color w:val="231F20"/>
          <w:spacing w:val="-5"/>
        </w:rPr>
        <w:t> </w:t>
      </w:r>
      <w:r>
        <w:rPr>
          <w:color w:val="231F20"/>
        </w:rPr>
        <w:t>discretely</w:t>
      </w:r>
      <w:r>
        <w:rPr>
          <w:color w:val="231F20"/>
          <w:spacing w:val="-3"/>
        </w:rPr>
        <w:t> </w:t>
      </w:r>
      <w:r>
        <w:rPr>
          <w:color w:val="231F20"/>
        </w:rPr>
        <w:t>presented component unit of New Mexico Institute of Mining and Technology (the Institute) as of and for the year ended June 30, 2022, and the related notes to the financial statements, which collectively comprise the Institute’s basic financial statements as listed in the table of contents.</w:t>
      </w:r>
    </w:p>
    <w:p>
      <w:pPr>
        <w:pStyle w:val="BodyText"/>
        <w:spacing w:line="276" w:lineRule="auto" w:before="120"/>
        <w:ind w:left="1620" w:right="1048"/>
      </w:pPr>
      <w:r>
        <w:rPr>
          <w:color w:val="231F20"/>
        </w:rPr>
        <w:t>In our opinion, the accompanying financial statements referred to above present fairly, in all material respects,</w:t>
      </w:r>
      <w:r>
        <w:rPr>
          <w:color w:val="231F20"/>
          <w:spacing w:val="-4"/>
        </w:rPr>
        <w:t> </w:t>
      </w:r>
      <w:r>
        <w:rPr>
          <w:color w:val="231F20"/>
        </w:rPr>
        <w:t>the</w:t>
      </w:r>
      <w:r>
        <w:rPr>
          <w:color w:val="231F20"/>
          <w:spacing w:val="-5"/>
        </w:rPr>
        <w:t> </w:t>
      </w:r>
      <w:r>
        <w:rPr>
          <w:color w:val="231F20"/>
        </w:rPr>
        <w:t>respective</w:t>
      </w:r>
      <w:r>
        <w:rPr>
          <w:color w:val="231F20"/>
          <w:spacing w:val="-4"/>
        </w:rPr>
        <w:t> </w:t>
      </w:r>
      <w:r>
        <w:rPr>
          <w:color w:val="231F20"/>
        </w:rPr>
        <w:t>financial</w:t>
      </w:r>
      <w:r>
        <w:rPr>
          <w:color w:val="231F20"/>
          <w:spacing w:val="-4"/>
        </w:rPr>
        <w:t> </w:t>
      </w:r>
      <w:r>
        <w:rPr>
          <w:color w:val="231F20"/>
        </w:rPr>
        <w:t>position</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business-type</w:t>
      </w:r>
      <w:r>
        <w:rPr>
          <w:color w:val="231F20"/>
          <w:spacing w:val="-4"/>
        </w:rPr>
        <w:t> </w:t>
      </w:r>
      <w:r>
        <w:rPr>
          <w:color w:val="231F20"/>
        </w:rPr>
        <w:t>activities</w:t>
      </w:r>
      <w:r>
        <w:rPr>
          <w:color w:val="231F20"/>
          <w:spacing w:val="-4"/>
        </w:rPr>
        <w:t> </w:t>
      </w:r>
      <w:r>
        <w:rPr>
          <w:color w:val="231F20"/>
        </w:rPr>
        <w:t>and</w:t>
      </w:r>
      <w:r>
        <w:rPr>
          <w:color w:val="231F20"/>
          <w:spacing w:val="-4"/>
        </w:rPr>
        <w:t> </w:t>
      </w:r>
      <w:r>
        <w:rPr>
          <w:color w:val="231F20"/>
        </w:rPr>
        <w:t>the</w:t>
      </w:r>
      <w:r>
        <w:rPr>
          <w:color w:val="231F20"/>
          <w:spacing w:val="-5"/>
        </w:rPr>
        <w:t> </w:t>
      </w:r>
      <w:r>
        <w:rPr>
          <w:color w:val="231F20"/>
        </w:rPr>
        <w:t>discretely</w:t>
      </w:r>
      <w:r>
        <w:rPr>
          <w:color w:val="231F20"/>
          <w:spacing w:val="-3"/>
        </w:rPr>
        <w:t> </w:t>
      </w:r>
      <w:r>
        <w:rPr>
          <w:color w:val="231F20"/>
        </w:rPr>
        <w:t>presented component unit of the New Mexico Institute of Mining and Technology as of June 30, 2022, and the respective changes in financial position and, where applicable, cash flows thereof for the year then ended in accordance with accounting principles generally accepted in the United States of America.</w:t>
      </w:r>
    </w:p>
    <w:p>
      <w:pPr>
        <w:spacing w:before="120"/>
        <w:ind w:left="1620" w:right="0" w:firstLine="0"/>
        <w:jc w:val="left"/>
        <w:rPr>
          <w:rFonts w:ascii="Georgia"/>
          <w:b/>
          <w:i/>
          <w:sz w:val="19"/>
        </w:rPr>
      </w:pPr>
      <w:r>
        <w:rPr>
          <w:rFonts w:ascii="Georgia"/>
          <w:b/>
          <w:i/>
          <w:color w:val="231F20"/>
          <w:sz w:val="19"/>
        </w:rPr>
        <w:t>Basis</w:t>
      </w:r>
      <w:r>
        <w:rPr>
          <w:rFonts w:ascii="Georgia"/>
          <w:b/>
          <w:i/>
          <w:color w:val="231F20"/>
          <w:spacing w:val="-6"/>
          <w:sz w:val="19"/>
        </w:rPr>
        <w:t> </w:t>
      </w:r>
      <w:r>
        <w:rPr>
          <w:rFonts w:ascii="Georgia"/>
          <w:b/>
          <w:i/>
          <w:color w:val="231F20"/>
          <w:sz w:val="19"/>
        </w:rPr>
        <w:t>for</w:t>
      </w:r>
      <w:r>
        <w:rPr>
          <w:rFonts w:ascii="Georgia"/>
          <w:b/>
          <w:i/>
          <w:color w:val="231F20"/>
          <w:spacing w:val="-5"/>
          <w:sz w:val="19"/>
        </w:rPr>
        <w:t> </w:t>
      </w:r>
      <w:r>
        <w:rPr>
          <w:rFonts w:ascii="Georgia"/>
          <w:b/>
          <w:i/>
          <w:color w:val="231F20"/>
          <w:spacing w:val="-2"/>
          <w:sz w:val="19"/>
        </w:rPr>
        <w:t>Opinions</w:t>
      </w:r>
    </w:p>
    <w:p>
      <w:pPr>
        <w:pStyle w:val="BodyText"/>
        <w:spacing w:line="276" w:lineRule="auto" w:before="152"/>
        <w:ind w:left="1620" w:right="1110"/>
      </w:pPr>
      <w:r>
        <w:rPr>
          <w:color w:val="231F20"/>
        </w:rPr>
        <w:t>We conducted our audit in accordance with auditing standards generally accepted in the United States of America (GAAS) and the standards applicable to financial audits contained in </w:t>
      </w:r>
      <w:r>
        <w:rPr>
          <w:i/>
          <w:color w:val="231F20"/>
        </w:rPr>
        <w:t>Government</w:t>
      </w:r>
      <w:r>
        <w:rPr>
          <w:i/>
          <w:color w:val="231F20"/>
        </w:rPr>
        <w:t> Auditing Standards (Government Auditing Standards)</w:t>
      </w:r>
      <w:r>
        <w:rPr>
          <w:color w:val="231F20"/>
        </w:rPr>
        <w:t>, issued by the Comptroller General of the United States. Our responsibilities under those standards are further described in the Auditor’s Responsibilities</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Audit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Financial</w:t>
      </w:r>
      <w:r>
        <w:rPr>
          <w:color w:val="231F20"/>
          <w:spacing w:val="-3"/>
        </w:rPr>
        <w:t> </w:t>
      </w:r>
      <w:r>
        <w:rPr>
          <w:color w:val="231F20"/>
        </w:rPr>
        <w:t>Statements</w:t>
      </w:r>
      <w:r>
        <w:rPr>
          <w:color w:val="231F20"/>
          <w:spacing w:val="-3"/>
        </w:rPr>
        <w:t> </w:t>
      </w:r>
      <w:r>
        <w:rPr>
          <w:color w:val="231F20"/>
        </w:rPr>
        <w:t>section</w:t>
      </w:r>
      <w:r>
        <w:rPr>
          <w:color w:val="231F20"/>
          <w:spacing w:val="-3"/>
        </w:rPr>
        <w:t> </w:t>
      </w:r>
      <w:r>
        <w:rPr>
          <w:color w:val="231F20"/>
        </w:rPr>
        <w:t>of</w:t>
      </w:r>
      <w:r>
        <w:rPr>
          <w:color w:val="231F20"/>
          <w:spacing w:val="-4"/>
        </w:rPr>
        <w:t> </w:t>
      </w:r>
      <w:r>
        <w:rPr>
          <w:color w:val="231F20"/>
        </w:rPr>
        <w:t>our</w:t>
      </w:r>
      <w:r>
        <w:rPr>
          <w:color w:val="231F20"/>
          <w:spacing w:val="-3"/>
        </w:rPr>
        <w:t> </w:t>
      </w:r>
      <w:r>
        <w:rPr>
          <w:color w:val="231F20"/>
        </w:rPr>
        <w:t>report.</w:t>
      </w:r>
      <w:r>
        <w:rPr>
          <w:color w:val="231F20"/>
          <w:spacing w:val="-3"/>
        </w:rPr>
        <w:t> </w:t>
      </w:r>
      <w:r>
        <w:rPr>
          <w:color w:val="231F20"/>
        </w:rPr>
        <w:t>We</w:t>
      </w:r>
      <w:r>
        <w:rPr>
          <w:color w:val="231F20"/>
          <w:spacing w:val="-3"/>
        </w:rPr>
        <w:t> </w:t>
      </w:r>
      <w:r>
        <w:rPr>
          <w:color w:val="231F20"/>
        </w:rPr>
        <w:t>are</w:t>
      </w:r>
      <w:r>
        <w:rPr>
          <w:color w:val="231F20"/>
          <w:spacing w:val="-3"/>
        </w:rPr>
        <w:t> </w:t>
      </w:r>
      <w:r>
        <w:rPr>
          <w:color w:val="231F20"/>
        </w:rPr>
        <w:t>required</w:t>
      </w:r>
      <w:r>
        <w:rPr>
          <w:color w:val="231F20"/>
          <w:spacing w:val="-3"/>
        </w:rPr>
        <w:t> </w:t>
      </w:r>
      <w:r>
        <w:rPr>
          <w:color w:val="231F20"/>
        </w:rPr>
        <w:t>to</w:t>
      </w:r>
      <w:r>
        <w:rPr>
          <w:color w:val="231F20"/>
          <w:spacing w:val="-3"/>
        </w:rPr>
        <w:t> </w:t>
      </w:r>
      <w:r>
        <w:rPr>
          <w:color w:val="231F20"/>
        </w:rPr>
        <w:t>be independent of the Institute and to meet our other ethical responsibilities, in accordance with the relevant ethical requirements relating to our audit. We believe that the audit evidence we have obtained is sufficient and appropriate to provide a basis for our audit opinions.</w:t>
      </w:r>
    </w:p>
    <w:p>
      <w:pPr>
        <w:spacing w:before="120"/>
        <w:ind w:left="1620" w:right="0" w:firstLine="0"/>
        <w:jc w:val="left"/>
        <w:rPr>
          <w:rFonts w:ascii="Georgia"/>
          <w:b/>
          <w:i/>
          <w:sz w:val="19"/>
        </w:rPr>
      </w:pPr>
      <w:r>
        <w:rPr>
          <w:rFonts w:ascii="Georgia"/>
          <w:b/>
          <w:i/>
          <w:color w:val="231F20"/>
          <w:sz w:val="19"/>
        </w:rPr>
        <w:t>Emphasis</w:t>
      </w:r>
      <w:r>
        <w:rPr>
          <w:rFonts w:ascii="Georgia"/>
          <w:b/>
          <w:i/>
          <w:color w:val="231F20"/>
          <w:spacing w:val="-10"/>
          <w:sz w:val="19"/>
        </w:rPr>
        <w:t> </w:t>
      </w:r>
      <w:r>
        <w:rPr>
          <w:rFonts w:ascii="Georgia"/>
          <w:b/>
          <w:i/>
          <w:color w:val="231F20"/>
          <w:sz w:val="19"/>
        </w:rPr>
        <w:t>of</w:t>
      </w:r>
      <w:r>
        <w:rPr>
          <w:rFonts w:ascii="Georgia"/>
          <w:b/>
          <w:i/>
          <w:color w:val="231F20"/>
          <w:spacing w:val="-10"/>
          <w:sz w:val="19"/>
        </w:rPr>
        <w:t> </w:t>
      </w:r>
      <w:r>
        <w:rPr>
          <w:rFonts w:ascii="Georgia"/>
          <w:b/>
          <w:i/>
          <w:color w:val="231F20"/>
          <w:spacing w:val="-2"/>
          <w:sz w:val="19"/>
        </w:rPr>
        <w:t>Matters</w:t>
      </w:r>
    </w:p>
    <w:p>
      <w:pPr>
        <w:spacing w:before="153"/>
        <w:ind w:left="1620" w:right="0" w:firstLine="0"/>
        <w:jc w:val="left"/>
        <w:rPr>
          <w:rFonts w:ascii="Georgia"/>
          <w:i/>
          <w:sz w:val="19"/>
        </w:rPr>
      </w:pPr>
      <w:r>
        <w:rPr>
          <w:rFonts w:ascii="Georgia"/>
          <w:i/>
          <w:color w:val="231F20"/>
          <w:sz w:val="19"/>
        </w:rPr>
        <w:t>Reporting</w:t>
      </w:r>
      <w:r>
        <w:rPr>
          <w:rFonts w:ascii="Georgia"/>
          <w:i/>
          <w:color w:val="231F20"/>
          <w:spacing w:val="-9"/>
          <w:sz w:val="19"/>
        </w:rPr>
        <w:t> </w:t>
      </w:r>
      <w:r>
        <w:rPr>
          <w:rFonts w:ascii="Georgia"/>
          <w:i/>
          <w:color w:val="231F20"/>
          <w:spacing w:val="-2"/>
          <w:sz w:val="19"/>
        </w:rPr>
        <w:t>Entity</w:t>
      </w:r>
    </w:p>
    <w:p>
      <w:pPr>
        <w:pStyle w:val="BodyText"/>
        <w:spacing w:line="276" w:lineRule="auto" w:before="152"/>
        <w:ind w:left="1620" w:right="1110"/>
      </w:pPr>
      <w:r>
        <w:rPr>
          <w:color w:val="231F20"/>
        </w:rPr>
        <w:t>As</w:t>
      </w:r>
      <w:r>
        <w:rPr>
          <w:color w:val="231F20"/>
          <w:spacing w:val="-3"/>
        </w:rPr>
        <w:t> </w:t>
      </w:r>
      <w:r>
        <w:rPr>
          <w:color w:val="231F20"/>
        </w:rPr>
        <w:t>discussed</w:t>
      </w:r>
      <w:r>
        <w:rPr>
          <w:color w:val="231F20"/>
          <w:spacing w:val="-4"/>
        </w:rPr>
        <w:t> </w:t>
      </w:r>
      <w:r>
        <w:rPr>
          <w:color w:val="231F20"/>
        </w:rPr>
        <w:t>in</w:t>
      </w:r>
      <w:r>
        <w:rPr>
          <w:color w:val="231F20"/>
          <w:spacing w:val="-3"/>
        </w:rPr>
        <w:t> </w:t>
      </w:r>
      <w:r>
        <w:rPr>
          <w:color w:val="231F20"/>
        </w:rPr>
        <w:t>Note</w:t>
      </w:r>
      <w:r>
        <w:rPr>
          <w:color w:val="231F20"/>
          <w:spacing w:val="-3"/>
        </w:rPr>
        <w:t> </w:t>
      </w:r>
      <w:r>
        <w:rPr>
          <w:color w:val="231F20"/>
        </w:rPr>
        <w:t>1,</w:t>
      </w:r>
      <w:r>
        <w:rPr>
          <w:color w:val="231F20"/>
          <w:spacing w:val="-3"/>
        </w:rPr>
        <w:t> </w:t>
      </w:r>
      <w:r>
        <w:rPr>
          <w:color w:val="231F20"/>
        </w:rPr>
        <w:t>the</w:t>
      </w:r>
      <w:r>
        <w:rPr>
          <w:color w:val="231F20"/>
          <w:spacing w:val="-3"/>
        </w:rPr>
        <w:t> </w:t>
      </w:r>
      <w:r>
        <w:rPr>
          <w:color w:val="231F20"/>
        </w:rPr>
        <w:t>financial</w:t>
      </w:r>
      <w:r>
        <w:rPr>
          <w:color w:val="231F20"/>
          <w:spacing w:val="-3"/>
        </w:rPr>
        <w:t> </w:t>
      </w:r>
      <w:r>
        <w:rPr>
          <w:color w:val="231F20"/>
        </w:rPr>
        <w:t>statements</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Institute</w:t>
      </w:r>
      <w:r>
        <w:rPr>
          <w:color w:val="231F20"/>
          <w:spacing w:val="-3"/>
        </w:rPr>
        <w:t> </w:t>
      </w:r>
      <w:r>
        <w:rPr>
          <w:color w:val="231F20"/>
        </w:rPr>
        <w:t>are</w:t>
      </w:r>
      <w:r>
        <w:rPr>
          <w:color w:val="231F20"/>
          <w:spacing w:val="-4"/>
        </w:rPr>
        <w:t> </w:t>
      </w:r>
      <w:r>
        <w:rPr>
          <w:color w:val="231F20"/>
        </w:rPr>
        <w:t>intended</w:t>
      </w:r>
      <w:r>
        <w:rPr>
          <w:color w:val="231F20"/>
          <w:spacing w:val="-3"/>
        </w:rPr>
        <w:t> </w:t>
      </w:r>
      <w:r>
        <w:rPr>
          <w:color w:val="231F20"/>
        </w:rPr>
        <w:t>to</w:t>
      </w:r>
      <w:r>
        <w:rPr>
          <w:color w:val="231F20"/>
          <w:spacing w:val="-3"/>
        </w:rPr>
        <w:t> </w:t>
      </w:r>
      <w:r>
        <w:rPr>
          <w:color w:val="231F20"/>
        </w:rPr>
        <w:t>present</w:t>
      </w:r>
      <w:r>
        <w:rPr>
          <w:color w:val="231F20"/>
          <w:spacing w:val="-3"/>
        </w:rPr>
        <w:t> </w:t>
      </w:r>
      <w:r>
        <w:rPr>
          <w:color w:val="231F20"/>
        </w:rPr>
        <w:t>the</w:t>
      </w:r>
      <w:r>
        <w:rPr>
          <w:color w:val="231F20"/>
          <w:spacing w:val="-3"/>
        </w:rPr>
        <w:t> </w:t>
      </w:r>
      <w:r>
        <w:rPr>
          <w:color w:val="231F20"/>
        </w:rPr>
        <w:t>financial position, the changes in financial position, and cash flows of only that portion of the business-type activities of the State of New Mexico that is attributable to the transactions of the Institute. They do not purport to, and do not, present fairly the financial position of the State of New Mexico as of</w:t>
      </w:r>
    </w:p>
    <w:p>
      <w:pPr>
        <w:pStyle w:val="BodyText"/>
        <w:spacing w:line="276" w:lineRule="auto"/>
        <w:ind w:left="1620" w:right="1505"/>
      </w:pPr>
      <w:r>
        <w:rPr>
          <w:color w:val="231F20"/>
        </w:rPr>
        <w:t>June 30, 2022, the change in its financial position, or cash flows for the year then ended in accordance</w:t>
      </w:r>
      <w:r>
        <w:rPr>
          <w:color w:val="231F20"/>
          <w:spacing w:val="-4"/>
        </w:rPr>
        <w:t> </w:t>
      </w:r>
      <w:r>
        <w:rPr>
          <w:color w:val="231F20"/>
        </w:rPr>
        <w:t>with</w:t>
      </w:r>
      <w:r>
        <w:rPr>
          <w:color w:val="231F20"/>
          <w:spacing w:val="-4"/>
        </w:rPr>
        <w:t> </w:t>
      </w:r>
      <w:r>
        <w:rPr>
          <w:color w:val="231F20"/>
        </w:rPr>
        <w:t>accounting</w:t>
      </w:r>
      <w:r>
        <w:rPr>
          <w:color w:val="231F20"/>
          <w:spacing w:val="-4"/>
        </w:rPr>
        <w:t> </w:t>
      </w:r>
      <w:r>
        <w:rPr>
          <w:color w:val="231F20"/>
        </w:rPr>
        <w:t>principles</w:t>
      </w:r>
      <w:r>
        <w:rPr>
          <w:color w:val="231F20"/>
          <w:spacing w:val="-4"/>
        </w:rPr>
        <w:t> </w:t>
      </w:r>
      <w:r>
        <w:rPr>
          <w:color w:val="231F20"/>
        </w:rPr>
        <w:t>generally</w:t>
      </w:r>
      <w:r>
        <w:rPr>
          <w:color w:val="231F20"/>
          <w:spacing w:val="-4"/>
        </w:rPr>
        <w:t> </w:t>
      </w:r>
      <w:r>
        <w:rPr>
          <w:color w:val="231F20"/>
        </w:rPr>
        <w:t>accepted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United</w:t>
      </w:r>
      <w:r>
        <w:rPr>
          <w:color w:val="231F20"/>
          <w:spacing w:val="-4"/>
        </w:rPr>
        <w:t> </w:t>
      </w:r>
      <w:r>
        <w:rPr>
          <w:color w:val="231F20"/>
        </w:rPr>
        <w:t>States</w:t>
      </w:r>
      <w:r>
        <w:rPr>
          <w:color w:val="231F20"/>
          <w:spacing w:val="-4"/>
        </w:rPr>
        <w:t> </w:t>
      </w:r>
      <w:r>
        <w:rPr>
          <w:color w:val="231F20"/>
        </w:rPr>
        <w:t>of</w:t>
      </w:r>
      <w:r>
        <w:rPr>
          <w:color w:val="231F20"/>
          <w:spacing w:val="-4"/>
        </w:rPr>
        <w:t> </w:t>
      </w:r>
      <w:r>
        <w:rPr>
          <w:color w:val="231F20"/>
        </w:rPr>
        <w:t>America.</w:t>
      </w:r>
      <w:r>
        <w:rPr>
          <w:color w:val="231F20"/>
          <w:spacing w:val="-4"/>
        </w:rPr>
        <w:t> </w:t>
      </w:r>
      <w:r>
        <w:rPr>
          <w:color w:val="231F20"/>
        </w:rPr>
        <w:t>Our opinion is not modified with respect to this matter.</w:t>
      </w:r>
    </w:p>
    <w:p>
      <w:pPr>
        <w:pStyle w:val="BodyText"/>
        <w:rPr>
          <w:sz w:val="23"/>
        </w:rPr>
      </w:pPr>
    </w:p>
    <w:p>
      <w:pPr>
        <w:spacing w:before="0"/>
        <w:ind w:left="1620" w:right="0" w:firstLine="0"/>
        <w:jc w:val="left"/>
        <w:rPr>
          <w:rFonts w:ascii="Georgia"/>
          <w:i/>
          <w:sz w:val="19"/>
        </w:rPr>
      </w:pPr>
      <w:r>
        <w:rPr>
          <w:rFonts w:ascii="Georgia"/>
          <w:i/>
          <w:color w:val="231F20"/>
          <w:sz w:val="19"/>
        </w:rPr>
        <w:t>Change</w:t>
      </w:r>
      <w:r>
        <w:rPr>
          <w:rFonts w:ascii="Georgia"/>
          <w:i/>
          <w:color w:val="231F20"/>
          <w:spacing w:val="-7"/>
          <w:sz w:val="19"/>
        </w:rPr>
        <w:t> </w:t>
      </w:r>
      <w:r>
        <w:rPr>
          <w:rFonts w:ascii="Georgia"/>
          <w:i/>
          <w:color w:val="231F20"/>
          <w:sz w:val="19"/>
        </w:rPr>
        <w:t>in</w:t>
      </w:r>
      <w:r>
        <w:rPr>
          <w:rFonts w:ascii="Georgia"/>
          <w:i/>
          <w:color w:val="231F20"/>
          <w:spacing w:val="-7"/>
          <w:sz w:val="19"/>
        </w:rPr>
        <w:t> </w:t>
      </w:r>
      <w:r>
        <w:rPr>
          <w:rFonts w:ascii="Georgia"/>
          <w:i/>
          <w:color w:val="231F20"/>
          <w:sz w:val="19"/>
        </w:rPr>
        <w:t>Accounting</w:t>
      </w:r>
      <w:r>
        <w:rPr>
          <w:rFonts w:ascii="Georgia"/>
          <w:i/>
          <w:color w:val="231F20"/>
          <w:spacing w:val="-6"/>
          <w:sz w:val="19"/>
        </w:rPr>
        <w:t> </w:t>
      </w:r>
      <w:r>
        <w:rPr>
          <w:rFonts w:ascii="Georgia"/>
          <w:i/>
          <w:color w:val="231F20"/>
          <w:spacing w:val="-2"/>
          <w:sz w:val="19"/>
        </w:rPr>
        <w:t>Principle</w:t>
      </w:r>
    </w:p>
    <w:p>
      <w:pPr>
        <w:pStyle w:val="BodyText"/>
        <w:spacing w:line="276" w:lineRule="auto" w:before="152"/>
        <w:ind w:left="1620" w:right="1048" w:hanging="1"/>
      </w:pPr>
      <w:r>
        <w:rPr>
          <w:color w:val="231F20"/>
        </w:rPr>
        <w:t>As</w:t>
      </w:r>
      <w:r>
        <w:rPr>
          <w:color w:val="231F20"/>
          <w:spacing w:val="-3"/>
        </w:rPr>
        <w:t> </w:t>
      </w:r>
      <w:r>
        <w:rPr>
          <w:color w:val="231F20"/>
        </w:rPr>
        <w:t>discussed</w:t>
      </w:r>
      <w:r>
        <w:rPr>
          <w:color w:val="231F20"/>
          <w:spacing w:val="-3"/>
        </w:rPr>
        <w:t> </w:t>
      </w:r>
      <w:r>
        <w:rPr>
          <w:color w:val="231F20"/>
        </w:rPr>
        <w:t>in</w:t>
      </w:r>
      <w:r>
        <w:rPr>
          <w:color w:val="231F20"/>
          <w:spacing w:val="-3"/>
        </w:rPr>
        <w:t> </w:t>
      </w:r>
      <w:r>
        <w:rPr>
          <w:color w:val="231F20"/>
        </w:rPr>
        <w:t>Note</w:t>
      </w:r>
      <w:r>
        <w:rPr>
          <w:color w:val="231F20"/>
          <w:spacing w:val="-3"/>
        </w:rPr>
        <w:t> </w:t>
      </w:r>
      <w:r>
        <w:rPr>
          <w:color w:val="231F20"/>
        </w:rPr>
        <w:t>2,</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adopted</w:t>
      </w:r>
      <w:r>
        <w:rPr>
          <w:color w:val="231F20"/>
          <w:spacing w:val="-3"/>
        </w:rPr>
        <w:t> </w:t>
      </w:r>
      <w:r>
        <w:rPr>
          <w:color w:val="231F20"/>
        </w:rPr>
        <w:t>Governmental</w:t>
      </w:r>
      <w:r>
        <w:rPr>
          <w:color w:val="231F20"/>
          <w:spacing w:val="-3"/>
        </w:rPr>
        <w:t> </w:t>
      </w:r>
      <w:r>
        <w:rPr>
          <w:color w:val="231F20"/>
        </w:rPr>
        <w:t>Accounting</w:t>
      </w:r>
      <w:r>
        <w:rPr>
          <w:color w:val="231F20"/>
          <w:spacing w:val="-3"/>
        </w:rPr>
        <w:t> </w:t>
      </w:r>
      <w:r>
        <w:rPr>
          <w:color w:val="231F20"/>
        </w:rPr>
        <w:t>Standards</w:t>
      </w:r>
      <w:r>
        <w:rPr>
          <w:color w:val="231F20"/>
          <w:spacing w:val="-3"/>
        </w:rPr>
        <w:t> </w:t>
      </w:r>
      <w:r>
        <w:rPr>
          <w:color w:val="231F20"/>
        </w:rPr>
        <w:t>Board</w:t>
      </w:r>
      <w:r>
        <w:rPr>
          <w:color w:val="231F20"/>
          <w:spacing w:val="-3"/>
        </w:rPr>
        <w:t> </w:t>
      </w:r>
      <w:r>
        <w:rPr>
          <w:color w:val="231F20"/>
        </w:rPr>
        <w:t>(GASB) Statement No. 87, </w:t>
      </w:r>
      <w:r>
        <w:rPr>
          <w:i/>
          <w:color w:val="231F20"/>
        </w:rPr>
        <w:t>Leases</w:t>
      </w:r>
      <w:r>
        <w:rPr>
          <w:color w:val="231F20"/>
        </w:rPr>
        <w:t>. Our opinion is not modified with respect to this matter.</w:t>
      </w:r>
    </w:p>
    <w:p>
      <w:pPr>
        <w:spacing w:after="0" w:line="276" w:lineRule="auto"/>
        <w:sectPr>
          <w:footerReference w:type="default" r:id="rId12"/>
          <w:pgSz w:w="12240" w:h="15840"/>
          <w:pgMar w:footer="743" w:header="0" w:top="1140" w:bottom="940" w:left="0" w:right="580"/>
          <w:pgNumType w:start="1"/>
        </w:sectPr>
      </w:pPr>
    </w:p>
    <w:p>
      <w:pPr>
        <w:spacing w:before="79"/>
        <w:ind w:left="1620" w:right="0" w:firstLine="0"/>
        <w:jc w:val="left"/>
        <w:rPr>
          <w:rFonts w:ascii="Georgia"/>
          <w:b/>
          <w:i/>
          <w:sz w:val="19"/>
        </w:rPr>
      </w:pPr>
      <w:r>
        <w:rPr>
          <w:rFonts w:ascii="Georgia"/>
          <w:b/>
          <w:i/>
          <w:color w:val="231F20"/>
          <w:sz w:val="19"/>
        </w:rPr>
        <w:t>Responsibilities</w:t>
      </w:r>
      <w:r>
        <w:rPr>
          <w:rFonts w:ascii="Georgia"/>
          <w:b/>
          <w:i/>
          <w:color w:val="231F20"/>
          <w:spacing w:val="-10"/>
          <w:sz w:val="19"/>
        </w:rPr>
        <w:t> </w:t>
      </w:r>
      <w:r>
        <w:rPr>
          <w:rFonts w:ascii="Georgia"/>
          <w:b/>
          <w:i/>
          <w:color w:val="231F20"/>
          <w:sz w:val="19"/>
        </w:rPr>
        <w:t>of</w:t>
      </w:r>
      <w:r>
        <w:rPr>
          <w:rFonts w:ascii="Georgia"/>
          <w:b/>
          <w:i/>
          <w:color w:val="231F20"/>
          <w:spacing w:val="-9"/>
          <w:sz w:val="19"/>
        </w:rPr>
        <w:t> </w:t>
      </w:r>
      <w:r>
        <w:rPr>
          <w:rFonts w:ascii="Georgia"/>
          <w:b/>
          <w:i/>
          <w:color w:val="231F20"/>
          <w:sz w:val="19"/>
        </w:rPr>
        <w:t>Management</w:t>
      </w:r>
      <w:r>
        <w:rPr>
          <w:rFonts w:ascii="Georgia"/>
          <w:b/>
          <w:i/>
          <w:color w:val="231F20"/>
          <w:spacing w:val="-9"/>
          <w:sz w:val="19"/>
        </w:rPr>
        <w:t> </w:t>
      </w:r>
      <w:r>
        <w:rPr>
          <w:rFonts w:ascii="Georgia"/>
          <w:b/>
          <w:i/>
          <w:color w:val="231F20"/>
          <w:sz w:val="19"/>
        </w:rPr>
        <w:t>for</w:t>
      </w:r>
      <w:r>
        <w:rPr>
          <w:rFonts w:ascii="Georgia"/>
          <w:b/>
          <w:i/>
          <w:color w:val="231F20"/>
          <w:spacing w:val="-9"/>
          <w:sz w:val="19"/>
        </w:rPr>
        <w:t> </w:t>
      </w:r>
      <w:r>
        <w:rPr>
          <w:rFonts w:ascii="Georgia"/>
          <w:b/>
          <w:i/>
          <w:color w:val="231F20"/>
          <w:sz w:val="19"/>
        </w:rPr>
        <w:t>the</w:t>
      </w:r>
      <w:r>
        <w:rPr>
          <w:rFonts w:ascii="Georgia"/>
          <w:b/>
          <w:i/>
          <w:color w:val="231F20"/>
          <w:spacing w:val="-9"/>
          <w:sz w:val="19"/>
        </w:rPr>
        <w:t> </w:t>
      </w:r>
      <w:r>
        <w:rPr>
          <w:rFonts w:ascii="Georgia"/>
          <w:b/>
          <w:i/>
          <w:color w:val="231F20"/>
          <w:sz w:val="19"/>
        </w:rPr>
        <w:t>Financial</w:t>
      </w:r>
      <w:r>
        <w:rPr>
          <w:rFonts w:ascii="Georgia"/>
          <w:b/>
          <w:i/>
          <w:color w:val="231F20"/>
          <w:spacing w:val="-9"/>
          <w:sz w:val="19"/>
        </w:rPr>
        <w:t> </w:t>
      </w:r>
      <w:r>
        <w:rPr>
          <w:rFonts w:ascii="Georgia"/>
          <w:b/>
          <w:i/>
          <w:color w:val="231F20"/>
          <w:spacing w:val="-2"/>
          <w:sz w:val="19"/>
        </w:rPr>
        <w:t>Statements</w:t>
      </w:r>
    </w:p>
    <w:p>
      <w:pPr>
        <w:pStyle w:val="BodyText"/>
        <w:spacing w:line="276" w:lineRule="auto" w:before="153"/>
        <w:ind w:left="1620" w:right="1048"/>
      </w:pPr>
      <w:r>
        <w:rPr>
          <w:color w:val="231F20"/>
        </w:rPr>
        <w:t>Management is responsible for the preparation and fair presentation of the financial statements in accordance</w:t>
      </w:r>
      <w:r>
        <w:rPr>
          <w:color w:val="231F20"/>
          <w:spacing w:val="-4"/>
        </w:rPr>
        <w:t> </w:t>
      </w:r>
      <w:r>
        <w:rPr>
          <w:color w:val="231F20"/>
        </w:rPr>
        <w:t>with</w:t>
      </w:r>
      <w:r>
        <w:rPr>
          <w:color w:val="231F20"/>
          <w:spacing w:val="-3"/>
        </w:rPr>
        <w:t> </w:t>
      </w:r>
      <w:r>
        <w:rPr>
          <w:color w:val="231F20"/>
        </w:rPr>
        <w:t>accounting</w:t>
      </w:r>
      <w:r>
        <w:rPr>
          <w:color w:val="231F20"/>
          <w:spacing w:val="-3"/>
        </w:rPr>
        <w:t> </w:t>
      </w:r>
      <w:r>
        <w:rPr>
          <w:color w:val="231F20"/>
        </w:rPr>
        <w:t>principles</w:t>
      </w:r>
      <w:r>
        <w:rPr>
          <w:color w:val="231F20"/>
          <w:spacing w:val="-4"/>
        </w:rPr>
        <w:t> </w:t>
      </w:r>
      <w:r>
        <w:rPr>
          <w:color w:val="231F20"/>
        </w:rPr>
        <w:t>generally</w:t>
      </w:r>
      <w:r>
        <w:rPr>
          <w:color w:val="231F20"/>
          <w:spacing w:val="-3"/>
        </w:rPr>
        <w:t> </w:t>
      </w:r>
      <w:r>
        <w:rPr>
          <w:color w:val="231F20"/>
        </w:rPr>
        <w:t>accepted</w:t>
      </w:r>
      <w:r>
        <w:rPr>
          <w:color w:val="231F20"/>
          <w:spacing w:val="-3"/>
        </w:rPr>
        <w:t> </w:t>
      </w:r>
      <w:r>
        <w:rPr>
          <w:color w:val="231F20"/>
        </w:rPr>
        <w:t>in</w:t>
      </w:r>
      <w:r>
        <w:rPr>
          <w:color w:val="231F20"/>
          <w:spacing w:val="-3"/>
        </w:rPr>
        <w:t> </w:t>
      </w:r>
      <w:r>
        <w:rPr>
          <w:color w:val="231F20"/>
        </w:rPr>
        <w:t>the</w:t>
      </w:r>
      <w:r>
        <w:rPr>
          <w:color w:val="231F20"/>
          <w:spacing w:val="-4"/>
        </w:rPr>
        <w:t> </w:t>
      </w:r>
      <w:r>
        <w:rPr>
          <w:color w:val="231F20"/>
        </w:rPr>
        <w:t>United</w:t>
      </w:r>
      <w:r>
        <w:rPr>
          <w:color w:val="231F20"/>
          <w:spacing w:val="-3"/>
        </w:rPr>
        <w:t> </w:t>
      </w:r>
      <w:r>
        <w:rPr>
          <w:color w:val="231F20"/>
        </w:rPr>
        <w:t>States</w:t>
      </w:r>
      <w:r>
        <w:rPr>
          <w:color w:val="231F20"/>
          <w:spacing w:val="-3"/>
        </w:rPr>
        <w:t> </w:t>
      </w:r>
      <w:r>
        <w:rPr>
          <w:color w:val="231F20"/>
        </w:rPr>
        <w:t>of</w:t>
      </w:r>
      <w:r>
        <w:rPr>
          <w:color w:val="231F20"/>
          <w:spacing w:val="-3"/>
        </w:rPr>
        <w:t> </w:t>
      </w:r>
      <w:r>
        <w:rPr>
          <w:color w:val="231F20"/>
        </w:rPr>
        <w:t>America,</w:t>
      </w:r>
      <w:r>
        <w:rPr>
          <w:color w:val="231F20"/>
          <w:spacing w:val="-4"/>
        </w:rPr>
        <w:t> </w:t>
      </w:r>
      <w:r>
        <w:rPr>
          <w:color w:val="231F20"/>
        </w:rPr>
        <w:t>and</w:t>
      </w:r>
      <w:r>
        <w:rPr>
          <w:color w:val="231F20"/>
          <w:spacing w:val="-3"/>
        </w:rPr>
        <w:t> </w:t>
      </w:r>
      <w:r>
        <w:rPr>
          <w:color w:val="231F20"/>
        </w:rPr>
        <w:t>for</w:t>
      </w:r>
      <w:r>
        <w:rPr>
          <w:color w:val="231F20"/>
          <w:spacing w:val="-3"/>
        </w:rPr>
        <w:t> </w:t>
      </w:r>
      <w:r>
        <w:rPr>
          <w:color w:val="231F20"/>
        </w:rPr>
        <w:t>the design, implementation, and maintenance of internal control relevant to the preparation and fair presentation of financial statements that are free from material misstatement, whether due to fraud or </w:t>
      </w:r>
      <w:r>
        <w:rPr>
          <w:color w:val="231F20"/>
          <w:spacing w:val="-2"/>
        </w:rPr>
        <w:t>error.</w:t>
      </w:r>
    </w:p>
    <w:p>
      <w:pPr>
        <w:pStyle w:val="BodyText"/>
        <w:spacing w:line="276" w:lineRule="auto" w:before="120"/>
        <w:ind w:left="1620" w:right="1289"/>
      </w:pPr>
      <w:r>
        <w:rPr>
          <w:color w:val="231F20"/>
        </w:rPr>
        <w:t>In preparing the financial statements, management is required to evaluate whether there are conditions</w:t>
      </w:r>
      <w:r>
        <w:rPr>
          <w:color w:val="231F20"/>
          <w:spacing w:val="-4"/>
        </w:rPr>
        <w:t> </w:t>
      </w:r>
      <w:r>
        <w:rPr>
          <w:color w:val="231F20"/>
        </w:rPr>
        <w:t>or</w:t>
      </w:r>
      <w:r>
        <w:rPr>
          <w:color w:val="231F20"/>
          <w:spacing w:val="-4"/>
        </w:rPr>
        <w:t> </w:t>
      </w:r>
      <w:r>
        <w:rPr>
          <w:color w:val="231F20"/>
        </w:rPr>
        <w:t>events,</w:t>
      </w:r>
      <w:r>
        <w:rPr>
          <w:color w:val="231F20"/>
          <w:spacing w:val="-4"/>
        </w:rPr>
        <w:t> </w:t>
      </w:r>
      <w:r>
        <w:rPr>
          <w:color w:val="231F20"/>
        </w:rPr>
        <w:t>considered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aggregate,</w:t>
      </w:r>
      <w:r>
        <w:rPr>
          <w:color w:val="231F20"/>
          <w:spacing w:val="-2"/>
        </w:rPr>
        <w:t> </w:t>
      </w:r>
      <w:r>
        <w:rPr>
          <w:color w:val="231F20"/>
        </w:rPr>
        <w:t>that</w:t>
      </w:r>
      <w:r>
        <w:rPr>
          <w:color w:val="231F20"/>
          <w:spacing w:val="-4"/>
        </w:rPr>
        <w:t> </w:t>
      </w:r>
      <w:r>
        <w:rPr>
          <w:color w:val="231F20"/>
        </w:rPr>
        <w:t>raise</w:t>
      </w:r>
      <w:r>
        <w:rPr>
          <w:color w:val="231F20"/>
          <w:spacing w:val="-4"/>
        </w:rPr>
        <w:t> </w:t>
      </w:r>
      <w:r>
        <w:rPr>
          <w:color w:val="231F20"/>
        </w:rPr>
        <w:t>substantial</w:t>
      </w:r>
      <w:r>
        <w:rPr>
          <w:color w:val="231F20"/>
          <w:spacing w:val="-4"/>
        </w:rPr>
        <w:t> </w:t>
      </w:r>
      <w:r>
        <w:rPr>
          <w:color w:val="231F20"/>
        </w:rPr>
        <w:t>doubt</w:t>
      </w:r>
      <w:r>
        <w:rPr>
          <w:color w:val="231F20"/>
          <w:spacing w:val="-4"/>
        </w:rPr>
        <w:t> </w:t>
      </w:r>
      <w:r>
        <w:rPr>
          <w:color w:val="231F20"/>
        </w:rPr>
        <w:t>about</w:t>
      </w:r>
      <w:r>
        <w:rPr>
          <w:color w:val="231F20"/>
          <w:spacing w:val="-4"/>
        </w:rPr>
        <w:t> </w:t>
      </w:r>
      <w:r>
        <w:rPr>
          <w:color w:val="231F20"/>
        </w:rPr>
        <w:t>the</w:t>
      </w:r>
      <w:r>
        <w:rPr>
          <w:color w:val="231F20"/>
          <w:spacing w:val="-4"/>
        </w:rPr>
        <w:t> </w:t>
      </w:r>
      <w:r>
        <w:rPr>
          <w:color w:val="231F20"/>
        </w:rPr>
        <w:t>Institute’s ability to continue as a going concern for twelve months beyond the financial statement date, including any currently known information that may raise substantial doubt shortly thereafter.</w:t>
      </w:r>
    </w:p>
    <w:p>
      <w:pPr>
        <w:spacing w:before="119"/>
        <w:ind w:left="1620" w:right="0" w:firstLine="0"/>
        <w:jc w:val="left"/>
        <w:rPr>
          <w:rFonts w:ascii="Georgia" w:hAnsi="Georgia"/>
          <w:b/>
          <w:i/>
          <w:sz w:val="19"/>
        </w:rPr>
      </w:pPr>
      <w:r>
        <w:rPr>
          <w:rFonts w:ascii="Georgia" w:hAnsi="Georgia"/>
          <w:b/>
          <w:i/>
          <w:color w:val="231F20"/>
          <w:sz w:val="19"/>
        </w:rPr>
        <w:t>Auditor’s</w:t>
      </w:r>
      <w:r>
        <w:rPr>
          <w:rFonts w:ascii="Georgia" w:hAnsi="Georgia"/>
          <w:b/>
          <w:i/>
          <w:color w:val="231F20"/>
          <w:spacing w:val="-8"/>
          <w:sz w:val="19"/>
        </w:rPr>
        <w:t> </w:t>
      </w:r>
      <w:r>
        <w:rPr>
          <w:rFonts w:ascii="Georgia" w:hAnsi="Georgia"/>
          <w:b/>
          <w:i/>
          <w:color w:val="231F20"/>
          <w:sz w:val="19"/>
        </w:rPr>
        <w:t>Responsibilities</w:t>
      </w:r>
      <w:r>
        <w:rPr>
          <w:rFonts w:ascii="Georgia" w:hAnsi="Georgia"/>
          <w:b/>
          <w:i/>
          <w:color w:val="231F20"/>
          <w:spacing w:val="-7"/>
          <w:sz w:val="19"/>
        </w:rPr>
        <w:t> </w:t>
      </w:r>
      <w:r>
        <w:rPr>
          <w:rFonts w:ascii="Georgia" w:hAnsi="Georgia"/>
          <w:b/>
          <w:i/>
          <w:color w:val="231F20"/>
          <w:sz w:val="19"/>
        </w:rPr>
        <w:t>for</w:t>
      </w:r>
      <w:r>
        <w:rPr>
          <w:rFonts w:ascii="Georgia" w:hAnsi="Georgia"/>
          <w:b/>
          <w:i/>
          <w:color w:val="231F20"/>
          <w:spacing w:val="-6"/>
          <w:sz w:val="19"/>
        </w:rPr>
        <w:t> </w:t>
      </w:r>
      <w:r>
        <w:rPr>
          <w:rFonts w:ascii="Georgia" w:hAnsi="Georgia"/>
          <w:b/>
          <w:i/>
          <w:color w:val="231F20"/>
          <w:sz w:val="19"/>
        </w:rPr>
        <w:t>the</w:t>
      </w:r>
      <w:r>
        <w:rPr>
          <w:rFonts w:ascii="Georgia" w:hAnsi="Georgia"/>
          <w:b/>
          <w:i/>
          <w:color w:val="231F20"/>
          <w:spacing w:val="-6"/>
          <w:sz w:val="19"/>
        </w:rPr>
        <w:t> </w:t>
      </w:r>
      <w:r>
        <w:rPr>
          <w:rFonts w:ascii="Georgia" w:hAnsi="Georgia"/>
          <w:b/>
          <w:i/>
          <w:color w:val="231F20"/>
          <w:sz w:val="19"/>
        </w:rPr>
        <w:t>Audit</w:t>
      </w:r>
      <w:r>
        <w:rPr>
          <w:rFonts w:ascii="Georgia" w:hAnsi="Georgia"/>
          <w:b/>
          <w:i/>
          <w:color w:val="231F20"/>
          <w:spacing w:val="-6"/>
          <w:sz w:val="19"/>
        </w:rPr>
        <w:t> </w:t>
      </w:r>
      <w:r>
        <w:rPr>
          <w:rFonts w:ascii="Georgia" w:hAnsi="Georgia"/>
          <w:b/>
          <w:i/>
          <w:color w:val="231F20"/>
          <w:sz w:val="19"/>
        </w:rPr>
        <w:t>of</w:t>
      </w:r>
      <w:r>
        <w:rPr>
          <w:rFonts w:ascii="Georgia" w:hAnsi="Georgia"/>
          <w:b/>
          <w:i/>
          <w:color w:val="231F20"/>
          <w:spacing w:val="-6"/>
          <w:sz w:val="19"/>
        </w:rPr>
        <w:t> </w:t>
      </w:r>
      <w:r>
        <w:rPr>
          <w:rFonts w:ascii="Georgia" w:hAnsi="Georgia"/>
          <w:b/>
          <w:i/>
          <w:color w:val="231F20"/>
          <w:sz w:val="19"/>
        </w:rPr>
        <w:t>the</w:t>
      </w:r>
      <w:r>
        <w:rPr>
          <w:rFonts w:ascii="Georgia" w:hAnsi="Georgia"/>
          <w:b/>
          <w:i/>
          <w:color w:val="231F20"/>
          <w:spacing w:val="-5"/>
          <w:sz w:val="19"/>
        </w:rPr>
        <w:t> </w:t>
      </w:r>
      <w:r>
        <w:rPr>
          <w:rFonts w:ascii="Georgia" w:hAnsi="Georgia"/>
          <w:b/>
          <w:i/>
          <w:color w:val="231F20"/>
          <w:sz w:val="19"/>
        </w:rPr>
        <w:t>Financial</w:t>
      </w:r>
      <w:r>
        <w:rPr>
          <w:rFonts w:ascii="Georgia" w:hAnsi="Georgia"/>
          <w:b/>
          <w:i/>
          <w:color w:val="231F20"/>
          <w:spacing w:val="-7"/>
          <w:sz w:val="19"/>
        </w:rPr>
        <w:t> </w:t>
      </w:r>
      <w:r>
        <w:rPr>
          <w:rFonts w:ascii="Georgia" w:hAnsi="Georgia"/>
          <w:b/>
          <w:i/>
          <w:color w:val="231F20"/>
          <w:spacing w:val="-2"/>
          <w:sz w:val="19"/>
        </w:rPr>
        <w:t>Statements</w:t>
      </w:r>
    </w:p>
    <w:p>
      <w:pPr>
        <w:pStyle w:val="BodyText"/>
        <w:spacing w:line="276" w:lineRule="auto" w:before="153"/>
        <w:ind w:left="1620" w:right="1055"/>
      </w:pPr>
      <w:r>
        <w:rPr>
          <w:color w:val="231F20"/>
        </w:rPr>
        <w:t>Our</w:t>
      </w:r>
      <w:r>
        <w:rPr>
          <w:color w:val="231F20"/>
          <w:spacing w:val="-3"/>
        </w:rPr>
        <w:t> </w:t>
      </w:r>
      <w:r>
        <w:rPr>
          <w:color w:val="231F20"/>
        </w:rPr>
        <w:t>objectives</w:t>
      </w:r>
      <w:r>
        <w:rPr>
          <w:color w:val="231F20"/>
          <w:spacing w:val="-3"/>
        </w:rPr>
        <w:t> </w:t>
      </w:r>
      <w:r>
        <w:rPr>
          <w:color w:val="231F20"/>
        </w:rPr>
        <w:t>are</w:t>
      </w:r>
      <w:r>
        <w:rPr>
          <w:color w:val="231F20"/>
          <w:spacing w:val="-3"/>
        </w:rPr>
        <w:t> </w:t>
      </w:r>
      <w:r>
        <w:rPr>
          <w:color w:val="231F20"/>
        </w:rPr>
        <w:t>to</w:t>
      </w:r>
      <w:r>
        <w:rPr>
          <w:color w:val="231F20"/>
          <w:spacing w:val="-3"/>
        </w:rPr>
        <w:t> </w:t>
      </w:r>
      <w:r>
        <w:rPr>
          <w:color w:val="231F20"/>
        </w:rPr>
        <w:t>obtain</w:t>
      </w:r>
      <w:r>
        <w:rPr>
          <w:color w:val="231F20"/>
          <w:spacing w:val="-3"/>
        </w:rPr>
        <w:t> </w:t>
      </w:r>
      <w:r>
        <w:rPr>
          <w:color w:val="231F20"/>
        </w:rPr>
        <w:t>reasonable</w:t>
      </w:r>
      <w:r>
        <w:rPr>
          <w:color w:val="231F20"/>
          <w:spacing w:val="-4"/>
        </w:rPr>
        <w:t> </w:t>
      </w:r>
      <w:r>
        <w:rPr>
          <w:color w:val="231F20"/>
        </w:rPr>
        <w:t>assurance</w:t>
      </w:r>
      <w:r>
        <w:rPr>
          <w:color w:val="231F20"/>
          <w:spacing w:val="-3"/>
        </w:rPr>
        <w:t> </w:t>
      </w:r>
      <w:r>
        <w:rPr>
          <w:color w:val="231F20"/>
        </w:rPr>
        <w:t>about</w:t>
      </w:r>
      <w:r>
        <w:rPr>
          <w:color w:val="231F20"/>
          <w:spacing w:val="-3"/>
        </w:rPr>
        <w:t> </w:t>
      </w:r>
      <w:r>
        <w:rPr>
          <w:color w:val="231F20"/>
        </w:rPr>
        <w:t>whether</w:t>
      </w:r>
      <w:r>
        <w:rPr>
          <w:color w:val="231F20"/>
          <w:spacing w:val="-3"/>
        </w:rPr>
        <w:t> </w:t>
      </w:r>
      <w:r>
        <w:rPr>
          <w:color w:val="231F20"/>
        </w:rPr>
        <w:t>the</w:t>
      </w:r>
      <w:r>
        <w:rPr>
          <w:color w:val="231F20"/>
          <w:spacing w:val="-3"/>
        </w:rPr>
        <w:t> </w:t>
      </w:r>
      <w:r>
        <w:rPr>
          <w:color w:val="231F20"/>
        </w:rPr>
        <w:t>financial</w:t>
      </w:r>
      <w:r>
        <w:rPr>
          <w:color w:val="231F20"/>
          <w:spacing w:val="-3"/>
        </w:rPr>
        <w:t> </w:t>
      </w:r>
      <w:r>
        <w:rPr>
          <w:color w:val="231F20"/>
        </w:rPr>
        <w:t>statements</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whole are free from material misstatement, whether due to fraud or error, and to issue an auditor’s report that includes our opinions. Reasonable assurance is a high level of assurance but is not absolute assurance and therefore is not a guarantee that an audit conducted in accordance with GAAS and </w:t>
      </w:r>
      <w:r>
        <w:rPr>
          <w:i/>
          <w:color w:val="231F20"/>
        </w:rPr>
        <w:t>Government</w:t>
      </w:r>
      <w:r>
        <w:rPr>
          <w:i/>
          <w:color w:val="231F20"/>
          <w:spacing w:val="-2"/>
        </w:rPr>
        <w:t> </w:t>
      </w:r>
      <w:r>
        <w:rPr>
          <w:i/>
          <w:color w:val="231F20"/>
        </w:rPr>
        <w:t>Auditing</w:t>
      </w:r>
      <w:r>
        <w:rPr>
          <w:i/>
          <w:color w:val="231F20"/>
          <w:spacing w:val="-1"/>
        </w:rPr>
        <w:t> </w:t>
      </w:r>
      <w:r>
        <w:rPr>
          <w:i/>
          <w:color w:val="231F20"/>
        </w:rPr>
        <w:t>Standards </w:t>
      </w:r>
      <w:r>
        <w:rPr>
          <w:color w:val="231F20"/>
        </w:rPr>
        <w:t>will</w:t>
      </w:r>
      <w:r>
        <w:rPr>
          <w:color w:val="231F20"/>
          <w:spacing w:val="-1"/>
        </w:rPr>
        <w:t> </w:t>
      </w:r>
      <w:r>
        <w:rPr>
          <w:color w:val="231F20"/>
        </w:rPr>
        <w:t>always</w:t>
      </w:r>
      <w:r>
        <w:rPr>
          <w:color w:val="231F20"/>
          <w:spacing w:val="-1"/>
        </w:rPr>
        <w:t> </w:t>
      </w:r>
      <w:r>
        <w:rPr>
          <w:color w:val="231F20"/>
        </w:rPr>
        <w:t>detect</w:t>
      </w:r>
      <w:r>
        <w:rPr>
          <w:color w:val="231F20"/>
          <w:spacing w:val="-1"/>
        </w:rPr>
        <w:t> </w:t>
      </w:r>
      <w:r>
        <w:rPr>
          <w:color w:val="231F20"/>
        </w:rPr>
        <w:t>a</w:t>
      </w:r>
      <w:r>
        <w:rPr>
          <w:color w:val="231F20"/>
          <w:spacing w:val="-1"/>
        </w:rPr>
        <w:t> </w:t>
      </w:r>
      <w:r>
        <w:rPr>
          <w:color w:val="231F20"/>
        </w:rPr>
        <w:t>material</w:t>
      </w:r>
      <w:r>
        <w:rPr>
          <w:color w:val="231F20"/>
          <w:spacing w:val="-1"/>
        </w:rPr>
        <w:t> </w:t>
      </w:r>
      <w:r>
        <w:rPr>
          <w:color w:val="231F20"/>
        </w:rPr>
        <w:t>misstatement</w:t>
      </w:r>
      <w:r>
        <w:rPr>
          <w:color w:val="231F20"/>
          <w:spacing w:val="-1"/>
        </w:rPr>
        <w:t> </w:t>
      </w:r>
      <w:r>
        <w:rPr>
          <w:color w:val="231F20"/>
        </w:rPr>
        <w:t>when</w:t>
      </w:r>
      <w:r>
        <w:rPr>
          <w:color w:val="231F20"/>
          <w:spacing w:val="-1"/>
        </w:rPr>
        <w:t> </w:t>
      </w:r>
      <w:r>
        <w:rPr>
          <w:color w:val="231F20"/>
        </w:rPr>
        <w:t>it</w:t>
      </w:r>
      <w:r>
        <w:rPr>
          <w:color w:val="231F20"/>
          <w:spacing w:val="-1"/>
        </w:rPr>
        <w:t> </w:t>
      </w:r>
      <w:r>
        <w:rPr>
          <w:color w:val="231F20"/>
        </w:rPr>
        <w:t>exists.</w:t>
      </w:r>
      <w:r>
        <w:rPr>
          <w:color w:val="231F20"/>
          <w:spacing w:val="-1"/>
        </w:rPr>
        <w:t> </w:t>
      </w:r>
      <w:r>
        <w:rPr>
          <w:color w:val="231F20"/>
        </w:rPr>
        <w:t>The</w:t>
      </w:r>
      <w:r>
        <w:rPr>
          <w:color w:val="231F20"/>
          <w:spacing w:val="-1"/>
        </w:rPr>
        <w:t> </w:t>
      </w:r>
      <w:r>
        <w:rPr>
          <w:color w:val="231F20"/>
        </w:rPr>
        <w:t>risk</w:t>
      </w:r>
      <w:r>
        <w:rPr>
          <w:color w:val="231F20"/>
          <w:spacing w:val="-1"/>
        </w:rPr>
        <w:t> </w:t>
      </w:r>
      <w:r>
        <w:rPr>
          <w:color w:val="231F20"/>
        </w:rPr>
        <w:t>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w:t>
      </w:r>
      <w:r>
        <w:rPr>
          <w:color w:val="231F20"/>
          <w:spacing w:val="-1"/>
        </w:rPr>
        <w:t> </w:t>
      </w:r>
      <w:r>
        <w:rPr>
          <w:color w:val="231F20"/>
        </w:rPr>
        <w:t>or</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aggregate,</w:t>
      </w:r>
      <w:r>
        <w:rPr>
          <w:color w:val="231F20"/>
          <w:spacing w:val="-1"/>
        </w:rPr>
        <w:t> </w:t>
      </w:r>
      <w:r>
        <w:rPr>
          <w:color w:val="231F20"/>
        </w:rPr>
        <w:t>they</w:t>
      </w:r>
      <w:r>
        <w:rPr>
          <w:color w:val="231F20"/>
          <w:spacing w:val="-1"/>
        </w:rPr>
        <w:t> </w:t>
      </w:r>
      <w:r>
        <w:rPr>
          <w:color w:val="231F20"/>
        </w:rPr>
        <w:t>would</w:t>
      </w:r>
      <w:r>
        <w:rPr>
          <w:color w:val="231F20"/>
          <w:spacing w:val="-1"/>
        </w:rPr>
        <w:t> </w:t>
      </w:r>
      <w:r>
        <w:rPr>
          <w:color w:val="231F20"/>
        </w:rPr>
        <w:t>influence</w:t>
      </w:r>
      <w:r>
        <w:rPr>
          <w:color w:val="231F20"/>
          <w:spacing w:val="-1"/>
        </w:rPr>
        <w:t> </w:t>
      </w:r>
      <w:r>
        <w:rPr>
          <w:color w:val="231F20"/>
        </w:rPr>
        <w:t>the</w:t>
      </w:r>
      <w:r>
        <w:rPr>
          <w:color w:val="231F20"/>
          <w:spacing w:val="-1"/>
        </w:rPr>
        <w:t> </w:t>
      </w:r>
      <w:r>
        <w:rPr>
          <w:color w:val="231F20"/>
        </w:rPr>
        <w:t>judgment</w:t>
      </w:r>
      <w:r>
        <w:rPr>
          <w:color w:val="231F20"/>
          <w:spacing w:val="-1"/>
        </w:rPr>
        <w:t> </w:t>
      </w:r>
      <w:r>
        <w:rPr>
          <w:color w:val="231F20"/>
        </w:rPr>
        <w:t>made</w:t>
      </w:r>
      <w:r>
        <w:rPr>
          <w:color w:val="231F20"/>
          <w:spacing w:val="-1"/>
        </w:rPr>
        <w:t> </w:t>
      </w:r>
      <w:r>
        <w:rPr>
          <w:color w:val="231F20"/>
        </w:rPr>
        <w:t>by a</w:t>
      </w:r>
      <w:r>
        <w:rPr>
          <w:color w:val="231F20"/>
          <w:spacing w:val="-1"/>
        </w:rPr>
        <w:t> </w:t>
      </w:r>
      <w:r>
        <w:rPr>
          <w:color w:val="231F20"/>
        </w:rPr>
        <w:t>reasonable</w:t>
      </w:r>
      <w:r>
        <w:rPr>
          <w:color w:val="231F20"/>
          <w:spacing w:val="-1"/>
        </w:rPr>
        <w:t> </w:t>
      </w:r>
      <w:r>
        <w:rPr>
          <w:color w:val="231F20"/>
        </w:rPr>
        <w:t>user based on the financial statements.</w:t>
      </w:r>
    </w:p>
    <w:p>
      <w:pPr>
        <w:spacing w:before="119"/>
        <w:ind w:left="1620" w:right="0" w:firstLine="0"/>
        <w:jc w:val="left"/>
        <w:rPr>
          <w:sz w:val="20"/>
        </w:rPr>
      </w:pPr>
      <w:r>
        <w:rPr>
          <w:color w:val="231F20"/>
          <w:sz w:val="20"/>
        </w:rPr>
        <w:t>In</w:t>
      </w:r>
      <w:r>
        <w:rPr>
          <w:color w:val="231F20"/>
          <w:spacing w:val="-8"/>
          <w:sz w:val="20"/>
        </w:rPr>
        <w:t> </w:t>
      </w:r>
      <w:r>
        <w:rPr>
          <w:color w:val="231F20"/>
          <w:sz w:val="20"/>
        </w:rPr>
        <w:t>performing</w:t>
      </w:r>
      <w:r>
        <w:rPr>
          <w:color w:val="231F20"/>
          <w:spacing w:val="-6"/>
          <w:sz w:val="20"/>
        </w:rPr>
        <w:t> </w:t>
      </w:r>
      <w:r>
        <w:rPr>
          <w:color w:val="231F20"/>
          <w:sz w:val="20"/>
        </w:rPr>
        <w:t>an</w:t>
      </w:r>
      <w:r>
        <w:rPr>
          <w:color w:val="231F20"/>
          <w:spacing w:val="-5"/>
          <w:sz w:val="20"/>
        </w:rPr>
        <w:t> </w:t>
      </w:r>
      <w:r>
        <w:rPr>
          <w:color w:val="231F20"/>
          <w:sz w:val="20"/>
        </w:rPr>
        <w:t>audit</w:t>
      </w:r>
      <w:r>
        <w:rPr>
          <w:color w:val="231F20"/>
          <w:spacing w:val="-6"/>
          <w:sz w:val="20"/>
        </w:rPr>
        <w:t> </w:t>
      </w:r>
      <w:r>
        <w:rPr>
          <w:color w:val="231F20"/>
          <w:sz w:val="20"/>
        </w:rPr>
        <w:t>in</w:t>
      </w:r>
      <w:r>
        <w:rPr>
          <w:color w:val="231F20"/>
          <w:spacing w:val="-6"/>
          <w:sz w:val="20"/>
        </w:rPr>
        <w:t> </w:t>
      </w:r>
      <w:r>
        <w:rPr>
          <w:color w:val="231F20"/>
          <w:sz w:val="20"/>
        </w:rPr>
        <w:t>accordance</w:t>
      </w:r>
      <w:r>
        <w:rPr>
          <w:color w:val="231F20"/>
          <w:spacing w:val="-5"/>
          <w:sz w:val="20"/>
        </w:rPr>
        <w:t> </w:t>
      </w:r>
      <w:r>
        <w:rPr>
          <w:color w:val="231F20"/>
          <w:sz w:val="20"/>
        </w:rPr>
        <w:t>with</w:t>
      </w:r>
      <w:r>
        <w:rPr>
          <w:color w:val="231F20"/>
          <w:spacing w:val="-6"/>
          <w:sz w:val="20"/>
        </w:rPr>
        <w:t> </w:t>
      </w:r>
      <w:r>
        <w:rPr>
          <w:color w:val="231F20"/>
          <w:sz w:val="20"/>
        </w:rPr>
        <w:t>GAAS</w:t>
      </w:r>
      <w:r>
        <w:rPr>
          <w:color w:val="231F20"/>
          <w:spacing w:val="-6"/>
          <w:sz w:val="20"/>
        </w:rPr>
        <w:t> </w:t>
      </w:r>
      <w:r>
        <w:rPr>
          <w:color w:val="231F20"/>
          <w:sz w:val="20"/>
        </w:rPr>
        <w:t>and </w:t>
      </w:r>
      <w:r>
        <w:rPr>
          <w:i/>
          <w:color w:val="231F20"/>
          <w:sz w:val="20"/>
        </w:rPr>
        <w:t>Government</w:t>
      </w:r>
      <w:r>
        <w:rPr>
          <w:i/>
          <w:color w:val="231F20"/>
          <w:spacing w:val="-6"/>
          <w:sz w:val="20"/>
        </w:rPr>
        <w:t> </w:t>
      </w:r>
      <w:r>
        <w:rPr>
          <w:i/>
          <w:color w:val="231F20"/>
          <w:sz w:val="20"/>
        </w:rPr>
        <w:t>Auditing</w:t>
      </w:r>
      <w:r>
        <w:rPr>
          <w:i/>
          <w:color w:val="231F20"/>
          <w:spacing w:val="-6"/>
          <w:sz w:val="20"/>
        </w:rPr>
        <w:t> </w:t>
      </w:r>
      <w:r>
        <w:rPr>
          <w:i/>
          <w:color w:val="231F20"/>
          <w:sz w:val="20"/>
        </w:rPr>
        <w:t>Standards</w:t>
      </w:r>
      <w:r>
        <w:rPr>
          <w:color w:val="231F20"/>
          <w:sz w:val="20"/>
        </w:rPr>
        <w:t>,</w:t>
      </w:r>
      <w:r>
        <w:rPr>
          <w:color w:val="231F20"/>
          <w:spacing w:val="-5"/>
          <w:sz w:val="20"/>
        </w:rPr>
        <w:t> we</w:t>
      </w:r>
    </w:p>
    <w:p>
      <w:pPr>
        <w:pStyle w:val="ListParagraph"/>
        <w:numPr>
          <w:ilvl w:val="0"/>
          <w:numId w:val="2"/>
        </w:numPr>
        <w:tabs>
          <w:tab w:pos="1979" w:val="left" w:leader="none"/>
          <w:tab w:pos="1980" w:val="left" w:leader="none"/>
        </w:tabs>
        <w:spacing w:line="240" w:lineRule="auto" w:before="156" w:after="0"/>
        <w:ind w:left="1979" w:right="0" w:hanging="360"/>
        <w:jc w:val="left"/>
        <w:rPr>
          <w:sz w:val="20"/>
        </w:rPr>
      </w:pPr>
      <w:r>
        <w:rPr>
          <w:color w:val="231F20"/>
          <w:sz w:val="20"/>
        </w:rPr>
        <w:t>Exercise</w:t>
      </w:r>
      <w:r>
        <w:rPr>
          <w:color w:val="231F20"/>
          <w:spacing w:val="-10"/>
          <w:sz w:val="20"/>
        </w:rPr>
        <w:t> </w:t>
      </w:r>
      <w:r>
        <w:rPr>
          <w:color w:val="231F20"/>
          <w:sz w:val="20"/>
        </w:rPr>
        <w:t>professional</w:t>
      </w:r>
      <w:r>
        <w:rPr>
          <w:color w:val="231F20"/>
          <w:spacing w:val="-8"/>
          <w:sz w:val="20"/>
        </w:rPr>
        <w:t> </w:t>
      </w:r>
      <w:r>
        <w:rPr>
          <w:color w:val="231F20"/>
          <w:sz w:val="20"/>
        </w:rPr>
        <w:t>judgment</w:t>
      </w:r>
      <w:r>
        <w:rPr>
          <w:color w:val="231F20"/>
          <w:spacing w:val="-8"/>
          <w:sz w:val="20"/>
        </w:rPr>
        <w:t> </w:t>
      </w:r>
      <w:r>
        <w:rPr>
          <w:color w:val="231F20"/>
          <w:sz w:val="20"/>
        </w:rPr>
        <w:t>and</w:t>
      </w:r>
      <w:r>
        <w:rPr>
          <w:color w:val="231F20"/>
          <w:spacing w:val="-8"/>
          <w:sz w:val="20"/>
        </w:rPr>
        <w:t> </w:t>
      </w:r>
      <w:r>
        <w:rPr>
          <w:color w:val="231F20"/>
          <w:sz w:val="20"/>
        </w:rPr>
        <w:t>maintain</w:t>
      </w:r>
      <w:r>
        <w:rPr>
          <w:color w:val="231F20"/>
          <w:spacing w:val="-7"/>
          <w:sz w:val="20"/>
        </w:rPr>
        <w:t> </w:t>
      </w:r>
      <w:r>
        <w:rPr>
          <w:color w:val="231F20"/>
          <w:sz w:val="20"/>
        </w:rPr>
        <w:t>professional</w:t>
      </w:r>
      <w:r>
        <w:rPr>
          <w:color w:val="231F20"/>
          <w:spacing w:val="-8"/>
          <w:sz w:val="20"/>
        </w:rPr>
        <w:t> </w:t>
      </w:r>
      <w:r>
        <w:rPr>
          <w:color w:val="231F20"/>
          <w:sz w:val="20"/>
        </w:rPr>
        <w:t>skepticism</w:t>
      </w:r>
      <w:r>
        <w:rPr>
          <w:color w:val="231F20"/>
          <w:spacing w:val="-8"/>
          <w:sz w:val="20"/>
        </w:rPr>
        <w:t> </w:t>
      </w:r>
      <w:r>
        <w:rPr>
          <w:color w:val="231F20"/>
          <w:sz w:val="20"/>
        </w:rPr>
        <w:t>throughout</w:t>
      </w:r>
      <w:r>
        <w:rPr>
          <w:color w:val="231F20"/>
          <w:spacing w:val="-9"/>
          <w:sz w:val="20"/>
        </w:rPr>
        <w:t> </w:t>
      </w:r>
      <w:r>
        <w:rPr>
          <w:color w:val="231F20"/>
          <w:sz w:val="20"/>
        </w:rPr>
        <w:t>the</w:t>
      </w:r>
      <w:r>
        <w:rPr>
          <w:color w:val="231F20"/>
          <w:spacing w:val="-7"/>
          <w:sz w:val="20"/>
        </w:rPr>
        <w:t> </w:t>
      </w:r>
      <w:r>
        <w:rPr>
          <w:color w:val="231F20"/>
          <w:spacing w:val="-2"/>
          <w:sz w:val="20"/>
        </w:rPr>
        <w:t>audit.</w:t>
      </w:r>
    </w:p>
    <w:p>
      <w:pPr>
        <w:pStyle w:val="ListParagraph"/>
        <w:numPr>
          <w:ilvl w:val="0"/>
          <w:numId w:val="2"/>
        </w:numPr>
        <w:tabs>
          <w:tab w:pos="1979" w:val="left" w:leader="none"/>
          <w:tab w:pos="1980" w:val="left" w:leader="none"/>
        </w:tabs>
        <w:spacing w:line="273" w:lineRule="auto" w:before="152" w:after="0"/>
        <w:ind w:left="1979" w:right="1122" w:hanging="360"/>
        <w:jc w:val="left"/>
        <w:rPr>
          <w:sz w:val="20"/>
        </w:rPr>
      </w:pPr>
      <w:r>
        <w:rPr>
          <w:color w:val="231F20"/>
          <w:sz w:val="20"/>
        </w:rPr>
        <w:t>Identify</w:t>
      </w:r>
      <w:r>
        <w:rPr>
          <w:color w:val="231F20"/>
          <w:spacing w:val="-3"/>
          <w:sz w:val="20"/>
        </w:rPr>
        <w:t> </w:t>
      </w:r>
      <w:r>
        <w:rPr>
          <w:color w:val="231F20"/>
          <w:sz w:val="20"/>
        </w:rPr>
        <w:t>and</w:t>
      </w:r>
      <w:r>
        <w:rPr>
          <w:color w:val="231F20"/>
          <w:spacing w:val="-3"/>
          <w:sz w:val="20"/>
        </w:rPr>
        <w:t> </w:t>
      </w:r>
      <w:r>
        <w:rPr>
          <w:color w:val="231F20"/>
          <w:sz w:val="20"/>
        </w:rPr>
        <w:t>assess</w:t>
      </w:r>
      <w:r>
        <w:rPr>
          <w:color w:val="231F20"/>
          <w:spacing w:val="-3"/>
          <w:sz w:val="20"/>
        </w:rPr>
        <w:t> </w:t>
      </w:r>
      <w:r>
        <w:rPr>
          <w:color w:val="231F20"/>
          <w:sz w:val="20"/>
        </w:rPr>
        <w:t>the</w:t>
      </w:r>
      <w:r>
        <w:rPr>
          <w:color w:val="231F20"/>
          <w:spacing w:val="-3"/>
          <w:sz w:val="20"/>
        </w:rPr>
        <w:t> </w:t>
      </w:r>
      <w:r>
        <w:rPr>
          <w:color w:val="231F20"/>
          <w:sz w:val="20"/>
        </w:rPr>
        <w:t>risks</w:t>
      </w:r>
      <w:r>
        <w:rPr>
          <w:color w:val="231F20"/>
          <w:spacing w:val="-3"/>
          <w:sz w:val="20"/>
        </w:rPr>
        <w:t> </w:t>
      </w:r>
      <w:r>
        <w:rPr>
          <w:color w:val="231F20"/>
          <w:sz w:val="20"/>
        </w:rPr>
        <w:t>of</w:t>
      </w:r>
      <w:r>
        <w:rPr>
          <w:color w:val="231F20"/>
          <w:spacing w:val="-3"/>
          <w:sz w:val="20"/>
        </w:rPr>
        <w:t> </w:t>
      </w:r>
      <w:r>
        <w:rPr>
          <w:color w:val="231F20"/>
          <w:sz w:val="20"/>
        </w:rPr>
        <w:t>material</w:t>
      </w:r>
      <w:r>
        <w:rPr>
          <w:color w:val="231F20"/>
          <w:spacing w:val="-4"/>
          <w:sz w:val="20"/>
        </w:rPr>
        <w:t> </w:t>
      </w:r>
      <w:r>
        <w:rPr>
          <w:color w:val="231F20"/>
          <w:sz w:val="20"/>
        </w:rPr>
        <w:t>misstatement</w:t>
      </w:r>
      <w:r>
        <w:rPr>
          <w:color w:val="231F20"/>
          <w:spacing w:val="-4"/>
          <w:sz w:val="20"/>
        </w:rPr>
        <w:t> </w:t>
      </w:r>
      <w:r>
        <w:rPr>
          <w:color w:val="231F20"/>
          <w:sz w:val="20"/>
        </w:rPr>
        <w:t>of</w:t>
      </w:r>
      <w:r>
        <w:rPr>
          <w:color w:val="231F20"/>
          <w:spacing w:val="-3"/>
          <w:sz w:val="20"/>
        </w:rPr>
        <w:t> </w:t>
      </w:r>
      <w:r>
        <w:rPr>
          <w:color w:val="231F20"/>
          <w:sz w:val="20"/>
        </w:rPr>
        <w:t>the</w:t>
      </w:r>
      <w:r>
        <w:rPr>
          <w:color w:val="231F20"/>
          <w:spacing w:val="-3"/>
          <w:sz w:val="20"/>
        </w:rPr>
        <w:t> </w:t>
      </w:r>
      <w:r>
        <w:rPr>
          <w:color w:val="231F20"/>
          <w:sz w:val="20"/>
        </w:rPr>
        <w:t>financial</w:t>
      </w:r>
      <w:r>
        <w:rPr>
          <w:color w:val="231F20"/>
          <w:spacing w:val="-3"/>
          <w:sz w:val="20"/>
        </w:rPr>
        <w:t> </w:t>
      </w:r>
      <w:r>
        <w:rPr>
          <w:color w:val="231F20"/>
          <w:sz w:val="20"/>
        </w:rPr>
        <w:t>statements,</w:t>
      </w:r>
      <w:r>
        <w:rPr>
          <w:color w:val="231F20"/>
          <w:spacing w:val="-3"/>
          <w:sz w:val="20"/>
        </w:rPr>
        <w:t> </w:t>
      </w:r>
      <w:r>
        <w:rPr>
          <w:color w:val="231F20"/>
          <w:sz w:val="20"/>
        </w:rPr>
        <w:t>whether</w:t>
      </w:r>
      <w:r>
        <w:rPr>
          <w:color w:val="231F20"/>
          <w:spacing w:val="-3"/>
          <w:sz w:val="20"/>
        </w:rPr>
        <w:t> </w:t>
      </w:r>
      <w:r>
        <w:rPr>
          <w:color w:val="231F20"/>
          <w:sz w:val="20"/>
        </w:rPr>
        <w:t>due</w:t>
      </w:r>
      <w:r>
        <w:rPr>
          <w:color w:val="231F20"/>
          <w:spacing w:val="-4"/>
          <w:sz w:val="20"/>
        </w:rPr>
        <w:t> </w:t>
      </w:r>
      <w:r>
        <w:rPr>
          <w:color w:val="231F20"/>
          <w:sz w:val="20"/>
        </w:rPr>
        <w:t>to fraud or error, and design and perform audit procedures responsive to those risks. Such procedures include examining, on a test basis, evidence regarding the amounts and disclosures in the financial statements.</w:t>
      </w:r>
    </w:p>
    <w:p>
      <w:pPr>
        <w:pStyle w:val="ListParagraph"/>
        <w:numPr>
          <w:ilvl w:val="0"/>
          <w:numId w:val="2"/>
        </w:numPr>
        <w:tabs>
          <w:tab w:pos="1979" w:val="left" w:leader="none"/>
          <w:tab w:pos="1980" w:val="left" w:leader="none"/>
        </w:tabs>
        <w:spacing w:line="273" w:lineRule="auto" w:before="126" w:after="0"/>
        <w:ind w:left="1979" w:right="1356" w:hanging="360"/>
        <w:jc w:val="left"/>
        <w:rPr>
          <w:sz w:val="20"/>
        </w:rPr>
      </w:pPr>
      <w:r>
        <w:rPr>
          <w:color w:val="231F20"/>
          <w:sz w:val="20"/>
        </w:rPr>
        <w:t>Obtain an understanding of internal control relevant to the audit in order to design audit procedures</w:t>
      </w:r>
      <w:r>
        <w:rPr>
          <w:color w:val="231F20"/>
          <w:spacing w:val="-4"/>
          <w:sz w:val="20"/>
        </w:rPr>
        <w:t> </w:t>
      </w:r>
      <w:r>
        <w:rPr>
          <w:color w:val="231F20"/>
          <w:sz w:val="20"/>
        </w:rPr>
        <w:t>that</w:t>
      </w:r>
      <w:r>
        <w:rPr>
          <w:color w:val="231F20"/>
          <w:spacing w:val="-4"/>
          <w:sz w:val="20"/>
        </w:rPr>
        <w:t> </w:t>
      </w:r>
      <w:r>
        <w:rPr>
          <w:color w:val="231F20"/>
          <w:sz w:val="20"/>
        </w:rPr>
        <w:t>are</w:t>
      </w:r>
      <w:r>
        <w:rPr>
          <w:color w:val="231F20"/>
          <w:spacing w:val="-4"/>
          <w:sz w:val="20"/>
        </w:rPr>
        <w:t> </w:t>
      </w:r>
      <w:r>
        <w:rPr>
          <w:color w:val="231F20"/>
          <w:sz w:val="20"/>
        </w:rPr>
        <w:t>appropriate</w:t>
      </w:r>
      <w:r>
        <w:rPr>
          <w:color w:val="231F20"/>
          <w:spacing w:val="-4"/>
          <w:sz w:val="20"/>
        </w:rPr>
        <w:t> </w:t>
      </w:r>
      <w:r>
        <w:rPr>
          <w:color w:val="231F20"/>
          <w:sz w:val="20"/>
        </w:rPr>
        <w:t>in</w:t>
      </w:r>
      <w:r>
        <w:rPr>
          <w:color w:val="231F20"/>
          <w:spacing w:val="-4"/>
          <w:sz w:val="20"/>
        </w:rPr>
        <w:t> </w:t>
      </w:r>
      <w:r>
        <w:rPr>
          <w:color w:val="231F20"/>
          <w:sz w:val="20"/>
        </w:rPr>
        <w:t>the</w:t>
      </w:r>
      <w:r>
        <w:rPr>
          <w:color w:val="231F20"/>
          <w:spacing w:val="-4"/>
          <w:sz w:val="20"/>
        </w:rPr>
        <w:t> </w:t>
      </w:r>
      <w:r>
        <w:rPr>
          <w:color w:val="231F20"/>
          <w:sz w:val="20"/>
        </w:rPr>
        <w:t>circumstances,</w:t>
      </w:r>
      <w:r>
        <w:rPr>
          <w:color w:val="231F20"/>
          <w:spacing w:val="-4"/>
          <w:sz w:val="20"/>
        </w:rPr>
        <w:t> </w:t>
      </w:r>
      <w:r>
        <w:rPr>
          <w:color w:val="231F20"/>
          <w:sz w:val="20"/>
        </w:rPr>
        <w:t>but</w:t>
      </w:r>
      <w:r>
        <w:rPr>
          <w:color w:val="231F20"/>
          <w:spacing w:val="-4"/>
          <w:sz w:val="20"/>
        </w:rPr>
        <w:t> </w:t>
      </w:r>
      <w:r>
        <w:rPr>
          <w:color w:val="231F20"/>
          <w:sz w:val="20"/>
        </w:rPr>
        <w:t>not</w:t>
      </w:r>
      <w:r>
        <w:rPr>
          <w:color w:val="231F20"/>
          <w:spacing w:val="-4"/>
          <w:sz w:val="20"/>
        </w:rPr>
        <w:t> </w:t>
      </w:r>
      <w:r>
        <w:rPr>
          <w:color w:val="231F20"/>
          <w:sz w:val="20"/>
        </w:rPr>
        <w:t>for</w:t>
      </w:r>
      <w:r>
        <w:rPr>
          <w:color w:val="231F20"/>
          <w:spacing w:val="-4"/>
          <w:sz w:val="20"/>
        </w:rPr>
        <w:t> </w:t>
      </w:r>
      <w:r>
        <w:rPr>
          <w:color w:val="231F20"/>
          <w:sz w:val="20"/>
        </w:rPr>
        <w:t>the</w:t>
      </w:r>
      <w:r>
        <w:rPr>
          <w:color w:val="231F20"/>
          <w:spacing w:val="-4"/>
          <w:sz w:val="20"/>
        </w:rPr>
        <w:t> </w:t>
      </w:r>
      <w:r>
        <w:rPr>
          <w:color w:val="231F20"/>
          <w:sz w:val="20"/>
        </w:rPr>
        <w:t>purpose</w:t>
      </w:r>
      <w:r>
        <w:rPr>
          <w:color w:val="231F20"/>
          <w:spacing w:val="-4"/>
          <w:sz w:val="20"/>
        </w:rPr>
        <w:t> </w:t>
      </w:r>
      <w:r>
        <w:rPr>
          <w:color w:val="231F20"/>
          <w:sz w:val="20"/>
        </w:rPr>
        <w:t>of</w:t>
      </w:r>
      <w:r>
        <w:rPr>
          <w:color w:val="231F20"/>
          <w:spacing w:val="-4"/>
          <w:sz w:val="20"/>
        </w:rPr>
        <w:t> </w:t>
      </w:r>
      <w:r>
        <w:rPr>
          <w:color w:val="231F20"/>
          <w:sz w:val="20"/>
        </w:rPr>
        <w:t>expressing</w:t>
      </w:r>
      <w:r>
        <w:rPr>
          <w:color w:val="231F20"/>
          <w:spacing w:val="-4"/>
          <w:sz w:val="20"/>
        </w:rPr>
        <w:t> </w:t>
      </w:r>
      <w:r>
        <w:rPr>
          <w:color w:val="231F20"/>
          <w:sz w:val="20"/>
        </w:rPr>
        <w:t>an opinion on the effectiveness of the Institute’s internal control. Accordingly, no such opinion is </w:t>
      </w:r>
      <w:r>
        <w:rPr>
          <w:color w:val="231F20"/>
          <w:spacing w:val="-2"/>
          <w:sz w:val="20"/>
        </w:rPr>
        <w:t>expressed.</w:t>
      </w:r>
    </w:p>
    <w:p>
      <w:pPr>
        <w:pStyle w:val="ListParagraph"/>
        <w:numPr>
          <w:ilvl w:val="0"/>
          <w:numId w:val="2"/>
        </w:numPr>
        <w:tabs>
          <w:tab w:pos="1980" w:val="left" w:leader="none"/>
        </w:tabs>
        <w:spacing w:line="273" w:lineRule="auto" w:before="125" w:after="0"/>
        <w:ind w:left="1979" w:right="1264" w:hanging="360"/>
        <w:jc w:val="both"/>
        <w:rPr>
          <w:sz w:val="20"/>
        </w:rPr>
      </w:pPr>
      <w:r>
        <w:rPr>
          <w:color w:val="231F20"/>
          <w:sz w:val="20"/>
        </w:rPr>
        <w:t>Evaluate</w:t>
      </w:r>
      <w:r>
        <w:rPr>
          <w:color w:val="231F20"/>
          <w:spacing w:val="-4"/>
          <w:sz w:val="20"/>
        </w:rPr>
        <w:t> </w:t>
      </w:r>
      <w:r>
        <w:rPr>
          <w:color w:val="231F20"/>
          <w:sz w:val="20"/>
        </w:rPr>
        <w:t>the</w:t>
      </w:r>
      <w:r>
        <w:rPr>
          <w:color w:val="231F20"/>
          <w:spacing w:val="-5"/>
          <w:sz w:val="20"/>
        </w:rPr>
        <w:t> </w:t>
      </w:r>
      <w:r>
        <w:rPr>
          <w:color w:val="231F20"/>
          <w:sz w:val="20"/>
        </w:rPr>
        <w:t>appropriateness</w:t>
      </w:r>
      <w:r>
        <w:rPr>
          <w:color w:val="231F20"/>
          <w:spacing w:val="-4"/>
          <w:sz w:val="20"/>
        </w:rPr>
        <w:t> </w:t>
      </w:r>
      <w:r>
        <w:rPr>
          <w:color w:val="231F20"/>
          <w:sz w:val="20"/>
        </w:rPr>
        <w:t>of</w:t>
      </w:r>
      <w:r>
        <w:rPr>
          <w:color w:val="231F20"/>
          <w:spacing w:val="-4"/>
          <w:sz w:val="20"/>
        </w:rPr>
        <w:t> </w:t>
      </w:r>
      <w:r>
        <w:rPr>
          <w:color w:val="231F20"/>
          <w:sz w:val="20"/>
        </w:rPr>
        <w:t>accounting</w:t>
      </w:r>
      <w:r>
        <w:rPr>
          <w:color w:val="231F20"/>
          <w:spacing w:val="-4"/>
          <w:sz w:val="20"/>
        </w:rPr>
        <w:t> </w:t>
      </w:r>
      <w:r>
        <w:rPr>
          <w:color w:val="231F20"/>
          <w:sz w:val="20"/>
        </w:rPr>
        <w:t>policies</w:t>
      </w:r>
      <w:r>
        <w:rPr>
          <w:color w:val="231F20"/>
          <w:spacing w:val="-5"/>
          <w:sz w:val="20"/>
        </w:rPr>
        <w:t> </w:t>
      </w:r>
      <w:r>
        <w:rPr>
          <w:color w:val="231F20"/>
          <w:sz w:val="20"/>
        </w:rPr>
        <w:t>used</w:t>
      </w:r>
      <w:r>
        <w:rPr>
          <w:color w:val="231F20"/>
          <w:spacing w:val="-4"/>
          <w:sz w:val="20"/>
        </w:rPr>
        <w:t> </w:t>
      </w:r>
      <w:r>
        <w:rPr>
          <w:color w:val="231F20"/>
          <w:sz w:val="20"/>
        </w:rPr>
        <w:t>and</w:t>
      </w:r>
      <w:r>
        <w:rPr>
          <w:color w:val="231F20"/>
          <w:spacing w:val="-4"/>
          <w:sz w:val="20"/>
        </w:rPr>
        <w:t> </w:t>
      </w:r>
      <w:r>
        <w:rPr>
          <w:color w:val="231F20"/>
          <w:sz w:val="20"/>
        </w:rPr>
        <w:t>the</w:t>
      </w:r>
      <w:r>
        <w:rPr>
          <w:color w:val="231F20"/>
          <w:spacing w:val="-5"/>
          <w:sz w:val="20"/>
        </w:rPr>
        <w:t> </w:t>
      </w:r>
      <w:r>
        <w:rPr>
          <w:color w:val="231F20"/>
          <w:sz w:val="20"/>
        </w:rPr>
        <w:t>reasonableness</w:t>
      </w:r>
      <w:r>
        <w:rPr>
          <w:color w:val="231F20"/>
          <w:spacing w:val="-4"/>
          <w:sz w:val="20"/>
        </w:rPr>
        <w:t> </w:t>
      </w:r>
      <w:r>
        <w:rPr>
          <w:color w:val="231F20"/>
          <w:sz w:val="20"/>
        </w:rPr>
        <w:t>of</w:t>
      </w:r>
      <w:r>
        <w:rPr>
          <w:color w:val="231F20"/>
          <w:spacing w:val="-4"/>
          <w:sz w:val="20"/>
        </w:rPr>
        <w:t> </w:t>
      </w:r>
      <w:r>
        <w:rPr>
          <w:color w:val="231F20"/>
          <w:sz w:val="20"/>
        </w:rPr>
        <w:t>significant accounting</w:t>
      </w:r>
      <w:r>
        <w:rPr>
          <w:color w:val="231F20"/>
          <w:spacing w:val="-4"/>
          <w:sz w:val="20"/>
        </w:rPr>
        <w:t> </w:t>
      </w:r>
      <w:r>
        <w:rPr>
          <w:color w:val="231F20"/>
          <w:sz w:val="20"/>
        </w:rPr>
        <w:t>estimates</w:t>
      </w:r>
      <w:r>
        <w:rPr>
          <w:color w:val="231F20"/>
          <w:spacing w:val="-4"/>
          <w:sz w:val="20"/>
        </w:rPr>
        <w:t> </w:t>
      </w:r>
      <w:r>
        <w:rPr>
          <w:color w:val="231F20"/>
          <w:sz w:val="20"/>
        </w:rPr>
        <w:t>made</w:t>
      </w:r>
      <w:r>
        <w:rPr>
          <w:color w:val="231F20"/>
          <w:spacing w:val="-4"/>
          <w:sz w:val="20"/>
        </w:rPr>
        <w:t> </w:t>
      </w:r>
      <w:r>
        <w:rPr>
          <w:color w:val="231F20"/>
          <w:sz w:val="20"/>
        </w:rPr>
        <w:t>by</w:t>
      </w:r>
      <w:r>
        <w:rPr>
          <w:color w:val="231F20"/>
          <w:spacing w:val="-4"/>
          <w:sz w:val="20"/>
        </w:rPr>
        <w:t> </w:t>
      </w:r>
      <w:r>
        <w:rPr>
          <w:color w:val="231F20"/>
          <w:sz w:val="20"/>
        </w:rPr>
        <w:t>management,</w:t>
      </w:r>
      <w:r>
        <w:rPr>
          <w:color w:val="231F20"/>
          <w:spacing w:val="-4"/>
          <w:sz w:val="20"/>
        </w:rPr>
        <w:t> </w:t>
      </w:r>
      <w:r>
        <w:rPr>
          <w:color w:val="231F20"/>
          <w:sz w:val="20"/>
        </w:rPr>
        <w:t>as</w:t>
      </w:r>
      <w:r>
        <w:rPr>
          <w:color w:val="231F20"/>
          <w:spacing w:val="-2"/>
          <w:sz w:val="20"/>
        </w:rPr>
        <w:t> </w:t>
      </w:r>
      <w:r>
        <w:rPr>
          <w:color w:val="231F20"/>
          <w:sz w:val="20"/>
        </w:rPr>
        <w:t>well</w:t>
      </w:r>
      <w:r>
        <w:rPr>
          <w:color w:val="231F20"/>
          <w:spacing w:val="-4"/>
          <w:sz w:val="20"/>
        </w:rPr>
        <w:t> </w:t>
      </w:r>
      <w:r>
        <w:rPr>
          <w:color w:val="231F20"/>
          <w:sz w:val="20"/>
        </w:rPr>
        <w:t>as</w:t>
      </w:r>
      <w:r>
        <w:rPr>
          <w:color w:val="231F20"/>
          <w:spacing w:val="-4"/>
          <w:sz w:val="20"/>
        </w:rPr>
        <w:t> </w:t>
      </w:r>
      <w:r>
        <w:rPr>
          <w:color w:val="231F20"/>
          <w:sz w:val="20"/>
        </w:rPr>
        <w:t>evaluate</w:t>
      </w:r>
      <w:r>
        <w:rPr>
          <w:color w:val="231F20"/>
          <w:spacing w:val="-4"/>
          <w:sz w:val="20"/>
        </w:rPr>
        <w:t> </w:t>
      </w:r>
      <w:r>
        <w:rPr>
          <w:color w:val="231F20"/>
          <w:sz w:val="20"/>
        </w:rPr>
        <w:t>the</w:t>
      </w:r>
      <w:r>
        <w:rPr>
          <w:color w:val="231F20"/>
          <w:spacing w:val="-4"/>
          <w:sz w:val="20"/>
        </w:rPr>
        <w:t> </w:t>
      </w:r>
      <w:r>
        <w:rPr>
          <w:color w:val="231F20"/>
          <w:sz w:val="20"/>
        </w:rPr>
        <w:t>overall</w:t>
      </w:r>
      <w:r>
        <w:rPr>
          <w:color w:val="231F20"/>
          <w:spacing w:val="-4"/>
          <w:sz w:val="20"/>
        </w:rPr>
        <w:t> </w:t>
      </w:r>
      <w:r>
        <w:rPr>
          <w:color w:val="231F20"/>
          <w:sz w:val="20"/>
        </w:rPr>
        <w:t>presentation</w:t>
      </w:r>
      <w:r>
        <w:rPr>
          <w:color w:val="231F20"/>
          <w:spacing w:val="-4"/>
          <w:sz w:val="20"/>
        </w:rPr>
        <w:t> </w:t>
      </w:r>
      <w:r>
        <w:rPr>
          <w:color w:val="231F20"/>
          <w:sz w:val="20"/>
        </w:rPr>
        <w:t>of</w:t>
      </w:r>
      <w:r>
        <w:rPr>
          <w:color w:val="231F20"/>
          <w:spacing w:val="-4"/>
          <w:sz w:val="20"/>
        </w:rPr>
        <w:t> </w:t>
      </w:r>
      <w:r>
        <w:rPr>
          <w:color w:val="231F20"/>
          <w:sz w:val="20"/>
        </w:rPr>
        <w:t>the financial statements.</w:t>
      </w:r>
    </w:p>
    <w:p>
      <w:pPr>
        <w:pStyle w:val="ListParagraph"/>
        <w:numPr>
          <w:ilvl w:val="0"/>
          <w:numId w:val="2"/>
        </w:numPr>
        <w:tabs>
          <w:tab w:pos="1979" w:val="left" w:leader="none"/>
          <w:tab w:pos="1980" w:val="left" w:leader="none"/>
        </w:tabs>
        <w:spacing w:line="273" w:lineRule="auto" w:before="123" w:after="0"/>
        <w:ind w:left="1979" w:right="1188" w:hanging="360"/>
        <w:jc w:val="left"/>
        <w:rPr>
          <w:sz w:val="20"/>
        </w:rPr>
      </w:pPr>
      <w:r>
        <w:rPr>
          <w:color w:val="231F20"/>
          <w:sz w:val="20"/>
        </w:rPr>
        <w:t>Conclude</w:t>
      </w:r>
      <w:r>
        <w:rPr>
          <w:color w:val="231F20"/>
          <w:spacing w:val="-4"/>
          <w:sz w:val="20"/>
        </w:rPr>
        <w:t> </w:t>
      </w:r>
      <w:r>
        <w:rPr>
          <w:color w:val="231F20"/>
          <w:sz w:val="20"/>
        </w:rPr>
        <w:t>whether,</w:t>
      </w:r>
      <w:r>
        <w:rPr>
          <w:color w:val="231F20"/>
          <w:spacing w:val="-4"/>
          <w:sz w:val="20"/>
        </w:rPr>
        <w:t> </w:t>
      </w:r>
      <w:r>
        <w:rPr>
          <w:color w:val="231F20"/>
          <w:sz w:val="20"/>
        </w:rPr>
        <w:t>in</w:t>
      </w:r>
      <w:r>
        <w:rPr>
          <w:color w:val="231F20"/>
          <w:spacing w:val="-4"/>
          <w:sz w:val="20"/>
        </w:rPr>
        <w:t> </w:t>
      </w:r>
      <w:r>
        <w:rPr>
          <w:color w:val="231F20"/>
          <w:sz w:val="20"/>
        </w:rPr>
        <w:t>our</w:t>
      </w:r>
      <w:r>
        <w:rPr>
          <w:color w:val="231F20"/>
          <w:spacing w:val="-4"/>
          <w:sz w:val="20"/>
        </w:rPr>
        <w:t> </w:t>
      </w:r>
      <w:r>
        <w:rPr>
          <w:color w:val="231F20"/>
          <w:sz w:val="20"/>
        </w:rPr>
        <w:t>judgment,</w:t>
      </w:r>
      <w:r>
        <w:rPr>
          <w:color w:val="231F20"/>
          <w:spacing w:val="-4"/>
          <w:sz w:val="20"/>
        </w:rPr>
        <w:t> </w:t>
      </w:r>
      <w:r>
        <w:rPr>
          <w:color w:val="231F20"/>
          <w:sz w:val="20"/>
        </w:rPr>
        <w:t>there</w:t>
      </w:r>
      <w:r>
        <w:rPr>
          <w:color w:val="231F20"/>
          <w:spacing w:val="-4"/>
          <w:sz w:val="20"/>
        </w:rPr>
        <w:t> </w:t>
      </w:r>
      <w:r>
        <w:rPr>
          <w:color w:val="231F20"/>
          <w:sz w:val="20"/>
        </w:rPr>
        <w:t>are</w:t>
      </w:r>
      <w:r>
        <w:rPr>
          <w:color w:val="231F20"/>
          <w:spacing w:val="-4"/>
          <w:sz w:val="20"/>
        </w:rPr>
        <w:t> </w:t>
      </w:r>
      <w:r>
        <w:rPr>
          <w:color w:val="231F20"/>
          <w:sz w:val="20"/>
        </w:rPr>
        <w:t>conditions</w:t>
      </w:r>
      <w:r>
        <w:rPr>
          <w:color w:val="231F20"/>
          <w:spacing w:val="-4"/>
          <w:sz w:val="20"/>
        </w:rPr>
        <w:t> </w:t>
      </w:r>
      <w:r>
        <w:rPr>
          <w:color w:val="231F20"/>
          <w:sz w:val="20"/>
        </w:rPr>
        <w:t>or</w:t>
      </w:r>
      <w:r>
        <w:rPr>
          <w:color w:val="231F20"/>
          <w:spacing w:val="-3"/>
          <w:sz w:val="20"/>
        </w:rPr>
        <w:t> </w:t>
      </w:r>
      <w:r>
        <w:rPr>
          <w:color w:val="231F20"/>
          <w:sz w:val="20"/>
        </w:rPr>
        <w:t>events,</w:t>
      </w:r>
      <w:r>
        <w:rPr>
          <w:color w:val="231F20"/>
          <w:spacing w:val="-4"/>
          <w:sz w:val="20"/>
        </w:rPr>
        <w:t> </w:t>
      </w:r>
      <w:r>
        <w:rPr>
          <w:color w:val="231F20"/>
          <w:sz w:val="20"/>
        </w:rPr>
        <w:t>considered</w:t>
      </w:r>
      <w:r>
        <w:rPr>
          <w:color w:val="231F20"/>
          <w:spacing w:val="-4"/>
          <w:sz w:val="20"/>
        </w:rPr>
        <w:t> </w:t>
      </w:r>
      <w:r>
        <w:rPr>
          <w:color w:val="231F20"/>
          <w:sz w:val="20"/>
        </w:rPr>
        <w:t>in</w:t>
      </w:r>
      <w:r>
        <w:rPr>
          <w:color w:val="231F20"/>
          <w:spacing w:val="-4"/>
          <w:sz w:val="20"/>
        </w:rPr>
        <w:t> </w:t>
      </w:r>
      <w:r>
        <w:rPr>
          <w:color w:val="231F20"/>
          <w:sz w:val="20"/>
        </w:rPr>
        <w:t>the</w:t>
      </w:r>
      <w:r>
        <w:rPr>
          <w:color w:val="231F20"/>
          <w:spacing w:val="-4"/>
          <w:sz w:val="20"/>
        </w:rPr>
        <w:t> </w:t>
      </w:r>
      <w:r>
        <w:rPr>
          <w:color w:val="231F20"/>
          <w:sz w:val="20"/>
        </w:rPr>
        <w:t>aggregate, that raise substantial doubt about the Institute’s ability to continue as a going concern for a reasonable period of time.</w:t>
      </w:r>
    </w:p>
    <w:p>
      <w:pPr>
        <w:pStyle w:val="BodyText"/>
        <w:spacing w:line="276" w:lineRule="auto" w:before="123"/>
        <w:ind w:left="1619" w:right="1505"/>
      </w:pPr>
      <w:r>
        <w:rPr>
          <w:color w:val="231F20"/>
        </w:rPr>
        <w:t>We are required to communicate with those charged with governance regarding, among other matters,</w:t>
      </w:r>
      <w:r>
        <w:rPr>
          <w:color w:val="231F20"/>
          <w:spacing w:val="-4"/>
        </w:rPr>
        <w:t> </w:t>
      </w:r>
      <w:r>
        <w:rPr>
          <w:color w:val="231F20"/>
        </w:rPr>
        <w:t>the</w:t>
      </w:r>
      <w:r>
        <w:rPr>
          <w:color w:val="231F20"/>
          <w:spacing w:val="-4"/>
        </w:rPr>
        <w:t> </w:t>
      </w:r>
      <w:r>
        <w:rPr>
          <w:color w:val="231F20"/>
        </w:rPr>
        <w:t>planned</w:t>
      </w:r>
      <w:r>
        <w:rPr>
          <w:color w:val="231F20"/>
          <w:spacing w:val="-4"/>
        </w:rPr>
        <w:t> </w:t>
      </w:r>
      <w:r>
        <w:rPr>
          <w:color w:val="231F20"/>
        </w:rPr>
        <w:t>scope</w:t>
      </w:r>
      <w:r>
        <w:rPr>
          <w:color w:val="231F20"/>
          <w:spacing w:val="-5"/>
        </w:rPr>
        <w:t> </w:t>
      </w:r>
      <w:r>
        <w:rPr>
          <w:color w:val="231F20"/>
        </w:rPr>
        <w:t>and</w:t>
      </w:r>
      <w:r>
        <w:rPr>
          <w:color w:val="231F20"/>
          <w:spacing w:val="-4"/>
        </w:rPr>
        <w:t> </w:t>
      </w:r>
      <w:r>
        <w:rPr>
          <w:color w:val="231F20"/>
        </w:rPr>
        <w:t>timing</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audit,</w:t>
      </w:r>
      <w:r>
        <w:rPr>
          <w:color w:val="231F20"/>
          <w:spacing w:val="-4"/>
        </w:rPr>
        <w:t> </w:t>
      </w:r>
      <w:r>
        <w:rPr>
          <w:color w:val="231F20"/>
        </w:rPr>
        <w:t>significant</w:t>
      </w:r>
      <w:r>
        <w:rPr>
          <w:color w:val="231F20"/>
          <w:spacing w:val="-4"/>
        </w:rPr>
        <w:t> </w:t>
      </w:r>
      <w:r>
        <w:rPr>
          <w:color w:val="231F20"/>
        </w:rPr>
        <w:t>audit</w:t>
      </w:r>
      <w:r>
        <w:rPr>
          <w:color w:val="231F20"/>
          <w:spacing w:val="-4"/>
        </w:rPr>
        <w:t> </w:t>
      </w:r>
      <w:r>
        <w:rPr>
          <w:color w:val="231F20"/>
        </w:rPr>
        <w:t>findings,</w:t>
      </w:r>
      <w:r>
        <w:rPr>
          <w:color w:val="231F20"/>
          <w:spacing w:val="-4"/>
        </w:rPr>
        <w:t> </w:t>
      </w:r>
      <w:r>
        <w:rPr>
          <w:color w:val="231F20"/>
        </w:rPr>
        <w:t>and</w:t>
      </w:r>
      <w:r>
        <w:rPr>
          <w:color w:val="231F20"/>
          <w:spacing w:val="-5"/>
        </w:rPr>
        <w:t> </w:t>
      </w:r>
      <w:r>
        <w:rPr>
          <w:color w:val="231F20"/>
        </w:rPr>
        <w:t>certain</w:t>
      </w:r>
      <w:r>
        <w:rPr>
          <w:color w:val="231F20"/>
          <w:spacing w:val="-4"/>
        </w:rPr>
        <w:t> </w:t>
      </w:r>
      <w:r>
        <w:rPr>
          <w:color w:val="231F20"/>
        </w:rPr>
        <w:t>internal control–related matters that we identified during the audit.</w:t>
      </w:r>
    </w:p>
    <w:p>
      <w:pPr>
        <w:spacing w:after="0" w:line="276" w:lineRule="auto"/>
        <w:sectPr>
          <w:pgSz w:w="12240" w:h="15840"/>
          <w:pgMar w:header="0" w:footer="743" w:top="1360" w:bottom="940" w:left="0" w:right="580"/>
        </w:sectPr>
      </w:pPr>
    </w:p>
    <w:p>
      <w:pPr>
        <w:spacing w:before="79"/>
        <w:ind w:left="1620" w:right="0" w:firstLine="0"/>
        <w:jc w:val="left"/>
        <w:rPr>
          <w:rFonts w:ascii="Georgia"/>
          <w:b/>
          <w:i/>
          <w:sz w:val="19"/>
        </w:rPr>
      </w:pPr>
      <w:r>
        <w:rPr>
          <w:rFonts w:ascii="Georgia"/>
          <w:b/>
          <w:i/>
          <w:color w:val="231F20"/>
          <w:sz w:val="19"/>
        </w:rPr>
        <w:t>Required</w:t>
      </w:r>
      <w:r>
        <w:rPr>
          <w:rFonts w:ascii="Georgia"/>
          <w:b/>
          <w:i/>
          <w:color w:val="231F20"/>
          <w:spacing w:val="-12"/>
          <w:sz w:val="19"/>
        </w:rPr>
        <w:t> </w:t>
      </w:r>
      <w:r>
        <w:rPr>
          <w:rFonts w:ascii="Georgia"/>
          <w:b/>
          <w:i/>
          <w:color w:val="231F20"/>
          <w:sz w:val="19"/>
        </w:rPr>
        <w:t>Supplementary</w:t>
      </w:r>
      <w:r>
        <w:rPr>
          <w:rFonts w:ascii="Georgia"/>
          <w:b/>
          <w:i/>
          <w:color w:val="231F20"/>
          <w:spacing w:val="-12"/>
          <w:sz w:val="19"/>
        </w:rPr>
        <w:t> </w:t>
      </w:r>
      <w:r>
        <w:rPr>
          <w:rFonts w:ascii="Georgia"/>
          <w:b/>
          <w:i/>
          <w:color w:val="231F20"/>
          <w:spacing w:val="-2"/>
          <w:sz w:val="19"/>
        </w:rPr>
        <w:t>Information</w:t>
      </w:r>
    </w:p>
    <w:p>
      <w:pPr>
        <w:pStyle w:val="BodyText"/>
        <w:spacing w:line="276" w:lineRule="auto" w:before="153"/>
        <w:ind w:left="1620" w:right="1070"/>
      </w:pPr>
      <w:r>
        <w:rPr>
          <w:color w:val="231F20"/>
        </w:rPr>
        <w:t>Accounting principles generally accepted in the United States of America require that the management’s discussion and analysis, Schedule of Proportionate Share of Net Pension Liability, Schedule of Contributions, Notes to Defined Benefit Retirement Plan RSI, Schedule of Employer Contributions – Other Postemployment Benefits (OPEB), Schedule of Changes in Net OPEB Liability and Related Ratios, and Schedule of OPEB Investment Returns as referenced in the table of</w:t>
      </w:r>
      <w:r>
        <w:rPr>
          <w:color w:val="231F20"/>
          <w:spacing w:val="40"/>
        </w:rPr>
        <w:t> </w:t>
      </w:r>
      <w:r>
        <w:rPr>
          <w:color w:val="231F20"/>
        </w:rPr>
        <w:t>contents be presented to supplement the basic financial statements. Such information is the responsibility</w:t>
      </w:r>
      <w:r>
        <w:rPr>
          <w:color w:val="231F20"/>
          <w:spacing w:val="-3"/>
        </w:rPr>
        <w:t> </w:t>
      </w:r>
      <w:r>
        <w:rPr>
          <w:color w:val="231F20"/>
        </w:rPr>
        <w:t>of</w:t>
      </w:r>
      <w:r>
        <w:rPr>
          <w:color w:val="231F20"/>
          <w:spacing w:val="-3"/>
        </w:rPr>
        <w:t> </w:t>
      </w:r>
      <w:r>
        <w:rPr>
          <w:color w:val="231F20"/>
        </w:rPr>
        <w:t>management</w:t>
      </w:r>
      <w:r>
        <w:rPr>
          <w:color w:val="231F20"/>
          <w:spacing w:val="-3"/>
        </w:rPr>
        <w:t> </w:t>
      </w:r>
      <w:r>
        <w:rPr>
          <w:color w:val="231F20"/>
        </w:rPr>
        <w:t>and,</w:t>
      </w:r>
      <w:r>
        <w:rPr>
          <w:color w:val="231F20"/>
          <w:spacing w:val="-3"/>
        </w:rPr>
        <w:t> </w:t>
      </w:r>
      <w:r>
        <w:rPr>
          <w:color w:val="231F20"/>
        </w:rPr>
        <w:t>although</w:t>
      </w:r>
      <w:r>
        <w:rPr>
          <w:color w:val="231F20"/>
          <w:spacing w:val="-3"/>
        </w:rPr>
        <w:t> </w:t>
      </w:r>
      <w:r>
        <w:rPr>
          <w:color w:val="231F20"/>
        </w:rPr>
        <w:t>not</w:t>
      </w:r>
      <w:r>
        <w:rPr>
          <w:color w:val="231F20"/>
          <w:spacing w:val="-3"/>
        </w:rPr>
        <w:t> </w:t>
      </w:r>
      <w:r>
        <w:rPr>
          <w:color w:val="231F20"/>
        </w:rPr>
        <w:t>a</w:t>
      </w:r>
      <w:r>
        <w:rPr>
          <w:color w:val="231F20"/>
          <w:spacing w:val="-3"/>
        </w:rPr>
        <w:t> </w:t>
      </w:r>
      <w:r>
        <w:rPr>
          <w:color w:val="231F20"/>
        </w:rPr>
        <w:t>part</w:t>
      </w:r>
      <w:r>
        <w:rPr>
          <w:color w:val="231F20"/>
          <w:spacing w:val="-4"/>
        </w:rPr>
        <w:t> </w:t>
      </w:r>
      <w:r>
        <w:rPr>
          <w:color w:val="231F20"/>
        </w:rPr>
        <w:t>of</w:t>
      </w:r>
      <w:r>
        <w:rPr>
          <w:color w:val="231F20"/>
          <w:spacing w:val="-1"/>
        </w:rPr>
        <w:t> </w:t>
      </w:r>
      <w:r>
        <w:rPr>
          <w:color w:val="231F20"/>
        </w:rPr>
        <w:t>the</w:t>
      </w:r>
      <w:r>
        <w:rPr>
          <w:color w:val="231F20"/>
          <w:spacing w:val="-3"/>
        </w:rPr>
        <w:t> </w:t>
      </w:r>
      <w:r>
        <w:rPr>
          <w:color w:val="231F20"/>
        </w:rPr>
        <w:t>basic</w:t>
      </w:r>
      <w:r>
        <w:rPr>
          <w:color w:val="231F20"/>
          <w:spacing w:val="-3"/>
        </w:rPr>
        <w:t> </w:t>
      </w:r>
      <w:r>
        <w:rPr>
          <w:color w:val="231F20"/>
        </w:rPr>
        <w:t>financial</w:t>
      </w:r>
      <w:r>
        <w:rPr>
          <w:color w:val="231F20"/>
          <w:spacing w:val="-3"/>
        </w:rPr>
        <w:t> </w:t>
      </w:r>
      <w:r>
        <w:rPr>
          <w:color w:val="231F20"/>
        </w:rPr>
        <w:t>statements,</w:t>
      </w:r>
      <w:r>
        <w:rPr>
          <w:color w:val="231F20"/>
          <w:spacing w:val="-3"/>
        </w:rPr>
        <w:t> </w:t>
      </w:r>
      <w:r>
        <w:rPr>
          <w:color w:val="231F20"/>
        </w:rPr>
        <w:t>is</w:t>
      </w:r>
      <w:r>
        <w:rPr>
          <w:color w:val="231F20"/>
          <w:spacing w:val="-3"/>
        </w:rPr>
        <w:t> </w:t>
      </w:r>
      <w:r>
        <w:rPr>
          <w:color w:val="231F20"/>
        </w:rPr>
        <w:t>required</w:t>
      </w:r>
      <w:r>
        <w:rPr>
          <w:color w:val="231F20"/>
          <w:spacing w:val="-3"/>
        </w:rPr>
        <w:t> </w:t>
      </w:r>
      <w:r>
        <w:rPr>
          <w:color w:val="231F20"/>
        </w:rPr>
        <w:t>by the Governmental Accounting Standards Board who considers it to be an essential part of financial reporting for placing the basic financial statements in an appropriate operational, economic, or historical context. We have applied certain limited procedures to the required supplementary information</w:t>
      </w:r>
      <w:r>
        <w:rPr>
          <w:color w:val="231F20"/>
          <w:spacing w:val="-4"/>
        </w:rPr>
        <w:t> </w:t>
      </w:r>
      <w:r>
        <w:rPr>
          <w:color w:val="231F20"/>
        </w:rPr>
        <w:t>in</w:t>
      </w:r>
      <w:r>
        <w:rPr>
          <w:color w:val="231F20"/>
          <w:spacing w:val="-5"/>
        </w:rPr>
        <w:t> </w:t>
      </w:r>
      <w:r>
        <w:rPr>
          <w:color w:val="231F20"/>
        </w:rPr>
        <w:t>accordance</w:t>
      </w:r>
      <w:r>
        <w:rPr>
          <w:color w:val="231F20"/>
          <w:spacing w:val="-5"/>
        </w:rPr>
        <w:t> </w:t>
      </w:r>
      <w:r>
        <w:rPr>
          <w:color w:val="231F20"/>
        </w:rPr>
        <w:t>with</w:t>
      </w:r>
      <w:r>
        <w:rPr>
          <w:color w:val="231F20"/>
          <w:spacing w:val="-4"/>
        </w:rPr>
        <w:t> </w:t>
      </w:r>
      <w:r>
        <w:rPr>
          <w:color w:val="231F20"/>
        </w:rPr>
        <w:t>auditing</w:t>
      </w:r>
      <w:r>
        <w:rPr>
          <w:color w:val="231F20"/>
          <w:spacing w:val="-4"/>
        </w:rPr>
        <w:t> </w:t>
      </w:r>
      <w:r>
        <w:rPr>
          <w:color w:val="231F20"/>
        </w:rPr>
        <w:t>standards</w:t>
      </w:r>
      <w:r>
        <w:rPr>
          <w:color w:val="231F20"/>
          <w:spacing w:val="-3"/>
        </w:rPr>
        <w:t> </w:t>
      </w:r>
      <w:r>
        <w:rPr>
          <w:color w:val="231F20"/>
        </w:rPr>
        <w:t>generally</w:t>
      </w:r>
      <w:r>
        <w:rPr>
          <w:color w:val="231F20"/>
          <w:spacing w:val="-4"/>
        </w:rPr>
        <w:t> </w:t>
      </w:r>
      <w:r>
        <w:rPr>
          <w:color w:val="231F20"/>
        </w:rPr>
        <w:t>accepted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United</w:t>
      </w:r>
      <w:r>
        <w:rPr>
          <w:color w:val="231F20"/>
          <w:spacing w:val="-4"/>
        </w:rPr>
        <w:t> </w:t>
      </w:r>
      <w:r>
        <w:rPr>
          <w:color w:val="231F20"/>
        </w:rPr>
        <w:t>States</w:t>
      </w:r>
      <w:r>
        <w:rPr>
          <w:color w:val="231F20"/>
          <w:spacing w:val="-4"/>
        </w:rPr>
        <w:t> </w:t>
      </w:r>
      <w:r>
        <w:rPr>
          <w:color w:val="231F20"/>
        </w:rPr>
        <w:t>of</w:t>
      </w:r>
      <w:r>
        <w:rPr>
          <w:color w:val="231F20"/>
          <w:spacing w:val="-4"/>
        </w:rPr>
        <w:t> </w:t>
      </w:r>
      <w:r>
        <w:rPr>
          <w:color w:val="231F20"/>
        </w:rPr>
        <w:t>America, which consisted of inquiries of management about the methods of preparing the information and comparing the information for consistency with management's responses to our inquiries, the basic financial statements, and other knowledge we obtained during our audit of the basic financial statements. We do not express an opinion or provide any assurance on the information because the limited procedures do not provide us with sufficient evidence to express an opinion or provide any </w:t>
      </w:r>
      <w:r>
        <w:rPr>
          <w:color w:val="231F20"/>
          <w:spacing w:val="-2"/>
        </w:rPr>
        <w:t>assurance.</w:t>
      </w:r>
    </w:p>
    <w:p>
      <w:pPr>
        <w:spacing w:before="120"/>
        <w:ind w:left="1620" w:right="0" w:firstLine="0"/>
        <w:jc w:val="left"/>
        <w:rPr>
          <w:rFonts w:ascii="Georgia"/>
          <w:b/>
          <w:i/>
          <w:sz w:val="19"/>
        </w:rPr>
      </w:pPr>
      <w:r>
        <w:rPr>
          <w:rFonts w:ascii="Georgia"/>
          <w:b/>
          <w:i/>
          <w:color w:val="231F20"/>
          <w:w w:val="95"/>
          <w:sz w:val="19"/>
        </w:rPr>
        <w:t>Supplementary</w:t>
      </w:r>
      <w:r>
        <w:rPr>
          <w:rFonts w:ascii="Georgia"/>
          <w:b/>
          <w:i/>
          <w:color w:val="231F20"/>
          <w:spacing w:val="62"/>
          <w:sz w:val="19"/>
        </w:rPr>
        <w:t> </w:t>
      </w:r>
      <w:r>
        <w:rPr>
          <w:rFonts w:ascii="Georgia"/>
          <w:b/>
          <w:i/>
          <w:color w:val="231F20"/>
          <w:spacing w:val="-2"/>
          <w:w w:val="95"/>
          <w:sz w:val="19"/>
        </w:rPr>
        <w:t>Information</w:t>
      </w:r>
    </w:p>
    <w:p>
      <w:pPr>
        <w:pStyle w:val="BodyText"/>
        <w:spacing w:line="276" w:lineRule="auto" w:before="153"/>
        <w:ind w:left="1620" w:right="1084"/>
      </w:pPr>
      <w:r>
        <w:rPr>
          <w:color w:val="231F20"/>
        </w:rPr>
        <w:t>Our audit was conducted for the purpose of forming opinions on the financial statements that collectively</w:t>
      </w:r>
      <w:r>
        <w:rPr>
          <w:color w:val="231F20"/>
          <w:spacing w:val="-4"/>
        </w:rPr>
        <w:t> </w:t>
      </w:r>
      <w:r>
        <w:rPr>
          <w:color w:val="231F20"/>
        </w:rPr>
        <w:t>comprise</w:t>
      </w:r>
      <w:r>
        <w:rPr>
          <w:color w:val="231F20"/>
          <w:spacing w:val="-3"/>
        </w:rPr>
        <w:t> </w:t>
      </w:r>
      <w:r>
        <w:rPr>
          <w:color w:val="231F20"/>
        </w:rPr>
        <w:t>the</w:t>
      </w:r>
      <w:r>
        <w:rPr>
          <w:color w:val="231F20"/>
          <w:spacing w:val="-4"/>
        </w:rPr>
        <w:t> </w:t>
      </w:r>
      <w:r>
        <w:rPr>
          <w:color w:val="231F20"/>
        </w:rPr>
        <w:t>New</w:t>
      </w:r>
      <w:r>
        <w:rPr>
          <w:color w:val="231F20"/>
          <w:spacing w:val="-3"/>
        </w:rPr>
        <w:t> </w:t>
      </w:r>
      <w:r>
        <w:rPr>
          <w:color w:val="231F20"/>
        </w:rPr>
        <w:t>Mexico</w:t>
      </w:r>
      <w:r>
        <w:rPr>
          <w:color w:val="231F20"/>
          <w:spacing w:val="-3"/>
        </w:rPr>
        <w:t> </w:t>
      </w:r>
      <w:r>
        <w:rPr>
          <w:color w:val="231F20"/>
        </w:rPr>
        <w:t>Institute</w:t>
      </w:r>
      <w:r>
        <w:rPr>
          <w:color w:val="231F20"/>
          <w:spacing w:val="-3"/>
        </w:rPr>
        <w:t> </w:t>
      </w:r>
      <w:r>
        <w:rPr>
          <w:color w:val="231F20"/>
        </w:rPr>
        <w:t>of</w:t>
      </w:r>
      <w:r>
        <w:rPr>
          <w:color w:val="231F20"/>
          <w:spacing w:val="-3"/>
        </w:rPr>
        <w:t> </w:t>
      </w:r>
      <w:r>
        <w:rPr>
          <w:color w:val="231F20"/>
        </w:rPr>
        <w:t>Mining</w:t>
      </w:r>
      <w:r>
        <w:rPr>
          <w:color w:val="231F20"/>
          <w:spacing w:val="-3"/>
        </w:rPr>
        <w:t> </w:t>
      </w:r>
      <w:r>
        <w:rPr>
          <w:color w:val="231F20"/>
        </w:rPr>
        <w:t>and</w:t>
      </w:r>
      <w:r>
        <w:rPr>
          <w:color w:val="231F20"/>
          <w:spacing w:val="-3"/>
        </w:rPr>
        <w:t> </w:t>
      </w:r>
      <w:r>
        <w:rPr>
          <w:color w:val="231F20"/>
        </w:rPr>
        <w:t>Technology's</w:t>
      </w:r>
      <w:r>
        <w:rPr>
          <w:color w:val="231F20"/>
          <w:spacing w:val="-3"/>
        </w:rPr>
        <w:t> </w:t>
      </w:r>
      <w:r>
        <w:rPr>
          <w:color w:val="231F20"/>
        </w:rPr>
        <w:t>basic</w:t>
      </w:r>
      <w:r>
        <w:rPr>
          <w:color w:val="231F20"/>
          <w:spacing w:val="-3"/>
        </w:rPr>
        <w:t> </w:t>
      </w:r>
      <w:r>
        <w:rPr>
          <w:color w:val="231F20"/>
        </w:rPr>
        <w:t>financial</w:t>
      </w:r>
      <w:r>
        <w:rPr>
          <w:color w:val="231F20"/>
          <w:spacing w:val="-3"/>
        </w:rPr>
        <w:t> </w:t>
      </w:r>
      <w:r>
        <w:rPr>
          <w:color w:val="231F20"/>
        </w:rPr>
        <w:t>statements. The accompanying budgetary comparisons, schedule of pledged collateral, schedule of individual deposit and investment accounts, multiple-year capital projects funded by general obligation bond</w:t>
      </w:r>
      <w:r>
        <w:rPr>
          <w:color w:val="231F20"/>
        </w:rPr>
        <w:t> and severance tax bond capital outlay appropriations from the state required by 2.2.2 NMAC, schedule of joint powers agreements, schedule of expenditures of federal awards, as required by</w:t>
      </w:r>
      <w:r>
        <w:rPr>
          <w:color w:val="231F20"/>
          <w:spacing w:val="40"/>
        </w:rPr>
        <w:t> </w:t>
      </w:r>
      <w:r>
        <w:rPr>
          <w:i/>
          <w:color w:val="231F20"/>
        </w:rPr>
        <w:t>Title</w:t>
      </w:r>
      <w:r>
        <w:rPr>
          <w:i/>
          <w:color w:val="231F20"/>
          <w:spacing w:val="-3"/>
        </w:rPr>
        <w:t> </w:t>
      </w:r>
      <w:r>
        <w:rPr>
          <w:i/>
          <w:color w:val="231F20"/>
        </w:rPr>
        <w:t>2</w:t>
      </w:r>
      <w:r>
        <w:rPr>
          <w:i/>
          <w:color w:val="231F20"/>
          <w:spacing w:val="-3"/>
        </w:rPr>
        <w:t> </w:t>
      </w:r>
      <w:r>
        <w:rPr>
          <w:i/>
          <w:color w:val="231F20"/>
        </w:rPr>
        <w:t>U.S.</w:t>
      </w:r>
      <w:r>
        <w:rPr>
          <w:i/>
          <w:color w:val="231F20"/>
          <w:spacing w:val="-3"/>
        </w:rPr>
        <w:t> </w:t>
      </w:r>
      <w:r>
        <w:rPr>
          <w:i/>
          <w:color w:val="231F20"/>
        </w:rPr>
        <w:t>Code</w:t>
      </w:r>
      <w:r>
        <w:rPr>
          <w:i/>
          <w:color w:val="231F20"/>
          <w:spacing w:val="-3"/>
        </w:rPr>
        <w:t> </w:t>
      </w:r>
      <w:r>
        <w:rPr>
          <w:i/>
          <w:color w:val="231F20"/>
        </w:rPr>
        <w:t>of</w:t>
      </w:r>
      <w:r>
        <w:rPr>
          <w:i/>
          <w:color w:val="231F20"/>
          <w:spacing w:val="-3"/>
        </w:rPr>
        <w:t> </w:t>
      </w:r>
      <w:r>
        <w:rPr>
          <w:i/>
          <w:color w:val="231F20"/>
        </w:rPr>
        <w:t>Federal</w:t>
      </w:r>
      <w:r>
        <w:rPr>
          <w:i/>
          <w:color w:val="231F20"/>
          <w:spacing w:val="-3"/>
        </w:rPr>
        <w:t> </w:t>
      </w:r>
      <w:r>
        <w:rPr>
          <w:i/>
          <w:color w:val="231F20"/>
        </w:rPr>
        <w:t>Regulations</w:t>
      </w:r>
      <w:r>
        <w:rPr>
          <w:i/>
          <w:color w:val="231F20"/>
          <w:spacing w:val="-3"/>
        </w:rPr>
        <w:t> </w:t>
      </w:r>
      <w:r>
        <w:rPr>
          <w:i/>
          <w:color w:val="231F20"/>
        </w:rPr>
        <w:t>(CFR)</w:t>
      </w:r>
      <w:r>
        <w:rPr>
          <w:i/>
          <w:color w:val="231F20"/>
          <w:spacing w:val="-3"/>
        </w:rPr>
        <w:t> </w:t>
      </w:r>
      <w:r>
        <w:rPr>
          <w:i/>
          <w:color w:val="231F20"/>
        </w:rPr>
        <w:t>Part</w:t>
      </w:r>
      <w:r>
        <w:rPr>
          <w:i/>
          <w:color w:val="231F20"/>
          <w:spacing w:val="-4"/>
        </w:rPr>
        <w:t> </w:t>
      </w:r>
      <w:r>
        <w:rPr>
          <w:i/>
          <w:color w:val="231F20"/>
        </w:rPr>
        <w:t>200</w:t>
      </w:r>
      <w:r>
        <w:rPr>
          <w:color w:val="231F20"/>
        </w:rPr>
        <w:t>,</w:t>
      </w:r>
      <w:r>
        <w:rPr>
          <w:color w:val="231F20"/>
          <w:spacing w:val="-3"/>
        </w:rPr>
        <w:t> </w:t>
      </w:r>
      <w:r>
        <w:rPr>
          <w:i/>
          <w:color w:val="231F20"/>
        </w:rPr>
        <w:t>Uniform</w:t>
      </w:r>
      <w:r>
        <w:rPr>
          <w:i/>
          <w:color w:val="231F20"/>
          <w:spacing w:val="-4"/>
        </w:rPr>
        <w:t> </w:t>
      </w:r>
      <w:r>
        <w:rPr>
          <w:i/>
          <w:color w:val="231F20"/>
        </w:rPr>
        <w:t>Administrative</w:t>
      </w:r>
      <w:r>
        <w:rPr>
          <w:i/>
          <w:color w:val="231F20"/>
          <w:spacing w:val="-2"/>
        </w:rPr>
        <w:t> </w:t>
      </w:r>
      <w:r>
        <w:rPr>
          <w:i/>
          <w:color w:val="231F20"/>
        </w:rPr>
        <w:t>Requirements,</w:t>
      </w:r>
      <w:r>
        <w:rPr>
          <w:i/>
          <w:color w:val="231F20"/>
          <w:spacing w:val="-3"/>
        </w:rPr>
        <w:t> </w:t>
      </w:r>
      <w:r>
        <w:rPr>
          <w:i/>
          <w:color w:val="231F20"/>
        </w:rPr>
        <w:t>Cost</w:t>
      </w:r>
      <w:r>
        <w:rPr>
          <w:i/>
          <w:color w:val="231F20"/>
        </w:rPr>
        <w:t> Principals, and Audit Requirements for Federal Awards, </w:t>
      </w:r>
      <w:r>
        <w:rPr>
          <w:color w:val="231F20"/>
        </w:rPr>
        <w:t>are presented for purposes of additional analysis and are not a required part of the basic financial statements. Such information is the responsibility of management and was derived from and relates directly to the underlying accounting</w:t>
      </w:r>
    </w:p>
    <w:p>
      <w:pPr>
        <w:pStyle w:val="BodyText"/>
        <w:spacing w:line="276" w:lineRule="auto"/>
        <w:ind w:left="1620" w:right="1047"/>
      </w:pPr>
      <w:r>
        <w:rPr>
          <w:color w:val="231F20"/>
        </w:rPr>
        <w:t>and</w:t>
      </w:r>
      <w:r>
        <w:rPr>
          <w:color w:val="231F20"/>
          <w:spacing w:val="-3"/>
        </w:rPr>
        <w:t> </w:t>
      </w:r>
      <w:r>
        <w:rPr>
          <w:color w:val="231F20"/>
        </w:rPr>
        <w:t>other</w:t>
      </w:r>
      <w:r>
        <w:rPr>
          <w:color w:val="231F20"/>
          <w:spacing w:val="-3"/>
        </w:rPr>
        <w:t> </w:t>
      </w:r>
      <w:r>
        <w:rPr>
          <w:color w:val="231F20"/>
        </w:rPr>
        <w:t>records</w:t>
      </w:r>
      <w:r>
        <w:rPr>
          <w:color w:val="231F20"/>
          <w:spacing w:val="-3"/>
        </w:rPr>
        <w:t> </w:t>
      </w:r>
      <w:r>
        <w:rPr>
          <w:color w:val="231F20"/>
        </w:rPr>
        <w:t>used</w:t>
      </w:r>
      <w:r>
        <w:rPr>
          <w:color w:val="231F20"/>
          <w:spacing w:val="-3"/>
        </w:rPr>
        <w:t> </w:t>
      </w:r>
      <w:r>
        <w:rPr>
          <w:color w:val="231F20"/>
        </w:rPr>
        <w:t>to</w:t>
      </w:r>
      <w:r>
        <w:rPr>
          <w:color w:val="231F20"/>
          <w:spacing w:val="-3"/>
        </w:rPr>
        <w:t> </w:t>
      </w:r>
      <w:r>
        <w:rPr>
          <w:color w:val="231F20"/>
        </w:rPr>
        <w:t>prepare</w:t>
      </w:r>
      <w:r>
        <w:rPr>
          <w:color w:val="231F20"/>
          <w:spacing w:val="-3"/>
        </w:rPr>
        <w:t> </w:t>
      </w:r>
      <w:r>
        <w:rPr>
          <w:color w:val="231F20"/>
        </w:rPr>
        <w:t>the</w:t>
      </w:r>
      <w:r>
        <w:rPr>
          <w:color w:val="231F20"/>
          <w:spacing w:val="-3"/>
        </w:rPr>
        <w:t> </w:t>
      </w:r>
      <w:r>
        <w:rPr>
          <w:color w:val="231F20"/>
        </w:rPr>
        <w:t>basic</w:t>
      </w:r>
      <w:r>
        <w:rPr>
          <w:color w:val="231F20"/>
          <w:spacing w:val="-3"/>
        </w:rPr>
        <w:t> </w:t>
      </w:r>
      <w:r>
        <w:rPr>
          <w:color w:val="231F20"/>
        </w:rPr>
        <w:t>financial</w:t>
      </w:r>
      <w:r>
        <w:rPr>
          <w:color w:val="231F20"/>
          <w:spacing w:val="-5"/>
        </w:rPr>
        <w:t> </w:t>
      </w:r>
      <w:r>
        <w:rPr>
          <w:color w:val="231F20"/>
        </w:rPr>
        <w:t>statements.</w:t>
      </w:r>
      <w:r>
        <w:rPr>
          <w:color w:val="231F20"/>
          <w:spacing w:val="-3"/>
        </w:rPr>
        <w:t> </w:t>
      </w:r>
      <w:r>
        <w:rPr>
          <w:color w:val="231F20"/>
        </w:rPr>
        <w:t>The</w:t>
      </w:r>
      <w:r>
        <w:rPr>
          <w:color w:val="231F20"/>
          <w:spacing w:val="-3"/>
        </w:rPr>
        <w:t> </w:t>
      </w:r>
      <w:r>
        <w:rPr>
          <w:color w:val="231F20"/>
        </w:rPr>
        <w:t>information</w:t>
      </w:r>
      <w:r>
        <w:rPr>
          <w:color w:val="231F20"/>
          <w:spacing w:val="-3"/>
        </w:rPr>
        <w:t> </w:t>
      </w:r>
      <w:r>
        <w:rPr>
          <w:color w:val="231F20"/>
        </w:rPr>
        <w:t>has</w:t>
      </w:r>
      <w:r>
        <w:rPr>
          <w:color w:val="231F20"/>
          <w:spacing w:val="-3"/>
        </w:rPr>
        <w:t> </w:t>
      </w:r>
      <w:r>
        <w:rPr>
          <w:color w:val="231F20"/>
        </w:rPr>
        <w:t>been</w:t>
      </w:r>
      <w:r>
        <w:rPr>
          <w:color w:val="231F20"/>
          <w:spacing w:val="-4"/>
        </w:rPr>
        <w:t> </w:t>
      </w:r>
      <w:r>
        <w:rPr>
          <w:color w:val="231F20"/>
        </w:rPr>
        <w:t>subjected to the auditing procedures applied in the audit of the basic financial statements and certain additional procedures, including comparing and reconciling such information directly to the underlying</w:t>
      </w:r>
      <w:r>
        <w:rPr>
          <w:color w:val="231F20"/>
        </w:rPr>
        <w:t> accounting and other records used to prepare the basic financial statements or to the basic financial statements themselves, and other additional procedures in accordance with auditing standards generally accepted in the United States of America. In our opinion, the accompanying budgetary comparisons, schedule of pledged collateral, schedule of individual deposit and investment accounts, multiple-year capital projects funded by general obligation bond and severance tax bond capital</w:t>
      </w:r>
      <w:r>
        <w:rPr>
          <w:color w:val="231F20"/>
          <w:spacing w:val="40"/>
        </w:rPr>
        <w:t> </w:t>
      </w:r>
      <w:r>
        <w:rPr>
          <w:color w:val="231F20"/>
        </w:rPr>
        <w:t>outlay appropriations from the state required by 2.2.2 NMAC, schedule of joint powers agreements, and the schedule of expenditures of federal awards, is fairly</w:t>
      </w:r>
      <w:r>
        <w:rPr>
          <w:color w:val="231F20"/>
          <w:spacing w:val="-1"/>
        </w:rPr>
        <w:t> </w:t>
      </w:r>
      <w:r>
        <w:rPr>
          <w:color w:val="231F20"/>
        </w:rPr>
        <w:t>stated, in all material respects, in relation to the basic financial statements as a whole.</w:t>
      </w:r>
    </w:p>
    <w:p>
      <w:pPr>
        <w:spacing w:after="0" w:line="276" w:lineRule="auto"/>
        <w:sectPr>
          <w:pgSz w:w="12240" w:h="15840"/>
          <w:pgMar w:header="0" w:footer="743" w:top="1360" w:bottom="940" w:left="0" w:right="580"/>
        </w:sectPr>
      </w:pPr>
    </w:p>
    <w:p>
      <w:pPr>
        <w:spacing w:before="80"/>
        <w:ind w:left="1619" w:right="0" w:firstLine="0"/>
        <w:jc w:val="left"/>
        <w:rPr>
          <w:rFonts w:ascii="Georgia"/>
          <w:b/>
          <w:i/>
          <w:sz w:val="20"/>
        </w:rPr>
      </w:pPr>
      <w:r>
        <w:rPr>
          <w:rFonts w:ascii="Georgia"/>
          <w:b/>
          <w:color w:val="231F20"/>
          <w:sz w:val="20"/>
        </w:rPr>
        <w:t>Other</w:t>
      </w:r>
      <w:r>
        <w:rPr>
          <w:rFonts w:ascii="Georgia"/>
          <w:b/>
          <w:color w:val="231F20"/>
          <w:spacing w:val="-7"/>
          <w:sz w:val="20"/>
        </w:rPr>
        <w:t> </w:t>
      </w:r>
      <w:r>
        <w:rPr>
          <w:rFonts w:ascii="Georgia"/>
          <w:b/>
          <w:color w:val="231F20"/>
          <w:sz w:val="20"/>
        </w:rPr>
        <w:t>Reporting</w:t>
      </w:r>
      <w:r>
        <w:rPr>
          <w:rFonts w:ascii="Georgia"/>
          <w:b/>
          <w:color w:val="231F20"/>
          <w:spacing w:val="-5"/>
          <w:sz w:val="20"/>
        </w:rPr>
        <w:t> </w:t>
      </w:r>
      <w:r>
        <w:rPr>
          <w:rFonts w:ascii="Georgia"/>
          <w:b/>
          <w:color w:val="231F20"/>
          <w:sz w:val="20"/>
        </w:rPr>
        <w:t>Required</w:t>
      </w:r>
      <w:r>
        <w:rPr>
          <w:rFonts w:ascii="Georgia"/>
          <w:b/>
          <w:color w:val="231F20"/>
          <w:spacing w:val="-5"/>
          <w:sz w:val="20"/>
        </w:rPr>
        <w:t> </w:t>
      </w:r>
      <w:r>
        <w:rPr>
          <w:rFonts w:ascii="Georgia"/>
          <w:b/>
          <w:color w:val="231F20"/>
          <w:sz w:val="20"/>
        </w:rPr>
        <w:t>by</w:t>
      </w:r>
      <w:r>
        <w:rPr>
          <w:rFonts w:ascii="Georgia"/>
          <w:b/>
          <w:color w:val="231F20"/>
          <w:spacing w:val="-5"/>
          <w:sz w:val="20"/>
        </w:rPr>
        <w:t> </w:t>
      </w:r>
      <w:r>
        <w:rPr>
          <w:rFonts w:ascii="Georgia"/>
          <w:b/>
          <w:i/>
          <w:color w:val="231F20"/>
          <w:sz w:val="20"/>
        </w:rPr>
        <w:t>Government</w:t>
      </w:r>
      <w:r>
        <w:rPr>
          <w:rFonts w:ascii="Georgia"/>
          <w:b/>
          <w:i/>
          <w:color w:val="231F20"/>
          <w:spacing w:val="-5"/>
          <w:sz w:val="20"/>
        </w:rPr>
        <w:t> </w:t>
      </w:r>
      <w:r>
        <w:rPr>
          <w:rFonts w:ascii="Georgia"/>
          <w:b/>
          <w:i/>
          <w:color w:val="231F20"/>
          <w:sz w:val="20"/>
        </w:rPr>
        <w:t>Auditing</w:t>
      </w:r>
      <w:r>
        <w:rPr>
          <w:rFonts w:ascii="Georgia"/>
          <w:b/>
          <w:i/>
          <w:color w:val="231F20"/>
          <w:spacing w:val="-5"/>
          <w:sz w:val="20"/>
        </w:rPr>
        <w:t> </w:t>
      </w:r>
      <w:r>
        <w:rPr>
          <w:rFonts w:ascii="Georgia"/>
          <w:b/>
          <w:i/>
          <w:color w:val="231F20"/>
          <w:spacing w:val="-2"/>
          <w:sz w:val="20"/>
        </w:rPr>
        <w:t>Standards</w:t>
      </w:r>
    </w:p>
    <w:p>
      <w:pPr>
        <w:spacing w:before="154"/>
        <w:ind w:left="1619" w:right="0" w:firstLine="0"/>
        <w:jc w:val="left"/>
        <w:rPr>
          <w:sz w:val="20"/>
        </w:rPr>
      </w:pPr>
      <w:r>
        <w:rPr>
          <w:color w:val="231F20"/>
          <w:sz w:val="20"/>
        </w:rPr>
        <w:t>In</w:t>
      </w:r>
      <w:r>
        <w:rPr>
          <w:color w:val="231F20"/>
          <w:spacing w:val="-8"/>
          <w:sz w:val="20"/>
        </w:rPr>
        <w:t> </w:t>
      </w:r>
      <w:r>
        <w:rPr>
          <w:color w:val="231F20"/>
          <w:sz w:val="20"/>
        </w:rPr>
        <w:t>accordance</w:t>
      </w:r>
      <w:r>
        <w:rPr>
          <w:color w:val="231F20"/>
          <w:spacing w:val="-6"/>
          <w:sz w:val="20"/>
        </w:rPr>
        <w:t> </w:t>
      </w:r>
      <w:r>
        <w:rPr>
          <w:color w:val="231F20"/>
          <w:sz w:val="20"/>
        </w:rPr>
        <w:t>with</w:t>
      </w:r>
      <w:r>
        <w:rPr>
          <w:color w:val="231F20"/>
          <w:spacing w:val="-4"/>
          <w:sz w:val="20"/>
        </w:rPr>
        <w:t> </w:t>
      </w:r>
      <w:r>
        <w:rPr>
          <w:i/>
          <w:color w:val="231F20"/>
          <w:sz w:val="20"/>
        </w:rPr>
        <w:t>Government</w:t>
      </w:r>
      <w:r>
        <w:rPr>
          <w:i/>
          <w:color w:val="231F20"/>
          <w:spacing w:val="-6"/>
          <w:sz w:val="20"/>
        </w:rPr>
        <w:t> </w:t>
      </w:r>
      <w:r>
        <w:rPr>
          <w:i/>
          <w:color w:val="231F20"/>
          <w:sz w:val="20"/>
        </w:rPr>
        <w:t>Auditing</w:t>
      </w:r>
      <w:r>
        <w:rPr>
          <w:i/>
          <w:color w:val="231F20"/>
          <w:spacing w:val="-6"/>
          <w:sz w:val="20"/>
        </w:rPr>
        <w:t> </w:t>
      </w:r>
      <w:r>
        <w:rPr>
          <w:i/>
          <w:color w:val="231F20"/>
          <w:sz w:val="20"/>
        </w:rPr>
        <w:t>Standards</w:t>
      </w:r>
      <w:r>
        <w:rPr>
          <w:color w:val="231F20"/>
          <w:sz w:val="20"/>
        </w:rPr>
        <w:t>,</w:t>
      </w:r>
      <w:r>
        <w:rPr>
          <w:color w:val="231F20"/>
          <w:spacing w:val="-7"/>
          <w:sz w:val="20"/>
        </w:rPr>
        <w:t> </w:t>
      </w:r>
      <w:r>
        <w:rPr>
          <w:color w:val="231F20"/>
          <w:sz w:val="20"/>
        </w:rPr>
        <w:t>we</w:t>
      </w:r>
      <w:r>
        <w:rPr>
          <w:color w:val="231F20"/>
          <w:spacing w:val="-6"/>
          <w:sz w:val="20"/>
        </w:rPr>
        <w:t> </w:t>
      </w:r>
      <w:r>
        <w:rPr>
          <w:color w:val="231F20"/>
          <w:sz w:val="20"/>
        </w:rPr>
        <w:t>have</w:t>
      </w:r>
      <w:r>
        <w:rPr>
          <w:color w:val="231F20"/>
          <w:spacing w:val="-6"/>
          <w:sz w:val="20"/>
        </w:rPr>
        <w:t> </w:t>
      </w:r>
      <w:r>
        <w:rPr>
          <w:color w:val="231F20"/>
          <w:sz w:val="20"/>
        </w:rPr>
        <w:t>also</w:t>
      </w:r>
      <w:r>
        <w:rPr>
          <w:color w:val="231F20"/>
          <w:spacing w:val="-7"/>
          <w:sz w:val="20"/>
        </w:rPr>
        <w:t> </w:t>
      </w:r>
      <w:r>
        <w:rPr>
          <w:color w:val="231F20"/>
          <w:sz w:val="20"/>
        </w:rPr>
        <w:t>issued</w:t>
      </w:r>
      <w:r>
        <w:rPr>
          <w:color w:val="231F20"/>
          <w:spacing w:val="-6"/>
          <w:sz w:val="20"/>
        </w:rPr>
        <w:t> </w:t>
      </w:r>
      <w:r>
        <w:rPr>
          <w:color w:val="231F20"/>
          <w:sz w:val="20"/>
        </w:rPr>
        <w:t>our</w:t>
      </w:r>
      <w:r>
        <w:rPr>
          <w:color w:val="231F20"/>
          <w:spacing w:val="-6"/>
          <w:sz w:val="20"/>
        </w:rPr>
        <w:t> </w:t>
      </w:r>
      <w:r>
        <w:rPr>
          <w:color w:val="231F20"/>
          <w:sz w:val="20"/>
        </w:rPr>
        <w:t>report</w:t>
      </w:r>
      <w:r>
        <w:rPr>
          <w:color w:val="231F20"/>
          <w:spacing w:val="-5"/>
          <w:sz w:val="20"/>
        </w:rPr>
        <w:t> </w:t>
      </w:r>
      <w:r>
        <w:rPr>
          <w:color w:val="231F20"/>
          <w:spacing w:val="-2"/>
          <w:sz w:val="20"/>
        </w:rPr>
        <w:t>dated</w:t>
      </w:r>
    </w:p>
    <w:p>
      <w:pPr>
        <w:pStyle w:val="BodyText"/>
        <w:spacing w:line="276" w:lineRule="auto" w:before="34"/>
        <w:ind w:left="1619" w:right="1091"/>
      </w:pPr>
      <w:r>
        <w:rPr/>
        <w:drawing>
          <wp:anchor distT="0" distB="0" distL="0" distR="0" allowOverlap="1" layoutInCell="1" locked="0" behindDoc="0" simplePos="0" relativeHeight="14">
            <wp:simplePos x="0" y="0"/>
            <wp:positionH relativeFrom="page">
              <wp:posOffset>998875</wp:posOffset>
            </wp:positionH>
            <wp:positionV relativeFrom="paragraph">
              <wp:posOffset>1555056</wp:posOffset>
            </wp:positionV>
            <wp:extent cx="2476565" cy="435864"/>
            <wp:effectExtent l="0" t="0" r="0" b="0"/>
            <wp:wrapTopAndBottom/>
            <wp:docPr id="5" name="image14.png"/>
            <wp:cNvGraphicFramePr>
              <a:graphicFrameLocks noChangeAspect="1"/>
            </wp:cNvGraphicFramePr>
            <a:graphic>
              <a:graphicData uri="http://schemas.openxmlformats.org/drawingml/2006/picture">
                <pic:pic>
                  <pic:nvPicPr>
                    <pic:cNvPr id="6" name="image14.png"/>
                    <pic:cNvPicPr/>
                  </pic:nvPicPr>
                  <pic:blipFill>
                    <a:blip r:embed="rId20" cstate="print"/>
                    <a:stretch>
                      <a:fillRect/>
                    </a:stretch>
                  </pic:blipFill>
                  <pic:spPr>
                    <a:xfrm>
                      <a:off x="0" y="0"/>
                      <a:ext cx="2476565" cy="435864"/>
                    </a:xfrm>
                    <a:prstGeom prst="rect">
                      <a:avLst/>
                    </a:prstGeom>
                  </pic:spPr>
                </pic:pic>
              </a:graphicData>
            </a:graphic>
          </wp:anchor>
        </w:drawing>
      </w:r>
      <w:r>
        <w:rPr>
          <w:color w:val="231F20"/>
        </w:rPr>
        <w:t>October 28, 2022 on our consideration of New Mexico Institute of Mining and Technology's internal control over financial reporting and on our tests of its compliance with certain provisions of laws, regulations, contracts, and grant agreements and other matters. The purpose of that report is solely</w:t>
      </w:r>
      <w:r>
        <w:rPr>
          <w:color w:val="231F20"/>
        </w:rPr>
        <w:t> to</w:t>
      </w:r>
      <w:r>
        <w:rPr>
          <w:color w:val="231F20"/>
          <w:spacing w:val="-3"/>
        </w:rPr>
        <w:t> </w:t>
      </w:r>
      <w:r>
        <w:rPr>
          <w:color w:val="231F20"/>
        </w:rPr>
        <w:t>describe</w:t>
      </w:r>
      <w:r>
        <w:rPr>
          <w:color w:val="231F20"/>
          <w:spacing w:val="-3"/>
        </w:rPr>
        <w:t> </w:t>
      </w:r>
      <w:r>
        <w:rPr>
          <w:color w:val="231F20"/>
        </w:rPr>
        <w:t>the</w:t>
      </w:r>
      <w:r>
        <w:rPr>
          <w:color w:val="231F20"/>
          <w:spacing w:val="-3"/>
        </w:rPr>
        <w:t> </w:t>
      </w:r>
      <w:r>
        <w:rPr>
          <w:color w:val="231F20"/>
        </w:rPr>
        <w:t>scope</w:t>
      </w:r>
      <w:r>
        <w:rPr>
          <w:color w:val="231F20"/>
          <w:spacing w:val="-3"/>
        </w:rPr>
        <w:t> </w:t>
      </w:r>
      <w:r>
        <w:rPr>
          <w:color w:val="231F20"/>
        </w:rPr>
        <w:t>of</w:t>
      </w:r>
      <w:r>
        <w:rPr>
          <w:color w:val="231F20"/>
          <w:spacing w:val="-3"/>
        </w:rPr>
        <w:t> </w:t>
      </w:r>
      <w:r>
        <w:rPr>
          <w:color w:val="231F20"/>
        </w:rPr>
        <w:t>our</w:t>
      </w:r>
      <w:r>
        <w:rPr>
          <w:color w:val="231F20"/>
          <w:spacing w:val="-3"/>
        </w:rPr>
        <w:t> </w:t>
      </w:r>
      <w:r>
        <w:rPr>
          <w:color w:val="231F20"/>
        </w:rPr>
        <w:t>testing</w:t>
      </w:r>
      <w:r>
        <w:rPr>
          <w:color w:val="231F20"/>
          <w:spacing w:val="-3"/>
        </w:rPr>
        <w:t> </w:t>
      </w:r>
      <w:r>
        <w:rPr>
          <w:color w:val="231F20"/>
        </w:rPr>
        <w:t>of</w:t>
      </w:r>
      <w:r>
        <w:rPr>
          <w:color w:val="231F20"/>
          <w:spacing w:val="-3"/>
        </w:rPr>
        <w:t> </w:t>
      </w:r>
      <w:r>
        <w:rPr>
          <w:color w:val="231F20"/>
        </w:rPr>
        <w:t>internal</w:t>
      </w:r>
      <w:r>
        <w:rPr>
          <w:color w:val="231F20"/>
          <w:spacing w:val="-4"/>
        </w:rPr>
        <w:t> </w:t>
      </w:r>
      <w:r>
        <w:rPr>
          <w:color w:val="231F20"/>
        </w:rPr>
        <w:t>control</w:t>
      </w:r>
      <w:r>
        <w:rPr>
          <w:color w:val="231F20"/>
          <w:spacing w:val="-4"/>
        </w:rPr>
        <w:t> </w:t>
      </w:r>
      <w:r>
        <w:rPr>
          <w:color w:val="231F20"/>
        </w:rPr>
        <w:t>over</w:t>
      </w:r>
      <w:r>
        <w:rPr>
          <w:color w:val="231F20"/>
          <w:spacing w:val="-2"/>
        </w:rPr>
        <w:t> </w:t>
      </w:r>
      <w:r>
        <w:rPr>
          <w:color w:val="231F20"/>
        </w:rPr>
        <w:t>financial</w:t>
      </w:r>
      <w:r>
        <w:rPr>
          <w:color w:val="231F20"/>
          <w:spacing w:val="-4"/>
        </w:rPr>
        <w:t> </w:t>
      </w:r>
      <w:r>
        <w:rPr>
          <w:color w:val="231F20"/>
        </w:rPr>
        <w:t>reporting</w:t>
      </w:r>
      <w:r>
        <w:rPr>
          <w:color w:val="231F20"/>
          <w:spacing w:val="-3"/>
        </w:rPr>
        <w:t> </w:t>
      </w:r>
      <w:r>
        <w:rPr>
          <w:color w:val="231F20"/>
        </w:rPr>
        <w:t>and</w:t>
      </w:r>
      <w:r>
        <w:rPr>
          <w:color w:val="231F20"/>
          <w:spacing w:val="-3"/>
        </w:rPr>
        <w:t> </w:t>
      </w:r>
      <w:r>
        <w:rPr>
          <w:color w:val="231F20"/>
        </w:rPr>
        <w:t>compliance</w:t>
      </w:r>
      <w:r>
        <w:rPr>
          <w:color w:val="231F20"/>
          <w:spacing w:val="-4"/>
        </w:rPr>
        <w:t> </w:t>
      </w:r>
      <w:r>
        <w:rPr>
          <w:color w:val="231F20"/>
        </w:rPr>
        <w:t>and</w:t>
      </w:r>
      <w:r>
        <w:rPr>
          <w:color w:val="231F20"/>
          <w:spacing w:val="-3"/>
        </w:rPr>
        <w:t> </w:t>
      </w:r>
      <w:r>
        <w:rPr>
          <w:color w:val="231F20"/>
        </w:rPr>
        <w:t>the results of that testing, and not to provide an opinion on the effectiveness of New Mexico Institute of Mining and Technology's internal control over financial reporting or on compliance. That report is an integral</w:t>
      </w:r>
      <w:r>
        <w:rPr>
          <w:color w:val="231F20"/>
          <w:spacing w:val="-1"/>
        </w:rPr>
        <w:t> </w:t>
      </w:r>
      <w:r>
        <w:rPr>
          <w:color w:val="231F20"/>
        </w:rPr>
        <w:t>part</w:t>
      </w:r>
      <w:r>
        <w:rPr>
          <w:color w:val="231F20"/>
          <w:spacing w:val="-1"/>
        </w:rPr>
        <w:t> </w:t>
      </w:r>
      <w:r>
        <w:rPr>
          <w:color w:val="231F20"/>
        </w:rPr>
        <w:t>of</w:t>
      </w:r>
      <w:r>
        <w:rPr>
          <w:color w:val="231F20"/>
          <w:spacing w:val="-1"/>
        </w:rPr>
        <w:t> </w:t>
      </w:r>
      <w:r>
        <w:rPr>
          <w:color w:val="231F20"/>
        </w:rPr>
        <w:t>an</w:t>
      </w:r>
      <w:r>
        <w:rPr>
          <w:color w:val="231F20"/>
          <w:spacing w:val="-1"/>
        </w:rPr>
        <w:t> </w:t>
      </w:r>
      <w:r>
        <w:rPr>
          <w:color w:val="231F20"/>
        </w:rPr>
        <w:t>audit</w:t>
      </w:r>
      <w:r>
        <w:rPr>
          <w:color w:val="231F20"/>
          <w:spacing w:val="-1"/>
        </w:rPr>
        <w:t> </w:t>
      </w:r>
      <w:r>
        <w:rPr>
          <w:color w:val="231F20"/>
        </w:rPr>
        <w:t>performed</w:t>
      </w:r>
      <w:r>
        <w:rPr>
          <w:color w:val="231F20"/>
          <w:spacing w:val="-1"/>
        </w:rPr>
        <w:t> </w:t>
      </w:r>
      <w:r>
        <w:rPr>
          <w:color w:val="231F20"/>
        </w:rPr>
        <w:t>in</w:t>
      </w:r>
      <w:r>
        <w:rPr>
          <w:color w:val="231F20"/>
          <w:spacing w:val="-1"/>
        </w:rPr>
        <w:t> </w:t>
      </w:r>
      <w:r>
        <w:rPr>
          <w:color w:val="231F20"/>
        </w:rPr>
        <w:t>accordance</w:t>
      </w:r>
      <w:r>
        <w:rPr>
          <w:color w:val="231F20"/>
          <w:spacing w:val="-1"/>
        </w:rPr>
        <w:t> </w:t>
      </w:r>
      <w:r>
        <w:rPr>
          <w:color w:val="231F20"/>
        </w:rPr>
        <w:t>with </w:t>
      </w:r>
      <w:r>
        <w:rPr>
          <w:i/>
          <w:color w:val="231F20"/>
        </w:rPr>
        <w:t>Government</w:t>
      </w:r>
      <w:r>
        <w:rPr>
          <w:i/>
          <w:color w:val="231F20"/>
          <w:spacing w:val="-2"/>
        </w:rPr>
        <w:t> </w:t>
      </w:r>
      <w:r>
        <w:rPr>
          <w:i/>
          <w:color w:val="231F20"/>
        </w:rPr>
        <w:t>Auditing</w:t>
      </w:r>
      <w:r>
        <w:rPr>
          <w:i/>
          <w:color w:val="231F20"/>
          <w:spacing w:val="-1"/>
        </w:rPr>
        <w:t> </w:t>
      </w:r>
      <w:r>
        <w:rPr>
          <w:i/>
          <w:color w:val="231F20"/>
        </w:rPr>
        <w:t>Standards </w:t>
      </w:r>
      <w:r>
        <w:rPr>
          <w:color w:val="231F20"/>
        </w:rPr>
        <w:t>in</w:t>
      </w:r>
      <w:r>
        <w:rPr>
          <w:color w:val="231F20"/>
          <w:spacing w:val="-1"/>
        </w:rPr>
        <w:t> </w:t>
      </w:r>
      <w:r>
        <w:rPr>
          <w:color w:val="231F20"/>
        </w:rPr>
        <w:t>considering New Mexico Institute of Mining and Technology's internal control over financial reporting and </w:t>
      </w:r>
      <w:r>
        <w:rPr>
          <w:color w:val="231F20"/>
          <w:spacing w:val="-2"/>
        </w:rPr>
        <w:t>compliance.</w:t>
      </w:r>
    </w:p>
    <w:p>
      <w:pPr>
        <w:pStyle w:val="BodyText"/>
        <w:spacing w:line="276" w:lineRule="auto" w:before="72"/>
        <w:ind w:left="1619" w:right="7043"/>
      </w:pPr>
      <w:r>
        <w:rPr>
          <w:color w:val="231F20"/>
        </w:rPr>
        <w:t>Albuquerque,</w:t>
      </w:r>
      <w:r>
        <w:rPr>
          <w:color w:val="231F20"/>
          <w:spacing w:val="-14"/>
        </w:rPr>
        <w:t> </w:t>
      </w:r>
      <w:r>
        <w:rPr>
          <w:color w:val="231F20"/>
        </w:rPr>
        <w:t>New</w:t>
      </w:r>
      <w:r>
        <w:rPr>
          <w:color w:val="231F20"/>
          <w:spacing w:val="-14"/>
        </w:rPr>
        <w:t> </w:t>
      </w:r>
      <w:r>
        <w:rPr>
          <w:color w:val="231F20"/>
        </w:rPr>
        <w:t>Mexico October 28, 2022</w:t>
      </w:r>
    </w:p>
    <w:p>
      <w:pPr>
        <w:spacing w:after="0" w:line="276" w:lineRule="auto"/>
        <w:sectPr>
          <w:pgSz w:w="12240" w:h="15840"/>
          <w:pgMar w:header="0" w:footer="743" w:top="1360" w:bottom="940" w:left="0" w:right="580"/>
        </w:sectPr>
      </w:pPr>
    </w:p>
    <w:p>
      <w:pPr>
        <w:pStyle w:val="Heading3"/>
        <w:ind w:left="4646" w:right="2798" w:hanging="807"/>
        <w:jc w:val="left"/>
      </w:pPr>
      <w:r>
        <w:rPr/>
        <w:pict>
          <v:rect style="position:absolute;margin-left:70.5pt;margin-top:28.525681pt;width:471.001pt;height:1.5pt;mso-position-horizontal-relative:page;mso-position-vertical-relative:paragraph;z-index:-15720960;mso-wrap-distance-left:0;mso-wrap-distance-right:0" id="docshape34" filled="true" fillcolor="#231f20" stroked="false">
            <v:fill type="solid"/>
            <w10:wrap type="topAndBottom"/>
          </v:rect>
        </w:pict>
      </w:r>
      <w:r>
        <w:rPr>
          <w:color w:val="231F20"/>
        </w:rPr>
        <w:t>Management’s</w:t>
      </w:r>
      <w:r>
        <w:rPr>
          <w:color w:val="231F20"/>
          <w:spacing w:val="-13"/>
        </w:rPr>
        <w:t> </w:t>
      </w:r>
      <w:r>
        <w:rPr>
          <w:color w:val="231F20"/>
        </w:rPr>
        <w:t>Discussion</w:t>
      </w:r>
      <w:r>
        <w:rPr>
          <w:color w:val="231F20"/>
          <w:spacing w:val="-13"/>
        </w:rPr>
        <w:t> </w:t>
      </w:r>
      <w:r>
        <w:rPr>
          <w:color w:val="231F20"/>
        </w:rPr>
        <w:t>and</w:t>
      </w:r>
      <w:r>
        <w:rPr>
          <w:color w:val="231F20"/>
          <w:spacing w:val="-13"/>
        </w:rPr>
        <w:t> </w:t>
      </w:r>
      <w:r>
        <w:rPr>
          <w:color w:val="231F20"/>
        </w:rPr>
        <w:t>Analysis Year Ended June 30, 2022</w:t>
      </w:r>
    </w:p>
    <w:p>
      <w:pPr>
        <w:pStyle w:val="BodyText"/>
        <w:rPr>
          <w:b/>
        </w:rPr>
      </w:pPr>
    </w:p>
    <w:p>
      <w:pPr>
        <w:pStyle w:val="BodyText"/>
        <w:spacing w:before="10"/>
        <w:rPr>
          <w:b/>
          <w:sz w:val="17"/>
        </w:rPr>
      </w:pPr>
    </w:p>
    <w:p>
      <w:pPr>
        <w:pStyle w:val="BodyText"/>
        <w:spacing w:line="276" w:lineRule="auto" w:before="94"/>
        <w:ind w:left="1440" w:right="891"/>
      </w:pPr>
      <w:r>
        <w:rPr>
          <w:color w:val="231F20"/>
        </w:rPr>
        <w:t>The New Mexico Institute of Mining and Technology (New Mexico Tech, NMIMT, NMT, or the Institute) Management’s Discussion and Analysis (MDA) of annual financial statements provides an overview of New Mexico Tech’s financial activities for the fiscal year ending June 30, 2022. Included for comparison purposes</w:t>
      </w:r>
      <w:r>
        <w:rPr>
          <w:color w:val="231F20"/>
          <w:spacing w:val="-3"/>
        </w:rPr>
        <w:t> </w:t>
      </w:r>
      <w:r>
        <w:rPr>
          <w:color w:val="231F20"/>
        </w:rPr>
        <w:t>is</w:t>
      </w:r>
      <w:r>
        <w:rPr>
          <w:color w:val="231F20"/>
          <w:spacing w:val="-2"/>
        </w:rPr>
        <w:t> </w:t>
      </w:r>
      <w:r>
        <w:rPr>
          <w:color w:val="231F20"/>
        </w:rPr>
        <w:t>the</w:t>
      </w:r>
      <w:r>
        <w:rPr>
          <w:color w:val="231F20"/>
          <w:spacing w:val="-3"/>
        </w:rPr>
        <w:t> </w:t>
      </w:r>
      <w:r>
        <w:rPr>
          <w:color w:val="231F20"/>
        </w:rPr>
        <w:t>2021</w:t>
      </w:r>
      <w:r>
        <w:rPr>
          <w:color w:val="231F20"/>
          <w:spacing w:val="-3"/>
        </w:rPr>
        <w:t> </w:t>
      </w:r>
      <w:r>
        <w:rPr>
          <w:color w:val="231F20"/>
        </w:rPr>
        <w:t>financial</w:t>
      </w:r>
      <w:r>
        <w:rPr>
          <w:color w:val="231F20"/>
          <w:spacing w:val="-3"/>
        </w:rPr>
        <w:t> </w:t>
      </w:r>
      <w:r>
        <w:rPr>
          <w:color w:val="231F20"/>
        </w:rPr>
        <w:t>summary.</w:t>
      </w:r>
      <w:r>
        <w:rPr>
          <w:color w:val="231F20"/>
          <w:spacing w:val="-3"/>
        </w:rPr>
        <w:t> </w:t>
      </w:r>
      <w:r>
        <w:rPr>
          <w:color w:val="231F20"/>
        </w:rPr>
        <w:t>This</w:t>
      </w:r>
      <w:r>
        <w:rPr>
          <w:color w:val="231F20"/>
          <w:spacing w:val="-3"/>
        </w:rPr>
        <w:t> </w:t>
      </w:r>
      <w:r>
        <w:rPr>
          <w:color w:val="231F20"/>
        </w:rPr>
        <w:t>annual</w:t>
      </w:r>
      <w:r>
        <w:rPr>
          <w:color w:val="231F20"/>
          <w:spacing w:val="-3"/>
        </w:rPr>
        <w:t> </w:t>
      </w:r>
      <w:r>
        <w:rPr>
          <w:color w:val="231F20"/>
        </w:rPr>
        <w:t>report</w:t>
      </w:r>
      <w:r>
        <w:rPr>
          <w:color w:val="231F20"/>
          <w:spacing w:val="-3"/>
        </w:rPr>
        <w:t> </w:t>
      </w:r>
      <w:r>
        <w:rPr>
          <w:color w:val="231F20"/>
        </w:rPr>
        <w:t>is</w:t>
      </w:r>
      <w:r>
        <w:rPr>
          <w:color w:val="231F20"/>
          <w:spacing w:val="-3"/>
        </w:rPr>
        <w:t> </w:t>
      </w:r>
      <w:r>
        <w:rPr>
          <w:color w:val="231F20"/>
        </w:rPr>
        <w:t>presented</w:t>
      </w:r>
      <w:r>
        <w:rPr>
          <w:color w:val="231F20"/>
          <w:spacing w:val="-3"/>
        </w:rPr>
        <w:t> </w:t>
      </w:r>
      <w:r>
        <w:rPr>
          <w:color w:val="231F20"/>
        </w:rPr>
        <w:t>in</w:t>
      </w:r>
      <w:r>
        <w:rPr>
          <w:color w:val="231F20"/>
          <w:spacing w:val="-3"/>
        </w:rPr>
        <w:t> </w:t>
      </w:r>
      <w:r>
        <w:rPr>
          <w:color w:val="231F20"/>
        </w:rPr>
        <w:t>the</w:t>
      </w:r>
      <w:r>
        <w:rPr>
          <w:color w:val="231F20"/>
          <w:spacing w:val="-4"/>
        </w:rPr>
        <w:t> </w:t>
      </w:r>
      <w:r>
        <w:rPr>
          <w:color w:val="231F20"/>
        </w:rPr>
        <w:t>Governmental</w:t>
      </w:r>
      <w:r>
        <w:rPr>
          <w:color w:val="231F20"/>
          <w:spacing w:val="-3"/>
        </w:rPr>
        <w:t> </w:t>
      </w:r>
      <w:r>
        <w:rPr>
          <w:color w:val="231F20"/>
        </w:rPr>
        <w:t>Accounting Standard Board Statements (GASB) 34 and 35 reporting format. New Mexico Tech, as does all of New Mexico colleges and universities, uses the Business Type Activity (BTA) format to report the financial </w:t>
      </w:r>
      <w:r>
        <w:rPr>
          <w:color w:val="231F20"/>
          <w:spacing w:val="-2"/>
        </w:rPr>
        <w:t>statements.</w:t>
      </w:r>
    </w:p>
    <w:p>
      <w:pPr>
        <w:pStyle w:val="BodyText"/>
        <w:spacing w:before="11"/>
        <w:rPr>
          <w:sz w:val="22"/>
        </w:rPr>
      </w:pPr>
    </w:p>
    <w:p>
      <w:pPr>
        <w:pStyle w:val="BodyText"/>
        <w:spacing w:line="276" w:lineRule="auto"/>
        <w:ind w:left="1440" w:right="883"/>
      </w:pPr>
      <w:r>
        <w:rPr>
          <w:color w:val="231F20"/>
        </w:rPr>
        <w:t>The purpose of the MDA is to provide users of this report with a brief overview of the year’s activities as they</w:t>
      </w:r>
      <w:r>
        <w:rPr>
          <w:color w:val="231F20"/>
          <w:spacing w:val="-3"/>
        </w:rPr>
        <w:t> </w:t>
      </w:r>
      <w:r>
        <w:rPr>
          <w:color w:val="231F20"/>
        </w:rPr>
        <w:t>relate</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funds</w:t>
      </w:r>
      <w:r>
        <w:rPr>
          <w:color w:val="231F20"/>
          <w:spacing w:val="-3"/>
        </w:rPr>
        <w:t> </w:t>
      </w:r>
      <w:r>
        <w:rPr>
          <w:color w:val="231F20"/>
        </w:rPr>
        <w:t>and</w:t>
      </w:r>
      <w:r>
        <w:rPr>
          <w:color w:val="231F20"/>
          <w:spacing w:val="-3"/>
        </w:rPr>
        <w:t> </w:t>
      </w:r>
      <w:r>
        <w:rPr>
          <w:color w:val="231F20"/>
        </w:rPr>
        <w:t>assets</w:t>
      </w:r>
      <w:r>
        <w:rPr>
          <w:color w:val="231F20"/>
          <w:spacing w:val="-3"/>
        </w:rPr>
        <w:t> </w:t>
      </w:r>
      <w:r>
        <w:rPr>
          <w:color w:val="231F20"/>
        </w:rPr>
        <w:t>administered</w:t>
      </w:r>
      <w:r>
        <w:rPr>
          <w:color w:val="231F20"/>
          <w:spacing w:val="-3"/>
        </w:rPr>
        <w:t> </w:t>
      </w:r>
      <w:r>
        <w:rPr>
          <w:color w:val="231F20"/>
        </w:rPr>
        <w:t>by New</w:t>
      </w:r>
      <w:r>
        <w:rPr>
          <w:color w:val="231F20"/>
          <w:spacing w:val="-3"/>
        </w:rPr>
        <w:t> </w:t>
      </w:r>
      <w:r>
        <w:rPr>
          <w:color w:val="231F20"/>
        </w:rPr>
        <w:t>Mexico</w:t>
      </w:r>
      <w:r>
        <w:rPr>
          <w:color w:val="231F20"/>
          <w:spacing w:val="-3"/>
        </w:rPr>
        <w:t> </w:t>
      </w:r>
      <w:r>
        <w:rPr>
          <w:color w:val="231F20"/>
        </w:rPr>
        <w:t>Tech.</w:t>
      </w:r>
      <w:r>
        <w:rPr>
          <w:color w:val="231F20"/>
          <w:spacing w:val="-3"/>
        </w:rPr>
        <w:t> </w:t>
      </w:r>
      <w:r>
        <w:rPr>
          <w:color w:val="231F20"/>
        </w:rPr>
        <w:t>The</w:t>
      </w:r>
      <w:r>
        <w:rPr>
          <w:color w:val="231F20"/>
          <w:spacing w:val="-3"/>
        </w:rPr>
        <w:t> </w:t>
      </w:r>
      <w:r>
        <w:rPr>
          <w:color w:val="231F20"/>
        </w:rPr>
        <w:t>MDA</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written</w:t>
      </w:r>
      <w:r>
        <w:rPr>
          <w:color w:val="231F20"/>
          <w:spacing w:val="-4"/>
        </w:rPr>
        <w:t> </w:t>
      </w:r>
      <w:r>
        <w:rPr>
          <w:color w:val="231F20"/>
        </w:rPr>
        <w:t>discussion</w:t>
      </w:r>
      <w:r>
        <w:rPr>
          <w:color w:val="231F20"/>
          <w:spacing w:val="-3"/>
        </w:rPr>
        <w:t> </w:t>
      </w:r>
      <w:r>
        <w:rPr>
          <w:color w:val="231F20"/>
        </w:rPr>
        <w:t>of the primary financial statements included in the annual report. It also provides</w:t>
      </w:r>
      <w:r>
        <w:rPr>
          <w:color w:val="231F20"/>
          <w:spacing w:val="-1"/>
        </w:rPr>
        <w:t> </w:t>
      </w:r>
      <w:r>
        <w:rPr>
          <w:color w:val="231F20"/>
        </w:rPr>
        <w:t>the reader</w:t>
      </w:r>
      <w:r>
        <w:rPr>
          <w:color w:val="231F20"/>
          <w:spacing w:val="-1"/>
        </w:rPr>
        <w:t> </w:t>
      </w:r>
      <w:r>
        <w:rPr>
          <w:color w:val="231F20"/>
        </w:rPr>
        <w:t>with a</w:t>
      </w:r>
      <w:r>
        <w:rPr>
          <w:color w:val="231F20"/>
        </w:rPr>
        <w:t> discussion</w:t>
      </w:r>
      <w:r>
        <w:rPr>
          <w:color w:val="231F20"/>
          <w:spacing w:val="-1"/>
        </w:rPr>
        <w:t> </w:t>
      </w:r>
      <w:r>
        <w:rPr>
          <w:color w:val="231F20"/>
        </w:rPr>
        <w:t>of the major activities that occurred</w:t>
      </w:r>
      <w:r>
        <w:rPr>
          <w:color w:val="231F20"/>
          <w:spacing w:val="-1"/>
        </w:rPr>
        <w:t> </w:t>
      </w:r>
      <w:r>
        <w:rPr>
          <w:color w:val="231F20"/>
        </w:rPr>
        <w:t>during the year and the effect of the activities to New Mexico</w:t>
      </w:r>
      <w:r>
        <w:rPr>
          <w:color w:val="231F20"/>
          <w:spacing w:val="-7"/>
        </w:rPr>
        <w:t> </w:t>
      </w:r>
      <w:r>
        <w:rPr>
          <w:color w:val="231F20"/>
        </w:rPr>
        <w:t>Tech.</w:t>
      </w:r>
    </w:p>
    <w:p>
      <w:pPr>
        <w:pStyle w:val="BodyText"/>
        <w:rPr>
          <w:sz w:val="23"/>
        </w:rPr>
      </w:pPr>
    </w:p>
    <w:p>
      <w:pPr>
        <w:pStyle w:val="BodyText"/>
        <w:ind w:left="1440"/>
      </w:pPr>
      <w:r>
        <w:rPr>
          <w:color w:val="231F20"/>
        </w:rPr>
        <w:t>A</w:t>
      </w:r>
      <w:r>
        <w:rPr>
          <w:color w:val="231F20"/>
          <w:spacing w:val="-4"/>
        </w:rPr>
        <w:t> </w:t>
      </w:r>
      <w:r>
        <w:rPr>
          <w:color w:val="231F20"/>
        </w:rPr>
        <w:t>brief</w:t>
      </w:r>
      <w:r>
        <w:rPr>
          <w:color w:val="231F20"/>
          <w:spacing w:val="-4"/>
        </w:rPr>
        <w:t> </w:t>
      </w:r>
      <w:r>
        <w:rPr>
          <w:color w:val="231F20"/>
        </w:rPr>
        <w:t>summary</w:t>
      </w:r>
      <w:r>
        <w:rPr>
          <w:color w:val="231F20"/>
          <w:spacing w:val="-4"/>
        </w:rPr>
        <w:t> </w:t>
      </w:r>
      <w:r>
        <w:rPr>
          <w:color w:val="231F20"/>
        </w:rPr>
        <w:t>is</w:t>
      </w:r>
      <w:r>
        <w:rPr>
          <w:color w:val="231F20"/>
          <w:spacing w:val="-3"/>
        </w:rPr>
        <w:t> </w:t>
      </w:r>
      <w:r>
        <w:rPr>
          <w:color w:val="231F20"/>
        </w:rPr>
        <w:t>provided</w:t>
      </w:r>
      <w:r>
        <w:rPr>
          <w:color w:val="231F20"/>
          <w:spacing w:val="-3"/>
        </w:rPr>
        <w:t> </w:t>
      </w:r>
      <w:r>
        <w:rPr>
          <w:color w:val="231F20"/>
        </w:rPr>
        <w:t>for</w:t>
      </w:r>
      <w:r>
        <w:rPr>
          <w:color w:val="231F20"/>
          <w:spacing w:val="-4"/>
        </w:rPr>
        <w:t> </w:t>
      </w:r>
      <w:r>
        <w:rPr>
          <w:color w:val="231F20"/>
        </w:rPr>
        <w:t>the</w:t>
      </w:r>
      <w:r>
        <w:rPr>
          <w:color w:val="231F20"/>
          <w:spacing w:val="-4"/>
        </w:rPr>
        <w:t> </w:t>
      </w:r>
      <w:r>
        <w:rPr>
          <w:color w:val="231F20"/>
        </w:rPr>
        <w:t>following</w:t>
      </w:r>
      <w:r>
        <w:rPr>
          <w:color w:val="231F20"/>
          <w:spacing w:val="-4"/>
        </w:rPr>
        <w:t> </w:t>
      </w:r>
      <w:r>
        <w:rPr>
          <w:color w:val="231F20"/>
        </w:rPr>
        <w:t>financial</w:t>
      </w:r>
      <w:r>
        <w:rPr>
          <w:color w:val="231F20"/>
          <w:spacing w:val="-4"/>
        </w:rPr>
        <w:t> </w:t>
      </w:r>
      <w:r>
        <w:rPr>
          <w:color w:val="231F20"/>
          <w:spacing w:val="-2"/>
        </w:rPr>
        <w:t>reports:</w:t>
      </w:r>
    </w:p>
    <w:p>
      <w:pPr>
        <w:pStyle w:val="BodyText"/>
        <w:spacing w:before="10"/>
        <w:rPr>
          <w:sz w:val="25"/>
        </w:rPr>
      </w:pPr>
    </w:p>
    <w:p>
      <w:pPr>
        <w:pStyle w:val="BodyText"/>
        <w:spacing w:line="276" w:lineRule="auto" w:before="1"/>
        <w:ind w:left="1440" w:right="891"/>
      </w:pPr>
      <w:r>
        <w:rPr>
          <w:color w:val="231F20"/>
        </w:rPr>
        <w:t>The MDA gives New Mexico Tech’s management a forum to analyze the activities for the fiscal year; including, but not limited to, a comparison of current fiscal year to last year’s financial summary, enrollment</w:t>
      </w:r>
      <w:r>
        <w:rPr>
          <w:color w:val="231F20"/>
          <w:spacing w:val="-3"/>
        </w:rPr>
        <w:t> </w:t>
      </w:r>
      <w:r>
        <w:rPr>
          <w:color w:val="231F20"/>
        </w:rPr>
        <w:t>data,</w:t>
      </w:r>
      <w:r>
        <w:rPr>
          <w:color w:val="231F20"/>
          <w:spacing w:val="-3"/>
        </w:rPr>
        <w:t> </w:t>
      </w:r>
      <w:r>
        <w:rPr>
          <w:color w:val="231F20"/>
        </w:rPr>
        <w:t>research</w:t>
      </w:r>
      <w:r>
        <w:rPr>
          <w:color w:val="231F20"/>
          <w:spacing w:val="-3"/>
        </w:rPr>
        <w:t> </w:t>
      </w:r>
      <w:r>
        <w:rPr>
          <w:color w:val="231F20"/>
        </w:rPr>
        <w:t>activities</w:t>
      </w:r>
      <w:r>
        <w:rPr>
          <w:color w:val="231F20"/>
          <w:spacing w:val="-2"/>
        </w:rPr>
        <w:t> </w:t>
      </w:r>
      <w:r>
        <w:rPr>
          <w:color w:val="231F20"/>
        </w:rPr>
        <w:t>and</w:t>
      </w:r>
      <w:r>
        <w:rPr>
          <w:color w:val="231F20"/>
          <w:spacing w:val="-4"/>
        </w:rPr>
        <w:t> </w:t>
      </w:r>
      <w:r>
        <w:rPr>
          <w:color w:val="231F20"/>
        </w:rPr>
        <w:t>capital</w:t>
      </w:r>
      <w:r>
        <w:rPr>
          <w:color w:val="231F20"/>
          <w:spacing w:val="-3"/>
        </w:rPr>
        <w:t> </w:t>
      </w:r>
      <w:r>
        <w:rPr>
          <w:color w:val="231F20"/>
        </w:rPr>
        <w:t>projects.</w:t>
      </w:r>
      <w:r>
        <w:rPr>
          <w:color w:val="231F20"/>
          <w:spacing w:val="-3"/>
        </w:rPr>
        <w:t> </w:t>
      </w:r>
      <w:r>
        <w:rPr>
          <w:color w:val="231F20"/>
        </w:rPr>
        <w:t>The</w:t>
      </w:r>
      <w:r>
        <w:rPr>
          <w:color w:val="231F20"/>
          <w:spacing w:val="-3"/>
        </w:rPr>
        <w:t> </w:t>
      </w:r>
      <w:r>
        <w:rPr>
          <w:color w:val="231F20"/>
        </w:rPr>
        <w:t>report</w:t>
      </w:r>
      <w:r>
        <w:rPr>
          <w:color w:val="231F20"/>
          <w:spacing w:val="-3"/>
        </w:rPr>
        <w:t> </w:t>
      </w:r>
      <w:r>
        <w:rPr>
          <w:color w:val="231F20"/>
        </w:rPr>
        <w:t>gives</w:t>
      </w:r>
      <w:r>
        <w:rPr>
          <w:color w:val="231F20"/>
          <w:spacing w:val="-3"/>
        </w:rPr>
        <w:t> </w:t>
      </w:r>
      <w:r>
        <w:rPr>
          <w:color w:val="231F20"/>
        </w:rPr>
        <w:t>the</w:t>
      </w:r>
      <w:r>
        <w:rPr>
          <w:color w:val="231F20"/>
          <w:spacing w:val="-3"/>
        </w:rPr>
        <w:t> </w:t>
      </w:r>
      <w:r>
        <w:rPr>
          <w:color w:val="231F20"/>
        </w:rPr>
        <w:t>reader</w:t>
      </w:r>
      <w:r>
        <w:rPr>
          <w:color w:val="231F20"/>
          <w:spacing w:val="-3"/>
        </w:rPr>
        <w:t> </w:t>
      </w:r>
      <w:r>
        <w:rPr>
          <w:color w:val="231F20"/>
        </w:rPr>
        <w:t>a</w:t>
      </w:r>
      <w:r>
        <w:rPr>
          <w:color w:val="231F20"/>
          <w:spacing w:val="-3"/>
        </w:rPr>
        <w:t> </w:t>
      </w:r>
      <w:r>
        <w:rPr>
          <w:color w:val="231F20"/>
        </w:rPr>
        <w:t>written</w:t>
      </w:r>
      <w:r>
        <w:rPr>
          <w:color w:val="231F20"/>
          <w:spacing w:val="-4"/>
        </w:rPr>
        <w:t> </w:t>
      </w:r>
      <w:r>
        <w:rPr>
          <w:color w:val="231F20"/>
        </w:rPr>
        <w:t>assessment of the impact of the decisions made during the year that support the mission of New Mexico Tech.</w:t>
      </w:r>
    </w:p>
    <w:p>
      <w:pPr>
        <w:pStyle w:val="BodyText"/>
        <w:ind w:left="1440"/>
      </w:pPr>
      <w:r>
        <w:rPr>
          <w:color w:val="231F20"/>
        </w:rPr>
        <w:t>Therefore,</w:t>
      </w:r>
      <w:r>
        <w:rPr>
          <w:color w:val="231F20"/>
          <w:spacing w:val="-7"/>
        </w:rPr>
        <w:t> </w:t>
      </w:r>
      <w:r>
        <w:rPr>
          <w:color w:val="231F20"/>
        </w:rPr>
        <w:t>the</w:t>
      </w:r>
      <w:r>
        <w:rPr>
          <w:color w:val="231F20"/>
          <w:spacing w:val="-4"/>
        </w:rPr>
        <w:t> </w:t>
      </w:r>
      <w:r>
        <w:rPr>
          <w:color w:val="231F20"/>
        </w:rPr>
        <w:t>MDA</w:t>
      </w:r>
      <w:r>
        <w:rPr>
          <w:color w:val="231F20"/>
          <w:spacing w:val="-4"/>
        </w:rPr>
        <w:t> </w:t>
      </w:r>
      <w:r>
        <w:rPr>
          <w:color w:val="231F20"/>
        </w:rPr>
        <w:t>begins</w:t>
      </w:r>
      <w:r>
        <w:rPr>
          <w:color w:val="231F20"/>
          <w:spacing w:val="-4"/>
        </w:rPr>
        <w:t> </w:t>
      </w:r>
      <w:r>
        <w:rPr>
          <w:color w:val="231F20"/>
        </w:rPr>
        <w:t>with</w:t>
      </w:r>
      <w:r>
        <w:rPr>
          <w:color w:val="231F20"/>
          <w:spacing w:val="-4"/>
        </w:rPr>
        <w:t> </w:t>
      </w:r>
      <w:r>
        <w:rPr>
          <w:color w:val="231F20"/>
        </w:rPr>
        <w:t>a</w:t>
      </w:r>
      <w:r>
        <w:rPr>
          <w:color w:val="231F20"/>
          <w:spacing w:val="-5"/>
        </w:rPr>
        <w:t> </w:t>
      </w:r>
      <w:r>
        <w:rPr>
          <w:color w:val="231F20"/>
        </w:rPr>
        <w:t>brief</w:t>
      </w:r>
      <w:r>
        <w:rPr>
          <w:color w:val="231F20"/>
          <w:spacing w:val="-4"/>
        </w:rPr>
        <w:t> </w:t>
      </w:r>
      <w:r>
        <w:rPr>
          <w:color w:val="231F20"/>
        </w:rPr>
        <w:t>description</w:t>
      </w:r>
      <w:r>
        <w:rPr>
          <w:color w:val="231F20"/>
          <w:spacing w:val="-4"/>
        </w:rPr>
        <w:t> </w:t>
      </w:r>
      <w:r>
        <w:rPr>
          <w:color w:val="231F20"/>
        </w:rPr>
        <w:t>of</w:t>
      </w:r>
      <w:r>
        <w:rPr>
          <w:color w:val="231F20"/>
          <w:spacing w:val="-5"/>
        </w:rPr>
        <w:t> </w:t>
      </w:r>
      <w:r>
        <w:rPr>
          <w:color w:val="231F20"/>
        </w:rPr>
        <w:t>the</w:t>
      </w:r>
      <w:r>
        <w:rPr>
          <w:color w:val="231F20"/>
          <w:spacing w:val="-5"/>
        </w:rPr>
        <w:t> </w:t>
      </w:r>
      <w:r>
        <w:rPr>
          <w:color w:val="231F20"/>
        </w:rPr>
        <w:t>primary</w:t>
      </w:r>
      <w:r>
        <w:rPr>
          <w:color w:val="231F20"/>
          <w:spacing w:val="-4"/>
        </w:rPr>
        <w:t> </w:t>
      </w:r>
      <w:r>
        <w:rPr>
          <w:color w:val="231F20"/>
        </w:rPr>
        <w:t>financial</w:t>
      </w:r>
      <w:r>
        <w:rPr>
          <w:color w:val="231F20"/>
          <w:spacing w:val="-4"/>
        </w:rPr>
        <w:t> </w:t>
      </w:r>
      <w:r>
        <w:rPr>
          <w:color w:val="231F20"/>
          <w:spacing w:val="-2"/>
        </w:rPr>
        <w:t>statements.</w:t>
      </w:r>
    </w:p>
    <w:p>
      <w:pPr>
        <w:pStyle w:val="BodyText"/>
        <w:rPr>
          <w:sz w:val="26"/>
        </w:rPr>
      </w:pPr>
    </w:p>
    <w:p>
      <w:pPr>
        <w:pStyle w:val="Heading4"/>
      </w:pPr>
      <w:r>
        <w:rPr>
          <w:color w:val="231F20"/>
        </w:rPr>
        <w:t>Statement</w:t>
      </w:r>
      <w:r>
        <w:rPr>
          <w:color w:val="231F20"/>
          <w:spacing w:val="-7"/>
        </w:rPr>
        <w:t> </w:t>
      </w:r>
      <w:r>
        <w:rPr>
          <w:color w:val="231F20"/>
        </w:rPr>
        <w:t>of</w:t>
      </w:r>
      <w:r>
        <w:rPr>
          <w:color w:val="231F20"/>
          <w:spacing w:val="-6"/>
        </w:rPr>
        <w:t> </w:t>
      </w:r>
      <w:r>
        <w:rPr>
          <w:color w:val="231F20"/>
        </w:rPr>
        <w:t>Net</w:t>
      </w:r>
      <w:r>
        <w:rPr>
          <w:color w:val="231F20"/>
          <w:spacing w:val="-7"/>
        </w:rPr>
        <w:t> </w:t>
      </w:r>
      <w:r>
        <w:rPr>
          <w:color w:val="231F20"/>
        </w:rPr>
        <w:t>Position</w:t>
      </w:r>
      <w:r>
        <w:rPr>
          <w:color w:val="231F20"/>
          <w:spacing w:val="-6"/>
        </w:rPr>
        <w:t> </w:t>
      </w:r>
      <w:r>
        <w:rPr>
          <w:color w:val="231F20"/>
          <w:spacing w:val="-2"/>
        </w:rPr>
        <w:t>(SNP)</w:t>
      </w:r>
    </w:p>
    <w:p>
      <w:pPr>
        <w:pStyle w:val="BodyText"/>
        <w:spacing w:line="276" w:lineRule="auto" w:before="34"/>
        <w:ind w:left="1439" w:right="891"/>
      </w:pPr>
      <w:r>
        <w:rPr>
          <w:color w:val="231F20"/>
        </w:rPr>
        <w:t>The</w:t>
      </w:r>
      <w:r>
        <w:rPr>
          <w:color w:val="231F20"/>
          <w:spacing w:val="-3"/>
        </w:rPr>
        <w:t> </w:t>
      </w:r>
      <w:r>
        <w:rPr>
          <w:color w:val="231F20"/>
        </w:rPr>
        <w:t>Statement</w:t>
      </w:r>
      <w:r>
        <w:rPr>
          <w:color w:val="231F20"/>
          <w:spacing w:val="-3"/>
        </w:rPr>
        <w:t> </w:t>
      </w:r>
      <w:r>
        <w:rPr>
          <w:color w:val="231F20"/>
        </w:rPr>
        <w:t>of</w:t>
      </w:r>
      <w:r>
        <w:rPr>
          <w:color w:val="231F20"/>
          <w:spacing w:val="-3"/>
        </w:rPr>
        <w:t> </w:t>
      </w:r>
      <w:r>
        <w:rPr>
          <w:color w:val="231F20"/>
        </w:rPr>
        <w:t>Net</w:t>
      </w:r>
      <w:r>
        <w:rPr>
          <w:color w:val="231F20"/>
          <w:spacing w:val="-3"/>
        </w:rPr>
        <w:t> </w:t>
      </w:r>
      <w:r>
        <w:rPr>
          <w:color w:val="231F20"/>
        </w:rPr>
        <w:t>Position</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report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financial</w:t>
      </w:r>
      <w:r>
        <w:rPr>
          <w:color w:val="231F20"/>
          <w:spacing w:val="-3"/>
        </w:rPr>
        <w:t> </w:t>
      </w:r>
      <w:r>
        <w:rPr>
          <w:color w:val="231F20"/>
        </w:rPr>
        <w:t>and</w:t>
      </w:r>
      <w:r>
        <w:rPr>
          <w:color w:val="231F20"/>
          <w:spacing w:val="-3"/>
        </w:rPr>
        <w:t> </w:t>
      </w:r>
      <w:r>
        <w:rPr>
          <w:color w:val="231F20"/>
        </w:rPr>
        <w:t>capital</w:t>
      </w:r>
      <w:r>
        <w:rPr>
          <w:color w:val="231F20"/>
          <w:spacing w:val="-4"/>
        </w:rPr>
        <w:t> </w:t>
      </w:r>
      <w:r>
        <w:rPr>
          <w:color w:val="231F20"/>
        </w:rPr>
        <w:t>resources</w:t>
      </w:r>
      <w:r>
        <w:rPr>
          <w:color w:val="231F20"/>
          <w:spacing w:val="-3"/>
        </w:rPr>
        <w:t> </w:t>
      </w:r>
      <w:r>
        <w:rPr>
          <w:color w:val="231F20"/>
        </w:rPr>
        <w:t>managed</w:t>
      </w:r>
      <w:r>
        <w:rPr>
          <w:color w:val="231F20"/>
          <w:spacing w:val="-3"/>
        </w:rPr>
        <w:t> </w:t>
      </w:r>
      <w:r>
        <w:rPr>
          <w:color w:val="231F20"/>
        </w:rPr>
        <w:t>by</w:t>
      </w:r>
      <w:r>
        <w:rPr>
          <w:color w:val="231F20"/>
          <w:spacing w:val="-2"/>
        </w:rPr>
        <w:t> </w:t>
      </w:r>
      <w:r>
        <w:rPr>
          <w:color w:val="231F20"/>
        </w:rPr>
        <w:t>New</w:t>
      </w:r>
      <w:r>
        <w:rPr>
          <w:color w:val="231F20"/>
          <w:spacing w:val="-3"/>
        </w:rPr>
        <w:t> </w:t>
      </w:r>
      <w:r>
        <w:rPr>
          <w:color w:val="231F20"/>
        </w:rPr>
        <w:t>Mexico Tech. The SNP is a summary of New Mexico Tech’s assets and liabilities, and it is a </w:t>
      </w:r>
      <w:r>
        <w:rPr>
          <w:i/>
          <w:color w:val="231F20"/>
        </w:rPr>
        <w:t>snapsho</w:t>
      </w:r>
      <w:r>
        <w:rPr>
          <w:color w:val="231F20"/>
        </w:rPr>
        <w:t>t of New Mexico Tech at the close of business at the date of the statement, in this case, June 30, 2022.</w:t>
      </w:r>
    </w:p>
    <w:p>
      <w:pPr>
        <w:pStyle w:val="BodyText"/>
        <w:rPr>
          <w:sz w:val="23"/>
        </w:rPr>
      </w:pPr>
    </w:p>
    <w:p>
      <w:pPr>
        <w:pStyle w:val="BodyText"/>
        <w:spacing w:line="276" w:lineRule="auto"/>
        <w:ind w:left="1439" w:right="919"/>
      </w:pPr>
      <w:r>
        <w:rPr>
          <w:color w:val="231F20"/>
        </w:rPr>
        <w:t>The</w:t>
      </w:r>
      <w:r>
        <w:rPr>
          <w:color w:val="231F20"/>
          <w:spacing w:val="-3"/>
        </w:rPr>
        <w:t> </w:t>
      </w:r>
      <w:r>
        <w:rPr>
          <w:color w:val="231F20"/>
        </w:rPr>
        <w:t>statement</w:t>
      </w:r>
      <w:r>
        <w:rPr>
          <w:color w:val="231F20"/>
          <w:spacing w:val="-3"/>
        </w:rPr>
        <w:t> </w:t>
      </w:r>
      <w:r>
        <w:rPr>
          <w:color w:val="231F20"/>
        </w:rPr>
        <w:t>format</w:t>
      </w:r>
      <w:r>
        <w:rPr>
          <w:color w:val="231F20"/>
          <w:spacing w:val="-3"/>
        </w:rPr>
        <w:t> </w:t>
      </w:r>
      <w:r>
        <w:rPr>
          <w:color w:val="231F20"/>
        </w:rPr>
        <w:t>used</w:t>
      </w:r>
      <w:r>
        <w:rPr>
          <w:color w:val="231F20"/>
          <w:spacing w:val="-4"/>
        </w:rPr>
        <w:t> </w:t>
      </w:r>
      <w:r>
        <w:rPr>
          <w:color w:val="231F20"/>
        </w:rPr>
        <w:t>by</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Tech</w:t>
      </w:r>
      <w:r>
        <w:rPr>
          <w:color w:val="231F20"/>
          <w:spacing w:val="-3"/>
        </w:rPr>
        <w:t> </w:t>
      </w:r>
      <w:r>
        <w:rPr>
          <w:color w:val="231F20"/>
        </w:rPr>
        <w:t>is</w:t>
      </w:r>
      <w:r>
        <w:rPr>
          <w:color w:val="231F20"/>
          <w:spacing w:val="-2"/>
        </w:rPr>
        <w:t> </w:t>
      </w:r>
      <w:r>
        <w:rPr>
          <w:color w:val="231F20"/>
        </w:rPr>
        <w:t>Assets</w:t>
      </w:r>
      <w:r>
        <w:rPr>
          <w:color w:val="231F20"/>
          <w:spacing w:val="-3"/>
        </w:rPr>
        <w:t> </w:t>
      </w:r>
      <w:r>
        <w:rPr>
          <w:color w:val="231F20"/>
        </w:rPr>
        <w:t>plus</w:t>
      </w:r>
      <w:r>
        <w:rPr>
          <w:color w:val="231F20"/>
          <w:spacing w:val="-4"/>
        </w:rPr>
        <w:t> </w:t>
      </w:r>
      <w:r>
        <w:rPr>
          <w:color w:val="231F20"/>
        </w:rPr>
        <w:t>Deferred</w:t>
      </w:r>
      <w:r>
        <w:rPr>
          <w:color w:val="231F20"/>
          <w:spacing w:val="-3"/>
        </w:rPr>
        <w:t> </w:t>
      </w:r>
      <w:r>
        <w:rPr>
          <w:color w:val="231F20"/>
        </w:rPr>
        <w:t>Outflows</w:t>
      </w:r>
      <w:r>
        <w:rPr>
          <w:color w:val="231F20"/>
          <w:spacing w:val="-3"/>
        </w:rPr>
        <w:t> </w:t>
      </w:r>
      <w:r>
        <w:rPr>
          <w:color w:val="231F20"/>
        </w:rPr>
        <w:t>minus</w:t>
      </w:r>
      <w:r>
        <w:rPr>
          <w:color w:val="231F20"/>
          <w:spacing w:val="-3"/>
        </w:rPr>
        <w:t> </w:t>
      </w:r>
      <w:r>
        <w:rPr>
          <w:color w:val="231F20"/>
        </w:rPr>
        <w:t>Liabilities</w:t>
      </w:r>
      <w:r>
        <w:rPr>
          <w:color w:val="231F20"/>
          <w:spacing w:val="-3"/>
        </w:rPr>
        <w:t> </w:t>
      </w:r>
      <w:r>
        <w:rPr>
          <w:color w:val="231F20"/>
        </w:rPr>
        <w:t>minus Deferred Inflows equals Net Position. GASB 68 requires New Mexico Tech financial statements to report its pro rata share of pension liability even though the New Mexico Educational Retirement Board manages and oversees the retirement assets and administration of the funds dedicated to New Mexico </w:t>
      </w:r>
      <w:r>
        <w:rPr>
          <w:color w:val="231F20"/>
          <w:spacing w:val="-2"/>
        </w:rPr>
        <w:t>Tech.</w:t>
      </w:r>
    </w:p>
    <w:p>
      <w:pPr>
        <w:pStyle w:val="BodyText"/>
        <w:spacing w:before="11"/>
        <w:rPr>
          <w:sz w:val="22"/>
        </w:rPr>
      </w:pPr>
    </w:p>
    <w:p>
      <w:pPr>
        <w:spacing w:line="276" w:lineRule="auto" w:before="0"/>
        <w:ind w:left="1439" w:right="1048" w:firstLine="0"/>
        <w:jc w:val="left"/>
        <w:rPr>
          <w:sz w:val="20"/>
        </w:rPr>
      </w:pPr>
      <w:r>
        <w:rPr>
          <w:color w:val="231F20"/>
          <w:sz w:val="20"/>
        </w:rPr>
        <w:t>New Mexico Tech adopted Governmental Accounting Standards Board (GASB) Statement No. 80, </w:t>
      </w:r>
      <w:r>
        <w:rPr>
          <w:i/>
          <w:color w:val="231F20"/>
          <w:sz w:val="20"/>
        </w:rPr>
        <w:t>Blending</w:t>
      </w:r>
      <w:r>
        <w:rPr>
          <w:i/>
          <w:color w:val="231F20"/>
          <w:spacing w:val="-4"/>
          <w:sz w:val="20"/>
        </w:rPr>
        <w:t> </w:t>
      </w:r>
      <w:r>
        <w:rPr>
          <w:i/>
          <w:color w:val="231F20"/>
          <w:sz w:val="20"/>
        </w:rPr>
        <w:t>Requirements</w:t>
      </w:r>
      <w:r>
        <w:rPr>
          <w:i/>
          <w:color w:val="231F20"/>
          <w:spacing w:val="-3"/>
          <w:sz w:val="20"/>
        </w:rPr>
        <w:t> </w:t>
      </w:r>
      <w:r>
        <w:rPr>
          <w:i/>
          <w:color w:val="231F20"/>
          <w:sz w:val="20"/>
        </w:rPr>
        <w:t>for</w:t>
      </w:r>
      <w:r>
        <w:rPr>
          <w:i/>
          <w:color w:val="231F20"/>
          <w:spacing w:val="-4"/>
          <w:sz w:val="20"/>
        </w:rPr>
        <w:t> </w:t>
      </w:r>
      <w:r>
        <w:rPr>
          <w:i/>
          <w:color w:val="231F20"/>
          <w:sz w:val="20"/>
        </w:rPr>
        <w:t>Certain</w:t>
      </w:r>
      <w:r>
        <w:rPr>
          <w:i/>
          <w:color w:val="231F20"/>
          <w:spacing w:val="-3"/>
          <w:sz w:val="20"/>
        </w:rPr>
        <w:t> </w:t>
      </w:r>
      <w:r>
        <w:rPr>
          <w:i/>
          <w:color w:val="231F20"/>
          <w:sz w:val="20"/>
        </w:rPr>
        <w:t>Component</w:t>
      </w:r>
      <w:r>
        <w:rPr>
          <w:i/>
          <w:color w:val="231F20"/>
          <w:spacing w:val="-3"/>
          <w:sz w:val="20"/>
        </w:rPr>
        <w:t> </w:t>
      </w:r>
      <w:r>
        <w:rPr>
          <w:i/>
          <w:color w:val="231F20"/>
          <w:sz w:val="20"/>
        </w:rPr>
        <w:t>Units</w:t>
      </w:r>
      <w:r>
        <w:rPr>
          <w:color w:val="231F20"/>
          <w:sz w:val="20"/>
        </w:rPr>
        <w:t>.</w:t>
      </w:r>
      <w:r>
        <w:rPr>
          <w:color w:val="231F20"/>
          <w:spacing w:val="-4"/>
          <w:sz w:val="20"/>
        </w:rPr>
        <w:t> </w:t>
      </w:r>
      <w:r>
        <w:rPr>
          <w:color w:val="231F20"/>
          <w:sz w:val="20"/>
        </w:rPr>
        <w:t>New</w:t>
      </w:r>
      <w:r>
        <w:rPr>
          <w:color w:val="231F20"/>
          <w:spacing w:val="-3"/>
          <w:sz w:val="20"/>
        </w:rPr>
        <w:t> </w:t>
      </w:r>
      <w:r>
        <w:rPr>
          <w:color w:val="231F20"/>
          <w:sz w:val="20"/>
        </w:rPr>
        <w:t>Mexico</w:t>
      </w:r>
      <w:r>
        <w:rPr>
          <w:color w:val="231F20"/>
          <w:spacing w:val="-4"/>
          <w:sz w:val="20"/>
        </w:rPr>
        <w:t> </w:t>
      </w:r>
      <w:r>
        <w:rPr>
          <w:color w:val="231F20"/>
          <w:sz w:val="20"/>
        </w:rPr>
        <w:t>Tech</w:t>
      </w:r>
      <w:r>
        <w:rPr>
          <w:color w:val="231F20"/>
          <w:spacing w:val="-3"/>
          <w:sz w:val="20"/>
        </w:rPr>
        <w:t> </w:t>
      </w:r>
      <w:r>
        <w:rPr>
          <w:color w:val="231F20"/>
          <w:sz w:val="20"/>
        </w:rPr>
        <w:t>also</w:t>
      </w:r>
      <w:r>
        <w:rPr>
          <w:color w:val="231F20"/>
          <w:spacing w:val="-3"/>
          <w:sz w:val="20"/>
        </w:rPr>
        <w:t> </w:t>
      </w:r>
      <w:r>
        <w:rPr>
          <w:color w:val="231F20"/>
          <w:sz w:val="20"/>
        </w:rPr>
        <w:t>adopted</w:t>
      </w:r>
      <w:r>
        <w:rPr>
          <w:color w:val="231F20"/>
          <w:spacing w:val="-3"/>
          <w:sz w:val="20"/>
        </w:rPr>
        <w:t> </w:t>
      </w:r>
      <w:r>
        <w:rPr>
          <w:color w:val="231F20"/>
          <w:sz w:val="20"/>
        </w:rPr>
        <w:t>GASB</w:t>
      </w:r>
      <w:r>
        <w:rPr>
          <w:color w:val="231F20"/>
          <w:spacing w:val="-3"/>
          <w:sz w:val="20"/>
        </w:rPr>
        <w:t> </w:t>
      </w:r>
      <w:r>
        <w:rPr>
          <w:color w:val="231F20"/>
          <w:sz w:val="20"/>
        </w:rPr>
        <w:t>Statement No. 75, </w:t>
      </w:r>
      <w:r>
        <w:rPr>
          <w:i/>
          <w:color w:val="231F20"/>
          <w:sz w:val="20"/>
        </w:rPr>
        <w:t>Accounting and Financial Reporting for Postemployment Benefits Other Than Pensions</w:t>
      </w:r>
      <w:r>
        <w:rPr>
          <w:color w:val="231F20"/>
          <w:sz w:val="20"/>
        </w:rPr>
        <w:t>.</w:t>
      </w:r>
    </w:p>
    <w:p>
      <w:pPr>
        <w:spacing w:after="0" w:line="276" w:lineRule="auto"/>
        <w:jc w:val="left"/>
        <w:rPr>
          <w:sz w:val="20"/>
        </w:rPr>
        <w:sectPr>
          <w:headerReference w:type="default" r:id="rId21"/>
          <w:footerReference w:type="default" r:id="rId22"/>
          <w:pgSz w:w="12240" w:h="15840"/>
          <w:pgMar w:header="994" w:footer="1097" w:top="1300" w:bottom="1280" w:left="0" w:right="580"/>
        </w:sectPr>
      </w:pPr>
    </w:p>
    <w:p>
      <w:pPr>
        <w:pStyle w:val="BodyText"/>
      </w:pPr>
    </w:p>
    <w:p>
      <w:pPr>
        <w:pStyle w:val="BodyText"/>
        <w:spacing w:before="10"/>
        <w:rPr>
          <w:sz w:val="17"/>
        </w:rPr>
      </w:pPr>
    </w:p>
    <w:p>
      <w:pPr>
        <w:pStyle w:val="BodyText"/>
        <w:spacing w:line="276" w:lineRule="auto" w:before="94"/>
        <w:ind w:left="1440" w:right="1048"/>
      </w:pPr>
      <w:r>
        <w:rPr/>
        <w:pict>
          <v:rect style="position:absolute;margin-left:281.821014pt;margin-top:163.06781pt;width:61.92pt;height:.84pt;mso-position-horizontal-relative:page;mso-position-vertical-relative:paragraph;z-index:15738880" id="docshape39" filled="true" fillcolor="#231f20" stroked="false">
            <v:fill type="solid"/>
            <w10:wrap type="none"/>
          </v:rect>
        </w:pict>
      </w:r>
      <w:r>
        <w:rPr/>
        <w:pict>
          <v:rect style="position:absolute;margin-left:352.200989pt;margin-top:163.06781pt;width:61.98pt;height:.84pt;mso-position-horizontal-relative:page;mso-position-vertical-relative:paragraph;z-index:15739392" id="docshape40" filled="true" fillcolor="#231f20" stroked="false">
            <v:fill type="solid"/>
            <w10:wrap type="none"/>
          </v:rect>
        </w:pict>
      </w:r>
      <w:r>
        <w:rPr/>
        <w:pict>
          <v:rect style="position:absolute;margin-left:422.640991pt;margin-top:163.06781pt;width:61.98pt;height:.84pt;mso-position-horizontal-relative:page;mso-position-vertical-relative:paragraph;z-index:15739904" id="docshape41" filled="true" fillcolor="#231f20" stroked="false">
            <v:fill type="solid"/>
            <w10:wrap type="none"/>
          </v:rect>
        </w:pict>
      </w:r>
      <w:r>
        <w:rPr/>
        <w:pict>
          <v:rect style="position:absolute;margin-left:493.080994pt;margin-top:163.06781pt;width:47.4pt;height:.84pt;mso-position-horizontal-relative:page;mso-position-vertical-relative:paragraph;z-index:15740416" id="docshape42" filled="true" fillcolor="#231f20" stroked="false">
            <v:fill type="solid"/>
            <w10:wrap type="none"/>
          </v:rect>
        </w:pict>
      </w:r>
      <w:r>
        <w:rPr>
          <w:color w:val="231F20"/>
        </w:rPr>
        <w:t>The</w:t>
      </w:r>
      <w:r>
        <w:rPr>
          <w:color w:val="231F20"/>
          <w:spacing w:val="-4"/>
        </w:rPr>
        <w:t> </w:t>
      </w:r>
      <w:r>
        <w:rPr>
          <w:color w:val="231F20"/>
        </w:rPr>
        <w:t>following</w:t>
      </w:r>
      <w:r>
        <w:rPr>
          <w:color w:val="231F20"/>
          <w:spacing w:val="-5"/>
        </w:rPr>
        <w:t> </w:t>
      </w:r>
      <w:r>
        <w:rPr>
          <w:color w:val="231F20"/>
        </w:rPr>
        <w:t>table</w:t>
      </w:r>
      <w:r>
        <w:rPr>
          <w:color w:val="231F20"/>
          <w:spacing w:val="-4"/>
        </w:rPr>
        <w:t> </w:t>
      </w:r>
      <w:r>
        <w:rPr>
          <w:color w:val="231F20"/>
        </w:rPr>
        <w:t>summarizes</w:t>
      </w:r>
      <w:r>
        <w:rPr>
          <w:color w:val="231F20"/>
          <w:spacing w:val="-3"/>
        </w:rPr>
        <w:t> </w:t>
      </w:r>
      <w:r>
        <w:rPr>
          <w:color w:val="231F20"/>
        </w:rPr>
        <w:t>the</w:t>
      </w:r>
      <w:r>
        <w:rPr>
          <w:color w:val="231F20"/>
          <w:spacing w:val="-4"/>
        </w:rPr>
        <w:t> </w:t>
      </w:r>
      <w:r>
        <w:rPr>
          <w:color w:val="231F20"/>
        </w:rPr>
        <w:t>Institute’s</w:t>
      </w:r>
      <w:r>
        <w:rPr>
          <w:color w:val="231F20"/>
          <w:spacing w:val="-4"/>
        </w:rPr>
        <w:t> </w:t>
      </w:r>
      <w:r>
        <w:rPr>
          <w:color w:val="231F20"/>
        </w:rPr>
        <w:t>assets,</w:t>
      </w:r>
      <w:r>
        <w:rPr>
          <w:color w:val="231F20"/>
          <w:spacing w:val="-4"/>
        </w:rPr>
        <w:t> </w:t>
      </w:r>
      <w:r>
        <w:rPr>
          <w:color w:val="231F20"/>
        </w:rPr>
        <w:t>deferred</w:t>
      </w:r>
      <w:r>
        <w:rPr>
          <w:color w:val="231F20"/>
          <w:spacing w:val="-4"/>
        </w:rPr>
        <w:t> </w:t>
      </w:r>
      <w:r>
        <w:rPr>
          <w:color w:val="231F20"/>
        </w:rPr>
        <w:t>outflows,</w:t>
      </w:r>
      <w:r>
        <w:rPr>
          <w:color w:val="231F20"/>
          <w:spacing w:val="-4"/>
        </w:rPr>
        <w:t> </w:t>
      </w:r>
      <w:r>
        <w:rPr>
          <w:color w:val="231F20"/>
        </w:rPr>
        <w:t>liabilities,</w:t>
      </w:r>
      <w:r>
        <w:rPr>
          <w:color w:val="231F20"/>
          <w:spacing w:val="-4"/>
        </w:rPr>
        <w:t> </w:t>
      </w:r>
      <w:r>
        <w:rPr>
          <w:color w:val="231F20"/>
        </w:rPr>
        <w:t>deferred</w:t>
      </w:r>
      <w:r>
        <w:rPr>
          <w:color w:val="231F20"/>
          <w:spacing w:val="-4"/>
        </w:rPr>
        <w:t> </w:t>
      </w:r>
      <w:r>
        <w:rPr>
          <w:color w:val="231F20"/>
        </w:rPr>
        <w:t>inflows,</w:t>
      </w:r>
      <w:r>
        <w:rPr>
          <w:color w:val="231F20"/>
          <w:spacing w:val="-4"/>
        </w:rPr>
        <w:t> </w:t>
      </w:r>
      <w:r>
        <w:rPr>
          <w:color w:val="231F20"/>
        </w:rPr>
        <w:t>and net position as of:</w:t>
      </w:r>
    </w:p>
    <w:p>
      <w:pPr>
        <w:pStyle w:val="BodyText"/>
        <w:spacing w:before="4"/>
        <w:rPr>
          <w:sz w:val="24"/>
        </w:rPr>
      </w:pPr>
    </w:p>
    <w:tbl>
      <w:tblPr>
        <w:tblW w:w="0" w:type="auto"/>
        <w:jc w:val="left"/>
        <w:tblInd w:w="1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3"/>
        <w:gridCol w:w="1948"/>
        <w:gridCol w:w="1410"/>
        <w:gridCol w:w="1410"/>
        <w:gridCol w:w="1084"/>
      </w:tblGrid>
      <w:tr>
        <w:trPr>
          <w:trHeight w:val="406" w:hRule="atLeast"/>
        </w:trPr>
        <w:tc>
          <w:tcPr>
            <w:tcW w:w="3583" w:type="dxa"/>
            <w:vMerge w:val="restart"/>
          </w:tcPr>
          <w:p>
            <w:pPr>
              <w:pStyle w:val="TableParagraph"/>
              <w:rPr>
                <w:rFonts w:ascii="Times New Roman"/>
                <w:sz w:val="18"/>
              </w:rPr>
            </w:pPr>
          </w:p>
        </w:tc>
        <w:tc>
          <w:tcPr>
            <w:tcW w:w="1948" w:type="dxa"/>
          </w:tcPr>
          <w:p>
            <w:pPr>
              <w:pStyle w:val="TableParagraph"/>
              <w:spacing w:before="1"/>
              <w:ind w:left="709" w:right="158"/>
              <w:jc w:val="center"/>
              <w:rPr>
                <w:sz w:val="16"/>
              </w:rPr>
            </w:pPr>
            <w:r>
              <w:rPr>
                <w:color w:val="231F20"/>
                <w:spacing w:val="-2"/>
                <w:w w:val="105"/>
                <w:sz w:val="16"/>
              </w:rPr>
              <w:t>Balance</w:t>
            </w:r>
          </w:p>
          <w:p>
            <w:pPr>
              <w:pStyle w:val="TableParagraph"/>
              <w:spacing w:line="176" w:lineRule="exact" w:before="25"/>
              <w:ind w:left="709" w:right="159"/>
              <w:jc w:val="center"/>
              <w:rPr>
                <w:sz w:val="16"/>
              </w:rPr>
            </w:pPr>
            <w:r>
              <w:rPr>
                <w:color w:val="231F20"/>
                <w:w w:val="105"/>
                <w:sz w:val="16"/>
              </w:rPr>
              <w:t>June</w:t>
            </w:r>
            <w:r>
              <w:rPr>
                <w:color w:val="231F20"/>
                <w:spacing w:val="-5"/>
                <w:w w:val="105"/>
                <w:sz w:val="16"/>
              </w:rPr>
              <w:t> </w:t>
            </w:r>
            <w:r>
              <w:rPr>
                <w:color w:val="231F20"/>
                <w:w w:val="105"/>
                <w:sz w:val="16"/>
              </w:rPr>
              <w:t>30,</w:t>
            </w:r>
            <w:r>
              <w:rPr>
                <w:color w:val="231F20"/>
                <w:spacing w:val="-5"/>
                <w:w w:val="105"/>
                <w:sz w:val="16"/>
              </w:rPr>
              <w:t> </w:t>
            </w:r>
            <w:r>
              <w:rPr>
                <w:color w:val="231F20"/>
                <w:spacing w:val="-4"/>
                <w:w w:val="105"/>
                <w:sz w:val="16"/>
              </w:rPr>
              <w:t>2022</w:t>
            </w:r>
          </w:p>
        </w:tc>
        <w:tc>
          <w:tcPr>
            <w:tcW w:w="1410" w:type="dxa"/>
          </w:tcPr>
          <w:p>
            <w:pPr>
              <w:pStyle w:val="TableParagraph"/>
              <w:spacing w:before="1"/>
              <w:ind w:left="171" w:right="161"/>
              <w:jc w:val="center"/>
              <w:rPr>
                <w:sz w:val="16"/>
              </w:rPr>
            </w:pPr>
            <w:r>
              <w:rPr>
                <w:color w:val="231F20"/>
                <w:spacing w:val="-2"/>
                <w:w w:val="105"/>
                <w:sz w:val="16"/>
              </w:rPr>
              <w:t>Balance</w:t>
            </w:r>
          </w:p>
          <w:p>
            <w:pPr>
              <w:pStyle w:val="TableParagraph"/>
              <w:spacing w:line="176" w:lineRule="exact" w:before="25"/>
              <w:ind w:left="171" w:right="161"/>
              <w:jc w:val="center"/>
              <w:rPr>
                <w:sz w:val="16"/>
              </w:rPr>
            </w:pPr>
            <w:r>
              <w:rPr>
                <w:color w:val="231F20"/>
                <w:w w:val="105"/>
                <w:sz w:val="16"/>
              </w:rPr>
              <w:t>June</w:t>
            </w:r>
            <w:r>
              <w:rPr>
                <w:color w:val="231F20"/>
                <w:spacing w:val="-5"/>
                <w:w w:val="105"/>
                <w:sz w:val="16"/>
              </w:rPr>
              <w:t> </w:t>
            </w:r>
            <w:r>
              <w:rPr>
                <w:color w:val="231F20"/>
                <w:w w:val="105"/>
                <w:sz w:val="16"/>
              </w:rPr>
              <w:t>30,</w:t>
            </w:r>
            <w:r>
              <w:rPr>
                <w:color w:val="231F20"/>
                <w:spacing w:val="-6"/>
                <w:w w:val="105"/>
                <w:sz w:val="16"/>
              </w:rPr>
              <w:t> </w:t>
            </w:r>
            <w:r>
              <w:rPr>
                <w:color w:val="231F20"/>
                <w:spacing w:val="-4"/>
                <w:w w:val="105"/>
                <w:sz w:val="16"/>
              </w:rPr>
              <w:t>2021</w:t>
            </w:r>
          </w:p>
        </w:tc>
        <w:tc>
          <w:tcPr>
            <w:tcW w:w="1410" w:type="dxa"/>
          </w:tcPr>
          <w:p>
            <w:pPr>
              <w:pStyle w:val="TableParagraph"/>
              <w:rPr>
                <w:rFonts w:ascii="Times New Roman"/>
                <w:sz w:val="18"/>
              </w:rPr>
            </w:pPr>
          </w:p>
        </w:tc>
        <w:tc>
          <w:tcPr>
            <w:tcW w:w="1084" w:type="dxa"/>
          </w:tcPr>
          <w:p>
            <w:pPr>
              <w:pStyle w:val="TableParagraph"/>
              <w:spacing w:before="3"/>
              <w:rPr>
                <w:sz w:val="18"/>
              </w:rPr>
            </w:pPr>
          </w:p>
          <w:p>
            <w:pPr>
              <w:pStyle w:val="TableParagraph"/>
              <w:spacing w:line="176" w:lineRule="exact"/>
              <w:ind w:right="93"/>
              <w:jc w:val="right"/>
              <w:rPr>
                <w:sz w:val="16"/>
              </w:rPr>
            </w:pPr>
            <w:r>
              <w:rPr>
                <w:color w:val="231F20"/>
                <w:spacing w:val="-2"/>
                <w:w w:val="105"/>
                <w:sz w:val="16"/>
              </w:rPr>
              <w:t>Percentage</w:t>
            </w:r>
          </w:p>
        </w:tc>
      </w:tr>
      <w:tr>
        <w:trPr>
          <w:trHeight w:val="234" w:hRule="atLeast"/>
        </w:trPr>
        <w:tc>
          <w:tcPr>
            <w:tcW w:w="3583" w:type="dxa"/>
            <w:vMerge/>
            <w:tcBorders>
              <w:top w:val="nil"/>
            </w:tcBorders>
          </w:tcPr>
          <w:p>
            <w:pPr>
              <w:rPr>
                <w:sz w:val="2"/>
                <w:szCs w:val="2"/>
              </w:rPr>
            </w:pPr>
          </w:p>
        </w:tc>
        <w:tc>
          <w:tcPr>
            <w:tcW w:w="1948" w:type="dxa"/>
          </w:tcPr>
          <w:p>
            <w:pPr>
              <w:pStyle w:val="TableParagraph"/>
              <w:spacing w:before="11"/>
              <w:ind w:right="83"/>
              <w:jc w:val="right"/>
              <w:rPr>
                <w:sz w:val="16"/>
              </w:rPr>
            </w:pPr>
            <w:r>
              <w:rPr>
                <w:color w:val="231F20"/>
                <w:spacing w:val="15"/>
                <w:w w:val="105"/>
                <w:sz w:val="16"/>
                <w:u w:val="single" w:color="231F20"/>
              </w:rPr>
              <w:t> </w:t>
            </w:r>
            <w:r>
              <w:rPr>
                <w:color w:val="231F20"/>
                <w:w w:val="105"/>
                <w:sz w:val="16"/>
                <w:u w:val="single" w:color="231F20"/>
              </w:rPr>
              <w:t>(In</w:t>
            </w:r>
            <w:r>
              <w:rPr>
                <w:color w:val="231F20"/>
                <w:spacing w:val="-3"/>
                <w:w w:val="105"/>
                <w:sz w:val="16"/>
                <w:u w:val="single" w:color="231F20"/>
              </w:rPr>
              <w:t> </w:t>
            </w:r>
            <w:r>
              <w:rPr>
                <w:color w:val="231F20"/>
                <w:spacing w:val="-2"/>
                <w:w w:val="105"/>
                <w:sz w:val="16"/>
                <w:u w:val="single" w:color="231F20"/>
              </w:rPr>
              <w:t>Thousands)</w:t>
            </w:r>
            <w:r>
              <w:rPr>
                <w:color w:val="231F20"/>
                <w:spacing w:val="40"/>
                <w:w w:val="105"/>
                <w:sz w:val="16"/>
                <w:u w:val="single" w:color="231F20"/>
              </w:rPr>
              <w:t> </w:t>
            </w:r>
          </w:p>
        </w:tc>
        <w:tc>
          <w:tcPr>
            <w:tcW w:w="1410" w:type="dxa"/>
          </w:tcPr>
          <w:p>
            <w:pPr>
              <w:pStyle w:val="TableParagraph"/>
              <w:spacing w:before="11"/>
              <w:ind w:left="83"/>
              <w:rPr>
                <w:sz w:val="16"/>
              </w:rPr>
            </w:pPr>
            <w:r>
              <w:rPr>
                <w:color w:val="231F20"/>
                <w:spacing w:val="15"/>
                <w:w w:val="105"/>
                <w:sz w:val="16"/>
                <w:u w:val="single" w:color="231F20"/>
              </w:rPr>
              <w:t> </w:t>
            </w:r>
            <w:r>
              <w:rPr>
                <w:color w:val="231F20"/>
                <w:w w:val="105"/>
                <w:sz w:val="16"/>
                <w:u w:val="single" w:color="231F20"/>
              </w:rPr>
              <w:t>(In</w:t>
            </w:r>
            <w:r>
              <w:rPr>
                <w:color w:val="231F20"/>
                <w:spacing w:val="-3"/>
                <w:w w:val="105"/>
                <w:sz w:val="16"/>
                <w:u w:val="single" w:color="231F20"/>
              </w:rPr>
              <w:t> </w:t>
            </w:r>
            <w:r>
              <w:rPr>
                <w:color w:val="231F20"/>
                <w:spacing w:val="-2"/>
                <w:w w:val="105"/>
                <w:sz w:val="16"/>
                <w:u w:val="single" w:color="231F20"/>
              </w:rPr>
              <w:t>Thousands)</w:t>
            </w:r>
            <w:r>
              <w:rPr>
                <w:color w:val="231F20"/>
                <w:spacing w:val="40"/>
                <w:w w:val="105"/>
                <w:sz w:val="16"/>
                <w:u w:val="single" w:color="231F20"/>
              </w:rPr>
              <w:t> </w:t>
            </w:r>
          </w:p>
        </w:tc>
        <w:tc>
          <w:tcPr>
            <w:tcW w:w="1410" w:type="dxa"/>
          </w:tcPr>
          <w:p>
            <w:pPr>
              <w:pStyle w:val="TableParagraph"/>
              <w:tabs>
                <w:tab w:pos="1239" w:val="left" w:leader="none"/>
              </w:tabs>
              <w:spacing w:before="11"/>
              <w:ind w:right="86"/>
              <w:jc w:val="right"/>
              <w:rPr>
                <w:sz w:val="16"/>
              </w:rPr>
            </w:pPr>
            <w:r>
              <w:rPr>
                <w:color w:val="231F20"/>
                <w:spacing w:val="75"/>
                <w:w w:val="105"/>
                <w:sz w:val="16"/>
                <w:u w:val="single" w:color="231F20"/>
              </w:rPr>
              <w:t>  </w:t>
            </w:r>
            <w:r>
              <w:rPr>
                <w:color w:val="231F20"/>
                <w:spacing w:val="-2"/>
                <w:w w:val="105"/>
                <w:sz w:val="16"/>
                <w:u w:val="single" w:color="231F20"/>
              </w:rPr>
              <w:t>Difference</w:t>
            </w:r>
            <w:r>
              <w:rPr>
                <w:color w:val="231F20"/>
                <w:sz w:val="16"/>
                <w:u w:val="single" w:color="231F20"/>
              </w:rPr>
              <w:tab/>
            </w:r>
          </w:p>
        </w:tc>
        <w:tc>
          <w:tcPr>
            <w:tcW w:w="1084" w:type="dxa"/>
          </w:tcPr>
          <w:p>
            <w:pPr>
              <w:pStyle w:val="TableParagraph"/>
              <w:spacing w:before="11"/>
              <w:ind w:right="52"/>
              <w:jc w:val="right"/>
              <w:rPr>
                <w:sz w:val="16"/>
              </w:rPr>
            </w:pPr>
            <w:r>
              <w:rPr>
                <w:color w:val="231F20"/>
                <w:spacing w:val="46"/>
                <w:w w:val="105"/>
                <w:sz w:val="16"/>
                <w:u w:val="single" w:color="231F20"/>
              </w:rPr>
              <w:t>  </w:t>
            </w:r>
            <w:r>
              <w:rPr>
                <w:color w:val="231F20"/>
                <w:spacing w:val="-2"/>
                <w:w w:val="105"/>
                <w:sz w:val="16"/>
                <w:u w:val="single" w:color="231F20"/>
              </w:rPr>
              <w:t>Change</w:t>
            </w:r>
            <w:r>
              <w:rPr>
                <w:color w:val="231F20"/>
                <w:spacing w:val="40"/>
                <w:w w:val="105"/>
                <w:sz w:val="16"/>
                <w:u w:val="single" w:color="231F20"/>
              </w:rPr>
              <w:t> </w:t>
            </w:r>
          </w:p>
        </w:tc>
      </w:tr>
      <w:tr>
        <w:trPr>
          <w:trHeight w:val="235" w:hRule="atLeast"/>
        </w:trPr>
        <w:tc>
          <w:tcPr>
            <w:tcW w:w="3583" w:type="dxa"/>
          </w:tcPr>
          <w:p>
            <w:pPr>
              <w:pStyle w:val="TableParagraph"/>
              <w:spacing w:line="176" w:lineRule="exact" w:before="38"/>
              <w:ind w:left="50"/>
              <w:rPr>
                <w:sz w:val="16"/>
              </w:rPr>
            </w:pPr>
            <w:r>
              <w:rPr>
                <w:color w:val="231F20"/>
                <w:w w:val="105"/>
                <w:sz w:val="16"/>
              </w:rPr>
              <w:t>Current</w:t>
            </w:r>
            <w:r>
              <w:rPr>
                <w:color w:val="231F20"/>
                <w:spacing w:val="-9"/>
                <w:w w:val="105"/>
                <w:sz w:val="16"/>
              </w:rPr>
              <w:t> </w:t>
            </w:r>
            <w:r>
              <w:rPr>
                <w:color w:val="231F20"/>
                <w:spacing w:val="-2"/>
                <w:w w:val="105"/>
                <w:sz w:val="16"/>
              </w:rPr>
              <w:t>assets</w:t>
            </w:r>
          </w:p>
        </w:tc>
        <w:tc>
          <w:tcPr>
            <w:tcW w:w="1948" w:type="dxa"/>
          </w:tcPr>
          <w:p>
            <w:pPr>
              <w:pStyle w:val="TableParagraph"/>
              <w:tabs>
                <w:tab w:pos="550" w:val="left" w:leader="none"/>
              </w:tabs>
              <w:spacing w:line="176" w:lineRule="exact" w:before="38"/>
              <w:ind w:right="171"/>
              <w:jc w:val="right"/>
              <w:rPr>
                <w:sz w:val="16"/>
              </w:rPr>
            </w:pPr>
            <w:r>
              <w:rPr>
                <w:color w:val="231F20"/>
                <w:spacing w:val="-10"/>
                <w:w w:val="105"/>
                <w:sz w:val="16"/>
              </w:rPr>
              <w:t>$</w:t>
            </w:r>
            <w:r>
              <w:rPr>
                <w:color w:val="231F20"/>
                <w:sz w:val="16"/>
              </w:rPr>
              <w:tab/>
            </w:r>
            <w:r>
              <w:rPr>
                <w:color w:val="231F20"/>
                <w:spacing w:val="-2"/>
                <w:w w:val="105"/>
                <w:sz w:val="16"/>
              </w:rPr>
              <w:t>84,843</w:t>
            </w:r>
          </w:p>
        </w:tc>
        <w:tc>
          <w:tcPr>
            <w:tcW w:w="1410" w:type="dxa"/>
          </w:tcPr>
          <w:p>
            <w:pPr>
              <w:pStyle w:val="TableParagraph"/>
              <w:tabs>
                <w:tab w:pos="723" w:val="left" w:leader="none"/>
              </w:tabs>
              <w:spacing w:line="176" w:lineRule="exact" w:before="38"/>
              <w:ind w:left="172"/>
              <w:rPr>
                <w:sz w:val="16"/>
              </w:rPr>
            </w:pPr>
            <w:r>
              <w:rPr>
                <w:color w:val="231F20"/>
                <w:spacing w:val="-10"/>
                <w:w w:val="105"/>
                <w:sz w:val="16"/>
              </w:rPr>
              <w:t>$</w:t>
            </w:r>
            <w:r>
              <w:rPr>
                <w:color w:val="231F20"/>
                <w:sz w:val="16"/>
              </w:rPr>
              <w:tab/>
            </w:r>
            <w:r>
              <w:rPr>
                <w:color w:val="231F20"/>
                <w:spacing w:val="-2"/>
                <w:w w:val="105"/>
                <w:sz w:val="16"/>
              </w:rPr>
              <w:t>74,166</w:t>
            </w:r>
          </w:p>
        </w:tc>
        <w:tc>
          <w:tcPr>
            <w:tcW w:w="1410" w:type="dxa"/>
          </w:tcPr>
          <w:p>
            <w:pPr>
              <w:pStyle w:val="TableParagraph"/>
              <w:tabs>
                <w:tab w:pos="722" w:val="left" w:leader="none"/>
              </w:tabs>
              <w:spacing w:line="176" w:lineRule="exact" w:before="38"/>
              <w:ind w:left="171"/>
              <w:rPr>
                <w:sz w:val="16"/>
              </w:rPr>
            </w:pPr>
            <w:r>
              <w:rPr>
                <w:color w:val="231F20"/>
                <w:spacing w:val="-10"/>
                <w:w w:val="105"/>
                <w:sz w:val="16"/>
              </w:rPr>
              <w:t>$</w:t>
            </w:r>
            <w:r>
              <w:rPr>
                <w:color w:val="231F20"/>
                <w:sz w:val="16"/>
              </w:rPr>
              <w:tab/>
            </w:r>
            <w:r>
              <w:rPr>
                <w:color w:val="231F20"/>
                <w:spacing w:val="-2"/>
                <w:w w:val="105"/>
                <w:sz w:val="16"/>
              </w:rPr>
              <w:t>10,677</w:t>
            </w:r>
          </w:p>
        </w:tc>
        <w:tc>
          <w:tcPr>
            <w:tcW w:w="1084" w:type="dxa"/>
          </w:tcPr>
          <w:p>
            <w:pPr>
              <w:pStyle w:val="TableParagraph"/>
              <w:spacing w:line="176" w:lineRule="exact" w:before="38"/>
              <w:ind w:right="85"/>
              <w:jc w:val="right"/>
              <w:rPr>
                <w:sz w:val="16"/>
              </w:rPr>
            </w:pPr>
            <w:r>
              <w:rPr>
                <w:color w:val="231F20"/>
                <w:spacing w:val="-2"/>
                <w:w w:val="105"/>
                <w:sz w:val="16"/>
              </w:rPr>
              <w:t>14.4%</w:t>
            </w:r>
          </w:p>
        </w:tc>
      </w:tr>
      <w:tr>
        <w:trPr>
          <w:trHeight w:val="208" w:hRule="atLeast"/>
        </w:trPr>
        <w:tc>
          <w:tcPr>
            <w:tcW w:w="3583" w:type="dxa"/>
          </w:tcPr>
          <w:p>
            <w:pPr>
              <w:pStyle w:val="TableParagraph"/>
              <w:spacing w:line="176" w:lineRule="exact" w:before="12"/>
              <w:ind w:left="50"/>
              <w:rPr>
                <w:sz w:val="16"/>
              </w:rPr>
            </w:pPr>
            <w:r>
              <w:rPr>
                <w:color w:val="231F20"/>
                <w:w w:val="105"/>
                <w:sz w:val="16"/>
              </w:rPr>
              <w:t>Capital</w:t>
            </w:r>
            <w:r>
              <w:rPr>
                <w:color w:val="231F20"/>
                <w:spacing w:val="-8"/>
                <w:w w:val="105"/>
                <w:sz w:val="16"/>
              </w:rPr>
              <w:t> </w:t>
            </w:r>
            <w:r>
              <w:rPr>
                <w:color w:val="231F20"/>
                <w:w w:val="105"/>
                <w:sz w:val="16"/>
              </w:rPr>
              <w:t>assets,</w:t>
            </w:r>
            <w:r>
              <w:rPr>
                <w:color w:val="231F20"/>
                <w:spacing w:val="-9"/>
                <w:w w:val="105"/>
                <w:sz w:val="16"/>
              </w:rPr>
              <w:t> </w:t>
            </w:r>
            <w:r>
              <w:rPr>
                <w:color w:val="231F20"/>
                <w:spacing w:val="-5"/>
                <w:w w:val="105"/>
                <w:sz w:val="16"/>
              </w:rPr>
              <w:t>net</w:t>
            </w:r>
          </w:p>
        </w:tc>
        <w:tc>
          <w:tcPr>
            <w:tcW w:w="1948" w:type="dxa"/>
          </w:tcPr>
          <w:p>
            <w:pPr>
              <w:pStyle w:val="TableParagraph"/>
              <w:spacing w:line="176" w:lineRule="exact" w:before="12"/>
              <w:ind w:right="172"/>
              <w:jc w:val="right"/>
              <w:rPr>
                <w:sz w:val="16"/>
              </w:rPr>
            </w:pPr>
            <w:r>
              <w:rPr>
                <w:color w:val="231F20"/>
                <w:spacing w:val="-2"/>
                <w:w w:val="105"/>
                <w:sz w:val="16"/>
              </w:rPr>
              <w:t>156,022</w:t>
            </w:r>
          </w:p>
        </w:tc>
        <w:tc>
          <w:tcPr>
            <w:tcW w:w="1410" w:type="dxa"/>
          </w:tcPr>
          <w:p>
            <w:pPr>
              <w:pStyle w:val="TableParagraph"/>
              <w:spacing w:line="176" w:lineRule="exact" w:before="12"/>
              <w:ind w:left="630"/>
              <w:rPr>
                <w:sz w:val="16"/>
              </w:rPr>
            </w:pPr>
            <w:r>
              <w:rPr>
                <w:color w:val="231F20"/>
                <w:spacing w:val="-2"/>
                <w:w w:val="105"/>
                <w:sz w:val="16"/>
              </w:rPr>
              <w:t>158,002</w:t>
            </w:r>
          </w:p>
        </w:tc>
        <w:tc>
          <w:tcPr>
            <w:tcW w:w="1410" w:type="dxa"/>
          </w:tcPr>
          <w:p>
            <w:pPr>
              <w:pStyle w:val="TableParagraph"/>
              <w:spacing w:line="176" w:lineRule="exact" w:before="12"/>
              <w:ind w:right="119"/>
              <w:jc w:val="right"/>
              <w:rPr>
                <w:sz w:val="16"/>
              </w:rPr>
            </w:pPr>
            <w:r>
              <w:rPr>
                <w:color w:val="231F20"/>
                <w:spacing w:val="-2"/>
                <w:w w:val="105"/>
                <w:sz w:val="16"/>
              </w:rPr>
              <w:t>(1,980)</w:t>
            </w:r>
          </w:p>
        </w:tc>
        <w:tc>
          <w:tcPr>
            <w:tcW w:w="1084" w:type="dxa"/>
          </w:tcPr>
          <w:p>
            <w:pPr>
              <w:pStyle w:val="TableParagraph"/>
              <w:spacing w:line="176" w:lineRule="exact" w:before="12"/>
              <w:ind w:right="84"/>
              <w:jc w:val="right"/>
              <w:rPr>
                <w:sz w:val="16"/>
              </w:rPr>
            </w:pPr>
            <w:r>
              <w:rPr>
                <w:color w:val="231F20"/>
                <w:sz w:val="16"/>
              </w:rPr>
              <w:t>-</w:t>
            </w:r>
            <w:r>
              <w:rPr>
                <w:color w:val="231F20"/>
                <w:spacing w:val="-4"/>
                <w:w w:val="105"/>
                <w:sz w:val="16"/>
              </w:rPr>
              <w:t>1.3%</w:t>
            </w:r>
          </w:p>
        </w:tc>
      </w:tr>
      <w:tr>
        <w:trPr>
          <w:trHeight w:val="208" w:hRule="atLeast"/>
        </w:trPr>
        <w:tc>
          <w:tcPr>
            <w:tcW w:w="3583" w:type="dxa"/>
          </w:tcPr>
          <w:p>
            <w:pPr>
              <w:pStyle w:val="TableParagraph"/>
              <w:spacing w:line="176" w:lineRule="exact" w:before="12"/>
              <w:ind w:left="50"/>
              <w:rPr>
                <w:sz w:val="16"/>
              </w:rPr>
            </w:pPr>
            <w:r>
              <w:rPr>
                <w:color w:val="231F20"/>
                <w:w w:val="105"/>
                <w:sz w:val="16"/>
              </w:rPr>
              <w:t>Other</w:t>
            </w:r>
            <w:r>
              <w:rPr>
                <w:color w:val="231F20"/>
                <w:spacing w:val="-8"/>
                <w:w w:val="105"/>
                <w:sz w:val="16"/>
              </w:rPr>
              <w:t> </w:t>
            </w:r>
            <w:r>
              <w:rPr>
                <w:color w:val="231F20"/>
                <w:w w:val="105"/>
                <w:sz w:val="16"/>
              </w:rPr>
              <w:t>noncurrent</w:t>
            </w:r>
            <w:r>
              <w:rPr>
                <w:color w:val="231F20"/>
                <w:spacing w:val="-11"/>
                <w:w w:val="105"/>
                <w:sz w:val="16"/>
              </w:rPr>
              <w:t> </w:t>
            </w:r>
            <w:r>
              <w:rPr>
                <w:color w:val="231F20"/>
                <w:spacing w:val="-2"/>
                <w:w w:val="105"/>
                <w:sz w:val="16"/>
              </w:rPr>
              <w:t>assets</w:t>
            </w:r>
          </w:p>
        </w:tc>
        <w:tc>
          <w:tcPr>
            <w:tcW w:w="1948" w:type="dxa"/>
          </w:tcPr>
          <w:p>
            <w:pPr>
              <w:pStyle w:val="TableParagraph"/>
              <w:tabs>
                <w:tab w:pos="639" w:val="left" w:leader="none"/>
              </w:tabs>
              <w:spacing w:line="176" w:lineRule="exact" w:before="12"/>
              <w:ind w:right="83"/>
              <w:jc w:val="right"/>
              <w:rPr>
                <w:sz w:val="16"/>
              </w:rPr>
            </w:pPr>
            <w:r>
              <w:rPr>
                <w:color w:val="231F20"/>
                <w:sz w:val="16"/>
                <w:u w:val="single" w:color="231F20"/>
              </w:rPr>
              <w:tab/>
            </w:r>
            <w:r>
              <w:rPr>
                <w:color w:val="231F20"/>
                <w:spacing w:val="-2"/>
                <w:w w:val="105"/>
                <w:sz w:val="16"/>
                <w:u w:val="single" w:color="231F20"/>
              </w:rPr>
              <w:t>82,824</w:t>
            </w:r>
            <w:r>
              <w:rPr>
                <w:color w:val="231F20"/>
                <w:spacing w:val="80"/>
                <w:w w:val="105"/>
                <w:sz w:val="16"/>
                <w:u w:val="single" w:color="231F20"/>
              </w:rPr>
              <w:t> </w:t>
            </w:r>
          </w:p>
        </w:tc>
        <w:tc>
          <w:tcPr>
            <w:tcW w:w="1410" w:type="dxa"/>
          </w:tcPr>
          <w:p>
            <w:pPr>
              <w:pStyle w:val="TableParagraph"/>
              <w:tabs>
                <w:tab w:pos="723" w:val="left" w:leader="none"/>
              </w:tabs>
              <w:spacing w:line="176" w:lineRule="exact" w:before="12"/>
              <w:ind w:left="83"/>
              <w:rPr>
                <w:sz w:val="16"/>
              </w:rPr>
            </w:pPr>
            <w:r>
              <w:rPr>
                <w:color w:val="231F20"/>
                <w:sz w:val="16"/>
                <w:u w:val="single" w:color="231F20"/>
              </w:rPr>
              <w:tab/>
            </w:r>
            <w:r>
              <w:rPr>
                <w:color w:val="231F20"/>
                <w:spacing w:val="-2"/>
                <w:w w:val="105"/>
                <w:sz w:val="16"/>
                <w:u w:val="single" w:color="231F20"/>
              </w:rPr>
              <w:t>94,505</w:t>
            </w:r>
            <w:r>
              <w:rPr>
                <w:color w:val="231F20"/>
                <w:spacing w:val="80"/>
                <w:w w:val="105"/>
                <w:sz w:val="16"/>
                <w:u w:val="single" w:color="231F20"/>
              </w:rPr>
              <w:t> </w:t>
            </w:r>
          </w:p>
        </w:tc>
        <w:tc>
          <w:tcPr>
            <w:tcW w:w="1410" w:type="dxa"/>
          </w:tcPr>
          <w:p>
            <w:pPr>
              <w:pStyle w:val="TableParagraph"/>
              <w:tabs>
                <w:tab w:pos="584" w:val="left" w:leader="none"/>
              </w:tabs>
              <w:spacing w:line="176" w:lineRule="exact" w:before="12"/>
              <w:ind w:right="118"/>
              <w:jc w:val="right"/>
              <w:rPr>
                <w:sz w:val="16"/>
              </w:rPr>
            </w:pPr>
            <w:r>
              <w:rPr>
                <w:color w:val="231F20"/>
                <w:sz w:val="16"/>
                <w:u w:val="single" w:color="231F20"/>
              </w:rPr>
              <w:tab/>
            </w:r>
            <w:r>
              <w:rPr>
                <w:color w:val="231F20"/>
                <w:spacing w:val="-2"/>
                <w:w w:val="105"/>
                <w:sz w:val="16"/>
                <w:u w:val="single" w:color="231F20"/>
              </w:rPr>
              <w:t>(11,681)</w:t>
            </w:r>
          </w:p>
        </w:tc>
        <w:tc>
          <w:tcPr>
            <w:tcW w:w="1084" w:type="dxa"/>
          </w:tcPr>
          <w:p>
            <w:pPr>
              <w:pStyle w:val="TableParagraph"/>
              <w:tabs>
                <w:tab w:pos="386" w:val="left" w:leader="none"/>
              </w:tabs>
              <w:spacing w:line="176" w:lineRule="exact" w:before="12"/>
              <w:ind w:right="85"/>
              <w:jc w:val="right"/>
              <w:rPr>
                <w:sz w:val="16"/>
              </w:rPr>
            </w:pPr>
            <w:r>
              <w:rPr>
                <w:color w:val="231F20"/>
                <w:sz w:val="16"/>
                <w:u w:val="single" w:color="231F20"/>
              </w:rPr>
              <w:tab/>
              <w:t>-</w:t>
            </w:r>
            <w:r>
              <w:rPr>
                <w:color w:val="231F20"/>
                <w:spacing w:val="-2"/>
                <w:w w:val="105"/>
                <w:sz w:val="16"/>
                <w:u w:val="single" w:color="231F20"/>
              </w:rPr>
              <w:t>12.4%</w:t>
            </w:r>
          </w:p>
        </w:tc>
      </w:tr>
      <w:tr>
        <w:trPr>
          <w:trHeight w:val="311" w:hRule="atLeast"/>
        </w:trPr>
        <w:tc>
          <w:tcPr>
            <w:tcW w:w="3583" w:type="dxa"/>
          </w:tcPr>
          <w:p>
            <w:pPr>
              <w:pStyle w:val="TableParagraph"/>
              <w:spacing w:before="11"/>
              <w:ind w:left="401"/>
              <w:rPr>
                <w:sz w:val="16"/>
              </w:rPr>
            </w:pPr>
            <w:r>
              <w:rPr>
                <w:color w:val="231F20"/>
                <w:w w:val="105"/>
                <w:sz w:val="16"/>
              </w:rPr>
              <w:t>Total</w:t>
            </w:r>
            <w:r>
              <w:rPr>
                <w:color w:val="231F20"/>
                <w:spacing w:val="-6"/>
                <w:w w:val="105"/>
                <w:sz w:val="16"/>
              </w:rPr>
              <w:t> </w:t>
            </w:r>
            <w:r>
              <w:rPr>
                <w:color w:val="231F20"/>
                <w:spacing w:val="-2"/>
                <w:w w:val="105"/>
                <w:sz w:val="16"/>
              </w:rPr>
              <w:t>assets</w:t>
            </w:r>
          </w:p>
        </w:tc>
        <w:tc>
          <w:tcPr>
            <w:tcW w:w="1948" w:type="dxa"/>
          </w:tcPr>
          <w:p>
            <w:pPr>
              <w:pStyle w:val="TableParagraph"/>
              <w:tabs>
                <w:tab w:pos="546" w:val="left" w:leader="none"/>
              </w:tabs>
              <w:spacing w:before="11"/>
              <w:ind w:right="83"/>
              <w:jc w:val="right"/>
              <w:rPr>
                <w:sz w:val="16"/>
              </w:rPr>
            </w:pPr>
            <w:r>
              <w:rPr>
                <w:color w:val="231F20"/>
                <w:sz w:val="16"/>
                <w:u w:val="single" w:color="231F20"/>
              </w:rPr>
              <w:tab/>
            </w:r>
            <w:r>
              <w:rPr>
                <w:color w:val="231F20"/>
                <w:spacing w:val="-2"/>
                <w:w w:val="105"/>
                <w:sz w:val="16"/>
                <w:u w:val="single" w:color="231F20"/>
              </w:rPr>
              <w:t>323,689</w:t>
            </w:r>
            <w:r>
              <w:rPr>
                <w:color w:val="231F20"/>
                <w:spacing w:val="80"/>
                <w:w w:val="105"/>
                <w:sz w:val="16"/>
                <w:u w:val="single" w:color="231F20"/>
              </w:rPr>
              <w:t> </w:t>
            </w:r>
          </w:p>
        </w:tc>
        <w:tc>
          <w:tcPr>
            <w:tcW w:w="1410" w:type="dxa"/>
          </w:tcPr>
          <w:p>
            <w:pPr>
              <w:pStyle w:val="TableParagraph"/>
              <w:tabs>
                <w:tab w:pos="630" w:val="left" w:leader="none"/>
              </w:tabs>
              <w:spacing w:before="11"/>
              <w:ind w:left="83"/>
              <w:rPr>
                <w:sz w:val="16"/>
              </w:rPr>
            </w:pPr>
            <w:r>
              <w:rPr>
                <w:color w:val="231F20"/>
                <w:sz w:val="16"/>
                <w:u w:val="single" w:color="231F20"/>
              </w:rPr>
              <w:tab/>
            </w:r>
            <w:r>
              <w:rPr>
                <w:color w:val="231F20"/>
                <w:spacing w:val="-2"/>
                <w:w w:val="105"/>
                <w:sz w:val="16"/>
                <w:u w:val="single" w:color="231F20"/>
              </w:rPr>
              <w:t>326,673</w:t>
            </w:r>
            <w:r>
              <w:rPr>
                <w:color w:val="231F20"/>
                <w:spacing w:val="80"/>
                <w:w w:val="105"/>
                <w:sz w:val="16"/>
                <w:u w:val="single" w:color="231F20"/>
              </w:rPr>
              <w:t> </w:t>
            </w:r>
          </w:p>
        </w:tc>
        <w:tc>
          <w:tcPr>
            <w:tcW w:w="1410" w:type="dxa"/>
          </w:tcPr>
          <w:p>
            <w:pPr>
              <w:pStyle w:val="TableParagraph"/>
              <w:tabs>
                <w:tab w:pos="676" w:val="left" w:leader="none"/>
              </w:tabs>
              <w:spacing w:before="11"/>
              <w:ind w:right="118"/>
              <w:jc w:val="right"/>
              <w:rPr>
                <w:sz w:val="16"/>
              </w:rPr>
            </w:pPr>
            <w:r>
              <w:rPr>
                <w:color w:val="231F20"/>
                <w:sz w:val="16"/>
                <w:u w:val="single" w:color="231F20"/>
              </w:rPr>
              <w:tab/>
            </w:r>
            <w:r>
              <w:rPr>
                <w:color w:val="231F20"/>
                <w:spacing w:val="-2"/>
                <w:w w:val="105"/>
                <w:sz w:val="16"/>
                <w:u w:val="single" w:color="231F20"/>
              </w:rPr>
              <w:t>(2,984)</w:t>
            </w:r>
          </w:p>
        </w:tc>
        <w:tc>
          <w:tcPr>
            <w:tcW w:w="1084" w:type="dxa"/>
          </w:tcPr>
          <w:p>
            <w:pPr>
              <w:pStyle w:val="TableParagraph"/>
              <w:tabs>
                <w:tab w:pos="479" w:val="left" w:leader="none"/>
              </w:tabs>
              <w:spacing w:before="11"/>
              <w:ind w:right="84"/>
              <w:jc w:val="right"/>
              <w:rPr>
                <w:sz w:val="16"/>
              </w:rPr>
            </w:pPr>
            <w:r>
              <w:rPr>
                <w:color w:val="231F20"/>
                <w:sz w:val="16"/>
                <w:u w:val="single" w:color="231F20"/>
              </w:rPr>
              <w:tab/>
              <w:t>-</w:t>
            </w:r>
            <w:r>
              <w:rPr>
                <w:color w:val="231F20"/>
                <w:spacing w:val="-4"/>
                <w:w w:val="105"/>
                <w:sz w:val="16"/>
                <w:u w:val="single" w:color="231F20"/>
              </w:rPr>
              <w:t>0.9%</w:t>
            </w:r>
          </w:p>
        </w:tc>
      </w:tr>
      <w:tr>
        <w:trPr>
          <w:trHeight w:val="415" w:hRule="atLeast"/>
        </w:trPr>
        <w:tc>
          <w:tcPr>
            <w:tcW w:w="3583" w:type="dxa"/>
          </w:tcPr>
          <w:p>
            <w:pPr>
              <w:pStyle w:val="TableParagraph"/>
              <w:spacing w:before="116"/>
              <w:ind w:left="50"/>
              <w:rPr>
                <w:sz w:val="16"/>
              </w:rPr>
            </w:pPr>
            <w:r>
              <w:rPr>
                <w:color w:val="231F20"/>
                <w:w w:val="105"/>
                <w:sz w:val="16"/>
              </w:rPr>
              <w:t>Deferred</w:t>
            </w:r>
            <w:r>
              <w:rPr>
                <w:color w:val="231F20"/>
                <w:spacing w:val="-10"/>
                <w:w w:val="105"/>
                <w:sz w:val="16"/>
              </w:rPr>
              <w:t> </w:t>
            </w:r>
            <w:r>
              <w:rPr>
                <w:color w:val="231F20"/>
                <w:spacing w:val="-2"/>
                <w:w w:val="105"/>
                <w:sz w:val="16"/>
              </w:rPr>
              <w:t>outflows</w:t>
            </w:r>
          </w:p>
        </w:tc>
        <w:tc>
          <w:tcPr>
            <w:tcW w:w="1948" w:type="dxa"/>
          </w:tcPr>
          <w:p>
            <w:pPr>
              <w:pStyle w:val="TableParagraph"/>
              <w:tabs>
                <w:tab w:pos="639" w:val="left" w:leader="none"/>
              </w:tabs>
              <w:spacing w:before="116"/>
              <w:ind w:right="83"/>
              <w:jc w:val="right"/>
              <w:rPr>
                <w:sz w:val="16"/>
              </w:rPr>
            </w:pPr>
            <w:r>
              <w:rPr>
                <w:color w:val="231F20"/>
                <w:sz w:val="16"/>
                <w:u w:val="single" w:color="231F20"/>
              </w:rPr>
              <w:tab/>
            </w:r>
            <w:r>
              <w:rPr>
                <w:color w:val="231F20"/>
                <w:spacing w:val="-2"/>
                <w:w w:val="105"/>
                <w:sz w:val="16"/>
                <w:u w:val="single" w:color="231F20"/>
              </w:rPr>
              <w:t>99,510</w:t>
            </w:r>
            <w:r>
              <w:rPr>
                <w:color w:val="231F20"/>
                <w:spacing w:val="80"/>
                <w:w w:val="105"/>
                <w:sz w:val="16"/>
                <w:u w:val="single" w:color="231F20"/>
              </w:rPr>
              <w:t> </w:t>
            </w:r>
          </w:p>
        </w:tc>
        <w:tc>
          <w:tcPr>
            <w:tcW w:w="1410" w:type="dxa"/>
          </w:tcPr>
          <w:p>
            <w:pPr>
              <w:pStyle w:val="TableParagraph"/>
              <w:tabs>
                <w:tab w:pos="630" w:val="left" w:leader="none"/>
              </w:tabs>
              <w:spacing w:before="116"/>
              <w:ind w:left="83"/>
              <w:rPr>
                <w:sz w:val="16"/>
              </w:rPr>
            </w:pPr>
            <w:r>
              <w:rPr>
                <w:color w:val="231F20"/>
                <w:sz w:val="16"/>
                <w:u w:val="single" w:color="231F20"/>
              </w:rPr>
              <w:tab/>
            </w:r>
            <w:r>
              <w:rPr>
                <w:color w:val="231F20"/>
                <w:spacing w:val="-2"/>
                <w:w w:val="105"/>
                <w:sz w:val="16"/>
                <w:u w:val="single" w:color="231F20"/>
              </w:rPr>
              <w:t>128,181</w:t>
            </w:r>
            <w:r>
              <w:rPr>
                <w:color w:val="231F20"/>
                <w:spacing w:val="80"/>
                <w:w w:val="105"/>
                <w:sz w:val="16"/>
                <w:u w:val="single" w:color="231F20"/>
              </w:rPr>
              <w:t> </w:t>
            </w:r>
          </w:p>
        </w:tc>
        <w:tc>
          <w:tcPr>
            <w:tcW w:w="1410" w:type="dxa"/>
          </w:tcPr>
          <w:p>
            <w:pPr>
              <w:pStyle w:val="TableParagraph"/>
              <w:tabs>
                <w:tab w:pos="584" w:val="left" w:leader="none"/>
              </w:tabs>
              <w:spacing w:before="116"/>
              <w:ind w:right="118"/>
              <w:jc w:val="right"/>
              <w:rPr>
                <w:sz w:val="16"/>
              </w:rPr>
            </w:pPr>
            <w:r>
              <w:rPr>
                <w:color w:val="231F20"/>
                <w:sz w:val="16"/>
                <w:u w:val="single" w:color="231F20"/>
              </w:rPr>
              <w:tab/>
            </w:r>
            <w:r>
              <w:rPr>
                <w:color w:val="231F20"/>
                <w:spacing w:val="-2"/>
                <w:w w:val="105"/>
                <w:sz w:val="16"/>
                <w:u w:val="single" w:color="231F20"/>
              </w:rPr>
              <w:t>(28,671)</w:t>
            </w:r>
          </w:p>
        </w:tc>
        <w:tc>
          <w:tcPr>
            <w:tcW w:w="1084" w:type="dxa"/>
          </w:tcPr>
          <w:p>
            <w:pPr>
              <w:pStyle w:val="TableParagraph"/>
              <w:tabs>
                <w:tab w:pos="385" w:val="left" w:leader="none"/>
              </w:tabs>
              <w:spacing w:before="116"/>
              <w:ind w:right="86"/>
              <w:jc w:val="right"/>
              <w:rPr>
                <w:sz w:val="16"/>
              </w:rPr>
            </w:pPr>
            <w:r>
              <w:rPr>
                <w:color w:val="231F20"/>
                <w:sz w:val="16"/>
                <w:u w:val="single" w:color="231F20"/>
              </w:rPr>
              <w:tab/>
              <w:t>-</w:t>
            </w:r>
            <w:r>
              <w:rPr>
                <w:color w:val="231F20"/>
                <w:spacing w:val="-2"/>
                <w:w w:val="105"/>
                <w:sz w:val="16"/>
                <w:u w:val="single" w:color="231F20"/>
              </w:rPr>
              <w:t>22.4%</w:t>
            </w:r>
          </w:p>
        </w:tc>
      </w:tr>
      <w:tr>
        <w:trPr>
          <w:trHeight w:val="355" w:hRule="atLeast"/>
        </w:trPr>
        <w:tc>
          <w:tcPr>
            <w:tcW w:w="3583" w:type="dxa"/>
          </w:tcPr>
          <w:p>
            <w:pPr>
              <w:pStyle w:val="TableParagraph"/>
              <w:spacing w:before="115"/>
              <w:ind w:left="401"/>
              <w:rPr>
                <w:sz w:val="16"/>
              </w:rPr>
            </w:pPr>
            <w:r>
              <w:rPr>
                <w:color w:val="231F20"/>
                <w:w w:val="105"/>
                <w:sz w:val="16"/>
              </w:rPr>
              <w:t>Total</w:t>
            </w:r>
            <w:r>
              <w:rPr>
                <w:color w:val="231F20"/>
                <w:spacing w:val="-7"/>
                <w:w w:val="105"/>
                <w:sz w:val="16"/>
              </w:rPr>
              <w:t> </w:t>
            </w:r>
            <w:r>
              <w:rPr>
                <w:color w:val="231F20"/>
                <w:w w:val="105"/>
                <w:sz w:val="16"/>
              </w:rPr>
              <w:t>assets</w:t>
            </w:r>
            <w:r>
              <w:rPr>
                <w:color w:val="231F20"/>
                <w:spacing w:val="-7"/>
                <w:w w:val="105"/>
                <w:sz w:val="16"/>
              </w:rPr>
              <w:t> </w:t>
            </w:r>
            <w:r>
              <w:rPr>
                <w:color w:val="231F20"/>
                <w:w w:val="105"/>
                <w:sz w:val="16"/>
              </w:rPr>
              <w:t>and</w:t>
            </w:r>
            <w:r>
              <w:rPr>
                <w:color w:val="231F20"/>
                <w:spacing w:val="-7"/>
                <w:w w:val="105"/>
                <w:sz w:val="16"/>
              </w:rPr>
              <w:t> </w:t>
            </w:r>
            <w:r>
              <w:rPr>
                <w:color w:val="231F20"/>
                <w:w w:val="105"/>
                <w:sz w:val="16"/>
              </w:rPr>
              <w:t>deferred</w:t>
            </w:r>
            <w:r>
              <w:rPr>
                <w:color w:val="231F20"/>
                <w:spacing w:val="-6"/>
                <w:w w:val="105"/>
                <w:sz w:val="16"/>
              </w:rPr>
              <w:t> </w:t>
            </w:r>
            <w:r>
              <w:rPr>
                <w:color w:val="231F20"/>
                <w:spacing w:val="-2"/>
                <w:w w:val="105"/>
                <w:sz w:val="16"/>
              </w:rPr>
              <w:t>outflows</w:t>
            </w:r>
          </w:p>
        </w:tc>
        <w:tc>
          <w:tcPr>
            <w:tcW w:w="1948" w:type="dxa"/>
          </w:tcPr>
          <w:p>
            <w:pPr>
              <w:pStyle w:val="TableParagraph"/>
              <w:tabs>
                <w:tab w:pos="545" w:val="left" w:leader="none"/>
              </w:tabs>
              <w:spacing w:before="115"/>
              <w:ind w:right="83"/>
              <w:jc w:val="right"/>
              <w:rPr>
                <w:sz w:val="16"/>
              </w:rPr>
            </w:pPr>
            <w:r>
              <w:rPr>
                <w:color w:val="231F20"/>
                <w:spacing w:val="40"/>
                <w:w w:val="105"/>
                <w:sz w:val="16"/>
                <w:u w:val="single" w:color="231F20"/>
              </w:rPr>
              <w:t> </w:t>
            </w:r>
            <w:r>
              <w:rPr>
                <w:color w:val="231F20"/>
                <w:spacing w:val="-12"/>
                <w:w w:val="105"/>
                <w:sz w:val="16"/>
                <w:u w:val="single" w:color="231F20"/>
              </w:rPr>
              <w:t>$</w:t>
            </w:r>
            <w:r>
              <w:rPr>
                <w:color w:val="231F20"/>
                <w:sz w:val="16"/>
                <w:u w:val="single" w:color="231F20"/>
              </w:rPr>
              <w:tab/>
            </w:r>
            <w:r>
              <w:rPr>
                <w:color w:val="231F20"/>
                <w:spacing w:val="-2"/>
                <w:w w:val="105"/>
                <w:sz w:val="16"/>
                <w:u w:val="single" w:color="231F20"/>
              </w:rPr>
              <w:t>423,199</w:t>
            </w:r>
            <w:r>
              <w:rPr>
                <w:color w:val="231F20"/>
                <w:spacing w:val="80"/>
                <w:w w:val="105"/>
                <w:sz w:val="16"/>
                <w:u w:val="single" w:color="231F20"/>
              </w:rPr>
              <w:t> </w:t>
            </w:r>
          </w:p>
        </w:tc>
        <w:tc>
          <w:tcPr>
            <w:tcW w:w="1410" w:type="dxa"/>
          </w:tcPr>
          <w:p>
            <w:pPr>
              <w:pStyle w:val="TableParagraph"/>
              <w:tabs>
                <w:tab w:pos="629" w:val="left" w:leader="none"/>
              </w:tabs>
              <w:spacing w:before="115"/>
              <w:ind w:left="83"/>
              <w:rPr>
                <w:sz w:val="16"/>
              </w:rPr>
            </w:pPr>
            <w:r>
              <w:rPr>
                <w:color w:val="231F20"/>
                <w:spacing w:val="41"/>
                <w:w w:val="105"/>
                <w:sz w:val="16"/>
                <w:u w:val="single" w:color="231F20"/>
              </w:rPr>
              <w:t> </w:t>
            </w:r>
            <w:r>
              <w:rPr>
                <w:color w:val="231F20"/>
                <w:spacing w:val="-10"/>
                <w:w w:val="105"/>
                <w:sz w:val="16"/>
                <w:u w:val="single" w:color="231F20"/>
              </w:rPr>
              <w:t>$</w:t>
            </w:r>
            <w:r>
              <w:rPr>
                <w:color w:val="231F20"/>
                <w:sz w:val="16"/>
                <w:u w:val="single" w:color="231F20"/>
              </w:rPr>
              <w:tab/>
            </w:r>
            <w:r>
              <w:rPr>
                <w:color w:val="231F20"/>
                <w:spacing w:val="-2"/>
                <w:w w:val="105"/>
                <w:sz w:val="16"/>
                <w:u w:val="single" w:color="231F20"/>
              </w:rPr>
              <w:t>454,854</w:t>
            </w:r>
            <w:r>
              <w:rPr>
                <w:color w:val="231F20"/>
                <w:spacing w:val="80"/>
                <w:w w:val="105"/>
                <w:sz w:val="16"/>
                <w:u w:val="single" w:color="231F20"/>
              </w:rPr>
              <w:t> </w:t>
            </w:r>
          </w:p>
        </w:tc>
        <w:tc>
          <w:tcPr>
            <w:tcW w:w="1410" w:type="dxa"/>
          </w:tcPr>
          <w:p>
            <w:pPr>
              <w:pStyle w:val="TableParagraph"/>
              <w:tabs>
                <w:tab w:pos="583" w:val="left" w:leader="none"/>
              </w:tabs>
              <w:spacing w:before="115"/>
              <w:ind w:right="119"/>
              <w:jc w:val="right"/>
              <w:rPr>
                <w:sz w:val="16"/>
              </w:rPr>
            </w:pPr>
            <w:r>
              <w:rPr>
                <w:color w:val="231F20"/>
                <w:spacing w:val="41"/>
                <w:w w:val="105"/>
                <w:sz w:val="16"/>
                <w:u w:val="single" w:color="231F20"/>
              </w:rPr>
              <w:t> </w:t>
            </w:r>
            <w:r>
              <w:rPr>
                <w:color w:val="231F20"/>
                <w:spacing w:val="-10"/>
                <w:w w:val="105"/>
                <w:sz w:val="16"/>
                <w:u w:val="single" w:color="231F20"/>
              </w:rPr>
              <w:t>$</w:t>
            </w:r>
            <w:r>
              <w:rPr>
                <w:color w:val="231F20"/>
                <w:sz w:val="16"/>
                <w:u w:val="single" w:color="231F20"/>
              </w:rPr>
              <w:tab/>
            </w:r>
            <w:r>
              <w:rPr>
                <w:color w:val="231F20"/>
                <w:spacing w:val="-2"/>
                <w:w w:val="105"/>
                <w:sz w:val="16"/>
                <w:u w:val="single" w:color="231F20"/>
              </w:rPr>
              <w:t>(31,655)</w:t>
            </w:r>
          </w:p>
        </w:tc>
        <w:tc>
          <w:tcPr>
            <w:tcW w:w="1084" w:type="dxa"/>
          </w:tcPr>
          <w:p>
            <w:pPr>
              <w:pStyle w:val="TableParagraph"/>
              <w:tabs>
                <w:tab w:pos="479" w:val="left" w:leader="none"/>
              </w:tabs>
              <w:spacing w:before="115"/>
              <w:ind w:right="85"/>
              <w:jc w:val="right"/>
              <w:rPr>
                <w:sz w:val="16"/>
              </w:rPr>
            </w:pPr>
            <w:r>
              <w:rPr>
                <w:color w:val="231F20"/>
                <w:sz w:val="16"/>
                <w:u w:val="single" w:color="231F20"/>
              </w:rPr>
              <w:tab/>
              <w:t>-</w:t>
            </w:r>
            <w:r>
              <w:rPr>
                <w:color w:val="231F20"/>
                <w:spacing w:val="-4"/>
                <w:w w:val="105"/>
                <w:sz w:val="16"/>
                <w:u w:val="single" w:color="231F20"/>
              </w:rPr>
              <w:t>7.0%</w:t>
            </w:r>
          </w:p>
        </w:tc>
      </w:tr>
    </w:tbl>
    <w:p>
      <w:pPr>
        <w:pStyle w:val="BodyText"/>
      </w:pPr>
    </w:p>
    <w:p>
      <w:pPr>
        <w:pStyle w:val="BodyText"/>
        <w:spacing w:before="1"/>
        <w:rPr>
          <w:sz w:val="16"/>
        </w:rPr>
      </w:pPr>
    </w:p>
    <w:tbl>
      <w:tblPr>
        <w:tblW w:w="0" w:type="auto"/>
        <w:jc w:val="left"/>
        <w:tblInd w:w="1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39"/>
        <w:gridCol w:w="1590"/>
        <w:gridCol w:w="1408"/>
        <w:gridCol w:w="1408"/>
        <w:gridCol w:w="1066"/>
      </w:tblGrid>
      <w:tr>
        <w:trPr>
          <w:trHeight w:val="197" w:hRule="atLeast"/>
        </w:trPr>
        <w:tc>
          <w:tcPr>
            <w:tcW w:w="3939" w:type="dxa"/>
          </w:tcPr>
          <w:p>
            <w:pPr>
              <w:pStyle w:val="TableParagraph"/>
              <w:spacing w:line="176" w:lineRule="exact" w:before="1"/>
              <w:ind w:left="50"/>
              <w:rPr>
                <w:sz w:val="16"/>
              </w:rPr>
            </w:pPr>
            <w:r>
              <w:rPr>
                <w:color w:val="231F20"/>
                <w:w w:val="105"/>
                <w:sz w:val="16"/>
              </w:rPr>
              <w:t>Current</w:t>
            </w:r>
            <w:r>
              <w:rPr>
                <w:color w:val="231F20"/>
                <w:spacing w:val="-8"/>
                <w:w w:val="105"/>
                <w:sz w:val="16"/>
              </w:rPr>
              <w:t> </w:t>
            </w:r>
            <w:r>
              <w:rPr>
                <w:color w:val="231F20"/>
                <w:spacing w:val="-2"/>
                <w:w w:val="105"/>
                <w:sz w:val="16"/>
              </w:rPr>
              <w:t>liabilities</w:t>
            </w:r>
          </w:p>
        </w:tc>
        <w:tc>
          <w:tcPr>
            <w:tcW w:w="1590" w:type="dxa"/>
          </w:tcPr>
          <w:p>
            <w:pPr>
              <w:pStyle w:val="TableParagraph"/>
              <w:tabs>
                <w:tab w:pos="906" w:val="left" w:leader="none"/>
              </w:tabs>
              <w:spacing w:line="176" w:lineRule="exact" w:before="1"/>
              <w:ind w:left="355"/>
              <w:rPr>
                <w:sz w:val="16"/>
              </w:rPr>
            </w:pPr>
            <w:r>
              <w:rPr>
                <w:color w:val="231F20"/>
                <w:spacing w:val="-10"/>
                <w:w w:val="105"/>
                <w:sz w:val="16"/>
              </w:rPr>
              <w:t>$</w:t>
            </w:r>
            <w:r>
              <w:rPr>
                <w:color w:val="231F20"/>
                <w:sz w:val="16"/>
              </w:rPr>
              <w:tab/>
            </w:r>
            <w:r>
              <w:rPr>
                <w:color w:val="231F20"/>
                <w:spacing w:val="-2"/>
                <w:w w:val="105"/>
                <w:sz w:val="16"/>
              </w:rPr>
              <w:t>18,630</w:t>
            </w:r>
          </w:p>
        </w:tc>
        <w:tc>
          <w:tcPr>
            <w:tcW w:w="1408" w:type="dxa"/>
          </w:tcPr>
          <w:p>
            <w:pPr>
              <w:pStyle w:val="TableParagraph"/>
              <w:tabs>
                <w:tab w:pos="725" w:val="left" w:leader="none"/>
              </w:tabs>
              <w:spacing w:line="176" w:lineRule="exact" w:before="1"/>
              <w:ind w:left="174"/>
              <w:rPr>
                <w:sz w:val="16"/>
              </w:rPr>
            </w:pPr>
            <w:r>
              <w:rPr>
                <w:color w:val="231F20"/>
                <w:spacing w:val="-10"/>
                <w:w w:val="105"/>
                <w:sz w:val="16"/>
              </w:rPr>
              <w:t>$</w:t>
            </w:r>
            <w:r>
              <w:rPr>
                <w:color w:val="231F20"/>
                <w:sz w:val="16"/>
              </w:rPr>
              <w:tab/>
            </w:r>
            <w:r>
              <w:rPr>
                <w:color w:val="231F20"/>
                <w:spacing w:val="-2"/>
                <w:w w:val="105"/>
                <w:sz w:val="16"/>
              </w:rPr>
              <w:t>14,563</w:t>
            </w:r>
          </w:p>
        </w:tc>
        <w:tc>
          <w:tcPr>
            <w:tcW w:w="1408" w:type="dxa"/>
          </w:tcPr>
          <w:p>
            <w:pPr>
              <w:pStyle w:val="TableParagraph"/>
              <w:tabs>
                <w:tab w:pos="818" w:val="left" w:leader="none"/>
              </w:tabs>
              <w:spacing w:line="176" w:lineRule="exact" w:before="1"/>
              <w:ind w:left="175"/>
              <w:rPr>
                <w:sz w:val="16"/>
              </w:rPr>
            </w:pPr>
            <w:r>
              <w:rPr>
                <w:color w:val="231F20"/>
                <w:spacing w:val="-10"/>
                <w:w w:val="105"/>
                <w:sz w:val="16"/>
              </w:rPr>
              <w:t>$</w:t>
            </w:r>
            <w:r>
              <w:rPr>
                <w:color w:val="231F20"/>
                <w:sz w:val="16"/>
              </w:rPr>
              <w:tab/>
            </w:r>
            <w:r>
              <w:rPr>
                <w:color w:val="231F20"/>
                <w:spacing w:val="-4"/>
                <w:w w:val="105"/>
                <w:sz w:val="16"/>
              </w:rPr>
              <w:t>4,067</w:t>
            </w:r>
          </w:p>
        </w:tc>
        <w:tc>
          <w:tcPr>
            <w:tcW w:w="1066" w:type="dxa"/>
          </w:tcPr>
          <w:p>
            <w:pPr>
              <w:pStyle w:val="TableParagraph"/>
              <w:spacing w:line="176" w:lineRule="exact" w:before="1"/>
              <w:ind w:right="60"/>
              <w:jc w:val="right"/>
              <w:rPr>
                <w:sz w:val="16"/>
              </w:rPr>
            </w:pPr>
            <w:r>
              <w:rPr>
                <w:color w:val="231F20"/>
                <w:spacing w:val="-2"/>
                <w:w w:val="105"/>
                <w:sz w:val="16"/>
              </w:rPr>
              <w:t>27.9%</w:t>
            </w:r>
          </w:p>
        </w:tc>
      </w:tr>
      <w:tr>
        <w:trPr>
          <w:trHeight w:val="208" w:hRule="atLeast"/>
        </w:trPr>
        <w:tc>
          <w:tcPr>
            <w:tcW w:w="3939" w:type="dxa"/>
          </w:tcPr>
          <w:p>
            <w:pPr>
              <w:pStyle w:val="TableParagraph"/>
              <w:spacing w:line="176" w:lineRule="exact" w:before="12"/>
              <w:ind w:left="50"/>
              <w:rPr>
                <w:sz w:val="16"/>
              </w:rPr>
            </w:pPr>
            <w:r>
              <w:rPr>
                <w:color w:val="231F20"/>
                <w:w w:val="105"/>
                <w:sz w:val="16"/>
              </w:rPr>
              <w:t>Non-current</w:t>
            </w:r>
            <w:r>
              <w:rPr>
                <w:color w:val="231F20"/>
                <w:spacing w:val="-11"/>
                <w:w w:val="105"/>
                <w:sz w:val="16"/>
              </w:rPr>
              <w:t> </w:t>
            </w:r>
            <w:r>
              <w:rPr>
                <w:color w:val="231F20"/>
                <w:spacing w:val="-2"/>
                <w:w w:val="105"/>
                <w:sz w:val="16"/>
              </w:rPr>
              <w:t>liabilities</w:t>
            </w:r>
          </w:p>
        </w:tc>
        <w:tc>
          <w:tcPr>
            <w:tcW w:w="1590" w:type="dxa"/>
          </w:tcPr>
          <w:p>
            <w:pPr>
              <w:pStyle w:val="TableParagraph"/>
              <w:tabs>
                <w:tab w:pos="545" w:val="left" w:leader="none"/>
              </w:tabs>
              <w:spacing w:line="176" w:lineRule="exact" w:before="12"/>
              <w:ind w:right="81"/>
              <w:jc w:val="right"/>
              <w:rPr>
                <w:sz w:val="16"/>
              </w:rPr>
            </w:pPr>
            <w:r>
              <w:rPr>
                <w:color w:val="231F20"/>
                <w:sz w:val="16"/>
                <w:u w:val="single" w:color="231F20"/>
              </w:rPr>
              <w:tab/>
            </w:r>
            <w:r>
              <w:rPr>
                <w:color w:val="231F20"/>
                <w:spacing w:val="-2"/>
                <w:w w:val="105"/>
                <w:sz w:val="16"/>
                <w:u w:val="single" w:color="231F20"/>
              </w:rPr>
              <w:t>175,509</w:t>
            </w:r>
            <w:r>
              <w:rPr>
                <w:color w:val="231F20"/>
                <w:spacing w:val="80"/>
                <w:w w:val="105"/>
                <w:sz w:val="16"/>
                <w:u w:val="single" w:color="231F20"/>
              </w:rPr>
              <w:t> </w:t>
            </w:r>
          </w:p>
        </w:tc>
        <w:tc>
          <w:tcPr>
            <w:tcW w:w="1408" w:type="dxa"/>
          </w:tcPr>
          <w:p>
            <w:pPr>
              <w:pStyle w:val="TableParagraph"/>
              <w:tabs>
                <w:tab w:pos="546" w:val="left" w:leader="none"/>
              </w:tabs>
              <w:spacing w:line="176" w:lineRule="exact" w:before="12"/>
              <w:ind w:right="81"/>
              <w:jc w:val="right"/>
              <w:rPr>
                <w:sz w:val="16"/>
              </w:rPr>
            </w:pPr>
            <w:r>
              <w:rPr>
                <w:color w:val="231F20"/>
                <w:sz w:val="16"/>
                <w:u w:val="single" w:color="231F20"/>
              </w:rPr>
              <w:tab/>
            </w:r>
            <w:r>
              <w:rPr>
                <w:color w:val="231F20"/>
                <w:spacing w:val="-2"/>
                <w:w w:val="105"/>
                <w:sz w:val="16"/>
                <w:u w:val="single" w:color="231F20"/>
              </w:rPr>
              <w:t>329,026</w:t>
            </w:r>
            <w:r>
              <w:rPr>
                <w:color w:val="231F20"/>
                <w:spacing w:val="80"/>
                <w:w w:val="105"/>
                <w:sz w:val="16"/>
                <w:u w:val="single" w:color="231F20"/>
              </w:rPr>
              <w:t> </w:t>
            </w:r>
          </w:p>
        </w:tc>
        <w:tc>
          <w:tcPr>
            <w:tcW w:w="1408" w:type="dxa"/>
          </w:tcPr>
          <w:p>
            <w:pPr>
              <w:pStyle w:val="TableParagraph"/>
              <w:tabs>
                <w:tab w:pos="576" w:val="left" w:leader="none"/>
              </w:tabs>
              <w:spacing w:line="176" w:lineRule="exact" w:before="12"/>
              <w:ind w:left="86"/>
              <w:rPr>
                <w:sz w:val="16"/>
              </w:rPr>
            </w:pPr>
            <w:r>
              <w:rPr>
                <w:color w:val="231F20"/>
                <w:sz w:val="16"/>
                <w:u w:val="single" w:color="231F20"/>
              </w:rPr>
              <w:tab/>
            </w:r>
            <w:r>
              <w:rPr>
                <w:color w:val="231F20"/>
                <w:spacing w:val="-2"/>
                <w:w w:val="105"/>
                <w:sz w:val="16"/>
                <w:u w:val="single" w:color="231F20"/>
              </w:rPr>
              <w:t>(153,517)</w:t>
            </w:r>
          </w:p>
        </w:tc>
        <w:tc>
          <w:tcPr>
            <w:tcW w:w="1066" w:type="dxa"/>
          </w:tcPr>
          <w:p>
            <w:pPr>
              <w:pStyle w:val="TableParagraph"/>
              <w:tabs>
                <w:tab w:pos="385" w:val="left" w:leader="none"/>
              </w:tabs>
              <w:spacing w:line="176" w:lineRule="exact" w:before="12"/>
              <w:ind w:right="62"/>
              <w:jc w:val="right"/>
              <w:rPr>
                <w:sz w:val="16"/>
              </w:rPr>
            </w:pPr>
            <w:r>
              <w:rPr>
                <w:color w:val="231F20"/>
                <w:sz w:val="16"/>
                <w:u w:val="single" w:color="231F20"/>
              </w:rPr>
              <w:tab/>
              <w:t>-</w:t>
            </w:r>
            <w:r>
              <w:rPr>
                <w:color w:val="231F20"/>
                <w:spacing w:val="-2"/>
                <w:w w:val="105"/>
                <w:sz w:val="16"/>
                <w:u w:val="single" w:color="231F20"/>
              </w:rPr>
              <w:t>46.7%</w:t>
            </w:r>
          </w:p>
        </w:tc>
      </w:tr>
      <w:tr>
        <w:trPr>
          <w:trHeight w:val="312" w:hRule="atLeast"/>
        </w:trPr>
        <w:tc>
          <w:tcPr>
            <w:tcW w:w="3939" w:type="dxa"/>
          </w:tcPr>
          <w:p>
            <w:pPr>
              <w:pStyle w:val="TableParagraph"/>
              <w:spacing w:before="12"/>
              <w:ind w:left="401"/>
              <w:rPr>
                <w:sz w:val="16"/>
              </w:rPr>
            </w:pPr>
            <w:r>
              <w:rPr>
                <w:color w:val="231F20"/>
                <w:w w:val="105"/>
                <w:sz w:val="16"/>
              </w:rPr>
              <w:t>Total</w:t>
            </w:r>
            <w:r>
              <w:rPr>
                <w:color w:val="231F20"/>
                <w:spacing w:val="-6"/>
                <w:w w:val="105"/>
                <w:sz w:val="16"/>
              </w:rPr>
              <w:t> </w:t>
            </w:r>
            <w:r>
              <w:rPr>
                <w:color w:val="231F20"/>
                <w:spacing w:val="-2"/>
                <w:w w:val="105"/>
                <w:sz w:val="16"/>
              </w:rPr>
              <w:t>liabilities</w:t>
            </w:r>
          </w:p>
        </w:tc>
        <w:tc>
          <w:tcPr>
            <w:tcW w:w="1590" w:type="dxa"/>
          </w:tcPr>
          <w:p>
            <w:pPr>
              <w:pStyle w:val="TableParagraph"/>
              <w:spacing w:before="12"/>
              <w:ind w:right="170"/>
              <w:jc w:val="right"/>
              <w:rPr>
                <w:sz w:val="16"/>
              </w:rPr>
            </w:pPr>
            <w:r>
              <w:rPr>
                <w:color w:val="231F20"/>
                <w:spacing w:val="-2"/>
                <w:w w:val="105"/>
                <w:sz w:val="16"/>
              </w:rPr>
              <w:t>194,139</w:t>
            </w:r>
          </w:p>
        </w:tc>
        <w:tc>
          <w:tcPr>
            <w:tcW w:w="1408" w:type="dxa"/>
          </w:tcPr>
          <w:p>
            <w:pPr>
              <w:pStyle w:val="TableParagraph"/>
              <w:spacing w:before="12"/>
              <w:ind w:right="169"/>
              <w:jc w:val="right"/>
              <w:rPr>
                <w:sz w:val="16"/>
              </w:rPr>
            </w:pPr>
            <w:r>
              <w:rPr>
                <w:color w:val="231F20"/>
                <w:spacing w:val="-2"/>
                <w:w w:val="105"/>
                <w:sz w:val="16"/>
              </w:rPr>
              <w:t>343,589</w:t>
            </w:r>
          </w:p>
        </w:tc>
        <w:tc>
          <w:tcPr>
            <w:tcW w:w="1408" w:type="dxa"/>
          </w:tcPr>
          <w:p>
            <w:pPr>
              <w:pStyle w:val="TableParagraph"/>
              <w:spacing w:before="12"/>
              <w:ind w:right="113"/>
              <w:jc w:val="right"/>
              <w:rPr>
                <w:sz w:val="16"/>
              </w:rPr>
            </w:pPr>
            <w:r>
              <w:rPr>
                <w:color w:val="231F20"/>
                <w:spacing w:val="-2"/>
                <w:w w:val="105"/>
                <w:sz w:val="16"/>
              </w:rPr>
              <w:t>(149,450)</w:t>
            </w:r>
          </w:p>
        </w:tc>
        <w:tc>
          <w:tcPr>
            <w:tcW w:w="1066" w:type="dxa"/>
          </w:tcPr>
          <w:p>
            <w:pPr>
              <w:pStyle w:val="TableParagraph"/>
              <w:spacing w:before="12"/>
              <w:ind w:right="61"/>
              <w:jc w:val="right"/>
              <w:rPr>
                <w:sz w:val="16"/>
              </w:rPr>
            </w:pPr>
            <w:r>
              <w:rPr>
                <w:color w:val="231F20"/>
                <w:sz w:val="16"/>
              </w:rPr>
              <w:t>-</w:t>
            </w:r>
            <w:r>
              <w:rPr>
                <w:color w:val="231F20"/>
                <w:spacing w:val="-2"/>
                <w:w w:val="105"/>
                <w:sz w:val="16"/>
              </w:rPr>
              <w:t>43.5%</w:t>
            </w:r>
          </w:p>
        </w:tc>
      </w:tr>
      <w:tr>
        <w:trPr>
          <w:trHeight w:val="416" w:hRule="atLeast"/>
        </w:trPr>
        <w:tc>
          <w:tcPr>
            <w:tcW w:w="3939" w:type="dxa"/>
          </w:tcPr>
          <w:p>
            <w:pPr>
              <w:pStyle w:val="TableParagraph"/>
              <w:spacing w:before="116"/>
              <w:ind w:left="50"/>
              <w:rPr>
                <w:sz w:val="16"/>
              </w:rPr>
            </w:pPr>
            <w:r>
              <w:rPr>
                <w:color w:val="231F20"/>
                <w:w w:val="105"/>
                <w:sz w:val="16"/>
              </w:rPr>
              <w:t>Deferred</w:t>
            </w:r>
            <w:r>
              <w:rPr>
                <w:color w:val="231F20"/>
                <w:spacing w:val="-10"/>
                <w:w w:val="105"/>
                <w:sz w:val="16"/>
              </w:rPr>
              <w:t> </w:t>
            </w:r>
            <w:r>
              <w:rPr>
                <w:color w:val="231F20"/>
                <w:spacing w:val="-2"/>
                <w:w w:val="105"/>
                <w:sz w:val="16"/>
              </w:rPr>
              <w:t>inflows</w:t>
            </w:r>
          </w:p>
        </w:tc>
        <w:tc>
          <w:tcPr>
            <w:tcW w:w="1590" w:type="dxa"/>
          </w:tcPr>
          <w:p>
            <w:pPr>
              <w:pStyle w:val="TableParagraph"/>
              <w:spacing w:before="116"/>
              <w:ind w:right="169"/>
              <w:jc w:val="right"/>
              <w:rPr>
                <w:sz w:val="16"/>
              </w:rPr>
            </w:pPr>
            <w:r>
              <w:rPr>
                <w:color w:val="231F20"/>
                <w:spacing w:val="-2"/>
                <w:w w:val="105"/>
                <w:sz w:val="16"/>
              </w:rPr>
              <w:t>136,356</w:t>
            </w:r>
          </w:p>
        </w:tc>
        <w:tc>
          <w:tcPr>
            <w:tcW w:w="1408" w:type="dxa"/>
          </w:tcPr>
          <w:p>
            <w:pPr>
              <w:pStyle w:val="TableParagraph"/>
              <w:spacing w:before="116"/>
              <w:ind w:right="169"/>
              <w:jc w:val="right"/>
              <w:rPr>
                <w:sz w:val="16"/>
              </w:rPr>
            </w:pPr>
            <w:r>
              <w:rPr>
                <w:color w:val="231F20"/>
                <w:spacing w:val="-4"/>
                <w:w w:val="105"/>
                <w:sz w:val="16"/>
              </w:rPr>
              <w:t>8,989</w:t>
            </w:r>
          </w:p>
        </w:tc>
        <w:tc>
          <w:tcPr>
            <w:tcW w:w="1408" w:type="dxa"/>
          </w:tcPr>
          <w:p>
            <w:pPr>
              <w:pStyle w:val="TableParagraph"/>
              <w:spacing w:before="116"/>
              <w:ind w:right="168"/>
              <w:jc w:val="right"/>
              <w:rPr>
                <w:sz w:val="16"/>
              </w:rPr>
            </w:pPr>
            <w:r>
              <w:rPr>
                <w:color w:val="231F20"/>
                <w:spacing w:val="-2"/>
                <w:w w:val="105"/>
                <w:sz w:val="16"/>
              </w:rPr>
              <w:t>127,367</w:t>
            </w:r>
          </w:p>
        </w:tc>
        <w:tc>
          <w:tcPr>
            <w:tcW w:w="1066" w:type="dxa"/>
          </w:tcPr>
          <w:p>
            <w:pPr>
              <w:pStyle w:val="TableParagraph"/>
              <w:spacing w:before="116"/>
              <w:ind w:right="60"/>
              <w:jc w:val="right"/>
              <w:rPr>
                <w:sz w:val="16"/>
              </w:rPr>
            </w:pPr>
            <w:r>
              <w:rPr>
                <w:color w:val="231F20"/>
                <w:spacing w:val="-2"/>
                <w:w w:val="105"/>
                <w:sz w:val="16"/>
              </w:rPr>
              <w:t>1416.9%</w:t>
            </w:r>
          </w:p>
        </w:tc>
      </w:tr>
      <w:tr>
        <w:trPr>
          <w:trHeight w:val="520" w:hRule="atLeast"/>
        </w:trPr>
        <w:tc>
          <w:tcPr>
            <w:tcW w:w="3939" w:type="dxa"/>
          </w:tcPr>
          <w:p>
            <w:pPr>
              <w:pStyle w:val="TableParagraph"/>
              <w:spacing w:before="116"/>
              <w:ind w:left="50"/>
              <w:rPr>
                <w:sz w:val="16"/>
              </w:rPr>
            </w:pPr>
            <w:r>
              <w:rPr>
                <w:color w:val="231F20"/>
                <w:w w:val="105"/>
                <w:sz w:val="16"/>
              </w:rPr>
              <w:t>Net</w:t>
            </w:r>
            <w:r>
              <w:rPr>
                <w:color w:val="231F20"/>
                <w:spacing w:val="-4"/>
                <w:w w:val="105"/>
                <w:sz w:val="16"/>
              </w:rPr>
              <w:t> </w:t>
            </w:r>
            <w:r>
              <w:rPr>
                <w:color w:val="231F20"/>
                <w:spacing w:val="-2"/>
                <w:w w:val="105"/>
                <w:sz w:val="16"/>
              </w:rPr>
              <w:t>position</w:t>
            </w:r>
          </w:p>
          <w:p>
            <w:pPr>
              <w:pStyle w:val="TableParagraph"/>
              <w:spacing w:line="176" w:lineRule="exact" w:before="25"/>
              <w:ind w:left="168"/>
              <w:rPr>
                <w:sz w:val="16"/>
              </w:rPr>
            </w:pPr>
            <w:r>
              <w:rPr>
                <w:color w:val="231F20"/>
                <w:w w:val="105"/>
                <w:sz w:val="16"/>
              </w:rPr>
              <w:t>Capital</w:t>
            </w:r>
            <w:r>
              <w:rPr>
                <w:color w:val="231F20"/>
                <w:spacing w:val="-8"/>
                <w:w w:val="105"/>
                <w:sz w:val="16"/>
              </w:rPr>
              <w:t> </w:t>
            </w:r>
            <w:r>
              <w:rPr>
                <w:color w:val="231F20"/>
                <w:w w:val="105"/>
                <w:sz w:val="16"/>
              </w:rPr>
              <w:t>assets,</w:t>
            </w:r>
            <w:r>
              <w:rPr>
                <w:color w:val="231F20"/>
                <w:spacing w:val="-7"/>
                <w:w w:val="105"/>
                <w:sz w:val="16"/>
              </w:rPr>
              <w:t> </w:t>
            </w:r>
            <w:r>
              <w:rPr>
                <w:color w:val="231F20"/>
                <w:w w:val="105"/>
                <w:sz w:val="16"/>
              </w:rPr>
              <w:t>net</w:t>
            </w:r>
            <w:r>
              <w:rPr>
                <w:color w:val="231F20"/>
                <w:spacing w:val="-7"/>
                <w:w w:val="105"/>
                <w:sz w:val="16"/>
              </w:rPr>
              <w:t> </w:t>
            </w:r>
            <w:r>
              <w:rPr>
                <w:color w:val="231F20"/>
                <w:w w:val="105"/>
                <w:sz w:val="16"/>
              </w:rPr>
              <w:t>of</w:t>
            </w:r>
            <w:r>
              <w:rPr>
                <w:color w:val="231F20"/>
                <w:spacing w:val="-6"/>
                <w:w w:val="105"/>
                <w:sz w:val="16"/>
              </w:rPr>
              <w:t> </w:t>
            </w:r>
            <w:r>
              <w:rPr>
                <w:color w:val="231F20"/>
                <w:w w:val="105"/>
                <w:sz w:val="16"/>
              </w:rPr>
              <w:t>related</w:t>
            </w:r>
            <w:r>
              <w:rPr>
                <w:color w:val="231F20"/>
                <w:spacing w:val="-7"/>
                <w:w w:val="105"/>
                <w:sz w:val="16"/>
              </w:rPr>
              <w:t> </w:t>
            </w:r>
            <w:r>
              <w:rPr>
                <w:color w:val="231F20"/>
                <w:spacing w:val="-4"/>
                <w:w w:val="105"/>
                <w:sz w:val="16"/>
              </w:rPr>
              <w:t>debt</w:t>
            </w:r>
          </w:p>
        </w:tc>
        <w:tc>
          <w:tcPr>
            <w:tcW w:w="1590" w:type="dxa"/>
          </w:tcPr>
          <w:p>
            <w:pPr>
              <w:pStyle w:val="TableParagraph"/>
              <w:rPr>
                <w:sz w:val="18"/>
              </w:rPr>
            </w:pPr>
          </w:p>
          <w:p>
            <w:pPr>
              <w:pStyle w:val="TableParagraph"/>
              <w:spacing w:line="176" w:lineRule="exact" w:before="118"/>
              <w:ind w:right="170"/>
              <w:jc w:val="right"/>
              <w:rPr>
                <w:sz w:val="16"/>
              </w:rPr>
            </w:pPr>
            <w:r>
              <w:rPr>
                <w:color w:val="231F20"/>
                <w:spacing w:val="-2"/>
                <w:w w:val="105"/>
                <w:sz w:val="16"/>
              </w:rPr>
              <w:t>139,654</w:t>
            </w:r>
          </w:p>
        </w:tc>
        <w:tc>
          <w:tcPr>
            <w:tcW w:w="1408" w:type="dxa"/>
          </w:tcPr>
          <w:p>
            <w:pPr>
              <w:pStyle w:val="TableParagraph"/>
              <w:rPr>
                <w:sz w:val="18"/>
              </w:rPr>
            </w:pPr>
          </w:p>
          <w:p>
            <w:pPr>
              <w:pStyle w:val="TableParagraph"/>
              <w:spacing w:line="176" w:lineRule="exact" w:before="118"/>
              <w:ind w:right="169"/>
              <w:jc w:val="right"/>
              <w:rPr>
                <w:sz w:val="16"/>
              </w:rPr>
            </w:pPr>
            <w:r>
              <w:rPr>
                <w:color w:val="231F20"/>
                <w:spacing w:val="-2"/>
                <w:w w:val="105"/>
                <w:sz w:val="16"/>
              </w:rPr>
              <w:t>139,780</w:t>
            </w:r>
          </w:p>
        </w:tc>
        <w:tc>
          <w:tcPr>
            <w:tcW w:w="1408" w:type="dxa"/>
          </w:tcPr>
          <w:p>
            <w:pPr>
              <w:pStyle w:val="TableParagraph"/>
              <w:rPr>
                <w:sz w:val="18"/>
              </w:rPr>
            </w:pPr>
          </w:p>
          <w:p>
            <w:pPr>
              <w:pStyle w:val="TableParagraph"/>
              <w:spacing w:line="176" w:lineRule="exact" w:before="118"/>
              <w:ind w:right="112"/>
              <w:jc w:val="right"/>
              <w:rPr>
                <w:sz w:val="16"/>
              </w:rPr>
            </w:pPr>
            <w:r>
              <w:rPr>
                <w:color w:val="231F20"/>
                <w:spacing w:val="-2"/>
                <w:w w:val="105"/>
                <w:sz w:val="16"/>
              </w:rPr>
              <w:t>(126)</w:t>
            </w:r>
          </w:p>
        </w:tc>
        <w:tc>
          <w:tcPr>
            <w:tcW w:w="1066" w:type="dxa"/>
          </w:tcPr>
          <w:p>
            <w:pPr>
              <w:pStyle w:val="TableParagraph"/>
              <w:rPr>
                <w:sz w:val="18"/>
              </w:rPr>
            </w:pPr>
          </w:p>
          <w:p>
            <w:pPr>
              <w:pStyle w:val="TableParagraph"/>
              <w:spacing w:line="176" w:lineRule="exact" w:before="118"/>
              <w:ind w:right="60"/>
              <w:jc w:val="right"/>
              <w:rPr>
                <w:sz w:val="16"/>
              </w:rPr>
            </w:pPr>
            <w:r>
              <w:rPr>
                <w:color w:val="231F20"/>
                <w:sz w:val="16"/>
              </w:rPr>
              <w:t>-</w:t>
            </w:r>
            <w:r>
              <w:rPr>
                <w:color w:val="231F20"/>
                <w:spacing w:val="-4"/>
                <w:w w:val="105"/>
                <w:sz w:val="16"/>
              </w:rPr>
              <w:t>0.1%</w:t>
            </w:r>
          </w:p>
        </w:tc>
      </w:tr>
      <w:tr>
        <w:trPr>
          <w:trHeight w:val="208" w:hRule="atLeast"/>
        </w:trPr>
        <w:tc>
          <w:tcPr>
            <w:tcW w:w="3939" w:type="dxa"/>
          </w:tcPr>
          <w:p>
            <w:pPr>
              <w:pStyle w:val="TableParagraph"/>
              <w:spacing w:line="176" w:lineRule="exact" w:before="11"/>
              <w:ind w:left="168"/>
              <w:rPr>
                <w:sz w:val="16"/>
              </w:rPr>
            </w:pPr>
            <w:r>
              <w:rPr>
                <w:color w:val="231F20"/>
                <w:w w:val="105"/>
                <w:sz w:val="16"/>
              </w:rPr>
              <w:t>Restricted</w:t>
            </w:r>
            <w:r>
              <w:rPr>
                <w:color w:val="231F20"/>
                <w:spacing w:val="-8"/>
                <w:w w:val="105"/>
                <w:sz w:val="16"/>
              </w:rPr>
              <w:t> </w:t>
            </w:r>
            <w:r>
              <w:rPr>
                <w:color w:val="231F20"/>
                <w:w w:val="105"/>
                <w:sz w:val="16"/>
              </w:rPr>
              <w:t>net</w:t>
            </w:r>
            <w:r>
              <w:rPr>
                <w:color w:val="231F20"/>
                <w:spacing w:val="-7"/>
                <w:w w:val="105"/>
                <w:sz w:val="16"/>
              </w:rPr>
              <w:t> </w:t>
            </w:r>
            <w:r>
              <w:rPr>
                <w:color w:val="231F20"/>
                <w:spacing w:val="-2"/>
                <w:w w:val="105"/>
                <w:sz w:val="16"/>
              </w:rPr>
              <w:t>position</w:t>
            </w:r>
          </w:p>
        </w:tc>
        <w:tc>
          <w:tcPr>
            <w:tcW w:w="1590" w:type="dxa"/>
          </w:tcPr>
          <w:p>
            <w:pPr>
              <w:pStyle w:val="TableParagraph"/>
              <w:spacing w:line="176" w:lineRule="exact" w:before="11"/>
              <w:ind w:right="169"/>
              <w:jc w:val="right"/>
              <w:rPr>
                <w:sz w:val="16"/>
              </w:rPr>
            </w:pPr>
            <w:r>
              <w:rPr>
                <w:color w:val="231F20"/>
                <w:spacing w:val="-2"/>
                <w:w w:val="105"/>
                <w:sz w:val="16"/>
              </w:rPr>
              <w:t>47,130</w:t>
            </w:r>
          </w:p>
        </w:tc>
        <w:tc>
          <w:tcPr>
            <w:tcW w:w="1408" w:type="dxa"/>
          </w:tcPr>
          <w:p>
            <w:pPr>
              <w:pStyle w:val="TableParagraph"/>
              <w:spacing w:line="176" w:lineRule="exact" w:before="11"/>
              <w:ind w:right="170"/>
              <w:jc w:val="right"/>
              <w:rPr>
                <w:sz w:val="16"/>
              </w:rPr>
            </w:pPr>
            <w:r>
              <w:rPr>
                <w:color w:val="231F20"/>
                <w:spacing w:val="-2"/>
                <w:w w:val="105"/>
                <w:sz w:val="16"/>
              </w:rPr>
              <w:t>57,608</w:t>
            </w:r>
          </w:p>
        </w:tc>
        <w:tc>
          <w:tcPr>
            <w:tcW w:w="1408" w:type="dxa"/>
          </w:tcPr>
          <w:p>
            <w:pPr>
              <w:pStyle w:val="TableParagraph"/>
              <w:spacing w:line="176" w:lineRule="exact" w:before="11"/>
              <w:ind w:right="111"/>
              <w:jc w:val="right"/>
              <w:rPr>
                <w:sz w:val="16"/>
              </w:rPr>
            </w:pPr>
            <w:r>
              <w:rPr>
                <w:color w:val="231F20"/>
                <w:spacing w:val="-2"/>
                <w:w w:val="105"/>
                <w:sz w:val="16"/>
              </w:rPr>
              <w:t>(10,478)</w:t>
            </w:r>
          </w:p>
        </w:tc>
        <w:tc>
          <w:tcPr>
            <w:tcW w:w="1066" w:type="dxa"/>
          </w:tcPr>
          <w:p>
            <w:pPr>
              <w:pStyle w:val="TableParagraph"/>
              <w:spacing w:line="176" w:lineRule="exact" w:before="11"/>
              <w:ind w:right="61"/>
              <w:jc w:val="right"/>
              <w:rPr>
                <w:sz w:val="16"/>
              </w:rPr>
            </w:pPr>
            <w:r>
              <w:rPr>
                <w:color w:val="231F20"/>
                <w:sz w:val="16"/>
              </w:rPr>
              <w:t>-</w:t>
            </w:r>
            <w:r>
              <w:rPr>
                <w:color w:val="231F20"/>
                <w:spacing w:val="-2"/>
                <w:w w:val="105"/>
                <w:sz w:val="16"/>
              </w:rPr>
              <w:t>18.2%</w:t>
            </w:r>
          </w:p>
        </w:tc>
      </w:tr>
      <w:tr>
        <w:trPr>
          <w:trHeight w:val="208" w:hRule="atLeast"/>
        </w:trPr>
        <w:tc>
          <w:tcPr>
            <w:tcW w:w="3939" w:type="dxa"/>
          </w:tcPr>
          <w:p>
            <w:pPr>
              <w:pStyle w:val="TableParagraph"/>
              <w:spacing w:line="176" w:lineRule="exact" w:before="12"/>
              <w:ind w:left="168"/>
              <w:rPr>
                <w:sz w:val="16"/>
              </w:rPr>
            </w:pPr>
            <w:r>
              <w:rPr>
                <w:color w:val="231F20"/>
                <w:w w:val="105"/>
                <w:sz w:val="16"/>
              </w:rPr>
              <w:t>Unrestricted</w:t>
            </w:r>
            <w:r>
              <w:rPr>
                <w:color w:val="231F20"/>
                <w:spacing w:val="-9"/>
                <w:w w:val="105"/>
                <w:sz w:val="16"/>
              </w:rPr>
              <w:t> </w:t>
            </w:r>
            <w:r>
              <w:rPr>
                <w:color w:val="231F20"/>
                <w:w w:val="105"/>
                <w:sz w:val="16"/>
              </w:rPr>
              <w:t>net</w:t>
            </w:r>
            <w:r>
              <w:rPr>
                <w:color w:val="231F20"/>
                <w:spacing w:val="-9"/>
                <w:w w:val="105"/>
                <w:sz w:val="16"/>
              </w:rPr>
              <w:t> </w:t>
            </w:r>
            <w:r>
              <w:rPr>
                <w:color w:val="231F20"/>
                <w:spacing w:val="-2"/>
                <w:w w:val="105"/>
                <w:sz w:val="16"/>
              </w:rPr>
              <w:t>position</w:t>
            </w:r>
          </w:p>
        </w:tc>
        <w:tc>
          <w:tcPr>
            <w:tcW w:w="1590" w:type="dxa"/>
          </w:tcPr>
          <w:p>
            <w:pPr>
              <w:pStyle w:val="TableParagraph"/>
              <w:tabs>
                <w:tab w:pos="584" w:val="left" w:leader="none"/>
              </w:tabs>
              <w:spacing w:line="176" w:lineRule="exact" w:before="12"/>
              <w:ind w:right="114"/>
              <w:jc w:val="right"/>
              <w:rPr>
                <w:sz w:val="16"/>
              </w:rPr>
            </w:pPr>
            <w:r>
              <w:rPr>
                <w:color w:val="231F20"/>
                <w:sz w:val="16"/>
                <w:u w:val="single" w:color="231F20"/>
              </w:rPr>
              <w:tab/>
            </w:r>
            <w:r>
              <w:rPr>
                <w:color w:val="231F20"/>
                <w:spacing w:val="-2"/>
                <w:w w:val="105"/>
                <w:sz w:val="16"/>
                <w:u w:val="single" w:color="231F20"/>
              </w:rPr>
              <w:t>(94,080)</w:t>
            </w:r>
          </w:p>
        </w:tc>
        <w:tc>
          <w:tcPr>
            <w:tcW w:w="1408" w:type="dxa"/>
          </w:tcPr>
          <w:p>
            <w:pPr>
              <w:pStyle w:val="TableParagraph"/>
              <w:tabs>
                <w:tab w:pos="584" w:val="left" w:leader="none"/>
              </w:tabs>
              <w:spacing w:line="176" w:lineRule="exact" w:before="12"/>
              <w:ind w:right="113"/>
              <w:jc w:val="right"/>
              <w:rPr>
                <w:sz w:val="16"/>
              </w:rPr>
            </w:pPr>
            <w:r>
              <w:rPr>
                <w:color w:val="231F20"/>
                <w:sz w:val="16"/>
                <w:u w:val="single" w:color="231F20"/>
              </w:rPr>
              <w:tab/>
            </w:r>
            <w:r>
              <w:rPr>
                <w:color w:val="231F20"/>
                <w:spacing w:val="-2"/>
                <w:w w:val="105"/>
                <w:sz w:val="16"/>
                <w:u w:val="single" w:color="231F20"/>
              </w:rPr>
              <w:t>(95,112)</w:t>
            </w:r>
          </w:p>
        </w:tc>
        <w:tc>
          <w:tcPr>
            <w:tcW w:w="1408" w:type="dxa"/>
          </w:tcPr>
          <w:p>
            <w:pPr>
              <w:pStyle w:val="TableParagraph"/>
              <w:tabs>
                <w:tab w:pos="819" w:val="left" w:leader="none"/>
              </w:tabs>
              <w:spacing w:line="176" w:lineRule="exact" w:before="12"/>
              <w:ind w:left="86"/>
              <w:rPr>
                <w:sz w:val="16"/>
              </w:rPr>
            </w:pPr>
            <w:r>
              <w:rPr>
                <w:color w:val="231F20"/>
                <w:sz w:val="16"/>
                <w:u w:val="single" w:color="231F20"/>
              </w:rPr>
              <w:tab/>
            </w:r>
            <w:r>
              <w:rPr>
                <w:color w:val="231F20"/>
                <w:spacing w:val="-4"/>
                <w:w w:val="105"/>
                <w:sz w:val="16"/>
                <w:u w:val="single" w:color="231F20"/>
              </w:rPr>
              <w:t>1,032</w:t>
            </w:r>
            <w:r>
              <w:rPr>
                <w:color w:val="231F20"/>
                <w:spacing w:val="80"/>
                <w:w w:val="105"/>
                <w:sz w:val="16"/>
                <w:u w:val="single" w:color="231F20"/>
              </w:rPr>
              <w:t> </w:t>
            </w:r>
          </w:p>
        </w:tc>
        <w:tc>
          <w:tcPr>
            <w:tcW w:w="1066" w:type="dxa"/>
          </w:tcPr>
          <w:p>
            <w:pPr>
              <w:pStyle w:val="TableParagraph"/>
              <w:tabs>
                <w:tab w:pos="480" w:val="left" w:leader="none"/>
              </w:tabs>
              <w:spacing w:line="176" w:lineRule="exact" w:before="12"/>
              <w:ind w:right="60"/>
              <w:jc w:val="right"/>
              <w:rPr>
                <w:sz w:val="16"/>
              </w:rPr>
            </w:pPr>
            <w:r>
              <w:rPr>
                <w:color w:val="231F20"/>
                <w:sz w:val="16"/>
                <w:u w:val="single" w:color="231F20"/>
              </w:rPr>
              <w:tab/>
              <w:t>-</w:t>
            </w:r>
            <w:r>
              <w:rPr>
                <w:color w:val="231F20"/>
                <w:spacing w:val="-4"/>
                <w:w w:val="105"/>
                <w:sz w:val="16"/>
                <w:u w:val="single" w:color="231F20"/>
              </w:rPr>
              <w:t>1.1%</w:t>
            </w:r>
          </w:p>
        </w:tc>
      </w:tr>
      <w:tr>
        <w:trPr>
          <w:trHeight w:val="208" w:hRule="atLeast"/>
        </w:trPr>
        <w:tc>
          <w:tcPr>
            <w:tcW w:w="3939" w:type="dxa"/>
          </w:tcPr>
          <w:p>
            <w:pPr>
              <w:pStyle w:val="TableParagraph"/>
              <w:spacing w:line="176" w:lineRule="exact" w:before="12"/>
              <w:ind w:left="402"/>
              <w:rPr>
                <w:sz w:val="16"/>
              </w:rPr>
            </w:pPr>
            <w:r>
              <w:rPr>
                <w:color w:val="231F20"/>
                <w:w w:val="105"/>
                <w:sz w:val="16"/>
              </w:rPr>
              <w:t>Total</w:t>
            </w:r>
            <w:r>
              <w:rPr>
                <w:color w:val="231F20"/>
                <w:spacing w:val="-6"/>
                <w:w w:val="105"/>
                <w:sz w:val="16"/>
              </w:rPr>
              <w:t> </w:t>
            </w:r>
            <w:r>
              <w:rPr>
                <w:color w:val="231F20"/>
                <w:w w:val="105"/>
                <w:sz w:val="16"/>
              </w:rPr>
              <w:t>net</w:t>
            </w:r>
            <w:r>
              <w:rPr>
                <w:color w:val="231F20"/>
                <w:spacing w:val="-5"/>
                <w:w w:val="105"/>
                <w:sz w:val="16"/>
              </w:rPr>
              <w:t> </w:t>
            </w:r>
            <w:r>
              <w:rPr>
                <w:color w:val="231F20"/>
                <w:spacing w:val="-2"/>
                <w:w w:val="105"/>
                <w:sz w:val="16"/>
              </w:rPr>
              <w:t>position</w:t>
            </w:r>
          </w:p>
        </w:tc>
        <w:tc>
          <w:tcPr>
            <w:tcW w:w="1590" w:type="dxa"/>
          </w:tcPr>
          <w:p>
            <w:pPr>
              <w:pStyle w:val="TableParagraph"/>
              <w:tabs>
                <w:tab w:pos="640" w:val="left" w:leader="none"/>
              </w:tabs>
              <w:spacing w:line="176" w:lineRule="exact" w:before="12"/>
              <w:ind w:right="81"/>
              <w:jc w:val="right"/>
              <w:rPr>
                <w:sz w:val="16"/>
              </w:rPr>
            </w:pPr>
            <w:r>
              <w:rPr>
                <w:color w:val="231F20"/>
                <w:sz w:val="16"/>
                <w:u w:val="single" w:color="231F20"/>
              </w:rPr>
              <w:tab/>
            </w:r>
            <w:r>
              <w:rPr>
                <w:color w:val="231F20"/>
                <w:spacing w:val="-2"/>
                <w:w w:val="105"/>
                <w:sz w:val="16"/>
                <w:u w:val="single" w:color="231F20"/>
              </w:rPr>
              <w:t>92,704</w:t>
            </w:r>
            <w:r>
              <w:rPr>
                <w:color w:val="231F20"/>
                <w:spacing w:val="80"/>
                <w:w w:val="105"/>
                <w:sz w:val="16"/>
                <w:u w:val="single" w:color="231F20"/>
              </w:rPr>
              <w:t> </w:t>
            </w:r>
          </w:p>
        </w:tc>
        <w:tc>
          <w:tcPr>
            <w:tcW w:w="1408" w:type="dxa"/>
          </w:tcPr>
          <w:p>
            <w:pPr>
              <w:pStyle w:val="TableParagraph"/>
              <w:tabs>
                <w:tab w:pos="547" w:val="left" w:leader="none"/>
              </w:tabs>
              <w:spacing w:line="176" w:lineRule="exact" w:before="12"/>
              <w:ind w:right="81"/>
              <w:jc w:val="right"/>
              <w:rPr>
                <w:sz w:val="16"/>
              </w:rPr>
            </w:pPr>
            <w:r>
              <w:rPr>
                <w:color w:val="231F20"/>
                <w:sz w:val="16"/>
                <w:u w:val="single" w:color="231F20"/>
              </w:rPr>
              <w:tab/>
            </w:r>
            <w:r>
              <w:rPr>
                <w:color w:val="231F20"/>
                <w:spacing w:val="-2"/>
                <w:w w:val="105"/>
                <w:sz w:val="16"/>
                <w:u w:val="single" w:color="231F20"/>
              </w:rPr>
              <w:t>102,276</w:t>
            </w:r>
            <w:r>
              <w:rPr>
                <w:color w:val="231F20"/>
                <w:spacing w:val="80"/>
                <w:w w:val="105"/>
                <w:sz w:val="16"/>
                <w:u w:val="single" w:color="231F20"/>
              </w:rPr>
              <w:t> </w:t>
            </w:r>
          </w:p>
        </w:tc>
        <w:tc>
          <w:tcPr>
            <w:tcW w:w="1408" w:type="dxa"/>
          </w:tcPr>
          <w:p>
            <w:pPr>
              <w:pStyle w:val="TableParagraph"/>
              <w:tabs>
                <w:tab w:pos="762" w:val="left" w:leader="none"/>
              </w:tabs>
              <w:spacing w:line="176" w:lineRule="exact" w:before="12"/>
              <w:ind w:left="86"/>
              <w:rPr>
                <w:sz w:val="16"/>
              </w:rPr>
            </w:pPr>
            <w:r>
              <w:rPr>
                <w:color w:val="231F20"/>
                <w:sz w:val="16"/>
                <w:u w:val="single" w:color="231F20"/>
              </w:rPr>
              <w:tab/>
            </w:r>
            <w:r>
              <w:rPr>
                <w:color w:val="231F20"/>
                <w:spacing w:val="-2"/>
                <w:w w:val="105"/>
                <w:sz w:val="16"/>
                <w:u w:val="single" w:color="231F20"/>
              </w:rPr>
              <w:t>(9,572)</w:t>
            </w:r>
          </w:p>
        </w:tc>
        <w:tc>
          <w:tcPr>
            <w:tcW w:w="1066" w:type="dxa"/>
          </w:tcPr>
          <w:p>
            <w:pPr>
              <w:pStyle w:val="TableParagraph"/>
              <w:tabs>
                <w:tab w:pos="480" w:val="left" w:leader="none"/>
              </w:tabs>
              <w:spacing w:line="176" w:lineRule="exact" w:before="12"/>
              <w:ind w:right="60"/>
              <w:jc w:val="right"/>
              <w:rPr>
                <w:sz w:val="16"/>
              </w:rPr>
            </w:pPr>
            <w:r>
              <w:rPr>
                <w:color w:val="231F20"/>
                <w:sz w:val="16"/>
                <w:u w:val="single" w:color="231F20"/>
              </w:rPr>
              <w:tab/>
              <w:t>-</w:t>
            </w:r>
            <w:r>
              <w:rPr>
                <w:color w:val="231F20"/>
                <w:spacing w:val="-4"/>
                <w:w w:val="105"/>
                <w:sz w:val="16"/>
                <w:u w:val="single" w:color="231F20"/>
              </w:rPr>
              <w:t>9.4%</w:t>
            </w:r>
          </w:p>
        </w:tc>
      </w:tr>
      <w:tr>
        <w:trPr>
          <w:trHeight w:val="457" w:hRule="atLeast"/>
        </w:trPr>
        <w:tc>
          <w:tcPr>
            <w:tcW w:w="3939" w:type="dxa"/>
          </w:tcPr>
          <w:p>
            <w:pPr>
              <w:pStyle w:val="TableParagraph"/>
              <w:spacing w:line="268" w:lineRule="auto" w:before="11"/>
              <w:ind w:left="519" w:right="92" w:hanging="118"/>
              <w:rPr>
                <w:sz w:val="16"/>
              </w:rPr>
            </w:pPr>
            <w:r>
              <w:rPr>
                <w:color w:val="231F20"/>
                <w:w w:val="105"/>
                <w:sz w:val="16"/>
              </w:rPr>
              <w:t>Total</w:t>
            </w:r>
            <w:r>
              <w:rPr>
                <w:color w:val="231F20"/>
                <w:spacing w:val="-11"/>
                <w:w w:val="105"/>
                <w:sz w:val="16"/>
              </w:rPr>
              <w:t> </w:t>
            </w:r>
            <w:r>
              <w:rPr>
                <w:color w:val="231F20"/>
                <w:w w:val="105"/>
                <w:sz w:val="16"/>
              </w:rPr>
              <w:t>assets,</w:t>
            </w:r>
            <w:r>
              <w:rPr>
                <w:color w:val="231F20"/>
                <w:spacing w:val="-11"/>
                <w:w w:val="105"/>
                <w:sz w:val="16"/>
              </w:rPr>
              <w:t> </w:t>
            </w:r>
            <w:r>
              <w:rPr>
                <w:color w:val="231F20"/>
                <w:w w:val="105"/>
                <w:sz w:val="16"/>
              </w:rPr>
              <w:t>liabilities,</w:t>
            </w:r>
            <w:r>
              <w:rPr>
                <w:color w:val="231F20"/>
                <w:spacing w:val="-11"/>
                <w:w w:val="105"/>
                <w:sz w:val="16"/>
              </w:rPr>
              <w:t> </w:t>
            </w:r>
            <w:r>
              <w:rPr>
                <w:color w:val="231F20"/>
                <w:w w:val="105"/>
                <w:sz w:val="16"/>
              </w:rPr>
              <w:t>deferred</w:t>
            </w:r>
            <w:r>
              <w:rPr>
                <w:color w:val="231F20"/>
                <w:spacing w:val="-11"/>
                <w:w w:val="105"/>
                <w:sz w:val="16"/>
              </w:rPr>
              <w:t> </w:t>
            </w:r>
            <w:r>
              <w:rPr>
                <w:color w:val="231F20"/>
                <w:w w:val="105"/>
                <w:sz w:val="16"/>
              </w:rPr>
              <w:t>inflows,</w:t>
            </w:r>
            <w:r>
              <w:rPr>
                <w:color w:val="231F20"/>
                <w:spacing w:val="-11"/>
                <w:w w:val="105"/>
                <w:sz w:val="16"/>
              </w:rPr>
              <w:t> </w:t>
            </w:r>
            <w:r>
              <w:rPr>
                <w:color w:val="231F20"/>
                <w:w w:val="105"/>
                <w:sz w:val="16"/>
              </w:rPr>
              <w:t>and net position</w:t>
            </w:r>
          </w:p>
        </w:tc>
        <w:tc>
          <w:tcPr>
            <w:tcW w:w="1590" w:type="dxa"/>
          </w:tcPr>
          <w:p>
            <w:pPr>
              <w:pStyle w:val="TableParagraph"/>
              <w:spacing w:before="9"/>
              <w:rPr>
                <w:sz w:val="18"/>
              </w:rPr>
            </w:pPr>
          </w:p>
          <w:p>
            <w:pPr>
              <w:pStyle w:val="TableParagraph"/>
              <w:tabs>
                <w:tab w:pos="545" w:val="left" w:leader="none"/>
              </w:tabs>
              <w:spacing w:before="1"/>
              <w:ind w:right="81"/>
              <w:jc w:val="right"/>
              <w:rPr>
                <w:sz w:val="16"/>
              </w:rPr>
            </w:pPr>
            <w:r>
              <w:rPr>
                <w:color w:val="231F20"/>
                <w:spacing w:val="40"/>
                <w:w w:val="105"/>
                <w:sz w:val="16"/>
                <w:u w:val="single" w:color="231F20"/>
              </w:rPr>
              <w:t> </w:t>
            </w:r>
            <w:r>
              <w:rPr>
                <w:color w:val="231F20"/>
                <w:spacing w:val="-12"/>
                <w:w w:val="105"/>
                <w:sz w:val="16"/>
                <w:u w:val="single" w:color="231F20"/>
              </w:rPr>
              <w:t>$</w:t>
            </w:r>
            <w:r>
              <w:rPr>
                <w:color w:val="231F20"/>
                <w:sz w:val="16"/>
                <w:u w:val="single" w:color="231F20"/>
              </w:rPr>
              <w:tab/>
            </w:r>
            <w:r>
              <w:rPr>
                <w:color w:val="231F20"/>
                <w:spacing w:val="-2"/>
                <w:w w:val="105"/>
                <w:sz w:val="16"/>
                <w:u w:val="single" w:color="231F20"/>
              </w:rPr>
              <w:t>423,199</w:t>
            </w:r>
            <w:r>
              <w:rPr>
                <w:color w:val="231F20"/>
                <w:spacing w:val="80"/>
                <w:w w:val="105"/>
                <w:sz w:val="16"/>
                <w:u w:val="single" w:color="231F20"/>
              </w:rPr>
              <w:t> </w:t>
            </w:r>
          </w:p>
        </w:tc>
        <w:tc>
          <w:tcPr>
            <w:tcW w:w="1408" w:type="dxa"/>
          </w:tcPr>
          <w:p>
            <w:pPr>
              <w:pStyle w:val="TableParagraph"/>
              <w:spacing w:before="9"/>
              <w:rPr>
                <w:sz w:val="18"/>
              </w:rPr>
            </w:pPr>
          </w:p>
          <w:p>
            <w:pPr>
              <w:pStyle w:val="TableParagraph"/>
              <w:tabs>
                <w:tab w:pos="547" w:val="left" w:leader="none"/>
              </w:tabs>
              <w:spacing w:before="1"/>
              <w:ind w:right="81"/>
              <w:jc w:val="right"/>
              <w:rPr>
                <w:sz w:val="16"/>
              </w:rPr>
            </w:pPr>
            <w:r>
              <w:rPr>
                <w:color w:val="231F20"/>
                <w:spacing w:val="41"/>
                <w:w w:val="105"/>
                <w:sz w:val="16"/>
                <w:u w:val="single" w:color="231F20"/>
              </w:rPr>
              <w:t> </w:t>
            </w:r>
            <w:r>
              <w:rPr>
                <w:color w:val="231F20"/>
                <w:spacing w:val="-10"/>
                <w:w w:val="105"/>
                <w:sz w:val="16"/>
                <w:u w:val="single" w:color="231F20"/>
              </w:rPr>
              <w:t>$</w:t>
            </w:r>
            <w:r>
              <w:rPr>
                <w:color w:val="231F20"/>
                <w:sz w:val="16"/>
                <w:u w:val="single" w:color="231F20"/>
              </w:rPr>
              <w:tab/>
            </w:r>
            <w:r>
              <w:rPr>
                <w:color w:val="231F20"/>
                <w:spacing w:val="-2"/>
                <w:w w:val="105"/>
                <w:sz w:val="16"/>
                <w:u w:val="single" w:color="231F20"/>
              </w:rPr>
              <w:t>454,854</w:t>
            </w:r>
            <w:r>
              <w:rPr>
                <w:color w:val="231F20"/>
                <w:spacing w:val="80"/>
                <w:w w:val="105"/>
                <w:sz w:val="16"/>
                <w:u w:val="single" w:color="231F20"/>
              </w:rPr>
              <w:t> </w:t>
            </w:r>
          </w:p>
        </w:tc>
        <w:tc>
          <w:tcPr>
            <w:tcW w:w="1408" w:type="dxa"/>
          </w:tcPr>
          <w:p>
            <w:pPr>
              <w:pStyle w:val="TableParagraph"/>
              <w:spacing w:before="9"/>
              <w:rPr>
                <w:sz w:val="18"/>
              </w:rPr>
            </w:pPr>
          </w:p>
          <w:p>
            <w:pPr>
              <w:pStyle w:val="TableParagraph"/>
              <w:tabs>
                <w:tab w:pos="670" w:val="left" w:leader="none"/>
              </w:tabs>
              <w:spacing w:before="1"/>
              <w:ind w:left="86"/>
              <w:rPr>
                <w:sz w:val="16"/>
              </w:rPr>
            </w:pPr>
            <w:r>
              <w:rPr>
                <w:color w:val="231F20"/>
                <w:spacing w:val="41"/>
                <w:w w:val="105"/>
                <w:sz w:val="16"/>
                <w:u w:val="single" w:color="231F20"/>
              </w:rPr>
              <w:t> </w:t>
            </w:r>
            <w:r>
              <w:rPr>
                <w:color w:val="231F20"/>
                <w:spacing w:val="-10"/>
                <w:w w:val="105"/>
                <w:sz w:val="16"/>
                <w:u w:val="single" w:color="231F20"/>
              </w:rPr>
              <w:t>$</w:t>
            </w:r>
            <w:r>
              <w:rPr>
                <w:color w:val="231F20"/>
                <w:sz w:val="16"/>
                <w:u w:val="single" w:color="231F20"/>
              </w:rPr>
              <w:tab/>
            </w:r>
            <w:r>
              <w:rPr>
                <w:color w:val="231F20"/>
                <w:spacing w:val="-2"/>
                <w:w w:val="105"/>
                <w:sz w:val="16"/>
                <w:u w:val="single" w:color="231F20"/>
              </w:rPr>
              <w:t>(31,655)</w:t>
            </w:r>
          </w:p>
        </w:tc>
        <w:tc>
          <w:tcPr>
            <w:tcW w:w="1066" w:type="dxa"/>
          </w:tcPr>
          <w:p>
            <w:pPr>
              <w:pStyle w:val="TableParagraph"/>
              <w:spacing w:before="9"/>
              <w:rPr>
                <w:sz w:val="18"/>
              </w:rPr>
            </w:pPr>
          </w:p>
          <w:p>
            <w:pPr>
              <w:pStyle w:val="TableParagraph"/>
              <w:tabs>
                <w:tab w:pos="479" w:val="left" w:leader="none"/>
              </w:tabs>
              <w:spacing w:before="1"/>
              <w:ind w:right="60"/>
              <w:jc w:val="right"/>
              <w:rPr>
                <w:sz w:val="16"/>
              </w:rPr>
            </w:pPr>
            <w:r>
              <w:rPr>
                <w:color w:val="231F20"/>
                <w:sz w:val="16"/>
                <w:u w:val="single" w:color="231F20"/>
              </w:rPr>
              <w:tab/>
              <w:t>-</w:t>
            </w:r>
            <w:r>
              <w:rPr>
                <w:color w:val="231F20"/>
                <w:spacing w:val="-4"/>
                <w:w w:val="105"/>
                <w:sz w:val="16"/>
                <w:u w:val="single" w:color="231F20"/>
              </w:rPr>
              <w:t>7.0%</w:t>
            </w:r>
          </w:p>
        </w:tc>
      </w:tr>
    </w:tbl>
    <w:p>
      <w:pPr>
        <w:spacing w:line="20" w:lineRule="exact"/>
        <w:ind w:left="5636" w:right="0" w:firstLine="0"/>
        <w:jc w:val="left"/>
        <w:rPr>
          <w:sz w:val="2"/>
        </w:rPr>
      </w:pPr>
      <w:r>
        <w:rPr>
          <w:sz w:val="2"/>
        </w:rPr>
        <w:pict>
          <v:group style="width:61.95pt;height:.8pt;mso-position-horizontal-relative:char;mso-position-vertical-relative:line" id="docshapegroup43" coordorigin="0,0" coordsize="1239,16">
            <v:rect style="position:absolute;left:0;top:0;width:1239;height:16" id="docshape44" filled="true" fillcolor="#231f20" stroked="false">
              <v:fill type="solid"/>
            </v:rect>
          </v:group>
        </w:pict>
      </w:r>
      <w:r>
        <w:rPr>
          <w:sz w:val="2"/>
        </w:rPr>
      </w:r>
      <w:r>
        <w:rPr>
          <w:rFonts w:ascii="Times New Roman"/>
          <w:spacing w:val="150"/>
          <w:sz w:val="2"/>
        </w:rPr>
        <w:t> </w:t>
      </w:r>
      <w:r>
        <w:rPr>
          <w:spacing w:val="150"/>
          <w:sz w:val="2"/>
        </w:rPr>
        <w:pict>
          <v:group style="width:62pt;height:.8pt;mso-position-horizontal-relative:char;mso-position-vertical-relative:line" id="docshapegroup45" coordorigin="0,0" coordsize="1240,16">
            <v:rect style="position:absolute;left:0;top:0;width:1240;height:16" id="docshape46" filled="true" fillcolor="#231f20" stroked="false">
              <v:fill type="solid"/>
            </v:rect>
          </v:group>
        </w:pict>
      </w:r>
      <w:r>
        <w:rPr>
          <w:spacing w:val="150"/>
          <w:sz w:val="2"/>
        </w:rPr>
      </w:r>
      <w:r>
        <w:rPr>
          <w:rFonts w:ascii="Times New Roman"/>
          <w:spacing w:val="151"/>
          <w:sz w:val="2"/>
        </w:rPr>
        <w:t> </w:t>
      </w:r>
      <w:r>
        <w:rPr>
          <w:spacing w:val="151"/>
          <w:sz w:val="2"/>
        </w:rPr>
        <w:pict>
          <v:group style="width:62pt;height:.8pt;mso-position-horizontal-relative:char;mso-position-vertical-relative:line" id="docshapegroup47" coordorigin="0,0" coordsize="1240,16">
            <v:rect style="position:absolute;left:0;top:0;width:1240;height:16" id="docshape48" filled="true" fillcolor="#231f20" stroked="false">
              <v:fill type="solid"/>
            </v:rect>
          </v:group>
        </w:pict>
      </w:r>
      <w:r>
        <w:rPr>
          <w:spacing w:val="151"/>
          <w:sz w:val="2"/>
        </w:rPr>
      </w:r>
      <w:r>
        <w:rPr>
          <w:rFonts w:ascii="Times New Roman"/>
          <w:spacing w:val="151"/>
          <w:sz w:val="2"/>
        </w:rPr>
        <w:t> </w:t>
      </w:r>
      <w:r>
        <w:rPr>
          <w:spacing w:val="151"/>
          <w:sz w:val="2"/>
        </w:rPr>
        <w:pict>
          <v:group style="width:47.4pt;height:.8pt;mso-position-horizontal-relative:char;mso-position-vertical-relative:line" id="docshapegroup49" coordorigin="0,0" coordsize="948,16">
            <v:rect style="position:absolute;left:0;top:0;width:948;height:16" id="docshape50" filled="true" fillcolor="#231f20" stroked="false">
              <v:fill type="solid"/>
            </v:rect>
          </v:group>
        </w:pict>
      </w:r>
      <w:r>
        <w:rPr>
          <w:spacing w:val="151"/>
          <w:sz w:val="2"/>
        </w:rPr>
      </w:r>
    </w:p>
    <w:p>
      <w:pPr>
        <w:pStyle w:val="BodyText"/>
        <w:spacing w:before="7"/>
        <w:rPr>
          <w:sz w:val="19"/>
        </w:rPr>
      </w:pPr>
    </w:p>
    <w:p>
      <w:pPr>
        <w:pStyle w:val="BodyText"/>
        <w:spacing w:line="276" w:lineRule="auto"/>
        <w:ind w:left="1440" w:right="1615"/>
      </w:pPr>
      <w:r>
        <w:rPr>
          <w:color w:val="231F20"/>
        </w:rPr>
        <w:t>Total</w:t>
      </w:r>
      <w:r>
        <w:rPr>
          <w:color w:val="231F20"/>
          <w:spacing w:val="-14"/>
        </w:rPr>
        <w:t> </w:t>
      </w:r>
      <w:r>
        <w:rPr>
          <w:color w:val="231F20"/>
        </w:rPr>
        <w:t>assets</w:t>
      </w:r>
      <w:r>
        <w:rPr>
          <w:color w:val="231F20"/>
          <w:spacing w:val="-14"/>
        </w:rPr>
        <w:t> </w:t>
      </w:r>
      <w:r>
        <w:rPr>
          <w:color w:val="231F20"/>
        </w:rPr>
        <w:t>decreased</w:t>
      </w:r>
      <w:r>
        <w:rPr>
          <w:color w:val="231F20"/>
          <w:spacing w:val="-15"/>
        </w:rPr>
        <w:t> </w:t>
      </w:r>
      <w:r>
        <w:rPr>
          <w:color w:val="231F20"/>
        </w:rPr>
        <w:t>by</w:t>
      </w:r>
      <w:r>
        <w:rPr>
          <w:color w:val="231F20"/>
          <w:spacing w:val="-14"/>
        </w:rPr>
        <w:t> </w:t>
      </w:r>
      <w:r>
        <w:rPr>
          <w:color w:val="231F20"/>
        </w:rPr>
        <w:t>$3.0</w:t>
      </w:r>
      <w:r>
        <w:rPr>
          <w:color w:val="231F20"/>
          <w:spacing w:val="-14"/>
        </w:rPr>
        <w:t> </w:t>
      </w:r>
      <w:r>
        <w:rPr>
          <w:color w:val="231F20"/>
        </w:rPr>
        <w:t>million,</w:t>
      </w:r>
      <w:r>
        <w:rPr>
          <w:color w:val="231F20"/>
          <w:spacing w:val="-14"/>
        </w:rPr>
        <w:t> </w:t>
      </w:r>
      <w:r>
        <w:rPr>
          <w:color w:val="231F20"/>
        </w:rPr>
        <w:t>or</w:t>
      </w:r>
      <w:r>
        <w:rPr>
          <w:color w:val="231F20"/>
          <w:spacing w:val="-14"/>
        </w:rPr>
        <w:t> </w:t>
      </w:r>
      <w:r>
        <w:rPr>
          <w:color w:val="231F20"/>
        </w:rPr>
        <w:t>0.9</w:t>
      </w:r>
      <w:r>
        <w:rPr>
          <w:color w:val="231F20"/>
          <w:spacing w:val="-16"/>
        </w:rPr>
        <w:t> </w:t>
      </w:r>
      <w:r>
        <w:rPr>
          <w:color w:val="231F20"/>
        </w:rPr>
        <w:t>percent.</w:t>
      </w:r>
      <w:r>
        <w:rPr>
          <w:color w:val="231F20"/>
          <w:spacing w:val="-14"/>
        </w:rPr>
        <w:t> </w:t>
      </w:r>
      <w:r>
        <w:rPr>
          <w:color w:val="231F20"/>
        </w:rPr>
        <w:t>Several</w:t>
      </w:r>
      <w:r>
        <w:rPr>
          <w:color w:val="231F20"/>
          <w:spacing w:val="-14"/>
        </w:rPr>
        <w:t> </w:t>
      </w:r>
      <w:r>
        <w:rPr>
          <w:color w:val="231F20"/>
        </w:rPr>
        <w:t>categories</w:t>
      </w:r>
      <w:r>
        <w:rPr>
          <w:color w:val="231F20"/>
          <w:spacing w:val="-14"/>
        </w:rPr>
        <w:t> </w:t>
      </w:r>
      <w:r>
        <w:rPr>
          <w:color w:val="231F20"/>
        </w:rPr>
        <w:t>in</w:t>
      </w:r>
      <w:r>
        <w:rPr>
          <w:color w:val="231F20"/>
          <w:spacing w:val="-13"/>
        </w:rPr>
        <w:t> </w:t>
      </w:r>
      <w:r>
        <w:rPr>
          <w:color w:val="231F20"/>
        </w:rPr>
        <w:t>the</w:t>
      </w:r>
      <w:r>
        <w:rPr>
          <w:color w:val="231F20"/>
          <w:spacing w:val="-14"/>
        </w:rPr>
        <w:t> </w:t>
      </w:r>
      <w:r>
        <w:rPr>
          <w:color w:val="231F20"/>
        </w:rPr>
        <w:t>asset</w:t>
      </w:r>
      <w:r>
        <w:rPr>
          <w:color w:val="231F20"/>
          <w:spacing w:val="-14"/>
        </w:rPr>
        <w:t> </w:t>
      </w:r>
      <w:r>
        <w:rPr>
          <w:color w:val="231F20"/>
        </w:rPr>
        <w:t>classification changed during the fiscal year.</w:t>
      </w:r>
    </w:p>
    <w:p>
      <w:pPr>
        <w:pStyle w:val="BodyText"/>
        <w:rPr>
          <w:sz w:val="23"/>
        </w:rPr>
      </w:pPr>
    </w:p>
    <w:p>
      <w:pPr>
        <w:pStyle w:val="ListParagraph"/>
        <w:numPr>
          <w:ilvl w:val="0"/>
          <w:numId w:val="3"/>
        </w:numPr>
        <w:tabs>
          <w:tab w:pos="2159" w:val="left" w:leader="none"/>
          <w:tab w:pos="2161" w:val="left" w:leader="none"/>
        </w:tabs>
        <w:spacing w:line="240" w:lineRule="auto" w:before="0" w:after="0"/>
        <w:ind w:left="2160" w:right="0" w:hanging="361"/>
        <w:jc w:val="left"/>
        <w:rPr>
          <w:sz w:val="20"/>
        </w:rPr>
      </w:pPr>
      <w:r>
        <w:rPr>
          <w:color w:val="231F20"/>
          <w:sz w:val="20"/>
        </w:rPr>
        <w:t>Current</w:t>
      </w:r>
      <w:r>
        <w:rPr>
          <w:color w:val="231F20"/>
          <w:spacing w:val="-12"/>
          <w:sz w:val="20"/>
        </w:rPr>
        <w:t> </w:t>
      </w:r>
      <w:r>
        <w:rPr>
          <w:color w:val="231F20"/>
          <w:sz w:val="20"/>
        </w:rPr>
        <w:t>assets</w:t>
      </w:r>
      <w:r>
        <w:rPr>
          <w:color w:val="231F20"/>
          <w:spacing w:val="-5"/>
          <w:sz w:val="20"/>
        </w:rPr>
        <w:t> </w:t>
      </w:r>
      <w:r>
        <w:rPr>
          <w:color w:val="231F20"/>
          <w:sz w:val="20"/>
        </w:rPr>
        <w:t>increased</w:t>
      </w:r>
      <w:r>
        <w:rPr>
          <w:color w:val="231F20"/>
          <w:spacing w:val="-7"/>
          <w:sz w:val="20"/>
        </w:rPr>
        <w:t> </w:t>
      </w:r>
      <w:r>
        <w:rPr>
          <w:color w:val="231F20"/>
          <w:sz w:val="20"/>
        </w:rPr>
        <w:t>by</w:t>
      </w:r>
      <w:r>
        <w:rPr>
          <w:color w:val="231F20"/>
          <w:spacing w:val="-5"/>
          <w:sz w:val="20"/>
        </w:rPr>
        <w:t> </w:t>
      </w:r>
      <w:r>
        <w:rPr>
          <w:color w:val="231F20"/>
          <w:sz w:val="20"/>
        </w:rPr>
        <w:t>$10.7</w:t>
      </w:r>
      <w:r>
        <w:rPr>
          <w:color w:val="231F20"/>
          <w:spacing w:val="-6"/>
          <w:sz w:val="20"/>
        </w:rPr>
        <w:t> </w:t>
      </w:r>
      <w:r>
        <w:rPr>
          <w:color w:val="231F20"/>
          <w:sz w:val="20"/>
        </w:rPr>
        <w:t>million,</w:t>
      </w:r>
      <w:r>
        <w:rPr>
          <w:color w:val="231F20"/>
          <w:spacing w:val="-6"/>
          <w:sz w:val="20"/>
        </w:rPr>
        <w:t> </w:t>
      </w:r>
      <w:r>
        <w:rPr>
          <w:color w:val="231F20"/>
          <w:sz w:val="20"/>
        </w:rPr>
        <w:t>or</w:t>
      </w:r>
      <w:r>
        <w:rPr>
          <w:color w:val="231F20"/>
          <w:spacing w:val="-6"/>
          <w:sz w:val="20"/>
        </w:rPr>
        <w:t> </w:t>
      </w:r>
      <w:r>
        <w:rPr>
          <w:color w:val="231F20"/>
          <w:sz w:val="20"/>
        </w:rPr>
        <w:t>14.4</w:t>
      </w:r>
      <w:r>
        <w:rPr>
          <w:color w:val="231F20"/>
          <w:spacing w:val="-7"/>
          <w:sz w:val="20"/>
        </w:rPr>
        <w:t> </w:t>
      </w:r>
      <w:r>
        <w:rPr>
          <w:color w:val="231F20"/>
          <w:sz w:val="20"/>
        </w:rPr>
        <w:t>percent,</w:t>
      </w:r>
      <w:r>
        <w:rPr>
          <w:color w:val="231F20"/>
          <w:spacing w:val="-6"/>
          <w:sz w:val="20"/>
        </w:rPr>
        <w:t> </w:t>
      </w:r>
      <w:r>
        <w:rPr>
          <w:color w:val="231F20"/>
          <w:sz w:val="20"/>
        </w:rPr>
        <w:t>due</w:t>
      </w:r>
      <w:r>
        <w:rPr>
          <w:color w:val="231F20"/>
          <w:spacing w:val="-6"/>
          <w:sz w:val="20"/>
        </w:rPr>
        <w:t> </w:t>
      </w:r>
      <w:r>
        <w:rPr>
          <w:color w:val="231F20"/>
          <w:sz w:val="20"/>
        </w:rPr>
        <w:t>to</w:t>
      </w:r>
      <w:r>
        <w:rPr>
          <w:color w:val="231F20"/>
          <w:spacing w:val="-6"/>
          <w:sz w:val="20"/>
        </w:rPr>
        <w:t> </w:t>
      </w:r>
      <w:r>
        <w:rPr>
          <w:color w:val="231F20"/>
          <w:sz w:val="20"/>
        </w:rPr>
        <w:t>normal</w:t>
      </w:r>
      <w:r>
        <w:rPr>
          <w:color w:val="231F20"/>
          <w:spacing w:val="-6"/>
          <w:sz w:val="20"/>
        </w:rPr>
        <w:t> </w:t>
      </w:r>
      <w:r>
        <w:rPr>
          <w:color w:val="231F20"/>
          <w:sz w:val="20"/>
        </w:rPr>
        <w:t>operating</w:t>
      </w:r>
      <w:r>
        <w:rPr>
          <w:color w:val="231F20"/>
          <w:spacing w:val="-20"/>
          <w:sz w:val="20"/>
        </w:rPr>
        <w:t> </w:t>
      </w:r>
      <w:r>
        <w:rPr>
          <w:color w:val="231F20"/>
          <w:spacing w:val="-2"/>
          <w:sz w:val="20"/>
        </w:rPr>
        <w:t>activities.</w:t>
      </w:r>
    </w:p>
    <w:p>
      <w:pPr>
        <w:pStyle w:val="ListParagraph"/>
        <w:numPr>
          <w:ilvl w:val="0"/>
          <w:numId w:val="3"/>
        </w:numPr>
        <w:tabs>
          <w:tab w:pos="2159" w:val="left" w:leader="none"/>
          <w:tab w:pos="2161" w:val="left" w:leader="none"/>
        </w:tabs>
        <w:spacing w:line="271" w:lineRule="auto" w:before="32" w:after="0"/>
        <w:ind w:left="2159" w:right="945" w:hanging="360"/>
        <w:jc w:val="left"/>
        <w:rPr>
          <w:sz w:val="20"/>
        </w:rPr>
      </w:pPr>
      <w:r>
        <w:rPr>
          <w:color w:val="231F20"/>
          <w:sz w:val="20"/>
        </w:rPr>
        <w:t>Capital</w:t>
      </w:r>
      <w:r>
        <w:rPr>
          <w:color w:val="231F20"/>
          <w:spacing w:val="-3"/>
          <w:sz w:val="20"/>
        </w:rPr>
        <w:t> </w:t>
      </w:r>
      <w:r>
        <w:rPr>
          <w:color w:val="231F20"/>
          <w:sz w:val="20"/>
        </w:rPr>
        <w:t>assets</w:t>
      </w:r>
      <w:r>
        <w:rPr>
          <w:color w:val="231F20"/>
          <w:spacing w:val="-2"/>
          <w:sz w:val="20"/>
        </w:rPr>
        <w:t> </w:t>
      </w:r>
      <w:r>
        <w:rPr>
          <w:color w:val="231F20"/>
          <w:sz w:val="20"/>
        </w:rPr>
        <w:t>decreased</w:t>
      </w:r>
      <w:r>
        <w:rPr>
          <w:color w:val="231F20"/>
          <w:spacing w:val="-4"/>
          <w:sz w:val="20"/>
        </w:rPr>
        <w:t> </w:t>
      </w:r>
      <w:r>
        <w:rPr>
          <w:color w:val="231F20"/>
          <w:sz w:val="20"/>
        </w:rPr>
        <w:t>by</w:t>
      </w:r>
      <w:r>
        <w:rPr>
          <w:color w:val="231F20"/>
          <w:spacing w:val="-3"/>
          <w:sz w:val="20"/>
        </w:rPr>
        <w:t> </w:t>
      </w:r>
      <w:r>
        <w:rPr>
          <w:color w:val="231F20"/>
          <w:sz w:val="20"/>
        </w:rPr>
        <w:t>$2.0</w:t>
      </w:r>
      <w:r>
        <w:rPr>
          <w:color w:val="231F20"/>
          <w:spacing w:val="-3"/>
          <w:sz w:val="20"/>
        </w:rPr>
        <w:t> </w:t>
      </w:r>
      <w:r>
        <w:rPr>
          <w:color w:val="231F20"/>
          <w:sz w:val="20"/>
        </w:rPr>
        <w:t>million,</w:t>
      </w:r>
      <w:r>
        <w:rPr>
          <w:color w:val="231F20"/>
          <w:spacing w:val="-3"/>
          <w:sz w:val="20"/>
        </w:rPr>
        <w:t> </w:t>
      </w:r>
      <w:r>
        <w:rPr>
          <w:color w:val="231F20"/>
          <w:sz w:val="20"/>
        </w:rPr>
        <w:t>or</w:t>
      </w:r>
      <w:r>
        <w:rPr>
          <w:color w:val="231F20"/>
          <w:spacing w:val="-3"/>
          <w:sz w:val="20"/>
        </w:rPr>
        <w:t> </w:t>
      </w:r>
      <w:r>
        <w:rPr>
          <w:color w:val="231F20"/>
          <w:sz w:val="20"/>
        </w:rPr>
        <w:t>1.3</w:t>
      </w:r>
      <w:r>
        <w:rPr>
          <w:color w:val="231F20"/>
          <w:spacing w:val="-3"/>
          <w:sz w:val="20"/>
        </w:rPr>
        <w:t> </w:t>
      </w:r>
      <w:r>
        <w:rPr>
          <w:color w:val="231F20"/>
          <w:sz w:val="20"/>
        </w:rPr>
        <w:t>percent.</w:t>
      </w:r>
      <w:r>
        <w:rPr>
          <w:color w:val="231F20"/>
          <w:spacing w:val="-3"/>
          <w:sz w:val="20"/>
        </w:rPr>
        <w:t> </w:t>
      </w:r>
      <w:r>
        <w:rPr>
          <w:color w:val="231F20"/>
          <w:sz w:val="20"/>
        </w:rPr>
        <w:t>This</w:t>
      </w:r>
      <w:r>
        <w:rPr>
          <w:color w:val="231F20"/>
          <w:spacing w:val="-3"/>
          <w:sz w:val="20"/>
        </w:rPr>
        <w:t> </w:t>
      </w:r>
      <w:r>
        <w:rPr>
          <w:color w:val="231F20"/>
          <w:sz w:val="20"/>
        </w:rPr>
        <w:t>is</w:t>
      </w:r>
      <w:r>
        <w:rPr>
          <w:color w:val="231F20"/>
          <w:spacing w:val="-3"/>
          <w:sz w:val="20"/>
        </w:rPr>
        <w:t> </w:t>
      </w:r>
      <w:r>
        <w:rPr>
          <w:color w:val="231F20"/>
          <w:sz w:val="20"/>
        </w:rPr>
        <w:t>primarily</w:t>
      </w:r>
      <w:r>
        <w:rPr>
          <w:color w:val="231F20"/>
          <w:spacing w:val="-3"/>
          <w:sz w:val="20"/>
        </w:rPr>
        <w:t> </w:t>
      </w:r>
      <w:r>
        <w:rPr>
          <w:color w:val="231F20"/>
          <w:sz w:val="20"/>
        </w:rPr>
        <w:t>due</w:t>
      </w:r>
      <w:r>
        <w:rPr>
          <w:color w:val="231F20"/>
          <w:spacing w:val="-3"/>
          <w:sz w:val="20"/>
        </w:rPr>
        <w:t> </w:t>
      </w:r>
      <w:r>
        <w:rPr>
          <w:color w:val="231F20"/>
          <w:sz w:val="20"/>
        </w:rPr>
        <w:t>to</w:t>
      </w:r>
      <w:r>
        <w:rPr>
          <w:color w:val="231F20"/>
          <w:spacing w:val="-4"/>
          <w:sz w:val="20"/>
        </w:rPr>
        <w:t> </w:t>
      </w:r>
      <w:r>
        <w:rPr>
          <w:color w:val="231F20"/>
          <w:sz w:val="20"/>
        </w:rPr>
        <w:t>the</w:t>
      </w:r>
      <w:r>
        <w:rPr>
          <w:color w:val="231F20"/>
          <w:spacing w:val="-3"/>
          <w:sz w:val="20"/>
        </w:rPr>
        <w:t> </w:t>
      </w:r>
      <w:r>
        <w:rPr>
          <w:color w:val="231F20"/>
          <w:sz w:val="20"/>
        </w:rPr>
        <w:t>net</w:t>
      </w:r>
      <w:r>
        <w:rPr>
          <w:color w:val="231F20"/>
          <w:spacing w:val="-3"/>
          <w:sz w:val="20"/>
        </w:rPr>
        <w:t> </w:t>
      </w:r>
      <w:r>
        <w:rPr>
          <w:color w:val="231F20"/>
          <w:sz w:val="20"/>
        </w:rPr>
        <w:t>of</w:t>
      </w:r>
      <w:r>
        <w:rPr>
          <w:color w:val="231F20"/>
          <w:spacing w:val="-3"/>
          <w:sz w:val="20"/>
        </w:rPr>
        <w:t> </w:t>
      </w:r>
      <w:r>
        <w:rPr>
          <w:color w:val="231F20"/>
          <w:sz w:val="20"/>
        </w:rPr>
        <w:t>capital assets acquired throughout the fiscal year and the recording of</w:t>
      </w:r>
      <w:r>
        <w:rPr>
          <w:color w:val="231F20"/>
          <w:spacing w:val="-12"/>
          <w:sz w:val="20"/>
        </w:rPr>
        <w:t> </w:t>
      </w:r>
      <w:r>
        <w:rPr>
          <w:color w:val="231F20"/>
          <w:sz w:val="20"/>
        </w:rPr>
        <w:t>depreciation.</w:t>
      </w:r>
    </w:p>
    <w:p>
      <w:pPr>
        <w:pStyle w:val="ListParagraph"/>
        <w:numPr>
          <w:ilvl w:val="0"/>
          <w:numId w:val="3"/>
        </w:numPr>
        <w:tabs>
          <w:tab w:pos="2159" w:val="left" w:leader="none"/>
          <w:tab w:pos="2161" w:val="left" w:leader="none"/>
        </w:tabs>
        <w:spacing w:line="271" w:lineRule="auto" w:before="7" w:after="0"/>
        <w:ind w:left="2160" w:right="1084" w:hanging="361"/>
        <w:jc w:val="left"/>
        <w:rPr>
          <w:sz w:val="20"/>
        </w:rPr>
      </w:pPr>
      <w:r>
        <w:rPr>
          <w:color w:val="231F20"/>
          <w:sz w:val="20"/>
        </w:rPr>
        <w:t>Other</w:t>
      </w:r>
      <w:r>
        <w:rPr>
          <w:color w:val="231F20"/>
          <w:spacing w:val="-3"/>
          <w:sz w:val="20"/>
        </w:rPr>
        <w:t> </w:t>
      </w:r>
      <w:r>
        <w:rPr>
          <w:color w:val="231F20"/>
          <w:sz w:val="20"/>
        </w:rPr>
        <w:t>noncurrent</w:t>
      </w:r>
      <w:r>
        <w:rPr>
          <w:color w:val="231F20"/>
          <w:spacing w:val="-3"/>
          <w:sz w:val="20"/>
        </w:rPr>
        <w:t> </w:t>
      </w:r>
      <w:r>
        <w:rPr>
          <w:color w:val="231F20"/>
          <w:sz w:val="20"/>
        </w:rPr>
        <w:t>assets</w:t>
      </w:r>
      <w:r>
        <w:rPr>
          <w:color w:val="231F20"/>
          <w:spacing w:val="-3"/>
          <w:sz w:val="20"/>
        </w:rPr>
        <w:t> </w:t>
      </w:r>
      <w:r>
        <w:rPr>
          <w:color w:val="231F20"/>
          <w:sz w:val="20"/>
        </w:rPr>
        <w:t>decreased</w:t>
      </w:r>
      <w:r>
        <w:rPr>
          <w:color w:val="231F20"/>
          <w:spacing w:val="-3"/>
          <w:sz w:val="20"/>
        </w:rPr>
        <w:t> </w:t>
      </w:r>
      <w:r>
        <w:rPr>
          <w:color w:val="231F20"/>
          <w:sz w:val="20"/>
        </w:rPr>
        <w:t>by</w:t>
      </w:r>
      <w:r>
        <w:rPr>
          <w:color w:val="231F20"/>
          <w:spacing w:val="-3"/>
          <w:sz w:val="20"/>
        </w:rPr>
        <w:t> </w:t>
      </w:r>
      <w:r>
        <w:rPr>
          <w:color w:val="231F20"/>
          <w:sz w:val="20"/>
        </w:rPr>
        <w:t>$11.7</w:t>
      </w:r>
      <w:r>
        <w:rPr>
          <w:color w:val="231F20"/>
          <w:spacing w:val="-3"/>
          <w:sz w:val="20"/>
        </w:rPr>
        <w:t> </w:t>
      </w:r>
      <w:r>
        <w:rPr>
          <w:color w:val="231F20"/>
          <w:sz w:val="20"/>
        </w:rPr>
        <w:t>million,</w:t>
      </w:r>
      <w:r>
        <w:rPr>
          <w:color w:val="231F20"/>
          <w:spacing w:val="-4"/>
          <w:sz w:val="20"/>
        </w:rPr>
        <w:t> </w:t>
      </w:r>
      <w:r>
        <w:rPr>
          <w:color w:val="231F20"/>
          <w:sz w:val="20"/>
        </w:rPr>
        <w:t>or</w:t>
      </w:r>
      <w:r>
        <w:rPr>
          <w:color w:val="231F20"/>
          <w:spacing w:val="-3"/>
          <w:sz w:val="20"/>
        </w:rPr>
        <w:t> </w:t>
      </w:r>
      <w:r>
        <w:rPr>
          <w:color w:val="231F20"/>
          <w:sz w:val="20"/>
        </w:rPr>
        <w:t>12.4</w:t>
      </w:r>
      <w:r>
        <w:rPr>
          <w:color w:val="231F20"/>
          <w:spacing w:val="-3"/>
          <w:sz w:val="20"/>
        </w:rPr>
        <w:t> </w:t>
      </w:r>
      <w:r>
        <w:rPr>
          <w:color w:val="231F20"/>
          <w:sz w:val="20"/>
        </w:rPr>
        <w:t>percent.</w:t>
      </w:r>
      <w:r>
        <w:rPr>
          <w:color w:val="231F20"/>
          <w:spacing w:val="-3"/>
          <w:sz w:val="20"/>
        </w:rPr>
        <w:t> </w:t>
      </w:r>
      <w:r>
        <w:rPr>
          <w:color w:val="231F20"/>
          <w:sz w:val="20"/>
        </w:rPr>
        <w:t>The</w:t>
      </w:r>
      <w:r>
        <w:rPr>
          <w:color w:val="231F20"/>
          <w:spacing w:val="-3"/>
          <w:sz w:val="20"/>
        </w:rPr>
        <w:t> </w:t>
      </w:r>
      <w:r>
        <w:rPr>
          <w:color w:val="231F20"/>
          <w:sz w:val="20"/>
        </w:rPr>
        <w:t>decrease</w:t>
      </w:r>
      <w:r>
        <w:rPr>
          <w:color w:val="231F20"/>
          <w:spacing w:val="-3"/>
          <w:sz w:val="20"/>
        </w:rPr>
        <w:t> </w:t>
      </w:r>
      <w:r>
        <w:rPr>
          <w:color w:val="231F20"/>
          <w:sz w:val="20"/>
        </w:rPr>
        <w:t>was</w:t>
      </w:r>
      <w:r>
        <w:rPr>
          <w:color w:val="231F20"/>
          <w:spacing w:val="-3"/>
          <w:sz w:val="20"/>
        </w:rPr>
        <w:t> </w:t>
      </w:r>
      <w:r>
        <w:rPr>
          <w:color w:val="231F20"/>
          <w:sz w:val="20"/>
        </w:rPr>
        <w:t>mainly due to the investment market volatility in the year.</w:t>
      </w:r>
    </w:p>
    <w:p>
      <w:pPr>
        <w:spacing w:after="0" w:line="271" w:lineRule="auto"/>
        <w:jc w:val="left"/>
        <w:rPr>
          <w:sz w:val="20"/>
        </w:rPr>
        <w:sectPr>
          <w:headerReference w:type="default" r:id="rId23"/>
          <w:footerReference w:type="default" r:id="rId24"/>
          <w:pgSz w:w="12240" w:h="15840"/>
          <w:pgMar w:header="994" w:footer="1097" w:top="1900" w:bottom="1280" w:left="0" w:right="580"/>
        </w:sectPr>
      </w:pPr>
    </w:p>
    <w:p>
      <w:pPr>
        <w:pStyle w:val="BodyText"/>
      </w:pPr>
    </w:p>
    <w:p>
      <w:pPr>
        <w:pStyle w:val="BodyText"/>
        <w:spacing w:before="2"/>
        <w:rPr>
          <w:sz w:val="26"/>
        </w:rPr>
      </w:pPr>
    </w:p>
    <w:tbl>
      <w:tblPr>
        <w:tblW w:w="0" w:type="auto"/>
        <w:jc w:val="left"/>
        <w:tblInd w:w="2700" w:type="dxa"/>
        <w:tblBorders>
          <w:top w:val="single" w:sz="4" w:space="0" w:color="87898C"/>
          <w:left w:val="single" w:sz="4" w:space="0" w:color="87898C"/>
          <w:bottom w:val="single" w:sz="4" w:space="0" w:color="87898C"/>
          <w:right w:val="single" w:sz="4" w:space="0" w:color="87898C"/>
          <w:insideH w:val="single" w:sz="4" w:space="0" w:color="87898C"/>
          <w:insideV w:val="single" w:sz="4" w:space="0" w:color="87898C"/>
        </w:tblBorders>
        <w:tblLayout w:type="fixed"/>
        <w:tblCellMar>
          <w:top w:w="0" w:type="dxa"/>
          <w:left w:w="0" w:type="dxa"/>
          <w:bottom w:w="0" w:type="dxa"/>
          <w:right w:w="0" w:type="dxa"/>
        </w:tblCellMar>
        <w:tblLook w:val="01E0"/>
      </w:tblPr>
      <w:tblGrid>
        <w:gridCol w:w="656"/>
        <w:gridCol w:w="1250"/>
        <w:gridCol w:w="1406"/>
        <w:gridCol w:w="1406"/>
        <w:gridCol w:w="1406"/>
        <w:gridCol w:w="726"/>
      </w:tblGrid>
      <w:tr>
        <w:trPr>
          <w:trHeight w:val="3177" w:hRule="atLeast"/>
        </w:trPr>
        <w:tc>
          <w:tcPr>
            <w:tcW w:w="6850" w:type="dxa"/>
            <w:gridSpan w:val="6"/>
            <w:tcBorders>
              <w:bottom w:val="nil"/>
            </w:tcBorders>
          </w:tcPr>
          <w:p>
            <w:pPr>
              <w:pStyle w:val="TableParagraph"/>
              <w:spacing w:before="17"/>
              <w:ind w:left="48"/>
              <w:jc w:val="center"/>
              <w:rPr>
                <w:rFonts w:ascii="Calibri"/>
                <w:b/>
                <w:sz w:val="18"/>
              </w:rPr>
            </w:pPr>
            <w:r>
              <w:rPr>
                <w:rFonts w:ascii="Calibri"/>
                <w:b/>
                <w:color w:val="231F20"/>
                <w:spacing w:val="-2"/>
                <w:w w:val="105"/>
                <w:sz w:val="18"/>
              </w:rPr>
              <w:t>Total</w:t>
            </w:r>
            <w:r>
              <w:rPr>
                <w:rFonts w:ascii="Calibri"/>
                <w:b/>
                <w:color w:val="231F20"/>
                <w:spacing w:val="-4"/>
                <w:w w:val="105"/>
                <w:sz w:val="18"/>
              </w:rPr>
              <w:t> </w:t>
            </w:r>
            <w:r>
              <w:rPr>
                <w:rFonts w:ascii="Calibri"/>
                <w:b/>
                <w:color w:val="231F20"/>
                <w:spacing w:val="-2"/>
                <w:w w:val="105"/>
                <w:sz w:val="18"/>
              </w:rPr>
              <w:t>Assets</w:t>
            </w:r>
            <w:r>
              <w:rPr>
                <w:rFonts w:ascii="Calibri"/>
                <w:b/>
                <w:color w:val="231F20"/>
                <w:spacing w:val="-8"/>
                <w:w w:val="105"/>
                <w:sz w:val="18"/>
              </w:rPr>
              <w:t> </w:t>
            </w:r>
            <w:r>
              <w:rPr>
                <w:rFonts w:ascii="Calibri"/>
                <w:b/>
                <w:color w:val="231F20"/>
                <w:spacing w:val="-2"/>
                <w:w w:val="105"/>
                <w:sz w:val="18"/>
              </w:rPr>
              <w:t>(in</w:t>
            </w:r>
            <w:r>
              <w:rPr>
                <w:rFonts w:ascii="Calibri"/>
                <w:b/>
                <w:color w:val="231F20"/>
                <w:spacing w:val="6"/>
                <w:w w:val="105"/>
                <w:sz w:val="18"/>
              </w:rPr>
              <w:t> </w:t>
            </w:r>
            <w:r>
              <w:rPr>
                <w:rFonts w:ascii="Calibri"/>
                <w:b/>
                <w:color w:val="231F20"/>
                <w:spacing w:val="-2"/>
                <w:w w:val="105"/>
                <w:sz w:val="18"/>
              </w:rPr>
              <w:t>thousands)</w:t>
            </w:r>
          </w:p>
          <w:p>
            <w:pPr>
              <w:pStyle w:val="TableParagraph"/>
              <w:rPr>
                <w:sz w:val="18"/>
              </w:rPr>
            </w:pPr>
          </w:p>
          <w:p>
            <w:pPr>
              <w:pStyle w:val="TableParagraph"/>
              <w:spacing w:before="7"/>
              <w:rPr>
                <w:sz w:val="14"/>
              </w:rPr>
            </w:pPr>
          </w:p>
          <w:p>
            <w:pPr>
              <w:pStyle w:val="TableParagraph"/>
              <w:tabs>
                <w:tab w:pos="2671" w:val="left" w:leader="none"/>
                <w:tab w:pos="4066" w:val="left" w:leader="none"/>
              </w:tabs>
              <w:spacing w:line="138" w:lineRule="exact"/>
              <w:ind w:left="1471"/>
              <w:rPr>
                <w:rFonts w:ascii="Calibri"/>
                <w:sz w:val="10"/>
              </w:rPr>
            </w:pPr>
            <w:r>
              <w:rPr>
                <w:rFonts w:ascii="Calibri"/>
                <w:color w:val="231F20"/>
                <w:spacing w:val="-2"/>
                <w:position w:val="4"/>
                <w:sz w:val="10"/>
              </w:rPr>
              <w:t>350,000</w:t>
            </w:r>
            <w:r>
              <w:rPr>
                <w:rFonts w:ascii="Calibri"/>
                <w:color w:val="231F20"/>
                <w:position w:val="4"/>
                <w:sz w:val="10"/>
              </w:rPr>
              <w:tab/>
            </w:r>
            <w:r>
              <w:rPr>
                <w:rFonts w:ascii="Calibri"/>
                <w:color w:val="231F20"/>
                <w:spacing w:val="-4"/>
                <w:sz w:val="10"/>
              </w:rPr>
              <w:t>2.0%</w:t>
            </w:r>
            <w:r>
              <w:rPr>
                <w:rFonts w:ascii="Calibri"/>
                <w:color w:val="231F20"/>
                <w:sz w:val="10"/>
              </w:rPr>
              <w:tab/>
            </w:r>
            <w:r>
              <w:rPr>
                <w:rFonts w:ascii="Calibri"/>
                <w:color w:val="231F20"/>
                <w:spacing w:val="-4"/>
                <w:position w:val="1"/>
                <w:sz w:val="10"/>
              </w:rPr>
              <w:t>1.2%</w:t>
            </w:r>
          </w:p>
          <w:p>
            <w:pPr>
              <w:pStyle w:val="TableParagraph"/>
              <w:tabs>
                <w:tab w:pos="4032" w:val="left" w:leader="none"/>
                <w:tab w:pos="5450" w:val="left" w:leader="none"/>
              </w:tabs>
              <w:spacing w:line="156" w:lineRule="auto"/>
              <w:ind w:left="2637"/>
              <w:rPr>
                <w:rFonts w:ascii="Calibri"/>
                <w:sz w:val="10"/>
              </w:rPr>
            </w:pPr>
            <w:r>
              <w:rPr>
                <w:rFonts w:ascii="Calibri"/>
                <w:color w:val="231F20"/>
                <w:spacing w:val="-4"/>
                <w:position w:val="-9"/>
                <w:sz w:val="10"/>
              </w:rPr>
              <w:t>7.6%</w:t>
            </w:r>
            <w:r>
              <w:rPr>
                <w:rFonts w:ascii="Calibri"/>
                <w:color w:val="231F20"/>
                <w:position w:val="-9"/>
                <w:sz w:val="10"/>
              </w:rPr>
              <w:tab/>
            </w:r>
            <w:r>
              <w:rPr>
                <w:rFonts w:ascii="Calibri"/>
                <w:color w:val="231F20"/>
                <w:spacing w:val="-4"/>
                <w:position w:val="-4"/>
                <w:sz w:val="10"/>
              </w:rPr>
              <w:t>5.4%</w:t>
            </w:r>
            <w:r>
              <w:rPr>
                <w:rFonts w:ascii="Calibri"/>
                <w:color w:val="231F20"/>
                <w:position w:val="-4"/>
                <w:sz w:val="10"/>
              </w:rPr>
              <w:tab/>
            </w:r>
            <w:r>
              <w:rPr>
                <w:rFonts w:ascii="Calibri"/>
                <w:color w:val="231F20"/>
                <w:spacing w:val="-4"/>
                <w:sz w:val="10"/>
              </w:rPr>
              <w:t>1.0%</w:t>
            </w:r>
          </w:p>
          <w:p>
            <w:pPr>
              <w:pStyle w:val="TableParagraph"/>
              <w:spacing w:line="71" w:lineRule="exact"/>
              <w:ind w:left="5439"/>
              <w:rPr>
                <w:rFonts w:ascii="Calibri"/>
                <w:sz w:val="10"/>
              </w:rPr>
            </w:pPr>
            <w:r>
              <w:rPr>
                <w:rFonts w:ascii="Calibri"/>
                <w:color w:val="231F20"/>
                <w:spacing w:val="-4"/>
                <w:sz w:val="10"/>
              </w:rPr>
              <w:t>5.7%</w:t>
            </w:r>
          </w:p>
          <w:p>
            <w:pPr>
              <w:pStyle w:val="TableParagraph"/>
              <w:tabs>
                <w:tab w:pos="4009" w:val="left" w:leader="none"/>
              </w:tabs>
              <w:spacing w:line="101" w:lineRule="exact"/>
              <w:ind w:left="1471"/>
              <w:rPr>
                <w:rFonts w:ascii="Calibri"/>
                <w:sz w:val="10"/>
              </w:rPr>
            </w:pPr>
            <w:r>
              <w:rPr>
                <w:rFonts w:ascii="Calibri"/>
                <w:color w:val="231F20"/>
                <w:spacing w:val="-2"/>
                <w:sz w:val="10"/>
              </w:rPr>
              <w:t>300,000</w:t>
            </w:r>
            <w:r>
              <w:rPr>
                <w:rFonts w:ascii="Calibri"/>
                <w:color w:val="231F20"/>
                <w:sz w:val="10"/>
              </w:rPr>
              <w:tab/>
            </w:r>
            <w:r>
              <w:rPr>
                <w:rFonts w:ascii="Calibri"/>
                <w:color w:val="231F20"/>
                <w:spacing w:val="-4"/>
                <w:sz w:val="10"/>
              </w:rPr>
              <w:t>10.6%</w:t>
            </w:r>
          </w:p>
          <w:p>
            <w:pPr>
              <w:pStyle w:val="TableParagraph"/>
              <w:tabs>
                <w:tab w:pos="5415" w:val="left" w:leader="none"/>
              </w:tabs>
              <w:spacing w:line="204" w:lineRule="auto"/>
              <w:ind w:left="2603"/>
              <w:rPr>
                <w:rFonts w:ascii="Calibri"/>
                <w:sz w:val="10"/>
              </w:rPr>
            </w:pPr>
            <w:r>
              <w:rPr>
                <w:rFonts w:ascii="Calibri"/>
                <w:color w:val="231F20"/>
                <w:spacing w:val="-2"/>
                <w:sz w:val="10"/>
              </w:rPr>
              <w:t>11.2%</w:t>
            </w:r>
            <w:r>
              <w:rPr>
                <w:rFonts w:ascii="Calibri"/>
                <w:color w:val="231F20"/>
                <w:sz w:val="10"/>
              </w:rPr>
              <w:tab/>
            </w:r>
            <w:r>
              <w:rPr>
                <w:rFonts w:ascii="Calibri"/>
                <w:color w:val="231F20"/>
                <w:spacing w:val="-4"/>
                <w:position w:val="-2"/>
                <w:sz w:val="10"/>
              </w:rPr>
              <w:t>14.7%</w:t>
            </w:r>
          </w:p>
          <w:p>
            <w:pPr>
              <w:pStyle w:val="TableParagraph"/>
              <w:spacing w:before="90"/>
              <w:ind w:left="1471"/>
              <w:rPr>
                <w:rFonts w:ascii="Calibri"/>
                <w:sz w:val="10"/>
              </w:rPr>
            </w:pPr>
            <w:r>
              <w:rPr>
                <w:rFonts w:ascii="Calibri"/>
                <w:color w:val="231F20"/>
                <w:spacing w:val="-2"/>
                <w:sz w:val="10"/>
              </w:rPr>
              <w:t>250,000</w:t>
            </w:r>
          </w:p>
          <w:p>
            <w:pPr>
              <w:pStyle w:val="TableParagraph"/>
              <w:tabs>
                <w:tab w:pos="1438" w:val="left" w:leader="none"/>
              </w:tabs>
              <w:spacing w:line="127" w:lineRule="auto" w:before="64"/>
              <w:ind w:left="32"/>
              <w:jc w:val="center"/>
              <w:rPr>
                <w:rFonts w:ascii="Calibri"/>
                <w:sz w:val="10"/>
              </w:rPr>
            </w:pPr>
            <w:r>
              <w:rPr>
                <w:rFonts w:ascii="Calibri"/>
                <w:color w:val="231F20"/>
                <w:spacing w:val="-2"/>
                <w:position w:val="-5"/>
                <w:sz w:val="10"/>
              </w:rPr>
              <w:t>31.0%</w:t>
            </w:r>
            <w:r>
              <w:rPr>
                <w:rFonts w:ascii="Calibri"/>
                <w:color w:val="231F20"/>
                <w:position w:val="-5"/>
                <w:sz w:val="10"/>
              </w:rPr>
              <w:tab/>
            </w:r>
            <w:r>
              <w:rPr>
                <w:rFonts w:ascii="Calibri"/>
                <w:color w:val="231F20"/>
                <w:spacing w:val="-4"/>
                <w:sz w:val="10"/>
              </w:rPr>
              <w:t>34.4%</w:t>
            </w:r>
          </w:p>
          <w:p>
            <w:pPr>
              <w:pStyle w:val="TableParagraph"/>
              <w:spacing w:line="65" w:lineRule="exact"/>
              <w:ind w:left="5415"/>
              <w:rPr>
                <w:rFonts w:ascii="Calibri"/>
                <w:sz w:val="10"/>
              </w:rPr>
            </w:pPr>
            <w:r>
              <w:rPr>
                <w:rFonts w:ascii="Calibri"/>
                <w:color w:val="231F20"/>
                <w:spacing w:val="-2"/>
                <w:sz w:val="10"/>
              </w:rPr>
              <w:t>30.2%</w:t>
            </w:r>
          </w:p>
          <w:p>
            <w:pPr>
              <w:pStyle w:val="TableParagraph"/>
              <w:spacing w:line="105" w:lineRule="exact"/>
              <w:ind w:left="1471"/>
              <w:rPr>
                <w:rFonts w:ascii="Calibri"/>
                <w:sz w:val="10"/>
              </w:rPr>
            </w:pPr>
            <w:r>
              <w:rPr>
                <w:rFonts w:ascii="Calibri"/>
                <w:color w:val="231F20"/>
                <w:spacing w:val="-2"/>
                <w:sz w:val="10"/>
              </w:rPr>
              <w:t>200,000</w:t>
            </w:r>
          </w:p>
          <w:p>
            <w:pPr>
              <w:pStyle w:val="TableParagraph"/>
              <w:rPr>
                <w:sz w:val="10"/>
              </w:rPr>
            </w:pPr>
          </w:p>
          <w:p>
            <w:pPr>
              <w:pStyle w:val="TableParagraph"/>
              <w:spacing w:before="7"/>
              <w:rPr>
                <w:sz w:val="10"/>
              </w:rPr>
            </w:pPr>
          </w:p>
          <w:p>
            <w:pPr>
              <w:pStyle w:val="TableParagraph"/>
              <w:spacing w:before="1"/>
              <w:ind w:left="1471"/>
              <w:rPr>
                <w:rFonts w:ascii="Calibri"/>
                <w:sz w:val="10"/>
              </w:rPr>
            </w:pPr>
            <w:r>
              <w:rPr>
                <w:rFonts w:ascii="Calibri"/>
                <w:color w:val="231F20"/>
                <w:spacing w:val="-2"/>
                <w:sz w:val="10"/>
              </w:rPr>
              <w:t>150,000</w:t>
            </w:r>
          </w:p>
          <w:p>
            <w:pPr>
              <w:pStyle w:val="TableParagraph"/>
              <w:rPr>
                <w:sz w:val="10"/>
              </w:rPr>
            </w:pPr>
          </w:p>
          <w:p>
            <w:pPr>
              <w:pStyle w:val="TableParagraph"/>
              <w:spacing w:before="6"/>
              <w:rPr>
                <w:sz w:val="10"/>
              </w:rPr>
            </w:pPr>
          </w:p>
          <w:p>
            <w:pPr>
              <w:pStyle w:val="TableParagraph"/>
              <w:spacing w:line="93" w:lineRule="exact"/>
              <w:ind w:left="1471"/>
              <w:rPr>
                <w:rFonts w:ascii="Calibri"/>
                <w:sz w:val="10"/>
              </w:rPr>
            </w:pPr>
            <w:r>
              <w:rPr>
                <w:rFonts w:ascii="Calibri"/>
                <w:color w:val="231F20"/>
                <w:spacing w:val="-2"/>
                <w:sz w:val="10"/>
              </w:rPr>
              <w:t>100,000</w:t>
            </w:r>
          </w:p>
          <w:p>
            <w:pPr>
              <w:pStyle w:val="TableParagraph"/>
              <w:tabs>
                <w:tab w:pos="4009" w:val="left" w:leader="none"/>
                <w:tab w:pos="5415" w:val="left" w:leader="none"/>
              </w:tabs>
              <w:spacing w:line="113" w:lineRule="exact"/>
              <w:ind w:left="2602"/>
              <w:rPr>
                <w:rFonts w:ascii="Calibri"/>
                <w:sz w:val="10"/>
              </w:rPr>
            </w:pPr>
            <w:r>
              <w:rPr>
                <w:rFonts w:ascii="Calibri"/>
                <w:color w:val="231F20"/>
                <w:spacing w:val="-2"/>
                <w:position w:val="1"/>
                <w:sz w:val="10"/>
              </w:rPr>
              <w:t>48.2%</w:t>
            </w:r>
            <w:r>
              <w:rPr>
                <w:rFonts w:ascii="Calibri"/>
                <w:color w:val="231F20"/>
                <w:position w:val="1"/>
                <w:sz w:val="10"/>
              </w:rPr>
              <w:tab/>
            </w:r>
            <w:r>
              <w:rPr>
                <w:rFonts w:ascii="Calibri"/>
                <w:color w:val="231F20"/>
                <w:spacing w:val="-4"/>
                <w:position w:val="2"/>
                <w:sz w:val="10"/>
              </w:rPr>
              <w:t>48.4%</w:t>
            </w:r>
            <w:r>
              <w:rPr>
                <w:rFonts w:ascii="Calibri"/>
                <w:color w:val="231F20"/>
                <w:position w:val="2"/>
                <w:sz w:val="10"/>
              </w:rPr>
              <w:tab/>
            </w:r>
            <w:r>
              <w:rPr>
                <w:rFonts w:ascii="Calibri"/>
                <w:color w:val="231F20"/>
                <w:spacing w:val="-4"/>
                <w:sz w:val="10"/>
              </w:rPr>
              <w:t>48.4%</w:t>
            </w:r>
          </w:p>
          <w:p>
            <w:pPr>
              <w:pStyle w:val="TableParagraph"/>
              <w:spacing w:before="5"/>
              <w:rPr>
                <w:sz w:val="13"/>
              </w:rPr>
            </w:pPr>
          </w:p>
          <w:p>
            <w:pPr>
              <w:pStyle w:val="TableParagraph"/>
              <w:ind w:left="1525"/>
              <w:rPr>
                <w:rFonts w:ascii="Calibri"/>
                <w:sz w:val="10"/>
              </w:rPr>
            </w:pPr>
            <w:r>
              <w:rPr>
                <w:rFonts w:ascii="Calibri"/>
                <w:color w:val="231F20"/>
                <w:spacing w:val="-2"/>
                <w:sz w:val="10"/>
              </w:rPr>
              <w:t>50,000</w:t>
            </w:r>
          </w:p>
        </w:tc>
      </w:tr>
      <w:tr>
        <w:trPr>
          <w:trHeight w:val="151" w:hRule="atLeast"/>
        </w:trPr>
        <w:tc>
          <w:tcPr>
            <w:tcW w:w="1906" w:type="dxa"/>
            <w:gridSpan w:val="2"/>
            <w:tcBorders>
              <w:top w:val="nil"/>
              <w:bottom w:val="nil"/>
            </w:tcBorders>
          </w:tcPr>
          <w:p>
            <w:pPr>
              <w:pStyle w:val="TableParagraph"/>
              <w:spacing w:line="68" w:lineRule="exact"/>
              <w:ind w:right="80"/>
              <w:jc w:val="right"/>
              <w:rPr>
                <w:rFonts w:ascii="Calibri"/>
                <w:sz w:val="10"/>
              </w:rPr>
            </w:pPr>
            <w:r>
              <w:rPr>
                <w:rFonts w:ascii="Calibri"/>
                <w:color w:val="231F20"/>
                <w:w w:val="101"/>
                <w:sz w:val="10"/>
              </w:rPr>
              <w:t>0</w:t>
            </w:r>
          </w:p>
        </w:tc>
        <w:tc>
          <w:tcPr>
            <w:tcW w:w="1406" w:type="dxa"/>
            <w:tcBorders>
              <w:top w:val="nil"/>
            </w:tcBorders>
          </w:tcPr>
          <w:p>
            <w:pPr>
              <w:pStyle w:val="TableParagraph"/>
              <w:spacing w:line="89" w:lineRule="exact" w:before="41"/>
              <w:ind w:left="554"/>
              <w:rPr>
                <w:rFonts w:ascii="Calibri"/>
                <w:sz w:val="10"/>
              </w:rPr>
            </w:pPr>
            <w:r>
              <w:rPr>
                <w:rFonts w:ascii="Calibri"/>
                <w:color w:val="231F20"/>
                <w:spacing w:val="-2"/>
                <w:sz w:val="10"/>
              </w:rPr>
              <w:t>FY2022</w:t>
            </w:r>
          </w:p>
        </w:tc>
        <w:tc>
          <w:tcPr>
            <w:tcW w:w="1406" w:type="dxa"/>
            <w:tcBorders>
              <w:top w:val="nil"/>
            </w:tcBorders>
          </w:tcPr>
          <w:p>
            <w:pPr>
              <w:pStyle w:val="TableParagraph"/>
              <w:spacing w:line="89" w:lineRule="exact" w:before="41"/>
              <w:ind w:left="22"/>
              <w:jc w:val="center"/>
              <w:rPr>
                <w:rFonts w:ascii="Calibri"/>
                <w:sz w:val="10"/>
              </w:rPr>
            </w:pPr>
            <w:r>
              <w:rPr>
                <w:rFonts w:ascii="Calibri"/>
                <w:color w:val="231F20"/>
                <w:spacing w:val="-2"/>
                <w:sz w:val="10"/>
              </w:rPr>
              <w:t>FY2021</w:t>
            </w:r>
          </w:p>
        </w:tc>
        <w:tc>
          <w:tcPr>
            <w:tcW w:w="1406" w:type="dxa"/>
            <w:tcBorders>
              <w:top w:val="nil"/>
            </w:tcBorders>
          </w:tcPr>
          <w:p>
            <w:pPr>
              <w:pStyle w:val="TableParagraph"/>
              <w:spacing w:line="89" w:lineRule="exact" w:before="41"/>
              <w:ind w:right="529"/>
              <w:jc w:val="right"/>
              <w:rPr>
                <w:rFonts w:ascii="Calibri"/>
                <w:sz w:val="10"/>
              </w:rPr>
            </w:pPr>
            <w:r>
              <w:rPr>
                <w:rFonts w:ascii="Calibri"/>
                <w:color w:val="231F20"/>
                <w:spacing w:val="-2"/>
                <w:sz w:val="10"/>
              </w:rPr>
              <w:t>FY2020</w:t>
            </w:r>
          </w:p>
        </w:tc>
        <w:tc>
          <w:tcPr>
            <w:tcW w:w="726" w:type="dxa"/>
            <w:vMerge w:val="restart"/>
            <w:tcBorders>
              <w:top w:val="nil"/>
            </w:tcBorders>
          </w:tcPr>
          <w:p>
            <w:pPr>
              <w:pStyle w:val="TableParagraph"/>
              <w:rPr>
                <w:rFonts w:ascii="Times New Roman"/>
                <w:sz w:val="14"/>
              </w:rPr>
            </w:pPr>
          </w:p>
        </w:tc>
      </w:tr>
      <w:tr>
        <w:trPr>
          <w:trHeight w:val="153" w:hRule="atLeast"/>
        </w:trPr>
        <w:tc>
          <w:tcPr>
            <w:tcW w:w="656" w:type="dxa"/>
            <w:vMerge w:val="restart"/>
            <w:tcBorders>
              <w:top w:val="nil"/>
            </w:tcBorders>
          </w:tcPr>
          <w:p>
            <w:pPr>
              <w:pStyle w:val="TableParagraph"/>
              <w:rPr>
                <w:rFonts w:ascii="Times New Roman"/>
                <w:sz w:val="14"/>
              </w:rPr>
            </w:pPr>
          </w:p>
        </w:tc>
        <w:tc>
          <w:tcPr>
            <w:tcW w:w="1250" w:type="dxa"/>
          </w:tcPr>
          <w:p>
            <w:pPr>
              <w:pStyle w:val="TableParagraph"/>
              <w:spacing w:line="116" w:lineRule="exact" w:before="17"/>
              <w:ind w:left="120"/>
              <w:rPr>
                <w:rFonts w:ascii="Calibri"/>
                <w:sz w:val="10"/>
              </w:rPr>
            </w:pPr>
            <w:r>
              <w:rPr>
                <w:rFonts w:ascii="Calibri"/>
                <w:color w:val="231F20"/>
                <w:sz w:val="10"/>
              </w:rPr>
              <w:t>Other</w:t>
            </w:r>
            <w:r>
              <w:rPr>
                <w:rFonts w:ascii="Calibri"/>
                <w:color w:val="231F20"/>
                <w:spacing w:val="9"/>
                <w:sz w:val="10"/>
              </w:rPr>
              <w:t> </w:t>
            </w:r>
            <w:r>
              <w:rPr>
                <w:rFonts w:ascii="Calibri"/>
                <w:color w:val="231F20"/>
                <w:spacing w:val="-2"/>
                <w:sz w:val="10"/>
              </w:rPr>
              <w:t>assets</w:t>
            </w:r>
          </w:p>
        </w:tc>
        <w:tc>
          <w:tcPr>
            <w:tcW w:w="1406" w:type="dxa"/>
          </w:tcPr>
          <w:p>
            <w:pPr>
              <w:pStyle w:val="TableParagraph"/>
              <w:spacing w:line="113" w:lineRule="exact" w:before="19"/>
              <w:ind w:left="590"/>
              <w:rPr>
                <w:rFonts w:ascii="Calibri"/>
                <w:sz w:val="10"/>
              </w:rPr>
            </w:pPr>
            <w:r>
              <w:rPr>
                <w:rFonts w:ascii="Calibri"/>
                <w:color w:val="231F20"/>
                <w:spacing w:val="-2"/>
                <w:sz w:val="10"/>
              </w:rPr>
              <w:t>6,465</w:t>
            </w:r>
          </w:p>
        </w:tc>
        <w:tc>
          <w:tcPr>
            <w:tcW w:w="1406" w:type="dxa"/>
          </w:tcPr>
          <w:p>
            <w:pPr>
              <w:pStyle w:val="TableParagraph"/>
              <w:spacing w:line="113" w:lineRule="exact" w:before="19"/>
              <w:ind w:left="25"/>
              <w:jc w:val="center"/>
              <w:rPr>
                <w:rFonts w:ascii="Calibri"/>
                <w:sz w:val="10"/>
              </w:rPr>
            </w:pPr>
            <w:r>
              <w:rPr>
                <w:rFonts w:ascii="Calibri"/>
                <w:color w:val="231F20"/>
                <w:spacing w:val="-2"/>
                <w:sz w:val="10"/>
              </w:rPr>
              <w:t>3,818</w:t>
            </w:r>
          </w:p>
        </w:tc>
        <w:tc>
          <w:tcPr>
            <w:tcW w:w="1406" w:type="dxa"/>
          </w:tcPr>
          <w:p>
            <w:pPr>
              <w:pStyle w:val="TableParagraph"/>
              <w:spacing w:line="113" w:lineRule="exact" w:before="19"/>
              <w:ind w:right="562"/>
              <w:jc w:val="right"/>
              <w:rPr>
                <w:rFonts w:ascii="Calibri"/>
                <w:sz w:val="10"/>
              </w:rPr>
            </w:pPr>
            <w:r>
              <w:rPr>
                <w:rFonts w:ascii="Calibri"/>
                <w:color w:val="231F20"/>
                <w:spacing w:val="-2"/>
                <w:sz w:val="10"/>
              </w:rPr>
              <w:t>3,069</w:t>
            </w:r>
          </w:p>
        </w:tc>
        <w:tc>
          <w:tcPr>
            <w:tcW w:w="726" w:type="dxa"/>
            <w:vMerge/>
            <w:tcBorders>
              <w:top w:val="nil"/>
            </w:tcBorders>
          </w:tcPr>
          <w:p>
            <w:pPr>
              <w:rPr>
                <w:sz w:val="2"/>
                <w:szCs w:val="2"/>
              </w:rPr>
            </w:pPr>
          </w:p>
        </w:tc>
      </w:tr>
      <w:tr>
        <w:trPr>
          <w:trHeight w:val="153" w:hRule="atLeast"/>
        </w:trPr>
        <w:tc>
          <w:tcPr>
            <w:tcW w:w="656" w:type="dxa"/>
            <w:vMerge/>
            <w:tcBorders>
              <w:top w:val="nil"/>
            </w:tcBorders>
          </w:tcPr>
          <w:p>
            <w:pPr>
              <w:rPr>
                <w:sz w:val="2"/>
                <w:szCs w:val="2"/>
              </w:rPr>
            </w:pPr>
          </w:p>
        </w:tc>
        <w:tc>
          <w:tcPr>
            <w:tcW w:w="1250" w:type="dxa"/>
          </w:tcPr>
          <w:p>
            <w:pPr>
              <w:pStyle w:val="TableParagraph"/>
              <w:spacing w:line="118" w:lineRule="exact" w:before="15"/>
              <w:ind w:left="120"/>
              <w:rPr>
                <w:rFonts w:ascii="Calibri"/>
                <w:sz w:val="10"/>
              </w:rPr>
            </w:pPr>
            <w:r>
              <w:rPr>
                <w:rFonts w:ascii="Calibri"/>
                <w:color w:val="231F20"/>
                <w:spacing w:val="-2"/>
                <w:sz w:val="10"/>
              </w:rPr>
              <w:t>Receivables</w:t>
            </w:r>
          </w:p>
        </w:tc>
        <w:tc>
          <w:tcPr>
            <w:tcW w:w="1406" w:type="dxa"/>
          </w:tcPr>
          <w:p>
            <w:pPr>
              <w:pStyle w:val="TableParagraph"/>
              <w:spacing w:line="116" w:lineRule="exact" w:before="17"/>
              <w:ind w:left="563"/>
              <w:rPr>
                <w:rFonts w:ascii="Calibri"/>
                <w:sz w:val="10"/>
              </w:rPr>
            </w:pPr>
            <w:r>
              <w:rPr>
                <w:rFonts w:ascii="Calibri"/>
                <w:color w:val="231F20"/>
                <w:spacing w:val="-2"/>
                <w:sz w:val="10"/>
              </w:rPr>
              <w:t>24,668</w:t>
            </w:r>
          </w:p>
        </w:tc>
        <w:tc>
          <w:tcPr>
            <w:tcW w:w="1406" w:type="dxa"/>
          </w:tcPr>
          <w:p>
            <w:pPr>
              <w:pStyle w:val="TableParagraph"/>
              <w:spacing w:line="116" w:lineRule="exact" w:before="17"/>
              <w:ind w:left="19"/>
              <w:jc w:val="center"/>
              <w:rPr>
                <w:rFonts w:ascii="Calibri"/>
                <w:sz w:val="10"/>
              </w:rPr>
            </w:pPr>
            <w:r>
              <w:rPr>
                <w:rFonts w:ascii="Calibri"/>
                <w:color w:val="231F20"/>
                <w:spacing w:val="-2"/>
                <w:sz w:val="10"/>
              </w:rPr>
              <w:t>17,929</w:t>
            </w:r>
          </w:p>
        </w:tc>
        <w:tc>
          <w:tcPr>
            <w:tcW w:w="1406" w:type="dxa"/>
          </w:tcPr>
          <w:p>
            <w:pPr>
              <w:pStyle w:val="TableParagraph"/>
              <w:spacing w:line="116" w:lineRule="exact" w:before="17"/>
              <w:ind w:right="542"/>
              <w:jc w:val="right"/>
              <w:rPr>
                <w:rFonts w:ascii="Calibri"/>
                <w:sz w:val="10"/>
              </w:rPr>
            </w:pPr>
            <w:r>
              <w:rPr>
                <w:rFonts w:ascii="Calibri"/>
                <w:color w:val="231F20"/>
                <w:spacing w:val="-2"/>
                <w:sz w:val="10"/>
              </w:rPr>
              <w:t>17,808</w:t>
            </w:r>
          </w:p>
        </w:tc>
        <w:tc>
          <w:tcPr>
            <w:tcW w:w="726" w:type="dxa"/>
            <w:vMerge/>
            <w:tcBorders>
              <w:top w:val="nil"/>
            </w:tcBorders>
          </w:tcPr>
          <w:p>
            <w:pPr>
              <w:rPr>
                <w:sz w:val="2"/>
                <w:szCs w:val="2"/>
              </w:rPr>
            </w:pPr>
          </w:p>
        </w:tc>
      </w:tr>
      <w:tr>
        <w:trPr>
          <w:trHeight w:val="154" w:hRule="atLeast"/>
        </w:trPr>
        <w:tc>
          <w:tcPr>
            <w:tcW w:w="656" w:type="dxa"/>
            <w:vMerge/>
            <w:tcBorders>
              <w:top w:val="nil"/>
            </w:tcBorders>
          </w:tcPr>
          <w:p>
            <w:pPr>
              <w:rPr>
                <w:sz w:val="2"/>
                <w:szCs w:val="2"/>
              </w:rPr>
            </w:pPr>
          </w:p>
        </w:tc>
        <w:tc>
          <w:tcPr>
            <w:tcW w:w="1250" w:type="dxa"/>
          </w:tcPr>
          <w:p>
            <w:pPr>
              <w:pStyle w:val="TableParagraph"/>
              <w:spacing w:line="121" w:lineRule="exact" w:before="13"/>
              <w:ind w:left="120"/>
              <w:rPr>
                <w:rFonts w:ascii="Calibri"/>
                <w:sz w:val="10"/>
              </w:rPr>
            </w:pPr>
            <w:r>
              <w:rPr>
                <w:rFonts w:ascii="Calibri"/>
                <w:color w:val="231F20"/>
                <w:sz w:val="10"/>
              </w:rPr>
              <w:t>Cash</w:t>
            </w:r>
            <w:r>
              <w:rPr>
                <w:rFonts w:ascii="Calibri"/>
                <w:color w:val="231F20"/>
                <w:spacing w:val="4"/>
                <w:sz w:val="10"/>
              </w:rPr>
              <w:t> </w:t>
            </w:r>
            <w:r>
              <w:rPr>
                <w:rFonts w:ascii="Calibri"/>
                <w:color w:val="231F20"/>
                <w:sz w:val="10"/>
              </w:rPr>
              <w:t>and</w:t>
            </w:r>
            <w:r>
              <w:rPr>
                <w:rFonts w:ascii="Calibri"/>
                <w:color w:val="231F20"/>
                <w:spacing w:val="5"/>
                <w:sz w:val="10"/>
              </w:rPr>
              <w:t> </w:t>
            </w:r>
            <w:r>
              <w:rPr>
                <w:rFonts w:ascii="Calibri"/>
                <w:color w:val="231F20"/>
                <w:sz w:val="10"/>
              </w:rPr>
              <w:t>cash</w:t>
            </w:r>
            <w:r>
              <w:rPr>
                <w:rFonts w:ascii="Calibri"/>
                <w:color w:val="231F20"/>
                <w:spacing w:val="4"/>
                <w:sz w:val="10"/>
              </w:rPr>
              <w:t> </w:t>
            </w:r>
            <w:r>
              <w:rPr>
                <w:rFonts w:ascii="Calibri"/>
                <w:color w:val="231F20"/>
                <w:spacing w:val="-2"/>
                <w:sz w:val="10"/>
              </w:rPr>
              <w:t>equivalents</w:t>
            </w:r>
          </w:p>
        </w:tc>
        <w:tc>
          <w:tcPr>
            <w:tcW w:w="1406" w:type="dxa"/>
          </w:tcPr>
          <w:p>
            <w:pPr>
              <w:pStyle w:val="TableParagraph"/>
              <w:spacing w:line="118" w:lineRule="exact" w:before="16"/>
              <w:ind w:left="563"/>
              <w:rPr>
                <w:rFonts w:ascii="Calibri"/>
                <w:sz w:val="10"/>
              </w:rPr>
            </w:pPr>
            <w:r>
              <w:rPr>
                <w:rFonts w:ascii="Calibri"/>
                <w:color w:val="231F20"/>
                <w:spacing w:val="-2"/>
                <w:sz w:val="10"/>
              </w:rPr>
              <w:t>36,348</w:t>
            </w:r>
          </w:p>
        </w:tc>
        <w:tc>
          <w:tcPr>
            <w:tcW w:w="1406" w:type="dxa"/>
          </w:tcPr>
          <w:p>
            <w:pPr>
              <w:pStyle w:val="TableParagraph"/>
              <w:spacing w:line="118" w:lineRule="exact" w:before="16"/>
              <w:ind w:left="19"/>
              <w:jc w:val="center"/>
              <w:rPr>
                <w:rFonts w:ascii="Calibri"/>
                <w:sz w:val="10"/>
              </w:rPr>
            </w:pPr>
            <w:r>
              <w:rPr>
                <w:rFonts w:ascii="Calibri"/>
                <w:color w:val="231F20"/>
                <w:spacing w:val="-2"/>
                <w:sz w:val="10"/>
              </w:rPr>
              <w:t>34,641</w:t>
            </w:r>
          </w:p>
        </w:tc>
        <w:tc>
          <w:tcPr>
            <w:tcW w:w="1406" w:type="dxa"/>
          </w:tcPr>
          <w:p>
            <w:pPr>
              <w:pStyle w:val="TableParagraph"/>
              <w:spacing w:line="118" w:lineRule="exact" w:before="16"/>
              <w:ind w:right="541"/>
              <w:jc w:val="right"/>
              <w:rPr>
                <w:rFonts w:ascii="Calibri"/>
                <w:sz w:val="10"/>
              </w:rPr>
            </w:pPr>
            <w:r>
              <w:rPr>
                <w:rFonts w:ascii="Calibri"/>
                <w:color w:val="231F20"/>
                <w:spacing w:val="-2"/>
                <w:sz w:val="10"/>
              </w:rPr>
              <w:t>46,069</w:t>
            </w:r>
          </w:p>
        </w:tc>
        <w:tc>
          <w:tcPr>
            <w:tcW w:w="726" w:type="dxa"/>
            <w:vMerge/>
            <w:tcBorders>
              <w:top w:val="nil"/>
            </w:tcBorders>
          </w:tcPr>
          <w:p>
            <w:pPr>
              <w:rPr>
                <w:sz w:val="2"/>
                <w:szCs w:val="2"/>
              </w:rPr>
            </w:pPr>
          </w:p>
        </w:tc>
      </w:tr>
      <w:tr>
        <w:trPr>
          <w:trHeight w:val="153" w:hRule="atLeast"/>
        </w:trPr>
        <w:tc>
          <w:tcPr>
            <w:tcW w:w="656" w:type="dxa"/>
            <w:vMerge/>
            <w:tcBorders>
              <w:top w:val="nil"/>
            </w:tcBorders>
          </w:tcPr>
          <w:p>
            <w:pPr>
              <w:rPr>
                <w:sz w:val="2"/>
                <w:szCs w:val="2"/>
              </w:rPr>
            </w:pPr>
          </w:p>
        </w:tc>
        <w:tc>
          <w:tcPr>
            <w:tcW w:w="1250" w:type="dxa"/>
          </w:tcPr>
          <w:p>
            <w:pPr>
              <w:pStyle w:val="TableParagraph"/>
              <w:spacing w:line="122" w:lineRule="exact" w:before="11"/>
              <w:ind w:left="120"/>
              <w:rPr>
                <w:rFonts w:ascii="Calibri"/>
                <w:sz w:val="10"/>
              </w:rPr>
            </w:pPr>
            <w:r>
              <w:rPr>
                <w:rFonts w:ascii="Calibri"/>
                <w:color w:val="231F20"/>
                <w:spacing w:val="-2"/>
                <w:sz w:val="10"/>
              </w:rPr>
              <w:t>Investments</w:t>
            </w:r>
          </w:p>
        </w:tc>
        <w:tc>
          <w:tcPr>
            <w:tcW w:w="1406" w:type="dxa"/>
          </w:tcPr>
          <w:p>
            <w:pPr>
              <w:pStyle w:val="TableParagraph"/>
              <w:spacing w:line="119" w:lineRule="exact" w:before="13"/>
              <w:ind w:left="537"/>
              <w:rPr>
                <w:rFonts w:ascii="Calibri"/>
                <w:sz w:val="10"/>
              </w:rPr>
            </w:pPr>
            <w:r>
              <w:rPr>
                <w:rFonts w:ascii="Calibri"/>
                <w:color w:val="231F20"/>
                <w:spacing w:val="-2"/>
                <w:sz w:val="10"/>
              </w:rPr>
              <w:t>100,186</w:t>
            </w:r>
          </w:p>
        </w:tc>
        <w:tc>
          <w:tcPr>
            <w:tcW w:w="1406" w:type="dxa"/>
          </w:tcPr>
          <w:p>
            <w:pPr>
              <w:pStyle w:val="TableParagraph"/>
              <w:spacing w:line="119" w:lineRule="exact" w:before="13"/>
              <w:ind w:left="21"/>
              <w:jc w:val="center"/>
              <w:rPr>
                <w:rFonts w:ascii="Calibri"/>
                <w:sz w:val="10"/>
              </w:rPr>
            </w:pPr>
            <w:r>
              <w:rPr>
                <w:rFonts w:ascii="Calibri"/>
                <w:color w:val="231F20"/>
                <w:spacing w:val="-2"/>
                <w:sz w:val="10"/>
              </w:rPr>
              <w:t>112,283</w:t>
            </w:r>
          </w:p>
        </w:tc>
        <w:tc>
          <w:tcPr>
            <w:tcW w:w="1406" w:type="dxa"/>
          </w:tcPr>
          <w:p>
            <w:pPr>
              <w:pStyle w:val="TableParagraph"/>
              <w:spacing w:line="119" w:lineRule="exact" w:before="13"/>
              <w:ind w:right="541"/>
              <w:jc w:val="right"/>
              <w:rPr>
                <w:rFonts w:ascii="Calibri"/>
                <w:sz w:val="10"/>
              </w:rPr>
            </w:pPr>
            <w:r>
              <w:rPr>
                <w:rFonts w:ascii="Calibri"/>
                <w:color w:val="231F20"/>
                <w:spacing w:val="-2"/>
                <w:sz w:val="10"/>
              </w:rPr>
              <w:t>94,963</w:t>
            </w:r>
          </w:p>
        </w:tc>
        <w:tc>
          <w:tcPr>
            <w:tcW w:w="726" w:type="dxa"/>
            <w:vMerge/>
            <w:tcBorders>
              <w:top w:val="nil"/>
            </w:tcBorders>
          </w:tcPr>
          <w:p>
            <w:pPr>
              <w:rPr>
                <w:sz w:val="2"/>
                <w:szCs w:val="2"/>
              </w:rPr>
            </w:pPr>
          </w:p>
        </w:tc>
      </w:tr>
      <w:tr>
        <w:trPr>
          <w:trHeight w:val="150" w:hRule="atLeast"/>
        </w:trPr>
        <w:tc>
          <w:tcPr>
            <w:tcW w:w="656" w:type="dxa"/>
            <w:vMerge/>
            <w:tcBorders>
              <w:top w:val="nil"/>
            </w:tcBorders>
          </w:tcPr>
          <w:p>
            <w:pPr>
              <w:rPr>
                <w:sz w:val="2"/>
                <w:szCs w:val="2"/>
              </w:rPr>
            </w:pPr>
          </w:p>
        </w:tc>
        <w:tc>
          <w:tcPr>
            <w:tcW w:w="1250" w:type="dxa"/>
            <w:tcBorders>
              <w:bottom w:val="double" w:sz="4" w:space="0" w:color="87898C"/>
            </w:tcBorders>
          </w:tcPr>
          <w:p>
            <w:pPr>
              <w:pStyle w:val="TableParagraph"/>
              <w:spacing w:line="121" w:lineRule="exact" w:before="9"/>
              <w:ind w:left="120"/>
              <w:rPr>
                <w:rFonts w:ascii="Calibri"/>
                <w:sz w:val="10"/>
              </w:rPr>
            </w:pPr>
            <w:r>
              <w:rPr>
                <w:rFonts w:ascii="Calibri"/>
                <w:color w:val="231F20"/>
                <w:sz w:val="10"/>
              </w:rPr>
              <w:t>Capital</w:t>
            </w:r>
            <w:r>
              <w:rPr>
                <w:rFonts w:ascii="Calibri"/>
                <w:color w:val="231F20"/>
                <w:spacing w:val="3"/>
                <w:sz w:val="10"/>
              </w:rPr>
              <w:t> </w:t>
            </w:r>
            <w:r>
              <w:rPr>
                <w:rFonts w:ascii="Calibri"/>
                <w:color w:val="231F20"/>
                <w:spacing w:val="-2"/>
                <w:sz w:val="10"/>
              </w:rPr>
              <w:t>Assets</w:t>
            </w:r>
          </w:p>
        </w:tc>
        <w:tc>
          <w:tcPr>
            <w:tcW w:w="1406" w:type="dxa"/>
            <w:tcBorders>
              <w:bottom w:val="double" w:sz="4" w:space="0" w:color="87898C"/>
            </w:tcBorders>
          </w:tcPr>
          <w:p>
            <w:pPr>
              <w:pStyle w:val="TableParagraph"/>
              <w:spacing w:line="118" w:lineRule="exact" w:before="12"/>
              <w:ind w:left="537"/>
              <w:rPr>
                <w:rFonts w:ascii="Calibri"/>
                <w:sz w:val="10"/>
              </w:rPr>
            </w:pPr>
            <w:r>
              <w:rPr>
                <w:rFonts w:ascii="Calibri"/>
                <w:color w:val="231F20"/>
                <w:spacing w:val="-2"/>
                <w:sz w:val="10"/>
              </w:rPr>
              <w:t>156,022</w:t>
            </w:r>
          </w:p>
        </w:tc>
        <w:tc>
          <w:tcPr>
            <w:tcW w:w="1406" w:type="dxa"/>
            <w:tcBorders>
              <w:bottom w:val="double" w:sz="4" w:space="0" w:color="87898C"/>
            </w:tcBorders>
          </w:tcPr>
          <w:p>
            <w:pPr>
              <w:pStyle w:val="TableParagraph"/>
              <w:spacing w:line="118" w:lineRule="exact" w:before="12"/>
              <w:ind w:left="21"/>
              <w:jc w:val="center"/>
              <w:rPr>
                <w:rFonts w:ascii="Calibri"/>
                <w:sz w:val="10"/>
              </w:rPr>
            </w:pPr>
            <w:r>
              <w:rPr>
                <w:rFonts w:ascii="Calibri"/>
                <w:color w:val="231F20"/>
                <w:spacing w:val="-2"/>
                <w:sz w:val="10"/>
              </w:rPr>
              <w:t>158,002</w:t>
            </w:r>
          </w:p>
        </w:tc>
        <w:tc>
          <w:tcPr>
            <w:tcW w:w="1406" w:type="dxa"/>
            <w:tcBorders>
              <w:bottom w:val="double" w:sz="4" w:space="0" w:color="87898C"/>
            </w:tcBorders>
          </w:tcPr>
          <w:p>
            <w:pPr>
              <w:pStyle w:val="TableParagraph"/>
              <w:spacing w:line="118" w:lineRule="exact" w:before="12"/>
              <w:ind w:right="514"/>
              <w:jc w:val="right"/>
              <w:rPr>
                <w:rFonts w:ascii="Calibri"/>
                <w:sz w:val="10"/>
              </w:rPr>
            </w:pPr>
            <w:r>
              <w:rPr>
                <w:rFonts w:ascii="Calibri"/>
                <w:color w:val="231F20"/>
                <w:spacing w:val="-2"/>
                <w:sz w:val="10"/>
              </w:rPr>
              <w:t>152,452</w:t>
            </w:r>
          </w:p>
        </w:tc>
        <w:tc>
          <w:tcPr>
            <w:tcW w:w="726" w:type="dxa"/>
            <w:vMerge/>
            <w:tcBorders>
              <w:top w:val="nil"/>
            </w:tcBorders>
          </w:tcPr>
          <w:p>
            <w:pPr>
              <w:rPr>
                <w:sz w:val="2"/>
                <w:szCs w:val="2"/>
              </w:rPr>
            </w:pPr>
          </w:p>
        </w:tc>
      </w:tr>
    </w:tbl>
    <w:p>
      <w:pPr>
        <w:pStyle w:val="BodyText"/>
        <w:spacing w:before="4"/>
        <w:rPr>
          <w:sz w:val="18"/>
        </w:rPr>
      </w:pPr>
    </w:p>
    <w:p>
      <w:pPr>
        <w:pStyle w:val="BodyText"/>
        <w:spacing w:before="94"/>
        <w:ind w:left="1440"/>
      </w:pPr>
      <w:r>
        <w:rPr/>
        <w:pict>
          <v:group style="position:absolute;margin-left:229.080002pt;margin-top:-204.380432pt;width:237.4pt;height:145.85pt;mso-position-horizontal-relative:page;mso-position-vertical-relative:paragraph;z-index:-28371968" id="docshapegroup51" coordorigin="4582,-4088" coordsize="4748,2917">
            <v:shape style="position:absolute;left:4603;top:-4088;width:4713;height:2535" type="#_x0000_t75" id="docshape52" stroked="false">
              <v:imagedata r:id="rId25" o:title=""/>
            </v:shape>
            <v:shape style="position:absolute;left:4581;top:-1575;width:4748;height:404" type="#_x0000_t75" id="docshape53" stroked="false">
              <v:imagedata r:id="rId26" o:title=""/>
            </v:shape>
            <w10:wrap type="none"/>
          </v:group>
        </w:pict>
      </w:r>
      <w:r>
        <w:rPr/>
        <w:pict>
          <v:rect style="position:absolute;margin-left:169.259995pt;margin-top:-49.999447pt;width:2.76pt;height:3.12pt;mso-position-horizontal-relative:page;mso-position-vertical-relative:paragraph;z-index:-28371456" id="docshape54" filled="true" fillcolor="#4e81be" stroked="false">
            <v:fill type="solid"/>
            <w10:wrap type="none"/>
          </v:rect>
        </w:pict>
      </w:r>
      <w:r>
        <w:rPr/>
        <w:pict>
          <v:rect style="position:absolute;margin-left:169.259995pt;margin-top:-41.839348pt;width:2.76pt;height:2.7599pt;mso-position-horizontal-relative:page;mso-position-vertical-relative:paragraph;z-index:-28370944" id="docshape55" filled="true" fillcolor="#4aabc5" stroked="false">
            <v:fill type="solid"/>
            <w10:wrap type="none"/>
          </v:rect>
        </w:pict>
      </w:r>
      <w:r>
        <w:rPr/>
        <w:pict>
          <v:rect style="position:absolute;margin-left:169.259995pt;margin-top:-33.679447pt;width:2.76pt;height:2.76pt;mso-position-horizontal-relative:page;mso-position-vertical-relative:paragraph;z-index:-28370432" id="docshape56" filled="true" fillcolor="#8164a2" stroked="false">
            <v:fill type="solid"/>
            <w10:wrap type="none"/>
          </v:rect>
        </w:pict>
      </w:r>
      <w:r>
        <w:rPr/>
        <w:pict>
          <v:rect style="position:absolute;margin-left:169.259995pt;margin-top:-25.459448pt;width:2.76pt;height:2.7pt;mso-position-horizontal-relative:page;mso-position-vertical-relative:paragraph;z-index:-28369920" id="docshape57" filled="true" fillcolor="#9cbb59" stroked="false">
            <v:fill type="solid"/>
            <w10:wrap type="none"/>
          </v:rect>
        </w:pict>
      </w:r>
      <w:r>
        <w:rPr/>
        <w:pict>
          <v:rect style="position:absolute;margin-left:169.259995pt;margin-top:-17.719448pt;width:2.76pt;height:3.12pt;mso-position-horizontal-relative:page;mso-position-vertical-relative:paragraph;z-index:-28369408" id="docshape58" filled="true" fillcolor="#c1514e" stroked="false">
            <v:fill type="solid"/>
            <w10:wrap type="none"/>
          </v:rect>
        </w:pict>
      </w:r>
      <w:r>
        <w:rPr>
          <w:color w:val="231F20"/>
        </w:rPr>
        <w:t>Total</w:t>
      </w:r>
      <w:r>
        <w:rPr>
          <w:color w:val="231F20"/>
          <w:spacing w:val="-8"/>
        </w:rPr>
        <w:t> </w:t>
      </w:r>
      <w:r>
        <w:rPr>
          <w:color w:val="231F20"/>
        </w:rPr>
        <w:t>liabilities</w:t>
      </w:r>
      <w:r>
        <w:rPr>
          <w:color w:val="231F20"/>
          <w:spacing w:val="-6"/>
        </w:rPr>
        <w:t> </w:t>
      </w:r>
      <w:r>
        <w:rPr>
          <w:color w:val="231F20"/>
        </w:rPr>
        <w:t>decreased</w:t>
      </w:r>
      <w:r>
        <w:rPr>
          <w:color w:val="231F20"/>
          <w:spacing w:val="-7"/>
        </w:rPr>
        <w:t> </w:t>
      </w:r>
      <w:r>
        <w:rPr>
          <w:color w:val="231F20"/>
        </w:rPr>
        <w:t>by</w:t>
      </w:r>
      <w:r>
        <w:rPr>
          <w:color w:val="231F20"/>
          <w:spacing w:val="-5"/>
        </w:rPr>
        <w:t> </w:t>
      </w:r>
      <w:r>
        <w:rPr>
          <w:color w:val="231F20"/>
        </w:rPr>
        <w:t>$149.5</w:t>
      </w:r>
      <w:r>
        <w:rPr>
          <w:color w:val="231F20"/>
          <w:spacing w:val="-6"/>
        </w:rPr>
        <w:t> </w:t>
      </w:r>
      <w:r>
        <w:rPr>
          <w:color w:val="231F20"/>
        </w:rPr>
        <w:t>million,</w:t>
      </w:r>
      <w:r>
        <w:rPr>
          <w:color w:val="231F20"/>
          <w:spacing w:val="-6"/>
        </w:rPr>
        <w:t> </w:t>
      </w:r>
      <w:r>
        <w:rPr>
          <w:color w:val="231F20"/>
        </w:rPr>
        <w:t>or</w:t>
      </w:r>
      <w:r>
        <w:rPr>
          <w:color w:val="231F20"/>
          <w:spacing w:val="-4"/>
        </w:rPr>
        <w:t> </w:t>
      </w:r>
      <w:r>
        <w:rPr>
          <w:color w:val="231F20"/>
        </w:rPr>
        <w:t>43.5</w:t>
      </w:r>
      <w:r>
        <w:rPr>
          <w:color w:val="231F20"/>
          <w:spacing w:val="-5"/>
        </w:rPr>
        <w:t> </w:t>
      </w:r>
      <w:r>
        <w:rPr>
          <w:color w:val="231F20"/>
        </w:rPr>
        <w:t>percent.</w:t>
      </w:r>
      <w:r>
        <w:rPr>
          <w:color w:val="231F20"/>
          <w:spacing w:val="-6"/>
        </w:rPr>
        <w:t> </w:t>
      </w:r>
      <w:r>
        <w:rPr>
          <w:color w:val="231F20"/>
        </w:rPr>
        <w:t>The</w:t>
      </w:r>
      <w:r>
        <w:rPr>
          <w:color w:val="231F20"/>
          <w:spacing w:val="-6"/>
        </w:rPr>
        <w:t> </w:t>
      </w:r>
      <w:r>
        <w:rPr>
          <w:color w:val="231F20"/>
        </w:rPr>
        <w:t>net</w:t>
      </w:r>
      <w:r>
        <w:rPr>
          <w:color w:val="231F20"/>
          <w:spacing w:val="-5"/>
        </w:rPr>
        <w:t> </w:t>
      </w:r>
      <w:r>
        <w:rPr>
          <w:color w:val="231F20"/>
        </w:rPr>
        <w:t>pension</w:t>
      </w:r>
      <w:r>
        <w:rPr>
          <w:color w:val="231F20"/>
          <w:spacing w:val="-6"/>
        </w:rPr>
        <w:t> </w:t>
      </w:r>
      <w:r>
        <w:rPr>
          <w:color w:val="231F20"/>
        </w:rPr>
        <w:t>liability</w:t>
      </w:r>
      <w:r>
        <w:rPr>
          <w:color w:val="231F20"/>
          <w:spacing w:val="-6"/>
        </w:rPr>
        <w:t> </w:t>
      </w:r>
      <w:r>
        <w:rPr>
          <w:color w:val="231F20"/>
        </w:rPr>
        <w:t>decreased</w:t>
      </w:r>
      <w:r>
        <w:rPr>
          <w:color w:val="231F20"/>
          <w:spacing w:val="-5"/>
        </w:rPr>
        <w:t> by</w:t>
      </w:r>
    </w:p>
    <w:p>
      <w:pPr>
        <w:pStyle w:val="BodyText"/>
        <w:spacing w:line="276" w:lineRule="auto" w:before="34"/>
        <w:ind w:left="1440" w:right="1048"/>
      </w:pPr>
      <w:r>
        <w:rPr>
          <w:color w:val="231F20"/>
        </w:rPr>
        <w:t>$171.8</w:t>
      </w:r>
      <w:r>
        <w:rPr>
          <w:color w:val="231F20"/>
          <w:spacing w:val="-3"/>
        </w:rPr>
        <w:t> </w:t>
      </w:r>
      <w:r>
        <w:rPr>
          <w:color w:val="231F20"/>
        </w:rPr>
        <w:t>million</w:t>
      </w:r>
      <w:r>
        <w:rPr>
          <w:color w:val="231F20"/>
          <w:spacing w:val="-3"/>
        </w:rPr>
        <w:t> </w:t>
      </w:r>
      <w:r>
        <w:rPr>
          <w:color w:val="231F20"/>
        </w:rPr>
        <w:t>and</w:t>
      </w:r>
      <w:r>
        <w:rPr>
          <w:color w:val="231F20"/>
          <w:spacing w:val="-3"/>
        </w:rPr>
        <w:t> </w:t>
      </w:r>
      <w:r>
        <w:rPr>
          <w:color w:val="231F20"/>
        </w:rPr>
        <w:t>liabilities</w:t>
      </w:r>
      <w:r>
        <w:rPr>
          <w:color w:val="231F20"/>
          <w:spacing w:val="-3"/>
        </w:rPr>
        <w:t> </w:t>
      </w:r>
      <w:r>
        <w:rPr>
          <w:color w:val="231F20"/>
        </w:rPr>
        <w:t>related</w:t>
      </w:r>
      <w:r>
        <w:rPr>
          <w:color w:val="231F20"/>
          <w:spacing w:val="-3"/>
        </w:rPr>
        <w:t> </w:t>
      </w:r>
      <w:r>
        <w:rPr>
          <w:color w:val="231F20"/>
        </w:rPr>
        <w:t>to</w:t>
      </w:r>
      <w:r>
        <w:rPr>
          <w:color w:val="231F20"/>
          <w:spacing w:val="-3"/>
        </w:rPr>
        <w:t> </w:t>
      </w:r>
      <w:r>
        <w:rPr>
          <w:color w:val="231F20"/>
        </w:rPr>
        <w:t>OPEB</w:t>
      </w:r>
      <w:r>
        <w:rPr>
          <w:color w:val="231F20"/>
          <w:spacing w:val="-3"/>
        </w:rPr>
        <w:t> </w:t>
      </w:r>
      <w:r>
        <w:rPr>
          <w:color w:val="231F20"/>
        </w:rPr>
        <w:t>increased</w:t>
      </w:r>
      <w:r>
        <w:rPr>
          <w:color w:val="231F20"/>
          <w:spacing w:val="-3"/>
        </w:rPr>
        <w:t> </w:t>
      </w:r>
      <w:r>
        <w:rPr>
          <w:color w:val="231F20"/>
        </w:rPr>
        <w:t>by</w:t>
      </w:r>
      <w:r>
        <w:rPr>
          <w:color w:val="231F20"/>
          <w:spacing w:val="-3"/>
        </w:rPr>
        <w:t> </w:t>
      </w:r>
      <w:r>
        <w:rPr>
          <w:color w:val="231F20"/>
        </w:rPr>
        <w:t>$22.3</w:t>
      </w:r>
      <w:r>
        <w:rPr>
          <w:color w:val="231F20"/>
          <w:spacing w:val="-3"/>
        </w:rPr>
        <w:t> </w:t>
      </w:r>
      <w:r>
        <w:rPr>
          <w:color w:val="231F20"/>
        </w:rPr>
        <w:t>million</w:t>
      </w:r>
      <w:r>
        <w:rPr>
          <w:color w:val="231F20"/>
          <w:spacing w:val="-3"/>
        </w:rPr>
        <w:t> </w:t>
      </w:r>
      <w:r>
        <w:rPr>
          <w:color w:val="231F20"/>
        </w:rPr>
        <w:t>due</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changes</w:t>
      </w:r>
      <w:r>
        <w:rPr>
          <w:color w:val="231F20"/>
          <w:spacing w:val="-3"/>
        </w:rPr>
        <w:t> </w:t>
      </w:r>
      <w:r>
        <w:rPr>
          <w:color w:val="231F20"/>
        </w:rPr>
        <w:t>in</w:t>
      </w:r>
      <w:r>
        <w:rPr>
          <w:color w:val="231F20"/>
          <w:spacing w:val="-4"/>
        </w:rPr>
        <w:t> </w:t>
      </w:r>
      <w:r>
        <w:rPr>
          <w:color w:val="231F20"/>
        </w:rPr>
        <w:t>actuarial reporting related to GASB statements No. 68 and 75 and New Mexico Educational Retirement Board (NMERB) schedules of employer allocations.</w:t>
      </w:r>
    </w:p>
    <w:p>
      <w:pPr>
        <w:pStyle w:val="BodyText"/>
        <w:spacing w:before="2"/>
        <w:rPr>
          <w:sz w:val="21"/>
        </w:rPr>
      </w:pPr>
      <w:r>
        <w:rPr/>
        <w:pict>
          <v:group style="position:absolute;margin-left:135.106003pt;margin-top:13.379974pt;width:341.8pt;height:210.4pt;mso-position-horizontal-relative:page;mso-position-vertical-relative:paragraph;z-index:-15716352;mso-wrap-distance-left:0;mso-wrap-distance-right:0" id="docshapegroup59" coordorigin="2702,268" coordsize="6836,4208">
            <v:shape style="position:absolute;left:5004;top:729;width:4313;height:2268" type="#_x0000_t75" id="docshape60" stroked="false">
              <v:imagedata r:id="rId27" o:title=""/>
            </v:shape>
            <v:shape style="position:absolute;left:4982;top:2976;width:4342;height:375" type="#_x0000_t75" id="docshape61" stroked="false">
              <v:imagedata r:id="rId28" o:title=""/>
            </v:shape>
            <v:line style="position:absolute" from="5005,3315" to="5005,3471" stroked="true" strokeweight=".388pt" strokecolor="#87898c">
              <v:stroke dashstyle="solid"/>
            </v:line>
            <v:line style="position:absolute" from="6287,3315" to="6287,3471" stroked="true" strokeweight=".388pt" strokecolor="#87898c">
              <v:stroke dashstyle="solid"/>
            </v:line>
            <v:line style="position:absolute" from="7577,3315" to="7577,3471" stroked="true" strokeweight=".388pt" strokecolor="#87898c">
              <v:stroke dashstyle="solid"/>
            </v:line>
            <v:line style="position:absolute" from="8867,3315" to="8867,3471" stroked="true" strokeweight=".388pt" strokecolor="#87898c">
              <v:stroke dashstyle="solid"/>
            </v:line>
            <v:shape style="position:absolute;left:2985;top:3470;width:5882;height:162" id="docshape62" coordorigin="2986,3471" coordsize="5882,162" path="m2986,3471l8867,3471m2986,3471l2986,3633e" filled="false" stroked="true" strokeweight=".388pt" strokecolor="#87898c">
              <v:path arrowok="t"/>
              <v:stroke dashstyle="solid"/>
            </v:shape>
            <v:shape style="position:absolute;left:5005;top:3470;width:2;height:162" id="docshape63" coordorigin="5005,3471" coordsize="0,162" path="m5005,3471l5005,3633m5005,3471l5005,3633m5005,3471l5005,3633e" filled="false" stroked="true" strokeweight=".388pt" strokecolor="#87898c">
              <v:path arrowok="t"/>
              <v:stroke dashstyle="solid"/>
            </v:shape>
            <v:shape style="position:absolute;left:6286;top:3470;width:2;height:162" id="docshape64" coordorigin="6287,3471" coordsize="0,162" path="m6287,3471l6287,3633m6287,3471l6287,3633m6287,3471l6287,3633e" filled="false" stroked="true" strokeweight=".388pt" strokecolor="#87898c">
              <v:path arrowok="t"/>
              <v:stroke dashstyle="solid"/>
            </v:shape>
            <v:shape style="position:absolute;left:7576;top:3470;width:2;height:162" id="docshape65" coordorigin="7577,3471" coordsize="0,162" path="m7577,3471l7577,3633m7577,3471l7577,3633m7577,3471l7577,3633e" filled="false" stroked="true" strokeweight=".388pt" strokecolor="#87898c">
              <v:path arrowok="t"/>
              <v:stroke dashstyle="solid"/>
            </v:shape>
            <v:shape style="position:absolute;left:8866;top:3470;width:2;height:162" id="docshape66" coordorigin="8867,3471" coordsize="0,162" path="m8867,3471l8867,3633m8867,3471l8867,3633m8867,3471l8867,3633e" filled="false" stroked="true" strokeweight=".388pt" strokecolor="#87898c">
              <v:path arrowok="t"/>
              <v:stroke dashstyle="solid"/>
            </v:shape>
            <v:rect style="position:absolute;left:3020;top:3521;width:54;height:54" id="docshape67" filled="true" fillcolor="#4aabc5" stroked="false">
              <v:fill type="solid"/>
            </v:rect>
            <v:shape style="position:absolute;left:2985;top:3632;width:5882;height:288" id="docshape68" coordorigin="2986,3633" coordsize="5882,288" path="m2986,3633l8867,3633m2986,3633l2986,3921e" filled="false" stroked="true" strokeweight=".388pt" strokecolor="#87898c">
              <v:path arrowok="t"/>
              <v:stroke dashstyle="solid"/>
            </v:shape>
            <v:shape style="position:absolute;left:5005;top:3632;width:2;height:288" id="docshape69" coordorigin="5005,3633" coordsize="0,288" path="m5005,3633l5005,3921m5005,3633l5005,3921m5005,3633l5005,3921e" filled="false" stroked="true" strokeweight=".388pt" strokecolor="#87898c">
              <v:path arrowok="t"/>
              <v:stroke dashstyle="solid"/>
            </v:shape>
            <v:shape style="position:absolute;left:6286;top:3632;width:2;height:288" id="docshape70" coordorigin="6287,3633" coordsize="0,288" path="m6287,3633l6287,3921m6287,3633l6287,3921m6287,3633l6287,3921e" filled="false" stroked="true" strokeweight=".388pt" strokecolor="#87898c">
              <v:path arrowok="t"/>
              <v:stroke dashstyle="solid"/>
            </v:shape>
            <v:shape style="position:absolute;left:7576;top:3632;width:2;height:288" id="docshape71" coordorigin="7577,3633" coordsize="0,288" path="m7577,3633l7577,3921m7577,3633l7577,3921m7577,3633l7577,3921e" filled="false" stroked="true" strokeweight=".388pt" strokecolor="#87898c">
              <v:path arrowok="t"/>
              <v:stroke dashstyle="solid"/>
            </v:shape>
            <v:shape style="position:absolute;left:8866;top:3632;width:2;height:288" id="docshape72" coordorigin="8867,3633" coordsize="0,288" path="m8867,3633l8867,3921m8867,3633l8867,3921m8867,3633l8867,3921e" filled="false" stroked="true" strokeweight=".388pt" strokecolor="#87898c">
              <v:path arrowok="t"/>
              <v:stroke dashstyle="solid"/>
            </v:shape>
            <v:rect style="position:absolute;left:3020;top:3684;width:54;height:54" id="docshape73" filled="true" fillcolor="#8164a2" stroked="false">
              <v:fill type="solid"/>
            </v:rect>
            <v:shape style="position:absolute;left:2985;top:3920;width:5882;height:164" id="docshape74" coordorigin="2986,3921" coordsize="5882,164" path="m2986,3921l8867,3921m2986,3921l2986,4084e" filled="false" stroked="true" strokeweight=".388pt" strokecolor="#87898c">
              <v:path arrowok="t"/>
              <v:stroke dashstyle="solid"/>
            </v:shape>
            <v:shape style="position:absolute;left:5005;top:3920;width:2;height:164" id="docshape75" coordorigin="5005,3921" coordsize="0,164" path="m5005,3921l5005,4084m5005,3921l5005,4084m5005,3921l5005,4084e" filled="false" stroked="true" strokeweight=".388pt" strokecolor="#87898c">
              <v:path arrowok="t"/>
              <v:stroke dashstyle="solid"/>
            </v:shape>
            <v:shape style="position:absolute;left:6286;top:3920;width:2;height:164" id="docshape76" coordorigin="6287,3921" coordsize="0,164" path="m6287,3921l6287,4084m6287,3921l6287,4084m6287,3921l6287,4084e" filled="false" stroked="true" strokeweight=".388pt" strokecolor="#87898c">
              <v:path arrowok="t"/>
              <v:stroke dashstyle="solid"/>
            </v:shape>
            <v:shape style="position:absolute;left:7576;top:3920;width:2;height:164" id="docshape77" coordorigin="7577,3921" coordsize="0,164" path="m7577,3921l7577,4084m7577,3921l7577,4084m7577,3921l7577,4084e" filled="false" stroked="true" strokeweight=".388pt" strokecolor="#87898c">
              <v:path arrowok="t"/>
              <v:stroke dashstyle="solid"/>
            </v:shape>
            <v:shape style="position:absolute;left:8866;top:3920;width:2;height:164" id="docshape78" coordorigin="8867,3921" coordsize="0,164" path="m8867,3921l8867,4084m8867,3921l8867,4084m8867,3921l8867,4084e" filled="false" stroked="true" strokeweight=".388pt" strokecolor="#87898c">
              <v:path arrowok="t"/>
              <v:stroke dashstyle="solid"/>
            </v:shape>
            <v:rect style="position:absolute;left:3020;top:3971;width:54;height:54" id="docshape79" filled="true" fillcolor="#9cbb59" stroked="false">
              <v:fill type="solid"/>
            </v:rect>
            <v:shape style="position:absolute;left:2985;top:4083;width:5882;height:155" id="docshape80" coordorigin="2986,4084" coordsize="5882,155" path="m2986,4084l8867,4084m2986,4084l2986,4239e" filled="false" stroked="true" strokeweight=".388pt" strokecolor="#87898c">
              <v:path arrowok="t"/>
              <v:stroke dashstyle="solid"/>
            </v:shape>
            <v:shape style="position:absolute;left:5005;top:4083;width:2;height:155" id="docshape81" coordorigin="5005,4084" coordsize="0,155" path="m5005,4084l5005,4239m5005,4084l5005,4239m5005,4084l5005,4239e" filled="false" stroked="true" strokeweight=".388pt" strokecolor="#87898c">
              <v:path arrowok="t"/>
              <v:stroke dashstyle="solid"/>
            </v:shape>
            <v:shape style="position:absolute;left:6286;top:4083;width:2;height:155" id="docshape82" coordorigin="6287,4084" coordsize="0,155" path="m6287,4084l6287,4239m6287,4084l6287,4239m6287,4084l6287,4239e" filled="false" stroked="true" strokeweight=".388pt" strokecolor="#87898c">
              <v:path arrowok="t"/>
              <v:stroke dashstyle="solid"/>
            </v:shape>
            <v:shape style="position:absolute;left:7576;top:4083;width:2;height:155" id="docshape83" coordorigin="7577,4084" coordsize="0,155" path="m7577,4084l7577,4239m7577,4084l7577,4239m7577,4084l7577,4239e" filled="false" stroked="true" strokeweight=".388pt" strokecolor="#87898c">
              <v:path arrowok="t"/>
              <v:stroke dashstyle="solid"/>
            </v:shape>
            <v:shape style="position:absolute;left:8866;top:4083;width:2;height:155" id="docshape84" coordorigin="8867,4084" coordsize="0,155" path="m8867,4084l8867,4239m8867,4084l8867,4239m8867,4084l8867,4239e" filled="false" stroked="true" strokeweight=".388pt" strokecolor="#87898c">
              <v:path arrowok="t"/>
              <v:stroke dashstyle="solid"/>
            </v:shape>
            <v:rect style="position:absolute;left:3020;top:4134;width:54;height:54" id="docshape85" filled="true" fillcolor="#c1514e" stroked="false">
              <v:fill type="solid"/>
            </v:rect>
            <v:shape style="position:absolute;left:2985;top:4238;width:5882;height:164" id="docshape86" coordorigin="2986,4239" coordsize="5882,164" path="m2986,4239l8867,4239m2986,4239l2986,4402,8867,4402e" filled="false" stroked="true" strokeweight=".388pt" strokecolor="#87898c">
              <v:path arrowok="t"/>
              <v:stroke dashstyle="solid"/>
            </v:shape>
            <v:shape style="position:absolute;left:5005;top:4238;width:2;height:164" id="docshape87" coordorigin="5005,4239" coordsize="0,164" path="m5005,4239l5005,4402m5005,4239l5005,4402m5005,4239l5005,4402e" filled="false" stroked="true" strokeweight=".388pt" strokecolor="#87898c">
              <v:path arrowok="t"/>
              <v:stroke dashstyle="solid"/>
            </v:shape>
            <v:shape style="position:absolute;left:6286;top:4238;width:2;height:164" id="docshape88" coordorigin="6287,4239" coordsize="0,164" path="m6287,4239l6287,4402m6287,4239l6287,4402m6287,4239l6287,4402e" filled="false" stroked="true" strokeweight=".388pt" strokecolor="#87898c">
              <v:path arrowok="t"/>
              <v:stroke dashstyle="solid"/>
            </v:shape>
            <v:shape style="position:absolute;left:7576;top:4238;width:2;height:164" id="docshape89" coordorigin="7577,4239" coordsize="0,164" path="m7577,4239l7577,4402m7577,4239l7577,4402m7577,4239l7577,4402e" filled="false" stroked="true" strokeweight=".388pt" strokecolor="#87898c">
              <v:path arrowok="t"/>
              <v:stroke dashstyle="solid"/>
            </v:shape>
            <v:shape style="position:absolute;left:8866;top:4238;width:2;height:164" id="docshape90" coordorigin="8867,4239" coordsize="0,164" path="m8867,4239l8867,4402m8867,4239l8867,4402m8867,4239l8867,4402e" filled="false" stroked="true" strokeweight=".388pt" strokecolor="#87898c">
              <v:path arrowok="t"/>
              <v:stroke dashstyle="solid"/>
            </v:shape>
            <v:rect style="position:absolute;left:3020;top:4289;width:54;height:63" id="docshape91" filled="true" fillcolor="#4e81be" stroked="false">
              <v:fill type="solid"/>
            </v:rect>
            <v:rect style="position:absolute;left:2706;top:271;width:6829;height:4200" id="docshape92" filled="false" stroked="true" strokeweight=".388pt" strokecolor="#87898c">
              <v:stroke dashstyle="solid"/>
            </v:rect>
            <v:shape style="position:absolute;left:4970;top:392;width:2332;height:187" type="#_x0000_t202" id="docshape93" filled="false" stroked="false">
              <v:textbox inset="0,0,0,0">
                <w:txbxContent>
                  <w:p>
                    <w:pPr>
                      <w:spacing w:line="186" w:lineRule="exact" w:before="0"/>
                      <w:ind w:left="0" w:right="0" w:firstLine="0"/>
                      <w:jc w:val="left"/>
                      <w:rPr>
                        <w:rFonts w:ascii="Calibri"/>
                        <w:b/>
                        <w:sz w:val="18"/>
                      </w:rPr>
                    </w:pPr>
                    <w:r>
                      <w:rPr>
                        <w:rFonts w:ascii="Calibri"/>
                        <w:b/>
                        <w:color w:val="231F20"/>
                        <w:sz w:val="18"/>
                      </w:rPr>
                      <w:t>Total</w:t>
                    </w:r>
                    <w:r>
                      <w:rPr>
                        <w:rFonts w:ascii="Calibri"/>
                        <w:b/>
                        <w:color w:val="231F20"/>
                        <w:spacing w:val="3"/>
                        <w:sz w:val="18"/>
                      </w:rPr>
                      <w:t> </w:t>
                    </w:r>
                    <w:r>
                      <w:rPr>
                        <w:rFonts w:ascii="Calibri"/>
                        <w:b/>
                        <w:color w:val="231F20"/>
                        <w:sz w:val="18"/>
                      </w:rPr>
                      <w:t>Liabilities</w:t>
                    </w:r>
                    <w:r>
                      <w:rPr>
                        <w:rFonts w:ascii="Calibri"/>
                        <w:b/>
                        <w:color w:val="231F20"/>
                        <w:spacing w:val="6"/>
                        <w:sz w:val="18"/>
                      </w:rPr>
                      <w:t> </w:t>
                    </w:r>
                    <w:r>
                      <w:rPr>
                        <w:rFonts w:ascii="Calibri"/>
                        <w:b/>
                        <w:color w:val="231F20"/>
                        <w:sz w:val="18"/>
                      </w:rPr>
                      <w:t>(in</w:t>
                    </w:r>
                    <w:r>
                      <w:rPr>
                        <w:rFonts w:ascii="Calibri"/>
                        <w:b/>
                        <w:color w:val="231F20"/>
                        <w:spacing w:val="5"/>
                        <w:sz w:val="18"/>
                      </w:rPr>
                      <w:t> </w:t>
                    </w:r>
                    <w:r>
                      <w:rPr>
                        <w:rFonts w:ascii="Calibri"/>
                        <w:b/>
                        <w:color w:val="231F20"/>
                        <w:spacing w:val="-2"/>
                        <w:sz w:val="18"/>
                      </w:rPr>
                      <w:t>thousands)</w:t>
                    </w:r>
                  </w:p>
                </w:txbxContent>
              </v:textbox>
              <w10:wrap type="none"/>
            </v:shape>
            <v:shape style="position:absolute;left:4545;top:1036;width:359;height:422" type="#_x0000_t202" id="docshape94" filled="false" stroked="false">
              <v:textbox inset="0,0,0,0">
                <w:txbxContent>
                  <w:p>
                    <w:pPr>
                      <w:spacing w:line="103" w:lineRule="exact" w:before="0"/>
                      <w:ind w:left="0" w:right="0" w:firstLine="0"/>
                      <w:jc w:val="left"/>
                      <w:rPr>
                        <w:rFonts w:ascii="Calibri"/>
                        <w:sz w:val="10"/>
                      </w:rPr>
                    </w:pPr>
                    <w:r>
                      <w:rPr>
                        <w:rFonts w:ascii="Calibri"/>
                        <w:color w:val="231F20"/>
                        <w:spacing w:val="-2"/>
                        <w:sz w:val="10"/>
                      </w:rPr>
                      <w:t>350,000</w:t>
                    </w:r>
                  </w:p>
                  <w:p>
                    <w:pPr>
                      <w:spacing w:line="240" w:lineRule="auto" w:before="0"/>
                      <w:rPr>
                        <w:rFonts w:ascii="Calibri"/>
                        <w:sz w:val="10"/>
                      </w:rPr>
                    </w:pPr>
                  </w:p>
                  <w:p>
                    <w:pPr>
                      <w:spacing w:line="120" w:lineRule="exact" w:before="76"/>
                      <w:ind w:left="0" w:right="0" w:firstLine="0"/>
                      <w:jc w:val="left"/>
                      <w:rPr>
                        <w:rFonts w:ascii="Calibri"/>
                        <w:sz w:val="10"/>
                      </w:rPr>
                    </w:pPr>
                    <w:r>
                      <w:rPr>
                        <w:rFonts w:ascii="Calibri"/>
                        <w:color w:val="231F20"/>
                        <w:spacing w:val="-2"/>
                        <w:sz w:val="10"/>
                      </w:rPr>
                      <w:t>300,000</w:t>
                    </w:r>
                  </w:p>
                </w:txbxContent>
              </v:textbox>
              <w10:wrap type="none"/>
            </v:shape>
            <v:shape style="position:absolute;left:6914;top:957;width:282;height:537" type="#_x0000_t202" id="docshape95" filled="false" stroked="false">
              <v:textbox inset="0,0,0,0">
                <w:txbxContent>
                  <w:p>
                    <w:pPr>
                      <w:spacing w:line="103" w:lineRule="exact" w:before="0"/>
                      <w:ind w:left="31" w:right="0" w:firstLine="0"/>
                      <w:jc w:val="left"/>
                      <w:rPr>
                        <w:rFonts w:ascii="Calibri"/>
                        <w:sz w:val="10"/>
                      </w:rPr>
                    </w:pPr>
                    <w:r>
                      <w:rPr>
                        <w:rFonts w:ascii="Calibri"/>
                        <w:color w:val="231F20"/>
                        <w:spacing w:val="-4"/>
                        <w:sz w:val="10"/>
                      </w:rPr>
                      <w:t>2.2%</w:t>
                    </w:r>
                  </w:p>
                  <w:p>
                    <w:pPr>
                      <w:spacing w:line="119" w:lineRule="exact" w:before="18"/>
                      <w:ind w:left="31" w:right="0" w:firstLine="0"/>
                      <w:jc w:val="left"/>
                      <w:rPr>
                        <w:rFonts w:ascii="Calibri"/>
                        <w:sz w:val="10"/>
                      </w:rPr>
                    </w:pPr>
                    <w:r>
                      <w:rPr>
                        <w:rFonts w:ascii="Calibri"/>
                        <w:color w:val="231F20"/>
                        <w:spacing w:val="-4"/>
                        <w:sz w:val="10"/>
                      </w:rPr>
                      <w:t>5.0%</w:t>
                    </w:r>
                  </w:p>
                  <w:p>
                    <w:pPr>
                      <w:spacing w:line="119" w:lineRule="exact" w:before="0"/>
                      <w:ind w:left="31" w:right="0" w:firstLine="0"/>
                      <w:jc w:val="left"/>
                      <w:rPr>
                        <w:rFonts w:ascii="Calibri"/>
                        <w:sz w:val="10"/>
                      </w:rPr>
                    </w:pPr>
                    <w:r>
                      <w:rPr>
                        <w:rFonts w:ascii="Calibri"/>
                        <w:color w:val="231F20"/>
                        <w:spacing w:val="-4"/>
                        <w:sz w:val="10"/>
                      </w:rPr>
                      <w:t>5.5%</w:t>
                    </w:r>
                  </w:p>
                  <w:p>
                    <w:pPr>
                      <w:spacing w:line="120" w:lineRule="exact" w:before="57"/>
                      <w:ind w:left="0" w:right="0" w:firstLine="0"/>
                      <w:jc w:val="left"/>
                      <w:rPr>
                        <w:rFonts w:ascii="Calibri"/>
                        <w:sz w:val="10"/>
                      </w:rPr>
                    </w:pPr>
                    <w:r>
                      <w:rPr>
                        <w:rFonts w:ascii="Calibri"/>
                        <w:color w:val="231F20"/>
                        <w:spacing w:val="-2"/>
                        <w:sz w:val="10"/>
                      </w:rPr>
                      <w:t>10.8%</w:t>
                    </w:r>
                  </w:p>
                </w:txbxContent>
              </v:textbox>
              <w10:wrap type="none"/>
            </v:shape>
            <v:shape style="position:absolute;left:4545;top:1675;width:359;height:422" type="#_x0000_t202" id="docshape96" filled="false" stroked="false">
              <v:textbox inset="0,0,0,0">
                <w:txbxContent>
                  <w:p>
                    <w:pPr>
                      <w:spacing w:line="103" w:lineRule="exact" w:before="0"/>
                      <w:ind w:left="0" w:right="0" w:firstLine="0"/>
                      <w:jc w:val="left"/>
                      <w:rPr>
                        <w:rFonts w:ascii="Calibri"/>
                        <w:sz w:val="10"/>
                      </w:rPr>
                    </w:pPr>
                    <w:r>
                      <w:rPr>
                        <w:rFonts w:ascii="Calibri"/>
                        <w:color w:val="231F20"/>
                        <w:spacing w:val="-2"/>
                        <w:sz w:val="10"/>
                      </w:rPr>
                      <w:t>250,000</w:t>
                    </w:r>
                  </w:p>
                  <w:p>
                    <w:pPr>
                      <w:spacing w:line="240" w:lineRule="auto" w:before="0"/>
                      <w:rPr>
                        <w:rFonts w:ascii="Calibri"/>
                        <w:sz w:val="10"/>
                      </w:rPr>
                    </w:pPr>
                  </w:p>
                  <w:p>
                    <w:pPr>
                      <w:spacing w:line="120" w:lineRule="exact" w:before="76"/>
                      <w:ind w:left="0" w:right="0" w:firstLine="0"/>
                      <w:jc w:val="left"/>
                      <w:rPr>
                        <w:rFonts w:ascii="Calibri"/>
                        <w:sz w:val="10"/>
                      </w:rPr>
                    </w:pPr>
                    <w:r>
                      <w:rPr>
                        <w:rFonts w:ascii="Calibri"/>
                        <w:color w:val="231F20"/>
                        <w:spacing w:val="-2"/>
                        <w:sz w:val="10"/>
                      </w:rPr>
                      <w:t>200,000</w:t>
                    </w:r>
                  </w:p>
                </w:txbxContent>
              </v:textbox>
              <w10:wrap type="none"/>
            </v:shape>
            <v:shape style="position:absolute;left:5658;top:1931;width:238;height:348" type="#_x0000_t202" id="docshape97" filled="false" stroked="false">
              <v:textbox inset="0,0,0,0">
                <w:txbxContent>
                  <w:p>
                    <w:pPr>
                      <w:spacing w:line="103" w:lineRule="exact" w:before="0"/>
                      <w:ind w:left="10" w:right="0" w:firstLine="0"/>
                      <w:jc w:val="left"/>
                      <w:rPr>
                        <w:rFonts w:ascii="Calibri"/>
                        <w:sz w:val="10"/>
                      </w:rPr>
                    </w:pPr>
                    <w:r>
                      <w:rPr>
                        <w:rFonts w:ascii="Calibri"/>
                        <w:color w:val="231F20"/>
                        <w:spacing w:val="-4"/>
                        <w:sz w:val="10"/>
                      </w:rPr>
                      <w:t>4.7%</w:t>
                    </w:r>
                  </w:p>
                  <w:p>
                    <w:pPr>
                      <w:spacing w:line="116" w:lineRule="exact" w:before="13"/>
                      <w:ind w:left="0" w:right="0" w:firstLine="0"/>
                      <w:jc w:val="left"/>
                      <w:rPr>
                        <w:rFonts w:ascii="Calibri"/>
                        <w:sz w:val="10"/>
                      </w:rPr>
                    </w:pPr>
                    <w:r>
                      <w:rPr>
                        <w:rFonts w:ascii="Calibri"/>
                        <w:color w:val="231F20"/>
                        <w:spacing w:val="-4"/>
                        <w:sz w:val="10"/>
                      </w:rPr>
                      <w:t>8.9%</w:t>
                    </w:r>
                  </w:p>
                  <w:p>
                    <w:pPr>
                      <w:spacing w:line="115" w:lineRule="exact" w:before="0"/>
                      <w:ind w:left="0" w:right="0" w:firstLine="0"/>
                      <w:jc w:val="left"/>
                      <w:rPr>
                        <w:rFonts w:ascii="Calibri"/>
                        <w:sz w:val="10"/>
                      </w:rPr>
                    </w:pPr>
                    <w:r>
                      <w:rPr>
                        <w:rFonts w:ascii="Calibri"/>
                        <w:color w:val="231F20"/>
                        <w:spacing w:val="-4"/>
                        <w:sz w:val="10"/>
                      </w:rPr>
                      <w:t>8.9%</w:t>
                    </w:r>
                  </w:p>
                </w:txbxContent>
              </v:textbox>
              <w10:wrap type="none"/>
            </v:shape>
            <v:shape style="position:absolute;left:4545;top:2316;width:359;height:101" type="#_x0000_t202" id="docshape98"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150,000</w:t>
                    </w:r>
                  </w:p>
                </w:txbxContent>
              </v:textbox>
              <w10:wrap type="none"/>
            </v:shape>
            <v:shape style="position:absolute;left:6914;top:2353;width:282;height:101" type="#_x0000_t202" id="docshape99"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76.5%</w:t>
                    </w:r>
                  </w:p>
                </w:txbxContent>
              </v:textbox>
              <w10:wrap type="none"/>
            </v:shape>
            <v:shape style="position:absolute;left:5626;top:2421;width:282;height:101" type="#_x0000_t202" id="docshape100"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30.5%</w:t>
                    </w:r>
                  </w:p>
                </w:txbxContent>
              </v:textbox>
              <w10:wrap type="none"/>
            </v:shape>
            <v:shape style="position:absolute;left:8202;top:2055;width:279;height:500" type="#_x0000_t202" id="docshape101" filled="false" stroked="false">
              <v:textbox inset="0,0,0,0">
                <w:txbxContent>
                  <w:p>
                    <w:pPr>
                      <w:spacing w:line="103" w:lineRule="exact" w:before="0"/>
                      <w:ind w:left="41" w:right="0" w:firstLine="0"/>
                      <w:jc w:val="left"/>
                      <w:rPr>
                        <w:rFonts w:ascii="Calibri"/>
                        <w:sz w:val="10"/>
                      </w:rPr>
                    </w:pPr>
                    <w:r>
                      <w:rPr>
                        <w:rFonts w:ascii="Calibri"/>
                        <w:color w:val="231F20"/>
                        <w:spacing w:val="-4"/>
                        <w:sz w:val="10"/>
                      </w:rPr>
                      <w:t>3.7%</w:t>
                    </w:r>
                  </w:p>
                  <w:p>
                    <w:pPr>
                      <w:spacing w:line="120" w:lineRule="exact" w:before="5"/>
                      <w:ind w:left="0" w:right="0" w:firstLine="0"/>
                      <w:jc w:val="left"/>
                      <w:rPr>
                        <w:rFonts w:ascii="Calibri"/>
                        <w:sz w:val="10"/>
                      </w:rPr>
                    </w:pPr>
                    <w:r>
                      <w:rPr>
                        <w:rFonts w:ascii="Calibri"/>
                        <w:color w:val="231F20"/>
                        <w:spacing w:val="-2"/>
                        <w:sz w:val="10"/>
                      </w:rPr>
                      <w:t>10.1%</w:t>
                    </w:r>
                  </w:p>
                  <w:p>
                    <w:pPr>
                      <w:spacing w:line="120" w:lineRule="exact" w:before="0"/>
                      <w:ind w:left="0" w:right="0" w:firstLine="0"/>
                      <w:jc w:val="left"/>
                      <w:rPr>
                        <w:rFonts w:ascii="Calibri"/>
                        <w:sz w:val="10"/>
                      </w:rPr>
                    </w:pPr>
                    <w:r>
                      <w:rPr>
                        <w:rFonts w:ascii="Calibri"/>
                        <w:color w:val="231F20"/>
                        <w:spacing w:val="-2"/>
                        <w:sz w:val="10"/>
                      </w:rPr>
                      <w:t>11.3%</w:t>
                    </w:r>
                  </w:p>
                  <w:p>
                    <w:pPr>
                      <w:spacing w:line="120" w:lineRule="exact" w:before="30"/>
                      <w:ind w:left="0" w:right="0" w:firstLine="0"/>
                      <w:jc w:val="left"/>
                      <w:rPr>
                        <w:rFonts w:ascii="Calibri"/>
                        <w:sz w:val="10"/>
                      </w:rPr>
                    </w:pPr>
                    <w:r>
                      <w:rPr>
                        <w:rFonts w:ascii="Calibri"/>
                        <w:color w:val="231F20"/>
                        <w:spacing w:val="-2"/>
                        <w:sz w:val="10"/>
                      </w:rPr>
                      <w:t>16.1%</w:t>
                    </w:r>
                  </w:p>
                </w:txbxContent>
              </v:textbox>
              <w10:wrap type="none"/>
            </v:shape>
            <v:shape style="position:absolute;left:4545;top:2636;width:359;height:101" type="#_x0000_t202" id="docshape102"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100,000</w:t>
                    </w:r>
                  </w:p>
                </w:txbxContent>
              </v:textbox>
              <w10:wrap type="none"/>
            </v:shape>
            <v:shape style="position:absolute;left:8202;top:2869;width:279;height:101" type="#_x0000_t202" id="docshape103"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58.8%</w:t>
                    </w:r>
                  </w:p>
                </w:txbxContent>
              </v:textbox>
              <w10:wrap type="none"/>
            </v:shape>
            <v:shape style="position:absolute;left:4598;top:2955;width:305;height:101" type="#_x0000_t202" id="docshape104"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50,000</w:t>
                    </w:r>
                  </w:p>
                </w:txbxContent>
              </v:textbox>
              <w10:wrap type="none"/>
            </v:shape>
            <v:shape style="position:absolute;left:5626;top:2904;width:282;height:101" type="#_x0000_t202" id="docshape105"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46.9%</w:t>
                    </w:r>
                  </w:p>
                </w:txbxContent>
              </v:textbox>
              <w10:wrap type="none"/>
            </v:shape>
            <v:shape style="position:absolute;left:3104;top:3276;width:1892;height:1106" type="#_x0000_t202" id="docshape106" filled="false" stroked="false">
              <v:textbox inset="0,0,0,0">
                <w:txbxContent>
                  <w:p>
                    <w:pPr>
                      <w:spacing w:line="103" w:lineRule="exact" w:before="0"/>
                      <w:ind w:left="0" w:right="154" w:firstLine="0"/>
                      <w:jc w:val="right"/>
                      <w:rPr>
                        <w:rFonts w:ascii="Calibri" w:hAnsi="Calibri"/>
                        <w:sz w:val="10"/>
                      </w:rPr>
                    </w:pPr>
                    <w:r>
                      <w:rPr>
                        <w:rFonts w:ascii="Calibri" w:hAnsi="Calibri"/>
                        <w:color w:val="231F20"/>
                        <w:w w:val="100"/>
                        <w:sz w:val="10"/>
                      </w:rPr>
                      <w:t>Ͳ</w:t>
                    </w:r>
                  </w:p>
                  <w:p>
                    <w:pPr>
                      <w:spacing w:line="240" w:lineRule="auto" w:before="0"/>
                      <w:rPr>
                        <w:rFonts w:ascii="Calibri"/>
                        <w:sz w:val="9"/>
                      </w:rPr>
                    </w:pPr>
                  </w:p>
                  <w:p>
                    <w:pPr>
                      <w:spacing w:before="1"/>
                      <w:ind w:left="0" w:right="0" w:firstLine="0"/>
                      <w:jc w:val="left"/>
                      <w:rPr>
                        <w:rFonts w:ascii="Calibri"/>
                        <w:sz w:val="10"/>
                      </w:rPr>
                    </w:pPr>
                    <w:r>
                      <w:rPr>
                        <w:rFonts w:ascii="Calibri"/>
                        <w:color w:val="231F20"/>
                        <w:sz w:val="10"/>
                      </w:rPr>
                      <w:t>Other</w:t>
                    </w:r>
                    <w:r>
                      <w:rPr>
                        <w:rFonts w:ascii="Calibri"/>
                        <w:color w:val="231F20"/>
                        <w:spacing w:val="6"/>
                        <w:sz w:val="10"/>
                      </w:rPr>
                      <w:t> </w:t>
                    </w:r>
                    <w:r>
                      <w:rPr>
                        <w:rFonts w:ascii="Calibri"/>
                        <w:color w:val="231F20"/>
                        <w:spacing w:val="-2"/>
                        <w:sz w:val="10"/>
                      </w:rPr>
                      <w:t>liabilities</w:t>
                    </w:r>
                  </w:p>
                  <w:p>
                    <w:pPr>
                      <w:spacing w:line="247" w:lineRule="auto" w:before="38"/>
                      <w:ind w:left="744" w:right="0" w:hanging="745"/>
                      <w:jc w:val="left"/>
                      <w:rPr>
                        <w:rFonts w:ascii="Calibri"/>
                        <w:sz w:val="10"/>
                      </w:rPr>
                    </w:pPr>
                    <w:r>
                      <w:rPr>
                        <w:rFonts w:ascii="Calibri"/>
                        <w:color w:val="231F20"/>
                        <w:sz w:val="10"/>
                      </w:rPr>
                      <w:t>Accounts payable and accrued compensated</w:t>
                    </w:r>
                    <w:r>
                      <w:rPr>
                        <w:rFonts w:ascii="Calibri"/>
                        <w:color w:val="231F20"/>
                        <w:spacing w:val="40"/>
                        <w:sz w:val="10"/>
                      </w:rPr>
                      <w:t> </w:t>
                    </w:r>
                    <w:r>
                      <w:rPr>
                        <w:rFonts w:ascii="Calibri"/>
                        <w:color w:val="231F20"/>
                        <w:spacing w:val="-2"/>
                        <w:sz w:val="10"/>
                      </w:rPr>
                      <w:t>absences</w:t>
                    </w:r>
                  </w:p>
                  <w:p>
                    <w:pPr>
                      <w:spacing w:line="316" w:lineRule="auto" w:before="37"/>
                      <w:ind w:left="0" w:right="1101" w:firstLine="0"/>
                      <w:jc w:val="left"/>
                      <w:rPr>
                        <w:rFonts w:ascii="Calibri"/>
                        <w:sz w:val="10"/>
                      </w:rPr>
                    </w:pPr>
                    <w:r>
                      <w:rPr>
                        <w:rFonts w:ascii="Calibri"/>
                        <w:color w:val="231F20"/>
                        <w:sz w:val="10"/>
                      </w:rPr>
                      <w:t>Bonds</w:t>
                    </w:r>
                    <w:r>
                      <w:rPr>
                        <w:rFonts w:ascii="Calibri"/>
                        <w:color w:val="231F20"/>
                        <w:spacing w:val="-3"/>
                        <w:sz w:val="10"/>
                      </w:rPr>
                      <w:t> </w:t>
                    </w:r>
                    <w:r>
                      <w:rPr>
                        <w:rFonts w:ascii="Calibri"/>
                        <w:color w:val="231F20"/>
                        <w:sz w:val="10"/>
                      </w:rPr>
                      <w:t>payable</w:t>
                    </w:r>
                    <w:r>
                      <w:rPr>
                        <w:rFonts w:ascii="Calibri"/>
                        <w:color w:val="231F20"/>
                        <w:spacing w:val="40"/>
                        <w:sz w:val="10"/>
                      </w:rPr>
                      <w:t> </w:t>
                    </w:r>
                    <w:r>
                      <w:rPr>
                        <w:rFonts w:ascii="Calibri"/>
                        <w:color w:val="231F20"/>
                        <w:sz w:val="10"/>
                      </w:rPr>
                      <w:t>OPEB</w:t>
                    </w:r>
                    <w:r>
                      <w:rPr>
                        <w:rFonts w:ascii="Calibri"/>
                        <w:color w:val="231F20"/>
                        <w:spacing w:val="-6"/>
                        <w:sz w:val="10"/>
                      </w:rPr>
                      <w:t> </w:t>
                    </w:r>
                    <w:r>
                      <w:rPr>
                        <w:rFonts w:ascii="Calibri"/>
                        <w:color w:val="231F20"/>
                        <w:sz w:val="10"/>
                      </w:rPr>
                      <w:t>liability</w:t>
                    </w:r>
                  </w:p>
                  <w:p>
                    <w:pPr>
                      <w:spacing w:line="120" w:lineRule="exact" w:before="0"/>
                      <w:ind w:left="0" w:right="0" w:firstLine="0"/>
                      <w:jc w:val="left"/>
                      <w:rPr>
                        <w:rFonts w:ascii="Calibri"/>
                        <w:sz w:val="10"/>
                      </w:rPr>
                    </w:pPr>
                    <w:r>
                      <w:rPr>
                        <w:rFonts w:ascii="Calibri"/>
                        <w:color w:val="231F20"/>
                        <w:sz w:val="10"/>
                      </w:rPr>
                      <w:t>Net</w:t>
                    </w:r>
                    <w:r>
                      <w:rPr>
                        <w:rFonts w:ascii="Calibri"/>
                        <w:color w:val="231F20"/>
                        <w:spacing w:val="5"/>
                        <w:sz w:val="10"/>
                      </w:rPr>
                      <w:t> </w:t>
                    </w:r>
                    <w:r>
                      <w:rPr>
                        <w:rFonts w:ascii="Calibri"/>
                        <w:color w:val="231F20"/>
                        <w:sz w:val="10"/>
                      </w:rPr>
                      <w:t>pension</w:t>
                    </w:r>
                    <w:r>
                      <w:rPr>
                        <w:rFonts w:ascii="Calibri"/>
                        <w:color w:val="231F20"/>
                        <w:spacing w:val="4"/>
                        <w:sz w:val="10"/>
                      </w:rPr>
                      <w:t> </w:t>
                    </w:r>
                    <w:r>
                      <w:rPr>
                        <w:rFonts w:ascii="Calibri"/>
                        <w:color w:val="231F20"/>
                        <w:spacing w:val="-2"/>
                        <w:sz w:val="10"/>
                      </w:rPr>
                      <w:t>liability</w:t>
                    </w:r>
                  </w:p>
                </w:txbxContent>
              </v:textbox>
              <w10:wrap type="none"/>
            </v:shape>
            <v:shape style="position:absolute;left:5496;top:3373;width:331;height:239" type="#_x0000_t202" id="docshape107" filled="false" stroked="false">
              <v:textbox inset="0,0,0,0">
                <w:txbxContent>
                  <w:p>
                    <w:pPr>
                      <w:spacing w:line="103" w:lineRule="exact" w:before="0"/>
                      <w:ind w:left="0" w:right="0" w:firstLine="0"/>
                      <w:jc w:val="left"/>
                      <w:rPr>
                        <w:rFonts w:ascii="Calibri"/>
                        <w:sz w:val="10"/>
                      </w:rPr>
                    </w:pPr>
                    <w:r>
                      <w:rPr>
                        <w:rFonts w:ascii="Calibri"/>
                        <w:color w:val="231F20"/>
                        <w:spacing w:val="-2"/>
                        <w:sz w:val="10"/>
                      </w:rPr>
                      <w:t>FY2022</w:t>
                    </w:r>
                  </w:p>
                  <w:p>
                    <w:pPr>
                      <w:spacing w:line="120" w:lineRule="exact" w:before="16"/>
                      <w:ind w:left="36" w:right="0" w:firstLine="0"/>
                      <w:jc w:val="left"/>
                      <w:rPr>
                        <w:rFonts w:ascii="Calibri"/>
                        <w:sz w:val="10"/>
                      </w:rPr>
                    </w:pPr>
                    <w:r>
                      <w:rPr>
                        <w:rFonts w:ascii="Calibri"/>
                        <w:color w:val="231F20"/>
                        <w:spacing w:val="-2"/>
                        <w:sz w:val="10"/>
                      </w:rPr>
                      <w:t>9,164</w:t>
                    </w:r>
                  </w:p>
                </w:txbxContent>
              </v:textbox>
              <w10:wrap type="none"/>
            </v:shape>
            <v:shape style="position:absolute;left:6783;top:3373;width:331;height:239" type="#_x0000_t202" id="docshape108" filled="false" stroked="false">
              <v:textbox inset="0,0,0,0">
                <w:txbxContent>
                  <w:p>
                    <w:pPr>
                      <w:spacing w:line="103" w:lineRule="exact" w:before="0"/>
                      <w:ind w:left="0" w:right="0" w:firstLine="0"/>
                      <w:jc w:val="left"/>
                      <w:rPr>
                        <w:rFonts w:ascii="Calibri"/>
                        <w:sz w:val="10"/>
                      </w:rPr>
                    </w:pPr>
                    <w:r>
                      <w:rPr>
                        <w:rFonts w:ascii="Calibri"/>
                        <w:color w:val="231F20"/>
                        <w:spacing w:val="-2"/>
                        <w:sz w:val="10"/>
                      </w:rPr>
                      <w:t>FY2021</w:t>
                    </w:r>
                  </w:p>
                  <w:p>
                    <w:pPr>
                      <w:spacing w:line="120" w:lineRule="exact" w:before="16"/>
                      <w:ind w:left="37" w:right="0" w:firstLine="0"/>
                      <w:jc w:val="left"/>
                      <w:rPr>
                        <w:rFonts w:ascii="Calibri"/>
                        <w:sz w:val="10"/>
                      </w:rPr>
                    </w:pPr>
                    <w:r>
                      <w:rPr>
                        <w:rFonts w:ascii="Calibri"/>
                        <w:color w:val="231F20"/>
                        <w:spacing w:val="-2"/>
                        <w:sz w:val="10"/>
                      </w:rPr>
                      <w:t>7,389</w:t>
                    </w:r>
                  </w:p>
                </w:txbxContent>
              </v:textbox>
              <w10:wrap type="none"/>
            </v:shape>
            <v:shape style="position:absolute;left:8072;top:3373;width:330;height:239" type="#_x0000_t202" id="docshape109" filled="false" stroked="false">
              <v:textbox inset="0,0,0,0">
                <w:txbxContent>
                  <w:p>
                    <w:pPr>
                      <w:spacing w:line="103" w:lineRule="exact" w:before="0"/>
                      <w:ind w:left="0" w:right="0" w:firstLine="0"/>
                      <w:jc w:val="left"/>
                      <w:rPr>
                        <w:rFonts w:ascii="Calibri"/>
                        <w:sz w:val="10"/>
                      </w:rPr>
                    </w:pPr>
                    <w:r>
                      <w:rPr>
                        <w:rFonts w:ascii="Calibri"/>
                        <w:color w:val="231F20"/>
                        <w:spacing w:val="-2"/>
                        <w:sz w:val="10"/>
                      </w:rPr>
                      <w:t>FY2020</w:t>
                    </w:r>
                  </w:p>
                  <w:p>
                    <w:pPr>
                      <w:spacing w:line="120" w:lineRule="exact" w:before="16"/>
                      <w:ind w:left="36" w:right="0" w:firstLine="0"/>
                      <w:jc w:val="left"/>
                      <w:rPr>
                        <w:rFonts w:ascii="Calibri"/>
                        <w:sz w:val="10"/>
                      </w:rPr>
                    </w:pPr>
                    <w:r>
                      <w:rPr>
                        <w:rFonts w:ascii="Calibri"/>
                        <w:color w:val="231F20"/>
                        <w:spacing w:val="-2"/>
                        <w:sz w:val="10"/>
                      </w:rPr>
                      <w:t>6,416</w:t>
                    </w:r>
                  </w:p>
                </w:txbxContent>
              </v:textbox>
              <w10:wrap type="none"/>
            </v:shape>
            <v:shape style="position:absolute;left:5506;top:3735;width:305;height:101" type="#_x0000_t202" id="docshape110"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17,332</w:t>
                    </w:r>
                  </w:p>
                </w:txbxContent>
              </v:textbox>
              <w10:wrap type="none"/>
            </v:shape>
            <v:shape style="position:absolute;left:6794;top:3735;width:305;height:101" type="#_x0000_t202" id="docshape111"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17,360</w:t>
                    </w:r>
                  </w:p>
                </w:txbxContent>
              </v:textbox>
              <w10:wrap type="none"/>
            </v:shape>
            <v:shape style="position:absolute;left:8082;top:3735;width:305;height:101" type="#_x0000_t202" id="docshape112" filled="false" stroked="false">
              <v:textbox inset="0,0,0,0">
                <w:txbxContent>
                  <w:p>
                    <w:pPr>
                      <w:spacing w:line="101" w:lineRule="exact" w:before="0"/>
                      <w:ind w:left="0" w:right="0" w:firstLine="0"/>
                      <w:jc w:val="left"/>
                      <w:rPr>
                        <w:rFonts w:ascii="Calibri"/>
                        <w:sz w:val="10"/>
                      </w:rPr>
                    </w:pPr>
                    <w:r>
                      <w:rPr>
                        <w:rFonts w:ascii="Calibri"/>
                        <w:color w:val="231F20"/>
                        <w:spacing w:val="-2"/>
                        <w:sz w:val="10"/>
                      </w:rPr>
                      <w:t>17,492</w:t>
                    </w:r>
                  </w:p>
                </w:txbxContent>
              </v:textbox>
              <w10:wrap type="none"/>
            </v:shape>
            <v:shape style="position:absolute;left:5506;top:3960;width:305;height:424" type="#_x0000_t202" id="docshape113" filled="false" stroked="false">
              <v:textbox inset="0,0,0,0">
                <w:txbxContent>
                  <w:p>
                    <w:pPr>
                      <w:spacing w:line="103" w:lineRule="exact" w:before="0"/>
                      <w:ind w:left="0" w:right="0" w:firstLine="0"/>
                      <w:jc w:val="left"/>
                      <w:rPr>
                        <w:rFonts w:ascii="Calibri"/>
                        <w:sz w:val="10"/>
                      </w:rPr>
                    </w:pPr>
                    <w:r>
                      <w:rPr>
                        <w:rFonts w:ascii="Calibri"/>
                        <w:color w:val="231F20"/>
                        <w:spacing w:val="-2"/>
                        <w:sz w:val="10"/>
                      </w:rPr>
                      <w:t>17,257</w:t>
                    </w:r>
                  </w:p>
                  <w:p>
                    <w:pPr>
                      <w:spacing w:before="38"/>
                      <w:ind w:left="0" w:right="0" w:firstLine="0"/>
                      <w:jc w:val="left"/>
                      <w:rPr>
                        <w:rFonts w:ascii="Calibri"/>
                        <w:sz w:val="10"/>
                      </w:rPr>
                    </w:pPr>
                    <w:r>
                      <w:rPr>
                        <w:rFonts w:ascii="Calibri"/>
                        <w:color w:val="231F20"/>
                        <w:spacing w:val="-2"/>
                        <w:sz w:val="10"/>
                      </w:rPr>
                      <w:t>59,254</w:t>
                    </w:r>
                  </w:p>
                  <w:p>
                    <w:pPr>
                      <w:spacing w:line="120" w:lineRule="exact" w:before="40"/>
                      <w:ind w:left="0" w:right="0" w:firstLine="0"/>
                      <w:jc w:val="left"/>
                      <w:rPr>
                        <w:rFonts w:ascii="Calibri"/>
                        <w:sz w:val="10"/>
                      </w:rPr>
                    </w:pPr>
                    <w:r>
                      <w:rPr>
                        <w:rFonts w:ascii="Calibri"/>
                        <w:color w:val="231F20"/>
                        <w:spacing w:val="-2"/>
                        <w:sz w:val="10"/>
                      </w:rPr>
                      <w:t>91,132</w:t>
                    </w:r>
                  </w:p>
                </w:txbxContent>
              </v:textbox>
              <w10:wrap type="none"/>
            </v:shape>
            <v:shape style="position:absolute;left:6768;top:3960;width:362;height:424" type="#_x0000_t202" id="docshape114" filled="false" stroked="false">
              <v:textbox inset="0,0,0,0">
                <w:txbxContent>
                  <w:p>
                    <w:pPr>
                      <w:spacing w:line="103" w:lineRule="exact" w:before="0"/>
                      <w:ind w:left="26" w:right="0" w:firstLine="0"/>
                      <w:jc w:val="left"/>
                      <w:rPr>
                        <w:rFonts w:ascii="Calibri"/>
                        <w:sz w:val="10"/>
                      </w:rPr>
                    </w:pPr>
                    <w:r>
                      <w:rPr>
                        <w:rFonts w:ascii="Calibri"/>
                        <w:color w:val="231F20"/>
                        <w:spacing w:val="-2"/>
                        <w:sz w:val="10"/>
                      </w:rPr>
                      <w:t>18,880</w:t>
                    </w:r>
                  </w:p>
                  <w:p>
                    <w:pPr>
                      <w:spacing w:before="38"/>
                      <w:ind w:left="26" w:right="0" w:firstLine="0"/>
                      <w:jc w:val="left"/>
                      <w:rPr>
                        <w:rFonts w:ascii="Calibri"/>
                        <w:sz w:val="10"/>
                      </w:rPr>
                    </w:pPr>
                    <w:r>
                      <w:rPr>
                        <w:rFonts w:ascii="Calibri"/>
                        <w:color w:val="231F20"/>
                        <w:spacing w:val="-2"/>
                        <w:sz w:val="10"/>
                      </w:rPr>
                      <w:t>36,995</w:t>
                    </w:r>
                  </w:p>
                  <w:p>
                    <w:pPr>
                      <w:spacing w:line="120" w:lineRule="exact" w:before="40"/>
                      <w:ind w:left="0" w:right="0" w:firstLine="0"/>
                      <w:jc w:val="left"/>
                      <w:rPr>
                        <w:rFonts w:ascii="Calibri"/>
                        <w:sz w:val="10"/>
                      </w:rPr>
                    </w:pPr>
                    <w:r>
                      <w:rPr>
                        <w:rFonts w:ascii="Calibri"/>
                        <w:color w:val="231F20"/>
                        <w:spacing w:val="-2"/>
                        <w:sz w:val="10"/>
                      </w:rPr>
                      <w:t>262,966</w:t>
                    </w:r>
                  </w:p>
                </w:txbxContent>
              </v:textbox>
              <w10:wrap type="none"/>
            </v:shape>
            <v:shape style="position:absolute;left:8056;top:3960;width:359;height:424" type="#_x0000_t202" id="docshape115" filled="false" stroked="false">
              <v:textbox inset="0,0,0,0">
                <w:txbxContent>
                  <w:p>
                    <w:pPr>
                      <w:spacing w:line="103" w:lineRule="exact" w:before="0"/>
                      <w:ind w:left="26" w:right="0" w:firstLine="0"/>
                      <w:jc w:val="left"/>
                      <w:rPr>
                        <w:rFonts w:ascii="Calibri"/>
                        <w:sz w:val="10"/>
                      </w:rPr>
                    </w:pPr>
                    <w:r>
                      <w:rPr>
                        <w:rFonts w:ascii="Calibri"/>
                        <w:color w:val="231F20"/>
                        <w:spacing w:val="-2"/>
                        <w:sz w:val="10"/>
                      </w:rPr>
                      <w:t>19,570</w:t>
                    </w:r>
                  </w:p>
                  <w:p>
                    <w:pPr>
                      <w:spacing w:before="38"/>
                      <w:ind w:left="26" w:right="0" w:firstLine="0"/>
                      <w:jc w:val="left"/>
                      <w:rPr>
                        <w:rFonts w:ascii="Calibri"/>
                        <w:sz w:val="10"/>
                      </w:rPr>
                    </w:pPr>
                    <w:r>
                      <w:rPr>
                        <w:rFonts w:ascii="Calibri"/>
                        <w:color w:val="231F20"/>
                        <w:spacing w:val="-2"/>
                        <w:sz w:val="10"/>
                      </w:rPr>
                      <w:t>27,888</w:t>
                    </w:r>
                  </w:p>
                  <w:p>
                    <w:pPr>
                      <w:spacing w:line="120" w:lineRule="exact" w:before="40"/>
                      <w:ind w:left="0" w:right="0" w:firstLine="0"/>
                      <w:jc w:val="left"/>
                      <w:rPr>
                        <w:rFonts w:ascii="Calibri"/>
                        <w:sz w:val="10"/>
                      </w:rPr>
                    </w:pPr>
                    <w:r>
                      <w:rPr>
                        <w:rFonts w:ascii="Calibri"/>
                        <w:color w:val="231F20"/>
                        <w:spacing w:val="-2"/>
                        <w:sz w:val="10"/>
                      </w:rPr>
                      <w:t>101,833</w:t>
                    </w:r>
                  </w:p>
                </w:txbxContent>
              </v:textbox>
              <w10:wrap type="none"/>
            </v:shape>
            <w10:wrap type="topAndBottom"/>
          </v:group>
        </w:pict>
      </w:r>
    </w:p>
    <w:p>
      <w:pPr>
        <w:spacing w:after="0"/>
        <w:rPr>
          <w:sz w:val="21"/>
        </w:rPr>
        <w:sectPr>
          <w:pgSz w:w="12240" w:h="15840"/>
          <w:pgMar w:header="994" w:footer="1097" w:top="1900" w:bottom="1280" w:left="0" w:right="580"/>
        </w:sectPr>
      </w:pPr>
    </w:p>
    <w:p>
      <w:pPr>
        <w:pStyle w:val="BodyText"/>
      </w:pPr>
    </w:p>
    <w:p>
      <w:pPr>
        <w:pStyle w:val="BodyText"/>
        <w:spacing w:before="10"/>
        <w:rPr>
          <w:sz w:val="17"/>
        </w:rPr>
      </w:pPr>
    </w:p>
    <w:p>
      <w:pPr>
        <w:pStyle w:val="BodyText"/>
        <w:spacing w:before="94"/>
        <w:ind w:left="1440"/>
      </w:pPr>
      <w:r>
        <w:rPr>
          <w:color w:val="231F20"/>
        </w:rPr>
        <w:t>Net</w:t>
      </w:r>
      <w:r>
        <w:rPr>
          <w:color w:val="231F20"/>
          <w:spacing w:val="-4"/>
        </w:rPr>
        <w:t> </w:t>
      </w:r>
      <w:r>
        <w:rPr>
          <w:color w:val="231F20"/>
        </w:rPr>
        <w:t>position</w:t>
      </w:r>
      <w:r>
        <w:rPr>
          <w:color w:val="231F20"/>
          <w:spacing w:val="-4"/>
        </w:rPr>
        <w:t> </w:t>
      </w:r>
      <w:r>
        <w:rPr>
          <w:color w:val="231F20"/>
        </w:rPr>
        <w:t>is</w:t>
      </w:r>
      <w:r>
        <w:rPr>
          <w:color w:val="231F20"/>
          <w:spacing w:val="-3"/>
        </w:rPr>
        <w:t> </w:t>
      </w:r>
      <w:r>
        <w:rPr>
          <w:color w:val="231F20"/>
        </w:rPr>
        <w:t>divided</w:t>
      </w:r>
      <w:r>
        <w:rPr>
          <w:color w:val="231F20"/>
          <w:spacing w:val="-4"/>
        </w:rPr>
        <w:t> </w:t>
      </w:r>
      <w:r>
        <w:rPr>
          <w:color w:val="231F20"/>
        </w:rPr>
        <w:t>into</w:t>
      </w:r>
      <w:r>
        <w:rPr>
          <w:color w:val="231F20"/>
          <w:spacing w:val="-5"/>
        </w:rPr>
        <w:t> </w:t>
      </w:r>
      <w:r>
        <w:rPr>
          <w:color w:val="231F20"/>
        </w:rPr>
        <w:t>three</w:t>
      </w:r>
      <w:r>
        <w:rPr>
          <w:color w:val="231F20"/>
          <w:spacing w:val="-3"/>
        </w:rPr>
        <w:t> </w:t>
      </w:r>
      <w:r>
        <w:rPr>
          <w:color w:val="231F20"/>
          <w:spacing w:val="-2"/>
        </w:rPr>
        <w:t>categories:</w:t>
      </w:r>
    </w:p>
    <w:p>
      <w:pPr>
        <w:pStyle w:val="BodyText"/>
        <w:spacing w:before="1"/>
        <w:rPr>
          <w:sz w:val="26"/>
        </w:rPr>
      </w:pPr>
    </w:p>
    <w:p>
      <w:pPr>
        <w:pStyle w:val="ListParagraph"/>
        <w:numPr>
          <w:ilvl w:val="0"/>
          <w:numId w:val="3"/>
        </w:numPr>
        <w:tabs>
          <w:tab w:pos="2160" w:val="left" w:leader="none"/>
          <w:tab w:pos="2161" w:val="left" w:leader="none"/>
        </w:tabs>
        <w:spacing w:line="273" w:lineRule="auto" w:before="1" w:after="0"/>
        <w:ind w:left="2160" w:right="1665" w:hanging="360"/>
        <w:jc w:val="left"/>
        <w:rPr>
          <w:sz w:val="20"/>
        </w:rPr>
      </w:pPr>
      <w:r>
        <w:rPr>
          <w:color w:val="231F20"/>
          <w:sz w:val="20"/>
        </w:rPr>
        <w:t>Capital assets, net of related debt: This category consists of capital assets reduced by outstanding</w:t>
      </w:r>
      <w:r>
        <w:rPr>
          <w:color w:val="231F20"/>
          <w:spacing w:val="-4"/>
          <w:sz w:val="20"/>
        </w:rPr>
        <w:t> </w:t>
      </w:r>
      <w:r>
        <w:rPr>
          <w:color w:val="231F20"/>
          <w:sz w:val="20"/>
        </w:rPr>
        <w:t>debt</w:t>
      </w:r>
      <w:r>
        <w:rPr>
          <w:color w:val="231F20"/>
          <w:spacing w:val="-5"/>
          <w:sz w:val="20"/>
        </w:rPr>
        <w:t> </w:t>
      </w:r>
      <w:r>
        <w:rPr>
          <w:color w:val="231F20"/>
          <w:sz w:val="20"/>
        </w:rPr>
        <w:t>and</w:t>
      </w:r>
      <w:r>
        <w:rPr>
          <w:color w:val="231F20"/>
          <w:spacing w:val="-4"/>
          <w:sz w:val="20"/>
        </w:rPr>
        <w:t> </w:t>
      </w:r>
      <w:r>
        <w:rPr>
          <w:color w:val="231F20"/>
          <w:sz w:val="20"/>
        </w:rPr>
        <w:t>the</w:t>
      </w:r>
      <w:r>
        <w:rPr>
          <w:color w:val="231F20"/>
          <w:spacing w:val="-5"/>
          <w:sz w:val="20"/>
        </w:rPr>
        <w:t> </w:t>
      </w:r>
      <w:r>
        <w:rPr>
          <w:color w:val="231F20"/>
          <w:sz w:val="20"/>
        </w:rPr>
        <w:t>accumulated</w:t>
      </w:r>
      <w:r>
        <w:rPr>
          <w:color w:val="231F20"/>
          <w:spacing w:val="-4"/>
          <w:sz w:val="20"/>
        </w:rPr>
        <w:t> </w:t>
      </w:r>
      <w:r>
        <w:rPr>
          <w:color w:val="231F20"/>
          <w:sz w:val="20"/>
        </w:rPr>
        <w:t>depreciation.</w:t>
      </w:r>
      <w:r>
        <w:rPr>
          <w:color w:val="231F20"/>
          <w:spacing w:val="-5"/>
          <w:sz w:val="20"/>
        </w:rPr>
        <w:t> </w:t>
      </w:r>
      <w:r>
        <w:rPr>
          <w:color w:val="231F20"/>
          <w:sz w:val="20"/>
        </w:rPr>
        <w:t>The</w:t>
      </w:r>
      <w:r>
        <w:rPr>
          <w:color w:val="231F20"/>
          <w:spacing w:val="-4"/>
          <w:sz w:val="20"/>
        </w:rPr>
        <w:t> </w:t>
      </w:r>
      <w:r>
        <w:rPr>
          <w:color w:val="231F20"/>
          <w:sz w:val="20"/>
        </w:rPr>
        <w:t>net</w:t>
      </w:r>
      <w:r>
        <w:rPr>
          <w:color w:val="231F20"/>
          <w:spacing w:val="-5"/>
          <w:sz w:val="20"/>
        </w:rPr>
        <w:t> </w:t>
      </w:r>
      <w:r>
        <w:rPr>
          <w:color w:val="231F20"/>
          <w:sz w:val="20"/>
        </w:rPr>
        <w:t>decrease</w:t>
      </w:r>
      <w:r>
        <w:rPr>
          <w:color w:val="231F20"/>
          <w:spacing w:val="-4"/>
          <w:sz w:val="20"/>
        </w:rPr>
        <w:t> </w:t>
      </w:r>
      <w:r>
        <w:rPr>
          <w:color w:val="231F20"/>
          <w:sz w:val="20"/>
        </w:rPr>
        <w:t>is</w:t>
      </w:r>
      <w:r>
        <w:rPr>
          <w:color w:val="231F20"/>
          <w:spacing w:val="-5"/>
          <w:sz w:val="20"/>
        </w:rPr>
        <w:t> </w:t>
      </w:r>
      <w:r>
        <w:rPr>
          <w:color w:val="231F20"/>
          <w:sz w:val="20"/>
        </w:rPr>
        <w:t>$126</w:t>
      </w:r>
      <w:r>
        <w:rPr>
          <w:color w:val="231F20"/>
          <w:spacing w:val="-4"/>
          <w:sz w:val="20"/>
        </w:rPr>
        <w:t> </w:t>
      </w:r>
      <w:r>
        <w:rPr>
          <w:color w:val="231F20"/>
          <w:sz w:val="20"/>
        </w:rPr>
        <w:t>thousand. Decreases in assets were due to annual depreciation.</w:t>
      </w:r>
    </w:p>
    <w:p>
      <w:pPr>
        <w:pStyle w:val="ListParagraph"/>
        <w:numPr>
          <w:ilvl w:val="0"/>
          <w:numId w:val="3"/>
        </w:numPr>
        <w:tabs>
          <w:tab w:pos="2159" w:val="left" w:leader="none"/>
          <w:tab w:pos="2161" w:val="left" w:leader="none"/>
        </w:tabs>
        <w:spacing w:line="276" w:lineRule="auto" w:before="2" w:after="0"/>
        <w:ind w:left="2159" w:right="939" w:hanging="360"/>
        <w:jc w:val="left"/>
        <w:rPr>
          <w:sz w:val="20"/>
        </w:rPr>
      </w:pPr>
      <w:r>
        <w:rPr>
          <w:color w:val="231F20"/>
          <w:sz w:val="20"/>
        </w:rPr>
        <w:t>Restricted net position: This category is subdivided into non-expendable and expendable. Non- expendable</w:t>
      </w:r>
      <w:r>
        <w:rPr>
          <w:color w:val="231F20"/>
          <w:spacing w:val="-4"/>
          <w:sz w:val="20"/>
        </w:rPr>
        <w:t> </w:t>
      </w:r>
      <w:r>
        <w:rPr>
          <w:color w:val="231F20"/>
          <w:sz w:val="20"/>
        </w:rPr>
        <w:t>are</w:t>
      </w:r>
      <w:r>
        <w:rPr>
          <w:color w:val="231F20"/>
          <w:spacing w:val="-4"/>
          <w:sz w:val="20"/>
        </w:rPr>
        <w:t> </w:t>
      </w:r>
      <w:r>
        <w:rPr>
          <w:color w:val="231F20"/>
          <w:sz w:val="20"/>
        </w:rPr>
        <w:t>restricted</w:t>
      </w:r>
      <w:r>
        <w:rPr>
          <w:color w:val="231F20"/>
          <w:spacing w:val="-4"/>
          <w:sz w:val="20"/>
        </w:rPr>
        <w:t> </w:t>
      </w:r>
      <w:r>
        <w:rPr>
          <w:color w:val="231F20"/>
          <w:sz w:val="20"/>
        </w:rPr>
        <w:t>assets</w:t>
      </w:r>
      <w:r>
        <w:rPr>
          <w:color w:val="231F20"/>
          <w:spacing w:val="-4"/>
          <w:sz w:val="20"/>
        </w:rPr>
        <w:t> </w:t>
      </w:r>
      <w:r>
        <w:rPr>
          <w:color w:val="231F20"/>
          <w:sz w:val="20"/>
        </w:rPr>
        <w:t>earmarked</w:t>
      </w:r>
      <w:r>
        <w:rPr>
          <w:color w:val="231F20"/>
          <w:spacing w:val="-4"/>
          <w:sz w:val="20"/>
        </w:rPr>
        <w:t> </w:t>
      </w:r>
      <w:r>
        <w:rPr>
          <w:color w:val="231F20"/>
          <w:sz w:val="20"/>
        </w:rPr>
        <w:t>for</w:t>
      </w:r>
      <w:r>
        <w:rPr>
          <w:color w:val="231F20"/>
          <w:spacing w:val="-4"/>
          <w:sz w:val="20"/>
        </w:rPr>
        <w:t> </w:t>
      </w:r>
      <w:r>
        <w:rPr>
          <w:color w:val="231F20"/>
          <w:sz w:val="20"/>
        </w:rPr>
        <w:t>investment</w:t>
      </w:r>
      <w:r>
        <w:rPr>
          <w:color w:val="231F20"/>
          <w:spacing w:val="-4"/>
          <w:sz w:val="20"/>
        </w:rPr>
        <w:t> </w:t>
      </w:r>
      <w:r>
        <w:rPr>
          <w:color w:val="231F20"/>
          <w:sz w:val="20"/>
        </w:rPr>
        <w:t>purposes</w:t>
      </w:r>
      <w:r>
        <w:rPr>
          <w:color w:val="231F20"/>
          <w:spacing w:val="-4"/>
          <w:sz w:val="20"/>
        </w:rPr>
        <w:t> </w:t>
      </w:r>
      <w:r>
        <w:rPr>
          <w:color w:val="231F20"/>
          <w:sz w:val="20"/>
        </w:rPr>
        <w:t>only,</w:t>
      </w:r>
      <w:r>
        <w:rPr>
          <w:color w:val="231F20"/>
          <w:spacing w:val="-4"/>
          <w:sz w:val="20"/>
        </w:rPr>
        <w:t> </w:t>
      </w:r>
      <w:r>
        <w:rPr>
          <w:color w:val="231F20"/>
          <w:sz w:val="20"/>
        </w:rPr>
        <w:t>such</w:t>
      </w:r>
      <w:r>
        <w:rPr>
          <w:color w:val="231F20"/>
          <w:spacing w:val="-4"/>
          <w:sz w:val="20"/>
        </w:rPr>
        <w:t> </w:t>
      </w:r>
      <w:r>
        <w:rPr>
          <w:color w:val="231F20"/>
          <w:sz w:val="20"/>
        </w:rPr>
        <w:t>as</w:t>
      </w:r>
      <w:r>
        <w:rPr>
          <w:color w:val="231F20"/>
          <w:spacing w:val="-3"/>
          <w:sz w:val="20"/>
        </w:rPr>
        <w:t> </w:t>
      </w:r>
      <w:r>
        <w:rPr>
          <w:color w:val="231F20"/>
          <w:sz w:val="20"/>
        </w:rPr>
        <w:t>endowments. Expendable restricted assets are available for expenditures restricted by the creditor, donor, or other external sources such as grants and contracts. The restricted net position category decreased by $10.5 million.</w:t>
      </w:r>
    </w:p>
    <w:p>
      <w:pPr>
        <w:pStyle w:val="ListParagraph"/>
        <w:numPr>
          <w:ilvl w:val="0"/>
          <w:numId w:val="3"/>
        </w:numPr>
        <w:tabs>
          <w:tab w:pos="2159" w:val="left" w:leader="none"/>
          <w:tab w:pos="2160" w:val="left" w:leader="none"/>
        </w:tabs>
        <w:spacing w:line="271" w:lineRule="auto" w:before="0" w:after="0"/>
        <w:ind w:left="2159" w:right="1008" w:hanging="361"/>
        <w:jc w:val="left"/>
        <w:rPr>
          <w:sz w:val="20"/>
        </w:rPr>
      </w:pPr>
      <w:r>
        <w:rPr>
          <w:color w:val="231F20"/>
          <w:sz w:val="20"/>
        </w:rPr>
        <w:t>Unrestricted</w:t>
      </w:r>
      <w:r>
        <w:rPr>
          <w:color w:val="231F20"/>
          <w:spacing w:val="-3"/>
          <w:sz w:val="20"/>
        </w:rPr>
        <w:t> </w:t>
      </w:r>
      <w:r>
        <w:rPr>
          <w:color w:val="231F20"/>
          <w:sz w:val="20"/>
        </w:rPr>
        <w:t>net</w:t>
      </w:r>
      <w:r>
        <w:rPr>
          <w:color w:val="231F20"/>
          <w:spacing w:val="-3"/>
          <w:sz w:val="20"/>
        </w:rPr>
        <w:t> </w:t>
      </w:r>
      <w:r>
        <w:rPr>
          <w:color w:val="231F20"/>
          <w:sz w:val="20"/>
        </w:rPr>
        <w:t>position:</w:t>
      </w:r>
      <w:r>
        <w:rPr>
          <w:color w:val="231F20"/>
          <w:spacing w:val="-3"/>
          <w:sz w:val="20"/>
        </w:rPr>
        <w:t> </w:t>
      </w:r>
      <w:r>
        <w:rPr>
          <w:color w:val="231F20"/>
          <w:sz w:val="20"/>
        </w:rPr>
        <w:t>This</w:t>
      </w:r>
      <w:r>
        <w:rPr>
          <w:color w:val="231F20"/>
          <w:spacing w:val="-4"/>
          <w:sz w:val="20"/>
        </w:rPr>
        <w:t> </w:t>
      </w:r>
      <w:r>
        <w:rPr>
          <w:color w:val="231F20"/>
          <w:sz w:val="20"/>
        </w:rPr>
        <w:t>category</w:t>
      </w:r>
      <w:r>
        <w:rPr>
          <w:color w:val="231F20"/>
          <w:spacing w:val="-3"/>
          <w:sz w:val="20"/>
        </w:rPr>
        <w:t> </w:t>
      </w:r>
      <w:r>
        <w:rPr>
          <w:color w:val="231F20"/>
          <w:sz w:val="20"/>
        </w:rPr>
        <w:t>reports</w:t>
      </w:r>
      <w:r>
        <w:rPr>
          <w:color w:val="231F20"/>
          <w:spacing w:val="-1"/>
          <w:sz w:val="20"/>
        </w:rPr>
        <w:t> </w:t>
      </w:r>
      <w:r>
        <w:rPr>
          <w:color w:val="231F20"/>
          <w:sz w:val="20"/>
        </w:rPr>
        <w:t>the</w:t>
      </w:r>
      <w:r>
        <w:rPr>
          <w:color w:val="231F20"/>
          <w:spacing w:val="-3"/>
          <w:sz w:val="20"/>
        </w:rPr>
        <w:t> </w:t>
      </w:r>
      <w:r>
        <w:rPr>
          <w:color w:val="231F20"/>
          <w:sz w:val="20"/>
        </w:rPr>
        <w:t>assets</w:t>
      </w:r>
      <w:r>
        <w:rPr>
          <w:color w:val="231F20"/>
          <w:spacing w:val="-3"/>
          <w:sz w:val="20"/>
        </w:rPr>
        <w:t> </w:t>
      </w:r>
      <w:r>
        <w:rPr>
          <w:color w:val="231F20"/>
          <w:sz w:val="20"/>
        </w:rPr>
        <w:t>available</w:t>
      </w:r>
      <w:r>
        <w:rPr>
          <w:color w:val="231F20"/>
          <w:spacing w:val="-3"/>
          <w:sz w:val="20"/>
        </w:rPr>
        <w:t> </w:t>
      </w:r>
      <w:r>
        <w:rPr>
          <w:color w:val="231F20"/>
          <w:sz w:val="20"/>
        </w:rPr>
        <w:t>to</w:t>
      </w:r>
      <w:r>
        <w:rPr>
          <w:color w:val="231F20"/>
          <w:spacing w:val="-3"/>
          <w:sz w:val="20"/>
        </w:rPr>
        <w:t> </w:t>
      </w:r>
      <w:r>
        <w:rPr>
          <w:color w:val="231F20"/>
          <w:sz w:val="20"/>
        </w:rPr>
        <w:t>New</w:t>
      </w:r>
      <w:r>
        <w:rPr>
          <w:color w:val="231F20"/>
          <w:spacing w:val="-3"/>
          <w:sz w:val="20"/>
        </w:rPr>
        <w:t> </w:t>
      </w:r>
      <w:r>
        <w:rPr>
          <w:color w:val="231F20"/>
          <w:sz w:val="20"/>
        </w:rPr>
        <w:t>Mexico</w:t>
      </w:r>
      <w:r>
        <w:rPr>
          <w:color w:val="231F20"/>
          <w:spacing w:val="-3"/>
          <w:sz w:val="20"/>
        </w:rPr>
        <w:t> </w:t>
      </w:r>
      <w:r>
        <w:rPr>
          <w:color w:val="231F20"/>
          <w:sz w:val="20"/>
        </w:rPr>
        <w:t>Tech</w:t>
      </w:r>
      <w:r>
        <w:rPr>
          <w:color w:val="231F20"/>
          <w:spacing w:val="-3"/>
          <w:sz w:val="20"/>
        </w:rPr>
        <w:t> </w:t>
      </w:r>
      <w:r>
        <w:rPr>
          <w:color w:val="231F20"/>
          <w:sz w:val="20"/>
        </w:rPr>
        <w:t>for</w:t>
      </w:r>
      <w:r>
        <w:rPr>
          <w:color w:val="231F20"/>
          <w:spacing w:val="-3"/>
          <w:sz w:val="20"/>
        </w:rPr>
        <w:t> </w:t>
      </w:r>
      <w:r>
        <w:rPr>
          <w:color w:val="231F20"/>
          <w:sz w:val="20"/>
        </w:rPr>
        <w:t>any lawful purpose. These funds decreased by $1.0 million.</w:t>
      </w:r>
    </w:p>
    <w:p>
      <w:pPr>
        <w:pStyle w:val="BodyText"/>
        <w:spacing w:before="1"/>
        <w:rPr>
          <w:sz w:val="23"/>
        </w:rPr>
      </w:pPr>
    </w:p>
    <w:p>
      <w:pPr>
        <w:pStyle w:val="Heading4"/>
        <w:spacing w:before="1"/>
        <w:ind w:left="1439"/>
      </w:pPr>
      <w:r>
        <w:rPr>
          <w:color w:val="231F20"/>
        </w:rPr>
        <w:t>Statement</w:t>
      </w:r>
      <w:r>
        <w:rPr>
          <w:color w:val="231F20"/>
          <w:spacing w:val="-7"/>
        </w:rPr>
        <w:t> </w:t>
      </w:r>
      <w:r>
        <w:rPr>
          <w:color w:val="231F20"/>
        </w:rPr>
        <w:t>of</w:t>
      </w:r>
      <w:r>
        <w:rPr>
          <w:color w:val="231F20"/>
          <w:spacing w:val="-5"/>
        </w:rPr>
        <w:t> </w:t>
      </w:r>
      <w:r>
        <w:rPr>
          <w:color w:val="231F20"/>
        </w:rPr>
        <w:t>Revenue,</w:t>
      </w:r>
      <w:r>
        <w:rPr>
          <w:color w:val="231F20"/>
          <w:spacing w:val="-5"/>
        </w:rPr>
        <w:t> </w:t>
      </w:r>
      <w:r>
        <w:rPr>
          <w:color w:val="231F20"/>
        </w:rPr>
        <w:t>Expenses</w:t>
      </w:r>
      <w:r>
        <w:rPr>
          <w:color w:val="231F20"/>
          <w:spacing w:val="-4"/>
        </w:rPr>
        <w:t> </w:t>
      </w:r>
      <w:r>
        <w:rPr>
          <w:color w:val="231F20"/>
        </w:rPr>
        <w:t>and</w:t>
      </w:r>
      <w:r>
        <w:rPr>
          <w:color w:val="231F20"/>
          <w:spacing w:val="-5"/>
        </w:rPr>
        <w:t> </w:t>
      </w:r>
      <w:r>
        <w:rPr>
          <w:color w:val="231F20"/>
        </w:rPr>
        <w:t>Changes</w:t>
      </w:r>
      <w:r>
        <w:rPr>
          <w:color w:val="231F20"/>
          <w:spacing w:val="-5"/>
        </w:rPr>
        <w:t> </w:t>
      </w:r>
      <w:r>
        <w:rPr>
          <w:color w:val="231F20"/>
        </w:rPr>
        <w:t>in</w:t>
      </w:r>
      <w:r>
        <w:rPr>
          <w:color w:val="231F20"/>
          <w:spacing w:val="-4"/>
        </w:rPr>
        <w:t> </w:t>
      </w:r>
      <w:r>
        <w:rPr>
          <w:color w:val="231F20"/>
        </w:rPr>
        <w:t>Net</w:t>
      </w:r>
      <w:r>
        <w:rPr>
          <w:color w:val="231F20"/>
          <w:spacing w:val="-4"/>
        </w:rPr>
        <w:t> </w:t>
      </w:r>
      <w:r>
        <w:rPr>
          <w:color w:val="231F20"/>
          <w:spacing w:val="-2"/>
        </w:rPr>
        <w:t>Position</w:t>
      </w:r>
    </w:p>
    <w:p>
      <w:pPr>
        <w:pStyle w:val="BodyText"/>
        <w:spacing w:line="276" w:lineRule="auto" w:before="33"/>
        <w:ind w:left="1439" w:right="891"/>
      </w:pPr>
      <w:r>
        <w:rPr>
          <w:color w:val="231F20"/>
          <w:spacing w:val="-2"/>
        </w:rPr>
        <w:t>The</w:t>
      </w:r>
      <w:r>
        <w:rPr>
          <w:color w:val="231F20"/>
          <w:spacing w:val="-12"/>
        </w:rPr>
        <w:t> </w:t>
      </w:r>
      <w:r>
        <w:rPr>
          <w:color w:val="231F20"/>
          <w:spacing w:val="-2"/>
        </w:rPr>
        <w:t>Statement</w:t>
      </w:r>
      <w:r>
        <w:rPr>
          <w:color w:val="231F20"/>
          <w:spacing w:val="-12"/>
        </w:rPr>
        <w:t> </w:t>
      </w:r>
      <w:r>
        <w:rPr>
          <w:color w:val="231F20"/>
          <w:spacing w:val="-2"/>
        </w:rPr>
        <w:t>of</w:t>
      </w:r>
      <w:r>
        <w:rPr>
          <w:color w:val="231F20"/>
          <w:spacing w:val="-12"/>
        </w:rPr>
        <w:t> </w:t>
      </w:r>
      <w:r>
        <w:rPr>
          <w:color w:val="231F20"/>
          <w:spacing w:val="-2"/>
        </w:rPr>
        <w:t>Revenues,</w:t>
      </w:r>
      <w:r>
        <w:rPr>
          <w:color w:val="231F20"/>
          <w:spacing w:val="-12"/>
        </w:rPr>
        <w:t> </w:t>
      </w:r>
      <w:r>
        <w:rPr>
          <w:color w:val="231F20"/>
          <w:spacing w:val="-2"/>
        </w:rPr>
        <w:t>Expenses</w:t>
      </w:r>
      <w:r>
        <w:rPr>
          <w:color w:val="231F20"/>
          <w:spacing w:val="-12"/>
        </w:rPr>
        <w:t> </w:t>
      </w:r>
      <w:r>
        <w:rPr>
          <w:color w:val="231F20"/>
          <w:spacing w:val="-2"/>
        </w:rPr>
        <w:t>and</w:t>
      </w:r>
      <w:r>
        <w:rPr>
          <w:color w:val="231F20"/>
          <w:spacing w:val="-12"/>
        </w:rPr>
        <w:t> </w:t>
      </w:r>
      <w:r>
        <w:rPr>
          <w:color w:val="231F20"/>
          <w:spacing w:val="-2"/>
        </w:rPr>
        <w:t>Changes</w:t>
      </w:r>
      <w:r>
        <w:rPr>
          <w:color w:val="231F20"/>
          <w:spacing w:val="-12"/>
        </w:rPr>
        <w:t> </w:t>
      </w:r>
      <w:r>
        <w:rPr>
          <w:color w:val="231F20"/>
          <w:spacing w:val="-2"/>
        </w:rPr>
        <w:t>in</w:t>
      </w:r>
      <w:r>
        <w:rPr>
          <w:color w:val="231F20"/>
          <w:spacing w:val="-12"/>
        </w:rPr>
        <w:t> </w:t>
      </w:r>
      <w:r>
        <w:rPr>
          <w:color w:val="231F20"/>
          <w:spacing w:val="-2"/>
        </w:rPr>
        <w:t>Net</w:t>
      </w:r>
      <w:r>
        <w:rPr>
          <w:color w:val="231F20"/>
          <w:spacing w:val="-12"/>
        </w:rPr>
        <w:t> </w:t>
      </w:r>
      <w:r>
        <w:rPr>
          <w:color w:val="231F20"/>
          <w:spacing w:val="-2"/>
        </w:rPr>
        <w:t>Position</w:t>
      </w:r>
      <w:r>
        <w:rPr>
          <w:color w:val="231F20"/>
          <w:spacing w:val="-12"/>
        </w:rPr>
        <w:t> </w:t>
      </w:r>
      <w:r>
        <w:rPr>
          <w:color w:val="231F20"/>
          <w:spacing w:val="-2"/>
        </w:rPr>
        <w:t>(SRECNP)</w:t>
      </w:r>
      <w:r>
        <w:rPr>
          <w:color w:val="231F20"/>
          <w:spacing w:val="-12"/>
        </w:rPr>
        <w:t> </w:t>
      </w:r>
      <w:r>
        <w:rPr>
          <w:color w:val="231F20"/>
          <w:spacing w:val="-2"/>
        </w:rPr>
        <w:t>is</w:t>
      </w:r>
      <w:r>
        <w:rPr>
          <w:color w:val="231F20"/>
          <w:spacing w:val="-12"/>
        </w:rPr>
        <w:t> </w:t>
      </w:r>
      <w:r>
        <w:rPr>
          <w:color w:val="231F20"/>
          <w:spacing w:val="-2"/>
        </w:rPr>
        <w:t>a</w:t>
      </w:r>
      <w:r>
        <w:rPr>
          <w:color w:val="231F20"/>
          <w:spacing w:val="-12"/>
        </w:rPr>
        <w:t> </w:t>
      </w:r>
      <w:r>
        <w:rPr>
          <w:color w:val="231F20"/>
          <w:spacing w:val="-2"/>
        </w:rPr>
        <w:t>report</w:t>
      </w:r>
      <w:r>
        <w:rPr>
          <w:color w:val="231F20"/>
          <w:spacing w:val="-11"/>
        </w:rPr>
        <w:t> </w:t>
      </w:r>
      <w:r>
        <w:rPr>
          <w:color w:val="231F20"/>
          <w:spacing w:val="-2"/>
        </w:rPr>
        <w:t>of</w:t>
      </w:r>
      <w:r>
        <w:rPr>
          <w:color w:val="231F20"/>
          <w:spacing w:val="-12"/>
        </w:rPr>
        <w:t> </w:t>
      </w:r>
      <w:r>
        <w:rPr>
          <w:color w:val="231F20"/>
          <w:spacing w:val="-2"/>
        </w:rPr>
        <w:t>New</w:t>
      </w:r>
      <w:r>
        <w:rPr>
          <w:color w:val="231F20"/>
          <w:spacing w:val="-12"/>
        </w:rPr>
        <w:t> </w:t>
      </w:r>
      <w:r>
        <w:rPr>
          <w:color w:val="231F20"/>
          <w:spacing w:val="-2"/>
        </w:rPr>
        <w:t>Mexico </w:t>
      </w:r>
      <w:r>
        <w:rPr>
          <w:color w:val="231F20"/>
          <w:spacing w:val="-6"/>
        </w:rPr>
        <w:t>Tech’s economic activity for the twelve-month period or fiscal year ending June 30, 2022. The SRECNP reports </w:t>
      </w:r>
      <w:r>
        <w:rPr>
          <w:color w:val="231F20"/>
          <w:spacing w:val="-2"/>
        </w:rPr>
        <w:t>the</w:t>
      </w:r>
      <w:r>
        <w:rPr>
          <w:color w:val="231F20"/>
          <w:spacing w:val="-12"/>
        </w:rPr>
        <w:t> </w:t>
      </w:r>
      <w:r>
        <w:rPr>
          <w:color w:val="231F20"/>
          <w:spacing w:val="-2"/>
        </w:rPr>
        <w:t>revenues</w:t>
      </w:r>
      <w:r>
        <w:rPr>
          <w:color w:val="231F20"/>
          <w:spacing w:val="-12"/>
        </w:rPr>
        <w:t> </w:t>
      </w:r>
      <w:r>
        <w:rPr>
          <w:color w:val="231F20"/>
          <w:spacing w:val="-2"/>
        </w:rPr>
        <w:t>and</w:t>
      </w:r>
      <w:r>
        <w:rPr>
          <w:color w:val="231F20"/>
          <w:spacing w:val="-12"/>
        </w:rPr>
        <w:t> </w:t>
      </w:r>
      <w:r>
        <w:rPr>
          <w:color w:val="231F20"/>
          <w:spacing w:val="-2"/>
        </w:rPr>
        <w:t>expenses</w:t>
      </w:r>
      <w:r>
        <w:rPr>
          <w:color w:val="231F20"/>
          <w:spacing w:val="-12"/>
        </w:rPr>
        <w:t> </w:t>
      </w:r>
      <w:r>
        <w:rPr>
          <w:color w:val="231F20"/>
          <w:spacing w:val="-2"/>
        </w:rPr>
        <w:t>for</w:t>
      </w:r>
      <w:r>
        <w:rPr>
          <w:color w:val="231F20"/>
          <w:spacing w:val="-12"/>
        </w:rPr>
        <w:t> </w:t>
      </w:r>
      <w:r>
        <w:rPr>
          <w:color w:val="231F20"/>
          <w:spacing w:val="-2"/>
        </w:rPr>
        <w:t>one</w:t>
      </w:r>
      <w:r>
        <w:rPr>
          <w:color w:val="231F20"/>
          <w:spacing w:val="-12"/>
        </w:rPr>
        <w:t> </w:t>
      </w:r>
      <w:r>
        <w:rPr>
          <w:color w:val="231F20"/>
          <w:spacing w:val="-2"/>
        </w:rPr>
        <w:t>year</w:t>
      </w:r>
      <w:r>
        <w:rPr>
          <w:color w:val="231F20"/>
          <w:spacing w:val="-12"/>
        </w:rPr>
        <w:t> </w:t>
      </w:r>
      <w:r>
        <w:rPr>
          <w:color w:val="231F20"/>
          <w:spacing w:val="-2"/>
        </w:rPr>
        <w:t>of</w:t>
      </w:r>
      <w:r>
        <w:rPr>
          <w:color w:val="231F20"/>
          <w:spacing w:val="-12"/>
        </w:rPr>
        <w:t> </w:t>
      </w:r>
      <w:r>
        <w:rPr>
          <w:color w:val="231F20"/>
          <w:spacing w:val="-2"/>
        </w:rPr>
        <w:t>activity,</w:t>
      </w:r>
      <w:r>
        <w:rPr>
          <w:color w:val="231F20"/>
          <w:spacing w:val="-12"/>
        </w:rPr>
        <w:t> </w:t>
      </w:r>
      <w:r>
        <w:rPr>
          <w:color w:val="231F20"/>
          <w:spacing w:val="-2"/>
        </w:rPr>
        <w:t>unlike</w:t>
      </w:r>
      <w:r>
        <w:rPr>
          <w:color w:val="231F20"/>
          <w:spacing w:val="-12"/>
        </w:rPr>
        <w:t> </w:t>
      </w:r>
      <w:r>
        <w:rPr>
          <w:color w:val="231F20"/>
          <w:spacing w:val="-2"/>
        </w:rPr>
        <w:t>the</w:t>
      </w:r>
      <w:r>
        <w:rPr>
          <w:color w:val="231F20"/>
          <w:spacing w:val="-12"/>
        </w:rPr>
        <w:t> </w:t>
      </w:r>
      <w:r>
        <w:rPr>
          <w:color w:val="231F20"/>
          <w:spacing w:val="-2"/>
        </w:rPr>
        <w:t>Statement</w:t>
      </w:r>
      <w:r>
        <w:rPr>
          <w:color w:val="231F20"/>
          <w:spacing w:val="-12"/>
        </w:rPr>
        <w:t> </w:t>
      </w:r>
      <w:r>
        <w:rPr>
          <w:color w:val="231F20"/>
          <w:spacing w:val="-2"/>
        </w:rPr>
        <w:t>of</w:t>
      </w:r>
      <w:r>
        <w:rPr>
          <w:color w:val="231F20"/>
          <w:spacing w:val="-12"/>
        </w:rPr>
        <w:t> </w:t>
      </w:r>
      <w:r>
        <w:rPr>
          <w:color w:val="231F20"/>
          <w:spacing w:val="-2"/>
        </w:rPr>
        <w:t>Net</w:t>
      </w:r>
      <w:r>
        <w:rPr>
          <w:color w:val="231F20"/>
          <w:spacing w:val="-11"/>
        </w:rPr>
        <w:t> </w:t>
      </w:r>
      <w:r>
        <w:rPr>
          <w:color w:val="231F20"/>
          <w:spacing w:val="-2"/>
        </w:rPr>
        <w:t>Position</w:t>
      </w:r>
      <w:r>
        <w:rPr>
          <w:color w:val="231F20"/>
          <w:spacing w:val="-12"/>
        </w:rPr>
        <w:t> </w:t>
      </w:r>
      <w:r>
        <w:rPr>
          <w:color w:val="231F20"/>
          <w:spacing w:val="-2"/>
        </w:rPr>
        <w:t>(SNP),</w:t>
      </w:r>
      <w:r>
        <w:rPr>
          <w:color w:val="231F20"/>
          <w:spacing w:val="-12"/>
        </w:rPr>
        <w:t> </w:t>
      </w:r>
      <w:r>
        <w:rPr>
          <w:color w:val="231F20"/>
          <w:spacing w:val="-2"/>
        </w:rPr>
        <w:t>which</w:t>
      </w:r>
      <w:r>
        <w:rPr>
          <w:color w:val="231F20"/>
          <w:spacing w:val="-12"/>
        </w:rPr>
        <w:t> </w:t>
      </w:r>
      <w:r>
        <w:rPr>
          <w:color w:val="231F20"/>
          <w:spacing w:val="-2"/>
        </w:rPr>
        <w:t>is</w:t>
      </w:r>
      <w:r>
        <w:rPr>
          <w:color w:val="231F20"/>
          <w:spacing w:val="-12"/>
        </w:rPr>
        <w:t> </w:t>
      </w:r>
      <w:r>
        <w:rPr>
          <w:color w:val="231F20"/>
          <w:spacing w:val="-2"/>
        </w:rPr>
        <w:t>a </w:t>
      </w:r>
      <w:r>
        <w:rPr>
          <w:color w:val="231F20"/>
          <w:spacing w:val="-4"/>
        </w:rPr>
        <w:t>snapshot</w:t>
      </w:r>
      <w:r>
        <w:rPr>
          <w:color w:val="231F20"/>
          <w:spacing w:val="-9"/>
        </w:rPr>
        <w:t> </w:t>
      </w:r>
      <w:r>
        <w:rPr>
          <w:color w:val="231F20"/>
          <w:spacing w:val="-4"/>
        </w:rPr>
        <w:t>of</w:t>
      </w:r>
      <w:r>
        <w:rPr>
          <w:color w:val="231F20"/>
          <w:spacing w:val="-11"/>
        </w:rPr>
        <w:t> </w:t>
      </w:r>
      <w:r>
        <w:rPr>
          <w:color w:val="231F20"/>
          <w:spacing w:val="-4"/>
        </w:rPr>
        <w:t>New</w:t>
      </w:r>
      <w:r>
        <w:rPr>
          <w:color w:val="231F20"/>
          <w:spacing w:val="-10"/>
        </w:rPr>
        <w:t> </w:t>
      </w:r>
      <w:r>
        <w:rPr>
          <w:color w:val="231F20"/>
          <w:spacing w:val="-4"/>
        </w:rPr>
        <w:t>Mexico</w:t>
      </w:r>
      <w:r>
        <w:rPr>
          <w:color w:val="231F20"/>
          <w:spacing w:val="-9"/>
        </w:rPr>
        <w:t> </w:t>
      </w:r>
      <w:r>
        <w:rPr>
          <w:color w:val="231F20"/>
          <w:spacing w:val="-4"/>
        </w:rPr>
        <w:t>Tech’s</w:t>
      </w:r>
      <w:r>
        <w:rPr>
          <w:color w:val="231F20"/>
          <w:spacing w:val="-9"/>
        </w:rPr>
        <w:t> </w:t>
      </w:r>
      <w:r>
        <w:rPr>
          <w:color w:val="231F20"/>
          <w:spacing w:val="-4"/>
        </w:rPr>
        <w:t>financial</w:t>
      </w:r>
      <w:r>
        <w:rPr>
          <w:color w:val="231F20"/>
          <w:spacing w:val="-11"/>
        </w:rPr>
        <w:t> </w:t>
      </w:r>
      <w:r>
        <w:rPr>
          <w:color w:val="231F20"/>
          <w:spacing w:val="-4"/>
        </w:rPr>
        <w:t>position</w:t>
      </w:r>
      <w:r>
        <w:rPr>
          <w:color w:val="231F20"/>
          <w:spacing w:val="-9"/>
        </w:rPr>
        <w:t> </w:t>
      </w:r>
      <w:r>
        <w:rPr>
          <w:color w:val="231F20"/>
          <w:spacing w:val="-4"/>
        </w:rPr>
        <w:t>as</w:t>
      </w:r>
      <w:r>
        <w:rPr>
          <w:color w:val="231F20"/>
          <w:spacing w:val="-9"/>
        </w:rPr>
        <w:t> </w:t>
      </w:r>
      <w:r>
        <w:rPr>
          <w:color w:val="231F20"/>
          <w:spacing w:val="-4"/>
        </w:rPr>
        <w:t>of</w:t>
      </w:r>
      <w:r>
        <w:rPr>
          <w:color w:val="231F20"/>
          <w:spacing w:val="-8"/>
        </w:rPr>
        <w:t> </w:t>
      </w:r>
      <w:r>
        <w:rPr>
          <w:color w:val="231F20"/>
          <w:spacing w:val="-4"/>
        </w:rPr>
        <w:t>the</w:t>
      </w:r>
      <w:r>
        <w:rPr>
          <w:color w:val="231F20"/>
          <w:spacing w:val="-10"/>
        </w:rPr>
        <w:t> </w:t>
      </w:r>
      <w:r>
        <w:rPr>
          <w:color w:val="231F20"/>
          <w:spacing w:val="-4"/>
        </w:rPr>
        <w:t>date</w:t>
      </w:r>
      <w:r>
        <w:rPr>
          <w:color w:val="231F20"/>
          <w:spacing w:val="-9"/>
        </w:rPr>
        <w:t> </w:t>
      </w:r>
      <w:r>
        <w:rPr>
          <w:color w:val="231F20"/>
          <w:spacing w:val="-4"/>
        </w:rPr>
        <w:t>of</w:t>
      </w:r>
      <w:r>
        <w:rPr>
          <w:color w:val="231F20"/>
          <w:spacing w:val="-10"/>
        </w:rPr>
        <w:t> </w:t>
      </w:r>
      <w:r>
        <w:rPr>
          <w:color w:val="231F20"/>
          <w:spacing w:val="-4"/>
        </w:rPr>
        <w:t>the</w:t>
      </w:r>
      <w:r>
        <w:rPr>
          <w:color w:val="231F20"/>
          <w:spacing w:val="-11"/>
        </w:rPr>
        <w:t> </w:t>
      </w:r>
      <w:r>
        <w:rPr>
          <w:color w:val="231F20"/>
          <w:spacing w:val="-4"/>
        </w:rPr>
        <w:t>statement.</w:t>
      </w:r>
      <w:r>
        <w:rPr>
          <w:color w:val="231F20"/>
          <w:spacing w:val="-9"/>
        </w:rPr>
        <w:t> </w:t>
      </w:r>
      <w:r>
        <w:rPr>
          <w:color w:val="231F20"/>
          <w:spacing w:val="-4"/>
        </w:rPr>
        <w:t>Operating</w:t>
      </w:r>
      <w:r>
        <w:rPr>
          <w:color w:val="231F20"/>
          <w:spacing w:val="-10"/>
        </w:rPr>
        <w:t> </w:t>
      </w:r>
      <w:r>
        <w:rPr>
          <w:color w:val="231F20"/>
          <w:spacing w:val="-4"/>
        </w:rPr>
        <w:t>and</w:t>
      </w:r>
      <w:r>
        <w:rPr>
          <w:color w:val="231F20"/>
          <w:spacing w:val="-10"/>
        </w:rPr>
        <w:t> </w:t>
      </w:r>
      <w:r>
        <w:rPr>
          <w:color w:val="231F20"/>
          <w:spacing w:val="-4"/>
        </w:rPr>
        <w:t>non-operating </w:t>
      </w:r>
      <w:r>
        <w:rPr>
          <w:color w:val="231F20"/>
          <w:spacing w:val="-2"/>
        </w:rPr>
        <w:t>revenues</w:t>
      </w:r>
      <w:r>
        <w:rPr>
          <w:color w:val="231F20"/>
          <w:spacing w:val="-5"/>
        </w:rPr>
        <w:t> </w:t>
      </w:r>
      <w:r>
        <w:rPr>
          <w:color w:val="231F20"/>
          <w:spacing w:val="-2"/>
        </w:rPr>
        <w:t>and</w:t>
      </w:r>
      <w:r>
        <w:rPr>
          <w:color w:val="231F20"/>
          <w:spacing w:val="-7"/>
        </w:rPr>
        <w:t> </w:t>
      </w:r>
      <w:r>
        <w:rPr>
          <w:color w:val="231F20"/>
          <w:spacing w:val="-2"/>
        </w:rPr>
        <w:t>expenditures</w:t>
      </w:r>
      <w:r>
        <w:rPr>
          <w:color w:val="231F20"/>
          <w:spacing w:val="-7"/>
        </w:rPr>
        <w:t> </w:t>
      </w:r>
      <w:r>
        <w:rPr>
          <w:color w:val="231F20"/>
          <w:spacing w:val="-2"/>
        </w:rPr>
        <w:t>are</w:t>
      </w:r>
      <w:r>
        <w:rPr>
          <w:color w:val="231F20"/>
          <w:spacing w:val="-5"/>
        </w:rPr>
        <w:t> </w:t>
      </w:r>
      <w:r>
        <w:rPr>
          <w:color w:val="231F20"/>
          <w:spacing w:val="-2"/>
        </w:rPr>
        <w:t>reported</w:t>
      </w:r>
      <w:r>
        <w:rPr>
          <w:color w:val="231F20"/>
          <w:spacing w:val="-5"/>
        </w:rPr>
        <w:t> </w:t>
      </w:r>
      <w:r>
        <w:rPr>
          <w:color w:val="231F20"/>
          <w:spacing w:val="-2"/>
        </w:rPr>
        <w:t>in</w:t>
      </w:r>
      <w:r>
        <w:rPr>
          <w:color w:val="231F20"/>
          <w:spacing w:val="-6"/>
        </w:rPr>
        <w:t> </w:t>
      </w:r>
      <w:r>
        <w:rPr>
          <w:color w:val="231F20"/>
          <w:spacing w:val="-2"/>
        </w:rPr>
        <w:t>this</w:t>
      </w:r>
      <w:r>
        <w:rPr>
          <w:color w:val="231F20"/>
          <w:spacing w:val="-6"/>
        </w:rPr>
        <w:t> </w:t>
      </w:r>
      <w:r>
        <w:rPr>
          <w:color w:val="231F20"/>
          <w:spacing w:val="-2"/>
        </w:rPr>
        <w:t>statement.</w:t>
      </w:r>
    </w:p>
    <w:p>
      <w:pPr>
        <w:pStyle w:val="BodyText"/>
        <w:spacing w:before="1"/>
        <w:rPr>
          <w:sz w:val="23"/>
        </w:rPr>
      </w:pPr>
    </w:p>
    <w:p>
      <w:pPr>
        <w:pStyle w:val="BodyText"/>
        <w:ind w:left="1439"/>
      </w:pPr>
      <w:r>
        <w:rPr>
          <w:color w:val="231F20"/>
        </w:rPr>
        <w:t>Comparative</w:t>
      </w:r>
      <w:r>
        <w:rPr>
          <w:color w:val="231F20"/>
          <w:spacing w:val="-6"/>
        </w:rPr>
        <w:t> </w:t>
      </w:r>
      <w:r>
        <w:rPr>
          <w:color w:val="231F20"/>
        </w:rPr>
        <w:t>Statement</w:t>
      </w:r>
      <w:r>
        <w:rPr>
          <w:color w:val="231F20"/>
          <w:spacing w:val="-3"/>
        </w:rPr>
        <w:t> </w:t>
      </w:r>
      <w:r>
        <w:rPr>
          <w:color w:val="231F20"/>
        </w:rPr>
        <w:t>of</w:t>
      </w:r>
      <w:r>
        <w:rPr>
          <w:color w:val="231F20"/>
          <w:spacing w:val="-3"/>
        </w:rPr>
        <w:t> </w:t>
      </w:r>
      <w:r>
        <w:rPr>
          <w:color w:val="231F20"/>
        </w:rPr>
        <w:t>Revenues</w:t>
      </w:r>
      <w:r>
        <w:rPr>
          <w:color w:val="231F20"/>
          <w:spacing w:val="-2"/>
        </w:rPr>
        <w:t> </w:t>
      </w:r>
      <w:r>
        <w:rPr>
          <w:color w:val="231F20"/>
        </w:rPr>
        <w:t>and</w:t>
      </w:r>
      <w:r>
        <w:rPr>
          <w:color w:val="231F20"/>
          <w:spacing w:val="-3"/>
        </w:rPr>
        <w:t> </w:t>
      </w:r>
      <w:r>
        <w:rPr>
          <w:color w:val="231F20"/>
        </w:rPr>
        <w:t>Expenses</w:t>
      </w:r>
      <w:r>
        <w:rPr>
          <w:color w:val="231F20"/>
          <w:spacing w:val="-3"/>
        </w:rPr>
        <w:t> </w:t>
      </w:r>
      <w:r>
        <w:rPr>
          <w:color w:val="231F20"/>
        </w:rPr>
        <w:t>(in</w:t>
      </w:r>
      <w:r>
        <w:rPr>
          <w:color w:val="231F20"/>
          <w:spacing w:val="-2"/>
        </w:rPr>
        <w:t> </w:t>
      </w:r>
      <w:r>
        <w:rPr>
          <w:color w:val="231F20"/>
        </w:rPr>
        <w:t>thousands)</w:t>
      </w:r>
      <w:r>
        <w:rPr>
          <w:color w:val="231F20"/>
          <w:spacing w:val="-4"/>
        </w:rPr>
        <w:t> </w:t>
      </w:r>
      <w:r>
        <w:rPr>
          <w:color w:val="231F20"/>
        </w:rPr>
        <w:t>for</w:t>
      </w:r>
      <w:r>
        <w:rPr>
          <w:color w:val="231F20"/>
          <w:spacing w:val="-3"/>
        </w:rPr>
        <w:t> </w:t>
      </w:r>
      <w:r>
        <w:rPr>
          <w:color w:val="231F20"/>
        </w:rPr>
        <w:t>the</w:t>
      </w:r>
      <w:r>
        <w:rPr>
          <w:color w:val="231F20"/>
          <w:spacing w:val="-3"/>
        </w:rPr>
        <w:t> </w:t>
      </w:r>
      <w:r>
        <w:rPr>
          <w:color w:val="231F20"/>
        </w:rPr>
        <w:t>two</w:t>
      </w:r>
      <w:r>
        <w:rPr>
          <w:color w:val="231F20"/>
          <w:spacing w:val="-3"/>
        </w:rPr>
        <w:t> </w:t>
      </w:r>
      <w:r>
        <w:rPr>
          <w:color w:val="231F20"/>
        </w:rPr>
        <w:t>years</w:t>
      </w:r>
      <w:r>
        <w:rPr>
          <w:color w:val="231F20"/>
          <w:spacing w:val="-2"/>
        </w:rPr>
        <w:t> ending:</w:t>
      </w:r>
    </w:p>
    <w:p>
      <w:pPr>
        <w:pStyle w:val="BodyText"/>
        <w:spacing w:before="7"/>
        <w:rPr>
          <w:sz w:val="27"/>
        </w:rPr>
      </w:pPr>
    </w:p>
    <w:tbl>
      <w:tblPr>
        <w:tblW w:w="0" w:type="auto"/>
        <w:jc w:val="left"/>
        <w:tblInd w:w="1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68"/>
        <w:gridCol w:w="1729"/>
        <w:gridCol w:w="1695"/>
        <w:gridCol w:w="1694"/>
        <w:gridCol w:w="1194"/>
      </w:tblGrid>
      <w:tr>
        <w:trPr>
          <w:trHeight w:val="729" w:hRule="atLeast"/>
        </w:trPr>
        <w:tc>
          <w:tcPr>
            <w:tcW w:w="3068" w:type="dxa"/>
          </w:tcPr>
          <w:p>
            <w:pPr>
              <w:pStyle w:val="TableParagraph"/>
              <w:rPr>
                <w:sz w:val="20"/>
              </w:rPr>
            </w:pPr>
          </w:p>
          <w:p>
            <w:pPr>
              <w:pStyle w:val="TableParagraph"/>
              <w:spacing w:before="4"/>
              <w:rPr>
                <w:sz w:val="24"/>
              </w:rPr>
            </w:pPr>
          </w:p>
          <w:p>
            <w:pPr>
              <w:pStyle w:val="TableParagraph"/>
              <w:spacing w:line="199" w:lineRule="exact"/>
              <w:ind w:left="50"/>
              <w:rPr>
                <w:sz w:val="18"/>
              </w:rPr>
            </w:pPr>
            <w:r>
              <w:rPr>
                <w:color w:val="231F20"/>
                <w:spacing w:val="-2"/>
                <w:w w:val="105"/>
                <w:sz w:val="18"/>
              </w:rPr>
              <w:t>Operating</w:t>
            </w:r>
            <w:r>
              <w:rPr>
                <w:color w:val="231F20"/>
                <w:spacing w:val="2"/>
                <w:w w:val="105"/>
                <w:sz w:val="18"/>
              </w:rPr>
              <w:t> </w:t>
            </w:r>
            <w:r>
              <w:rPr>
                <w:color w:val="231F20"/>
                <w:spacing w:val="-2"/>
                <w:w w:val="105"/>
                <w:sz w:val="18"/>
              </w:rPr>
              <w:t>revenue</w:t>
            </w:r>
          </w:p>
        </w:tc>
        <w:tc>
          <w:tcPr>
            <w:tcW w:w="1729" w:type="dxa"/>
          </w:tcPr>
          <w:p>
            <w:pPr>
              <w:pStyle w:val="TableParagraph"/>
              <w:spacing w:line="204" w:lineRule="exact"/>
              <w:ind w:left="51"/>
              <w:jc w:val="center"/>
              <w:rPr>
                <w:sz w:val="18"/>
              </w:rPr>
            </w:pPr>
            <w:r>
              <w:rPr>
                <w:color w:val="231F20"/>
                <w:w w:val="105"/>
                <w:sz w:val="18"/>
              </w:rPr>
              <w:t>June</w:t>
            </w:r>
            <w:r>
              <w:rPr>
                <w:color w:val="231F20"/>
                <w:spacing w:val="-6"/>
                <w:w w:val="105"/>
                <w:sz w:val="18"/>
              </w:rPr>
              <w:t> </w:t>
            </w:r>
            <w:r>
              <w:rPr>
                <w:color w:val="231F20"/>
                <w:w w:val="105"/>
                <w:sz w:val="18"/>
              </w:rPr>
              <w:t>30,</w:t>
            </w:r>
            <w:r>
              <w:rPr>
                <w:color w:val="231F20"/>
                <w:spacing w:val="-5"/>
                <w:w w:val="105"/>
                <w:sz w:val="18"/>
              </w:rPr>
              <w:t> </w:t>
            </w:r>
            <w:r>
              <w:rPr>
                <w:color w:val="231F20"/>
                <w:spacing w:val="-4"/>
                <w:w w:val="105"/>
                <w:sz w:val="18"/>
              </w:rPr>
              <w:t>2022</w:t>
            </w:r>
          </w:p>
          <w:p>
            <w:pPr>
              <w:pStyle w:val="TableParagraph"/>
              <w:spacing w:before="21"/>
              <w:ind w:left="35"/>
              <w:jc w:val="center"/>
              <w:rPr>
                <w:sz w:val="18"/>
              </w:rPr>
            </w:pPr>
            <w:r>
              <w:rPr>
                <w:color w:val="231F20"/>
                <w:spacing w:val="70"/>
                <w:w w:val="105"/>
                <w:sz w:val="18"/>
                <w:u w:val="single" w:color="231F20"/>
              </w:rPr>
              <w:t> </w:t>
            </w:r>
            <w:r>
              <w:rPr>
                <w:color w:val="231F20"/>
                <w:w w:val="105"/>
                <w:sz w:val="18"/>
                <w:u w:val="single" w:color="231F20"/>
              </w:rPr>
              <w:t>(In</w:t>
            </w:r>
            <w:r>
              <w:rPr>
                <w:color w:val="231F20"/>
                <w:spacing w:val="-2"/>
                <w:w w:val="105"/>
                <w:sz w:val="18"/>
                <w:u w:val="single" w:color="231F20"/>
              </w:rPr>
              <w:t> Thousands)</w:t>
            </w:r>
            <w:r>
              <w:rPr>
                <w:color w:val="231F20"/>
                <w:spacing w:val="80"/>
                <w:w w:val="105"/>
                <w:sz w:val="18"/>
                <w:u w:val="single" w:color="231F20"/>
              </w:rPr>
              <w:t> </w:t>
            </w:r>
          </w:p>
          <w:p>
            <w:pPr>
              <w:pStyle w:val="TableParagraph"/>
              <w:tabs>
                <w:tab w:pos="655" w:val="left" w:leader="none"/>
              </w:tabs>
              <w:spacing w:line="199" w:lineRule="exact" w:before="78"/>
              <w:ind w:left="32"/>
              <w:jc w:val="center"/>
              <w:rPr>
                <w:sz w:val="18"/>
              </w:rPr>
            </w:pPr>
            <w:r>
              <w:rPr>
                <w:color w:val="231F20"/>
                <w:spacing w:val="-10"/>
                <w:w w:val="105"/>
                <w:sz w:val="18"/>
              </w:rPr>
              <w:t>$</w:t>
            </w:r>
            <w:r>
              <w:rPr>
                <w:color w:val="231F20"/>
                <w:sz w:val="18"/>
              </w:rPr>
              <w:tab/>
            </w:r>
            <w:r>
              <w:rPr>
                <w:color w:val="231F20"/>
                <w:spacing w:val="-2"/>
                <w:w w:val="105"/>
                <w:sz w:val="18"/>
              </w:rPr>
              <w:t>105,352</w:t>
            </w:r>
          </w:p>
        </w:tc>
        <w:tc>
          <w:tcPr>
            <w:tcW w:w="1695" w:type="dxa"/>
          </w:tcPr>
          <w:p>
            <w:pPr>
              <w:pStyle w:val="TableParagraph"/>
              <w:spacing w:line="204" w:lineRule="exact"/>
              <w:ind w:left="15"/>
              <w:jc w:val="center"/>
              <w:rPr>
                <w:sz w:val="18"/>
              </w:rPr>
            </w:pPr>
            <w:r>
              <w:rPr>
                <w:color w:val="231F20"/>
                <w:w w:val="105"/>
                <w:sz w:val="18"/>
              </w:rPr>
              <w:t>June</w:t>
            </w:r>
            <w:r>
              <w:rPr>
                <w:color w:val="231F20"/>
                <w:spacing w:val="-6"/>
                <w:w w:val="105"/>
                <w:sz w:val="18"/>
              </w:rPr>
              <w:t> </w:t>
            </w:r>
            <w:r>
              <w:rPr>
                <w:color w:val="231F20"/>
                <w:w w:val="105"/>
                <w:sz w:val="18"/>
              </w:rPr>
              <w:t>30,</w:t>
            </w:r>
            <w:r>
              <w:rPr>
                <w:color w:val="231F20"/>
                <w:spacing w:val="-6"/>
                <w:w w:val="105"/>
                <w:sz w:val="18"/>
              </w:rPr>
              <w:t> </w:t>
            </w:r>
            <w:r>
              <w:rPr>
                <w:color w:val="231F20"/>
                <w:spacing w:val="-4"/>
                <w:w w:val="105"/>
                <w:sz w:val="18"/>
              </w:rPr>
              <w:t>2021</w:t>
            </w:r>
          </w:p>
          <w:p>
            <w:pPr>
              <w:pStyle w:val="TableParagraph"/>
              <w:spacing w:before="21"/>
              <w:ind w:left="1"/>
              <w:jc w:val="center"/>
              <w:rPr>
                <w:sz w:val="18"/>
              </w:rPr>
            </w:pPr>
            <w:r>
              <w:rPr>
                <w:color w:val="231F20"/>
                <w:spacing w:val="71"/>
                <w:w w:val="105"/>
                <w:sz w:val="18"/>
                <w:u w:val="single" w:color="231F20"/>
              </w:rPr>
              <w:t> </w:t>
            </w:r>
            <w:r>
              <w:rPr>
                <w:color w:val="231F20"/>
                <w:w w:val="105"/>
                <w:sz w:val="18"/>
                <w:u w:val="single" w:color="231F20"/>
              </w:rPr>
              <w:t>(In</w:t>
            </w:r>
            <w:r>
              <w:rPr>
                <w:color w:val="231F20"/>
                <w:spacing w:val="-3"/>
                <w:w w:val="105"/>
                <w:sz w:val="18"/>
                <w:u w:val="single" w:color="231F20"/>
              </w:rPr>
              <w:t> </w:t>
            </w:r>
            <w:r>
              <w:rPr>
                <w:color w:val="231F20"/>
                <w:spacing w:val="-2"/>
                <w:w w:val="105"/>
                <w:sz w:val="18"/>
                <w:u w:val="single" w:color="231F20"/>
              </w:rPr>
              <w:t>Thousands)</w:t>
            </w:r>
            <w:r>
              <w:rPr>
                <w:color w:val="231F20"/>
                <w:spacing w:val="80"/>
                <w:w w:val="105"/>
                <w:sz w:val="18"/>
                <w:u w:val="single" w:color="231F20"/>
              </w:rPr>
              <w:t> </w:t>
            </w:r>
          </w:p>
          <w:p>
            <w:pPr>
              <w:pStyle w:val="TableParagraph"/>
              <w:tabs>
                <w:tab w:pos="729" w:val="left" w:leader="none"/>
              </w:tabs>
              <w:spacing w:line="199" w:lineRule="exact" w:before="78"/>
              <w:jc w:val="center"/>
              <w:rPr>
                <w:sz w:val="18"/>
              </w:rPr>
            </w:pPr>
            <w:r>
              <w:rPr>
                <w:color w:val="231F20"/>
                <w:spacing w:val="-10"/>
                <w:w w:val="105"/>
                <w:sz w:val="18"/>
              </w:rPr>
              <w:t>$</w:t>
            </w:r>
            <w:r>
              <w:rPr>
                <w:color w:val="231F20"/>
                <w:sz w:val="18"/>
              </w:rPr>
              <w:tab/>
            </w:r>
            <w:r>
              <w:rPr>
                <w:color w:val="231F20"/>
                <w:spacing w:val="-2"/>
                <w:w w:val="105"/>
                <w:sz w:val="18"/>
              </w:rPr>
              <w:t>73,908</w:t>
            </w:r>
          </w:p>
        </w:tc>
        <w:tc>
          <w:tcPr>
            <w:tcW w:w="1694" w:type="dxa"/>
          </w:tcPr>
          <w:p>
            <w:pPr>
              <w:pStyle w:val="TableParagraph"/>
              <w:spacing w:before="6"/>
              <w:rPr>
                <w:sz w:val="19"/>
              </w:rPr>
            </w:pPr>
          </w:p>
          <w:p>
            <w:pPr>
              <w:pStyle w:val="TableParagraph"/>
              <w:tabs>
                <w:tab w:pos="426" w:val="left" w:leader="none"/>
                <w:tab w:pos="1600" w:val="left" w:leader="none"/>
              </w:tabs>
              <w:ind w:left="95"/>
              <w:rPr>
                <w:sz w:val="18"/>
              </w:rPr>
            </w:pPr>
            <w:r>
              <w:rPr>
                <w:color w:val="231F20"/>
                <w:sz w:val="18"/>
                <w:u w:val="single" w:color="231F20"/>
              </w:rPr>
              <w:tab/>
            </w:r>
            <w:r>
              <w:rPr>
                <w:color w:val="231F20"/>
                <w:spacing w:val="-2"/>
                <w:w w:val="105"/>
                <w:sz w:val="18"/>
                <w:u w:val="single" w:color="231F20"/>
              </w:rPr>
              <w:t>Difference</w:t>
            </w:r>
            <w:r>
              <w:rPr>
                <w:color w:val="231F20"/>
                <w:sz w:val="18"/>
                <w:u w:val="single" w:color="231F20"/>
              </w:rPr>
              <w:tab/>
            </w:r>
          </w:p>
          <w:p>
            <w:pPr>
              <w:pStyle w:val="TableParagraph"/>
              <w:tabs>
                <w:tab w:pos="925" w:val="left" w:leader="none"/>
              </w:tabs>
              <w:spacing w:line="199" w:lineRule="exact" w:before="79"/>
              <w:ind w:left="195"/>
              <w:rPr>
                <w:sz w:val="18"/>
              </w:rPr>
            </w:pPr>
            <w:r>
              <w:rPr>
                <w:color w:val="231F20"/>
                <w:spacing w:val="-10"/>
                <w:w w:val="105"/>
                <w:sz w:val="18"/>
              </w:rPr>
              <w:t>$</w:t>
            </w:r>
            <w:r>
              <w:rPr>
                <w:color w:val="231F20"/>
                <w:sz w:val="18"/>
              </w:rPr>
              <w:tab/>
            </w:r>
            <w:r>
              <w:rPr>
                <w:color w:val="231F20"/>
                <w:spacing w:val="-2"/>
                <w:w w:val="105"/>
                <w:sz w:val="18"/>
              </w:rPr>
              <w:t>31,444</w:t>
            </w:r>
          </w:p>
        </w:tc>
        <w:tc>
          <w:tcPr>
            <w:tcW w:w="1194" w:type="dxa"/>
          </w:tcPr>
          <w:p>
            <w:pPr>
              <w:pStyle w:val="TableParagraph"/>
              <w:spacing w:before="6"/>
              <w:rPr>
                <w:sz w:val="19"/>
              </w:rPr>
            </w:pPr>
          </w:p>
          <w:p>
            <w:pPr>
              <w:pStyle w:val="TableParagraph"/>
              <w:ind w:right="73"/>
              <w:jc w:val="right"/>
              <w:rPr>
                <w:sz w:val="18"/>
              </w:rPr>
            </w:pPr>
            <w:r>
              <w:rPr>
                <w:color w:val="231F20"/>
                <w:spacing w:val="4"/>
                <w:w w:val="105"/>
                <w:sz w:val="18"/>
                <w:u w:val="single" w:color="231F20"/>
              </w:rPr>
              <w:t> </w:t>
            </w:r>
            <w:r>
              <w:rPr>
                <w:color w:val="231F20"/>
                <w:spacing w:val="-2"/>
                <w:w w:val="105"/>
                <w:sz w:val="18"/>
                <w:u w:val="single" w:color="231F20"/>
              </w:rPr>
              <w:t>Percentage</w:t>
            </w:r>
          </w:p>
          <w:p>
            <w:pPr>
              <w:pStyle w:val="TableParagraph"/>
              <w:spacing w:line="199" w:lineRule="exact" w:before="79"/>
              <w:ind w:right="63"/>
              <w:jc w:val="right"/>
              <w:rPr>
                <w:sz w:val="18"/>
              </w:rPr>
            </w:pPr>
            <w:r>
              <w:rPr>
                <w:color w:val="231F20"/>
                <w:spacing w:val="-4"/>
                <w:w w:val="105"/>
                <w:sz w:val="18"/>
              </w:rPr>
              <w:t>42.5%</w:t>
            </w:r>
          </w:p>
        </w:tc>
      </w:tr>
      <w:tr>
        <w:trPr>
          <w:trHeight w:val="342" w:hRule="atLeast"/>
        </w:trPr>
        <w:tc>
          <w:tcPr>
            <w:tcW w:w="3068" w:type="dxa"/>
          </w:tcPr>
          <w:p>
            <w:pPr>
              <w:pStyle w:val="TableParagraph"/>
              <w:spacing w:before="8"/>
              <w:ind w:left="50"/>
              <w:rPr>
                <w:sz w:val="18"/>
              </w:rPr>
            </w:pPr>
            <w:r>
              <w:rPr>
                <w:color w:val="231F20"/>
                <w:spacing w:val="-2"/>
                <w:w w:val="105"/>
                <w:sz w:val="18"/>
              </w:rPr>
              <w:t>Operating</w:t>
            </w:r>
            <w:r>
              <w:rPr>
                <w:color w:val="231F20"/>
                <w:spacing w:val="2"/>
                <w:w w:val="105"/>
                <w:sz w:val="18"/>
              </w:rPr>
              <w:t> </w:t>
            </w:r>
            <w:r>
              <w:rPr>
                <w:color w:val="231F20"/>
                <w:spacing w:val="-2"/>
                <w:w w:val="105"/>
                <w:sz w:val="18"/>
              </w:rPr>
              <w:t>expense</w:t>
            </w:r>
          </w:p>
        </w:tc>
        <w:tc>
          <w:tcPr>
            <w:tcW w:w="1729" w:type="dxa"/>
          </w:tcPr>
          <w:p>
            <w:pPr>
              <w:pStyle w:val="TableParagraph"/>
              <w:tabs>
                <w:tab w:pos="722" w:val="left" w:leader="none"/>
              </w:tabs>
              <w:spacing w:before="8"/>
              <w:ind w:right="92"/>
              <w:jc w:val="right"/>
              <w:rPr>
                <w:sz w:val="18"/>
              </w:rPr>
            </w:pPr>
            <w:r>
              <w:rPr>
                <w:color w:val="231F20"/>
                <w:sz w:val="18"/>
                <w:u w:val="single" w:color="231F20"/>
              </w:rPr>
              <w:tab/>
            </w:r>
            <w:r>
              <w:rPr>
                <w:color w:val="231F20"/>
                <w:spacing w:val="-2"/>
                <w:w w:val="105"/>
                <w:sz w:val="18"/>
                <w:u w:val="single" w:color="231F20"/>
              </w:rPr>
              <w:t>166,477</w:t>
            </w:r>
            <w:r>
              <w:rPr>
                <w:color w:val="231F20"/>
                <w:spacing w:val="80"/>
                <w:w w:val="105"/>
                <w:sz w:val="18"/>
                <w:u w:val="single" w:color="231F20"/>
              </w:rPr>
              <w:t> </w:t>
            </w:r>
          </w:p>
        </w:tc>
        <w:tc>
          <w:tcPr>
            <w:tcW w:w="1695" w:type="dxa"/>
          </w:tcPr>
          <w:p>
            <w:pPr>
              <w:pStyle w:val="TableParagraph"/>
              <w:tabs>
                <w:tab w:pos="725" w:val="left" w:leader="none"/>
              </w:tabs>
              <w:spacing w:before="8"/>
              <w:ind w:right="91"/>
              <w:jc w:val="right"/>
              <w:rPr>
                <w:sz w:val="18"/>
              </w:rPr>
            </w:pPr>
            <w:r>
              <w:rPr>
                <w:color w:val="231F20"/>
                <w:sz w:val="18"/>
                <w:u w:val="single" w:color="231F20"/>
              </w:rPr>
              <w:tab/>
            </w:r>
            <w:r>
              <w:rPr>
                <w:color w:val="231F20"/>
                <w:spacing w:val="-2"/>
                <w:w w:val="105"/>
                <w:sz w:val="18"/>
                <w:u w:val="single" w:color="231F20"/>
              </w:rPr>
              <w:t>196,692</w:t>
            </w:r>
            <w:r>
              <w:rPr>
                <w:color w:val="231F20"/>
                <w:spacing w:val="80"/>
                <w:w w:val="105"/>
                <w:sz w:val="18"/>
                <w:u w:val="single" w:color="231F20"/>
              </w:rPr>
              <w:t> </w:t>
            </w:r>
          </w:p>
        </w:tc>
        <w:tc>
          <w:tcPr>
            <w:tcW w:w="1694" w:type="dxa"/>
          </w:tcPr>
          <w:p>
            <w:pPr>
              <w:pStyle w:val="TableParagraph"/>
              <w:tabs>
                <w:tab w:pos="766" w:val="left" w:leader="none"/>
              </w:tabs>
              <w:spacing w:before="8"/>
              <w:ind w:right="128"/>
              <w:jc w:val="right"/>
              <w:rPr>
                <w:sz w:val="18"/>
              </w:rPr>
            </w:pPr>
            <w:r>
              <w:rPr>
                <w:color w:val="231F20"/>
                <w:sz w:val="18"/>
                <w:u w:val="single" w:color="231F20"/>
              </w:rPr>
              <w:tab/>
            </w:r>
            <w:r>
              <w:rPr>
                <w:color w:val="231F20"/>
                <w:spacing w:val="-2"/>
                <w:w w:val="105"/>
                <w:sz w:val="18"/>
                <w:u w:val="single" w:color="231F20"/>
              </w:rPr>
              <w:t>(30,215)</w:t>
            </w:r>
          </w:p>
        </w:tc>
        <w:tc>
          <w:tcPr>
            <w:tcW w:w="1194" w:type="dxa"/>
          </w:tcPr>
          <w:p>
            <w:pPr>
              <w:pStyle w:val="TableParagraph"/>
              <w:tabs>
                <w:tab w:pos="434" w:val="left" w:leader="none"/>
              </w:tabs>
              <w:spacing w:before="8"/>
              <w:ind w:right="63"/>
              <w:jc w:val="right"/>
              <w:rPr>
                <w:sz w:val="18"/>
              </w:rPr>
            </w:pPr>
            <w:r>
              <w:rPr>
                <w:color w:val="231F20"/>
                <w:sz w:val="18"/>
                <w:u w:val="single" w:color="231F20"/>
              </w:rPr>
              <w:tab/>
              <w:t>-</w:t>
            </w:r>
            <w:r>
              <w:rPr>
                <w:color w:val="231F20"/>
                <w:spacing w:val="-2"/>
                <w:w w:val="105"/>
                <w:sz w:val="18"/>
                <w:u w:val="single" w:color="231F20"/>
              </w:rPr>
              <w:t>15.4%</w:t>
            </w:r>
          </w:p>
        </w:tc>
      </w:tr>
      <w:tr>
        <w:trPr>
          <w:trHeight w:val="342" w:hRule="atLeast"/>
        </w:trPr>
        <w:tc>
          <w:tcPr>
            <w:tcW w:w="3068" w:type="dxa"/>
          </w:tcPr>
          <w:p>
            <w:pPr>
              <w:pStyle w:val="TableParagraph"/>
              <w:spacing w:line="199" w:lineRule="exact" w:before="122"/>
              <w:ind w:left="50"/>
              <w:rPr>
                <w:sz w:val="18"/>
              </w:rPr>
            </w:pPr>
            <w:r>
              <w:rPr>
                <w:color w:val="231F20"/>
                <w:spacing w:val="-2"/>
                <w:w w:val="105"/>
                <w:sz w:val="18"/>
              </w:rPr>
              <w:t>Operating</w:t>
            </w:r>
            <w:r>
              <w:rPr>
                <w:color w:val="231F20"/>
                <w:spacing w:val="2"/>
                <w:w w:val="105"/>
                <w:sz w:val="18"/>
              </w:rPr>
              <w:t> </w:t>
            </w:r>
            <w:r>
              <w:rPr>
                <w:color w:val="231F20"/>
                <w:spacing w:val="-4"/>
                <w:w w:val="105"/>
                <w:sz w:val="18"/>
              </w:rPr>
              <w:t>loss</w:t>
            </w:r>
          </w:p>
        </w:tc>
        <w:tc>
          <w:tcPr>
            <w:tcW w:w="1729" w:type="dxa"/>
          </w:tcPr>
          <w:p>
            <w:pPr>
              <w:pStyle w:val="TableParagraph"/>
              <w:spacing w:line="199" w:lineRule="exact" w:before="122"/>
              <w:ind w:right="132"/>
              <w:jc w:val="right"/>
              <w:rPr>
                <w:sz w:val="18"/>
              </w:rPr>
            </w:pPr>
            <w:r>
              <w:rPr>
                <w:color w:val="231F20"/>
                <w:spacing w:val="-2"/>
                <w:w w:val="105"/>
                <w:sz w:val="18"/>
              </w:rPr>
              <w:t>(61,125)</w:t>
            </w:r>
          </w:p>
        </w:tc>
        <w:tc>
          <w:tcPr>
            <w:tcW w:w="1695" w:type="dxa"/>
          </w:tcPr>
          <w:p>
            <w:pPr>
              <w:pStyle w:val="TableParagraph"/>
              <w:spacing w:line="199" w:lineRule="exact" w:before="122"/>
              <w:ind w:right="130"/>
              <w:jc w:val="right"/>
              <w:rPr>
                <w:sz w:val="18"/>
              </w:rPr>
            </w:pPr>
            <w:r>
              <w:rPr>
                <w:color w:val="231F20"/>
                <w:spacing w:val="-2"/>
                <w:w w:val="105"/>
                <w:sz w:val="18"/>
              </w:rPr>
              <w:t>(122,784)</w:t>
            </w:r>
          </w:p>
        </w:tc>
        <w:tc>
          <w:tcPr>
            <w:tcW w:w="1694" w:type="dxa"/>
          </w:tcPr>
          <w:p>
            <w:pPr>
              <w:pStyle w:val="TableParagraph"/>
              <w:spacing w:line="199" w:lineRule="exact" w:before="122"/>
              <w:ind w:right="193"/>
              <w:jc w:val="right"/>
              <w:rPr>
                <w:sz w:val="18"/>
              </w:rPr>
            </w:pPr>
            <w:r>
              <w:rPr>
                <w:color w:val="231F20"/>
                <w:spacing w:val="-2"/>
                <w:w w:val="105"/>
                <w:sz w:val="18"/>
              </w:rPr>
              <w:t>61,659</w:t>
            </w:r>
          </w:p>
        </w:tc>
        <w:tc>
          <w:tcPr>
            <w:tcW w:w="1194" w:type="dxa"/>
          </w:tcPr>
          <w:p>
            <w:pPr>
              <w:pStyle w:val="TableParagraph"/>
              <w:spacing w:line="199" w:lineRule="exact" w:before="122"/>
              <w:ind w:right="63"/>
              <w:jc w:val="right"/>
              <w:rPr>
                <w:sz w:val="18"/>
              </w:rPr>
            </w:pPr>
            <w:r>
              <w:rPr>
                <w:color w:val="231F20"/>
                <w:sz w:val="18"/>
              </w:rPr>
              <w:t>-</w:t>
            </w:r>
            <w:r>
              <w:rPr>
                <w:color w:val="231F20"/>
                <w:spacing w:val="-2"/>
                <w:w w:val="105"/>
                <w:sz w:val="18"/>
              </w:rPr>
              <w:t>50.2%</w:t>
            </w:r>
          </w:p>
        </w:tc>
      </w:tr>
      <w:tr>
        <w:trPr>
          <w:trHeight w:val="342" w:hRule="atLeast"/>
        </w:trPr>
        <w:tc>
          <w:tcPr>
            <w:tcW w:w="3068" w:type="dxa"/>
          </w:tcPr>
          <w:p>
            <w:pPr>
              <w:pStyle w:val="TableParagraph"/>
              <w:spacing w:before="8"/>
              <w:ind w:left="50"/>
              <w:rPr>
                <w:sz w:val="18"/>
              </w:rPr>
            </w:pPr>
            <w:r>
              <w:rPr>
                <w:color w:val="231F20"/>
                <w:sz w:val="18"/>
              </w:rPr>
              <w:t>Non-operating</w:t>
            </w:r>
            <w:r>
              <w:rPr>
                <w:color w:val="231F20"/>
                <w:spacing w:val="38"/>
                <w:sz w:val="18"/>
              </w:rPr>
              <w:t> </w:t>
            </w:r>
            <w:r>
              <w:rPr>
                <w:color w:val="231F20"/>
                <w:spacing w:val="-2"/>
                <w:sz w:val="18"/>
              </w:rPr>
              <w:t>revenue</w:t>
            </w:r>
          </w:p>
        </w:tc>
        <w:tc>
          <w:tcPr>
            <w:tcW w:w="1729" w:type="dxa"/>
          </w:tcPr>
          <w:p>
            <w:pPr>
              <w:pStyle w:val="TableParagraph"/>
              <w:tabs>
                <w:tab w:pos="826" w:val="left" w:leader="none"/>
              </w:tabs>
              <w:spacing w:before="8"/>
              <w:ind w:right="92"/>
              <w:jc w:val="right"/>
              <w:rPr>
                <w:sz w:val="18"/>
              </w:rPr>
            </w:pPr>
            <w:r>
              <w:rPr>
                <w:color w:val="231F20"/>
                <w:sz w:val="18"/>
                <w:u w:val="single" w:color="231F20"/>
              </w:rPr>
              <w:tab/>
            </w:r>
            <w:r>
              <w:rPr>
                <w:color w:val="231F20"/>
                <w:spacing w:val="-2"/>
                <w:w w:val="105"/>
                <w:sz w:val="18"/>
                <w:u w:val="single" w:color="231F20"/>
              </w:rPr>
              <w:t>32,257</w:t>
            </w:r>
            <w:r>
              <w:rPr>
                <w:color w:val="231F20"/>
                <w:spacing w:val="80"/>
                <w:w w:val="105"/>
                <w:sz w:val="18"/>
                <w:u w:val="single" w:color="231F20"/>
              </w:rPr>
              <w:t> </w:t>
            </w:r>
          </w:p>
        </w:tc>
        <w:tc>
          <w:tcPr>
            <w:tcW w:w="1695" w:type="dxa"/>
          </w:tcPr>
          <w:p>
            <w:pPr>
              <w:pStyle w:val="TableParagraph"/>
              <w:tabs>
                <w:tab w:pos="829" w:val="left" w:leader="none"/>
              </w:tabs>
              <w:spacing w:before="8"/>
              <w:ind w:right="91"/>
              <w:jc w:val="right"/>
              <w:rPr>
                <w:sz w:val="18"/>
              </w:rPr>
            </w:pPr>
            <w:r>
              <w:rPr>
                <w:color w:val="231F20"/>
                <w:sz w:val="18"/>
                <w:u w:val="single" w:color="231F20"/>
              </w:rPr>
              <w:tab/>
            </w:r>
            <w:r>
              <w:rPr>
                <w:color w:val="231F20"/>
                <w:spacing w:val="-2"/>
                <w:w w:val="105"/>
                <w:sz w:val="18"/>
                <w:u w:val="single" w:color="231F20"/>
              </w:rPr>
              <w:t>40,029</w:t>
            </w:r>
            <w:r>
              <w:rPr>
                <w:color w:val="231F20"/>
                <w:spacing w:val="80"/>
                <w:w w:val="105"/>
                <w:sz w:val="18"/>
                <w:u w:val="single" w:color="231F20"/>
              </w:rPr>
              <w:t> </w:t>
            </w:r>
          </w:p>
        </w:tc>
        <w:tc>
          <w:tcPr>
            <w:tcW w:w="1694" w:type="dxa"/>
          </w:tcPr>
          <w:p>
            <w:pPr>
              <w:pStyle w:val="TableParagraph"/>
              <w:tabs>
                <w:tab w:pos="871" w:val="left" w:leader="none"/>
              </w:tabs>
              <w:spacing w:before="8"/>
              <w:ind w:right="129"/>
              <w:jc w:val="right"/>
              <w:rPr>
                <w:sz w:val="18"/>
              </w:rPr>
            </w:pPr>
            <w:r>
              <w:rPr>
                <w:color w:val="231F20"/>
                <w:sz w:val="18"/>
                <w:u w:val="single" w:color="231F20"/>
              </w:rPr>
              <w:tab/>
            </w:r>
            <w:r>
              <w:rPr>
                <w:color w:val="231F20"/>
                <w:spacing w:val="-2"/>
                <w:w w:val="105"/>
                <w:sz w:val="18"/>
                <w:u w:val="single" w:color="231F20"/>
              </w:rPr>
              <w:t>(7,772)</w:t>
            </w:r>
          </w:p>
        </w:tc>
        <w:tc>
          <w:tcPr>
            <w:tcW w:w="1194" w:type="dxa"/>
          </w:tcPr>
          <w:p>
            <w:pPr>
              <w:pStyle w:val="TableParagraph"/>
              <w:tabs>
                <w:tab w:pos="434" w:val="left" w:leader="none"/>
              </w:tabs>
              <w:spacing w:before="8"/>
              <w:ind w:right="63"/>
              <w:jc w:val="right"/>
              <w:rPr>
                <w:sz w:val="18"/>
              </w:rPr>
            </w:pPr>
            <w:r>
              <w:rPr>
                <w:color w:val="231F20"/>
                <w:sz w:val="18"/>
                <w:u w:val="single" w:color="231F20"/>
              </w:rPr>
              <w:tab/>
              <w:t>-</w:t>
            </w:r>
            <w:r>
              <w:rPr>
                <w:color w:val="231F20"/>
                <w:spacing w:val="-2"/>
                <w:w w:val="105"/>
                <w:sz w:val="18"/>
                <w:u w:val="single" w:color="231F20"/>
              </w:rPr>
              <w:t>19.4%</w:t>
            </w:r>
          </w:p>
        </w:tc>
      </w:tr>
      <w:tr>
        <w:trPr>
          <w:trHeight w:val="684" w:hRule="atLeast"/>
        </w:trPr>
        <w:tc>
          <w:tcPr>
            <w:tcW w:w="3068" w:type="dxa"/>
          </w:tcPr>
          <w:p>
            <w:pPr>
              <w:pStyle w:val="TableParagraph"/>
              <w:spacing w:line="264" w:lineRule="auto" w:before="122"/>
              <w:ind w:left="180" w:hanging="131"/>
              <w:rPr>
                <w:sz w:val="18"/>
              </w:rPr>
            </w:pPr>
            <w:r>
              <w:rPr>
                <w:color w:val="231F20"/>
                <w:w w:val="105"/>
                <w:sz w:val="18"/>
              </w:rPr>
              <w:t>Loss</w:t>
            </w:r>
            <w:r>
              <w:rPr>
                <w:color w:val="231F20"/>
                <w:spacing w:val="-12"/>
                <w:w w:val="105"/>
                <w:sz w:val="18"/>
              </w:rPr>
              <w:t> </w:t>
            </w:r>
            <w:r>
              <w:rPr>
                <w:color w:val="231F20"/>
                <w:w w:val="105"/>
                <w:sz w:val="18"/>
              </w:rPr>
              <w:t>before</w:t>
            </w:r>
            <w:r>
              <w:rPr>
                <w:color w:val="231F20"/>
                <w:spacing w:val="-12"/>
                <w:w w:val="105"/>
                <w:sz w:val="18"/>
              </w:rPr>
              <w:t> </w:t>
            </w:r>
            <w:r>
              <w:rPr>
                <w:color w:val="231F20"/>
                <w:w w:val="105"/>
                <w:sz w:val="18"/>
              </w:rPr>
              <w:t>other</w:t>
            </w:r>
            <w:r>
              <w:rPr>
                <w:color w:val="231F20"/>
                <w:spacing w:val="-12"/>
                <w:w w:val="105"/>
                <w:sz w:val="18"/>
              </w:rPr>
              <w:t> </w:t>
            </w:r>
            <w:r>
              <w:rPr>
                <w:color w:val="231F20"/>
                <w:w w:val="105"/>
                <w:sz w:val="18"/>
              </w:rPr>
              <w:t>revenues</w:t>
            </w:r>
            <w:r>
              <w:rPr>
                <w:color w:val="231F20"/>
                <w:spacing w:val="-12"/>
                <w:w w:val="105"/>
                <w:sz w:val="18"/>
              </w:rPr>
              <w:t> </w:t>
            </w:r>
            <w:r>
              <w:rPr>
                <w:color w:val="231F20"/>
                <w:w w:val="105"/>
                <w:sz w:val="18"/>
              </w:rPr>
              <w:t>and </w:t>
            </w:r>
            <w:r>
              <w:rPr>
                <w:color w:val="231F20"/>
                <w:spacing w:val="-2"/>
                <w:w w:val="105"/>
                <w:sz w:val="18"/>
              </w:rPr>
              <w:t>expenses</w:t>
            </w:r>
          </w:p>
        </w:tc>
        <w:tc>
          <w:tcPr>
            <w:tcW w:w="1729" w:type="dxa"/>
          </w:tcPr>
          <w:p>
            <w:pPr>
              <w:pStyle w:val="TableParagraph"/>
              <w:rPr>
                <w:sz w:val="20"/>
              </w:rPr>
            </w:pPr>
          </w:p>
          <w:p>
            <w:pPr>
              <w:pStyle w:val="TableParagraph"/>
              <w:spacing w:before="120"/>
              <w:ind w:right="131"/>
              <w:jc w:val="right"/>
              <w:rPr>
                <w:sz w:val="18"/>
              </w:rPr>
            </w:pPr>
            <w:r>
              <w:rPr>
                <w:color w:val="231F20"/>
                <w:spacing w:val="-2"/>
                <w:w w:val="105"/>
                <w:sz w:val="18"/>
              </w:rPr>
              <w:t>(28,868)</w:t>
            </w:r>
          </w:p>
        </w:tc>
        <w:tc>
          <w:tcPr>
            <w:tcW w:w="1695" w:type="dxa"/>
          </w:tcPr>
          <w:p>
            <w:pPr>
              <w:pStyle w:val="TableParagraph"/>
              <w:rPr>
                <w:sz w:val="20"/>
              </w:rPr>
            </w:pPr>
          </w:p>
          <w:p>
            <w:pPr>
              <w:pStyle w:val="TableParagraph"/>
              <w:spacing w:before="120"/>
              <w:ind w:right="131"/>
              <w:jc w:val="right"/>
              <w:rPr>
                <w:sz w:val="18"/>
              </w:rPr>
            </w:pPr>
            <w:r>
              <w:rPr>
                <w:color w:val="231F20"/>
                <w:spacing w:val="-2"/>
                <w:w w:val="105"/>
                <w:sz w:val="18"/>
              </w:rPr>
              <w:t>(82,755)</w:t>
            </w:r>
          </w:p>
        </w:tc>
        <w:tc>
          <w:tcPr>
            <w:tcW w:w="1694" w:type="dxa"/>
          </w:tcPr>
          <w:p>
            <w:pPr>
              <w:pStyle w:val="TableParagraph"/>
              <w:rPr>
                <w:sz w:val="20"/>
              </w:rPr>
            </w:pPr>
          </w:p>
          <w:p>
            <w:pPr>
              <w:pStyle w:val="TableParagraph"/>
              <w:spacing w:before="120"/>
              <w:ind w:right="193"/>
              <w:jc w:val="right"/>
              <w:rPr>
                <w:sz w:val="18"/>
              </w:rPr>
            </w:pPr>
            <w:r>
              <w:rPr>
                <w:color w:val="231F20"/>
                <w:spacing w:val="-2"/>
                <w:w w:val="105"/>
                <w:sz w:val="18"/>
              </w:rPr>
              <w:t>53,887</w:t>
            </w:r>
          </w:p>
        </w:tc>
        <w:tc>
          <w:tcPr>
            <w:tcW w:w="1194" w:type="dxa"/>
          </w:tcPr>
          <w:p>
            <w:pPr>
              <w:pStyle w:val="TableParagraph"/>
              <w:rPr>
                <w:sz w:val="20"/>
              </w:rPr>
            </w:pPr>
          </w:p>
          <w:p>
            <w:pPr>
              <w:pStyle w:val="TableParagraph"/>
              <w:spacing w:before="120"/>
              <w:ind w:right="63"/>
              <w:jc w:val="right"/>
              <w:rPr>
                <w:sz w:val="18"/>
              </w:rPr>
            </w:pPr>
            <w:r>
              <w:rPr>
                <w:color w:val="231F20"/>
                <w:sz w:val="18"/>
              </w:rPr>
              <w:t>-</w:t>
            </w:r>
            <w:r>
              <w:rPr>
                <w:color w:val="231F20"/>
                <w:spacing w:val="-2"/>
                <w:w w:val="105"/>
                <w:sz w:val="18"/>
              </w:rPr>
              <w:t>65.1%</w:t>
            </w:r>
          </w:p>
        </w:tc>
      </w:tr>
      <w:tr>
        <w:trPr>
          <w:trHeight w:val="454" w:hRule="atLeast"/>
        </w:trPr>
        <w:tc>
          <w:tcPr>
            <w:tcW w:w="3068" w:type="dxa"/>
          </w:tcPr>
          <w:p>
            <w:pPr>
              <w:pStyle w:val="TableParagraph"/>
              <w:spacing w:before="122"/>
              <w:ind w:left="50"/>
              <w:rPr>
                <w:sz w:val="18"/>
              </w:rPr>
            </w:pPr>
            <w:r>
              <w:rPr>
                <w:color w:val="231F20"/>
                <w:w w:val="105"/>
                <w:sz w:val="18"/>
              </w:rPr>
              <w:t>Other</w:t>
            </w:r>
            <w:r>
              <w:rPr>
                <w:color w:val="231F20"/>
                <w:spacing w:val="-11"/>
                <w:w w:val="105"/>
                <w:sz w:val="18"/>
              </w:rPr>
              <w:t> </w:t>
            </w:r>
            <w:r>
              <w:rPr>
                <w:color w:val="231F20"/>
                <w:w w:val="105"/>
                <w:sz w:val="18"/>
              </w:rPr>
              <w:t>revenues</w:t>
            </w:r>
            <w:r>
              <w:rPr>
                <w:color w:val="231F20"/>
                <w:spacing w:val="-10"/>
                <w:w w:val="105"/>
                <w:sz w:val="18"/>
              </w:rPr>
              <w:t> </w:t>
            </w:r>
            <w:r>
              <w:rPr>
                <w:color w:val="231F20"/>
                <w:w w:val="105"/>
                <w:sz w:val="18"/>
              </w:rPr>
              <w:t>and</w:t>
            </w:r>
            <w:r>
              <w:rPr>
                <w:color w:val="231F20"/>
                <w:spacing w:val="-10"/>
                <w:w w:val="105"/>
                <w:sz w:val="18"/>
              </w:rPr>
              <w:t> </w:t>
            </w:r>
            <w:r>
              <w:rPr>
                <w:color w:val="231F20"/>
                <w:w w:val="105"/>
                <w:sz w:val="18"/>
              </w:rPr>
              <w:t>capital</w:t>
            </w:r>
            <w:r>
              <w:rPr>
                <w:color w:val="231F20"/>
                <w:spacing w:val="-10"/>
                <w:w w:val="105"/>
                <w:sz w:val="18"/>
              </w:rPr>
              <w:t> </w:t>
            </w:r>
            <w:r>
              <w:rPr>
                <w:color w:val="231F20"/>
                <w:spacing w:val="-2"/>
                <w:w w:val="105"/>
                <w:sz w:val="18"/>
              </w:rPr>
              <w:t>items</w:t>
            </w:r>
          </w:p>
        </w:tc>
        <w:tc>
          <w:tcPr>
            <w:tcW w:w="1729" w:type="dxa"/>
          </w:tcPr>
          <w:p>
            <w:pPr>
              <w:pStyle w:val="TableParagraph"/>
              <w:tabs>
                <w:tab w:pos="826" w:val="left" w:leader="none"/>
              </w:tabs>
              <w:spacing w:before="122"/>
              <w:ind w:right="92"/>
              <w:jc w:val="right"/>
              <w:rPr>
                <w:sz w:val="18"/>
              </w:rPr>
            </w:pPr>
            <w:r>
              <w:rPr>
                <w:color w:val="231F20"/>
                <w:sz w:val="18"/>
                <w:u w:val="single" w:color="231F20"/>
              </w:rPr>
              <w:tab/>
            </w:r>
            <w:r>
              <w:rPr>
                <w:color w:val="231F20"/>
                <w:spacing w:val="-2"/>
                <w:w w:val="105"/>
                <w:sz w:val="18"/>
                <w:u w:val="single" w:color="231F20"/>
              </w:rPr>
              <w:t>19,297</w:t>
            </w:r>
            <w:r>
              <w:rPr>
                <w:color w:val="231F20"/>
                <w:spacing w:val="80"/>
                <w:w w:val="105"/>
                <w:sz w:val="18"/>
                <w:u w:val="single" w:color="231F20"/>
              </w:rPr>
              <w:t> </w:t>
            </w:r>
          </w:p>
        </w:tc>
        <w:tc>
          <w:tcPr>
            <w:tcW w:w="1695" w:type="dxa"/>
          </w:tcPr>
          <w:p>
            <w:pPr>
              <w:pStyle w:val="TableParagraph"/>
              <w:tabs>
                <w:tab w:pos="829" w:val="left" w:leader="none"/>
              </w:tabs>
              <w:spacing w:before="122"/>
              <w:ind w:right="91"/>
              <w:jc w:val="right"/>
              <w:rPr>
                <w:sz w:val="18"/>
              </w:rPr>
            </w:pPr>
            <w:r>
              <w:rPr>
                <w:color w:val="231F20"/>
                <w:sz w:val="18"/>
                <w:u w:val="single" w:color="231F20"/>
              </w:rPr>
              <w:tab/>
            </w:r>
            <w:r>
              <w:rPr>
                <w:color w:val="231F20"/>
                <w:spacing w:val="-2"/>
                <w:w w:val="105"/>
                <w:sz w:val="18"/>
                <w:u w:val="single" w:color="231F20"/>
              </w:rPr>
              <w:t>29,602</w:t>
            </w:r>
            <w:r>
              <w:rPr>
                <w:color w:val="231F20"/>
                <w:spacing w:val="80"/>
                <w:w w:val="105"/>
                <w:sz w:val="18"/>
                <w:u w:val="single" w:color="231F20"/>
              </w:rPr>
              <w:t> </w:t>
            </w:r>
          </w:p>
        </w:tc>
        <w:tc>
          <w:tcPr>
            <w:tcW w:w="1694" w:type="dxa"/>
          </w:tcPr>
          <w:p>
            <w:pPr>
              <w:pStyle w:val="TableParagraph"/>
              <w:tabs>
                <w:tab w:pos="766" w:val="left" w:leader="none"/>
              </w:tabs>
              <w:spacing w:before="122"/>
              <w:ind w:right="127"/>
              <w:jc w:val="right"/>
              <w:rPr>
                <w:sz w:val="18"/>
              </w:rPr>
            </w:pPr>
            <w:r>
              <w:rPr>
                <w:color w:val="231F20"/>
                <w:sz w:val="18"/>
                <w:u w:val="single" w:color="231F20"/>
              </w:rPr>
              <w:tab/>
            </w:r>
            <w:r>
              <w:rPr>
                <w:color w:val="231F20"/>
                <w:spacing w:val="-2"/>
                <w:w w:val="105"/>
                <w:sz w:val="18"/>
                <w:u w:val="single" w:color="231F20"/>
              </w:rPr>
              <w:t>(10,305)</w:t>
            </w:r>
          </w:p>
        </w:tc>
        <w:tc>
          <w:tcPr>
            <w:tcW w:w="1194" w:type="dxa"/>
          </w:tcPr>
          <w:p>
            <w:pPr>
              <w:pStyle w:val="TableParagraph"/>
              <w:tabs>
                <w:tab w:pos="434" w:val="left" w:leader="none"/>
              </w:tabs>
              <w:spacing w:before="122"/>
              <w:ind w:right="63"/>
              <w:jc w:val="right"/>
              <w:rPr>
                <w:sz w:val="18"/>
              </w:rPr>
            </w:pPr>
            <w:r>
              <w:rPr>
                <w:color w:val="231F20"/>
                <w:sz w:val="18"/>
                <w:u w:val="single" w:color="231F20"/>
              </w:rPr>
              <w:tab/>
              <w:t>-</w:t>
            </w:r>
            <w:r>
              <w:rPr>
                <w:color w:val="231F20"/>
                <w:spacing w:val="-2"/>
                <w:w w:val="105"/>
                <w:sz w:val="18"/>
                <w:u w:val="single" w:color="231F20"/>
              </w:rPr>
              <w:t>34.8%</w:t>
            </w:r>
          </w:p>
        </w:tc>
      </w:tr>
      <w:tr>
        <w:trPr>
          <w:trHeight w:val="386" w:hRule="atLeast"/>
        </w:trPr>
        <w:tc>
          <w:tcPr>
            <w:tcW w:w="3068" w:type="dxa"/>
          </w:tcPr>
          <w:p>
            <w:pPr>
              <w:pStyle w:val="TableParagraph"/>
              <w:spacing w:before="121"/>
              <w:ind w:left="50"/>
              <w:rPr>
                <w:sz w:val="18"/>
              </w:rPr>
            </w:pPr>
            <w:r>
              <w:rPr>
                <w:color w:val="231F20"/>
                <w:w w:val="105"/>
                <w:sz w:val="18"/>
              </w:rPr>
              <w:t>Increase</w:t>
            </w:r>
            <w:r>
              <w:rPr>
                <w:color w:val="231F20"/>
                <w:spacing w:val="-9"/>
                <w:w w:val="105"/>
                <w:sz w:val="18"/>
              </w:rPr>
              <w:t> </w:t>
            </w:r>
            <w:r>
              <w:rPr>
                <w:color w:val="231F20"/>
                <w:w w:val="105"/>
                <w:sz w:val="18"/>
              </w:rPr>
              <w:t>(decrease)</w:t>
            </w:r>
            <w:r>
              <w:rPr>
                <w:color w:val="231F20"/>
                <w:spacing w:val="-9"/>
                <w:w w:val="105"/>
                <w:sz w:val="18"/>
              </w:rPr>
              <w:t> </w:t>
            </w:r>
            <w:r>
              <w:rPr>
                <w:color w:val="231F20"/>
                <w:w w:val="105"/>
                <w:sz w:val="18"/>
              </w:rPr>
              <w:t>in</w:t>
            </w:r>
            <w:r>
              <w:rPr>
                <w:color w:val="231F20"/>
                <w:spacing w:val="-8"/>
                <w:w w:val="105"/>
                <w:sz w:val="18"/>
              </w:rPr>
              <w:t> </w:t>
            </w:r>
            <w:r>
              <w:rPr>
                <w:color w:val="231F20"/>
                <w:w w:val="105"/>
                <w:sz w:val="18"/>
              </w:rPr>
              <w:t>net</w:t>
            </w:r>
            <w:r>
              <w:rPr>
                <w:color w:val="231F20"/>
                <w:spacing w:val="-9"/>
                <w:w w:val="105"/>
                <w:sz w:val="18"/>
              </w:rPr>
              <w:t> </w:t>
            </w:r>
            <w:r>
              <w:rPr>
                <w:color w:val="231F20"/>
                <w:spacing w:val="-2"/>
                <w:w w:val="105"/>
                <w:sz w:val="18"/>
              </w:rPr>
              <w:t>position</w:t>
            </w:r>
          </w:p>
        </w:tc>
        <w:tc>
          <w:tcPr>
            <w:tcW w:w="1729" w:type="dxa"/>
          </w:tcPr>
          <w:p>
            <w:pPr>
              <w:pStyle w:val="TableParagraph"/>
              <w:tabs>
                <w:tab w:pos="867" w:val="left" w:leader="none"/>
              </w:tabs>
              <w:spacing w:before="121"/>
              <w:ind w:right="133"/>
              <w:jc w:val="right"/>
              <w:rPr>
                <w:sz w:val="18"/>
              </w:rPr>
            </w:pPr>
            <w:r>
              <w:rPr>
                <w:color w:val="231F20"/>
                <w:spacing w:val="46"/>
                <w:w w:val="105"/>
                <w:sz w:val="18"/>
                <w:u w:val="single" w:color="231F20"/>
              </w:rPr>
              <w:t> </w:t>
            </w:r>
            <w:r>
              <w:rPr>
                <w:color w:val="231F20"/>
                <w:spacing w:val="-10"/>
                <w:w w:val="105"/>
                <w:sz w:val="18"/>
                <w:u w:val="single" w:color="231F20"/>
              </w:rPr>
              <w:t>$</w:t>
            </w:r>
            <w:r>
              <w:rPr>
                <w:color w:val="231F20"/>
                <w:sz w:val="18"/>
                <w:u w:val="single" w:color="231F20"/>
              </w:rPr>
              <w:tab/>
            </w:r>
            <w:r>
              <w:rPr>
                <w:color w:val="231F20"/>
                <w:spacing w:val="-2"/>
                <w:w w:val="105"/>
                <w:sz w:val="18"/>
                <w:u w:val="single" w:color="231F20"/>
              </w:rPr>
              <w:t>(9,571)</w:t>
            </w:r>
          </w:p>
        </w:tc>
        <w:tc>
          <w:tcPr>
            <w:tcW w:w="1695" w:type="dxa"/>
          </w:tcPr>
          <w:p>
            <w:pPr>
              <w:pStyle w:val="TableParagraph"/>
              <w:tabs>
                <w:tab w:pos="765" w:val="left" w:leader="none"/>
              </w:tabs>
              <w:spacing w:before="121"/>
              <w:ind w:right="131"/>
              <w:jc w:val="right"/>
              <w:rPr>
                <w:sz w:val="18"/>
              </w:rPr>
            </w:pPr>
            <w:r>
              <w:rPr>
                <w:color w:val="231F20"/>
                <w:spacing w:val="45"/>
                <w:w w:val="105"/>
                <w:sz w:val="18"/>
                <w:u w:val="single" w:color="231F20"/>
              </w:rPr>
              <w:t> </w:t>
            </w:r>
            <w:r>
              <w:rPr>
                <w:color w:val="231F20"/>
                <w:spacing w:val="-10"/>
                <w:w w:val="105"/>
                <w:sz w:val="18"/>
                <w:u w:val="single" w:color="231F20"/>
              </w:rPr>
              <w:t>$</w:t>
            </w:r>
            <w:r>
              <w:rPr>
                <w:color w:val="231F20"/>
                <w:sz w:val="18"/>
                <w:u w:val="single" w:color="231F20"/>
              </w:rPr>
              <w:tab/>
            </w:r>
            <w:r>
              <w:rPr>
                <w:color w:val="231F20"/>
                <w:spacing w:val="-2"/>
                <w:w w:val="105"/>
                <w:sz w:val="18"/>
                <w:u w:val="single" w:color="231F20"/>
              </w:rPr>
              <w:t>(53,153)</w:t>
            </w:r>
          </w:p>
        </w:tc>
        <w:tc>
          <w:tcPr>
            <w:tcW w:w="1694" w:type="dxa"/>
          </w:tcPr>
          <w:p>
            <w:pPr>
              <w:pStyle w:val="TableParagraph"/>
              <w:tabs>
                <w:tab w:pos="829" w:val="left" w:leader="none"/>
              </w:tabs>
              <w:spacing w:before="121"/>
              <w:ind w:right="91"/>
              <w:jc w:val="right"/>
              <w:rPr>
                <w:sz w:val="18"/>
              </w:rPr>
            </w:pPr>
            <w:r>
              <w:rPr>
                <w:color w:val="231F20"/>
                <w:spacing w:val="46"/>
                <w:w w:val="105"/>
                <w:sz w:val="18"/>
                <w:u w:val="single" w:color="231F20"/>
              </w:rPr>
              <w:t> </w:t>
            </w:r>
            <w:r>
              <w:rPr>
                <w:color w:val="231F20"/>
                <w:spacing w:val="-10"/>
                <w:w w:val="105"/>
                <w:sz w:val="18"/>
                <w:u w:val="single" w:color="231F20"/>
              </w:rPr>
              <w:t>$</w:t>
            </w:r>
            <w:r>
              <w:rPr>
                <w:color w:val="231F20"/>
                <w:sz w:val="18"/>
                <w:u w:val="single" w:color="231F20"/>
              </w:rPr>
              <w:tab/>
            </w:r>
            <w:r>
              <w:rPr>
                <w:color w:val="231F20"/>
                <w:spacing w:val="-2"/>
                <w:w w:val="105"/>
                <w:sz w:val="18"/>
                <w:u w:val="single" w:color="231F20"/>
              </w:rPr>
              <w:t>43,582</w:t>
            </w:r>
            <w:r>
              <w:rPr>
                <w:color w:val="231F20"/>
                <w:spacing w:val="80"/>
                <w:w w:val="105"/>
                <w:sz w:val="18"/>
                <w:u w:val="single" w:color="231F20"/>
              </w:rPr>
              <w:t> </w:t>
            </w:r>
          </w:p>
        </w:tc>
        <w:tc>
          <w:tcPr>
            <w:tcW w:w="1194" w:type="dxa"/>
          </w:tcPr>
          <w:p>
            <w:pPr>
              <w:pStyle w:val="TableParagraph"/>
              <w:tabs>
                <w:tab w:pos="434" w:val="left" w:leader="none"/>
              </w:tabs>
              <w:spacing w:before="121"/>
              <w:ind w:right="63"/>
              <w:jc w:val="right"/>
              <w:rPr>
                <w:sz w:val="18"/>
              </w:rPr>
            </w:pPr>
            <w:r>
              <w:rPr>
                <w:color w:val="231F20"/>
                <w:sz w:val="18"/>
                <w:u w:val="single" w:color="231F20"/>
              </w:rPr>
              <w:tab/>
              <w:t>-</w:t>
            </w:r>
            <w:r>
              <w:rPr>
                <w:color w:val="231F20"/>
                <w:spacing w:val="-2"/>
                <w:w w:val="105"/>
                <w:sz w:val="18"/>
                <w:u w:val="single" w:color="231F20"/>
              </w:rPr>
              <w:t>99.9%</w:t>
            </w:r>
          </w:p>
        </w:tc>
      </w:tr>
    </w:tbl>
    <w:p>
      <w:pPr>
        <w:spacing w:line="20" w:lineRule="exact"/>
        <w:ind w:left="4633" w:right="0" w:firstLine="0"/>
        <w:jc w:val="left"/>
        <w:rPr>
          <w:sz w:val="2"/>
        </w:rPr>
      </w:pPr>
      <w:r>
        <w:rPr>
          <w:sz w:val="2"/>
        </w:rPr>
        <w:pict>
          <v:group style="width:75.25pt;height:.9pt;mso-position-horizontal-relative:char;mso-position-vertical-relative:line" id="docshapegroup116" coordorigin="0,0" coordsize="1505,18">
            <v:rect style="position:absolute;left:0;top:0;width:1505;height:18" id="docshape117" filled="true" fillcolor="#231f20" stroked="false">
              <v:fill type="solid"/>
            </v:rect>
          </v:group>
        </w:pict>
      </w:r>
      <w:r>
        <w:rPr>
          <w:sz w:val="2"/>
        </w:rPr>
      </w:r>
      <w:r>
        <w:rPr>
          <w:rFonts w:ascii="Times New Roman"/>
          <w:spacing w:val="168"/>
          <w:sz w:val="2"/>
        </w:rPr>
        <w:t> </w:t>
      </w:r>
      <w:r>
        <w:rPr>
          <w:spacing w:val="168"/>
          <w:sz w:val="2"/>
        </w:rPr>
        <w:pict>
          <v:group style="width:75.25pt;height:.9pt;mso-position-horizontal-relative:char;mso-position-vertical-relative:line" id="docshapegroup118" coordorigin="0,0" coordsize="1505,18">
            <v:rect style="position:absolute;left:0;top:0;width:1505;height:18" id="docshape119" filled="true" fillcolor="#231f20" stroked="false">
              <v:fill type="solid"/>
            </v:rect>
          </v:group>
        </w:pict>
      </w:r>
      <w:r>
        <w:rPr>
          <w:spacing w:val="168"/>
          <w:sz w:val="2"/>
        </w:rPr>
      </w:r>
      <w:r>
        <w:rPr>
          <w:rFonts w:ascii="Times New Roman"/>
          <w:spacing w:val="166"/>
          <w:sz w:val="2"/>
        </w:rPr>
        <w:t> </w:t>
      </w:r>
      <w:r>
        <w:rPr>
          <w:spacing w:val="166"/>
          <w:sz w:val="2"/>
        </w:rPr>
        <w:pict>
          <v:group style="width:75.25pt;height:.9pt;mso-position-horizontal-relative:char;mso-position-vertical-relative:line" id="docshapegroup120" coordorigin="0,0" coordsize="1505,18">
            <v:rect style="position:absolute;left:0;top:0;width:1505;height:18" id="docshape121" filled="true" fillcolor="#231f20" stroked="false">
              <v:fill type="solid"/>
            </v:rect>
          </v:group>
        </w:pict>
      </w:r>
      <w:r>
        <w:rPr>
          <w:spacing w:val="166"/>
          <w:sz w:val="2"/>
        </w:rPr>
      </w:r>
      <w:r>
        <w:rPr>
          <w:rFonts w:ascii="Times New Roman"/>
          <w:spacing w:val="168"/>
          <w:sz w:val="2"/>
        </w:rPr>
        <w:t> </w:t>
      </w:r>
      <w:r>
        <w:rPr>
          <w:spacing w:val="168"/>
          <w:sz w:val="2"/>
        </w:rPr>
        <w:pict>
          <v:group style="width:53.4pt;height:.9pt;mso-position-horizontal-relative:char;mso-position-vertical-relative:line" id="docshapegroup122" coordorigin="0,0" coordsize="1068,18">
            <v:rect style="position:absolute;left:0;top:0;width:1068;height:18" id="docshape123" filled="true" fillcolor="#231f20" stroked="false">
              <v:fill type="solid"/>
            </v:rect>
          </v:group>
        </w:pict>
      </w:r>
      <w:r>
        <w:rPr>
          <w:spacing w:val="168"/>
          <w:sz w:val="2"/>
        </w:rPr>
      </w:r>
    </w:p>
    <w:p>
      <w:pPr>
        <w:pStyle w:val="BodyText"/>
        <w:spacing w:before="10"/>
      </w:pPr>
    </w:p>
    <w:p>
      <w:pPr>
        <w:pStyle w:val="BodyText"/>
        <w:spacing w:line="276" w:lineRule="auto"/>
        <w:ind w:left="1439" w:right="1303"/>
        <w:jc w:val="both"/>
      </w:pPr>
      <w:r>
        <w:rPr>
          <w:color w:val="231F20"/>
        </w:rPr>
        <w:t>Operating</w:t>
      </w:r>
      <w:r>
        <w:rPr>
          <w:color w:val="231F20"/>
          <w:spacing w:val="-3"/>
        </w:rPr>
        <w:t> </w:t>
      </w:r>
      <w:r>
        <w:rPr>
          <w:color w:val="231F20"/>
        </w:rPr>
        <w:t>revenues</w:t>
      </w:r>
      <w:r>
        <w:rPr>
          <w:color w:val="231F20"/>
          <w:spacing w:val="-3"/>
        </w:rPr>
        <w:t> </w:t>
      </w:r>
      <w:r>
        <w:rPr>
          <w:color w:val="231F20"/>
        </w:rPr>
        <w:t>are</w:t>
      </w:r>
      <w:r>
        <w:rPr>
          <w:color w:val="231F20"/>
          <w:spacing w:val="-3"/>
        </w:rPr>
        <w:t> </w:t>
      </w:r>
      <w:r>
        <w:rPr>
          <w:color w:val="231F20"/>
        </w:rPr>
        <w:t>received</w:t>
      </w:r>
      <w:r>
        <w:rPr>
          <w:color w:val="231F20"/>
          <w:spacing w:val="-3"/>
        </w:rPr>
        <w:t> </w:t>
      </w:r>
      <w:r>
        <w:rPr>
          <w:color w:val="231F20"/>
        </w:rPr>
        <w:t>in</w:t>
      </w:r>
      <w:r>
        <w:rPr>
          <w:color w:val="231F20"/>
          <w:spacing w:val="-3"/>
        </w:rPr>
        <w:t> </w:t>
      </w:r>
      <w:r>
        <w:rPr>
          <w:color w:val="231F20"/>
        </w:rPr>
        <w:t>order</w:t>
      </w:r>
      <w:r>
        <w:rPr>
          <w:color w:val="231F20"/>
          <w:spacing w:val="-3"/>
        </w:rPr>
        <w:t> </w:t>
      </w:r>
      <w:r>
        <w:rPr>
          <w:color w:val="231F20"/>
        </w:rPr>
        <w:t>to</w:t>
      </w:r>
      <w:r>
        <w:rPr>
          <w:color w:val="231F20"/>
          <w:spacing w:val="-3"/>
        </w:rPr>
        <w:t> </w:t>
      </w:r>
      <w:r>
        <w:rPr>
          <w:color w:val="231F20"/>
        </w:rPr>
        <w:t>provide</w:t>
      </w:r>
      <w:r>
        <w:rPr>
          <w:color w:val="231F20"/>
          <w:spacing w:val="-3"/>
        </w:rPr>
        <w:t> </w:t>
      </w:r>
      <w:r>
        <w:rPr>
          <w:color w:val="231F20"/>
        </w:rPr>
        <w:t>goods</w:t>
      </w:r>
      <w:r>
        <w:rPr>
          <w:color w:val="231F20"/>
          <w:spacing w:val="-3"/>
        </w:rPr>
        <w:t> </w:t>
      </w:r>
      <w:r>
        <w:rPr>
          <w:color w:val="231F20"/>
        </w:rPr>
        <w:t>and</w:t>
      </w:r>
      <w:r>
        <w:rPr>
          <w:color w:val="231F20"/>
          <w:spacing w:val="-3"/>
        </w:rPr>
        <w:t> </w:t>
      </w:r>
      <w:r>
        <w:rPr>
          <w:color w:val="231F20"/>
        </w:rPr>
        <w:t>services</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constituencies</w:t>
      </w:r>
      <w:r>
        <w:rPr>
          <w:color w:val="231F20"/>
          <w:spacing w:val="-2"/>
        </w:rPr>
        <w:t> </w:t>
      </w:r>
      <w:r>
        <w:rPr>
          <w:color w:val="231F20"/>
        </w:rPr>
        <w:t>of</w:t>
      </w:r>
      <w:r>
        <w:rPr>
          <w:color w:val="231F20"/>
          <w:spacing w:val="-3"/>
        </w:rPr>
        <w:t> </w:t>
      </w:r>
      <w:r>
        <w:rPr>
          <w:color w:val="231F20"/>
        </w:rPr>
        <w:t>New Mexico</w:t>
      </w:r>
      <w:r>
        <w:rPr>
          <w:color w:val="231F20"/>
          <w:spacing w:val="-3"/>
        </w:rPr>
        <w:t> </w:t>
      </w:r>
      <w:r>
        <w:rPr>
          <w:color w:val="231F20"/>
        </w:rPr>
        <w:t>Tech.</w:t>
      </w:r>
      <w:r>
        <w:rPr>
          <w:color w:val="231F20"/>
          <w:spacing w:val="-4"/>
        </w:rPr>
        <w:t> </w:t>
      </w:r>
      <w:r>
        <w:rPr>
          <w:color w:val="231F20"/>
        </w:rPr>
        <w:t>Operating</w:t>
      </w:r>
      <w:r>
        <w:rPr>
          <w:color w:val="231F20"/>
          <w:spacing w:val="-3"/>
        </w:rPr>
        <w:t> </w:t>
      </w:r>
      <w:r>
        <w:rPr>
          <w:color w:val="231F20"/>
        </w:rPr>
        <w:t>revenue</w:t>
      </w:r>
      <w:r>
        <w:rPr>
          <w:color w:val="231F20"/>
          <w:spacing w:val="-3"/>
        </w:rPr>
        <w:t> </w:t>
      </w:r>
      <w:r>
        <w:rPr>
          <w:color w:val="231F20"/>
        </w:rPr>
        <w:t>includes</w:t>
      </w:r>
      <w:r>
        <w:rPr>
          <w:color w:val="231F20"/>
          <w:spacing w:val="-3"/>
        </w:rPr>
        <w:t> </w:t>
      </w:r>
      <w:r>
        <w:rPr>
          <w:color w:val="231F20"/>
        </w:rPr>
        <w:t>tuition,</w:t>
      </w:r>
      <w:r>
        <w:rPr>
          <w:color w:val="231F20"/>
          <w:spacing w:val="-1"/>
        </w:rPr>
        <w:t> </w:t>
      </w:r>
      <w:r>
        <w:rPr>
          <w:color w:val="231F20"/>
        </w:rPr>
        <w:t>federal,</w:t>
      </w:r>
      <w:r>
        <w:rPr>
          <w:color w:val="231F20"/>
          <w:spacing w:val="-3"/>
        </w:rPr>
        <w:t> </w:t>
      </w:r>
      <w:r>
        <w:rPr>
          <w:color w:val="231F20"/>
        </w:rPr>
        <w:t>state</w:t>
      </w:r>
      <w:r>
        <w:rPr>
          <w:color w:val="231F20"/>
          <w:spacing w:val="-3"/>
        </w:rPr>
        <w:t> </w:t>
      </w:r>
      <w:r>
        <w:rPr>
          <w:color w:val="231F20"/>
        </w:rPr>
        <w:t>and</w:t>
      </w:r>
      <w:r>
        <w:rPr>
          <w:color w:val="231F20"/>
          <w:spacing w:val="-3"/>
        </w:rPr>
        <w:t> </w:t>
      </w:r>
      <w:r>
        <w:rPr>
          <w:color w:val="231F20"/>
        </w:rPr>
        <w:t>private</w:t>
      </w:r>
      <w:r>
        <w:rPr>
          <w:color w:val="231F20"/>
          <w:spacing w:val="-3"/>
        </w:rPr>
        <w:t> </w:t>
      </w:r>
      <w:r>
        <w:rPr>
          <w:color w:val="231F20"/>
        </w:rPr>
        <w:t>grants</w:t>
      </w:r>
      <w:r>
        <w:rPr>
          <w:color w:val="231F20"/>
          <w:spacing w:val="-3"/>
        </w:rPr>
        <w:t> </w:t>
      </w:r>
      <w:r>
        <w:rPr>
          <w:color w:val="231F20"/>
        </w:rPr>
        <w:t>and</w:t>
      </w:r>
      <w:r>
        <w:rPr>
          <w:color w:val="231F20"/>
          <w:spacing w:val="-3"/>
        </w:rPr>
        <w:t> </w:t>
      </w:r>
      <w:r>
        <w:rPr>
          <w:color w:val="231F20"/>
        </w:rPr>
        <w:t>contracts,</w:t>
      </w:r>
      <w:r>
        <w:rPr>
          <w:color w:val="231F20"/>
          <w:spacing w:val="-3"/>
        </w:rPr>
        <w:t> </w:t>
      </w:r>
      <w:r>
        <w:rPr>
          <w:color w:val="231F20"/>
        </w:rPr>
        <w:t>and auxiliary service fees.</w:t>
      </w:r>
    </w:p>
    <w:p>
      <w:pPr>
        <w:spacing w:after="0" w:line="276" w:lineRule="auto"/>
        <w:jc w:val="both"/>
        <w:sectPr>
          <w:pgSz w:w="12240" w:h="15840"/>
          <w:pgMar w:header="994" w:footer="1097" w:top="1900" w:bottom="1280" w:left="0" w:right="580"/>
        </w:sectPr>
      </w:pPr>
    </w:p>
    <w:p>
      <w:pPr>
        <w:pStyle w:val="BodyText"/>
      </w:pPr>
    </w:p>
    <w:p>
      <w:pPr>
        <w:pStyle w:val="BodyText"/>
        <w:spacing w:before="1"/>
        <w:rPr>
          <w:sz w:val="23"/>
        </w:rPr>
      </w:pPr>
    </w:p>
    <w:p>
      <w:pPr>
        <w:pStyle w:val="BodyText"/>
        <w:spacing w:before="1"/>
        <w:ind w:left="1440" w:right="1505"/>
      </w:pPr>
      <w:r>
        <w:rPr>
          <w:color w:val="231F20"/>
        </w:rPr>
        <w:t>Compared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fiscal</w:t>
      </w:r>
      <w:r>
        <w:rPr>
          <w:color w:val="231F20"/>
          <w:spacing w:val="-4"/>
        </w:rPr>
        <w:t> </w:t>
      </w:r>
      <w:r>
        <w:rPr>
          <w:color w:val="231F20"/>
        </w:rPr>
        <w:t>year</w:t>
      </w:r>
      <w:r>
        <w:rPr>
          <w:color w:val="231F20"/>
          <w:spacing w:val="-3"/>
        </w:rPr>
        <w:t> </w:t>
      </w:r>
      <w:r>
        <w:rPr>
          <w:color w:val="231F20"/>
        </w:rPr>
        <w:t>2021,</w:t>
      </w:r>
      <w:r>
        <w:rPr>
          <w:color w:val="231F20"/>
          <w:spacing w:val="-3"/>
        </w:rPr>
        <w:t> </w:t>
      </w:r>
      <w:r>
        <w:rPr>
          <w:color w:val="231F20"/>
        </w:rPr>
        <w:t>total</w:t>
      </w:r>
      <w:r>
        <w:rPr>
          <w:color w:val="231F20"/>
          <w:spacing w:val="-3"/>
        </w:rPr>
        <w:t> </w:t>
      </w:r>
      <w:r>
        <w:rPr>
          <w:color w:val="231F20"/>
        </w:rPr>
        <w:t>operating</w:t>
      </w:r>
      <w:r>
        <w:rPr>
          <w:color w:val="231F20"/>
          <w:spacing w:val="-3"/>
        </w:rPr>
        <w:t> </w:t>
      </w:r>
      <w:r>
        <w:rPr>
          <w:color w:val="231F20"/>
        </w:rPr>
        <w:t>revenue</w:t>
      </w:r>
      <w:r>
        <w:rPr>
          <w:color w:val="231F20"/>
          <w:spacing w:val="-3"/>
        </w:rPr>
        <w:t> </w:t>
      </w:r>
      <w:r>
        <w:rPr>
          <w:color w:val="231F20"/>
        </w:rPr>
        <w:t>increased</w:t>
      </w:r>
      <w:r>
        <w:rPr>
          <w:color w:val="231F20"/>
          <w:spacing w:val="-3"/>
        </w:rPr>
        <w:t> </w:t>
      </w:r>
      <w:r>
        <w:rPr>
          <w:color w:val="231F20"/>
        </w:rPr>
        <w:t>by</w:t>
      </w:r>
      <w:r>
        <w:rPr>
          <w:color w:val="231F20"/>
          <w:spacing w:val="-3"/>
        </w:rPr>
        <w:t> </w:t>
      </w:r>
      <w:r>
        <w:rPr>
          <w:color w:val="231F20"/>
        </w:rPr>
        <w:t>$31.4</w:t>
      </w:r>
      <w:r>
        <w:rPr>
          <w:color w:val="231F20"/>
          <w:spacing w:val="-3"/>
        </w:rPr>
        <w:t> </w:t>
      </w:r>
      <w:r>
        <w:rPr>
          <w:color w:val="231F20"/>
        </w:rPr>
        <w:t>million.</w:t>
      </w:r>
      <w:r>
        <w:rPr>
          <w:color w:val="231F20"/>
          <w:spacing w:val="-3"/>
        </w:rPr>
        <w:t> </w:t>
      </w:r>
      <w:r>
        <w:rPr>
          <w:color w:val="231F20"/>
        </w:rPr>
        <w:t>Year</w:t>
      </w:r>
      <w:r>
        <w:rPr>
          <w:color w:val="231F20"/>
          <w:spacing w:val="-3"/>
        </w:rPr>
        <w:t> </w:t>
      </w:r>
      <w:r>
        <w:rPr>
          <w:color w:val="231F20"/>
        </w:rPr>
        <w:t>to</w:t>
      </w:r>
      <w:r>
        <w:rPr>
          <w:color w:val="231F20"/>
          <w:spacing w:val="-3"/>
        </w:rPr>
        <w:t> </w:t>
      </w:r>
      <w:r>
        <w:rPr>
          <w:color w:val="231F20"/>
        </w:rPr>
        <w:t>year changes of the individual components included within the total operating revenue are:</w:t>
      </w:r>
    </w:p>
    <w:p>
      <w:pPr>
        <w:pStyle w:val="BodyText"/>
        <w:spacing w:before="11"/>
        <w:rPr>
          <w:sz w:val="19"/>
        </w:rPr>
      </w:pPr>
    </w:p>
    <w:p>
      <w:pPr>
        <w:pStyle w:val="ListParagraph"/>
        <w:numPr>
          <w:ilvl w:val="0"/>
          <w:numId w:val="3"/>
        </w:numPr>
        <w:tabs>
          <w:tab w:pos="2160" w:val="left" w:leader="none"/>
          <w:tab w:pos="2161" w:val="left" w:leader="none"/>
        </w:tabs>
        <w:spacing w:line="240" w:lineRule="auto" w:before="0" w:after="0"/>
        <w:ind w:left="2160" w:right="0" w:hanging="361"/>
        <w:jc w:val="left"/>
        <w:rPr>
          <w:sz w:val="20"/>
        </w:rPr>
      </w:pPr>
      <w:r>
        <w:rPr>
          <w:color w:val="231F20"/>
          <w:sz w:val="20"/>
        </w:rPr>
        <w:t>Net</w:t>
      </w:r>
      <w:r>
        <w:rPr>
          <w:color w:val="231F20"/>
          <w:spacing w:val="-4"/>
          <w:sz w:val="20"/>
        </w:rPr>
        <w:t> </w:t>
      </w:r>
      <w:r>
        <w:rPr>
          <w:color w:val="231F20"/>
          <w:sz w:val="20"/>
        </w:rPr>
        <w:t>tuition</w:t>
      </w:r>
      <w:r>
        <w:rPr>
          <w:color w:val="231F20"/>
          <w:spacing w:val="-4"/>
          <w:sz w:val="20"/>
        </w:rPr>
        <w:t> </w:t>
      </w:r>
      <w:r>
        <w:rPr>
          <w:color w:val="231F20"/>
          <w:sz w:val="20"/>
        </w:rPr>
        <w:t>and</w:t>
      </w:r>
      <w:r>
        <w:rPr>
          <w:color w:val="231F20"/>
          <w:spacing w:val="-4"/>
          <w:sz w:val="20"/>
        </w:rPr>
        <w:t> </w:t>
      </w:r>
      <w:r>
        <w:rPr>
          <w:color w:val="231F20"/>
          <w:sz w:val="20"/>
        </w:rPr>
        <w:t>fee</w:t>
      </w:r>
      <w:r>
        <w:rPr>
          <w:color w:val="231F20"/>
          <w:spacing w:val="-4"/>
          <w:sz w:val="20"/>
        </w:rPr>
        <w:t> </w:t>
      </w:r>
      <w:r>
        <w:rPr>
          <w:color w:val="231F20"/>
          <w:sz w:val="20"/>
        </w:rPr>
        <w:t>revenue</w:t>
      </w:r>
      <w:r>
        <w:rPr>
          <w:color w:val="231F20"/>
          <w:spacing w:val="-5"/>
          <w:sz w:val="20"/>
        </w:rPr>
        <w:t> </w:t>
      </w:r>
      <w:r>
        <w:rPr>
          <w:color w:val="231F20"/>
          <w:sz w:val="20"/>
        </w:rPr>
        <w:t>decreased</w:t>
      </w:r>
      <w:r>
        <w:rPr>
          <w:color w:val="231F20"/>
          <w:spacing w:val="-4"/>
          <w:sz w:val="20"/>
        </w:rPr>
        <w:t> </w:t>
      </w:r>
      <w:r>
        <w:rPr>
          <w:color w:val="231F20"/>
          <w:sz w:val="20"/>
        </w:rPr>
        <w:t>by</w:t>
      </w:r>
      <w:r>
        <w:rPr>
          <w:color w:val="231F20"/>
          <w:spacing w:val="-3"/>
          <w:sz w:val="20"/>
        </w:rPr>
        <w:t> </w:t>
      </w:r>
      <w:r>
        <w:rPr>
          <w:color w:val="231F20"/>
          <w:sz w:val="20"/>
        </w:rPr>
        <w:t>$791</w:t>
      </w:r>
      <w:r>
        <w:rPr>
          <w:color w:val="231F20"/>
          <w:spacing w:val="-3"/>
          <w:sz w:val="20"/>
        </w:rPr>
        <w:t> </w:t>
      </w:r>
      <w:r>
        <w:rPr>
          <w:color w:val="231F20"/>
          <w:spacing w:val="-2"/>
          <w:sz w:val="20"/>
        </w:rPr>
        <w:t>thousand.</w:t>
      </w:r>
    </w:p>
    <w:p>
      <w:pPr>
        <w:pStyle w:val="ListParagraph"/>
        <w:numPr>
          <w:ilvl w:val="0"/>
          <w:numId w:val="3"/>
        </w:numPr>
        <w:tabs>
          <w:tab w:pos="2160" w:val="left" w:leader="none"/>
          <w:tab w:pos="2161" w:val="left" w:leader="none"/>
        </w:tabs>
        <w:spacing w:line="240" w:lineRule="auto" w:before="33" w:after="0"/>
        <w:ind w:left="2160" w:right="0" w:hanging="361"/>
        <w:jc w:val="left"/>
        <w:rPr>
          <w:sz w:val="20"/>
        </w:rPr>
      </w:pPr>
      <w:r>
        <w:rPr>
          <w:color w:val="231F20"/>
          <w:sz w:val="20"/>
        </w:rPr>
        <w:t>Net</w:t>
      </w:r>
      <w:r>
        <w:rPr>
          <w:color w:val="231F20"/>
          <w:spacing w:val="-7"/>
          <w:sz w:val="20"/>
        </w:rPr>
        <w:t> </w:t>
      </w:r>
      <w:r>
        <w:rPr>
          <w:color w:val="231F20"/>
          <w:sz w:val="20"/>
        </w:rPr>
        <w:t>sale</w:t>
      </w:r>
      <w:r>
        <w:rPr>
          <w:color w:val="231F20"/>
          <w:spacing w:val="-6"/>
          <w:sz w:val="20"/>
        </w:rPr>
        <w:t> </w:t>
      </w:r>
      <w:r>
        <w:rPr>
          <w:color w:val="231F20"/>
          <w:sz w:val="20"/>
        </w:rPr>
        <w:t>of</w:t>
      </w:r>
      <w:r>
        <w:rPr>
          <w:color w:val="231F20"/>
          <w:spacing w:val="-5"/>
          <w:sz w:val="20"/>
        </w:rPr>
        <w:t> </w:t>
      </w:r>
      <w:r>
        <w:rPr>
          <w:color w:val="231F20"/>
          <w:sz w:val="20"/>
        </w:rPr>
        <w:t>auxiliary</w:t>
      </w:r>
      <w:r>
        <w:rPr>
          <w:color w:val="231F20"/>
          <w:spacing w:val="-5"/>
          <w:sz w:val="20"/>
        </w:rPr>
        <w:t> </w:t>
      </w:r>
      <w:r>
        <w:rPr>
          <w:color w:val="231F20"/>
          <w:sz w:val="20"/>
        </w:rPr>
        <w:t>service</w:t>
      </w:r>
      <w:r>
        <w:rPr>
          <w:color w:val="231F20"/>
          <w:spacing w:val="-5"/>
          <w:sz w:val="20"/>
        </w:rPr>
        <w:t> </w:t>
      </w:r>
      <w:r>
        <w:rPr>
          <w:color w:val="231F20"/>
          <w:sz w:val="20"/>
        </w:rPr>
        <w:t>increased</w:t>
      </w:r>
      <w:r>
        <w:rPr>
          <w:color w:val="231F20"/>
          <w:spacing w:val="-5"/>
          <w:sz w:val="20"/>
        </w:rPr>
        <w:t> </w:t>
      </w:r>
      <w:r>
        <w:rPr>
          <w:color w:val="231F20"/>
          <w:sz w:val="20"/>
        </w:rPr>
        <w:t>by</w:t>
      </w:r>
      <w:r>
        <w:rPr>
          <w:color w:val="231F20"/>
          <w:spacing w:val="-5"/>
          <w:sz w:val="20"/>
        </w:rPr>
        <w:t> </w:t>
      </w:r>
      <w:r>
        <w:rPr>
          <w:color w:val="231F20"/>
          <w:sz w:val="20"/>
        </w:rPr>
        <w:t>$1.3</w:t>
      </w:r>
      <w:r>
        <w:rPr>
          <w:color w:val="231F20"/>
          <w:spacing w:val="-5"/>
          <w:sz w:val="20"/>
        </w:rPr>
        <w:t> </w:t>
      </w:r>
      <w:r>
        <w:rPr>
          <w:color w:val="231F20"/>
          <w:spacing w:val="-2"/>
          <w:sz w:val="20"/>
        </w:rPr>
        <w:t>million.</w:t>
      </w:r>
    </w:p>
    <w:p>
      <w:pPr>
        <w:pStyle w:val="ListParagraph"/>
        <w:numPr>
          <w:ilvl w:val="0"/>
          <w:numId w:val="3"/>
        </w:numPr>
        <w:tabs>
          <w:tab w:pos="2160" w:val="left" w:leader="none"/>
          <w:tab w:pos="2161" w:val="left" w:leader="none"/>
        </w:tabs>
        <w:spacing w:line="240" w:lineRule="auto" w:before="34" w:after="0"/>
        <w:ind w:left="2160" w:right="0" w:hanging="361"/>
        <w:jc w:val="left"/>
        <w:rPr>
          <w:sz w:val="20"/>
        </w:rPr>
      </w:pPr>
      <w:r>
        <w:rPr>
          <w:color w:val="231F20"/>
          <w:sz w:val="20"/>
        </w:rPr>
        <w:t>Grants</w:t>
      </w:r>
      <w:r>
        <w:rPr>
          <w:color w:val="231F20"/>
          <w:spacing w:val="-7"/>
          <w:sz w:val="20"/>
        </w:rPr>
        <w:t> </w:t>
      </w:r>
      <w:r>
        <w:rPr>
          <w:color w:val="231F20"/>
          <w:sz w:val="20"/>
        </w:rPr>
        <w:t>and</w:t>
      </w:r>
      <w:r>
        <w:rPr>
          <w:color w:val="231F20"/>
          <w:spacing w:val="-6"/>
          <w:sz w:val="20"/>
        </w:rPr>
        <w:t> </w:t>
      </w:r>
      <w:r>
        <w:rPr>
          <w:color w:val="231F20"/>
          <w:sz w:val="20"/>
        </w:rPr>
        <w:t>contracts</w:t>
      </w:r>
      <w:r>
        <w:rPr>
          <w:color w:val="231F20"/>
          <w:spacing w:val="-4"/>
          <w:sz w:val="20"/>
        </w:rPr>
        <w:t> </w:t>
      </w:r>
      <w:r>
        <w:rPr>
          <w:color w:val="231F20"/>
          <w:sz w:val="20"/>
        </w:rPr>
        <w:t>revenue</w:t>
      </w:r>
      <w:r>
        <w:rPr>
          <w:color w:val="231F20"/>
          <w:spacing w:val="-5"/>
          <w:sz w:val="20"/>
        </w:rPr>
        <w:t> </w:t>
      </w:r>
      <w:r>
        <w:rPr>
          <w:color w:val="231F20"/>
          <w:sz w:val="20"/>
        </w:rPr>
        <w:t>increased</w:t>
      </w:r>
      <w:r>
        <w:rPr>
          <w:color w:val="231F20"/>
          <w:spacing w:val="-4"/>
          <w:sz w:val="20"/>
        </w:rPr>
        <w:t> </w:t>
      </w:r>
      <w:r>
        <w:rPr>
          <w:color w:val="231F20"/>
          <w:sz w:val="20"/>
        </w:rPr>
        <w:t>by</w:t>
      </w:r>
      <w:r>
        <w:rPr>
          <w:color w:val="231F20"/>
          <w:spacing w:val="-5"/>
          <w:sz w:val="20"/>
        </w:rPr>
        <w:t> </w:t>
      </w:r>
      <w:r>
        <w:rPr>
          <w:color w:val="231F20"/>
          <w:sz w:val="20"/>
        </w:rPr>
        <w:t>$28.5</w:t>
      </w:r>
      <w:r>
        <w:rPr>
          <w:color w:val="231F20"/>
          <w:spacing w:val="-4"/>
          <w:sz w:val="20"/>
        </w:rPr>
        <w:t> </w:t>
      </w:r>
      <w:r>
        <w:rPr>
          <w:color w:val="231F20"/>
          <w:spacing w:val="-2"/>
          <w:sz w:val="20"/>
        </w:rPr>
        <w:t>million.</w:t>
      </w:r>
    </w:p>
    <w:p>
      <w:pPr>
        <w:pStyle w:val="BodyText"/>
        <w:spacing w:before="8"/>
        <w:rPr>
          <w:sz w:val="25"/>
        </w:rPr>
      </w:pPr>
    </w:p>
    <w:p>
      <w:pPr>
        <w:pStyle w:val="BodyText"/>
        <w:spacing w:before="1"/>
        <w:ind w:left="1440"/>
      </w:pPr>
      <w:r>
        <w:rPr/>
        <w:pict>
          <v:group style="position:absolute;margin-left:104.650002pt;margin-top:26.482262pt;width:402.75pt;height:242.8pt;mso-position-horizontal-relative:page;mso-position-vertical-relative:paragraph;z-index:-28366848" id="docshapegroup124" coordorigin="2093,530" coordsize="8055,4856">
            <v:shape style="position:absolute;left:4924;top:1041;width:4992;height:442" type="#_x0000_t75" id="docshape125" stroked="false">
              <v:imagedata r:id="rId29" o:title=""/>
            </v:shape>
            <v:shape style="position:absolute;left:4944;top:1454;width:4944;height:2170" type="#_x0000_t75" id="docshape126" stroked="false">
              <v:imagedata r:id="rId30" o:title=""/>
            </v:shape>
            <v:shape style="position:absolute;left:4915;top:3595;width:4992;height:432" type="#_x0000_t75" id="docshape127" stroked="false">
              <v:imagedata r:id="rId31" o:title=""/>
            </v:shape>
            <v:rect style="position:absolute;left:2461;top:4225;width:74;height:64" id="docshape128" filled="true" fillcolor="#db843a" stroked="false">
              <v:fill type="solid"/>
            </v:rect>
            <v:rect style="position:absolute;left:2461;top:4416;width:74;height:64" id="docshape129" filled="true" fillcolor="#4198af" stroked="false">
              <v:fill type="solid"/>
            </v:rect>
            <v:rect style="position:absolute;left:2461;top:4605;width:74;height:64" id="docshape130" filled="true" fillcolor="#715990" stroked="false">
              <v:fill type="solid"/>
            </v:rect>
            <v:rect style="position:absolute;left:2461;top:4787;width:74;height:74" id="docshape131" filled="true" fillcolor="#89a44c" stroked="false">
              <v:fill type="solid"/>
            </v:rect>
            <v:rect style="position:absolute;left:2461;top:4977;width:74;height:72" id="docshape132" filled="true" fillcolor="#ab4643" stroked="false">
              <v:fill type="solid"/>
            </v:rect>
            <v:rect style="position:absolute;left:2461;top:5167;width:74;height:64" id="docshape133" filled="true" fillcolor="#4573a7" stroked="false">
              <v:fill type="solid"/>
            </v:rect>
            <v:rect style="position:absolute;left:2097;top:534;width:8045;height:4847" id="docshape134" filled="false" stroked="true" strokeweight=".46pt" strokecolor="#87898c">
              <v:stroke dashstyle="solid"/>
            </v:rect>
            <v:shape style="position:absolute;left:5718;top:673;width:822;height:218" type="#_x0000_t202" id="docshape135" filled="false" stroked="false">
              <v:textbox inset="0,0,0,0">
                <w:txbxContent>
                  <w:p>
                    <w:pPr>
                      <w:spacing w:line="217" w:lineRule="exact" w:before="0"/>
                      <w:ind w:left="0" w:right="0" w:firstLine="0"/>
                      <w:jc w:val="left"/>
                      <w:rPr>
                        <w:rFonts w:ascii="Calibri"/>
                        <w:b/>
                        <w:sz w:val="21"/>
                      </w:rPr>
                    </w:pPr>
                    <w:r>
                      <w:rPr>
                        <w:rFonts w:ascii="Calibri"/>
                        <w:b/>
                        <w:color w:val="231F20"/>
                        <w:spacing w:val="-2"/>
                        <w:w w:val="105"/>
                        <w:sz w:val="21"/>
                      </w:rPr>
                      <w:t>Revenue</w:t>
                    </w:r>
                  </w:p>
                </w:txbxContent>
              </v:textbox>
              <w10:wrap type="none"/>
            </v:shape>
            <v:shape style="position:absolute;left:4398;top:2360;width:422;height:435" type="#_x0000_t202" id="docshape136" filled="false" stroked="false">
              <v:textbox inset="0,0,0,0">
                <w:txbxContent>
                  <w:p>
                    <w:pPr>
                      <w:spacing w:line="118" w:lineRule="exact" w:before="0"/>
                      <w:ind w:left="0" w:right="0" w:firstLine="0"/>
                      <w:jc w:val="left"/>
                      <w:rPr>
                        <w:rFonts w:ascii="Calibri"/>
                        <w:sz w:val="11"/>
                      </w:rPr>
                    </w:pPr>
                    <w:r>
                      <w:rPr>
                        <w:rFonts w:ascii="Calibri"/>
                        <w:color w:val="231F20"/>
                        <w:spacing w:val="-2"/>
                        <w:w w:val="110"/>
                        <w:sz w:val="11"/>
                      </w:rPr>
                      <w:t>100,000</w:t>
                    </w:r>
                  </w:p>
                  <w:p>
                    <w:pPr>
                      <w:spacing w:line="240" w:lineRule="auto" w:before="11"/>
                      <w:rPr>
                        <w:rFonts w:ascii="Calibri"/>
                        <w:sz w:val="14"/>
                      </w:rPr>
                    </w:pPr>
                  </w:p>
                  <w:p>
                    <w:pPr>
                      <w:spacing w:before="0"/>
                      <w:ind w:left="62" w:right="0" w:firstLine="0"/>
                      <w:jc w:val="left"/>
                      <w:rPr>
                        <w:rFonts w:ascii="Calibri"/>
                        <w:sz w:val="11"/>
                      </w:rPr>
                    </w:pPr>
                    <w:r>
                      <w:rPr>
                        <w:rFonts w:ascii="Calibri"/>
                        <w:color w:val="231F20"/>
                        <w:spacing w:val="-2"/>
                        <w:w w:val="110"/>
                        <w:sz w:val="11"/>
                      </w:rPr>
                      <w:t>80,000</w:t>
                    </w:r>
                  </w:p>
                </w:txbxContent>
              </v:textbox>
              <w10:wrap type="none"/>
            </v:shape>
            <v:shape style="position:absolute;left:8604;top:2632;width:327;height:118" type="#_x0000_t202" id="docshape137" filled="false" stroked="false">
              <v:textbox inset="0,0,0,0">
                <w:txbxContent>
                  <w:p>
                    <w:pPr>
                      <w:spacing w:line="118" w:lineRule="exact" w:before="0"/>
                      <w:ind w:left="0" w:right="0" w:firstLine="0"/>
                      <w:jc w:val="left"/>
                      <w:rPr>
                        <w:rFonts w:ascii="Calibri"/>
                        <w:sz w:val="11"/>
                      </w:rPr>
                    </w:pPr>
                    <w:r>
                      <w:rPr>
                        <w:rFonts w:ascii="Calibri"/>
                        <w:color w:val="231F20"/>
                        <w:spacing w:val="-2"/>
                        <w:w w:val="110"/>
                        <w:sz w:val="11"/>
                      </w:rPr>
                      <w:t>27.8%</w:t>
                    </w:r>
                  </w:p>
                </w:txbxContent>
              </v:textbox>
              <w10:wrap type="none"/>
            </v:shape>
            <v:shape style="position:absolute;left:7128;top:2725;width:327;height:118" type="#_x0000_t202" id="docshape138" filled="false" stroked="false">
              <v:textbox inset="0,0,0,0">
                <w:txbxContent>
                  <w:p>
                    <w:pPr>
                      <w:spacing w:line="118" w:lineRule="exact" w:before="0"/>
                      <w:ind w:left="0" w:right="0" w:firstLine="0"/>
                      <w:jc w:val="left"/>
                      <w:rPr>
                        <w:rFonts w:ascii="Calibri"/>
                        <w:sz w:val="11"/>
                      </w:rPr>
                    </w:pPr>
                    <w:r>
                      <w:rPr>
                        <w:rFonts w:ascii="Calibri"/>
                        <w:color w:val="231F20"/>
                        <w:spacing w:val="-2"/>
                        <w:w w:val="110"/>
                        <w:sz w:val="11"/>
                      </w:rPr>
                      <w:t>26.5%</w:t>
                    </w:r>
                  </w:p>
                </w:txbxContent>
              </v:textbox>
              <w10:wrap type="none"/>
            </v:shape>
            <v:shape style="position:absolute;left:4460;top:2993;width:357;height:118" type="#_x0000_t202" id="docshape139" filled="false" stroked="false">
              <v:textbox inset="0,0,0,0">
                <w:txbxContent>
                  <w:p>
                    <w:pPr>
                      <w:spacing w:line="118" w:lineRule="exact" w:before="0"/>
                      <w:ind w:left="0" w:right="0" w:firstLine="0"/>
                      <w:jc w:val="left"/>
                      <w:rPr>
                        <w:rFonts w:ascii="Calibri"/>
                        <w:sz w:val="11"/>
                      </w:rPr>
                    </w:pPr>
                    <w:r>
                      <w:rPr>
                        <w:rFonts w:ascii="Calibri"/>
                        <w:color w:val="231F20"/>
                        <w:spacing w:val="-2"/>
                        <w:w w:val="110"/>
                        <w:sz w:val="11"/>
                      </w:rPr>
                      <w:t>60,000</w:t>
                    </w:r>
                  </w:p>
                </w:txbxContent>
              </v:textbox>
              <w10:wrap type="none"/>
            </v:shape>
            <v:shape style="position:absolute;left:5653;top:3213;width:327;height:118" type="#_x0000_t202" id="docshape140" filled="false" stroked="false">
              <v:textbox inset="0,0,0,0">
                <w:txbxContent>
                  <w:p>
                    <w:pPr>
                      <w:spacing w:line="118" w:lineRule="exact" w:before="0"/>
                      <w:ind w:left="0" w:right="0" w:firstLine="0"/>
                      <w:jc w:val="left"/>
                      <w:rPr>
                        <w:rFonts w:ascii="Calibri"/>
                        <w:sz w:val="11"/>
                      </w:rPr>
                    </w:pPr>
                    <w:r>
                      <w:rPr>
                        <w:rFonts w:ascii="Calibri"/>
                        <w:color w:val="231F20"/>
                        <w:spacing w:val="-2"/>
                        <w:w w:val="110"/>
                        <w:sz w:val="11"/>
                      </w:rPr>
                      <w:t>51.4%</w:t>
                    </w:r>
                  </w:p>
                </w:txbxContent>
              </v:textbox>
              <w10:wrap type="none"/>
            </v:shape>
            <v:shape style="position:absolute;left:4460;top:3310;width:357;height:118" type="#_x0000_t202" id="docshape141" filled="false" stroked="false">
              <v:textbox inset="0,0,0,0">
                <w:txbxContent>
                  <w:p>
                    <w:pPr>
                      <w:spacing w:line="118" w:lineRule="exact" w:before="0"/>
                      <w:ind w:left="0" w:right="0" w:firstLine="0"/>
                      <w:jc w:val="left"/>
                      <w:rPr>
                        <w:rFonts w:ascii="Calibri"/>
                        <w:sz w:val="11"/>
                      </w:rPr>
                    </w:pPr>
                    <w:r>
                      <w:rPr>
                        <w:rFonts w:ascii="Calibri"/>
                        <w:color w:val="231F20"/>
                        <w:spacing w:val="-2"/>
                        <w:w w:val="110"/>
                        <w:sz w:val="11"/>
                      </w:rPr>
                      <w:t>40,000</w:t>
                    </w:r>
                  </w:p>
                </w:txbxContent>
              </v:textbox>
              <w10:wrap type="none"/>
            </v:shape>
            <v:shape style="position:absolute;left:7129;top:3438;width:327;height:118" type="#_x0000_t202" id="docshape142" filled="false" stroked="false">
              <v:textbox inset="0,0,0,0">
                <w:txbxContent>
                  <w:p>
                    <w:pPr>
                      <w:spacing w:line="118" w:lineRule="exact" w:before="0"/>
                      <w:ind w:left="0" w:right="0" w:firstLine="0"/>
                      <w:jc w:val="left"/>
                      <w:rPr>
                        <w:rFonts w:ascii="Calibri"/>
                        <w:sz w:val="11"/>
                      </w:rPr>
                    </w:pPr>
                    <w:r>
                      <w:rPr>
                        <w:rFonts w:ascii="Calibri"/>
                        <w:color w:val="231F20"/>
                        <w:spacing w:val="-2"/>
                        <w:w w:val="110"/>
                        <w:sz w:val="11"/>
                      </w:rPr>
                      <w:t>36.3%</w:t>
                    </w:r>
                  </w:p>
                </w:txbxContent>
              </v:textbox>
              <w10:wrap type="none"/>
            </v:shape>
            <v:shape style="position:absolute;left:8605;top:3400;width:327;height:118" type="#_x0000_t202" id="docshape143" filled="false" stroked="false">
              <v:textbox inset="0,0,0,0">
                <w:txbxContent>
                  <w:p>
                    <w:pPr>
                      <w:spacing w:line="118" w:lineRule="exact" w:before="0"/>
                      <w:ind w:left="0" w:right="0" w:firstLine="0"/>
                      <w:jc w:val="left"/>
                      <w:rPr>
                        <w:rFonts w:ascii="Calibri"/>
                        <w:sz w:val="11"/>
                      </w:rPr>
                    </w:pPr>
                    <w:r>
                      <w:rPr>
                        <w:rFonts w:ascii="Calibri"/>
                        <w:color w:val="231F20"/>
                        <w:spacing w:val="-2"/>
                        <w:w w:val="110"/>
                        <w:sz w:val="11"/>
                      </w:rPr>
                      <w:t>39.5%</w:t>
                    </w:r>
                  </w:p>
                </w:txbxContent>
              </v:textbox>
              <w10:wrap type="none"/>
            </v:shape>
            <v:shape style="position:absolute;left:4460;top:3625;width:357;height:118" type="#_x0000_t202" id="docshape144" filled="false" stroked="false">
              <v:textbox inset="0,0,0,0">
                <w:txbxContent>
                  <w:p>
                    <w:pPr>
                      <w:spacing w:line="118" w:lineRule="exact" w:before="0"/>
                      <w:ind w:left="0" w:right="0" w:firstLine="0"/>
                      <w:jc w:val="left"/>
                      <w:rPr>
                        <w:rFonts w:ascii="Calibri"/>
                        <w:sz w:val="11"/>
                      </w:rPr>
                    </w:pPr>
                    <w:r>
                      <w:rPr>
                        <w:rFonts w:ascii="Calibri"/>
                        <w:color w:val="231F20"/>
                        <w:spacing w:val="-2"/>
                        <w:w w:val="110"/>
                        <w:sz w:val="11"/>
                      </w:rPr>
                      <w:t>20,000</w:t>
                    </w:r>
                  </w:p>
                </w:txbxContent>
              </v:textbox>
              <w10:wrap type="none"/>
            </v:shape>
            <w10:wrap type="none"/>
          </v:group>
        </w:pict>
      </w:r>
      <w:r>
        <w:rPr>
          <w:color w:val="231F20"/>
        </w:rPr>
        <w:t>Other</w:t>
      </w:r>
      <w:r>
        <w:rPr>
          <w:color w:val="231F20"/>
          <w:spacing w:val="-8"/>
        </w:rPr>
        <w:t> </w:t>
      </w:r>
      <w:r>
        <w:rPr>
          <w:color w:val="231F20"/>
        </w:rPr>
        <w:t>operating</w:t>
      </w:r>
      <w:r>
        <w:rPr>
          <w:color w:val="231F20"/>
          <w:spacing w:val="-6"/>
        </w:rPr>
        <w:t> </w:t>
      </w:r>
      <w:r>
        <w:rPr>
          <w:color w:val="231F20"/>
        </w:rPr>
        <w:t>income</w:t>
      </w:r>
      <w:r>
        <w:rPr>
          <w:color w:val="231F20"/>
          <w:spacing w:val="-6"/>
        </w:rPr>
        <w:t> </w:t>
      </w:r>
      <w:r>
        <w:rPr>
          <w:color w:val="231F20"/>
        </w:rPr>
        <w:t>primarily</w:t>
      </w:r>
      <w:r>
        <w:rPr>
          <w:color w:val="231F20"/>
          <w:spacing w:val="-6"/>
        </w:rPr>
        <w:t> </w:t>
      </w:r>
      <w:r>
        <w:rPr>
          <w:color w:val="231F20"/>
        </w:rPr>
        <w:t>related</w:t>
      </w:r>
      <w:r>
        <w:rPr>
          <w:color w:val="231F20"/>
          <w:spacing w:val="-6"/>
        </w:rPr>
        <w:t> </w:t>
      </w:r>
      <w:r>
        <w:rPr>
          <w:color w:val="231F20"/>
        </w:rPr>
        <w:t>to</w:t>
      </w:r>
      <w:r>
        <w:rPr>
          <w:color w:val="231F20"/>
          <w:spacing w:val="-6"/>
        </w:rPr>
        <w:t> </w:t>
      </w:r>
      <w:r>
        <w:rPr>
          <w:color w:val="231F20"/>
        </w:rPr>
        <w:t>service</w:t>
      </w:r>
      <w:r>
        <w:rPr>
          <w:color w:val="231F20"/>
          <w:spacing w:val="-6"/>
        </w:rPr>
        <w:t> </w:t>
      </w:r>
      <w:r>
        <w:rPr>
          <w:color w:val="231F20"/>
        </w:rPr>
        <w:t>center</w:t>
      </w:r>
      <w:r>
        <w:rPr>
          <w:color w:val="231F20"/>
          <w:spacing w:val="-6"/>
        </w:rPr>
        <w:t> </w:t>
      </w:r>
      <w:r>
        <w:rPr>
          <w:color w:val="231F20"/>
        </w:rPr>
        <w:t>sales</w:t>
      </w:r>
      <w:r>
        <w:rPr>
          <w:color w:val="231F20"/>
          <w:spacing w:val="-6"/>
        </w:rPr>
        <w:t> </w:t>
      </w:r>
      <w:r>
        <w:rPr>
          <w:color w:val="231F20"/>
        </w:rPr>
        <w:t>increased</w:t>
      </w:r>
      <w:r>
        <w:rPr>
          <w:color w:val="231F20"/>
          <w:spacing w:val="-6"/>
        </w:rPr>
        <w:t> </w:t>
      </w:r>
      <w:r>
        <w:rPr>
          <w:color w:val="231F20"/>
        </w:rPr>
        <w:t>by</w:t>
      </w:r>
      <w:r>
        <w:rPr>
          <w:color w:val="231F20"/>
          <w:spacing w:val="-6"/>
        </w:rPr>
        <w:t> </w:t>
      </w:r>
      <w:r>
        <w:rPr>
          <w:color w:val="231F20"/>
        </w:rPr>
        <w:t>$2.4</w:t>
      </w:r>
      <w:r>
        <w:rPr>
          <w:color w:val="231F20"/>
          <w:spacing w:val="-6"/>
        </w:rPr>
        <w:t> </w:t>
      </w:r>
      <w:r>
        <w:rPr>
          <w:color w:val="231F20"/>
          <w:spacing w:val="-2"/>
        </w:rPr>
        <w:t>million.</w:t>
      </w:r>
    </w:p>
    <w:p>
      <w:pPr>
        <w:pStyle w:val="BodyText"/>
      </w:pPr>
    </w:p>
    <w:p>
      <w:pPr>
        <w:pStyle w:val="BodyText"/>
      </w:pPr>
    </w:p>
    <w:p>
      <w:pPr>
        <w:pStyle w:val="BodyText"/>
      </w:pPr>
    </w:p>
    <w:p>
      <w:pPr>
        <w:pStyle w:val="BodyText"/>
      </w:pPr>
    </w:p>
    <w:p>
      <w:pPr>
        <w:pStyle w:val="BodyText"/>
        <w:spacing w:before="2" w:after="1"/>
        <w:rPr>
          <w:sz w:val="19"/>
        </w:rPr>
      </w:pPr>
    </w:p>
    <w:tbl>
      <w:tblPr>
        <w:tblW w:w="0" w:type="auto"/>
        <w:jc w:val="left"/>
        <w:tblInd w:w="4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8"/>
        <w:gridCol w:w="1317"/>
        <w:gridCol w:w="1475"/>
        <w:gridCol w:w="940"/>
      </w:tblGrid>
      <w:tr>
        <w:trPr>
          <w:trHeight w:val="158" w:hRule="atLeast"/>
        </w:trPr>
        <w:tc>
          <w:tcPr>
            <w:tcW w:w="878" w:type="dxa"/>
          </w:tcPr>
          <w:p>
            <w:pPr>
              <w:pStyle w:val="TableParagraph"/>
              <w:spacing w:line="116" w:lineRule="exact" w:before="22"/>
              <w:ind w:left="50"/>
              <w:rPr>
                <w:rFonts w:ascii="Calibri"/>
                <w:sz w:val="11"/>
              </w:rPr>
            </w:pPr>
            <w:r>
              <w:rPr>
                <w:rFonts w:ascii="Calibri"/>
                <w:color w:val="231F20"/>
                <w:spacing w:val="-2"/>
                <w:w w:val="110"/>
                <w:sz w:val="11"/>
              </w:rPr>
              <w:t>160,000</w:t>
            </w:r>
          </w:p>
        </w:tc>
        <w:tc>
          <w:tcPr>
            <w:tcW w:w="1317" w:type="dxa"/>
          </w:tcPr>
          <w:p>
            <w:pPr>
              <w:pStyle w:val="TableParagraph"/>
              <w:spacing w:line="118" w:lineRule="exact"/>
              <w:ind w:left="454"/>
              <w:rPr>
                <w:rFonts w:ascii="Calibri"/>
                <w:sz w:val="11"/>
              </w:rPr>
            </w:pPr>
            <w:r>
              <w:rPr>
                <w:rFonts w:ascii="Calibri"/>
                <w:color w:val="231F20"/>
                <w:spacing w:val="-4"/>
                <w:w w:val="110"/>
                <w:sz w:val="11"/>
              </w:rPr>
              <w:t>3.1%</w:t>
            </w:r>
          </w:p>
        </w:tc>
        <w:tc>
          <w:tcPr>
            <w:tcW w:w="2415" w:type="dxa"/>
            <w:gridSpan w:val="2"/>
          </w:tcPr>
          <w:p>
            <w:pPr>
              <w:pStyle w:val="TableParagraph"/>
              <w:rPr>
                <w:rFonts w:ascii="Times New Roman"/>
                <w:sz w:val="10"/>
              </w:rPr>
            </w:pPr>
          </w:p>
        </w:tc>
      </w:tr>
      <w:tr>
        <w:trPr>
          <w:trHeight w:val="159" w:hRule="atLeast"/>
        </w:trPr>
        <w:tc>
          <w:tcPr>
            <w:tcW w:w="878" w:type="dxa"/>
          </w:tcPr>
          <w:p>
            <w:pPr>
              <w:pStyle w:val="TableParagraph"/>
              <w:rPr>
                <w:rFonts w:ascii="Times New Roman"/>
                <w:sz w:val="10"/>
              </w:rPr>
            </w:pPr>
          </w:p>
        </w:tc>
        <w:tc>
          <w:tcPr>
            <w:tcW w:w="1317" w:type="dxa"/>
          </w:tcPr>
          <w:p>
            <w:pPr>
              <w:pStyle w:val="TableParagraph"/>
              <w:spacing w:line="120" w:lineRule="exact"/>
              <w:ind w:left="454"/>
              <w:rPr>
                <w:rFonts w:ascii="Calibri"/>
                <w:sz w:val="11"/>
              </w:rPr>
            </w:pPr>
            <w:r>
              <w:rPr>
                <w:rFonts w:ascii="Calibri"/>
                <w:color w:val="231F20"/>
                <w:spacing w:val="-4"/>
                <w:w w:val="110"/>
                <w:sz w:val="11"/>
              </w:rPr>
              <w:t>7.0%</w:t>
            </w:r>
          </w:p>
        </w:tc>
        <w:tc>
          <w:tcPr>
            <w:tcW w:w="1475" w:type="dxa"/>
          </w:tcPr>
          <w:p>
            <w:pPr>
              <w:pStyle w:val="TableParagraph"/>
              <w:spacing w:line="113" w:lineRule="exact" w:before="26"/>
              <w:ind w:left="613"/>
              <w:rPr>
                <w:rFonts w:ascii="Calibri"/>
                <w:sz w:val="11"/>
              </w:rPr>
            </w:pPr>
            <w:r>
              <w:rPr>
                <w:rFonts w:ascii="Calibri"/>
                <w:color w:val="231F20"/>
                <w:spacing w:val="-4"/>
                <w:w w:val="110"/>
                <w:sz w:val="11"/>
              </w:rPr>
              <w:t>2.5%</w:t>
            </w:r>
          </w:p>
        </w:tc>
        <w:tc>
          <w:tcPr>
            <w:tcW w:w="940" w:type="dxa"/>
          </w:tcPr>
          <w:p>
            <w:pPr>
              <w:pStyle w:val="TableParagraph"/>
              <w:spacing w:line="84" w:lineRule="exact" w:before="55"/>
              <w:ind w:right="82"/>
              <w:jc w:val="right"/>
              <w:rPr>
                <w:rFonts w:ascii="Calibri"/>
                <w:sz w:val="11"/>
              </w:rPr>
            </w:pPr>
            <w:r>
              <w:rPr>
                <w:rFonts w:ascii="Calibri"/>
                <w:color w:val="231F20"/>
                <w:spacing w:val="-4"/>
                <w:w w:val="110"/>
                <w:sz w:val="11"/>
              </w:rPr>
              <w:t>3.3%</w:t>
            </w:r>
          </w:p>
        </w:tc>
      </w:tr>
      <w:tr>
        <w:trPr>
          <w:trHeight w:val="146" w:hRule="atLeast"/>
        </w:trPr>
        <w:tc>
          <w:tcPr>
            <w:tcW w:w="878" w:type="dxa"/>
          </w:tcPr>
          <w:p>
            <w:pPr>
              <w:pStyle w:val="TableParagraph"/>
              <w:spacing w:line="106" w:lineRule="exact" w:before="21"/>
              <w:ind w:left="50"/>
              <w:rPr>
                <w:rFonts w:ascii="Calibri"/>
                <w:sz w:val="11"/>
              </w:rPr>
            </w:pPr>
            <w:r>
              <w:rPr>
                <w:rFonts w:ascii="Calibri"/>
                <w:color w:val="231F20"/>
                <w:spacing w:val="-2"/>
                <w:w w:val="110"/>
                <w:sz w:val="11"/>
              </w:rPr>
              <w:t>140,000</w:t>
            </w:r>
          </w:p>
        </w:tc>
        <w:tc>
          <w:tcPr>
            <w:tcW w:w="1317" w:type="dxa"/>
          </w:tcPr>
          <w:p>
            <w:pPr>
              <w:pStyle w:val="TableParagraph"/>
              <w:spacing w:line="118" w:lineRule="exact"/>
              <w:ind w:left="454"/>
              <w:rPr>
                <w:rFonts w:ascii="Calibri"/>
                <w:sz w:val="11"/>
              </w:rPr>
            </w:pPr>
            <w:r>
              <w:rPr>
                <w:rFonts w:ascii="Calibri"/>
                <w:color w:val="231F20"/>
                <w:spacing w:val="-4"/>
                <w:w w:val="110"/>
                <w:sz w:val="11"/>
              </w:rPr>
              <w:t>5.6%</w:t>
            </w:r>
          </w:p>
        </w:tc>
        <w:tc>
          <w:tcPr>
            <w:tcW w:w="1475" w:type="dxa"/>
          </w:tcPr>
          <w:p>
            <w:pPr>
              <w:pStyle w:val="TableParagraph"/>
              <w:spacing w:line="127" w:lineRule="exact"/>
              <w:ind w:left="613"/>
              <w:rPr>
                <w:rFonts w:ascii="Calibri"/>
                <w:sz w:val="11"/>
              </w:rPr>
            </w:pPr>
            <w:r>
              <w:rPr>
                <w:rFonts w:ascii="Calibri"/>
                <w:color w:val="231F20"/>
                <w:spacing w:val="-4"/>
                <w:w w:val="110"/>
                <w:sz w:val="11"/>
              </w:rPr>
              <w:t>6.0%</w:t>
            </w:r>
          </w:p>
        </w:tc>
        <w:tc>
          <w:tcPr>
            <w:tcW w:w="940" w:type="dxa"/>
          </w:tcPr>
          <w:p>
            <w:pPr>
              <w:pStyle w:val="TableParagraph"/>
              <w:spacing w:line="120" w:lineRule="exact" w:before="6"/>
              <w:ind w:right="82"/>
              <w:jc w:val="right"/>
              <w:rPr>
                <w:rFonts w:ascii="Calibri"/>
                <w:sz w:val="11"/>
              </w:rPr>
            </w:pPr>
            <w:r>
              <w:rPr>
                <w:rFonts w:ascii="Calibri"/>
                <w:color w:val="231F20"/>
                <w:spacing w:val="-4"/>
                <w:w w:val="110"/>
                <w:sz w:val="11"/>
              </w:rPr>
              <w:t>6.4%</w:t>
            </w:r>
          </w:p>
        </w:tc>
      </w:tr>
      <w:tr>
        <w:trPr>
          <w:trHeight w:val="177" w:hRule="atLeast"/>
        </w:trPr>
        <w:tc>
          <w:tcPr>
            <w:tcW w:w="878" w:type="dxa"/>
          </w:tcPr>
          <w:p>
            <w:pPr>
              <w:pStyle w:val="TableParagraph"/>
              <w:rPr>
                <w:rFonts w:ascii="Times New Roman"/>
                <w:sz w:val="10"/>
              </w:rPr>
            </w:pPr>
          </w:p>
        </w:tc>
        <w:tc>
          <w:tcPr>
            <w:tcW w:w="1317" w:type="dxa"/>
          </w:tcPr>
          <w:p>
            <w:pPr>
              <w:pStyle w:val="TableParagraph"/>
              <w:spacing w:line="109" w:lineRule="exact"/>
              <w:ind w:left="454"/>
              <w:rPr>
                <w:rFonts w:ascii="Calibri"/>
                <w:sz w:val="11"/>
              </w:rPr>
            </w:pPr>
            <w:r>
              <w:rPr>
                <w:rFonts w:ascii="Calibri"/>
                <w:color w:val="231F20"/>
                <w:spacing w:val="-4"/>
                <w:w w:val="110"/>
                <w:sz w:val="11"/>
              </w:rPr>
              <w:t>5.5%</w:t>
            </w:r>
          </w:p>
        </w:tc>
        <w:tc>
          <w:tcPr>
            <w:tcW w:w="1475" w:type="dxa"/>
          </w:tcPr>
          <w:p>
            <w:pPr>
              <w:pStyle w:val="TableParagraph"/>
              <w:spacing w:line="130" w:lineRule="exact"/>
              <w:ind w:left="613"/>
              <w:rPr>
                <w:rFonts w:ascii="Calibri"/>
                <w:sz w:val="11"/>
              </w:rPr>
            </w:pPr>
            <w:r>
              <w:rPr>
                <w:rFonts w:ascii="Calibri"/>
                <w:color w:val="231F20"/>
                <w:spacing w:val="-4"/>
                <w:w w:val="110"/>
                <w:sz w:val="11"/>
              </w:rPr>
              <w:t>6.7%</w:t>
            </w:r>
          </w:p>
        </w:tc>
        <w:tc>
          <w:tcPr>
            <w:tcW w:w="940" w:type="dxa"/>
          </w:tcPr>
          <w:p>
            <w:pPr>
              <w:pStyle w:val="TableParagraph"/>
              <w:spacing w:before="13"/>
              <w:ind w:right="82"/>
              <w:jc w:val="right"/>
              <w:rPr>
                <w:rFonts w:ascii="Calibri"/>
                <w:sz w:val="11"/>
              </w:rPr>
            </w:pPr>
            <w:r>
              <w:rPr>
                <w:rFonts w:ascii="Calibri"/>
                <w:color w:val="231F20"/>
                <w:spacing w:val="-4"/>
                <w:w w:val="110"/>
                <w:sz w:val="11"/>
              </w:rPr>
              <w:t>7.0%</w:t>
            </w:r>
          </w:p>
        </w:tc>
      </w:tr>
      <w:tr>
        <w:trPr>
          <w:trHeight w:val="132" w:hRule="atLeast"/>
        </w:trPr>
        <w:tc>
          <w:tcPr>
            <w:tcW w:w="878" w:type="dxa"/>
          </w:tcPr>
          <w:p>
            <w:pPr>
              <w:pStyle w:val="TableParagraph"/>
              <w:spacing w:line="98" w:lineRule="exact" w:before="13"/>
              <w:ind w:left="50"/>
              <w:rPr>
                <w:rFonts w:ascii="Calibri"/>
                <w:sz w:val="11"/>
              </w:rPr>
            </w:pPr>
            <w:r>
              <w:rPr>
                <w:rFonts w:ascii="Calibri"/>
                <w:color w:val="231F20"/>
                <w:spacing w:val="-2"/>
                <w:w w:val="110"/>
                <w:sz w:val="11"/>
              </w:rPr>
              <w:t>120,000</w:t>
            </w:r>
          </w:p>
        </w:tc>
        <w:tc>
          <w:tcPr>
            <w:tcW w:w="1317" w:type="dxa"/>
          </w:tcPr>
          <w:p>
            <w:pPr>
              <w:pStyle w:val="TableParagraph"/>
              <w:rPr>
                <w:rFonts w:ascii="Times New Roman"/>
                <w:sz w:val="8"/>
              </w:rPr>
            </w:pPr>
          </w:p>
        </w:tc>
        <w:tc>
          <w:tcPr>
            <w:tcW w:w="1475" w:type="dxa"/>
          </w:tcPr>
          <w:p>
            <w:pPr>
              <w:pStyle w:val="TableParagraph"/>
              <w:rPr>
                <w:rFonts w:ascii="Times New Roman"/>
                <w:sz w:val="8"/>
              </w:rPr>
            </w:pPr>
          </w:p>
        </w:tc>
        <w:tc>
          <w:tcPr>
            <w:tcW w:w="940" w:type="dxa"/>
          </w:tcPr>
          <w:p>
            <w:pPr>
              <w:pStyle w:val="TableParagraph"/>
              <w:rPr>
                <w:rFonts w:ascii="Times New Roman"/>
                <w:sz w:val="8"/>
              </w:rPr>
            </w:pPr>
          </w:p>
        </w:tc>
      </w:tr>
      <w:tr>
        <w:trPr>
          <w:trHeight w:val="207" w:hRule="atLeast"/>
        </w:trPr>
        <w:tc>
          <w:tcPr>
            <w:tcW w:w="878" w:type="dxa"/>
          </w:tcPr>
          <w:p>
            <w:pPr>
              <w:pStyle w:val="TableParagraph"/>
              <w:rPr>
                <w:rFonts w:ascii="Times New Roman"/>
                <w:sz w:val="14"/>
              </w:rPr>
            </w:pPr>
          </w:p>
        </w:tc>
        <w:tc>
          <w:tcPr>
            <w:tcW w:w="1317" w:type="dxa"/>
          </w:tcPr>
          <w:p>
            <w:pPr>
              <w:pStyle w:val="TableParagraph"/>
              <w:spacing w:line="114" w:lineRule="exact" w:before="73"/>
              <w:ind w:left="426"/>
              <w:rPr>
                <w:rFonts w:ascii="Calibri"/>
                <w:sz w:val="11"/>
              </w:rPr>
            </w:pPr>
            <w:r>
              <w:rPr>
                <w:rFonts w:ascii="Calibri"/>
                <w:color w:val="231F20"/>
                <w:spacing w:val="-2"/>
                <w:w w:val="110"/>
                <w:sz w:val="11"/>
              </w:rPr>
              <w:t>27.4%</w:t>
            </w:r>
          </w:p>
        </w:tc>
        <w:tc>
          <w:tcPr>
            <w:tcW w:w="1475" w:type="dxa"/>
          </w:tcPr>
          <w:p>
            <w:pPr>
              <w:pStyle w:val="TableParagraph"/>
              <w:spacing w:before="12"/>
              <w:ind w:left="585"/>
              <w:rPr>
                <w:rFonts w:ascii="Calibri"/>
                <w:sz w:val="11"/>
              </w:rPr>
            </w:pPr>
            <w:r>
              <w:rPr>
                <w:rFonts w:ascii="Calibri"/>
                <w:color w:val="231F20"/>
                <w:spacing w:val="-2"/>
                <w:w w:val="110"/>
                <w:sz w:val="11"/>
              </w:rPr>
              <w:t>22.0%</w:t>
            </w:r>
          </w:p>
        </w:tc>
        <w:tc>
          <w:tcPr>
            <w:tcW w:w="940" w:type="dxa"/>
          </w:tcPr>
          <w:p>
            <w:pPr>
              <w:pStyle w:val="TableParagraph"/>
              <w:spacing w:line="102" w:lineRule="exact"/>
              <w:ind w:right="45"/>
              <w:jc w:val="right"/>
              <w:rPr>
                <w:rFonts w:ascii="Calibri"/>
                <w:sz w:val="11"/>
              </w:rPr>
            </w:pPr>
            <w:r>
              <w:rPr>
                <w:rFonts w:ascii="Calibri"/>
                <w:color w:val="231F20"/>
                <w:spacing w:val="-2"/>
                <w:w w:val="110"/>
                <w:sz w:val="11"/>
              </w:rPr>
              <w:t>16.0%</w:t>
            </w:r>
          </w:p>
        </w:tc>
      </w:tr>
    </w:tbl>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p>
    <w:tbl>
      <w:tblPr>
        <w:tblW w:w="0" w:type="auto"/>
        <w:jc w:val="left"/>
        <w:tblInd w:w="2428" w:type="dxa"/>
        <w:tblBorders>
          <w:top w:val="single" w:sz="4" w:space="0" w:color="87898C"/>
          <w:left w:val="single" w:sz="4" w:space="0" w:color="87898C"/>
          <w:bottom w:val="single" w:sz="4" w:space="0" w:color="87898C"/>
          <w:right w:val="single" w:sz="4" w:space="0" w:color="87898C"/>
          <w:insideH w:val="single" w:sz="4" w:space="0" w:color="87898C"/>
          <w:insideV w:val="single" w:sz="4" w:space="0" w:color="87898C"/>
        </w:tblBorders>
        <w:tblLayout w:type="fixed"/>
        <w:tblCellMar>
          <w:top w:w="0" w:type="dxa"/>
          <w:left w:w="0" w:type="dxa"/>
          <w:bottom w:w="0" w:type="dxa"/>
          <w:right w:w="0" w:type="dxa"/>
        </w:tblCellMar>
        <w:tblLook w:val="01E0"/>
      </w:tblPr>
      <w:tblGrid>
        <w:gridCol w:w="2519"/>
        <w:gridCol w:w="1480"/>
        <w:gridCol w:w="1472"/>
        <w:gridCol w:w="1480"/>
      </w:tblGrid>
      <w:tr>
        <w:trPr>
          <w:trHeight w:val="176" w:hRule="atLeast"/>
        </w:trPr>
        <w:tc>
          <w:tcPr>
            <w:tcW w:w="2519" w:type="dxa"/>
            <w:tcBorders>
              <w:top w:val="nil"/>
              <w:left w:val="nil"/>
            </w:tcBorders>
          </w:tcPr>
          <w:p>
            <w:pPr>
              <w:pStyle w:val="TableParagraph"/>
              <w:spacing w:line="75" w:lineRule="exact"/>
              <w:ind w:right="182"/>
              <w:jc w:val="right"/>
              <w:rPr>
                <w:rFonts w:ascii="Calibri"/>
                <w:sz w:val="11"/>
              </w:rPr>
            </w:pPr>
            <w:r>
              <w:rPr>
                <w:rFonts w:ascii="Calibri"/>
                <w:color w:val="231F20"/>
                <w:w w:val="108"/>
                <w:sz w:val="11"/>
              </w:rPr>
              <w:t>-</w:t>
            </w:r>
          </w:p>
        </w:tc>
        <w:tc>
          <w:tcPr>
            <w:tcW w:w="1480" w:type="dxa"/>
            <w:tcBorders>
              <w:top w:val="nil"/>
            </w:tcBorders>
          </w:tcPr>
          <w:p>
            <w:pPr>
              <w:pStyle w:val="TableParagraph"/>
              <w:spacing w:line="103" w:lineRule="exact" w:before="53"/>
              <w:ind w:left="549" w:right="531"/>
              <w:jc w:val="center"/>
              <w:rPr>
                <w:rFonts w:ascii="Calibri"/>
                <w:sz w:val="11"/>
              </w:rPr>
            </w:pPr>
            <w:r>
              <w:rPr>
                <w:rFonts w:ascii="Calibri"/>
                <w:color w:val="231F20"/>
                <w:spacing w:val="-2"/>
                <w:w w:val="110"/>
                <w:sz w:val="11"/>
              </w:rPr>
              <w:t>FY2022</w:t>
            </w:r>
          </w:p>
        </w:tc>
        <w:tc>
          <w:tcPr>
            <w:tcW w:w="1472" w:type="dxa"/>
            <w:tcBorders>
              <w:top w:val="nil"/>
            </w:tcBorders>
          </w:tcPr>
          <w:p>
            <w:pPr>
              <w:pStyle w:val="TableParagraph"/>
              <w:spacing w:line="103" w:lineRule="exact" w:before="53"/>
              <w:ind w:left="555"/>
              <w:rPr>
                <w:rFonts w:ascii="Calibri"/>
                <w:sz w:val="11"/>
              </w:rPr>
            </w:pPr>
            <w:r>
              <w:rPr>
                <w:rFonts w:ascii="Calibri"/>
                <w:color w:val="231F20"/>
                <w:spacing w:val="-2"/>
                <w:w w:val="110"/>
                <w:sz w:val="11"/>
              </w:rPr>
              <w:t>FY2021</w:t>
            </w:r>
          </w:p>
        </w:tc>
        <w:tc>
          <w:tcPr>
            <w:tcW w:w="1480" w:type="dxa"/>
            <w:tcBorders>
              <w:top w:val="nil"/>
            </w:tcBorders>
          </w:tcPr>
          <w:p>
            <w:pPr>
              <w:pStyle w:val="TableParagraph"/>
              <w:spacing w:line="103" w:lineRule="exact" w:before="53"/>
              <w:ind w:left="549" w:right="532"/>
              <w:jc w:val="center"/>
              <w:rPr>
                <w:rFonts w:ascii="Calibri"/>
                <w:sz w:val="11"/>
              </w:rPr>
            </w:pPr>
            <w:r>
              <w:rPr>
                <w:rFonts w:ascii="Calibri"/>
                <w:color w:val="231F20"/>
                <w:spacing w:val="-2"/>
                <w:w w:val="110"/>
                <w:sz w:val="11"/>
              </w:rPr>
              <w:t>FY2020</w:t>
            </w:r>
          </w:p>
        </w:tc>
      </w:tr>
      <w:tr>
        <w:trPr>
          <w:trHeight w:val="180" w:hRule="atLeast"/>
        </w:trPr>
        <w:tc>
          <w:tcPr>
            <w:tcW w:w="2519" w:type="dxa"/>
          </w:tcPr>
          <w:p>
            <w:pPr>
              <w:pStyle w:val="TableParagraph"/>
              <w:spacing w:before="26"/>
              <w:ind w:left="143"/>
              <w:rPr>
                <w:rFonts w:ascii="Calibri"/>
                <w:sz w:val="11"/>
              </w:rPr>
            </w:pPr>
            <w:r>
              <w:rPr>
                <w:rFonts w:ascii="Calibri"/>
                <w:color w:val="231F20"/>
                <w:w w:val="110"/>
                <w:sz w:val="11"/>
              </w:rPr>
              <w:t>Auxiliary</w:t>
            </w:r>
            <w:r>
              <w:rPr>
                <w:rFonts w:ascii="Calibri"/>
                <w:color w:val="231F20"/>
                <w:spacing w:val="1"/>
                <w:w w:val="110"/>
                <w:sz w:val="11"/>
              </w:rPr>
              <w:t> </w:t>
            </w:r>
            <w:r>
              <w:rPr>
                <w:rFonts w:ascii="Calibri"/>
                <w:color w:val="231F20"/>
                <w:spacing w:val="-2"/>
                <w:w w:val="110"/>
                <w:sz w:val="11"/>
              </w:rPr>
              <w:t>services</w:t>
            </w:r>
          </w:p>
        </w:tc>
        <w:tc>
          <w:tcPr>
            <w:tcW w:w="1480" w:type="dxa"/>
          </w:tcPr>
          <w:p>
            <w:pPr>
              <w:pStyle w:val="TableParagraph"/>
              <w:spacing w:line="133" w:lineRule="exact" w:before="28"/>
              <w:ind w:left="548" w:right="532"/>
              <w:jc w:val="center"/>
              <w:rPr>
                <w:rFonts w:ascii="Calibri"/>
                <w:sz w:val="11"/>
              </w:rPr>
            </w:pPr>
            <w:r>
              <w:rPr>
                <w:rFonts w:ascii="Calibri"/>
                <w:color w:val="231F20"/>
                <w:spacing w:val="-2"/>
                <w:w w:val="110"/>
                <w:sz w:val="11"/>
              </w:rPr>
              <w:t>4,917</w:t>
            </w:r>
          </w:p>
        </w:tc>
        <w:tc>
          <w:tcPr>
            <w:tcW w:w="1472" w:type="dxa"/>
          </w:tcPr>
          <w:p>
            <w:pPr>
              <w:pStyle w:val="TableParagraph"/>
              <w:spacing w:line="133" w:lineRule="exact" w:before="28"/>
              <w:ind w:left="599"/>
              <w:rPr>
                <w:rFonts w:ascii="Calibri"/>
                <w:sz w:val="11"/>
              </w:rPr>
            </w:pPr>
            <w:r>
              <w:rPr>
                <w:rFonts w:ascii="Calibri"/>
                <w:color w:val="231F20"/>
                <w:spacing w:val="-2"/>
                <w:w w:val="110"/>
                <w:sz w:val="11"/>
              </w:rPr>
              <w:t>3,580</w:t>
            </w:r>
          </w:p>
        </w:tc>
        <w:tc>
          <w:tcPr>
            <w:tcW w:w="1480" w:type="dxa"/>
          </w:tcPr>
          <w:p>
            <w:pPr>
              <w:pStyle w:val="TableParagraph"/>
              <w:spacing w:line="133" w:lineRule="exact" w:before="28"/>
              <w:ind w:left="548" w:right="532"/>
              <w:jc w:val="center"/>
              <w:rPr>
                <w:rFonts w:ascii="Calibri"/>
                <w:sz w:val="11"/>
              </w:rPr>
            </w:pPr>
            <w:r>
              <w:rPr>
                <w:rFonts w:ascii="Calibri"/>
                <w:color w:val="231F20"/>
                <w:spacing w:val="-2"/>
                <w:w w:val="110"/>
                <w:sz w:val="11"/>
              </w:rPr>
              <w:t>4,658</w:t>
            </w:r>
          </w:p>
        </w:tc>
      </w:tr>
      <w:tr>
        <w:trPr>
          <w:trHeight w:val="179" w:hRule="atLeast"/>
        </w:trPr>
        <w:tc>
          <w:tcPr>
            <w:tcW w:w="2519" w:type="dxa"/>
          </w:tcPr>
          <w:p>
            <w:pPr>
              <w:pStyle w:val="TableParagraph"/>
              <w:spacing w:before="22"/>
              <w:ind w:left="143"/>
              <w:rPr>
                <w:rFonts w:ascii="Calibri"/>
                <w:sz w:val="11"/>
              </w:rPr>
            </w:pPr>
            <w:r>
              <w:rPr>
                <w:rFonts w:ascii="Calibri"/>
                <w:color w:val="231F20"/>
                <w:w w:val="110"/>
                <w:sz w:val="11"/>
              </w:rPr>
              <w:t>Other operating</w:t>
            </w:r>
            <w:r>
              <w:rPr>
                <w:rFonts w:ascii="Calibri"/>
                <w:color w:val="231F20"/>
                <w:spacing w:val="-3"/>
                <w:w w:val="110"/>
                <w:sz w:val="11"/>
              </w:rPr>
              <w:t> </w:t>
            </w:r>
            <w:r>
              <w:rPr>
                <w:rFonts w:ascii="Calibri"/>
                <w:color w:val="231F20"/>
                <w:spacing w:val="-2"/>
                <w:w w:val="110"/>
                <w:sz w:val="11"/>
              </w:rPr>
              <w:t>revenues</w:t>
            </w:r>
          </w:p>
        </w:tc>
        <w:tc>
          <w:tcPr>
            <w:tcW w:w="1480" w:type="dxa"/>
          </w:tcPr>
          <w:p>
            <w:pPr>
              <w:pStyle w:val="TableParagraph"/>
              <w:spacing w:line="134" w:lineRule="exact" w:before="26"/>
              <w:ind w:left="541" w:right="532"/>
              <w:jc w:val="center"/>
              <w:rPr>
                <w:rFonts w:ascii="Calibri"/>
                <w:sz w:val="11"/>
              </w:rPr>
            </w:pPr>
            <w:r>
              <w:rPr>
                <w:rFonts w:ascii="Calibri"/>
                <w:color w:val="231F20"/>
                <w:spacing w:val="-2"/>
                <w:w w:val="110"/>
                <w:sz w:val="11"/>
              </w:rPr>
              <w:t>11,018</w:t>
            </w:r>
          </w:p>
        </w:tc>
        <w:tc>
          <w:tcPr>
            <w:tcW w:w="1472" w:type="dxa"/>
          </w:tcPr>
          <w:p>
            <w:pPr>
              <w:pStyle w:val="TableParagraph"/>
              <w:spacing w:line="134" w:lineRule="exact" w:before="26"/>
              <w:ind w:left="599"/>
              <w:rPr>
                <w:rFonts w:ascii="Calibri"/>
                <w:sz w:val="11"/>
              </w:rPr>
            </w:pPr>
            <w:r>
              <w:rPr>
                <w:rFonts w:ascii="Calibri"/>
                <w:color w:val="231F20"/>
                <w:spacing w:val="-2"/>
                <w:w w:val="110"/>
                <w:sz w:val="11"/>
              </w:rPr>
              <w:t>8,603</w:t>
            </w:r>
          </w:p>
        </w:tc>
        <w:tc>
          <w:tcPr>
            <w:tcW w:w="1480" w:type="dxa"/>
          </w:tcPr>
          <w:p>
            <w:pPr>
              <w:pStyle w:val="TableParagraph"/>
              <w:spacing w:line="134" w:lineRule="exact" w:before="26"/>
              <w:ind w:left="549" w:right="530"/>
              <w:jc w:val="center"/>
              <w:rPr>
                <w:rFonts w:ascii="Calibri"/>
                <w:sz w:val="11"/>
              </w:rPr>
            </w:pPr>
            <w:r>
              <w:rPr>
                <w:rFonts w:ascii="Calibri"/>
                <w:color w:val="231F20"/>
                <w:spacing w:val="-2"/>
                <w:w w:val="110"/>
                <w:sz w:val="11"/>
              </w:rPr>
              <w:t>9,308</w:t>
            </w:r>
          </w:p>
        </w:tc>
      </w:tr>
      <w:tr>
        <w:trPr>
          <w:trHeight w:val="180" w:hRule="atLeast"/>
        </w:trPr>
        <w:tc>
          <w:tcPr>
            <w:tcW w:w="2519" w:type="dxa"/>
          </w:tcPr>
          <w:p>
            <w:pPr>
              <w:pStyle w:val="TableParagraph"/>
              <w:spacing w:before="21"/>
              <w:ind w:left="143"/>
              <w:rPr>
                <w:rFonts w:ascii="Calibri"/>
                <w:sz w:val="11"/>
              </w:rPr>
            </w:pPr>
            <w:r>
              <w:rPr>
                <w:rFonts w:ascii="Calibri"/>
                <w:color w:val="231F20"/>
                <w:w w:val="110"/>
                <w:sz w:val="11"/>
              </w:rPr>
              <w:t>Tuition</w:t>
            </w:r>
            <w:r>
              <w:rPr>
                <w:rFonts w:ascii="Calibri"/>
                <w:color w:val="231F20"/>
                <w:spacing w:val="2"/>
                <w:w w:val="110"/>
                <w:sz w:val="11"/>
              </w:rPr>
              <w:t> </w:t>
            </w:r>
            <w:r>
              <w:rPr>
                <w:rFonts w:ascii="Calibri"/>
                <w:color w:val="231F20"/>
                <w:w w:val="110"/>
                <w:sz w:val="11"/>
              </w:rPr>
              <w:t>and</w:t>
            </w:r>
            <w:r>
              <w:rPr>
                <w:rFonts w:ascii="Calibri"/>
                <w:color w:val="231F20"/>
                <w:spacing w:val="2"/>
                <w:w w:val="110"/>
                <w:sz w:val="11"/>
              </w:rPr>
              <w:t> </w:t>
            </w:r>
            <w:r>
              <w:rPr>
                <w:rFonts w:ascii="Calibri"/>
                <w:color w:val="231F20"/>
                <w:spacing w:val="-4"/>
                <w:w w:val="110"/>
                <w:sz w:val="11"/>
              </w:rPr>
              <w:t>fees</w:t>
            </w:r>
          </w:p>
        </w:tc>
        <w:tc>
          <w:tcPr>
            <w:tcW w:w="1480" w:type="dxa"/>
          </w:tcPr>
          <w:p>
            <w:pPr>
              <w:pStyle w:val="TableParagraph"/>
              <w:spacing w:before="24"/>
              <w:ind w:left="548" w:right="532"/>
              <w:jc w:val="center"/>
              <w:rPr>
                <w:rFonts w:ascii="Calibri"/>
                <w:sz w:val="11"/>
              </w:rPr>
            </w:pPr>
            <w:r>
              <w:rPr>
                <w:rFonts w:ascii="Calibri"/>
                <w:color w:val="231F20"/>
                <w:spacing w:val="-2"/>
                <w:w w:val="110"/>
                <w:sz w:val="11"/>
              </w:rPr>
              <w:t>8,839</w:t>
            </w:r>
          </w:p>
        </w:tc>
        <w:tc>
          <w:tcPr>
            <w:tcW w:w="1472" w:type="dxa"/>
          </w:tcPr>
          <w:p>
            <w:pPr>
              <w:pStyle w:val="TableParagraph"/>
              <w:spacing w:before="24"/>
              <w:ind w:left="599"/>
              <w:rPr>
                <w:rFonts w:ascii="Calibri"/>
                <w:sz w:val="11"/>
              </w:rPr>
            </w:pPr>
            <w:r>
              <w:rPr>
                <w:rFonts w:ascii="Calibri"/>
                <w:color w:val="231F20"/>
                <w:spacing w:val="-2"/>
                <w:w w:val="110"/>
                <w:sz w:val="11"/>
              </w:rPr>
              <w:t>9,630</w:t>
            </w:r>
          </w:p>
        </w:tc>
        <w:tc>
          <w:tcPr>
            <w:tcW w:w="1480" w:type="dxa"/>
          </w:tcPr>
          <w:p>
            <w:pPr>
              <w:pStyle w:val="TableParagraph"/>
              <w:spacing w:before="24"/>
              <w:ind w:left="542" w:right="532"/>
              <w:jc w:val="center"/>
              <w:rPr>
                <w:rFonts w:ascii="Calibri"/>
                <w:sz w:val="11"/>
              </w:rPr>
            </w:pPr>
            <w:r>
              <w:rPr>
                <w:rFonts w:ascii="Calibri"/>
                <w:color w:val="231F20"/>
                <w:spacing w:val="-2"/>
                <w:w w:val="110"/>
                <w:sz w:val="11"/>
              </w:rPr>
              <w:t>10,162</w:t>
            </w:r>
          </w:p>
        </w:tc>
      </w:tr>
      <w:tr>
        <w:trPr>
          <w:trHeight w:val="171" w:hRule="atLeast"/>
        </w:trPr>
        <w:tc>
          <w:tcPr>
            <w:tcW w:w="2519" w:type="dxa"/>
          </w:tcPr>
          <w:p>
            <w:pPr>
              <w:pStyle w:val="TableParagraph"/>
              <w:spacing w:line="133" w:lineRule="exact" w:before="18"/>
              <w:ind w:left="143"/>
              <w:rPr>
                <w:rFonts w:ascii="Calibri"/>
                <w:sz w:val="11"/>
              </w:rPr>
            </w:pPr>
            <w:r>
              <w:rPr>
                <w:rFonts w:ascii="Calibri"/>
                <w:color w:val="231F20"/>
                <w:w w:val="110"/>
                <w:sz w:val="11"/>
              </w:rPr>
              <w:t>Other non-operating</w:t>
            </w:r>
            <w:r>
              <w:rPr>
                <w:rFonts w:ascii="Calibri"/>
                <w:color w:val="231F20"/>
                <w:spacing w:val="-5"/>
                <w:w w:val="110"/>
                <w:sz w:val="11"/>
              </w:rPr>
              <w:t> </w:t>
            </w:r>
            <w:r>
              <w:rPr>
                <w:rFonts w:ascii="Calibri"/>
                <w:color w:val="231F20"/>
                <w:w w:val="110"/>
                <w:sz w:val="11"/>
              </w:rPr>
              <w:t>revenue</w:t>
            </w:r>
            <w:r>
              <w:rPr>
                <w:rFonts w:ascii="Calibri"/>
                <w:color w:val="231F20"/>
                <w:spacing w:val="1"/>
                <w:w w:val="110"/>
                <w:sz w:val="11"/>
              </w:rPr>
              <w:t> </w:t>
            </w:r>
            <w:r>
              <w:rPr>
                <w:rFonts w:ascii="Calibri"/>
                <w:color w:val="231F20"/>
                <w:w w:val="110"/>
                <w:sz w:val="11"/>
              </w:rPr>
              <w:t>and</w:t>
            </w:r>
            <w:r>
              <w:rPr>
                <w:rFonts w:ascii="Calibri"/>
                <w:color w:val="231F20"/>
                <w:spacing w:val="-2"/>
                <w:w w:val="110"/>
                <w:sz w:val="11"/>
              </w:rPr>
              <w:t> </w:t>
            </w:r>
            <w:r>
              <w:rPr>
                <w:rFonts w:ascii="Calibri"/>
                <w:color w:val="231F20"/>
                <w:w w:val="110"/>
                <w:sz w:val="11"/>
              </w:rPr>
              <w:t>capital</w:t>
            </w:r>
            <w:r>
              <w:rPr>
                <w:rFonts w:ascii="Calibri"/>
                <w:color w:val="231F20"/>
                <w:spacing w:val="-3"/>
                <w:w w:val="110"/>
                <w:sz w:val="11"/>
              </w:rPr>
              <w:t> </w:t>
            </w:r>
            <w:r>
              <w:rPr>
                <w:rFonts w:ascii="Calibri"/>
                <w:color w:val="231F20"/>
                <w:spacing w:val="-4"/>
                <w:w w:val="110"/>
                <w:sz w:val="11"/>
              </w:rPr>
              <w:t>items</w:t>
            </w:r>
          </w:p>
        </w:tc>
        <w:tc>
          <w:tcPr>
            <w:tcW w:w="1480" w:type="dxa"/>
          </w:tcPr>
          <w:p>
            <w:pPr>
              <w:pStyle w:val="TableParagraph"/>
              <w:spacing w:line="129" w:lineRule="exact" w:before="22"/>
              <w:ind w:left="548" w:right="532"/>
              <w:jc w:val="center"/>
              <w:rPr>
                <w:rFonts w:ascii="Calibri"/>
                <w:sz w:val="11"/>
              </w:rPr>
            </w:pPr>
            <w:r>
              <w:rPr>
                <w:rFonts w:ascii="Calibri"/>
                <w:color w:val="231F20"/>
                <w:spacing w:val="-2"/>
                <w:w w:val="110"/>
                <w:sz w:val="11"/>
              </w:rPr>
              <w:t>8,614</w:t>
            </w:r>
          </w:p>
        </w:tc>
        <w:tc>
          <w:tcPr>
            <w:tcW w:w="1472" w:type="dxa"/>
          </w:tcPr>
          <w:p>
            <w:pPr>
              <w:pStyle w:val="TableParagraph"/>
              <w:spacing w:line="129" w:lineRule="exact" w:before="22"/>
              <w:ind w:left="568"/>
              <w:rPr>
                <w:rFonts w:ascii="Calibri"/>
                <w:sz w:val="11"/>
              </w:rPr>
            </w:pPr>
            <w:r>
              <w:rPr>
                <w:rFonts w:ascii="Calibri"/>
                <w:color w:val="231F20"/>
                <w:spacing w:val="-2"/>
                <w:w w:val="110"/>
                <w:sz w:val="11"/>
              </w:rPr>
              <w:t>31,575</w:t>
            </w:r>
          </w:p>
        </w:tc>
        <w:tc>
          <w:tcPr>
            <w:tcW w:w="1480" w:type="dxa"/>
          </w:tcPr>
          <w:p>
            <w:pPr>
              <w:pStyle w:val="TableParagraph"/>
              <w:spacing w:line="129" w:lineRule="exact" w:before="22"/>
              <w:ind w:left="542" w:right="532"/>
              <w:jc w:val="center"/>
              <w:rPr>
                <w:rFonts w:ascii="Calibri"/>
                <w:sz w:val="11"/>
              </w:rPr>
            </w:pPr>
            <w:r>
              <w:rPr>
                <w:rFonts w:ascii="Calibri"/>
                <w:color w:val="231F20"/>
                <w:spacing w:val="-2"/>
                <w:w w:val="110"/>
                <w:sz w:val="11"/>
              </w:rPr>
              <w:t>23,164</w:t>
            </w:r>
          </w:p>
        </w:tc>
      </w:tr>
      <w:tr>
        <w:trPr>
          <w:trHeight w:val="179" w:hRule="atLeast"/>
        </w:trPr>
        <w:tc>
          <w:tcPr>
            <w:tcW w:w="2519" w:type="dxa"/>
          </w:tcPr>
          <w:p>
            <w:pPr>
              <w:pStyle w:val="TableParagraph"/>
              <w:spacing w:line="134" w:lineRule="exact" w:before="26"/>
              <w:ind w:left="143"/>
              <w:rPr>
                <w:rFonts w:ascii="Calibri"/>
                <w:sz w:val="11"/>
              </w:rPr>
            </w:pPr>
            <w:r>
              <w:rPr>
                <w:rFonts w:ascii="Calibri"/>
                <w:color w:val="231F20"/>
                <w:w w:val="110"/>
                <w:sz w:val="11"/>
              </w:rPr>
              <w:t>State</w:t>
            </w:r>
            <w:r>
              <w:rPr>
                <w:rFonts w:ascii="Calibri"/>
                <w:color w:val="231F20"/>
                <w:spacing w:val="-1"/>
                <w:w w:val="110"/>
                <w:sz w:val="11"/>
              </w:rPr>
              <w:t> </w:t>
            </w:r>
            <w:r>
              <w:rPr>
                <w:rFonts w:ascii="Calibri"/>
                <w:color w:val="231F20"/>
                <w:spacing w:val="-2"/>
                <w:w w:val="110"/>
                <w:sz w:val="11"/>
              </w:rPr>
              <w:t>Appropriations</w:t>
            </w:r>
          </w:p>
        </w:tc>
        <w:tc>
          <w:tcPr>
            <w:tcW w:w="1480" w:type="dxa"/>
          </w:tcPr>
          <w:p>
            <w:pPr>
              <w:pStyle w:val="TableParagraph"/>
              <w:spacing w:line="131" w:lineRule="exact" w:before="28"/>
              <w:ind w:left="541" w:right="532"/>
              <w:jc w:val="center"/>
              <w:rPr>
                <w:rFonts w:ascii="Calibri"/>
                <w:sz w:val="11"/>
              </w:rPr>
            </w:pPr>
            <w:r>
              <w:rPr>
                <w:rFonts w:ascii="Calibri"/>
                <w:color w:val="231F20"/>
                <w:spacing w:val="-2"/>
                <w:w w:val="110"/>
                <w:sz w:val="11"/>
              </w:rPr>
              <w:t>42,940</w:t>
            </w:r>
          </w:p>
        </w:tc>
        <w:tc>
          <w:tcPr>
            <w:tcW w:w="1472" w:type="dxa"/>
          </w:tcPr>
          <w:p>
            <w:pPr>
              <w:pStyle w:val="TableParagraph"/>
              <w:spacing w:line="131" w:lineRule="exact" w:before="28"/>
              <w:ind w:left="568"/>
              <w:rPr>
                <w:rFonts w:ascii="Calibri"/>
                <w:sz w:val="11"/>
              </w:rPr>
            </w:pPr>
            <w:r>
              <w:rPr>
                <w:rFonts w:ascii="Calibri"/>
                <w:color w:val="231F20"/>
                <w:spacing w:val="-2"/>
                <w:w w:val="110"/>
                <w:sz w:val="11"/>
              </w:rPr>
              <w:t>38,057</w:t>
            </w:r>
          </w:p>
        </w:tc>
        <w:tc>
          <w:tcPr>
            <w:tcW w:w="1480" w:type="dxa"/>
          </w:tcPr>
          <w:p>
            <w:pPr>
              <w:pStyle w:val="TableParagraph"/>
              <w:spacing w:line="131" w:lineRule="exact" w:before="28"/>
              <w:ind w:left="542" w:right="532"/>
              <w:jc w:val="center"/>
              <w:rPr>
                <w:rFonts w:ascii="Calibri"/>
                <w:sz w:val="11"/>
              </w:rPr>
            </w:pPr>
            <w:r>
              <w:rPr>
                <w:rFonts w:ascii="Calibri"/>
                <w:color w:val="231F20"/>
                <w:spacing w:val="-2"/>
                <w:w w:val="110"/>
                <w:sz w:val="11"/>
              </w:rPr>
              <w:t>40,175</w:t>
            </w:r>
          </w:p>
        </w:tc>
      </w:tr>
      <w:tr>
        <w:trPr>
          <w:trHeight w:val="180" w:hRule="atLeast"/>
        </w:trPr>
        <w:tc>
          <w:tcPr>
            <w:tcW w:w="2519" w:type="dxa"/>
          </w:tcPr>
          <w:p>
            <w:pPr>
              <w:pStyle w:val="TableParagraph"/>
              <w:spacing w:before="24"/>
              <w:ind w:left="143"/>
              <w:rPr>
                <w:rFonts w:ascii="Calibri"/>
                <w:sz w:val="11"/>
              </w:rPr>
            </w:pPr>
            <w:r>
              <w:rPr>
                <w:rFonts w:ascii="Calibri"/>
                <w:color w:val="231F20"/>
                <w:w w:val="110"/>
                <w:sz w:val="11"/>
              </w:rPr>
              <w:t>Federal,</w:t>
            </w:r>
            <w:r>
              <w:rPr>
                <w:rFonts w:ascii="Calibri"/>
                <w:color w:val="231F20"/>
                <w:spacing w:val="1"/>
                <w:w w:val="110"/>
                <w:sz w:val="11"/>
              </w:rPr>
              <w:t> </w:t>
            </w:r>
            <w:r>
              <w:rPr>
                <w:rFonts w:ascii="Calibri"/>
                <w:color w:val="231F20"/>
                <w:w w:val="110"/>
                <w:sz w:val="11"/>
              </w:rPr>
              <w:t>state,</w:t>
            </w:r>
            <w:r>
              <w:rPr>
                <w:rFonts w:ascii="Calibri"/>
                <w:color w:val="231F20"/>
                <w:spacing w:val="-6"/>
                <w:w w:val="110"/>
                <w:sz w:val="11"/>
              </w:rPr>
              <w:t> </w:t>
            </w:r>
            <w:r>
              <w:rPr>
                <w:rFonts w:ascii="Calibri"/>
                <w:color w:val="231F20"/>
                <w:w w:val="110"/>
                <w:sz w:val="11"/>
              </w:rPr>
              <w:t>private</w:t>
            </w:r>
            <w:r>
              <w:rPr>
                <w:rFonts w:ascii="Calibri"/>
                <w:color w:val="231F20"/>
                <w:spacing w:val="1"/>
                <w:w w:val="110"/>
                <w:sz w:val="11"/>
              </w:rPr>
              <w:t> </w:t>
            </w:r>
            <w:r>
              <w:rPr>
                <w:rFonts w:ascii="Calibri"/>
                <w:color w:val="231F20"/>
                <w:w w:val="110"/>
                <w:sz w:val="11"/>
              </w:rPr>
              <w:t>grants</w:t>
            </w:r>
            <w:r>
              <w:rPr>
                <w:rFonts w:ascii="Calibri"/>
                <w:color w:val="231F20"/>
                <w:spacing w:val="3"/>
                <w:w w:val="110"/>
                <w:sz w:val="11"/>
              </w:rPr>
              <w:t> </w:t>
            </w:r>
            <w:r>
              <w:rPr>
                <w:rFonts w:ascii="Calibri"/>
                <w:color w:val="231F20"/>
                <w:w w:val="110"/>
                <w:sz w:val="11"/>
              </w:rPr>
              <w:t>and</w:t>
            </w:r>
            <w:r>
              <w:rPr>
                <w:rFonts w:ascii="Calibri"/>
                <w:color w:val="231F20"/>
                <w:spacing w:val="-3"/>
                <w:w w:val="110"/>
                <w:sz w:val="11"/>
              </w:rPr>
              <w:t> </w:t>
            </w:r>
            <w:r>
              <w:rPr>
                <w:rFonts w:ascii="Calibri"/>
                <w:color w:val="231F20"/>
                <w:spacing w:val="-2"/>
                <w:w w:val="110"/>
                <w:sz w:val="11"/>
              </w:rPr>
              <w:t>contracts</w:t>
            </w:r>
          </w:p>
        </w:tc>
        <w:tc>
          <w:tcPr>
            <w:tcW w:w="1480" w:type="dxa"/>
          </w:tcPr>
          <w:p>
            <w:pPr>
              <w:pStyle w:val="TableParagraph"/>
              <w:spacing w:line="134" w:lineRule="exact" w:before="27"/>
              <w:ind w:left="541" w:right="532"/>
              <w:jc w:val="center"/>
              <w:rPr>
                <w:rFonts w:ascii="Calibri"/>
                <w:sz w:val="11"/>
              </w:rPr>
            </w:pPr>
            <w:r>
              <w:rPr>
                <w:rFonts w:ascii="Calibri"/>
                <w:color w:val="231F20"/>
                <w:spacing w:val="-2"/>
                <w:w w:val="110"/>
                <w:sz w:val="11"/>
              </w:rPr>
              <w:t>80,579</w:t>
            </w:r>
          </w:p>
        </w:tc>
        <w:tc>
          <w:tcPr>
            <w:tcW w:w="1472" w:type="dxa"/>
          </w:tcPr>
          <w:p>
            <w:pPr>
              <w:pStyle w:val="TableParagraph"/>
              <w:spacing w:line="134" w:lineRule="exact" w:before="27"/>
              <w:ind w:left="568"/>
              <w:rPr>
                <w:rFonts w:ascii="Calibri"/>
                <w:sz w:val="11"/>
              </w:rPr>
            </w:pPr>
            <w:r>
              <w:rPr>
                <w:rFonts w:ascii="Calibri"/>
                <w:color w:val="231F20"/>
                <w:spacing w:val="-2"/>
                <w:w w:val="110"/>
                <w:sz w:val="11"/>
              </w:rPr>
              <w:t>52,093</w:t>
            </w:r>
          </w:p>
        </w:tc>
        <w:tc>
          <w:tcPr>
            <w:tcW w:w="1480" w:type="dxa"/>
          </w:tcPr>
          <w:p>
            <w:pPr>
              <w:pStyle w:val="TableParagraph"/>
              <w:spacing w:line="134" w:lineRule="exact" w:before="27"/>
              <w:ind w:left="542" w:right="532"/>
              <w:jc w:val="center"/>
              <w:rPr>
                <w:rFonts w:ascii="Calibri"/>
                <w:sz w:val="11"/>
              </w:rPr>
            </w:pPr>
            <w:r>
              <w:rPr>
                <w:rFonts w:ascii="Calibri"/>
                <w:color w:val="231F20"/>
                <w:spacing w:val="-2"/>
                <w:w w:val="110"/>
                <w:sz w:val="11"/>
              </w:rPr>
              <w:t>56,970</w:t>
            </w:r>
          </w:p>
        </w:tc>
      </w:tr>
    </w:tbl>
    <w:p>
      <w:pPr>
        <w:spacing w:after="0" w:line="134" w:lineRule="exact"/>
        <w:jc w:val="center"/>
        <w:rPr>
          <w:rFonts w:ascii="Calibri"/>
          <w:sz w:val="11"/>
        </w:rPr>
        <w:sectPr>
          <w:pgSz w:w="12240" w:h="15840"/>
          <w:pgMar w:header="994" w:footer="1097" w:top="1900" w:bottom="1280" w:left="0" w:right="580"/>
        </w:sectPr>
      </w:pPr>
    </w:p>
    <w:p>
      <w:pPr>
        <w:pStyle w:val="BodyText"/>
      </w:pPr>
    </w:p>
    <w:p>
      <w:pPr>
        <w:pStyle w:val="BodyText"/>
        <w:spacing w:before="10"/>
        <w:rPr>
          <w:sz w:val="17"/>
        </w:rPr>
      </w:pPr>
    </w:p>
    <w:p>
      <w:pPr>
        <w:pStyle w:val="BodyText"/>
        <w:spacing w:before="94"/>
        <w:ind w:left="1439"/>
      </w:pPr>
      <w:r>
        <w:rPr>
          <w:color w:val="231F20"/>
        </w:rPr>
        <w:t>Operating</w:t>
      </w:r>
      <w:r>
        <w:rPr>
          <w:color w:val="231F20"/>
          <w:spacing w:val="-5"/>
        </w:rPr>
        <w:t> </w:t>
      </w:r>
      <w:r>
        <w:rPr>
          <w:color w:val="231F20"/>
        </w:rPr>
        <w:t>expenses</w:t>
      </w:r>
      <w:r>
        <w:rPr>
          <w:color w:val="231F20"/>
          <w:spacing w:val="-3"/>
        </w:rPr>
        <w:t> </w:t>
      </w:r>
      <w:r>
        <w:rPr>
          <w:color w:val="231F20"/>
        </w:rPr>
        <w:t>are</w:t>
      </w:r>
      <w:r>
        <w:rPr>
          <w:color w:val="231F20"/>
          <w:spacing w:val="-3"/>
        </w:rPr>
        <w:t> </w:t>
      </w:r>
      <w:r>
        <w:rPr>
          <w:color w:val="231F20"/>
        </w:rPr>
        <w:t>the</w:t>
      </w:r>
      <w:r>
        <w:rPr>
          <w:color w:val="231F20"/>
          <w:spacing w:val="-3"/>
        </w:rPr>
        <w:t> </w:t>
      </w:r>
      <w:r>
        <w:rPr>
          <w:color w:val="231F20"/>
        </w:rPr>
        <w:t>cost</w:t>
      </w:r>
      <w:r>
        <w:rPr>
          <w:color w:val="231F20"/>
          <w:spacing w:val="-3"/>
        </w:rPr>
        <w:t> </w:t>
      </w:r>
      <w:r>
        <w:rPr>
          <w:color w:val="231F20"/>
        </w:rPr>
        <w:t>of</w:t>
      </w:r>
      <w:r>
        <w:rPr>
          <w:color w:val="231F20"/>
          <w:spacing w:val="-3"/>
        </w:rPr>
        <w:t> </w:t>
      </w:r>
      <w:r>
        <w:rPr>
          <w:color w:val="231F20"/>
        </w:rPr>
        <w:t>providing</w:t>
      </w:r>
      <w:r>
        <w:rPr>
          <w:color w:val="231F20"/>
          <w:spacing w:val="-3"/>
        </w:rPr>
        <w:t> </w:t>
      </w:r>
      <w:r>
        <w:rPr>
          <w:color w:val="231F20"/>
        </w:rPr>
        <w:t>the</w:t>
      </w:r>
      <w:r>
        <w:rPr>
          <w:color w:val="231F20"/>
          <w:spacing w:val="-3"/>
        </w:rPr>
        <w:t> </w:t>
      </w:r>
      <w:r>
        <w:rPr>
          <w:color w:val="231F20"/>
        </w:rPr>
        <w:t>goods</w:t>
      </w:r>
      <w:r>
        <w:rPr>
          <w:color w:val="231F20"/>
          <w:spacing w:val="-3"/>
        </w:rPr>
        <w:t> </w:t>
      </w:r>
      <w:r>
        <w:rPr>
          <w:color w:val="231F20"/>
        </w:rPr>
        <w:t>and</w:t>
      </w:r>
      <w:r>
        <w:rPr>
          <w:color w:val="231F20"/>
          <w:spacing w:val="-3"/>
        </w:rPr>
        <w:t> </w:t>
      </w:r>
      <w:r>
        <w:rPr>
          <w:color w:val="231F20"/>
        </w:rPr>
        <w:t>services</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operating</w:t>
      </w:r>
      <w:r>
        <w:rPr>
          <w:color w:val="231F20"/>
          <w:spacing w:val="-3"/>
        </w:rPr>
        <w:t> </w:t>
      </w:r>
      <w:r>
        <w:rPr>
          <w:color w:val="231F20"/>
        </w:rPr>
        <w:t>revenue</w:t>
      </w:r>
      <w:r>
        <w:rPr>
          <w:color w:val="231F20"/>
          <w:spacing w:val="-3"/>
        </w:rPr>
        <w:t> </w:t>
      </w:r>
      <w:r>
        <w:rPr>
          <w:color w:val="231F20"/>
          <w:spacing w:val="-2"/>
        </w:rPr>
        <w:t>received.</w:t>
      </w:r>
    </w:p>
    <w:p>
      <w:pPr>
        <w:pStyle w:val="BodyText"/>
        <w:spacing w:before="1"/>
        <w:rPr>
          <w:sz w:val="26"/>
        </w:rPr>
      </w:pPr>
    </w:p>
    <w:p>
      <w:pPr>
        <w:pStyle w:val="ListParagraph"/>
        <w:numPr>
          <w:ilvl w:val="0"/>
          <w:numId w:val="3"/>
        </w:numPr>
        <w:tabs>
          <w:tab w:pos="2159" w:val="left" w:leader="none"/>
          <w:tab w:pos="2160" w:val="left" w:leader="none"/>
        </w:tabs>
        <w:spacing w:line="271" w:lineRule="auto" w:before="1" w:after="0"/>
        <w:ind w:left="2159" w:right="1074" w:hanging="361"/>
        <w:jc w:val="left"/>
        <w:rPr>
          <w:sz w:val="20"/>
        </w:rPr>
      </w:pPr>
      <w:r>
        <w:rPr>
          <w:color w:val="231F20"/>
          <w:sz w:val="20"/>
        </w:rPr>
        <w:t>Total</w:t>
      </w:r>
      <w:r>
        <w:rPr>
          <w:color w:val="231F20"/>
          <w:spacing w:val="-4"/>
          <w:sz w:val="20"/>
        </w:rPr>
        <w:t> </w:t>
      </w:r>
      <w:r>
        <w:rPr>
          <w:color w:val="231F20"/>
          <w:sz w:val="20"/>
        </w:rPr>
        <w:t>operating</w:t>
      </w:r>
      <w:r>
        <w:rPr>
          <w:color w:val="231F20"/>
          <w:spacing w:val="-4"/>
          <w:sz w:val="20"/>
        </w:rPr>
        <w:t> </w:t>
      </w:r>
      <w:r>
        <w:rPr>
          <w:color w:val="231F20"/>
          <w:sz w:val="20"/>
        </w:rPr>
        <w:t>expenses</w:t>
      </w:r>
      <w:r>
        <w:rPr>
          <w:color w:val="231F20"/>
          <w:spacing w:val="-3"/>
          <w:sz w:val="20"/>
        </w:rPr>
        <w:t> </w:t>
      </w:r>
      <w:r>
        <w:rPr>
          <w:color w:val="231F20"/>
          <w:sz w:val="20"/>
        </w:rPr>
        <w:t>decreased</w:t>
      </w:r>
      <w:r>
        <w:rPr>
          <w:color w:val="231F20"/>
          <w:spacing w:val="-4"/>
          <w:sz w:val="20"/>
        </w:rPr>
        <w:t> </w:t>
      </w:r>
      <w:r>
        <w:rPr>
          <w:color w:val="231F20"/>
          <w:sz w:val="20"/>
        </w:rPr>
        <w:t>by</w:t>
      </w:r>
      <w:r>
        <w:rPr>
          <w:color w:val="231F20"/>
          <w:spacing w:val="-4"/>
          <w:sz w:val="20"/>
        </w:rPr>
        <w:t> </w:t>
      </w:r>
      <w:r>
        <w:rPr>
          <w:color w:val="231F20"/>
          <w:sz w:val="20"/>
        </w:rPr>
        <w:t>$30.2</w:t>
      </w:r>
      <w:r>
        <w:rPr>
          <w:color w:val="231F20"/>
          <w:spacing w:val="-4"/>
          <w:sz w:val="20"/>
        </w:rPr>
        <w:t> </w:t>
      </w:r>
      <w:r>
        <w:rPr>
          <w:color w:val="231F20"/>
          <w:sz w:val="20"/>
        </w:rPr>
        <w:t>million</w:t>
      </w:r>
      <w:r>
        <w:rPr>
          <w:color w:val="231F20"/>
          <w:spacing w:val="-4"/>
          <w:sz w:val="20"/>
        </w:rPr>
        <w:t> </w:t>
      </w:r>
      <w:r>
        <w:rPr>
          <w:color w:val="231F20"/>
          <w:sz w:val="20"/>
        </w:rPr>
        <w:t>including</w:t>
      </w:r>
      <w:r>
        <w:rPr>
          <w:color w:val="231F20"/>
          <w:spacing w:val="-4"/>
          <w:sz w:val="20"/>
        </w:rPr>
        <w:t> </w:t>
      </w:r>
      <w:r>
        <w:rPr>
          <w:color w:val="231F20"/>
          <w:sz w:val="20"/>
        </w:rPr>
        <w:t>the</w:t>
      </w:r>
      <w:r>
        <w:rPr>
          <w:color w:val="231F20"/>
          <w:spacing w:val="-5"/>
          <w:sz w:val="20"/>
        </w:rPr>
        <w:t> </w:t>
      </w:r>
      <w:r>
        <w:rPr>
          <w:color w:val="231F20"/>
          <w:sz w:val="20"/>
        </w:rPr>
        <w:t>decrease</w:t>
      </w:r>
      <w:r>
        <w:rPr>
          <w:color w:val="231F20"/>
          <w:spacing w:val="-4"/>
          <w:sz w:val="20"/>
        </w:rPr>
        <w:t> </w:t>
      </w:r>
      <w:r>
        <w:rPr>
          <w:color w:val="231F20"/>
          <w:sz w:val="20"/>
        </w:rPr>
        <w:t>in</w:t>
      </w:r>
      <w:r>
        <w:rPr>
          <w:color w:val="231F20"/>
          <w:spacing w:val="-4"/>
          <w:sz w:val="20"/>
        </w:rPr>
        <w:t> </w:t>
      </w:r>
      <w:r>
        <w:rPr>
          <w:color w:val="231F20"/>
          <w:sz w:val="20"/>
        </w:rPr>
        <w:t>the</w:t>
      </w:r>
      <w:r>
        <w:rPr>
          <w:color w:val="231F20"/>
          <w:spacing w:val="-4"/>
          <w:sz w:val="20"/>
        </w:rPr>
        <w:t> </w:t>
      </w:r>
      <w:r>
        <w:rPr>
          <w:color w:val="231F20"/>
          <w:sz w:val="20"/>
        </w:rPr>
        <w:t>pension</w:t>
      </w:r>
      <w:r>
        <w:rPr>
          <w:color w:val="231F20"/>
          <w:spacing w:val="-4"/>
          <w:sz w:val="20"/>
        </w:rPr>
        <w:t> </w:t>
      </w:r>
      <w:r>
        <w:rPr>
          <w:color w:val="231F20"/>
          <w:sz w:val="20"/>
        </w:rPr>
        <w:t>and OPEB expenses of $56.6 million.</w:t>
      </w:r>
    </w:p>
    <w:p>
      <w:pPr>
        <w:pStyle w:val="ListParagraph"/>
        <w:numPr>
          <w:ilvl w:val="0"/>
          <w:numId w:val="3"/>
        </w:numPr>
        <w:tabs>
          <w:tab w:pos="2159" w:val="left" w:leader="none"/>
          <w:tab w:pos="2160" w:val="left" w:leader="none"/>
        </w:tabs>
        <w:spacing w:line="240" w:lineRule="auto" w:before="5" w:after="0"/>
        <w:ind w:left="2159" w:right="0" w:hanging="360"/>
        <w:jc w:val="left"/>
        <w:rPr>
          <w:sz w:val="20"/>
        </w:rPr>
      </w:pPr>
      <w:r>
        <w:rPr>
          <w:color w:val="231F20"/>
          <w:sz w:val="20"/>
        </w:rPr>
        <w:t>Research</w:t>
      </w:r>
      <w:r>
        <w:rPr>
          <w:color w:val="231F20"/>
          <w:spacing w:val="-7"/>
          <w:sz w:val="20"/>
        </w:rPr>
        <w:t> </w:t>
      </w:r>
      <w:r>
        <w:rPr>
          <w:color w:val="231F20"/>
          <w:sz w:val="20"/>
        </w:rPr>
        <w:t>and</w:t>
      </w:r>
      <w:r>
        <w:rPr>
          <w:color w:val="231F20"/>
          <w:spacing w:val="-6"/>
          <w:sz w:val="20"/>
        </w:rPr>
        <w:t> </w:t>
      </w:r>
      <w:r>
        <w:rPr>
          <w:color w:val="231F20"/>
          <w:sz w:val="20"/>
        </w:rPr>
        <w:t>other</w:t>
      </w:r>
      <w:r>
        <w:rPr>
          <w:color w:val="231F20"/>
          <w:spacing w:val="-8"/>
          <w:sz w:val="20"/>
        </w:rPr>
        <w:t> </w:t>
      </w:r>
      <w:r>
        <w:rPr>
          <w:color w:val="231F20"/>
          <w:sz w:val="20"/>
        </w:rPr>
        <w:t>sponsored</w:t>
      </w:r>
      <w:r>
        <w:rPr>
          <w:color w:val="231F20"/>
          <w:spacing w:val="-6"/>
          <w:sz w:val="20"/>
        </w:rPr>
        <w:t> </w:t>
      </w:r>
      <w:r>
        <w:rPr>
          <w:color w:val="231F20"/>
          <w:sz w:val="20"/>
        </w:rPr>
        <w:t>expenditures</w:t>
      </w:r>
      <w:r>
        <w:rPr>
          <w:color w:val="231F20"/>
          <w:spacing w:val="-6"/>
          <w:sz w:val="20"/>
        </w:rPr>
        <w:t> </w:t>
      </w:r>
      <w:r>
        <w:rPr>
          <w:color w:val="231F20"/>
          <w:sz w:val="20"/>
        </w:rPr>
        <w:t>increased</w:t>
      </w:r>
      <w:r>
        <w:rPr>
          <w:color w:val="231F20"/>
          <w:spacing w:val="-7"/>
          <w:sz w:val="20"/>
        </w:rPr>
        <w:t> </w:t>
      </w:r>
      <w:r>
        <w:rPr>
          <w:color w:val="231F20"/>
          <w:sz w:val="20"/>
        </w:rPr>
        <w:t>by</w:t>
      </w:r>
      <w:r>
        <w:rPr>
          <w:color w:val="231F20"/>
          <w:spacing w:val="-6"/>
          <w:sz w:val="20"/>
        </w:rPr>
        <w:t> </w:t>
      </w:r>
      <w:r>
        <w:rPr>
          <w:color w:val="231F20"/>
          <w:sz w:val="20"/>
        </w:rPr>
        <w:t>$23.9</w:t>
      </w:r>
      <w:r>
        <w:rPr>
          <w:color w:val="231F20"/>
          <w:spacing w:val="-6"/>
          <w:sz w:val="20"/>
        </w:rPr>
        <w:t> </w:t>
      </w:r>
      <w:r>
        <w:rPr>
          <w:color w:val="231F20"/>
          <w:spacing w:val="-2"/>
          <w:sz w:val="20"/>
        </w:rPr>
        <w:t>million.</w:t>
      </w:r>
    </w:p>
    <w:p>
      <w:pPr>
        <w:pStyle w:val="BodyText"/>
        <w:spacing w:before="9"/>
        <w:rPr>
          <w:sz w:val="23"/>
        </w:rPr>
      </w:pPr>
      <w:r>
        <w:rPr/>
        <w:pict>
          <v:group style="position:absolute;margin-left:134.863495pt;margin-top:14.904077pt;width:342.25pt;height:210.6pt;mso-position-horizontal-relative:page;mso-position-vertical-relative:paragraph;z-index:-15710208;mso-wrap-distance-left:0;mso-wrap-distance-right:0" id="docshapegroup145" coordorigin="2697,298" coordsize="6845,4212">
            <v:shape style="position:absolute;left:4972;top:740;width:4360;height:370" type="#_x0000_t75" id="docshape146" stroked="false">
              <v:imagedata r:id="rId32" o:title=""/>
            </v:shape>
            <v:shape style="position:absolute;left:4964;top:1109;width:4343;height:1865" type="#_x0000_t75" id="docshape147" stroked="false">
              <v:imagedata r:id="rId33" o:title=""/>
            </v:shape>
            <v:shape style="position:absolute;left:4939;top:2949;width:4385;height:387" type="#_x0000_t75" id="docshape148" stroked="false">
              <v:imagedata r:id="rId34" o:title=""/>
            </v:shape>
            <v:shape style="position:absolute;left:4971;top:3296;width:2;height:158" id="docshape149" coordorigin="4972,3296" coordsize="0,158" path="m4972,3296l4972,3453m4972,3296l4972,3453e" filled="false" stroked="true" strokeweight=".393pt" strokecolor="#87898c">
              <v:path arrowok="t"/>
              <v:stroke dashstyle="solid"/>
            </v:shape>
            <v:shape style="position:absolute;left:6260;top:3296;width:2;height:158" id="docshape150" coordorigin="6260,3296" coordsize="0,158" path="m6260,3296l6260,3453m6260,3296l6260,3453e" filled="false" stroked="true" strokeweight=".393pt" strokecolor="#87898c">
              <v:path arrowok="t"/>
              <v:stroke dashstyle="solid"/>
            </v:shape>
            <v:shape style="position:absolute;left:7557;top:3296;width:2;height:158" id="docshape151" coordorigin="7558,3296" coordsize="0,158" path="m7558,3296l7558,3453m7558,3296l7558,3453e" filled="false" stroked="true" strokeweight=".393pt" strokecolor="#87898c">
              <v:path arrowok="t"/>
              <v:stroke dashstyle="solid"/>
            </v:shape>
            <v:shape style="position:absolute;left:8854;top:3296;width:2;height:158" id="docshape152" coordorigin="8855,3296" coordsize="0,158" path="m8855,3296l8855,3453m8855,3296l8855,3453e" filled="false" stroked="true" strokeweight=".393pt" strokecolor="#87898c">
              <v:path arrowok="t"/>
              <v:stroke dashstyle="solid"/>
            </v:shape>
            <v:shape style="position:absolute;left:2991;top:3453;width:5864;height:165" id="docshape153" coordorigin="2992,3453" coordsize="5864,165" path="m2992,3453l8855,3453m2992,3453l2992,3618e" filled="false" stroked="true" strokeweight=".393pt" strokecolor="#87898c">
              <v:path arrowok="t"/>
              <v:stroke dashstyle="solid"/>
            </v:shape>
            <v:shape style="position:absolute;left:4971;top:3453;width:2;height:165" id="docshape154" coordorigin="4972,3453" coordsize="0,165" path="m4972,3453l4972,3618m4972,3453l4972,3618m4972,3453l4972,3618e" filled="false" stroked="true" strokeweight=".393pt" strokecolor="#87898c">
              <v:path arrowok="t"/>
              <v:stroke dashstyle="solid"/>
            </v:shape>
            <v:shape style="position:absolute;left:6260;top:3453;width:2;height:165" id="docshape155" coordorigin="6260,3453" coordsize="0,165" path="m6260,3453l6260,3618m6260,3453l6260,3618m6260,3453l6260,3618e" filled="false" stroked="true" strokeweight=".393pt" strokecolor="#87898c">
              <v:path arrowok="t"/>
              <v:stroke dashstyle="solid"/>
            </v:shape>
            <v:shape style="position:absolute;left:7557;top:3453;width:2;height:165" id="docshape156" coordorigin="7558,3453" coordsize="0,165" path="m7558,3453l7558,3618m7558,3453l7558,3618m7558,3453l7558,3618e" filled="false" stroked="true" strokeweight=".393pt" strokecolor="#87898c">
              <v:path arrowok="t"/>
              <v:stroke dashstyle="solid"/>
            </v:shape>
            <v:shape style="position:absolute;left:8854;top:3453;width:2;height:165" id="docshape157" coordorigin="8855,3453" coordsize="0,165" path="m8855,3453l8855,3618m8855,3453l8855,3618m8855,3453l8855,3618e" filled="false" stroked="true" strokeweight=".393pt" strokecolor="#87898c">
              <v:path arrowok="t"/>
              <v:stroke dashstyle="solid"/>
            </v:shape>
            <v:rect style="position:absolute;left:3027;top:3503;width:54;height:56" id="docshape158" filled="true" fillcolor="#db843a" stroked="false">
              <v:fill type="solid"/>
            </v:rect>
            <v:shape style="position:absolute;left:2991;top:3617;width:5864;height:166" id="docshape159" coordorigin="2992,3618" coordsize="5864,166" path="m2992,3618l8855,3618m2992,3618l2992,3783e" filled="false" stroked="true" strokeweight=".393pt" strokecolor="#87898c">
              <v:path arrowok="t"/>
              <v:stroke dashstyle="solid"/>
            </v:shape>
            <v:shape style="position:absolute;left:4971;top:3617;width:2;height:166" id="docshape160" coordorigin="4972,3618" coordsize="0,166" path="m4972,3618l4972,3783m4972,3618l4972,3783m4972,3618l4972,3783e" filled="false" stroked="true" strokeweight=".393pt" strokecolor="#87898c">
              <v:path arrowok="t"/>
              <v:stroke dashstyle="solid"/>
            </v:shape>
            <v:shape style="position:absolute;left:6260;top:3617;width:2;height:166" id="docshape161" coordorigin="6260,3618" coordsize="0,166" path="m6260,3618l6260,3783m6260,3618l6260,3783m6260,3618l6260,3783e" filled="false" stroked="true" strokeweight=".393pt" strokecolor="#87898c">
              <v:path arrowok="t"/>
              <v:stroke dashstyle="solid"/>
            </v:shape>
            <v:shape style="position:absolute;left:7557;top:3617;width:2;height:166" id="docshape162" coordorigin="7558,3618" coordsize="0,166" path="m7558,3618l7558,3783m7558,3618l7558,3783m7558,3618l7558,3783e" filled="false" stroked="true" strokeweight=".393pt" strokecolor="#87898c">
              <v:path arrowok="t"/>
              <v:stroke dashstyle="solid"/>
            </v:shape>
            <v:shape style="position:absolute;left:8854;top:3617;width:2;height:166" id="docshape163" coordorigin="8855,3618" coordsize="0,166" path="m8855,3618l8855,3783m8855,3618l8855,3783m8855,3618l8855,3783e" filled="false" stroked="true" strokeweight=".393pt" strokecolor="#87898c">
              <v:path arrowok="t"/>
              <v:stroke dashstyle="solid"/>
            </v:shape>
            <v:rect style="position:absolute;left:3027;top:3669;width:54;height:56" id="docshape164" filled="true" fillcolor="#4198af" stroked="false">
              <v:fill type="solid"/>
            </v:rect>
            <v:shape style="position:absolute;left:2991;top:3783;width:5864;height:165" id="docshape165" coordorigin="2992,3783" coordsize="5864,165" path="m2992,3783l8855,3783m2992,3783l2992,3948e" filled="false" stroked="true" strokeweight=".393pt" strokecolor="#87898c">
              <v:path arrowok="t"/>
              <v:stroke dashstyle="solid"/>
            </v:shape>
            <v:shape style="position:absolute;left:4971;top:3783;width:2;height:165" id="docshape166" coordorigin="4972,3783" coordsize="0,165" path="m4972,3783l4972,3948m4972,3783l4972,3948m4972,3783l4972,3948e" filled="false" stroked="true" strokeweight=".393pt" strokecolor="#87898c">
              <v:path arrowok="t"/>
              <v:stroke dashstyle="solid"/>
            </v:shape>
            <v:shape style="position:absolute;left:6260;top:3783;width:2;height:165" id="docshape167" coordorigin="6260,3783" coordsize="0,165" path="m6260,3783l6260,3948m6260,3783l6260,3948m6260,3783l6260,3948e" filled="false" stroked="true" strokeweight=".393pt" strokecolor="#87898c">
              <v:path arrowok="t"/>
              <v:stroke dashstyle="solid"/>
            </v:shape>
            <v:shape style="position:absolute;left:7557;top:3783;width:2;height:165" id="docshape168" coordorigin="7558,3783" coordsize="0,165" path="m7558,3783l7558,3948m7558,3783l7558,3948m7558,3783l7558,3948e" filled="false" stroked="true" strokeweight=".393pt" strokecolor="#87898c">
              <v:path arrowok="t"/>
              <v:stroke dashstyle="solid"/>
            </v:shape>
            <v:shape style="position:absolute;left:8854;top:3783;width:2;height:165" id="docshape169" coordorigin="8855,3783" coordsize="0,165" path="m8855,3783l8855,3948m8855,3783l8855,3948m8855,3783l8855,3948e" filled="false" stroked="true" strokeweight=".393pt" strokecolor="#87898c">
              <v:path arrowok="t"/>
              <v:stroke dashstyle="solid"/>
            </v:shape>
            <v:rect style="position:absolute;left:3027;top:3833;width:54;height:56" id="docshape170" filled="true" fillcolor="#715990" stroked="false">
              <v:fill type="solid"/>
            </v:rect>
            <v:shape style="position:absolute;left:2991;top:3947;width:5864;height:158" id="docshape171" coordorigin="2992,3948" coordsize="5864,158" path="m2992,3948l8855,3948m2992,3948l2992,4105e" filled="false" stroked="true" strokeweight=".393pt" strokecolor="#87898c">
              <v:path arrowok="t"/>
              <v:stroke dashstyle="solid"/>
            </v:shape>
            <v:shape style="position:absolute;left:4971;top:3947;width:2;height:158" id="docshape172" coordorigin="4972,3948" coordsize="0,158" path="m4972,3948l4972,4105m4972,3948l4972,4105m4972,3948l4972,4105e" filled="false" stroked="true" strokeweight=".393pt" strokecolor="#87898c">
              <v:path arrowok="t"/>
              <v:stroke dashstyle="solid"/>
            </v:shape>
            <v:shape style="position:absolute;left:6260;top:3947;width:2;height:158" id="docshape173" coordorigin="6260,3948" coordsize="0,158" path="m6260,3948l6260,4105m6260,3948l6260,4105m6260,3948l6260,4105e" filled="false" stroked="true" strokeweight=".393pt" strokecolor="#87898c">
              <v:path arrowok="t"/>
              <v:stroke dashstyle="solid"/>
            </v:shape>
            <v:shape style="position:absolute;left:7557;top:3947;width:2;height:158" id="docshape174" coordorigin="7558,3948" coordsize="0,158" path="m7558,3948l7558,4105m7558,3948l7558,4105m7558,3948l7558,4105e" filled="false" stroked="true" strokeweight=".393pt" strokecolor="#87898c">
              <v:path arrowok="t"/>
              <v:stroke dashstyle="solid"/>
            </v:shape>
            <v:shape style="position:absolute;left:8854;top:3947;width:2;height:158" id="docshape175" coordorigin="8855,3948" coordsize="0,158" path="m8855,3948l8855,4105m8855,3948l8855,4105m8855,3948l8855,4105e" filled="false" stroked="true" strokeweight=".393pt" strokecolor="#87898c">
              <v:path arrowok="t"/>
              <v:stroke dashstyle="solid"/>
            </v:shape>
            <v:rect style="position:absolute;left:3027;top:3990;width:54;height:64" id="docshape176" filled="true" fillcolor="#89a44c" stroked="false">
              <v:fill type="solid"/>
            </v:rect>
            <v:shape style="position:absolute;left:2991;top:4104;width:5864;height:166" id="docshape177" coordorigin="2992,4105" coordsize="5864,166" path="m2992,4105l8855,4105m2992,4105l2992,4270e" filled="false" stroked="true" strokeweight=".393pt" strokecolor="#87898c">
              <v:path arrowok="t"/>
              <v:stroke dashstyle="solid"/>
            </v:shape>
            <v:shape style="position:absolute;left:4971;top:4104;width:2;height:166" id="docshape178" coordorigin="4972,4105" coordsize="0,166" path="m4972,4105l4972,4270m4972,4105l4972,4270m4972,4105l4972,4270e" filled="false" stroked="true" strokeweight=".393pt" strokecolor="#87898c">
              <v:path arrowok="t"/>
              <v:stroke dashstyle="solid"/>
            </v:shape>
            <v:shape style="position:absolute;left:6260;top:4104;width:2;height:166" id="docshape179" coordorigin="6260,4105" coordsize="0,166" path="m6260,4105l6260,4270m6260,4105l6260,4270m6260,4105l6260,4270e" filled="false" stroked="true" strokeweight=".393pt" strokecolor="#87898c">
              <v:path arrowok="t"/>
              <v:stroke dashstyle="solid"/>
            </v:shape>
            <v:shape style="position:absolute;left:7557;top:4104;width:2;height:166" id="docshape180" coordorigin="7558,4105" coordsize="0,166" path="m7558,4105l7558,4270m7558,4105l7558,4270m7558,4105l7558,4270e" filled="false" stroked="true" strokeweight=".393pt" strokecolor="#87898c">
              <v:path arrowok="t"/>
              <v:stroke dashstyle="solid"/>
            </v:shape>
            <v:shape style="position:absolute;left:8854;top:4104;width:2;height:166" id="docshape181" coordorigin="8855,4105" coordsize="0,166" path="m8855,4105l8855,4270m8855,4105l8855,4270m8855,4105l8855,4270e" filled="false" stroked="true" strokeweight=".393pt" strokecolor="#87898c">
              <v:path arrowok="t"/>
              <v:stroke dashstyle="solid"/>
            </v:shape>
            <v:rect style="position:absolute;left:3027;top:4156;width:54;height:63" id="docshape182" filled="true" fillcolor="#ab4643" stroked="false">
              <v:fill type="solid"/>
            </v:rect>
            <v:shape style="position:absolute;left:2991;top:4270;width:5864;height:165" id="docshape183" coordorigin="2992,4270" coordsize="5864,165" path="m2992,4270l8855,4270m2992,4270l2992,4435,8855,4435e" filled="false" stroked="true" strokeweight=".393pt" strokecolor="#87898c">
              <v:path arrowok="t"/>
              <v:stroke dashstyle="solid"/>
            </v:shape>
            <v:shape style="position:absolute;left:4971;top:4270;width:2;height:165" id="docshape184" coordorigin="4972,4270" coordsize="0,165" path="m4972,4270l4972,4435m4972,4270l4972,4435m4972,4270l4972,4435e" filled="false" stroked="true" strokeweight=".393pt" strokecolor="#87898c">
              <v:path arrowok="t"/>
              <v:stroke dashstyle="solid"/>
            </v:shape>
            <v:shape style="position:absolute;left:6260;top:4270;width:2;height:165" id="docshape185" coordorigin="6260,4270" coordsize="0,165" path="m6260,4270l6260,4435m6260,4270l6260,4435m6260,4270l6260,4435e" filled="false" stroked="true" strokeweight=".393pt" strokecolor="#87898c">
              <v:path arrowok="t"/>
              <v:stroke dashstyle="solid"/>
            </v:shape>
            <v:shape style="position:absolute;left:7557;top:4270;width:2;height:165" id="docshape186" coordorigin="7558,4270" coordsize="0,165" path="m7558,4270l7558,4435m7558,4270l7558,4435m7558,4270l7558,4435e" filled="false" stroked="true" strokeweight=".393pt" strokecolor="#87898c">
              <v:path arrowok="t"/>
              <v:stroke dashstyle="solid"/>
            </v:shape>
            <v:shape style="position:absolute;left:8854;top:4270;width:2;height:165" id="docshape187" coordorigin="8855,4270" coordsize="0,165" path="m8855,4270l8855,4435m8855,4270l8855,4435m8855,4270l8855,4435e" filled="false" stroked="true" strokeweight=".393pt" strokecolor="#87898c">
              <v:path arrowok="t"/>
              <v:stroke dashstyle="solid"/>
            </v:shape>
            <v:rect style="position:absolute;left:3027;top:4320;width:54;height:56" id="docshape188" filled="true" fillcolor="#4573a7" stroked="false">
              <v:fill type="solid"/>
            </v:rect>
            <v:rect style="position:absolute;left:2701;top:302;width:6837;height:4204" id="docshape189" filled="false" stroked="true" strokeweight=".393pt" strokecolor="#87898c">
              <v:stroke dashstyle="solid"/>
            </v:rect>
            <v:shape style="position:absolute;left:5343;top:422;width:1574;height:189" type="#_x0000_t202" id="docshape190" filled="false" stroked="false">
              <v:textbox inset="0,0,0,0">
                <w:txbxContent>
                  <w:p>
                    <w:pPr>
                      <w:spacing w:line="189" w:lineRule="exact" w:before="0"/>
                      <w:ind w:left="0" w:right="0" w:firstLine="0"/>
                      <w:jc w:val="left"/>
                      <w:rPr>
                        <w:rFonts w:ascii="Calibri"/>
                        <w:b/>
                        <w:sz w:val="19"/>
                      </w:rPr>
                    </w:pPr>
                    <w:r>
                      <w:rPr>
                        <w:rFonts w:ascii="Calibri"/>
                        <w:b/>
                        <w:color w:val="231F20"/>
                        <w:spacing w:val="-2"/>
                        <w:sz w:val="19"/>
                      </w:rPr>
                      <w:t>Operating</w:t>
                    </w:r>
                    <w:r>
                      <w:rPr>
                        <w:rFonts w:ascii="Calibri"/>
                        <w:b/>
                        <w:color w:val="231F20"/>
                        <w:spacing w:val="1"/>
                        <w:sz w:val="19"/>
                      </w:rPr>
                      <w:t> </w:t>
                    </w:r>
                    <w:r>
                      <w:rPr>
                        <w:rFonts w:ascii="Calibri"/>
                        <w:b/>
                        <w:color w:val="231F20"/>
                        <w:spacing w:val="-2"/>
                        <w:sz w:val="19"/>
                      </w:rPr>
                      <w:t>Expenses</w:t>
                    </w:r>
                  </w:p>
                </w:txbxContent>
              </v:textbox>
              <w10:wrap type="none"/>
            </v:shape>
            <v:shape style="position:absolute;left:4504;top:1070;width:368;height:103" type="#_x0000_t202" id="docshape191"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200,000</w:t>
                    </w:r>
                  </w:p>
                </w:txbxContent>
              </v:textbox>
              <w10:wrap type="none"/>
            </v:shape>
            <v:shape style="position:absolute;left:5624;top:1346;width:231;height:103" type="#_x0000_t202" id="docshape192" filled="false" stroked="false">
              <v:textbox inset="0,0,0,0">
                <w:txbxContent>
                  <w:p>
                    <w:pPr>
                      <w:spacing w:line="102" w:lineRule="exact" w:before="0"/>
                      <w:ind w:left="0" w:right="0" w:firstLine="0"/>
                      <w:jc w:val="left"/>
                      <w:rPr>
                        <w:rFonts w:ascii="Calibri"/>
                        <w:sz w:val="10"/>
                      </w:rPr>
                    </w:pPr>
                    <w:r>
                      <w:rPr>
                        <w:rFonts w:ascii="Calibri"/>
                        <w:color w:val="231F20"/>
                        <w:spacing w:val="-4"/>
                        <w:sz w:val="10"/>
                      </w:rPr>
                      <w:t>8.8%</w:t>
                    </w:r>
                  </w:p>
                </w:txbxContent>
              </v:textbox>
              <w10:wrap type="none"/>
            </v:shape>
            <v:shape style="position:absolute;left:6888;top:1329;width:282;height:103" type="#_x0000_t202" id="docshape193"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36.2%</w:t>
                    </w:r>
                  </w:p>
                </w:txbxContent>
              </v:textbox>
              <w10:wrap type="none"/>
            </v:shape>
            <v:shape style="position:absolute;left:5624;top:1426;width:231;height:103" type="#_x0000_t202" id="docshape194" filled="false" stroked="false">
              <v:textbox inset="0,0,0,0">
                <w:txbxContent>
                  <w:p>
                    <w:pPr>
                      <w:spacing w:line="102" w:lineRule="exact" w:before="0"/>
                      <w:ind w:left="0" w:right="0" w:firstLine="0"/>
                      <w:jc w:val="left"/>
                      <w:rPr>
                        <w:rFonts w:ascii="Calibri"/>
                        <w:sz w:val="10"/>
                      </w:rPr>
                    </w:pPr>
                    <w:r>
                      <w:rPr>
                        <w:rFonts w:ascii="Calibri"/>
                        <w:color w:val="231F20"/>
                        <w:spacing w:val="-4"/>
                        <w:sz w:val="10"/>
                      </w:rPr>
                      <w:t>2.3%</w:t>
                    </w:r>
                  </w:p>
                </w:txbxContent>
              </v:textbox>
              <w10:wrap type="none"/>
            </v:shape>
            <v:shape style="position:absolute;left:4504;top:1508;width:368;height:103" type="#_x0000_t202" id="docshape195"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150,000</w:t>
                    </w:r>
                  </w:p>
                </w:txbxContent>
              </v:textbox>
              <w10:wrap type="none"/>
            </v:shape>
            <v:shape style="position:absolute;left:5593;top:1488;width:285;height:248" type="#_x0000_t202" id="docshape196" filled="false" stroked="false">
              <v:textbox inset="0,0,0,0">
                <w:txbxContent>
                  <w:p>
                    <w:pPr>
                      <w:spacing w:line="103" w:lineRule="exact" w:before="0"/>
                      <w:ind w:left="31" w:right="0" w:firstLine="0"/>
                      <w:jc w:val="left"/>
                      <w:rPr>
                        <w:rFonts w:ascii="Calibri"/>
                        <w:sz w:val="10"/>
                      </w:rPr>
                    </w:pPr>
                    <w:r>
                      <w:rPr>
                        <w:rFonts w:ascii="Calibri"/>
                        <w:color w:val="231F20"/>
                        <w:spacing w:val="-4"/>
                        <w:sz w:val="10"/>
                      </w:rPr>
                      <w:t>6.3%</w:t>
                    </w:r>
                  </w:p>
                  <w:p>
                    <w:pPr>
                      <w:spacing w:line="121" w:lineRule="exact" w:before="23"/>
                      <w:ind w:left="0" w:right="0" w:firstLine="0"/>
                      <w:jc w:val="left"/>
                      <w:rPr>
                        <w:rFonts w:ascii="Calibri"/>
                        <w:sz w:val="10"/>
                      </w:rPr>
                    </w:pPr>
                    <w:r>
                      <w:rPr>
                        <w:rFonts w:ascii="Calibri"/>
                        <w:color w:val="231F20"/>
                        <w:spacing w:val="-2"/>
                        <w:sz w:val="10"/>
                      </w:rPr>
                      <w:t>13.6%</w:t>
                    </w:r>
                  </w:p>
                </w:txbxContent>
              </v:textbox>
              <w10:wrap type="none"/>
            </v:shape>
            <v:shape style="position:absolute;left:6887;top:1708;width:282;height:249" type="#_x0000_t202" id="docshape197" filled="false" stroked="false">
              <v:textbox inset="0,0,0,0">
                <w:txbxContent>
                  <w:p>
                    <w:pPr>
                      <w:spacing w:line="103" w:lineRule="exact" w:before="0"/>
                      <w:ind w:left="31" w:right="0" w:firstLine="0"/>
                      <w:jc w:val="left"/>
                      <w:rPr>
                        <w:rFonts w:ascii="Calibri"/>
                        <w:sz w:val="10"/>
                      </w:rPr>
                    </w:pPr>
                    <w:r>
                      <w:rPr>
                        <w:rFonts w:ascii="Calibri"/>
                        <w:color w:val="231F20"/>
                        <w:spacing w:val="-4"/>
                        <w:sz w:val="10"/>
                      </w:rPr>
                      <w:t>4.1%</w:t>
                    </w:r>
                  </w:p>
                  <w:p>
                    <w:pPr>
                      <w:spacing w:line="121" w:lineRule="exact" w:before="24"/>
                      <w:ind w:left="0" w:right="0" w:firstLine="0"/>
                      <w:jc w:val="left"/>
                      <w:rPr>
                        <w:rFonts w:ascii="Calibri"/>
                        <w:sz w:val="10"/>
                      </w:rPr>
                    </w:pPr>
                    <w:r>
                      <w:rPr>
                        <w:rFonts w:ascii="Calibri"/>
                        <w:color w:val="231F20"/>
                        <w:spacing w:val="-2"/>
                        <w:sz w:val="10"/>
                      </w:rPr>
                      <w:t>12.9%</w:t>
                    </w:r>
                  </w:p>
                </w:txbxContent>
              </v:textbox>
              <w10:wrap type="none"/>
            </v:shape>
            <v:shape style="position:absolute;left:6919;top:1657;width:231;height:103" type="#_x0000_t202" id="docshape198" filled="false" stroked="false">
              <v:textbox inset="0,0,0,0">
                <w:txbxContent>
                  <w:p>
                    <w:pPr>
                      <w:spacing w:line="102" w:lineRule="exact" w:before="0"/>
                      <w:ind w:left="0" w:right="0" w:firstLine="0"/>
                      <w:jc w:val="left"/>
                      <w:rPr>
                        <w:rFonts w:ascii="Calibri"/>
                        <w:sz w:val="10"/>
                      </w:rPr>
                    </w:pPr>
                    <w:r>
                      <w:rPr>
                        <w:rFonts w:ascii="Calibri"/>
                        <w:color w:val="231F20"/>
                        <w:spacing w:val="-4"/>
                        <w:sz w:val="10"/>
                      </w:rPr>
                      <w:t>1.9%</w:t>
                    </w:r>
                  </w:p>
                </w:txbxContent>
              </v:textbox>
              <w10:wrap type="none"/>
            </v:shape>
            <v:shape style="position:absolute;left:8182;top:1642;width:282;height:267" type="#_x0000_t202" id="docshape199" filled="false" stroked="false">
              <v:textbox inset="0,0,0,0">
                <w:txbxContent>
                  <w:p>
                    <w:pPr>
                      <w:spacing w:line="103" w:lineRule="exact" w:before="0"/>
                      <w:ind w:left="31" w:right="0" w:firstLine="0"/>
                      <w:jc w:val="left"/>
                      <w:rPr>
                        <w:rFonts w:ascii="Calibri"/>
                        <w:sz w:val="10"/>
                      </w:rPr>
                    </w:pPr>
                    <w:r>
                      <w:rPr>
                        <w:rFonts w:ascii="Calibri"/>
                        <w:color w:val="231F20"/>
                        <w:spacing w:val="-4"/>
                        <w:sz w:val="10"/>
                      </w:rPr>
                      <w:t>8.1%</w:t>
                    </w:r>
                  </w:p>
                  <w:p>
                    <w:pPr>
                      <w:spacing w:line="121" w:lineRule="exact" w:before="42"/>
                      <w:ind w:left="0" w:right="0" w:firstLine="0"/>
                      <w:jc w:val="left"/>
                      <w:rPr>
                        <w:rFonts w:ascii="Calibri"/>
                        <w:sz w:val="10"/>
                      </w:rPr>
                    </w:pPr>
                    <w:r>
                      <w:rPr>
                        <w:rFonts w:ascii="Calibri"/>
                        <w:color w:val="231F20"/>
                        <w:spacing w:val="-2"/>
                        <w:sz w:val="10"/>
                      </w:rPr>
                      <w:t>26.8%</w:t>
                    </w:r>
                  </w:p>
                </w:txbxContent>
              </v:textbox>
              <w10:wrap type="none"/>
            </v:shape>
            <v:shape style="position:absolute;left:8214;top:1586;width:231;height:103" type="#_x0000_t202" id="docshape200" filled="false" stroked="false">
              <v:textbox inset="0,0,0,0">
                <w:txbxContent>
                  <w:p>
                    <w:pPr>
                      <w:spacing w:line="102" w:lineRule="exact" w:before="0"/>
                      <w:ind w:left="0" w:right="0" w:firstLine="0"/>
                      <w:jc w:val="left"/>
                      <w:rPr>
                        <w:rFonts w:ascii="Calibri"/>
                        <w:sz w:val="10"/>
                      </w:rPr>
                    </w:pPr>
                    <w:r>
                      <w:rPr>
                        <w:rFonts w:ascii="Calibri"/>
                        <w:color w:val="231F20"/>
                        <w:spacing w:val="-4"/>
                        <w:sz w:val="10"/>
                      </w:rPr>
                      <w:t>3.7%</w:t>
                    </w:r>
                  </w:p>
                </w:txbxContent>
              </v:textbox>
              <w10:wrap type="none"/>
            </v:shape>
            <v:shape style="position:absolute;left:4504;top:1946;width:368;height:103" type="#_x0000_t202" id="docshape201"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100,000</w:t>
                    </w:r>
                  </w:p>
                </w:txbxContent>
              </v:textbox>
              <w10:wrap type="none"/>
            </v:shape>
            <v:shape style="position:absolute;left:5593;top:1901;width:285;height:103" type="#_x0000_t202" id="docshape202"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23.1%</w:t>
                    </w:r>
                  </w:p>
                </w:txbxContent>
              </v:textbox>
              <w10:wrap type="none"/>
            </v:shape>
            <v:shape style="position:absolute;left:6887;top:2122;width:282;height:103" type="#_x0000_t202" id="docshape203"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18.3%</w:t>
                    </w:r>
                  </w:p>
                </w:txbxContent>
              </v:textbox>
              <w10:wrap type="none"/>
            </v:shape>
            <v:shape style="position:absolute;left:8182;top:2091;width:282;height:103" type="#_x0000_t202" id="docshape204"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33.6%</w:t>
                    </w:r>
                  </w:p>
                </w:txbxContent>
              </v:textbox>
              <w10:wrap type="none"/>
            </v:shape>
            <v:shape style="position:absolute;left:4558;top:2382;width:308;height:103" type="#_x0000_t202" id="docshape205"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50,000</w:t>
                    </w:r>
                  </w:p>
                </w:txbxContent>
              </v:textbox>
              <w10:wrap type="none"/>
            </v:shape>
            <v:shape style="position:absolute;left:5593;top:2404;width:285;height:103" type="#_x0000_t202" id="docshape206"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45.9%</w:t>
                    </w:r>
                  </w:p>
                </w:txbxContent>
              </v:textbox>
              <w10:wrap type="none"/>
            </v:shape>
            <v:shape style="position:absolute;left:6888;top:2509;width:282;height:103" type="#_x0000_t202" id="docshape207"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26.7%</w:t>
                    </w:r>
                  </w:p>
                </w:txbxContent>
              </v:textbox>
              <w10:wrap type="none"/>
            </v:shape>
            <v:shape style="position:absolute;left:8182;top:2494;width:282;height:103" type="#_x0000_t202" id="docshape208"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51.9%</w:t>
                    </w:r>
                  </w:p>
                </w:txbxContent>
              </v:textbox>
              <w10:wrap type="none"/>
            </v:shape>
            <v:shape style="position:absolute;left:4771;top:2820;width:52;height:103" type="#_x0000_t202" id="docshape209" filled="false" stroked="false">
              <v:textbox inset="0,0,0,0">
                <w:txbxContent>
                  <w:p>
                    <w:pPr>
                      <w:spacing w:line="102" w:lineRule="exact" w:before="0"/>
                      <w:ind w:left="0" w:right="0" w:firstLine="0"/>
                      <w:jc w:val="left"/>
                      <w:rPr>
                        <w:rFonts w:ascii="Calibri"/>
                        <w:sz w:val="10"/>
                      </w:rPr>
                    </w:pPr>
                    <w:r>
                      <w:rPr>
                        <w:rFonts w:ascii="Calibri"/>
                        <w:color w:val="231F20"/>
                        <w:w w:val="102"/>
                        <w:sz w:val="10"/>
                      </w:rPr>
                      <w:t>-</w:t>
                    </w:r>
                  </w:p>
                </w:txbxContent>
              </v:textbox>
              <w10:wrap type="none"/>
            </v:shape>
            <v:shape style="position:absolute;left:8167;top:2853;width:318;height:103" type="#_x0000_t202" id="docshape210" filled="false" stroked="false">
              <v:textbox inset="0,0,0,0">
                <w:txbxContent>
                  <w:p>
                    <w:pPr>
                      <w:spacing w:line="102" w:lineRule="exact" w:before="0"/>
                      <w:ind w:left="0" w:right="0" w:firstLine="0"/>
                      <w:jc w:val="left"/>
                      <w:rPr>
                        <w:rFonts w:ascii="Calibri"/>
                        <w:sz w:val="10"/>
                      </w:rPr>
                    </w:pPr>
                    <w:r>
                      <w:rPr>
                        <w:rFonts w:ascii="Calibri"/>
                        <w:color w:val="231F20"/>
                        <w:spacing w:val="-2"/>
                        <w:sz w:val="10"/>
                      </w:rPr>
                      <w:t>-24.1%</w:t>
                    </w:r>
                  </w:p>
                </w:txbxContent>
              </v:textbox>
              <w10:wrap type="none"/>
            </v:shape>
            <v:shape style="position:absolute;left:3111;top:3257;width:1852;height:1154" type="#_x0000_t202" id="docshape211" filled="false" stroked="false">
              <v:textbox inset="0,0,0,0">
                <w:txbxContent>
                  <w:p>
                    <w:pPr>
                      <w:spacing w:line="103" w:lineRule="exact" w:before="0"/>
                      <w:ind w:left="0" w:right="85" w:firstLine="0"/>
                      <w:jc w:val="right"/>
                      <w:rPr>
                        <w:rFonts w:ascii="Calibri"/>
                        <w:sz w:val="10"/>
                      </w:rPr>
                    </w:pPr>
                    <w:r>
                      <w:rPr>
                        <w:rFonts w:ascii="Calibri"/>
                        <w:color w:val="231F20"/>
                        <w:spacing w:val="-2"/>
                        <w:sz w:val="10"/>
                      </w:rPr>
                      <w:t>(50,000)</w:t>
                    </w:r>
                  </w:p>
                  <w:p>
                    <w:pPr>
                      <w:spacing w:line="240" w:lineRule="auto" w:before="3"/>
                      <w:rPr>
                        <w:rFonts w:ascii="Calibri"/>
                        <w:sz w:val="9"/>
                      </w:rPr>
                    </w:pPr>
                  </w:p>
                  <w:p>
                    <w:pPr>
                      <w:spacing w:line="321" w:lineRule="auto" w:before="0"/>
                      <w:ind w:left="0" w:right="0" w:firstLine="0"/>
                      <w:jc w:val="left"/>
                      <w:rPr>
                        <w:rFonts w:ascii="Calibri"/>
                        <w:sz w:val="10"/>
                      </w:rPr>
                    </w:pPr>
                    <w:r>
                      <w:rPr>
                        <w:rFonts w:ascii="Calibri"/>
                        <w:color w:val="231F20"/>
                        <w:sz w:val="10"/>
                      </w:rPr>
                      <w:t>Pension, OPEB expense, and other benefits</w:t>
                    </w:r>
                    <w:r>
                      <w:rPr>
                        <w:rFonts w:ascii="Calibri"/>
                        <w:color w:val="231F20"/>
                        <w:spacing w:val="40"/>
                        <w:sz w:val="10"/>
                      </w:rPr>
                      <w:t> </w:t>
                    </w:r>
                    <w:r>
                      <w:rPr>
                        <w:rFonts w:ascii="Calibri"/>
                        <w:color w:val="231F20"/>
                        <w:sz w:val="10"/>
                      </w:rPr>
                      <w:t>Auxiliary</w:t>
                    </w:r>
                    <w:r>
                      <w:rPr>
                        <w:rFonts w:ascii="Calibri"/>
                        <w:color w:val="231F20"/>
                        <w:spacing w:val="-6"/>
                        <w:sz w:val="10"/>
                      </w:rPr>
                      <w:t> </w:t>
                    </w:r>
                    <w:r>
                      <w:rPr>
                        <w:rFonts w:ascii="Calibri"/>
                        <w:color w:val="231F20"/>
                        <w:sz w:val="10"/>
                      </w:rPr>
                      <w:t>services</w:t>
                    </w:r>
                  </w:p>
                  <w:p>
                    <w:pPr>
                      <w:spacing w:line="321" w:lineRule="auto" w:before="0"/>
                      <w:ind w:left="0" w:right="1183" w:firstLine="0"/>
                      <w:jc w:val="left"/>
                      <w:rPr>
                        <w:rFonts w:ascii="Calibri"/>
                        <w:sz w:val="10"/>
                      </w:rPr>
                    </w:pPr>
                    <w:r>
                      <w:rPr>
                        <w:rFonts w:ascii="Calibri"/>
                        <w:color w:val="231F20"/>
                        <w:sz w:val="10"/>
                      </w:rPr>
                      <w:t>Student</w:t>
                    </w:r>
                    <w:r>
                      <w:rPr>
                        <w:rFonts w:ascii="Calibri"/>
                        <w:color w:val="231F20"/>
                        <w:spacing w:val="-5"/>
                        <w:sz w:val="10"/>
                      </w:rPr>
                      <w:t> </w:t>
                    </w:r>
                    <w:r>
                      <w:rPr>
                        <w:rFonts w:ascii="Calibri"/>
                        <w:color w:val="231F20"/>
                        <w:sz w:val="10"/>
                      </w:rPr>
                      <w:t>aid</w:t>
                    </w:r>
                    <w:r>
                      <w:rPr>
                        <w:rFonts w:ascii="Calibri"/>
                        <w:color w:val="231F20"/>
                        <w:spacing w:val="40"/>
                        <w:sz w:val="10"/>
                      </w:rPr>
                      <w:t> </w:t>
                    </w:r>
                    <w:r>
                      <w:rPr>
                        <w:rFonts w:ascii="Calibri"/>
                        <w:color w:val="231F20"/>
                        <w:spacing w:val="-2"/>
                        <w:sz w:val="10"/>
                      </w:rPr>
                      <w:t>Other</w:t>
                    </w:r>
                  </w:p>
                  <w:p>
                    <w:pPr>
                      <w:spacing w:line="121" w:lineRule="exact" w:before="0"/>
                      <w:ind w:left="0" w:right="0" w:firstLine="0"/>
                      <w:jc w:val="left"/>
                      <w:rPr>
                        <w:rFonts w:ascii="Calibri"/>
                        <w:sz w:val="10"/>
                      </w:rPr>
                    </w:pPr>
                    <w:r>
                      <w:rPr>
                        <w:rFonts w:ascii="Calibri"/>
                        <w:color w:val="231F20"/>
                        <w:sz w:val="10"/>
                      </w:rPr>
                      <w:t>Instruction</w:t>
                    </w:r>
                    <w:r>
                      <w:rPr>
                        <w:rFonts w:ascii="Calibri"/>
                        <w:color w:val="231F20"/>
                        <w:spacing w:val="11"/>
                        <w:sz w:val="10"/>
                      </w:rPr>
                      <w:t> </w:t>
                    </w:r>
                    <w:r>
                      <w:rPr>
                        <w:rFonts w:ascii="Calibri"/>
                        <w:color w:val="231F20"/>
                        <w:sz w:val="10"/>
                      </w:rPr>
                      <w:t>and</w:t>
                    </w:r>
                    <w:r>
                      <w:rPr>
                        <w:rFonts w:ascii="Calibri"/>
                        <w:color w:val="231F20"/>
                        <w:spacing w:val="9"/>
                        <w:sz w:val="10"/>
                      </w:rPr>
                      <w:t> </w:t>
                    </w:r>
                    <w:r>
                      <w:rPr>
                        <w:rFonts w:ascii="Calibri"/>
                        <w:color w:val="231F20"/>
                        <w:spacing w:val="-2"/>
                        <w:sz w:val="10"/>
                      </w:rPr>
                      <w:t>general</w:t>
                    </w:r>
                  </w:p>
                  <w:p>
                    <w:pPr>
                      <w:spacing w:line="121" w:lineRule="exact" w:before="40"/>
                      <w:ind w:left="0" w:right="0" w:firstLine="0"/>
                      <w:jc w:val="left"/>
                      <w:rPr>
                        <w:rFonts w:ascii="Calibri"/>
                        <w:sz w:val="10"/>
                      </w:rPr>
                    </w:pPr>
                    <w:r>
                      <w:rPr>
                        <w:rFonts w:ascii="Calibri"/>
                        <w:color w:val="231F20"/>
                        <w:sz w:val="10"/>
                      </w:rPr>
                      <w:t>Research</w:t>
                    </w:r>
                    <w:r>
                      <w:rPr>
                        <w:rFonts w:ascii="Calibri"/>
                        <w:color w:val="231F20"/>
                        <w:spacing w:val="12"/>
                        <w:sz w:val="10"/>
                      </w:rPr>
                      <w:t> </w:t>
                    </w:r>
                    <w:r>
                      <w:rPr>
                        <w:rFonts w:ascii="Calibri"/>
                        <w:color w:val="231F20"/>
                        <w:sz w:val="10"/>
                      </w:rPr>
                      <w:t>and</w:t>
                    </w:r>
                    <w:r>
                      <w:rPr>
                        <w:rFonts w:ascii="Calibri"/>
                        <w:color w:val="231F20"/>
                        <w:spacing w:val="13"/>
                        <w:sz w:val="10"/>
                      </w:rPr>
                      <w:t> </w:t>
                    </w:r>
                    <w:r>
                      <w:rPr>
                        <w:rFonts w:ascii="Calibri"/>
                        <w:color w:val="231F20"/>
                        <w:sz w:val="10"/>
                      </w:rPr>
                      <w:t>sponsored</w:t>
                    </w:r>
                    <w:r>
                      <w:rPr>
                        <w:rFonts w:ascii="Calibri"/>
                        <w:color w:val="231F20"/>
                        <w:spacing w:val="14"/>
                        <w:sz w:val="10"/>
                      </w:rPr>
                      <w:t> </w:t>
                    </w:r>
                    <w:r>
                      <w:rPr>
                        <w:rFonts w:ascii="Calibri"/>
                        <w:color w:val="231F20"/>
                        <w:spacing w:val="-2"/>
                        <w:sz w:val="10"/>
                      </w:rPr>
                      <w:t>activities</w:t>
                    </w:r>
                  </w:p>
                </w:txbxContent>
              </v:textbox>
              <w10:wrap type="none"/>
            </v:shape>
            <v:shape style="position:absolute;left:5463;top:3356;width:335;height:1059" type="#_x0000_t202" id="docshape212" filled="false" stroked="false">
              <v:textbox inset="0,0,0,0">
                <w:txbxContent>
                  <w:p>
                    <w:pPr>
                      <w:spacing w:line="103" w:lineRule="exact" w:before="0"/>
                      <w:ind w:left="0" w:right="0" w:firstLine="0"/>
                      <w:jc w:val="left"/>
                      <w:rPr>
                        <w:rFonts w:ascii="Calibri"/>
                        <w:sz w:val="10"/>
                      </w:rPr>
                    </w:pPr>
                    <w:r>
                      <w:rPr>
                        <w:rFonts w:ascii="Calibri"/>
                        <w:color w:val="231F20"/>
                        <w:spacing w:val="-2"/>
                        <w:sz w:val="10"/>
                      </w:rPr>
                      <w:t>FY2022</w:t>
                    </w:r>
                  </w:p>
                  <w:p>
                    <w:pPr>
                      <w:spacing w:before="17"/>
                      <w:ind w:left="9" w:right="0" w:firstLine="0"/>
                      <w:jc w:val="left"/>
                      <w:rPr>
                        <w:rFonts w:ascii="Calibri"/>
                        <w:sz w:val="10"/>
                      </w:rPr>
                    </w:pPr>
                    <w:r>
                      <w:rPr>
                        <w:rFonts w:ascii="Calibri"/>
                        <w:color w:val="231F20"/>
                        <w:spacing w:val="-2"/>
                        <w:sz w:val="10"/>
                      </w:rPr>
                      <w:t>14,601</w:t>
                    </w:r>
                  </w:p>
                  <w:p>
                    <w:pPr>
                      <w:spacing w:before="41"/>
                      <w:ind w:left="35" w:right="0" w:firstLine="0"/>
                      <w:jc w:val="left"/>
                      <w:rPr>
                        <w:rFonts w:ascii="Calibri"/>
                        <w:sz w:val="10"/>
                      </w:rPr>
                    </w:pPr>
                    <w:r>
                      <w:rPr>
                        <w:rFonts w:ascii="Calibri"/>
                        <w:color w:val="231F20"/>
                        <w:spacing w:val="-2"/>
                        <w:sz w:val="10"/>
                      </w:rPr>
                      <w:t>3,834</w:t>
                    </w:r>
                  </w:p>
                  <w:p>
                    <w:pPr>
                      <w:spacing w:before="41"/>
                      <w:ind w:left="9" w:right="0" w:firstLine="0"/>
                      <w:jc w:val="left"/>
                      <w:rPr>
                        <w:rFonts w:ascii="Calibri"/>
                        <w:sz w:val="10"/>
                      </w:rPr>
                    </w:pPr>
                    <w:r>
                      <w:rPr>
                        <w:rFonts w:ascii="Calibri"/>
                        <w:color w:val="231F20"/>
                        <w:spacing w:val="-2"/>
                        <w:sz w:val="10"/>
                      </w:rPr>
                      <w:t>10,470</w:t>
                    </w:r>
                  </w:p>
                  <w:p>
                    <w:pPr>
                      <w:spacing w:before="42"/>
                      <w:ind w:left="9" w:right="0" w:firstLine="0"/>
                      <w:jc w:val="left"/>
                      <w:rPr>
                        <w:rFonts w:ascii="Calibri"/>
                        <w:sz w:val="10"/>
                      </w:rPr>
                    </w:pPr>
                    <w:r>
                      <w:rPr>
                        <w:rFonts w:ascii="Calibri"/>
                        <w:color w:val="231F20"/>
                        <w:spacing w:val="-2"/>
                        <w:sz w:val="10"/>
                      </w:rPr>
                      <w:t>22,617</w:t>
                    </w:r>
                  </w:p>
                  <w:p>
                    <w:pPr>
                      <w:spacing w:before="42"/>
                      <w:ind w:left="9" w:right="0" w:firstLine="0"/>
                      <w:jc w:val="left"/>
                      <w:rPr>
                        <w:rFonts w:ascii="Calibri"/>
                        <w:sz w:val="10"/>
                      </w:rPr>
                    </w:pPr>
                    <w:r>
                      <w:rPr>
                        <w:rFonts w:ascii="Calibri"/>
                        <w:color w:val="231F20"/>
                        <w:spacing w:val="-2"/>
                        <w:sz w:val="10"/>
                      </w:rPr>
                      <w:t>38,470</w:t>
                    </w:r>
                  </w:p>
                  <w:p>
                    <w:pPr>
                      <w:spacing w:line="121" w:lineRule="exact" w:before="41"/>
                      <w:ind w:left="9" w:right="0" w:firstLine="0"/>
                      <w:jc w:val="left"/>
                      <w:rPr>
                        <w:rFonts w:ascii="Calibri"/>
                        <w:sz w:val="10"/>
                      </w:rPr>
                    </w:pPr>
                    <w:r>
                      <w:rPr>
                        <w:rFonts w:ascii="Calibri"/>
                        <w:color w:val="231F20"/>
                        <w:spacing w:val="-2"/>
                        <w:sz w:val="10"/>
                      </w:rPr>
                      <w:t>76,486</w:t>
                    </w:r>
                  </w:p>
                </w:txbxContent>
              </v:textbox>
              <w10:wrap type="none"/>
            </v:shape>
            <v:shape style="position:absolute;left:6758;top:3356;width:335;height:1059" type="#_x0000_t202" id="docshape213" filled="false" stroked="false">
              <v:textbox inset="0,0,0,0">
                <w:txbxContent>
                  <w:p>
                    <w:pPr>
                      <w:spacing w:line="103" w:lineRule="exact" w:before="0"/>
                      <w:ind w:left="0" w:right="0" w:firstLine="0"/>
                      <w:jc w:val="left"/>
                      <w:rPr>
                        <w:rFonts w:ascii="Calibri"/>
                        <w:sz w:val="10"/>
                      </w:rPr>
                    </w:pPr>
                    <w:r>
                      <w:rPr>
                        <w:rFonts w:ascii="Calibri"/>
                        <w:color w:val="231F20"/>
                        <w:spacing w:val="-2"/>
                        <w:sz w:val="10"/>
                      </w:rPr>
                      <w:t>FY2021</w:t>
                    </w:r>
                  </w:p>
                  <w:p>
                    <w:pPr>
                      <w:spacing w:before="17"/>
                      <w:ind w:left="9" w:right="0" w:firstLine="0"/>
                      <w:jc w:val="left"/>
                      <w:rPr>
                        <w:rFonts w:ascii="Calibri"/>
                        <w:sz w:val="10"/>
                      </w:rPr>
                    </w:pPr>
                    <w:r>
                      <w:rPr>
                        <w:rFonts w:ascii="Calibri"/>
                        <w:color w:val="231F20"/>
                        <w:spacing w:val="-2"/>
                        <w:sz w:val="10"/>
                      </w:rPr>
                      <w:t>71,184</w:t>
                    </w:r>
                  </w:p>
                  <w:p>
                    <w:pPr>
                      <w:spacing w:before="41"/>
                      <w:ind w:left="36" w:right="0" w:firstLine="0"/>
                      <w:jc w:val="left"/>
                      <w:rPr>
                        <w:rFonts w:ascii="Calibri"/>
                        <w:sz w:val="10"/>
                      </w:rPr>
                    </w:pPr>
                    <w:r>
                      <w:rPr>
                        <w:rFonts w:ascii="Calibri"/>
                        <w:color w:val="231F20"/>
                        <w:spacing w:val="-2"/>
                        <w:sz w:val="10"/>
                      </w:rPr>
                      <w:t>3,741</w:t>
                    </w:r>
                  </w:p>
                  <w:p>
                    <w:pPr>
                      <w:spacing w:before="41"/>
                      <w:ind w:left="36" w:right="0" w:firstLine="0"/>
                      <w:jc w:val="left"/>
                      <w:rPr>
                        <w:rFonts w:ascii="Calibri"/>
                        <w:sz w:val="10"/>
                      </w:rPr>
                    </w:pPr>
                    <w:r>
                      <w:rPr>
                        <w:rFonts w:ascii="Calibri"/>
                        <w:color w:val="231F20"/>
                        <w:spacing w:val="-2"/>
                        <w:sz w:val="10"/>
                      </w:rPr>
                      <w:t>7,996</w:t>
                    </w:r>
                  </w:p>
                  <w:p>
                    <w:pPr>
                      <w:spacing w:before="42"/>
                      <w:ind w:left="9" w:right="0" w:firstLine="0"/>
                      <w:jc w:val="left"/>
                      <w:rPr>
                        <w:rFonts w:ascii="Calibri"/>
                        <w:sz w:val="10"/>
                      </w:rPr>
                    </w:pPr>
                    <w:r>
                      <w:rPr>
                        <w:rFonts w:ascii="Calibri"/>
                        <w:color w:val="231F20"/>
                        <w:spacing w:val="-2"/>
                        <w:sz w:val="10"/>
                      </w:rPr>
                      <w:t>25,322</w:t>
                    </w:r>
                  </w:p>
                  <w:p>
                    <w:pPr>
                      <w:spacing w:before="42"/>
                      <w:ind w:left="9" w:right="0" w:firstLine="0"/>
                      <w:jc w:val="left"/>
                      <w:rPr>
                        <w:rFonts w:ascii="Calibri"/>
                        <w:sz w:val="10"/>
                      </w:rPr>
                    </w:pPr>
                    <w:r>
                      <w:rPr>
                        <w:rFonts w:ascii="Calibri"/>
                        <w:color w:val="231F20"/>
                        <w:spacing w:val="-2"/>
                        <w:sz w:val="10"/>
                      </w:rPr>
                      <w:t>35,904</w:t>
                    </w:r>
                  </w:p>
                  <w:p>
                    <w:pPr>
                      <w:spacing w:line="121" w:lineRule="exact" w:before="41"/>
                      <w:ind w:left="9" w:right="0" w:firstLine="0"/>
                      <w:jc w:val="left"/>
                      <w:rPr>
                        <w:rFonts w:ascii="Calibri"/>
                        <w:sz w:val="10"/>
                      </w:rPr>
                    </w:pPr>
                    <w:r>
                      <w:rPr>
                        <w:rFonts w:ascii="Calibri"/>
                        <w:color w:val="231F20"/>
                        <w:spacing w:val="-2"/>
                        <w:sz w:val="10"/>
                      </w:rPr>
                      <w:t>52,544</w:t>
                    </w:r>
                  </w:p>
                </w:txbxContent>
              </v:textbox>
              <w10:wrap type="none"/>
            </v:shape>
            <v:shape style="position:absolute;left:8032;top:3356;width:377;height:1059" type="#_x0000_t202" id="docshape214" filled="false" stroked="false">
              <v:textbox inset="0,0,0,0">
                <w:txbxContent>
                  <w:p>
                    <w:pPr>
                      <w:spacing w:line="103" w:lineRule="exact" w:before="0"/>
                      <w:ind w:left="20" w:right="0" w:firstLine="0"/>
                      <w:jc w:val="left"/>
                      <w:rPr>
                        <w:rFonts w:ascii="Calibri"/>
                        <w:sz w:val="10"/>
                      </w:rPr>
                    </w:pPr>
                    <w:r>
                      <w:rPr>
                        <w:rFonts w:ascii="Calibri"/>
                        <w:color w:val="231F20"/>
                        <w:spacing w:val="-2"/>
                        <w:sz w:val="10"/>
                      </w:rPr>
                      <w:t>FY2020</w:t>
                    </w:r>
                  </w:p>
                  <w:p>
                    <w:pPr>
                      <w:spacing w:before="17"/>
                      <w:ind w:left="0" w:right="0" w:firstLine="0"/>
                      <w:jc w:val="left"/>
                      <w:rPr>
                        <w:rFonts w:ascii="Calibri"/>
                        <w:sz w:val="10"/>
                      </w:rPr>
                    </w:pPr>
                    <w:r>
                      <w:rPr>
                        <w:rFonts w:ascii="Calibri"/>
                        <w:color w:val="231F20"/>
                        <w:spacing w:val="-2"/>
                        <w:sz w:val="10"/>
                      </w:rPr>
                      <w:t>(25,993)</w:t>
                    </w:r>
                  </w:p>
                  <w:p>
                    <w:pPr>
                      <w:spacing w:before="41"/>
                      <w:ind w:left="57" w:right="0" w:firstLine="0"/>
                      <w:jc w:val="left"/>
                      <w:rPr>
                        <w:rFonts w:ascii="Calibri"/>
                        <w:sz w:val="10"/>
                      </w:rPr>
                    </w:pPr>
                    <w:r>
                      <w:rPr>
                        <w:rFonts w:ascii="Calibri"/>
                        <w:color w:val="231F20"/>
                        <w:spacing w:val="-2"/>
                        <w:sz w:val="10"/>
                      </w:rPr>
                      <w:t>3,979</w:t>
                    </w:r>
                  </w:p>
                  <w:p>
                    <w:pPr>
                      <w:spacing w:before="41"/>
                      <w:ind w:left="57" w:right="0" w:firstLine="0"/>
                      <w:jc w:val="left"/>
                      <w:rPr>
                        <w:rFonts w:ascii="Calibri"/>
                        <w:sz w:val="10"/>
                      </w:rPr>
                    </w:pPr>
                    <w:r>
                      <w:rPr>
                        <w:rFonts w:ascii="Calibri"/>
                        <w:color w:val="231F20"/>
                        <w:spacing w:val="-2"/>
                        <w:sz w:val="10"/>
                      </w:rPr>
                      <w:t>8,743</w:t>
                    </w:r>
                  </w:p>
                  <w:p>
                    <w:pPr>
                      <w:spacing w:before="42"/>
                      <w:ind w:left="31" w:right="0" w:firstLine="0"/>
                      <w:jc w:val="left"/>
                      <w:rPr>
                        <w:rFonts w:ascii="Calibri"/>
                        <w:sz w:val="10"/>
                      </w:rPr>
                    </w:pPr>
                    <w:r>
                      <w:rPr>
                        <w:rFonts w:ascii="Calibri"/>
                        <w:color w:val="231F20"/>
                        <w:spacing w:val="-2"/>
                        <w:sz w:val="10"/>
                      </w:rPr>
                      <w:t>28,829</w:t>
                    </w:r>
                  </w:p>
                  <w:p>
                    <w:pPr>
                      <w:spacing w:before="42"/>
                      <w:ind w:left="31" w:right="0" w:firstLine="0"/>
                      <w:jc w:val="left"/>
                      <w:rPr>
                        <w:rFonts w:ascii="Calibri"/>
                        <w:sz w:val="10"/>
                      </w:rPr>
                    </w:pPr>
                    <w:r>
                      <w:rPr>
                        <w:rFonts w:ascii="Calibri"/>
                        <w:color w:val="231F20"/>
                        <w:spacing w:val="-2"/>
                        <w:sz w:val="10"/>
                      </w:rPr>
                      <w:t>36,234</w:t>
                    </w:r>
                  </w:p>
                  <w:p>
                    <w:pPr>
                      <w:spacing w:line="121" w:lineRule="exact" w:before="41"/>
                      <w:ind w:left="31" w:right="0" w:firstLine="0"/>
                      <w:jc w:val="left"/>
                      <w:rPr>
                        <w:rFonts w:ascii="Calibri"/>
                        <w:sz w:val="10"/>
                      </w:rPr>
                    </w:pPr>
                    <w:r>
                      <w:rPr>
                        <w:rFonts w:ascii="Calibri"/>
                        <w:color w:val="231F20"/>
                        <w:spacing w:val="-2"/>
                        <w:sz w:val="10"/>
                      </w:rPr>
                      <w:t>55,936</w:t>
                    </w:r>
                  </w:p>
                </w:txbxContent>
              </v:textbox>
              <w10:wrap type="none"/>
            </v:shape>
            <w10:wrap type="topAndBottom"/>
          </v:group>
        </w:pict>
      </w:r>
    </w:p>
    <w:p>
      <w:pPr>
        <w:pStyle w:val="BodyText"/>
        <w:spacing w:before="9"/>
        <w:rPr>
          <w:sz w:val="17"/>
        </w:rPr>
      </w:pPr>
    </w:p>
    <w:p>
      <w:pPr>
        <w:pStyle w:val="BodyText"/>
        <w:spacing w:line="276" w:lineRule="auto" w:before="95"/>
        <w:ind w:left="1440" w:right="1048" w:hanging="1"/>
      </w:pPr>
      <w:r>
        <w:rPr>
          <w:color w:val="231F20"/>
        </w:rPr>
        <w:t>State</w:t>
      </w:r>
      <w:r>
        <w:rPr>
          <w:color w:val="231F20"/>
          <w:spacing w:val="-4"/>
        </w:rPr>
        <w:t> </w:t>
      </w:r>
      <w:r>
        <w:rPr>
          <w:color w:val="231F20"/>
        </w:rPr>
        <w:t>appropriations,</w:t>
      </w:r>
      <w:r>
        <w:rPr>
          <w:color w:val="231F20"/>
          <w:spacing w:val="-4"/>
        </w:rPr>
        <w:t> </w:t>
      </w:r>
      <w:r>
        <w:rPr>
          <w:color w:val="231F20"/>
        </w:rPr>
        <w:t>including</w:t>
      </w:r>
      <w:r>
        <w:rPr>
          <w:color w:val="231F20"/>
          <w:spacing w:val="-4"/>
        </w:rPr>
        <w:t> </w:t>
      </w:r>
      <w:r>
        <w:rPr>
          <w:color w:val="231F20"/>
        </w:rPr>
        <w:t>Instruction</w:t>
      </w:r>
      <w:r>
        <w:rPr>
          <w:color w:val="231F20"/>
          <w:spacing w:val="-4"/>
        </w:rPr>
        <w:t> </w:t>
      </w:r>
      <w:r>
        <w:rPr>
          <w:color w:val="231F20"/>
        </w:rPr>
        <w:t>and</w:t>
      </w:r>
      <w:r>
        <w:rPr>
          <w:color w:val="231F20"/>
          <w:spacing w:val="-4"/>
        </w:rPr>
        <w:t> </w:t>
      </w:r>
      <w:r>
        <w:rPr>
          <w:color w:val="231F20"/>
        </w:rPr>
        <w:t>General</w:t>
      </w:r>
      <w:r>
        <w:rPr>
          <w:color w:val="231F20"/>
          <w:spacing w:val="-3"/>
        </w:rPr>
        <w:t> </w:t>
      </w:r>
      <w:r>
        <w:rPr>
          <w:color w:val="231F20"/>
        </w:rPr>
        <w:t>(I&amp;G)</w:t>
      </w:r>
      <w:r>
        <w:rPr>
          <w:color w:val="231F20"/>
          <w:spacing w:val="-4"/>
        </w:rPr>
        <w:t> </w:t>
      </w:r>
      <w:r>
        <w:rPr>
          <w:color w:val="231F20"/>
        </w:rPr>
        <w:t>and</w:t>
      </w:r>
      <w:r>
        <w:rPr>
          <w:color w:val="231F20"/>
          <w:spacing w:val="-5"/>
        </w:rPr>
        <w:t> </w:t>
      </w:r>
      <w:r>
        <w:rPr>
          <w:color w:val="231F20"/>
        </w:rPr>
        <w:t>Research</w:t>
      </w:r>
      <w:r>
        <w:rPr>
          <w:color w:val="231F20"/>
          <w:spacing w:val="-4"/>
        </w:rPr>
        <w:t> </w:t>
      </w:r>
      <w:r>
        <w:rPr>
          <w:color w:val="231F20"/>
        </w:rPr>
        <w:t>and</w:t>
      </w:r>
      <w:r>
        <w:rPr>
          <w:color w:val="231F20"/>
          <w:spacing w:val="-4"/>
        </w:rPr>
        <w:t> </w:t>
      </w:r>
      <w:r>
        <w:rPr>
          <w:color w:val="231F20"/>
        </w:rPr>
        <w:t>Public</w:t>
      </w:r>
      <w:r>
        <w:rPr>
          <w:color w:val="231F20"/>
          <w:spacing w:val="-4"/>
        </w:rPr>
        <w:t> </w:t>
      </w:r>
      <w:r>
        <w:rPr>
          <w:color w:val="231F20"/>
        </w:rPr>
        <w:t>Service</w:t>
      </w:r>
      <w:r>
        <w:rPr>
          <w:color w:val="231F20"/>
          <w:spacing w:val="-4"/>
        </w:rPr>
        <w:t> </w:t>
      </w:r>
      <w:r>
        <w:rPr>
          <w:color w:val="231F20"/>
        </w:rPr>
        <w:t>Projects (RPSPs), were $42.9 million compared to $38.1 million in the fiscal year 2021.</w:t>
      </w:r>
    </w:p>
    <w:p>
      <w:pPr>
        <w:pStyle w:val="BodyText"/>
        <w:spacing w:before="11"/>
        <w:rPr>
          <w:sz w:val="22"/>
        </w:rPr>
      </w:pPr>
    </w:p>
    <w:p>
      <w:pPr>
        <w:pStyle w:val="BodyText"/>
        <w:spacing w:line="276" w:lineRule="auto"/>
        <w:ind w:left="1440" w:right="891"/>
      </w:pPr>
      <w:r>
        <w:rPr>
          <w:color w:val="231F20"/>
        </w:rPr>
        <w:t>The net operating loss for this fiscal year is $61.1 million compared to the net operating loss of $122.8 million</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fiscal</w:t>
      </w:r>
      <w:r>
        <w:rPr>
          <w:color w:val="231F20"/>
          <w:spacing w:val="-3"/>
        </w:rPr>
        <w:t> </w:t>
      </w:r>
      <w:r>
        <w:rPr>
          <w:color w:val="231F20"/>
        </w:rPr>
        <w:t>year</w:t>
      </w:r>
      <w:r>
        <w:rPr>
          <w:color w:val="231F20"/>
          <w:spacing w:val="-3"/>
        </w:rPr>
        <w:t> </w:t>
      </w:r>
      <w:r>
        <w:rPr>
          <w:color w:val="231F20"/>
        </w:rPr>
        <w:t>2021.</w:t>
      </w:r>
      <w:r>
        <w:rPr>
          <w:color w:val="231F20"/>
          <w:spacing w:val="-3"/>
        </w:rPr>
        <w:t> </w:t>
      </w:r>
      <w:r>
        <w:rPr>
          <w:color w:val="231F20"/>
        </w:rPr>
        <w:t>The</w:t>
      </w:r>
      <w:r>
        <w:rPr>
          <w:color w:val="231F20"/>
          <w:spacing w:val="-3"/>
        </w:rPr>
        <w:t> </w:t>
      </w:r>
      <w:r>
        <w:rPr>
          <w:color w:val="231F20"/>
        </w:rPr>
        <w:t>GASB-required</w:t>
      </w:r>
      <w:r>
        <w:rPr>
          <w:color w:val="231F20"/>
          <w:spacing w:val="-3"/>
        </w:rPr>
        <w:t> </w:t>
      </w:r>
      <w:r>
        <w:rPr>
          <w:color w:val="231F20"/>
        </w:rPr>
        <w:t>reporting</w:t>
      </w:r>
      <w:r>
        <w:rPr>
          <w:color w:val="231F20"/>
          <w:spacing w:val="-3"/>
        </w:rPr>
        <w:t> </w:t>
      </w:r>
      <w:r>
        <w:rPr>
          <w:color w:val="231F20"/>
        </w:rPr>
        <w:t>format</w:t>
      </w:r>
      <w:r>
        <w:rPr>
          <w:color w:val="231F20"/>
          <w:spacing w:val="-3"/>
        </w:rPr>
        <w:t> </w:t>
      </w:r>
      <w:r>
        <w:rPr>
          <w:color w:val="231F20"/>
        </w:rPr>
        <w:t>is</w:t>
      </w:r>
      <w:r>
        <w:rPr>
          <w:color w:val="231F20"/>
          <w:spacing w:val="-3"/>
        </w:rPr>
        <w:t> </w:t>
      </w:r>
      <w:r>
        <w:rPr>
          <w:color w:val="231F20"/>
        </w:rPr>
        <w:t>mandated</w:t>
      </w:r>
      <w:r>
        <w:rPr>
          <w:color w:val="231F20"/>
          <w:spacing w:val="-4"/>
        </w:rPr>
        <w:t> </w:t>
      </w:r>
      <w:r>
        <w:rPr>
          <w:color w:val="231F20"/>
        </w:rPr>
        <w:t>to</w:t>
      </w:r>
      <w:r>
        <w:rPr>
          <w:color w:val="231F20"/>
          <w:spacing w:val="-3"/>
        </w:rPr>
        <w:t> </w:t>
      </w:r>
      <w:r>
        <w:rPr>
          <w:color w:val="231F20"/>
        </w:rPr>
        <w:t>exclude</w:t>
      </w:r>
      <w:r>
        <w:rPr>
          <w:color w:val="231F20"/>
          <w:spacing w:val="-3"/>
        </w:rPr>
        <w:t> </w:t>
      </w:r>
      <w:r>
        <w:rPr>
          <w:color w:val="231F20"/>
        </w:rPr>
        <w:t>state</w:t>
      </w:r>
      <w:r>
        <w:rPr>
          <w:color w:val="231F20"/>
          <w:spacing w:val="-3"/>
        </w:rPr>
        <w:t> </w:t>
      </w:r>
      <w:r>
        <w:rPr>
          <w:color w:val="231F20"/>
        </w:rPr>
        <w:t>support as operating revenue. New Mexico Tech and all state universities do report an operating loss from </w:t>
      </w:r>
      <w:r>
        <w:rPr>
          <w:color w:val="231F20"/>
          <w:spacing w:val="-2"/>
        </w:rPr>
        <w:t>operations.</w:t>
      </w:r>
    </w:p>
    <w:p>
      <w:pPr>
        <w:pStyle w:val="BodyText"/>
        <w:spacing w:before="11"/>
        <w:rPr>
          <w:sz w:val="22"/>
        </w:rPr>
      </w:pPr>
    </w:p>
    <w:p>
      <w:pPr>
        <w:pStyle w:val="BodyText"/>
        <w:spacing w:line="276" w:lineRule="auto"/>
        <w:ind w:left="1440" w:right="891"/>
      </w:pPr>
      <w:r>
        <w:rPr>
          <w:color w:val="231F20"/>
        </w:rPr>
        <w:t>Non-operating revenues are funds or commitments received in support of the Institute, but which do not provide for the operation of the Institute, such as interest income, gifts and endowments. The one major exception for public colleges and universities is state appropriations. GASB 34 and 35 require state appropriations to be included as non-operating revenues, even though those revenues are in direct support of the educational mission of the Institute. Instruction and general expenses are reported as operating expenses; therefore, because of this anomaly, an operating loss is reported each year. Non- operating</w:t>
      </w:r>
      <w:r>
        <w:rPr>
          <w:color w:val="231F20"/>
          <w:spacing w:val="-3"/>
        </w:rPr>
        <w:t> </w:t>
      </w:r>
      <w:r>
        <w:rPr>
          <w:color w:val="231F20"/>
        </w:rPr>
        <w:t>expenses</w:t>
      </w:r>
      <w:r>
        <w:rPr>
          <w:color w:val="231F20"/>
          <w:spacing w:val="-3"/>
        </w:rPr>
        <w:t> </w:t>
      </w:r>
      <w:r>
        <w:rPr>
          <w:color w:val="231F20"/>
        </w:rPr>
        <w:t>are</w:t>
      </w:r>
      <w:r>
        <w:rPr>
          <w:color w:val="231F20"/>
          <w:spacing w:val="-3"/>
        </w:rPr>
        <w:t> </w:t>
      </w:r>
      <w:r>
        <w:rPr>
          <w:color w:val="231F20"/>
        </w:rPr>
        <w:t>the</w:t>
      </w:r>
      <w:r>
        <w:rPr>
          <w:color w:val="231F20"/>
          <w:spacing w:val="-4"/>
        </w:rPr>
        <w:t> </w:t>
      </w:r>
      <w:r>
        <w:rPr>
          <w:color w:val="231F20"/>
        </w:rPr>
        <w:t>expenditure</w:t>
      </w:r>
      <w:r>
        <w:rPr>
          <w:color w:val="231F20"/>
          <w:spacing w:val="-3"/>
        </w:rPr>
        <w:t> </w:t>
      </w:r>
      <w:r>
        <w:rPr>
          <w:color w:val="231F20"/>
        </w:rPr>
        <w:t>or</w:t>
      </w:r>
      <w:r>
        <w:rPr>
          <w:color w:val="231F20"/>
          <w:spacing w:val="-3"/>
        </w:rPr>
        <w:t> </w:t>
      </w:r>
      <w:r>
        <w:rPr>
          <w:color w:val="231F20"/>
        </w:rPr>
        <w:t>investment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funds</w:t>
      </w:r>
      <w:r>
        <w:rPr>
          <w:color w:val="231F20"/>
          <w:spacing w:val="-3"/>
        </w:rPr>
        <w:t> </w:t>
      </w:r>
      <w:r>
        <w:rPr>
          <w:color w:val="231F20"/>
        </w:rPr>
        <w:t>received</w:t>
      </w:r>
      <w:r>
        <w:rPr>
          <w:color w:val="231F20"/>
          <w:spacing w:val="-3"/>
        </w:rPr>
        <w:t> </w:t>
      </w:r>
      <w:r>
        <w:rPr>
          <w:color w:val="231F20"/>
        </w:rPr>
        <w:t>from</w:t>
      </w:r>
      <w:r>
        <w:rPr>
          <w:color w:val="231F20"/>
          <w:spacing w:val="-4"/>
        </w:rPr>
        <w:t> </w:t>
      </w:r>
      <w:r>
        <w:rPr>
          <w:color w:val="231F20"/>
        </w:rPr>
        <w:t>non-operating</w:t>
      </w:r>
      <w:r>
        <w:rPr>
          <w:color w:val="231F20"/>
          <w:spacing w:val="-3"/>
        </w:rPr>
        <w:t> </w:t>
      </w:r>
      <w:r>
        <w:rPr>
          <w:color w:val="231F20"/>
        </w:rPr>
        <w:t>sources.</w:t>
      </w:r>
    </w:p>
    <w:p>
      <w:pPr>
        <w:pStyle w:val="BodyText"/>
        <w:spacing w:before="11"/>
        <w:rPr>
          <w:sz w:val="22"/>
        </w:rPr>
      </w:pPr>
    </w:p>
    <w:p>
      <w:pPr>
        <w:pStyle w:val="BodyText"/>
        <w:spacing w:line="276" w:lineRule="auto"/>
        <w:ind w:left="1440" w:right="1256" w:hanging="1"/>
        <w:jc w:val="both"/>
      </w:pPr>
      <w:r>
        <w:rPr>
          <w:color w:val="231F20"/>
        </w:rPr>
        <w:t>Non-operating</w:t>
      </w:r>
      <w:r>
        <w:rPr>
          <w:color w:val="231F20"/>
          <w:spacing w:val="-3"/>
        </w:rPr>
        <w:t> </w:t>
      </w:r>
      <w:r>
        <w:rPr>
          <w:color w:val="231F20"/>
        </w:rPr>
        <w:t>revenues</w:t>
      </w:r>
      <w:r>
        <w:rPr>
          <w:color w:val="231F20"/>
          <w:spacing w:val="-3"/>
        </w:rPr>
        <w:t> </w:t>
      </w:r>
      <w:r>
        <w:rPr>
          <w:color w:val="231F20"/>
        </w:rPr>
        <w:t>decreased</w:t>
      </w:r>
      <w:r>
        <w:rPr>
          <w:color w:val="231F20"/>
          <w:spacing w:val="-3"/>
        </w:rPr>
        <w:t> </w:t>
      </w:r>
      <w:r>
        <w:rPr>
          <w:color w:val="231F20"/>
        </w:rPr>
        <w:t>by</w:t>
      </w:r>
      <w:r>
        <w:rPr>
          <w:color w:val="231F20"/>
          <w:spacing w:val="-4"/>
        </w:rPr>
        <w:t> </w:t>
      </w:r>
      <w:r>
        <w:rPr>
          <w:color w:val="231F20"/>
        </w:rPr>
        <w:t>$7.7</w:t>
      </w:r>
      <w:r>
        <w:rPr>
          <w:color w:val="231F20"/>
          <w:spacing w:val="-3"/>
        </w:rPr>
        <w:t> </w:t>
      </w:r>
      <w:r>
        <w:rPr>
          <w:color w:val="231F20"/>
        </w:rPr>
        <w:t>million</w:t>
      </w:r>
      <w:r>
        <w:rPr>
          <w:color w:val="231F20"/>
          <w:spacing w:val="-3"/>
        </w:rPr>
        <w:t> </w:t>
      </w:r>
      <w:r>
        <w:rPr>
          <w:color w:val="231F20"/>
        </w:rPr>
        <w:t>compared</w:t>
      </w:r>
      <w:r>
        <w:rPr>
          <w:color w:val="231F20"/>
          <w:spacing w:val="-3"/>
        </w:rPr>
        <w:t> </w:t>
      </w:r>
      <w:r>
        <w:rPr>
          <w:color w:val="231F20"/>
        </w:rPr>
        <w:t>to</w:t>
      </w:r>
      <w:r>
        <w:rPr>
          <w:color w:val="231F20"/>
          <w:spacing w:val="-3"/>
        </w:rPr>
        <w:t> </w:t>
      </w:r>
      <w:r>
        <w:rPr>
          <w:color w:val="231F20"/>
        </w:rPr>
        <w:t>last</w:t>
      </w:r>
      <w:r>
        <w:rPr>
          <w:color w:val="231F20"/>
          <w:spacing w:val="-3"/>
        </w:rPr>
        <w:t> </w:t>
      </w:r>
      <w:r>
        <w:rPr>
          <w:color w:val="231F20"/>
        </w:rPr>
        <w:t>year.</w:t>
      </w:r>
      <w:r>
        <w:rPr>
          <w:color w:val="231F20"/>
          <w:spacing w:val="-3"/>
        </w:rPr>
        <w:t> </w:t>
      </w:r>
      <w:r>
        <w:rPr>
          <w:color w:val="231F20"/>
        </w:rPr>
        <w:t>Other</w:t>
      </w:r>
      <w:r>
        <w:rPr>
          <w:color w:val="231F20"/>
          <w:spacing w:val="-3"/>
        </w:rPr>
        <w:t> </w:t>
      </w:r>
      <w:r>
        <w:rPr>
          <w:color w:val="231F20"/>
        </w:rPr>
        <w:t>revenues</w:t>
      </w:r>
      <w:r>
        <w:rPr>
          <w:color w:val="231F20"/>
          <w:spacing w:val="-3"/>
        </w:rPr>
        <w:t> </w:t>
      </w:r>
      <w:r>
        <w:rPr>
          <w:color w:val="231F20"/>
        </w:rPr>
        <w:t>and</w:t>
      </w:r>
      <w:r>
        <w:rPr>
          <w:color w:val="231F20"/>
          <w:spacing w:val="-3"/>
        </w:rPr>
        <w:t> </w:t>
      </w:r>
      <w:r>
        <w:rPr>
          <w:color w:val="231F20"/>
        </w:rPr>
        <w:t>capital items</w:t>
      </w:r>
      <w:r>
        <w:rPr>
          <w:color w:val="231F20"/>
          <w:spacing w:val="-1"/>
        </w:rPr>
        <w:t> </w:t>
      </w:r>
      <w:r>
        <w:rPr>
          <w:color w:val="231F20"/>
        </w:rPr>
        <w:t>decreased</w:t>
      </w:r>
      <w:r>
        <w:rPr>
          <w:color w:val="231F20"/>
          <w:spacing w:val="-1"/>
        </w:rPr>
        <w:t> </w:t>
      </w:r>
      <w:r>
        <w:rPr>
          <w:color w:val="231F20"/>
        </w:rPr>
        <w:t>by $10.3</w:t>
      </w:r>
      <w:r>
        <w:rPr>
          <w:color w:val="231F20"/>
          <w:spacing w:val="-1"/>
        </w:rPr>
        <w:t> </w:t>
      </w:r>
      <w:r>
        <w:rPr>
          <w:color w:val="231F20"/>
        </w:rPr>
        <w:t>million</w:t>
      </w:r>
      <w:r>
        <w:rPr>
          <w:color w:val="231F20"/>
          <w:spacing w:val="-1"/>
        </w:rPr>
        <w:t> </w:t>
      </w:r>
      <w:r>
        <w:rPr>
          <w:color w:val="231F20"/>
        </w:rPr>
        <w:t>compared</w:t>
      </w:r>
      <w:r>
        <w:rPr>
          <w:color w:val="231F20"/>
          <w:spacing w:val="-1"/>
        </w:rPr>
        <w:t> </w:t>
      </w:r>
      <w:r>
        <w:rPr>
          <w:color w:val="231F20"/>
        </w:rPr>
        <w:t>to</w:t>
      </w:r>
      <w:r>
        <w:rPr>
          <w:color w:val="231F20"/>
          <w:spacing w:val="-1"/>
        </w:rPr>
        <w:t> </w:t>
      </w:r>
      <w:r>
        <w:rPr>
          <w:color w:val="231F20"/>
        </w:rPr>
        <w:t>last</w:t>
      </w:r>
      <w:r>
        <w:rPr>
          <w:color w:val="231F20"/>
          <w:spacing w:val="-2"/>
        </w:rPr>
        <w:t> </w:t>
      </w:r>
      <w:r>
        <w:rPr>
          <w:color w:val="231F20"/>
        </w:rPr>
        <w:t>year.</w:t>
      </w:r>
      <w:r>
        <w:rPr>
          <w:color w:val="231F20"/>
          <w:spacing w:val="-1"/>
        </w:rPr>
        <w:t> </w:t>
      </w:r>
      <w:r>
        <w:rPr>
          <w:color w:val="231F20"/>
        </w:rPr>
        <w:t>Compared</w:t>
      </w:r>
      <w:r>
        <w:rPr>
          <w:color w:val="231F20"/>
          <w:spacing w:val="-2"/>
        </w:rPr>
        <w:t> </w:t>
      </w:r>
      <w:r>
        <w:rPr>
          <w:color w:val="231F20"/>
        </w:rPr>
        <w:t>to</w:t>
      </w:r>
      <w:r>
        <w:rPr>
          <w:color w:val="231F20"/>
          <w:spacing w:val="-1"/>
        </w:rPr>
        <w:t> </w:t>
      </w:r>
      <w:r>
        <w:rPr>
          <w:color w:val="231F20"/>
        </w:rPr>
        <w:t>the</w:t>
      </w:r>
      <w:r>
        <w:rPr>
          <w:color w:val="231F20"/>
          <w:spacing w:val="-1"/>
        </w:rPr>
        <w:t> </w:t>
      </w:r>
      <w:r>
        <w:rPr>
          <w:color w:val="231F20"/>
        </w:rPr>
        <w:t>fiscal</w:t>
      </w:r>
      <w:r>
        <w:rPr>
          <w:color w:val="231F20"/>
          <w:spacing w:val="-1"/>
        </w:rPr>
        <w:t> </w:t>
      </w:r>
      <w:r>
        <w:rPr>
          <w:color w:val="231F20"/>
        </w:rPr>
        <w:t>year</w:t>
      </w:r>
      <w:r>
        <w:rPr>
          <w:color w:val="231F20"/>
          <w:spacing w:val="-1"/>
        </w:rPr>
        <w:t> </w:t>
      </w:r>
      <w:r>
        <w:rPr>
          <w:color w:val="231F20"/>
        </w:rPr>
        <w:t>2021,</w:t>
      </w:r>
      <w:r>
        <w:rPr>
          <w:color w:val="231F20"/>
          <w:spacing w:val="-1"/>
        </w:rPr>
        <w:t> </w:t>
      </w:r>
      <w:r>
        <w:rPr>
          <w:color w:val="231F20"/>
        </w:rPr>
        <w:t>state</w:t>
      </w:r>
      <w:r>
        <w:rPr>
          <w:color w:val="231F20"/>
          <w:spacing w:val="-1"/>
        </w:rPr>
        <w:t> </w:t>
      </w:r>
      <w:r>
        <w:rPr>
          <w:color w:val="231F20"/>
        </w:rPr>
        <w:t>land grant and permanent fund distributions and income increased by $1.4 million.</w:t>
      </w:r>
    </w:p>
    <w:p>
      <w:pPr>
        <w:spacing w:after="0" w:line="276" w:lineRule="auto"/>
        <w:jc w:val="both"/>
        <w:sectPr>
          <w:pgSz w:w="12240" w:h="15840"/>
          <w:pgMar w:header="994" w:footer="1097" w:top="1900" w:bottom="1280" w:left="0" w:right="580"/>
        </w:sectPr>
      </w:pPr>
    </w:p>
    <w:p>
      <w:pPr>
        <w:pStyle w:val="BodyText"/>
      </w:pPr>
    </w:p>
    <w:p>
      <w:pPr>
        <w:pStyle w:val="BodyText"/>
        <w:spacing w:before="10"/>
        <w:rPr>
          <w:sz w:val="17"/>
        </w:rPr>
      </w:pPr>
    </w:p>
    <w:p>
      <w:pPr>
        <w:pStyle w:val="Heading4"/>
        <w:spacing w:before="94"/>
      </w:pPr>
      <w:r>
        <w:rPr>
          <w:color w:val="231F20"/>
        </w:rPr>
        <w:t>Statement</w:t>
      </w:r>
      <w:r>
        <w:rPr>
          <w:color w:val="231F20"/>
          <w:spacing w:val="-6"/>
        </w:rPr>
        <w:t> </w:t>
      </w:r>
      <w:r>
        <w:rPr>
          <w:color w:val="231F20"/>
        </w:rPr>
        <w:t>of</w:t>
      </w:r>
      <w:r>
        <w:rPr>
          <w:color w:val="231F20"/>
          <w:spacing w:val="-5"/>
        </w:rPr>
        <w:t> </w:t>
      </w:r>
      <w:r>
        <w:rPr>
          <w:color w:val="231F20"/>
        </w:rPr>
        <w:t>Cash</w:t>
      </w:r>
      <w:r>
        <w:rPr>
          <w:color w:val="231F20"/>
          <w:spacing w:val="-5"/>
        </w:rPr>
        <w:t> </w:t>
      </w:r>
      <w:r>
        <w:rPr>
          <w:color w:val="231F20"/>
          <w:spacing w:val="-4"/>
        </w:rPr>
        <w:t>Flows</w:t>
      </w:r>
    </w:p>
    <w:p>
      <w:pPr>
        <w:pStyle w:val="BodyText"/>
        <w:spacing w:line="276" w:lineRule="auto" w:before="35"/>
        <w:ind w:left="1440" w:right="891"/>
      </w:pPr>
      <w:r>
        <w:rPr>
          <w:color w:val="231F20"/>
        </w:rPr>
        <w:t>The Statement of Cash Flows is a summary of the sources and uses of funds received by New Mexico Tech. The statement is presented in four sections within the accompanying reconciliations. Each section is</w:t>
      </w:r>
      <w:r>
        <w:rPr>
          <w:color w:val="231F20"/>
          <w:spacing w:val="-3"/>
        </w:rPr>
        <w:t> </w:t>
      </w:r>
      <w:r>
        <w:rPr>
          <w:color w:val="231F20"/>
        </w:rPr>
        <w:t>a</w:t>
      </w:r>
      <w:r>
        <w:rPr>
          <w:color w:val="231F20"/>
          <w:spacing w:val="-3"/>
        </w:rPr>
        <w:t> </w:t>
      </w:r>
      <w:r>
        <w:rPr>
          <w:color w:val="231F20"/>
        </w:rPr>
        <w:t>summary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funds</w:t>
      </w:r>
      <w:r>
        <w:rPr>
          <w:color w:val="231F20"/>
          <w:spacing w:val="-3"/>
        </w:rPr>
        <w:t> </w:t>
      </w:r>
      <w:r>
        <w:rPr>
          <w:color w:val="231F20"/>
        </w:rPr>
        <w:t>received</w:t>
      </w:r>
      <w:r>
        <w:rPr>
          <w:color w:val="231F20"/>
          <w:spacing w:val="-3"/>
        </w:rPr>
        <w:t> </w:t>
      </w:r>
      <w:r>
        <w:rPr>
          <w:color w:val="231F20"/>
        </w:rPr>
        <w:t>correlated</w:t>
      </w:r>
      <w:r>
        <w:rPr>
          <w:color w:val="231F20"/>
          <w:spacing w:val="-3"/>
        </w:rPr>
        <w:t> </w:t>
      </w:r>
      <w:r>
        <w:rPr>
          <w:color w:val="231F20"/>
        </w:rPr>
        <w:t>to</w:t>
      </w:r>
      <w:r>
        <w:rPr>
          <w:color w:val="231F20"/>
          <w:spacing w:val="-3"/>
        </w:rPr>
        <w:t> </w:t>
      </w:r>
      <w:r>
        <w:rPr>
          <w:color w:val="231F20"/>
        </w:rPr>
        <w:t>that</w:t>
      </w:r>
      <w:r>
        <w:rPr>
          <w:color w:val="231F20"/>
          <w:spacing w:val="-3"/>
        </w:rPr>
        <w:t> </w:t>
      </w:r>
      <w:r>
        <w:rPr>
          <w:color w:val="231F20"/>
        </w:rPr>
        <w:t>particular</w:t>
      </w:r>
      <w:r>
        <w:rPr>
          <w:color w:val="231F20"/>
          <w:spacing w:val="-3"/>
        </w:rPr>
        <w:t> </w:t>
      </w:r>
      <w:r>
        <w:rPr>
          <w:color w:val="231F20"/>
        </w:rPr>
        <w:t>activity</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funds</w:t>
      </w:r>
      <w:r>
        <w:rPr>
          <w:color w:val="231F20"/>
          <w:spacing w:val="-3"/>
        </w:rPr>
        <w:t> </w:t>
      </w:r>
      <w:r>
        <w:rPr>
          <w:color w:val="231F20"/>
        </w:rPr>
        <w:t>used</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activity. The Statement of Cash Flows includes:</w:t>
      </w:r>
    </w:p>
    <w:p>
      <w:pPr>
        <w:pStyle w:val="BodyText"/>
        <w:spacing w:before="1"/>
        <w:rPr>
          <w:sz w:val="23"/>
        </w:rPr>
      </w:pPr>
    </w:p>
    <w:p>
      <w:pPr>
        <w:pStyle w:val="ListParagraph"/>
        <w:numPr>
          <w:ilvl w:val="0"/>
          <w:numId w:val="4"/>
        </w:numPr>
        <w:tabs>
          <w:tab w:pos="1800" w:val="left" w:leader="none"/>
          <w:tab w:pos="1801" w:val="left" w:leader="none"/>
        </w:tabs>
        <w:spacing w:line="240" w:lineRule="auto" w:before="0" w:after="0"/>
        <w:ind w:left="1800" w:right="0" w:hanging="361"/>
        <w:jc w:val="left"/>
        <w:rPr>
          <w:sz w:val="20"/>
        </w:rPr>
      </w:pPr>
      <w:r>
        <w:rPr>
          <w:color w:val="231F20"/>
          <w:sz w:val="20"/>
        </w:rPr>
        <w:t>Cash</w:t>
      </w:r>
      <w:r>
        <w:rPr>
          <w:color w:val="231F20"/>
          <w:spacing w:val="-5"/>
          <w:sz w:val="20"/>
        </w:rPr>
        <w:t> </w:t>
      </w:r>
      <w:r>
        <w:rPr>
          <w:color w:val="231F20"/>
          <w:sz w:val="20"/>
        </w:rPr>
        <w:t>flows</w:t>
      </w:r>
      <w:r>
        <w:rPr>
          <w:color w:val="231F20"/>
          <w:spacing w:val="-4"/>
          <w:sz w:val="20"/>
        </w:rPr>
        <w:t> </w:t>
      </w:r>
      <w:r>
        <w:rPr>
          <w:color w:val="231F20"/>
          <w:sz w:val="20"/>
        </w:rPr>
        <w:t>from</w:t>
      </w:r>
      <w:r>
        <w:rPr>
          <w:color w:val="231F20"/>
          <w:spacing w:val="-4"/>
          <w:sz w:val="20"/>
        </w:rPr>
        <w:t> </w:t>
      </w:r>
      <w:r>
        <w:rPr>
          <w:color w:val="231F20"/>
          <w:sz w:val="20"/>
        </w:rPr>
        <w:t>operating</w:t>
      </w:r>
      <w:r>
        <w:rPr>
          <w:color w:val="231F20"/>
          <w:spacing w:val="-5"/>
          <w:sz w:val="20"/>
        </w:rPr>
        <w:t> </w:t>
      </w:r>
      <w:r>
        <w:rPr>
          <w:color w:val="231F20"/>
          <w:spacing w:val="-2"/>
          <w:sz w:val="20"/>
        </w:rPr>
        <w:t>activities;</w:t>
      </w:r>
    </w:p>
    <w:p>
      <w:pPr>
        <w:pStyle w:val="ListParagraph"/>
        <w:numPr>
          <w:ilvl w:val="0"/>
          <w:numId w:val="4"/>
        </w:numPr>
        <w:tabs>
          <w:tab w:pos="1800" w:val="left" w:leader="none"/>
          <w:tab w:pos="1801" w:val="left" w:leader="none"/>
        </w:tabs>
        <w:spacing w:line="240" w:lineRule="auto" w:before="32" w:after="0"/>
        <w:ind w:left="1800" w:right="0" w:hanging="361"/>
        <w:jc w:val="left"/>
        <w:rPr>
          <w:sz w:val="20"/>
        </w:rPr>
      </w:pPr>
      <w:r>
        <w:rPr>
          <w:color w:val="231F20"/>
          <w:sz w:val="20"/>
        </w:rPr>
        <w:t>Cash</w:t>
      </w:r>
      <w:r>
        <w:rPr>
          <w:color w:val="231F20"/>
          <w:spacing w:val="-5"/>
          <w:sz w:val="20"/>
        </w:rPr>
        <w:t> </w:t>
      </w:r>
      <w:r>
        <w:rPr>
          <w:color w:val="231F20"/>
          <w:sz w:val="20"/>
        </w:rPr>
        <w:t>flows</w:t>
      </w:r>
      <w:r>
        <w:rPr>
          <w:color w:val="231F20"/>
          <w:spacing w:val="-4"/>
          <w:sz w:val="20"/>
        </w:rPr>
        <w:t> </w:t>
      </w:r>
      <w:r>
        <w:rPr>
          <w:color w:val="231F20"/>
          <w:sz w:val="20"/>
        </w:rPr>
        <w:t>from</w:t>
      </w:r>
      <w:r>
        <w:rPr>
          <w:color w:val="231F20"/>
          <w:spacing w:val="-5"/>
          <w:sz w:val="20"/>
        </w:rPr>
        <w:t> </w:t>
      </w:r>
      <w:r>
        <w:rPr>
          <w:color w:val="231F20"/>
          <w:sz w:val="20"/>
        </w:rPr>
        <w:t>noncapital</w:t>
      </w:r>
      <w:r>
        <w:rPr>
          <w:color w:val="231F20"/>
          <w:spacing w:val="-4"/>
          <w:sz w:val="20"/>
        </w:rPr>
        <w:t> </w:t>
      </w:r>
      <w:r>
        <w:rPr>
          <w:color w:val="231F20"/>
          <w:sz w:val="20"/>
        </w:rPr>
        <w:t>financing</w:t>
      </w:r>
      <w:r>
        <w:rPr>
          <w:color w:val="231F20"/>
          <w:spacing w:val="-4"/>
          <w:sz w:val="20"/>
        </w:rPr>
        <w:t> </w:t>
      </w:r>
      <w:r>
        <w:rPr>
          <w:color w:val="231F20"/>
          <w:spacing w:val="-2"/>
          <w:sz w:val="20"/>
        </w:rPr>
        <w:t>activities;</w:t>
      </w:r>
    </w:p>
    <w:p>
      <w:pPr>
        <w:pStyle w:val="ListParagraph"/>
        <w:numPr>
          <w:ilvl w:val="0"/>
          <w:numId w:val="4"/>
        </w:numPr>
        <w:tabs>
          <w:tab w:pos="1800" w:val="left" w:leader="none"/>
          <w:tab w:pos="1801" w:val="left" w:leader="none"/>
        </w:tabs>
        <w:spacing w:line="240" w:lineRule="auto" w:before="34" w:after="0"/>
        <w:ind w:left="1800" w:right="0" w:hanging="361"/>
        <w:jc w:val="left"/>
        <w:rPr>
          <w:sz w:val="20"/>
        </w:rPr>
      </w:pPr>
      <w:r>
        <w:rPr>
          <w:color w:val="231F20"/>
          <w:sz w:val="20"/>
        </w:rPr>
        <w:t>Cash</w:t>
      </w:r>
      <w:r>
        <w:rPr>
          <w:color w:val="231F20"/>
          <w:spacing w:val="-6"/>
          <w:sz w:val="20"/>
        </w:rPr>
        <w:t> </w:t>
      </w:r>
      <w:r>
        <w:rPr>
          <w:color w:val="231F20"/>
          <w:sz w:val="20"/>
        </w:rPr>
        <w:t>flows</w:t>
      </w:r>
      <w:r>
        <w:rPr>
          <w:color w:val="231F20"/>
          <w:spacing w:val="-5"/>
          <w:sz w:val="20"/>
        </w:rPr>
        <w:t> </w:t>
      </w:r>
      <w:r>
        <w:rPr>
          <w:color w:val="231F20"/>
          <w:sz w:val="20"/>
        </w:rPr>
        <w:t>from</w:t>
      </w:r>
      <w:r>
        <w:rPr>
          <w:color w:val="231F20"/>
          <w:spacing w:val="-5"/>
          <w:sz w:val="20"/>
        </w:rPr>
        <w:t> </w:t>
      </w:r>
      <w:r>
        <w:rPr>
          <w:color w:val="231F20"/>
          <w:sz w:val="20"/>
        </w:rPr>
        <w:t>capital</w:t>
      </w:r>
      <w:r>
        <w:rPr>
          <w:color w:val="231F20"/>
          <w:spacing w:val="-6"/>
          <w:sz w:val="20"/>
        </w:rPr>
        <w:t> </w:t>
      </w:r>
      <w:r>
        <w:rPr>
          <w:color w:val="231F20"/>
          <w:sz w:val="20"/>
        </w:rPr>
        <w:t>and</w:t>
      </w:r>
      <w:r>
        <w:rPr>
          <w:color w:val="231F20"/>
          <w:spacing w:val="-5"/>
          <w:sz w:val="20"/>
        </w:rPr>
        <w:t> </w:t>
      </w:r>
      <w:r>
        <w:rPr>
          <w:color w:val="231F20"/>
          <w:sz w:val="20"/>
        </w:rPr>
        <w:t>related</w:t>
      </w:r>
      <w:r>
        <w:rPr>
          <w:color w:val="231F20"/>
          <w:spacing w:val="-5"/>
          <w:sz w:val="20"/>
        </w:rPr>
        <w:t> </w:t>
      </w:r>
      <w:r>
        <w:rPr>
          <w:color w:val="231F20"/>
          <w:sz w:val="20"/>
        </w:rPr>
        <w:t>financing</w:t>
      </w:r>
      <w:r>
        <w:rPr>
          <w:color w:val="231F20"/>
          <w:spacing w:val="-5"/>
          <w:sz w:val="20"/>
        </w:rPr>
        <w:t> </w:t>
      </w:r>
      <w:r>
        <w:rPr>
          <w:color w:val="231F20"/>
          <w:spacing w:val="-2"/>
          <w:sz w:val="20"/>
        </w:rPr>
        <w:t>activities;</w:t>
      </w:r>
    </w:p>
    <w:p>
      <w:pPr>
        <w:pStyle w:val="ListParagraph"/>
        <w:numPr>
          <w:ilvl w:val="0"/>
          <w:numId w:val="4"/>
        </w:numPr>
        <w:tabs>
          <w:tab w:pos="1800" w:val="left" w:leader="none"/>
          <w:tab w:pos="1801" w:val="left" w:leader="none"/>
        </w:tabs>
        <w:spacing w:line="240" w:lineRule="auto" w:before="32" w:after="0"/>
        <w:ind w:left="1800" w:right="0" w:hanging="361"/>
        <w:jc w:val="left"/>
        <w:rPr>
          <w:sz w:val="20"/>
        </w:rPr>
      </w:pPr>
      <w:r>
        <w:rPr>
          <w:color w:val="231F20"/>
          <w:sz w:val="20"/>
        </w:rPr>
        <w:t>Cash</w:t>
      </w:r>
      <w:r>
        <w:rPr>
          <w:color w:val="231F20"/>
          <w:spacing w:val="-7"/>
          <w:sz w:val="20"/>
        </w:rPr>
        <w:t> </w:t>
      </w:r>
      <w:r>
        <w:rPr>
          <w:color w:val="231F20"/>
          <w:sz w:val="20"/>
        </w:rPr>
        <w:t>flows</w:t>
      </w:r>
      <w:r>
        <w:rPr>
          <w:color w:val="231F20"/>
          <w:spacing w:val="-6"/>
          <w:sz w:val="20"/>
        </w:rPr>
        <w:t> </w:t>
      </w:r>
      <w:r>
        <w:rPr>
          <w:color w:val="231F20"/>
          <w:sz w:val="20"/>
        </w:rPr>
        <w:t>from</w:t>
      </w:r>
      <w:r>
        <w:rPr>
          <w:color w:val="231F20"/>
          <w:spacing w:val="-6"/>
          <w:sz w:val="20"/>
        </w:rPr>
        <w:t> </w:t>
      </w:r>
      <w:r>
        <w:rPr>
          <w:color w:val="231F20"/>
          <w:sz w:val="20"/>
        </w:rPr>
        <w:t>investment</w:t>
      </w:r>
      <w:r>
        <w:rPr>
          <w:color w:val="231F20"/>
          <w:spacing w:val="-6"/>
          <w:sz w:val="20"/>
        </w:rPr>
        <w:t> </w:t>
      </w:r>
      <w:r>
        <w:rPr>
          <w:color w:val="231F20"/>
          <w:sz w:val="20"/>
        </w:rPr>
        <w:t>activities;</w:t>
      </w:r>
      <w:r>
        <w:rPr>
          <w:color w:val="231F20"/>
          <w:spacing w:val="-6"/>
          <w:sz w:val="20"/>
        </w:rPr>
        <w:t> </w:t>
      </w:r>
      <w:r>
        <w:rPr>
          <w:color w:val="231F20"/>
          <w:spacing w:val="-5"/>
          <w:sz w:val="20"/>
        </w:rPr>
        <w:t>and</w:t>
      </w:r>
    </w:p>
    <w:p>
      <w:pPr>
        <w:pStyle w:val="ListParagraph"/>
        <w:numPr>
          <w:ilvl w:val="0"/>
          <w:numId w:val="4"/>
        </w:numPr>
        <w:tabs>
          <w:tab w:pos="1800" w:val="left" w:leader="none"/>
          <w:tab w:pos="1801" w:val="left" w:leader="none"/>
        </w:tabs>
        <w:spacing w:line="240" w:lineRule="auto" w:before="33" w:after="0"/>
        <w:ind w:left="1800" w:right="0" w:hanging="361"/>
        <w:jc w:val="left"/>
        <w:rPr>
          <w:sz w:val="20"/>
        </w:rPr>
      </w:pPr>
      <w:r>
        <w:rPr>
          <w:color w:val="231F20"/>
          <w:sz w:val="20"/>
        </w:rPr>
        <w:t>Reconciliation</w:t>
      </w:r>
      <w:r>
        <w:rPr>
          <w:color w:val="231F20"/>
          <w:spacing w:val="-9"/>
          <w:sz w:val="20"/>
        </w:rPr>
        <w:t> </w:t>
      </w:r>
      <w:r>
        <w:rPr>
          <w:color w:val="231F20"/>
          <w:sz w:val="20"/>
        </w:rPr>
        <w:t>of</w:t>
      </w:r>
      <w:r>
        <w:rPr>
          <w:color w:val="231F20"/>
          <w:spacing w:val="-6"/>
          <w:sz w:val="20"/>
        </w:rPr>
        <w:t> </w:t>
      </w:r>
      <w:r>
        <w:rPr>
          <w:color w:val="231F20"/>
          <w:sz w:val="20"/>
        </w:rPr>
        <w:t>operating</w:t>
      </w:r>
      <w:r>
        <w:rPr>
          <w:color w:val="231F20"/>
          <w:spacing w:val="-7"/>
          <w:sz w:val="20"/>
        </w:rPr>
        <w:t> </w:t>
      </w:r>
      <w:r>
        <w:rPr>
          <w:color w:val="231F20"/>
          <w:sz w:val="20"/>
        </w:rPr>
        <w:t>income</w:t>
      </w:r>
      <w:r>
        <w:rPr>
          <w:color w:val="231F20"/>
          <w:spacing w:val="-7"/>
          <w:sz w:val="20"/>
        </w:rPr>
        <w:t> </w:t>
      </w:r>
      <w:r>
        <w:rPr>
          <w:color w:val="231F20"/>
          <w:sz w:val="20"/>
        </w:rPr>
        <w:t>(loss)</w:t>
      </w:r>
      <w:r>
        <w:rPr>
          <w:color w:val="231F20"/>
          <w:spacing w:val="-6"/>
          <w:sz w:val="20"/>
        </w:rPr>
        <w:t> </w:t>
      </w:r>
      <w:r>
        <w:rPr>
          <w:color w:val="231F20"/>
          <w:sz w:val="20"/>
        </w:rPr>
        <w:t>to</w:t>
      </w:r>
      <w:r>
        <w:rPr>
          <w:color w:val="231F20"/>
          <w:spacing w:val="-6"/>
          <w:sz w:val="20"/>
        </w:rPr>
        <w:t> </w:t>
      </w:r>
      <w:r>
        <w:rPr>
          <w:color w:val="231F20"/>
          <w:sz w:val="20"/>
        </w:rPr>
        <w:t>net</w:t>
      </w:r>
      <w:r>
        <w:rPr>
          <w:color w:val="231F20"/>
          <w:spacing w:val="-6"/>
          <w:sz w:val="20"/>
        </w:rPr>
        <w:t> </w:t>
      </w:r>
      <w:r>
        <w:rPr>
          <w:color w:val="231F20"/>
          <w:sz w:val="20"/>
        </w:rPr>
        <w:t>cash</w:t>
      </w:r>
      <w:r>
        <w:rPr>
          <w:color w:val="231F20"/>
          <w:spacing w:val="-7"/>
          <w:sz w:val="20"/>
        </w:rPr>
        <w:t> </w:t>
      </w:r>
      <w:r>
        <w:rPr>
          <w:color w:val="231F20"/>
          <w:sz w:val="20"/>
        </w:rPr>
        <w:t>provided</w:t>
      </w:r>
      <w:r>
        <w:rPr>
          <w:color w:val="231F20"/>
          <w:spacing w:val="-6"/>
          <w:sz w:val="20"/>
        </w:rPr>
        <w:t> </w:t>
      </w:r>
      <w:r>
        <w:rPr>
          <w:color w:val="231F20"/>
          <w:sz w:val="20"/>
        </w:rPr>
        <w:t>by</w:t>
      </w:r>
      <w:r>
        <w:rPr>
          <w:color w:val="231F20"/>
          <w:spacing w:val="-7"/>
          <w:sz w:val="20"/>
        </w:rPr>
        <w:t> </w:t>
      </w:r>
      <w:r>
        <w:rPr>
          <w:color w:val="231F20"/>
          <w:sz w:val="20"/>
        </w:rPr>
        <w:t>(used</w:t>
      </w:r>
      <w:r>
        <w:rPr>
          <w:color w:val="231F20"/>
          <w:spacing w:val="-6"/>
          <w:sz w:val="20"/>
        </w:rPr>
        <w:t> </w:t>
      </w:r>
      <w:r>
        <w:rPr>
          <w:color w:val="231F20"/>
          <w:sz w:val="20"/>
        </w:rPr>
        <w:t>in)</w:t>
      </w:r>
      <w:r>
        <w:rPr>
          <w:color w:val="231F20"/>
          <w:spacing w:val="-6"/>
          <w:sz w:val="20"/>
        </w:rPr>
        <w:t> </w:t>
      </w:r>
      <w:r>
        <w:rPr>
          <w:color w:val="231F20"/>
          <w:sz w:val="20"/>
        </w:rPr>
        <w:t>operating</w:t>
      </w:r>
      <w:r>
        <w:rPr>
          <w:color w:val="231F20"/>
          <w:spacing w:val="-6"/>
          <w:sz w:val="20"/>
        </w:rPr>
        <w:t> </w:t>
      </w:r>
      <w:r>
        <w:rPr>
          <w:color w:val="231F20"/>
          <w:spacing w:val="-2"/>
          <w:sz w:val="20"/>
        </w:rPr>
        <w:t>activities.</w:t>
      </w:r>
    </w:p>
    <w:p>
      <w:pPr>
        <w:pStyle w:val="BodyText"/>
        <w:spacing w:before="9"/>
        <w:rPr>
          <w:sz w:val="25"/>
        </w:rPr>
      </w:pPr>
    </w:p>
    <w:p>
      <w:pPr>
        <w:pStyle w:val="BodyText"/>
        <w:spacing w:line="276" w:lineRule="auto"/>
        <w:ind w:left="1440" w:right="1048"/>
      </w:pPr>
      <w:r>
        <w:rPr>
          <w:color w:val="231F20"/>
        </w:rPr>
        <w:t>Note:</w:t>
      </w:r>
      <w:r>
        <w:rPr>
          <w:color w:val="231F20"/>
          <w:spacing w:val="-3"/>
        </w:rPr>
        <w:t> </w:t>
      </w:r>
      <w:r>
        <w:rPr>
          <w:color w:val="231F20"/>
        </w:rPr>
        <w:t>The</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Tech</w:t>
      </w:r>
      <w:r>
        <w:rPr>
          <w:color w:val="231F20"/>
          <w:spacing w:val="-3"/>
        </w:rPr>
        <w:t> </w:t>
      </w:r>
      <w:r>
        <w:rPr>
          <w:color w:val="231F20"/>
        </w:rPr>
        <w:t>Foundation</w:t>
      </w:r>
      <w:r>
        <w:rPr>
          <w:color w:val="231F20"/>
          <w:spacing w:val="-4"/>
        </w:rPr>
        <w:t> </w:t>
      </w:r>
      <w:r>
        <w:rPr>
          <w:color w:val="231F20"/>
        </w:rPr>
        <w:t>is</w:t>
      </w:r>
      <w:r>
        <w:rPr>
          <w:color w:val="231F20"/>
          <w:spacing w:val="-3"/>
        </w:rPr>
        <w:t> </w:t>
      </w:r>
      <w:r>
        <w:rPr>
          <w:color w:val="231F20"/>
        </w:rPr>
        <w:t>included</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component</w:t>
      </w:r>
      <w:r>
        <w:rPr>
          <w:color w:val="231F20"/>
          <w:spacing w:val="-4"/>
        </w:rPr>
        <w:t> </w:t>
      </w:r>
      <w:r>
        <w:rPr>
          <w:color w:val="231F20"/>
        </w:rPr>
        <w:t>unit,</w:t>
      </w:r>
      <w:r>
        <w:rPr>
          <w:color w:val="231F20"/>
          <w:spacing w:val="-3"/>
        </w:rPr>
        <w:t> </w:t>
      </w:r>
      <w:r>
        <w:rPr>
          <w:color w:val="231F20"/>
        </w:rPr>
        <w:t>but</w:t>
      </w:r>
      <w:r>
        <w:rPr>
          <w:color w:val="231F20"/>
          <w:spacing w:val="-3"/>
        </w:rPr>
        <w:t> </w:t>
      </w:r>
      <w:r>
        <w:rPr>
          <w:color w:val="231F20"/>
        </w:rPr>
        <w:t>its</w:t>
      </w:r>
      <w:r>
        <w:rPr>
          <w:color w:val="231F20"/>
          <w:spacing w:val="-3"/>
        </w:rPr>
        <w:t> </w:t>
      </w:r>
      <w:r>
        <w:rPr>
          <w:color w:val="231F20"/>
        </w:rPr>
        <w:t>operations</w:t>
      </w:r>
      <w:r>
        <w:rPr>
          <w:color w:val="231F20"/>
          <w:spacing w:val="-3"/>
        </w:rPr>
        <w:t> </w:t>
      </w:r>
      <w:r>
        <w:rPr>
          <w:color w:val="231F20"/>
        </w:rPr>
        <w:t>are</w:t>
      </w:r>
      <w:r>
        <w:rPr>
          <w:color w:val="231F20"/>
          <w:spacing w:val="-4"/>
        </w:rPr>
        <w:t> </w:t>
      </w:r>
      <w:r>
        <w:rPr>
          <w:color w:val="231F20"/>
        </w:rPr>
        <w:t>not managed or controlled by New Mexico Tech.</w:t>
      </w:r>
    </w:p>
    <w:p>
      <w:pPr>
        <w:pStyle w:val="BodyText"/>
        <w:rPr>
          <w:sz w:val="23"/>
        </w:rPr>
      </w:pPr>
    </w:p>
    <w:p>
      <w:pPr>
        <w:pStyle w:val="Heading4"/>
      </w:pPr>
      <w:r>
        <w:rPr>
          <w:color w:val="231F20"/>
        </w:rPr>
        <w:t>Comparison</w:t>
      </w:r>
      <w:r>
        <w:rPr>
          <w:color w:val="231F20"/>
          <w:spacing w:val="-3"/>
        </w:rPr>
        <w:t> </w:t>
      </w:r>
      <w:r>
        <w:rPr>
          <w:color w:val="231F20"/>
        </w:rPr>
        <w:t>of</w:t>
      </w:r>
      <w:r>
        <w:rPr>
          <w:color w:val="231F20"/>
          <w:spacing w:val="-3"/>
        </w:rPr>
        <w:t> </w:t>
      </w:r>
      <w:r>
        <w:rPr>
          <w:color w:val="231F20"/>
        </w:rPr>
        <w:t>Budget</w:t>
      </w:r>
      <w:r>
        <w:rPr>
          <w:color w:val="231F20"/>
          <w:spacing w:val="-3"/>
        </w:rPr>
        <w:t> </w:t>
      </w:r>
      <w:r>
        <w:rPr>
          <w:color w:val="231F20"/>
        </w:rPr>
        <w:t>to</w:t>
      </w:r>
      <w:r>
        <w:rPr>
          <w:color w:val="231F20"/>
          <w:spacing w:val="-3"/>
        </w:rPr>
        <w:t> </w:t>
      </w:r>
      <w:r>
        <w:rPr>
          <w:color w:val="231F20"/>
          <w:spacing w:val="-2"/>
        </w:rPr>
        <w:t>Actual</w:t>
      </w:r>
    </w:p>
    <w:p>
      <w:pPr>
        <w:pStyle w:val="BodyText"/>
        <w:spacing w:line="276" w:lineRule="auto" w:before="35"/>
        <w:ind w:left="1440" w:right="891"/>
      </w:pPr>
      <w:r>
        <w:rPr>
          <w:color w:val="231F20"/>
        </w:rPr>
        <w:t>Included</w:t>
      </w:r>
      <w:r>
        <w:rPr>
          <w:color w:val="231F20"/>
          <w:spacing w:val="-3"/>
        </w:rPr>
        <w:t> </w:t>
      </w:r>
      <w:r>
        <w:rPr>
          <w:color w:val="231F20"/>
        </w:rPr>
        <w:t>in</w:t>
      </w:r>
      <w:r>
        <w:rPr>
          <w:color w:val="231F20"/>
          <w:spacing w:val="-3"/>
        </w:rPr>
        <w:t> </w:t>
      </w:r>
      <w:r>
        <w:rPr>
          <w:color w:val="231F20"/>
        </w:rPr>
        <w:t>this</w:t>
      </w:r>
      <w:r>
        <w:rPr>
          <w:color w:val="231F20"/>
          <w:spacing w:val="-3"/>
        </w:rPr>
        <w:t> </w:t>
      </w:r>
      <w:r>
        <w:rPr>
          <w:color w:val="231F20"/>
        </w:rPr>
        <w:t>audit</w:t>
      </w:r>
      <w:r>
        <w:rPr>
          <w:color w:val="231F20"/>
          <w:spacing w:val="-3"/>
        </w:rPr>
        <w:t> </w:t>
      </w:r>
      <w:r>
        <w:rPr>
          <w:color w:val="231F20"/>
        </w:rPr>
        <w:t>report</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Budget</w:t>
      </w:r>
      <w:r>
        <w:rPr>
          <w:color w:val="231F20"/>
          <w:spacing w:val="-4"/>
        </w:rPr>
        <w:t> </w:t>
      </w:r>
      <w:r>
        <w:rPr>
          <w:color w:val="231F20"/>
        </w:rPr>
        <w:t>Comparison</w:t>
      </w:r>
      <w:r>
        <w:rPr>
          <w:color w:val="231F20"/>
          <w:spacing w:val="-3"/>
        </w:rPr>
        <w:t> </w:t>
      </w:r>
      <w:r>
        <w:rPr>
          <w:color w:val="231F20"/>
        </w:rPr>
        <w:t>Summary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original</w:t>
      </w:r>
      <w:r>
        <w:rPr>
          <w:color w:val="231F20"/>
          <w:spacing w:val="-3"/>
        </w:rPr>
        <w:t> </w:t>
      </w:r>
      <w:r>
        <w:rPr>
          <w:color w:val="231F20"/>
        </w:rPr>
        <w:t>budget</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final</w:t>
      </w:r>
      <w:r>
        <w:rPr>
          <w:color w:val="231F20"/>
          <w:spacing w:val="-3"/>
        </w:rPr>
        <w:t> </w:t>
      </w:r>
      <w:r>
        <w:rPr>
          <w:color w:val="231F20"/>
        </w:rPr>
        <w:t>budget</w:t>
      </w:r>
      <w:r>
        <w:rPr>
          <w:color w:val="231F20"/>
          <w:spacing w:val="-3"/>
        </w:rPr>
        <w:t> </w:t>
      </w:r>
      <w:r>
        <w:rPr>
          <w:color w:val="231F20"/>
        </w:rPr>
        <w:t>to actual revenue and expenses for current unrestricted funds and current restricted funds. This report is written in a format required by the New Mexico State Auditor called ‘fund accounting format,’ which is used for accounting and budgeting by the State of New Mexico.</w:t>
      </w:r>
    </w:p>
    <w:p>
      <w:pPr>
        <w:pStyle w:val="BodyText"/>
        <w:rPr>
          <w:sz w:val="23"/>
        </w:rPr>
      </w:pPr>
    </w:p>
    <w:p>
      <w:pPr>
        <w:pStyle w:val="BodyText"/>
        <w:spacing w:line="276" w:lineRule="auto"/>
        <w:ind w:left="1440" w:right="891"/>
      </w:pPr>
      <w:r>
        <w:rPr>
          <w:color w:val="231F20"/>
        </w:rPr>
        <w:t>The</w:t>
      </w:r>
      <w:r>
        <w:rPr>
          <w:color w:val="231F20"/>
          <w:spacing w:val="-3"/>
        </w:rPr>
        <w:t> </w:t>
      </w:r>
      <w:r>
        <w:rPr>
          <w:color w:val="231F20"/>
        </w:rPr>
        <w:t>Original</w:t>
      </w:r>
      <w:r>
        <w:rPr>
          <w:color w:val="231F20"/>
          <w:spacing w:val="-4"/>
        </w:rPr>
        <w:t> </w:t>
      </w:r>
      <w:r>
        <w:rPr>
          <w:color w:val="231F20"/>
        </w:rPr>
        <w:t>Budget</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Final</w:t>
      </w:r>
      <w:r>
        <w:rPr>
          <w:color w:val="231F20"/>
          <w:spacing w:val="-3"/>
        </w:rPr>
        <w:t> </w:t>
      </w:r>
      <w:r>
        <w:rPr>
          <w:color w:val="231F20"/>
        </w:rPr>
        <w:t>Budget</w:t>
      </w:r>
      <w:r>
        <w:rPr>
          <w:color w:val="231F20"/>
          <w:spacing w:val="-3"/>
        </w:rPr>
        <w:t> </w:t>
      </w:r>
      <w:r>
        <w:rPr>
          <w:color w:val="231F20"/>
        </w:rPr>
        <w:t>are</w:t>
      </w:r>
      <w:r>
        <w:rPr>
          <w:color w:val="231F20"/>
          <w:spacing w:val="-4"/>
        </w:rPr>
        <w:t> </w:t>
      </w:r>
      <w:r>
        <w:rPr>
          <w:color w:val="231F20"/>
        </w:rPr>
        <w:t>compared</w:t>
      </w:r>
      <w:r>
        <w:rPr>
          <w:color w:val="231F20"/>
          <w:spacing w:val="-1"/>
        </w:rPr>
        <w:t> </w:t>
      </w:r>
      <w:r>
        <w:rPr>
          <w:color w:val="231F20"/>
        </w:rPr>
        <w:t>to</w:t>
      </w:r>
      <w:r>
        <w:rPr>
          <w:color w:val="231F20"/>
          <w:spacing w:val="-3"/>
        </w:rPr>
        <w:t> </w:t>
      </w:r>
      <w:r>
        <w:rPr>
          <w:color w:val="231F20"/>
        </w:rPr>
        <w:t>Actual</w:t>
      </w:r>
      <w:r>
        <w:rPr>
          <w:color w:val="231F20"/>
          <w:spacing w:val="-3"/>
        </w:rPr>
        <w:t> </w:t>
      </w:r>
      <w:r>
        <w:rPr>
          <w:color w:val="231F20"/>
        </w:rPr>
        <w:t>Revenues</w:t>
      </w:r>
      <w:r>
        <w:rPr>
          <w:color w:val="231F20"/>
          <w:spacing w:val="-3"/>
        </w:rPr>
        <w:t> </w:t>
      </w:r>
      <w:r>
        <w:rPr>
          <w:color w:val="231F20"/>
        </w:rPr>
        <w:t>and</w:t>
      </w:r>
      <w:r>
        <w:rPr>
          <w:color w:val="231F20"/>
          <w:spacing w:val="-3"/>
        </w:rPr>
        <w:t> </w:t>
      </w:r>
      <w:r>
        <w:rPr>
          <w:color w:val="231F20"/>
        </w:rPr>
        <w:t>Expenditures</w:t>
      </w:r>
      <w:r>
        <w:rPr>
          <w:color w:val="231F20"/>
          <w:spacing w:val="-3"/>
        </w:rPr>
        <w:t> </w:t>
      </w:r>
      <w:r>
        <w:rPr>
          <w:color w:val="231F20"/>
        </w:rPr>
        <w:t>to</w:t>
      </w:r>
      <w:r>
        <w:rPr>
          <w:color w:val="231F20"/>
          <w:spacing w:val="-3"/>
        </w:rPr>
        <w:t> </w:t>
      </w:r>
      <w:r>
        <w:rPr>
          <w:color w:val="231F20"/>
        </w:rPr>
        <w:t>reflect the changes in the original budget at New Mexico Tech as compared to the final outcome.</w:t>
      </w:r>
    </w:p>
    <w:p>
      <w:pPr>
        <w:pStyle w:val="BodyText"/>
        <w:rPr>
          <w:sz w:val="23"/>
        </w:rPr>
      </w:pPr>
    </w:p>
    <w:p>
      <w:pPr>
        <w:pStyle w:val="BodyText"/>
        <w:spacing w:line="276" w:lineRule="auto"/>
        <w:ind w:left="1440" w:right="891"/>
      </w:pPr>
      <w:r>
        <w:rPr>
          <w:color w:val="231F20"/>
        </w:rPr>
        <w:t>A reconciliation of the budget to actual revenues and expenditures is added to ensure that the budgeted and actual numbers agree with the financial statements in accordance with US GAAP. The budget is adjusted during the year with a Budget Adjustment Request (BAR) that is submitted to, and approved by, the</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Higher</w:t>
      </w:r>
      <w:r>
        <w:rPr>
          <w:color w:val="231F20"/>
          <w:spacing w:val="-3"/>
        </w:rPr>
        <w:t> </w:t>
      </w:r>
      <w:r>
        <w:rPr>
          <w:color w:val="231F20"/>
        </w:rPr>
        <w:t>Education</w:t>
      </w:r>
      <w:r>
        <w:rPr>
          <w:color w:val="231F20"/>
          <w:spacing w:val="-3"/>
        </w:rPr>
        <w:t> </w:t>
      </w:r>
      <w:r>
        <w:rPr>
          <w:color w:val="231F20"/>
        </w:rPr>
        <w:t>Department</w:t>
      </w:r>
      <w:r>
        <w:rPr>
          <w:color w:val="231F20"/>
          <w:spacing w:val="-3"/>
        </w:rPr>
        <w:t> </w:t>
      </w:r>
      <w:r>
        <w:rPr>
          <w:color w:val="231F20"/>
        </w:rPr>
        <w:t>(HED)</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Department</w:t>
      </w:r>
      <w:r>
        <w:rPr>
          <w:color w:val="231F20"/>
          <w:spacing w:val="-3"/>
        </w:rPr>
        <w:t> </w:t>
      </w:r>
      <w:r>
        <w:rPr>
          <w:color w:val="231F20"/>
        </w:rPr>
        <w:t>of</w:t>
      </w:r>
      <w:r>
        <w:rPr>
          <w:color w:val="231F20"/>
          <w:spacing w:val="-3"/>
        </w:rPr>
        <w:t> </w:t>
      </w:r>
      <w:r>
        <w:rPr>
          <w:color w:val="231F20"/>
        </w:rPr>
        <w:t>Finance</w:t>
      </w:r>
      <w:r>
        <w:rPr>
          <w:color w:val="231F20"/>
          <w:spacing w:val="-3"/>
        </w:rPr>
        <w:t> </w:t>
      </w:r>
      <w:r>
        <w:rPr>
          <w:color w:val="231F20"/>
        </w:rPr>
        <w:t>(DFA).</w:t>
      </w:r>
    </w:p>
    <w:p>
      <w:pPr>
        <w:pStyle w:val="BodyText"/>
        <w:spacing w:before="11"/>
        <w:rPr>
          <w:sz w:val="22"/>
        </w:rPr>
      </w:pPr>
    </w:p>
    <w:p>
      <w:pPr>
        <w:pStyle w:val="BodyText"/>
        <w:spacing w:line="276" w:lineRule="auto"/>
        <w:ind w:left="1440" w:right="1048"/>
      </w:pPr>
      <w:r>
        <w:rPr>
          <w:color w:val="231F20"/>
        </w:rPr>
        <w:t>The restricted current funds revenues and expenditures budget comparisons are presented in accordance</w:t>
      </w:r>
      <w:r>
        <w:rPr>
          <w:color w:val="231F20"/>
          <w:spacing w:val="-4"/>
        </w:rPr>
        <w:t> </w:t>
      </w:r>
      <w:r>
        <w:rPr>
          <w:color w:val="231F20"/>
        </w:rPr>
        <w:t>with</w:t>
      </w:r>
      <w:r>
        <w:rPr>
          <w:color w:val="231F20"/>
          <w:spacing w:val="-3"/>
        </w:rPr>
        <w:t> </w:t>
      </w:r>
      <w:r>
        <w:rPr>
          <w:color w:val="231F20"/>
        </w:rPr>
        <w:t>state</w:t>
      </w:r>
      <w:r>
        <w:rPr>
          <w:color w:val="231F20"/>
          <w:spacing w:val="-3"/>
        </w:rPr>
        <w:t> </w:t>
      </w:r>
      <w:r>
        <w:rPr>
          <w:color w:val="231F20"/>
        </w:rPr>
        <w:t>auditor</w:t>
      </w:r>
      <w:r>
        <w:rPr>
          <w:color w:val="231F20"/>
          <w:spacing w:val="-3"/>
        </w:rPr>
        <w:t> </w:t>
      </w:r>
      <w:r>
        <w:rPr>
          <w:color w:val="231F20"/>
        </w:rPr>
        <w:t>standards.</w:t>
      </w:r>
      <w:r>
        <w:rPr>
          <w:color w:val="231F20"/>
          <w:spacing w:val="-3"/>
        </w:rPr>
        <w:t> </w:t>
      </w:r>
      <w:r>
        <w:rPr>
          <w:color w:val="231F20"/>
        </w:rPr>
        <w:t>Unlike</w:t>
      </w:r>
      <w:r>
        <w:rPr>
          <w:color w:val="231F20"/>
          <w:spacing w:val="-3"/>
        </w:rPr>
        <w:t> </w:t>
      </w:r>
      <w:r>
        <w:rPr>
          <w:color w:val="231F20"/>
        </w:rPr>
        <w:t>the</w:t>
      </w:r>
      <w:r>
        <w:rPr>
          <w:color w:val="231F20"/>
          <w:spacing w:val="-4"/>
        </w:rPr>
        <w:t> </w:t>
      </w:r>
      <w:r>
        <w:rPr>
          <w:color w:val="231F20"/>
        </w:rPr>
        <w:t>unrestricted</w:t>
      </w:r>
      <w:r>
        <w:rPr>
          <w:color w:val="231F20"/>
          <w:spacing w:val="-4"/>
        </w:rPr>
        <w:t> </w:t>
      </w:r>
      <w:r>
        <w:rPr>
          <w:color w:val="231F20"/>
        </w:rPr>
        <w:t>current</w:t>
      </w:r>
      <w:r>
        <w:rPr>
          <w:color w:val="231F20"/>
          <w:spacing w:val="-3"/>
        </w:rPr>
        <w:t> </w:t>
      </w:r>
      <w:r>
        <w:rPr>
          <w:color w:val="231F20"/>
        </w:rPr>
        <w:t>fund,</w:t>
      </w:r>
      <w:r>
        <w:rPr>
          <w:color w:val="231F20"/>
          <w:spacing w:val="-3"/>
        </w:rPr>
        <w:t> </w:t>
      </w:r>
      <w:r>
        <w:rPr>
          <w:color w:val="231F20"/>
        </w:rPr>
        <w:t>the</w:t>
      </w:r>
      <w:r>
        <w:rPr>
          <w:color w:val="231F20"/>
          <w:spacing w:val="-3"/>
        </w:rPr>
        <w:t> </w:t>
      </w:r>
      <w:r>
        <w:rPr>
          <w:color w:val="231F20"/>
        </w:rPr>
        <w:t>activity</w:t>
      </w:r>
      <w:r>
        <w:rPr>
          <w:color w:val="231F20"/>
          <w:spacing w:val="-3"/>
        </w:rPr>
        <w:t> </w:t>
      </w:r>
      <w:r>
        <w:rPr>
          <w:color w:val="231F20"/>
        </w:rPr>
        <w:t>for</w:t>
      </w:r>
      <w:r>
        <w:rPr>
          <w:color w:val="231F20"/>
          <w:spacing w:val="-3"/>
        </w:rPr>
        <w:t> </w:t>
      </w:r>
      <w:r>
        <w:rPr>
          <w:color w:val="231F20"/>
        </w:rPr>
        <w:t>restricted current funds does not coincide with the New Mexico Tech fiscal year.</w:t>
      </w:r>
    </w:p>
    <w:p>
      <w:pPr>
        <w:pStyle w:val="BodyText"/>
        <w:spacing w:before="11"/>
        <w:rPr>
          <w:sz w:val="22"/>
        </w:rPr>
      </w:pPr>
    </w:p>
    <w:p>
      <w:pPr>
        <w:pStyle w:val="Heading4"/>
      </w:pPr>
      <w:r>
        <w:rPr>
          <w:color w:val="231F20"/>
        </w:rPr>
        <w:t>Capital</w:t>
      </w:r>
      <w:r>
        <w:rPr>
          <w:color w:val="231F20"/>
          <w:spacing w:val="-3"/>
        </w:rPr>
        <w:t> </w:t>
      </w:r>
      <w:r>
        <w:rPr>
          <w:color w:val="231F20"/>
          <w:spacing w:val="-2"/>
        </w:rPr>
        <w:t>Assets</w:t>
      </w:r>
    </w:p>
    <w:p>
      <w:pPr>
        <w:pStyle w:val="BodyText"/>
        <w:spacing w:before="35"/>
        <w:ind w:left="1440"/>
      </w:pPr>
      <w:r>
        <w:rPr>
          <w:color w:val="231F20"/>
        </w:rPr>
        <w:t>The</w:t>
      </w:r>
      <w:r>
        <w:rPr>
          <w:color w:val="231F20"/>
          <w:spacing w:val="-6"/>
        </w:rPr>
        <w:t> </w:t>
      </w:r>
      <w:r>
        <w:rPr>
          <w:color w:val="231F20"/>
        </w:rPr>
        <w:t>Deju</w:t>
      </w:r>
      <w:r>
        <w:rPr>
          <w:color w:val="231F20"/>
          <w:spacing w:val="-5"/>
        </w:rPr>
        <w:t> </w:t>
      </w:r>
      <w:r>
        <w:rPr>
          <w:color w:val="231F20"/>
        </w:rPr>
        <w:t>House</w:t>
      </w:r>
      <w:r>
        <w:rPr>
          <w:color w:val="231F20"/>
          <w:spacing w:val="-4"/>
        </w:rPr>
        <w:t> </w:t>
      </w:r>
      <w:r>
        <w:rPr>
          <w:color w:val="231F20"/>
        </w:rPr>
        <w:t>construction</w:t>
      </w:r>
      <w:r>
        <w:rPr>
          <w:color w:val="231F20"/>
          <w:spacing w:val="-4"/>
        </w:rPr>
        <w:t> </w:t>
      </w:r>
      <w:r>
        <w:rPr>
          <w:color w:val="231F20"/>
        </w:rPr>
        <w:t>has</w:t>
      </w:r>
      <w:r>
        <w:rPr>
          <w:color w:val="231F20"/>
          <w:spacing w:val="-4"/>
        </w:rPr>
        <w:t> </w:t>
      </w:r>
      <w:r>
        <w:rPr>
          <w:color w:val="231F20"/>
        </w:rPr>
        <w:t>been</w:t>
      </w:r>
      <w:r>
        <w:rPr>
          <w:color w:val="231F20"/>
          <w:spacing w:val="-4"/>
        </w:rPr>
        <w:t> </w:t>
      </w:r>
      <w:r>
        <w:rPr>
          <w:color w:val="231F20"/>
          <w:spacing w:val="-2"/>
        </w:rPr>
        <w:t>completed.</w:t>
      </w:r>
    </w:p>
    <w:p>
      <w:pPr>
        <w:pStyle w:val="BodyText"/>
        <w:rPr>
          <w:sz w:val="26"/>
        </w:rPr>
      </w:pPr>
    </w:p>
    <w:p>
      <w:pPr>
        <w:pStyle w:val="BodyText"/>
        <w:spacing w:line="276" w:lineRule="auto"/>
        <w:ind w:left="1440" w:right="891"/>
      </w:pPr>
      <w:r>
        <w:rPr>
          <w:color w:val="231F20"/>
        </w:rPr>
        <w:t>A</w:t>
      </w:r>
      <w:r>
        <w:rPr>
          <w:color w:val="231F20"/>
          <w:spacing w:val="-4"/>
        </w:rPr>
        <w:t> </w:t>
      </w:r>
      <w:r>
        <w:rPr>
          <w:color w:val="231F20"/>
        </w:rPr>
        <w:t>campus-wide</w:t>
      </w:r>
      <w:r>
        <w:rPr>
          <w:color w:val="231F20"/>
          <w:spacing w:val="-4"/>
        </w:rPr>
        <w:t> </w:t>
      </w:r>
      <w:r>
        <w:rPr>
          <w:color w:val="231F20"/>
        </w:rPr>
        <w:t>energy</w:t>
      </w:r>
      <w:r>
        <w:rPr>
          <w:color w:val="231F20"/>
          <w:spacing w:val="-4"/>
        </w:rPr>
        <w:t> </w:t>
      </w:r>
      <w:r>
        <w:rPr>
          <w:color w:val="231F20"/>
        </w:rPr>
        <w:t>audit</w:t>
      </w:r>
      <w:r>
        <w:rPr>
          <w:color w:val="231F20"/>
          <w:spacing w:val="-4"/>
        </w:rPr>
        <w:t> </w:t>
      </w:r>
      <w:r>
        <w:rPr>
          <w:color w:val="231F20"/>
        </w:rPr>
        <w:t>was</w:t>
      </w:r>
      <w:r>
        <w:rPr>
          <w:color w:val="231F20"/>
          <w:spacing w:val="-5"/>
        </w:rPr>
        <w:t> </w:t>
      </w:r>
      <w:r>
        <w:rPr>
          <w:color w:val="231F20"/>
        </w:rPr>
        <w:t>completed</w:t>
      </w:r>
      <w:r>
        <w:rPr>
          <w:color w:val="231F20"/>
          <w:spacing w:val="-4"/>
        </w:rPr>
        <w:t> </w:t>
      </w:r>
      <w:r>
        <w:rPr>
          <w:color w:val="231F20"/>
        </w:rPr>
        <w:t>in</w:t>
      </w:r>
      <w:r>
        <w:rPr>
          <w:color w:val="231F20"/>
          <w:spacing w:val="-4"/>
        </w:rPr>
        <w:t> </w:t>
      </w:r>
      <w:r>
        <w:rPr>
          <w:color w:val="231F20"/>
        </w:rPr>
        <w:t>September</w:t>
      </w:r>
      <w:r>
        <w:rPr>
          <w:color w:val="231F20"/>
          <w:spacing w:val="-4"/>
        </w:rPr>
        <w:t> </w:t>
      </w:r>
      <w:r>
        <w:rPr>
          <w:color w:val="231F20"/>
        </w:rPr>
        <w:t>2021.</w:t>
      </w:r>
      <w:r>
        <w:rPr>
          <w:color w:val="231F20"/>
          <w:spacing w:val="-4"/>
        </w:rPr>
        <w:t> </w:t>
      </w:r>
      <w:r>
        <w:rPr>
          <w:color w:val="231F20"/>
        </w:rPr>
        <w:t>All</w:t>
      </w:r>
      <w:r>
        <w:rPr>
          <w:color w:val="231F20"/>
          <w:spacing w:val="-4"/>
        </w:rPr>
        <w:t> </w:t>
      </w:r>
      <w:r>
        <w:rPr>
          <w:color w:val="231F20"/>
        </w:rPr>
        <w:t>energy</w:t>
      </w:r>
      <w:r>
        <w:rPr>
          <w:color w:val="231F20"/>
          <w:spacing w:val="-3"/>
        </w:rPr>
        <w:t> </w:t>
      </w:r>
      <w:r>
        <w:rPr>
          <w:color w:val="231F20"/>
        </w:rPr>
        <w:t>savings</w:t>
      </w:r>
      <w:r>
        <w:rPr>
          <w:color w:val="231F20"/>
          <w:spacing w:val="-4"/>
        </w:rPr>
        <w:t> </w:t>
      </w:r>
      <w:r>
        <w:rPr>
          <w:color w:val="231F20"/>
        </w:rPr>
        <w:t>measures</w:t>
      </w:r>
      <w:r>
        <w:rPr>
          <w:color w:val="231F20"/>
          <w:spacing w:val="-3"/>
        </w:rPr>
        <w:t> </w:t>
      </w:r>
      <w:r>
        <w:rPr>
          <w:color w:val="231F20"/>
        </w:rPr>
        <w:t>have</w:t>
      </w:r>
      <w:r>
        <w:rPr>
          <w:color w:val="231F20"/>
          <w:spacing w:val="-4"/>
        </w:rPr>
        <w:t> </w:t>
      </w:r>
      <w:r>
        <w:rPr>
          <w:color w:val="231F20"/>
        </w:rPr>
        <w:t>been installed and a third party conducted their project review to ensure that everything installed is working as </w:t>
      </w:r>
      <w:r>
        <w:rPr>
          <w:color w:val="231F20"/>
          <w:spacing w:val="-2"/>
        </w:rPr>
        <w:t>intended.</w:t>
      </w:r>
    </w:p>
    <w:p>
      <w:pPr>
        <w:pStyle w:val="BodyText"/>
        <w:spacing w:before="11"/>
        <w:rPr>
          <w:sz w:val="22"/>
        </w:rPr>
      </w:pPr>
    </w:p>
    <w:p>
      <w:pPr>
        <w:pStyle w:val="BodyText"/>
        <w:spacing w:line="276" w:lineRule="auto"/>
        <w:ind w:left="1440" w:right="891"/>
        <w:rPr>
          <w:rFonts w:ascii="Times New Roman" w:hAnsi="Times New Roman"/>
        </w:rPr>
      </w:pPr>
      <w:r>
        <w:rPr>
          <w:color w:val="231F20"/>
        </w:rPr>
        <w:t>The</w:t>
      </w:r>
      <w:r>
        <w:rPr>
          <w:color w:val="231F20"/>
          <w:spacing w:val="-3"/>
        </w:rPr>
        <w:t> </w:t>
      </w:r>
      <w:r>
        <w:rPr>
          <w:color w:val="231F20"/>
        </w:rPr>
        <w:t>handover</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donated</w:t>
      </w:r>
      <w:r>
        <w:rPr>
          <w:color w:val="231F20"/>
          <w:spacing w:val="-3"/>
        </w:rPr>
        <w:t> </w:t>
      </w:r>
      <w:r>
        <w:rPr>
          <w:color w:val="231F20"/>
        </w:rPr>
        <w:t>property</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Bursum</w:t>
      </w:r>
      <w:r>
        <w:rPr>
          <w:color w:val="231F20"/>
          <w:spacing w:val="-3"/>
        </w:rPr>
        <w:t> </w:t>
      </w:r>
      <w:r>
        <w:rPr>
          <w:color w:val="231F20"/>
        </w:rPr>
        <w:t>Family</w:t>
      </w:r>
      <w:r>
        <w:rPr>
          <w:color w:val="231F20"/>
          <w:spacing w:val="-3"/>
        </w:rPr>
        <w:t> </w:t>
      </w:r>
      <w:r>
        <w:rPr>
          <w:color w:val="231F20"/>
        </w:rPr>
        <w:t>to</w:t>
      </w:r>
      <w:r>
        <w:rPr>
          <w:color w:val="231F20"/>
          <w:spacing w:val="-4"/>
        </w:rPr>
        <w:t> </w:t>
      </w:r>
      <w:r>
        <w:rPr>
          <w:color w:val="231F20"/>
        </w:rPr>
        <w:t>NMT</w:t>
      </w:r>
      <w:r>
        <w:rPr>
          <w:color w:val="231F20"/>
          <w:spacing w:val="-3"/>
        </w:rPr>
        <w:t> </w:t>
      </w:r>
      <w:r>
        <w:rPr>
          <w:color w:val="231F20"/>
        </w:rPr>
        <w:t>was</w:t>
      </w:r>
      <w:r>
        <w:rPr>
          <w:color w:val="231F20"/>
          <w:spacing w:val="-4"/>
        </w:rPr>
        <w:t> </w:t>
      </w:r>
      <w:r>
        <w:rPr>
          <w:color w:val="231F20"/>
        </w:rPr>
        <w:t>completed.</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now</w:t>
      </w:r>
      <w:r>
        <w:rPr>
          <w:color w:val="231F20"/>
          <w:spacing w:val="-3"/>
        </w:rPr>
        <w:t> </w:t>
      </w:r>
      <w:r>
        <w:rPr>
          <w:color w:val="231F20"/>
        </w:rPr>
        <w:t>in</w:t>
      </w:r>
      <w:r>
        <w:rPr>
          <w:color w:val="231F20"/>
          <w:spacing w:val="-3"/>
        </w:rPr>
        <w:t> </w:t>
      </w:r>
      <w:r>
        <w:rPr>
          <w:color w:val="231F20"/>
        </w:rPr>
        <w:t>use</w:t>
      </w:r>
      <w:r>
        <w:rPr>
          <w:color w:val="231F20"/>
          <w:spacing w:val="-3"/>
        </w:rPr>
        <w:t> </w:t>
      </w:r>
      <w:r>
        <w:rPr>
          <w:color w:val="231F20"/>
        </w:rPr>
        <w:t>as the President’s Residence</w:t>
      </w:r>
      <w:r>
        <w:rPr>
          <w:rFonts w:ascii="Times New Roman" w:hAnsi="Times New Roman"/>
          <w:color w:val="231F20"/>
        </w:rPr>
        <w:t>.</w:t>
      </w:r>
    </w:p>
    <w:p>
      <w:pPr>
        <w:pStyle w:val="BodyText"/>
        <w:rPr>
          <w:rFonts w:ascii="Times New Roman"/>
          <w:sz w:val="23"/>
        </w:rPr>
      </w:pPr>
    </w:p>
    <w:p>
      <w:pPr>
        <w:pStyle w:val="BodyText"/>
        <w:spacing w:line="276" w:lineRule="auto"/>
        <w:ind w:left="1440" w:right="891"/>
      </w:pPr>
      <w:r>
        <w:rPr>
          <w:color w:val="231F20"/>
        </w:rPr>
        <w:t>The</w:t>
      </w:r>
      <w:r>
        <w:rPr>
          <w:color w:val="231F20"/>
          <w:spacing w:val="-4"/>
        </w:rPr>
        <w:t> </w:t>
      </w:r>
      <w:r>
        <w:rPr>
          <w:color w:val="231F20"/>
        </w:rPr>
        <w:t>Brown</w:t>
      </w:r>
      <w:r>
        <w:rPr>
          <w:color w:val="231F20"/>
          <w:spacing w:val="-4"/>
        </w:rPr>
        <w:t> </w:t>
      </w:r>
      <w:r>
        <w:rPr>
          <w:color w:val="231F20"/>
        </w:rPr>
        <w:t>Hall</w:t>
      </w:r>
      <w:r>
        <w:rPr>
          <w:color w:val="231F20"/>
          <w:spacing w:val="-4"/>
        </w:rPr>
        <w:t> </w:t>
      </w:r>
      <w:r>
        <w:rPr>
          <w:color w:val="231F20"/>
        </w:rPr>
        <w:t>renovation</w:t>
      </w:r>
      <w:r>
        <w:rPr>
          <w:color w:val="231F20"/>
          <w:spacing w:val="-5"/>
        </w:rPr>
        <w:t> </w:t>
      </w:r>
      <w:r>
        <w:rPr>
          <w:color w:val="231F20"/>
        </w:rPr>
        <w:t>project</w:t>
      </w:r>
      <w:r>
        <w:rPr>
          <w:color w:val="231F20"/>
          <w:spacing w:val="-4"/>
        </w:rPr>
        <w:t> </w:t>
      </w:r>
      <w:r>
        <w:rPr>
          <w:color w:val="231F20"/>
        </w:rPr>
        <w:t>is</w:t>
      </w:r>
      <w:r>
        <w:rPr>
          <w:color w:val="231F20"/>
          <w:spacing w:val="-4"/>
        </w:rPr>
        <w:t> </w:t>
      </w:r>
      <w:r>
        <w:rPr>
          <w:color w:val="231F20"/>
        </w:rPr>
        <w:t>proceeding</w:t>
      </w:r>
      <w:r>
        <w:rPr>
          <w:color w:val="231F20"/>
          <w:spacing w:val="-4"/>
        </w:rPr>
        <w:t> </w:t>
      </w:r>
      <w:r>
        <w:rPr>
          <w:color w:val="231F20"/>
        </w:rPr>
        <w:t>as</w:t>
      </w:r>
      <w:r>
        <w:rPr>
          <w:color w:val="231F20"/>
          <w:spacing w:val="-3"/>
        </w:rPr>
        <w:t> </w:t>
      </w:r>
      <w:r>
        <w:rPr>
          <w:color w:val="231F20"/>
        </w:rPr>
        <w:t>scheduled.</w:t>
      </w:r>
      <w:r>
        <w:rPr>
          <w:color w:val="231F20"/>
          <w:spacing w:val="-4"/>
        </w:rPr>
        <w:t> </w:t>
      </w:r>
      <w:r>
        <w:rPr>
          <w:color w:val="231F20"/>
        </w:rPr>
        <w:t>Construction</w:t>
      </w:r>
      <w:r>
        <w:rPr>
          <w:color w:val="231F20"/>
          <w:spacing w:val="-4"/>
        </w:rPr>
        <w:t> </w:t>
      </w:r>
      <w:r>
        <w:rPr>
          <w:color w:val="231F20"/>
        </w:rPr>
        <w:t>on</w:t>
      </w:r>
      <w:r>
        <w:rPr>
          <w:color w:val="231F20"/>
          <w:spacing w:val="-4"/>
        </w:rPr>
        <w:t> </w:t>
      </w:r>
      <w:r>
        <w:rPr>
          <w:color w:val="231F20"/>
        </w:rPr>
        <w:t>Brown</w:t>
      </w:r>
      <w:r>
        <w:rPr>
          <w:color w:val="231F20"/>
          <w:spacing w:val="-4"/>
        </w:rPr>
        <w:t> </w:t>
      </w:r>
      <w:r>
        <w:rPr>
          <w:color w:val="231F20"/>
        </w:rPr>
        <w:t>Hall</w:t>
      </w:r>
      <w:r>
        <w:rPr>
          <w:color w:val="231F20"/>
          <w:spacing w:val="-4"/>
        </w:rPr>
        <w:t> </w:t>
      </w:r>
      <w:r>
        <w:rPr>
          <w:color w:val="231F20"/>
        </w:rPr>
        <w:t>is</w:t>
      </w:r>
      <w:r>
        <w:rPr>
          <w:color w:val="231F20"/>
          <w:spacing w:val="-3"/>
        </w:rPr>
        <w:t> </w:t>
      </w:r>
      <w:r>
        <w:rPr>
          <w:color w:val="231F20"/>
        </w:rPr>
        <w:t>anticipated to be completed in February 2023.</w:t>
      </w:r>
    </w:p>
    <w:p>
      <w:pPr>
        <w:spacing w:after="0" w:line="276" w:lineRule="auto"/>
        <w:sectPr>
          <w:pgSz w:w="12240" w:h="15840"/>
          <w:pgMar w:header="994" w:footer="1097" w:top="1900" w:bottom="1280" w:left="0" w:right="580"/>
        </w:sectPr>
      </w:pPr>
    </w:p>
    <w:p>
      <w:pPr>
        <w:pStyle w:val="BodyText"/>
      </w:pPr>
    </w:p>
    <w:p>
      <w:pPr>
        <w:pStyle w:val="BodyText"/>
        <w:spacing w:before="10"/>
        <w:rPr>
          <w:sz w:val="17"/>
        </w:rPr>
      </w:pPr>
    </w:p>
    <w:p>
      <w:pPr>
        <w:pStyle w:val="BodyText"/>
        <w:spacing w:line="276" w:lineRule="auto" w:before="94"/>
        <w:ind w:left="1440" w:right="891"/>
      </w:pPr>
      <w:r>
        <w:rPr>
          <w:color w:val="231F20"/>
        </w:rPr>
        <w:t>The overall design of Kelly Hall towards completing. This project is being funded by several sources including</w:t>
      </w:r>
      <w:r>
        <w:rPr>
          <w:color w:val="231F20"/>
          <w:spacing w:val="-3"/>
        </w:rPr>
        <w:t> </w:t>
      </w:r>
      <w:r>
        <w:rPr>
          <w:color w:val="231F20"/>
        </w:rPr>
        <w:t>General</w:t>
      </w:r>
      <w:r>
        <w:rPr>
          <w:color w:val="231F20"/>
          <w:spacing w:val="-3"/>
        </w:rPr>
        <w:t> </w:t>
      </w:r>
      <w:r>
        <w:rPr>
          <w:color w:val="231F20"/>
        </w:rPr>
        <w:t>Obligation</w:t>
      </w:r>
      <w:r>
        <w:rPr>
          <w:color w:val="231F20"/>
          <w:spacing w:val="-3"/>
        </w:rPr>
        <w:t> </w:t>
      </w:r>
      <w:r>
        <w:rPr>
          <w:color w:val="231F20"/>
        </w:rPr>
        <w:t>Bond</w:t>
      </w:r>
      <w:r>
        <w:rPr>
          <w:color w:val="231F20"/>
          <w:spacing w:val="-3"/>
        </w:rPr>
        <w:t> </w:t>
      </w:r>
      <w:r>
        <w:rPr>
          <w:color w:val="231F20"/>
        </w:rPr>
        <w:t>and</w:t>
      </w:r>
      <w:r>
        <w:rPr>
          <w:color w:val="231F20"/>
          <w:spacing w:val="-4"/>
        </w:rPr>
        <w:t> </w:t>
      </w:r>
      <w:r>
        <w:rPr>
          <w:color w:val="231F20"/>
        </w:rPr>
        <w:t>NMT</w:t>
      </w:r>
      <w:r>
        <w:rPr>
          <w:color w:val="231F20"/>
          <w:spacing w:val="-3"/>
        </w:rPr>
        <w:t> </w:t>
      </w:r>
      <w:r>
        <w:rPr>
          <w:color w:val="231F20"/>
        </w:rPr>
        <w:t>internal</w:t>
      </w:r>
      <w:r>
        <w:rPr>
          <w:color w:val="231F20"/>
          <w:spacing w:val="-4"/>
        </w:rPr>
        <w:t> </w:t>
      </w:r>
      <w:r>
        <w:rPr>
          <w:color w:val="231F20"/>
        </w:rPr>
        <w:t>reserves.</w:t>
      </w:r>
      <w:r>
        <w:rPr>
          <w:color w:val="231F20"/>
          <w:spacing w:val="-3"/>
        </w:rPr>
        <w:t> </w:t>
      </w:r>
      <w:r>
        <w:rPr>
          <w:color w:val="231F20"/>
        </w:rPr>
        <w:t>The</w:t>
      </w:r>
      <w:r>
        <w:rPr>
          <w:color w:val="231F20"/>
          <w:spacing w:val="-3"/>
        </w:rPr>
        <w:t> </w:t>
      </w:r>
      <w:r>
        <w:rPr>
          <w:color w:val="231F20"/>
        </w:rPr>
        <w:t>estimated</w:t>
      </w:r>
      <w:r>
        <w:rPr>
          <w:color w:val="231F20"/>
          <w:spacing w:val="-4"/>
        </w:rPr>
        <w:t> </w:t>
      </w:r>
      <w:r>
        <w:rPr>
          <w:color w:val="231F20"/>
        </w:rPr>
        <w:t>cost</w:t>
      </w:r>
      <w:r>
        <w:rPr>
          <w:color w:val="231F20"/>
          <w:spacing w:val="-3"/>
        </w:rPr>
        <w:t> </w:t>
      </w:r>
      <w:r>
        <w:rPr>
          <w:color w:val="231F20"/>
        </w:rPr>
        <w:t>of</w:t>
      </w:r>
      <w:r>
        <w:rPr>
          <w:color w:val="231F20"/>
          <w:spacing w:val="-3"/>
        </w:rPr>
        <w:t> </w:t>
      </w:r>
      <w:r>
        <w:rPr>
          <w:color w:val="231F20"/>
        </w:rPr>
        <w:t>this</w:t>
      </w:r>
      <w:r>
        <w:rPr>
          <w:color w:val="231F20"/>
          <w:spacing w:val="-3"/>
        </w:rPr>
        <w:t> </w:t>
      </w:r>
      <w:r>
        <w:rPr>
          <w:color w:val="231F20"/>
        </w:rPr>
        <w:t>project</w:t>
      </w:r>
      <w:r>
        <w:rPr>
          <w:color w:val="231F20"/>
          <w:spacing w:val="-3"/>
        </w:rPr>
        <w:t> </w:t>
      </w:r>
      <w:r>
        <w:rPr>
          <w:color w:val="231F20"/>
        </w:rPr>
        <w:t>is</w:t>
      </w:r>
      <w:r>
        <w:rPr>
          <w:color w:val="231F20"/>
          <w:spacing w:val="-3"/>
        </w:rPr>
        <w:t> </w:t>
      </w:r>
      <w:r>
        <w:rPr>
          <w:color w:val="231F20"/>
        </w:rPr>
        <w:t>$16.6 </w:t>
      </w:r>
      <w:r>
        <w:rPr>
          <w:color w:val="231F20"/>
          <w:spacing w:val="-2"/>
        </w:rPr>
        <w:t>million.</w:t>
      </w:r>
    </w:p>
    <w:p>
      <w:pPr>
        <w:pStyle w:val="BodyText"/>
        <w:spacing w:before="1"/>
        <w:rPr>
          <w:sz w:val="23"/>
        </w:rPr>
      </w:pPr>
    </w:p>
    <w:p>
      <w:pPr>
        <w:pStyle w:val="BodyText"/>
        <w:spacing w:line="276" w:lineRule="auto"/>
        <w:ind w:left="1440" w:right="891"/>
      </w:pPr>
      <w:r>
        <w:rPr>
          <w:color w:val="231F20"/>
        </w:rPr>
        <w:t>The</w:t>
      </w:r>
      <w:r>
        <w:rPr>
          <w:color w:val="231F20"/>
          <w:spacing w:val="-4"/>
        </w:rPr>
        <w:t> </w:t>
      </w:r>
      <w:r>
        <w:rPr>
          <w:color w:val="231F20"/>
        </w:rPr>
        <w:t>campus</w:t>
      </w:r>
      <w:r>
        <w:rPr>
          <w:color w:val="231F20"/>
          <w:spacing w:val="-3"/>
        </w:rPr>
        <w:t> </w:t>
      </w:r>
      <w:r>
        <w:rPr>
          <w:color w:val="231F20"/>
        </w:rPr>
        <w:t>roof</w:t>
      </w:r>
      <w:r>
        <w:rPr>
          <w:color w:val="231F20"/>
          <w:spacing w:val="-4"/>
        </w:rPr>
        <w:t> </w:t>
      </w:r>
      <w:r>
        <w:rPr>
          <w:color w:val="231F20"/>
        </w:rPr>
        <w:t>repair</w:t>
      </w:r>
      <w:r>
        <w:rPr>
          <w:color w:val="231F20"/>
          <w:spacing w:val="-4"/>
        </w:rPr>
        <w:t> </w:t>
      </w:r>
      <w:r>
        <w:rPr>
          <w:color w:val="231F20"/>
        </w:rPr>
        <w:t>and</w:t>
      </w:r>
      <w:r>
        <w:rPr>
          <w:color w:val="231F20"/>
          <w:spacing w:val="-4"/>
        </w:rPr>
        <w:t> </w:t>
      </w:r>
      <w:r>
        <w:rPr>
          <w:color w:val="231F20"/>
        </w:rPr>
        <w:t>replacement</w:t>
      </w:r>
      <w:r>
        <w:rPr>
          <w:color w:val="231F20"/>
          <w:spacing w:val="-4"/>
        </w:rPr>
        <w:t> </w:t>
      </w:r>
      <w:r>
        <w:rPr>
          <w:color w:val="231F20"/>
        </w:rPr>
        <w:t>project</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campus</w:t>
      </w:r>
      <w:r>
        <w:rPr>
          <w:color w:val="231F20"/>
          <w:spacing w:val="-3"/>
        </w:rPr>
        <w:t> </w:t>
      </w:r>
      <w:r>
        <w:rPr>
          <w:color w:val="231F20"/>
        </w:rPr>
        <w:t>infrastructure</w:t>
      </w:r>
      <w:r>
        <w:rPr>
          <w:color w:val="231F20"/>
          <w:spacing w:val="-4"/>
        </w:rPr>
        <w:t> </w:t>
      </w:r>
      <w:r>
        <w:rPr>
          <w:color w:val="231F20"/>
        </w:rPr>
        <w:t>upgrades</w:t>
      </w:r>
      <w:r>
        <w:rPr>
          <w:color w:val="231F20"/>
          <w:spacing w:val="-3"/>
        </w:rPr>
        <w:t> </w:t>
      </w:r>
      <w:r>
        <w:rPr>
          <w:color w:val="231F20"/>
        </w:rPr>
        <w:t>project</w:t>
      </w:r>
      <w:r>
        <w:rPr>
          <w:color w:val="231F20"/>
          <w:spacing w:val="-4"/>
        </w:rPr>
        <w:t> </w:t>
      </w:r>
      <w:r>
        <w:rPr>
          <w:color w:val="231F20"/>
        </w:rPr>
        <w:t>received approval from the State Board of Finance in July 2022. These projects will move forward in fiscal year </w:t>
      </w:r>
      <w:r>
        <w:rPr>
          <w:color w:val="231F20"/>
          <w:spacing w:val="-2"/>
        </w:rPr>
        <w:t>2023.</w:t>
      </w:r>
    </w:p>
    <w:p>
      <w:pPr>
        <w:pStyle w:val="BodyText"/>
        <w:spacing w:before="10"/>
        <w:rPr>
          <w:sz w:val="22"/>
        </w:rPr>
      </w:pPr>
    </w:p>
    <w:p>
      <w:pPr>
        <w:pStyle w:val="Heading4"/>
      </w:pPr>
      <w:r>
        <w:rPr>
          <w:color w:val="231F20"/>
        </w:rPr>
        <w:t>Debt</w:t>
      </w:r>
      <w:r>
        <w:rPr>
          <w:color w:val="231F20"/>
          <w:spacing w:val="-5"/>
        </w:rPr>
        <w:t> </w:t>
      </w:r>
      <w:r>
        <w:rPr>
          <w:color w:val="231F20"/>
          <w:spacing w:val="-2"/>
        </w:rPr>
        <w:t>Administration</w:t>
      </w:r>
    </w:p>
    <w:p>
      <w:pPr>
        <w:pStyle w:val="BodyText"/>
        <w:spacing w:line="276" w:lineRule="auto" w:before="36"/>
        <w:ind w:left="1440" w:right="857"/>
      </w:pPr>
      <w:r>
        <w:rPr>
          <w:color w:val="231F20"/>
        </w:rPr>
        <w:t>The</w:t>
      </w:r>
      <w:r>
        <w:rPr>
          <w:color w:val="231F20"/>
          <w:spacing w:val="-3"/>
        </w:rPr>
        <w:t> </w:t>
      </w:r>
      <w:r>
        <w:rPr>
          <w:color w:val="231F20"/>
        </w:rPr>
        <w:t>refinancing</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Revenue</w:t>
      </w:r>
      <w:r>
        <w:rPr>
          <w:color w:val="231F20"/>
          <w:spacing w:val="-3"/>
        </w:rPr>
        <w:t> </w:t>
      </w:r>
      <w:r>
        <w:rPr>
          <w:color w:val="231F20"/>
        </w:rPr>
        <w:t>Bond</w:t>
      </w:r>
      <w:r>
        <w:rPr>
          <w:color w:val="231F20"/>
          <w:spacing w:val="-3"/>
        </w:rPr>
        <w:t> </w:t>
      </w:r>
      <w:r>
        <w:rPr>
          <w:color w:val="231F20"/>
        </w:rPr>
        <w:t>Series</w:t>
      </w:r>
      <w:r>
        <w:rPr>
          <w:color w:val="231F20"/>
          <w:spacing w:val="-2"/>
        </w:rPr>
        <w:t> </w:t>
      </w:r>
      <w:r>
        <w:rPr>
          <w:color w:val="231F20"/>
        </w:rPr>
        <w:t>2011</w:t>
      </w:r>
      <w:r>
        <w:rPr>
          <w:color w:val="231F20"/>
          <w:spacing w:val="-3"/>
        </w:rPr>
        <w:t> </w:t>
      </w:r>
      <w:r>
        <w:rPr>
          <w:color w:val="231F20"/>
        </w:rPr>
        <w:t>was</w:t>
      </w:r>
      <w:r>
        <w:rPr>
          <w:color w:val="231F20"/>
          <w:spacing w:val="-3"/>
        </w:rPr>
        <w:t> </w:t>
      </w:r>
      <w:r>
        <w:rPr>
          <w:color w:val="231F20"/>
        </w:rPr>
        <w:t>completed</w:t>
      </w:r>
      <w:r>
        <w:rPr>
          <w:color w:val="231F20"/>
          <w:spacing w:val="-4"/>
        </w:rPr>
        <w:t> </w:t>
      </w:r>
      <w:r>
        <w:rPr>
          <w:color w:val="231F20"/>
        </w:rPr>
        <w:t>in</w:t>
      </w:r>
      <w:r>
        <w:rPr>
          <w:color w:val="231F20"/>
          <w:spacing w:val="-3"/>
        </w:rPr>
        <w:t> </w:t>
      </w:r>
      <w:r>
        <w:rPr>
          <w:color w:val="231F20"/>
        </w:rPr>
        <w:t>the</w:t>
      </w:r>
      <w:r>
        <w:rPr>
          <w:color w:val="231F20"/>
          <w:spacing w:val="-3"/>
        </w:rPr>
        <w:t> </w:t>
      </w:r>
      <w:r>
        <w:rPr>
          <w:color w:val="231F20"/>
        </w:rPr>
        <w:t>fiscal</w:t>
      </w:r>
      <w:r>
        <w:rPr>
          <w:color w:val="231F20"/>
          <w:spacing w:val="-3"/>
        </w:rPr>
        <w:t> </w:t>
      </w:r>
      <w:r>
        <w:rPr>
          <w:color w:val="231F20"/>
        </w:rPr>
        <w:t>year</w:t>
      </w:r>
      <w:r>
        <w:rPr>
          <w:color w:val="231F20"/>
          <w:spacing w:val="-3"/>
        </w:rPr>
        <w:t> </w:t>
      </w:r>
      <w:r>
        <w:rPr>
          <w:color w:val="231F20"/>
        </w:rPr>
        <w:t>2022.</w:t>
      </w:r>
      <w:r>
        <w:rPr>
          <w:color w:val="231F20"/>
          <w:spacing w:val="-3"/>
        </w:rPr>
        <w:t> </w:t>
      </w:r>
      <w:r>
        <w:rPr>
          <w:color w:val="231F20"/>
        </w:rPr>
        <w:t>This</w:t>
      </w:r>
      <w:r>
        <w:rPr>
          <w:color w:val="231F20"/>
          <w:spacing w:val="-2"/>
        </w:rPr>
        <w:t> </w:t>
      </w:r>
      <w:r>
        <w:rPr>
          <w:color w:val="231F20"/>
        </w:rPr>
        <w:t>refinancing will save the institution approximately $1.8 million over the term of the bond issue.</w:t>
      </w:r>
    </w:p>
    <w:p>
      <w:pPr>
        <w:pStyle w:val="Heading4"/>
        <w:spacing w:line="530" w:lineRule="exact" w:before="27"/>
        <w:ind w:right="7735"/>
      </w:pPr>
      <w:r>
        <w:rPr>
          <w:color w:val="231F20"/>
        </w:rPr>
        <w:t>Currently</w:t>
      </w:r>
      <w:r>
        <w:rPr>
          <w:color w:val="231F20"/>
          <w:spacing w:val="-14"/>
        </w:rPr>
        <w:t> </w:t>
      </w:r>
      <w:r>
        <w:rPr>
          <w:color w:val="231F20"/>
        </w:rPr>
        <w:t>Known</w:t>
      </w:r>
      <w:r>
        <w:rPr>
          <w:color w:val="231F20"/>
          <w:spacing w:val="-14"/>
        </w:rPr>
        <w:t> </w:t>
      </w:r>
      <w:r>
        <w:rPr>
          <w:color w:val="231F20"/>
        </w:rPr>
        <w:t>Facts </w:t>
      </w:r>
      <w:r>
        <w:rPr>
          <w:color w:val="231F20"/>
          <w:spacing w:val="-2"/>
        </w:rPr>
        <w:t>Enrollment</w:t>
      </w:r>
    </w:p>
    <w:p>
      <w:pPr>
        <w:pStyle w:val="BodyText"/>
        <w:spacing w:line="200" w:lineRule="exact"/>
        <w:ind w:left="1440"/>
      </w:pPr>
      <w:r>
        <w:rPr>
          <w:color w:val="231F20"/>
        </w:rPr>
        <w:t>Compared</w:t>
      </w:r>
      <w:r>
        <w:rPr>
          <w:color w:val="231F20"/>
          <w:spacing w:val="-7"/>
        </w:rPr>
        <w:t> </w:t>
      </w:r>
      <w:r>
        <w:rPr>
          <w:color w:val="231F20"/>
        </w:rPr>
        <w:t>to</w:t>
      </w:r>
      <w:r>
        <w:rPr>
          <w:color w:val="231F20"/>
          <w:spacing w:val="-5"/>
        </w:rPr>
        <w:t> </w:t>
      </w:r>
      <w:r>
        <w:rPr>
          <w:color w:val="231F20"/>
        </w:rPr>
        <w:t>Fall</w:t>
      </w:r>
      <w:r>
        <w:rPr>
          <w:color w:val="231F20"/>
          <w:spacing w:val="-4"/>
        </w:rPr>
        <w:t> </w:t>
      </w:r>
      <w:r>
        <w:rPr>
          <w:color w:val="231F20"/>
        </w:rPr>
        <w:t>2020,</w:t>
      </w:r>
      <w:r>
        <w:rPr>
          <w:color w:val="231F20"/>
          <w:spacing w:val="-5"/>
        </w:rPr>
        <w:t> </w:t>
      </w:r>
      <w:r>
        <w:rPr>
          <w:color w:val="231F20"/>
        </w:rPr>
        <w:t>total</w:t>
      </w:r>
      <w:r>
        <w:rPr>
          <w:color w:val="231F20"/>
          <w:spacing w:val="-5"/>
        </w:rPr>
        <w:t> </w:t>
      </w:r>
      <w:r>
        <w:rPr>
          <w:color w:val="231F20"/>
        </w:rPr>
        <w:t>enrollment</w:t>
      </w:r>
      <w:r>
        <w:rPr>
          <w:color w:val="231F20"/>
          <w:spacing w:val="-5"/>
        </w:rPr>
        <w:t> </w:t>
      </w:r>
      <w:r>
        <w:rPr>
          <w:color w:val="231F20"/>
        </w:rPr>
        <w:t>in</w:t>
      </w:r>
      <w:r>
        <w:rPr>
          <w:color w:val="231F20"/>
          <w:spacing w:val="-5"/>
        </w:rPr>
        <w:t> </w:t>
      </w:r>
      <w:r>
        <w:rPr>
          <w:color w:val="231F20"/>
        </w:rPr>
        <w:t>Fall</w:t>
      </w:r>
      <w:r>
        <w:rPr>
          <w:color w:val="231F20"/>
          <w:spacing w:val="-4"/>
        </w:rPr>
        <w:t> </w:t>
      </w:r>
      <w:r>
        <w:rPr>
          <w:color w:val="231F20"/>
        </w:rPr>
        <w:t>2021</w:t>
      </w:r>
      <w:r>
        <w:rPr>
          <w:color w:val="231F20"/>
          <w:spacing w:val="-5"/>
        </w:rPr>
        <w:t> </w:t>
      </w:r>
      <w:r>
        <w:rPr>
          <w:color w:val="231F20"/>
        </w:rPr>
        <w:t>has</w:t>
      </w:r>
      <w:r>
        <w:rPr>
          <w:color w:val="231F20"/>
          <w:spacing w:val="-5"/>
        </w:rPr>
        <w:t> </w:t>
      </w:r>
      <w:r>
        <w:rPr>
          <w:color w:val="231F20"/>
        </w:rPr>
        <w:t>increased</w:t>
      </w:r>
      <w:r>
        <w:rPr>
          <w:color w:val="231F20"/>
          <w:spacing w:val="-5"/>
        </w:rPr>
        <w:t> </w:t>
      </w:r>
      <w:r>
        <w:rPr>
          <w:color w:val="231F20"/>
        </w:rPr>
        <w:t>slightly</w:t>
      </w:r>
      <w:r>
        <w:rPr>
          <w:color w:val="231F20"/>
          <w:spacing w:val="-4"/>
        </w:rPr>
        <w:t> </w:t>
      </w:r>
      <w:r>
        <w:rPr>
          <w:color w:val="231F20"/>
        </w:rPr>
        <w:t>by</w:t>
      </w:r>
      <w:r>
        <w:rPr>
          <w:color w:val="231F20"/>
          <w:spacing w:val="-4"/>
        </w:rPr>
        <w:t> </w:t>
      </w:r>
      <w:r>
        <w:rPr>
          <w:color w:val="231F20"/>
          <w:spacing w:val="-5"/>
        </w:rPr>
        <w:t>48.</w:t>
      </w:r>
    </w:p>
    <w:p>
      <w:pPr>
        <w:pStyle w:val="BodyText"/>
        <w:spacing w:before="8" w:after="1"/>
        <w:rPr>
          <w:sz w:val="27"/>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1"/>
        <w:gridCol w:w="1512"/>
        <w:gridCol w:w="2060"/>
        <w:gridCol w:w="1841"/>
        <w:gridCol w:w="1281"/>
      </w:tblGrid>
      <w:tr>
        <w:trPr>
          <w:trHeight w:val="238" w:hRule="atLeast"/>
        </w:trPr>
        <w:tc>
          <w:tcPr>
            <w:tcW w:w="1411" w:type="dxa"/>
          </w:tcPr>
          <w:p>
            <w:pPr>
              <w:pStyle w:val="TableParagraph"/>
              <w:spacing w:line="219" w:lineRule="exact"/>
              <w:ind w:right="178"/>
              <w:jc w:val="center"/>
              <w:rPr>
                <w:sz w:val="20"/>
              </w:rPr>
            </w:pPr>
            <w:r>
              <w:rPr>
                <w:color w:val="231F20"/>
                <w:spacing w:val="-18"/>
                <w:sz w:val="20"/>
                <w:u w:val="thick" w:color="231F20"/>
              </w:rPr>
              <w:t> </w:t>
            </w:r>
            <w:r>
              <w:rPr>
                <w:color w:val="231F20"/>
                <w:sz w:val="20"/>
                <w:u w:val="thick" w:color="231F20"/>
              </w:rPr>
              <w:t>School</w:t>
            </w:r>
            <w:r>
              <w:rPr>
                <w:color w:val="231F20"/>
                <w:spacing w:val="-1"/>
                <w:sz w:val="20"/>
                <w:u w:val="thick" w:color="231F20"/>
              </w:rPr>
              <w:t> </w:t>
            </w:r>
            <w:r>
              <w:rPr>
                <w:color w:val="231F20"/>
                <w:spacing w:val="-4"/>
                <w:sz w:val="20"/>
                <w:u w:val="thick" w:color="231F20"/>
              </w:rPr>
              <w:t>Year</w:t>
            </w:r>
          </w:p>
        </w:tc>
        <w:tc>
          <w:tcPr>
            <w:tcW w:w="1512" w:type="dxa"/>
          </w:tcPr>
          <w:p>
            <w:pPr>
              <w:pStyle w:val="TableParagraph"/>
              <w:spacing w:line="219" w:lineRule="exact"/>
              <w:ind w:right="208"/>
              <w:jc w:val="right"/>
              <w:rPr>
                <w:sz w:val="20"/>
              </w:rPr>
            </w:pPr>
            <w:r>
              <w:rPr>
                <w:color w:val="231F20"/>
                <w:sz w:val="20"/>
                <w:u w:val="thick" w:color="231F20"/>
              </w:rPr>
              <w:t>Head </w:t>
            </w:r>
            <w:r>
              <w:rPr>
                <w:color w:val="231F20"/>
                <w:spacing w:val="-2"/>
                <w:sz w:val="20"/>
                <w:u w:val="thick" w:color="231F20"/>
              </w:rPr>
              <w:t>Count</w:t>
            </w:r>
          </w:p>
        </w:tc>
        <w:tc>
          <w:tcPr>
            <w:tcW w:w="2060" w:type="dxa"/>
          </w:tcPr>
          <w:p>
            <w:pPr>
              <w:pStyle w:val="TableParagraph"/>
              <w:spacing w:line="219" w:lineRule="exact"/>
              <w:ind w:right="1"/>
              <w:jc w:val="center"/>
              <w:rPr>
                <w:sz w:val="20"/>
              </w:rPr>
            </w:pPr>
            <w:r>
              <w:rPr>
                <w:color w:val="231F20"/>
                <w:spacing w:val="-30"/>
                <w:sz w:val="20"/>
                <w:u w:val="thick" w:color="231F20"/>
              </w:rPr>
              <w:t> </w:t>
            </w:r>
            <w:r>
              <w:rPr>
                <w:color w:val="231F20"/>
                <w:sz w:val="20"/>
                <w:u w:val="thick" w:color="231F20"/>
              </w:rPr>
              <w:t>Credit</w:t>
            </w:r>
            <w:r>
              <w:rPr>
                <w:color w:val="231F20"/>
                <w:spacing w:val="-1"/>
                <w:sz w:val="20"/>
                <w:u w:val="thick" w:color="231F20"/>
              </w:rPr>
              <w:t> </w:t>
            </w:r>
            <w:r>
              <w:rPr>
                <w:color w:val="231F20"/>
                <w:sz w:val="20"/>
                <w:u w:val="thick" w:color="231F20"/>
              </w:rPr>
              <w:t>Hours</w:t>
            </w:r>
            <w:r>
              <w:rPr>
                <w:color w:val="231F20"/>
                <w:spacing w:val="-1"/>
                <w:sz w:val="20"/>
                <w:u w:val="thick" w:color="231F20"/>
              </w:rPr>
              <w:t> </w:t>
            </w:r>
            <w:r>
              <w:rPr>
                <w:color w:val="231F20"/>
                <w:spacing w:val="-4"/>
                <w:sz w:val="20"/>
                <w:u w:val="thick" w:color="231F20"/>
              </w:rPr>
              <w:t>(CH)</w:t>
            </w:r>
          </w:p>
        </w:tc>
        <w:tc>
          <w:tcPr>
            <w:tcW w:w="1841" w:type="dxa"/>
          </w:tcPr>
          <w:p>
            <w:pPr>
              <w:pStyle w:val="TableParagraph"/>
              <w:spacing w:line="219" w:lineRule="exact"/>
              <w:ind w:left="12"/>
              <w:jc w:val="center"/>
              <w:rPr>
                <w:sz w:val="20"/>
              </w:rPr>
            </w:pPr>
            <w:r>
              <w:rPr>
                <w:color w:val="231F20"/>
                <w:spacing w:val="-13"/>
                <w:sz w:val="20"/>
                <w:u w:val="thick" w:color="231F20"/>
              </w:rPr>
              <w:t> </w:t>
            </w:r>
            <w:r>
              <w:rPr>
                <w:color w:val="231F20"/>
                <w:sz w:val="20"/>
                <w:u w:val="thick" w:color="231F20"/>
              </w:rPr>
              <w:t>End</w:t>
            </w:r>
            <w:r>
              <w:rPr>
                <w:color w:val="231F20"/>
                <w:spacing w:val="-1"/>
                <w:sz w:val="20"/>
                <w:u w:val="thick" w:color="231F20"/>
              </w:rPr>
              <w:t> </w:t>
            </w:r>
            <w:r>
              <w:rPr>
                <w:color w:val="231F20"/>
                <w:sz w:val="20"/>
                <w:u w:val="thick" w:color="231F20"/>
              </w:rPr>
              <w:t>of</w:t>
            </w:r>
            <w:r>
              <w:rPr>
                <w:color w:val="231F20"/>
                <w:spacing w:val="-1"/>
                <w:sz w:val="20"/>
                <w:u w:val="thick" w:color="231F20"/>
              </w:rPr>
              <w:t> </w:t>
            </w:r>
            <w:r>
              <w:rPr>
                <w:color w:val="231F20"/>
                <w:spacing w:val="-2"/>
                <w:sz w:val="20"/>
                <w:u w:val="thick" w:color="231F20"/>
              </w:rPr>
              <w:t>Course</w:t>
            </w:r>
            <w:r>
              <w:rPr>
                <w:color w:val="231F20"/>
                <w:spacing w:val="80"/>
                <w:sz w:val="20"/>
                <w:u w:val="thick" w:color="231F20"/>
              </w:rPr>
              <w:t> </w:t>
            </w:r>
          </w:p>
        </w:tc>
        <w:tc>
          <w:tcPr>
            <w:tcW w:w="1281" w:type="dxa"/>
          </w:tcPr>
          <w:p>
            <w:pPr>
              <w:pStyle w:val="TableParagraph"/>
              <w:spacing w:line="219" w:lineRule="exact"/>
              <w:ind w:left="165"/>
              <w:jc w:val="center"/>
              <w:rPr>
                <w:sz w:val="20"/>
              </w:rPr>
            </w:pPr>
            <w:r>
              <w:rPr>
                <w:color w:val="231F20"/>
                <w:spacing w:val="29"/>
                <w:sz w:val="20"/>
                <w:u w:val="thick" w:color="231F20"/>
              </w:rPr>
              <w:t> </w:t>
            </w:r>
            <w:r>
              <w:rPr>
                <w:color w:val="231F20"/>
                <w:spacing w:val="-2"/>
                <w:sz w:val="20"/>
                <w:u w:val="thick" w:color="231F20"/>
              </w:rPr>
              <w:t>(EOCCH)</w:t>
            </w:r>
            <w:r>
              <w:rPr>
                <w:color w:val="231F20"/>
                <w:spacing w:val="40"/>
                <w:sz w:val="20"/>
                <w:u w:val="thick" w:color="231F20"/>
              </w:rPr>
              <w:t> </w:t>
            </w:r>
          </w:p>
        </w:tc>
      </w:tr>
      <w:tr>
        <w:trPr>
          <w:trHeight w:val="251" w:hRule="atLeast"/>
        </w:trPr>
        <w:tc>
          <w:tcPr>
            <w:tcW w:w="1411" w:type="dxa"/>
          </w:tcPr>
          <w:p>
            <w:pPr>
              <w:pStyle w:val="TableParagraph"/>
              <w:spacing w:line="223" w:lineRule="exact" w:before="8"/>
              <w:ind w:right="140"/>
              <w:jc w:val="center"/>
              <w:rPr>
                <w:sz w:val="20"/>
              </w:rPr>
            </w:pPr>
            <w:r>
              <w:rPr>
                <w:color w:val="231F20"/>
                <w:sz w:val="20"/>
              </w:rPr>
              <w:t>2021-</w:t>
            </w:r>
            <w:r>
              <w:rPr>
                <w:color w:val="231F20"/>
                <w:spacing w:val="-5"/>
                <w:sz w:val="20"/>
              </w:rPr>
              <w:t>22</w:t>
            </w:r>
          </w:p>
        </w:tc>
        <w:tc>
          <w:tcPr>
            <w:tcW w:w="1512" w:type="dxa"/>
          </w:tcPr>
          <w:p>
            <w:pPr>
              <w:pStyle w:val="TableParagraph"/>
              <w:spacing w:line="223" w:lineRule="exact" w:before="8"/>
              <w:ind w:right="313"/>
              <w:jc w:val="right"/>
              <w:rPr>
                <w:sz w:val="20"/>
              </w:rPr>
            </w:pPr>
            <w:r>
              <w:rPr>
                <w:color w:val="231F20"/>
                <w:spacing w:val="-2"/>
                <w:sz w:val="20"/>
              </w:rPr>
              <w:t>2,003</w:t>
            </w:r>
          </w:p>
        </w:tc>
        <w:tc>
          <w:tcPr>
            <w:tcW w:w="2060" w:type="dxa"/>
          </w:tcPr>
          <w:p>
            <w:pPr>
              <w:pStyle w:val="TableParagraph"/>
              <w:spacing w:line="223" w:lineRule="exact" w:before="8"/>
              <w:ind w:left="28" w:right="1"/>
              <w:jc w:val="center"/>
              <w:rPr>
                <w:sz w:val="20"/>
              </w:rPr>
            </w:pPr>
            <w:r>
              <w:rPr>
                <w:color w:val="231F20"/>
                <w:spacing w:val="-2"/>
                <w:sz w:val="20"/>
              </w:rPr>
              <w:t>43,348</w:t>
            </w:r>
          </w:p>
        </w:tc>
        <w:tc>
          <w:tcPr>
            <w:tcW w:w="1841" w:type="dxa"/>
          </w:tcPr>
          <w:p>
            <w:pPr>
              <w:pStyle w:val="TableParagraph"/>
              <w:spacing w:line="223" w:lineRule="exact" w:before="8"/>
              <w:ind w:left="24"/>
              <w:jc w:val="center"/>
              <w:rPr>
                <w:sz w:val="20"/>
              </w:rPr>
            </w:pPr>
            <w:r>
              <w:rPr>
                <w:color w:val="231F20"/>
                <w:spacing w:val="-2"/>
                <w:sz w:val="20"/>
              </w:rPr>
              <w:t>42,225</w:t>
            </w:r>
          </w:p>
        </w:tc>
        <w:tc>
          <w:tcPr>
            <w:tcW w:w="1281" w:type="dxa"/>
          </w:tcPr>
          <w:p>
            <w:pPr>
              <w:pStyle w:val="TableParagraph"/>
              <w:spacing w:line="223" w:lineRule="exact" w:before="8"/>
              <w:ind w:left="177"/>
              <w:jc w:val="center"/>
              <w:rPr>
                <w:sz w:val="20"/>
              </w:rPr>
            </w:pPr>
            <w:r>
              <w:rPr>
                <w:color w:val="231F20"/>
                <w:spacing w:val="-2"/>
                <w:sz w:val="20"/>
              </w:rPr>
              <w:t>97.40%</w:t>
            </w:r>
          </w:p>
        </w:tc>
      </w:tr>
      <w:tr>
        <w:trPr>
          <w:trHeight w:val="251" w:hRule="atLeast"/>
        </w:trPr>
        <w:tc>
          <w:tcPr>
            <w:tcW w:w="1411" w:type="dxa"/>
          </w:tcPr>
          <w:p>
            <w:pPr>
              <w:pStyle w:val="TableParagraph"/>
              <w:spacing w:line="224" w:lineRule="exact" w:before="8"/>
              <w:ind w:right="140"/>
              <w:jc w:val="center"/>
              <w:rPr>
                <w:sz w:val="20"/>
              </w:rPr>
            </w:pPr>
            <w:r>
              <w:rPr>
                <w:color w:val="231F20"/>
                <w:sz w:val="20"/>
              </w:rPr>
              <w:t>2020-</w:t>
            </w:r>
            <w:r>
              <w:rPr>
                <w:color w:val="231F20"/>
                <w:spacing w:val="-5"/>
                <w:sz w:val="20"/>
              </w:rPr>
              <w:t>21</w:t>
            </w:r>
          </w:p>
        </w:tc>
        <w:tc>
          <w:tcPr>
            <w:tcW w:w="1512" w:type="dxa"/>
          </w:tcPr>
          <w:p>
            <w:pPr>
              <w:pStyle w:val="TableParagraph"/>
              <w:spacing w:line="224" w:lineRule="exact" w:before="8"/>
              <w:ind w:right="313"/>
              <w:jc w:val="right"/>
              <w:rPr>
                <w:sz w:val="20"/>
              </w:rPr>
            </w:pPr>
            <w:r>
              <w:rPr>
                <w:color w:val="231F20"/>
                <w:spacing w:val="-2"/>
                <w:sz w:val="20"/>
              </w:rPr>
              <w:t>1,882</w:t>
            </w:r>
          </w:p>
        </w:tc>
        <w:tc>
          <w:tcPr>
            <w:tcW w:w="2060" w:type="dxa"/>
          </w:tcPr>
          <w:p>
            <w:pPr>
              <w:pStyle w:val="TableParagraph"/>
              <w:spacing w:line="224" w:lineRule="exact" w:before="8"/>
              <w:ind w:left="28" w:right="1"/>
              <w:jc w:val="center"/>
              <w:rPr>
                <w:sz w:val="20"/>
              </w:rPr>
            </w:pPr>
            <w:r>
              <w:rPr>
                <w:color w:val="231F20"/>
                <w:spacing w:val="-2"/>
                <w:sz w:val="20"/>
              </w:rPr>
              <w:t>42,657</w:t>
            </w:r>
          </w:p>
        </w:tc>
        <w:tc>
          <w:tcPr>
            <w:tcW w:w="1841" w:type="dxa"/>
          </w:tcPr>
          <w:p>
            <w:pPr>
              <w:pStyle w:val="TableParagraph"/>
              <w:spacing w:line="224" w:lineRule="exact" w:before="8"/>
              <w:ind w:left="24"/>
              <w:jc w:val="center"/>
              <w:rPr>
                <w:sz w:val="20"/>
              </w:rPr>
            </w:pPr>
            <w:r>
              <w:rPr>
                <w:color w:val="231F20"/>
                <w:spacing w:val="-2"/>
                <w:sz w:val="20"/>
              </w:rPr>
              <w:t>41,893</w:t>
            </w:r>
          </w:p>
        </w:tc>
        <w:tc>
          <w:tcPr>
            <w:tcW w:w="1281" w:type="dxa"/>
          </w:tcPr>
          <w:p>
            <w:pPr>
              <w:pStyle w:val="TableParagraph"/>
              <w:spacing w:line="224" w:lineRule="exact" w:before="8"/>
              <w:ind w:left="177"/>
              <w:jc w:val="center"/>
              <w:rPr>
                <w:sz w:val="20"/>
              </w:rPr>
            </w:pPr>
            <w:r>
              <w:rPr>
                <w:color w:val="231F20"/>
                <w:spacing w:val="-2"/>
                <w:sz w:val="20"/>
              </w:rPr>
              <w:t>98.20%</w:t>
            </w:r>
          </w:p>
        </w:tc>
      </w:tr>
      <w:tr>
        <w:trPr>
          <w:trHeight w:val="252" w:hRule="atLeast"/>
        </w:trPr>
        <w:tc>
          <w:tcPr>
            <w:tcW w:w="1411" w:type="dxa"/>
          </w:tcPr>
          <w:p>
            <w:pPr>
              <w:pStyle w:val="TableParagraph"/>
              <w:spacing w:line="224" w:lineRule="exact" w:before="8"/>
              <w:ind w:right="140"/>
              <w:jc w:val="center"/>
              <w:rPr>
                <w:sz w:val="20"/>
              </w:rPr>
            </w:pPr>
            <w:r>
              <w:rPr>
                <w:color w:val="231F20"/>
                <w:sz w:val="20"/>
              </w:rPr>
              <w:t>2019-</w:t>
            </w:r>
            <w:r>
              <w:rPr>
                <w:color w:val="231F20"/>
                <w:spacing w:val="-5"/>
                <w:sz w:val="20"/>
              </w:rPr>
              <w:t>20</w:t>
            </w:r>
          </w:p>
        </w:tc>
        <w:tc>
          <w:tcPr>
            <w:tcW w:w="1512" w:type="dxa"/>
          </w:tcPr>
          <w:p>
            <w:pPr>
              <w:pStyle w:val="TableParagraph"/>
              <w:spacing w:line="224" w:lineRule="exact" w:before="8"/>
              <w:ind w:right="313"/>
              <w:jc w:val="right"/>
              <w:rPr>
                <w:sz w:val="20"/>
              </w:rPr>
            </w:pPr>
            <w:r>
              <w:rPr>
                <w:color w:val="231F20"/>
                <w:spacing w:val="-2"/>
                <w:sz w:val="20"/>
              </w:rPr>
              <w:t>2,123</w:t>
            </w:r>
          </w:p>
        </w:tc>
        <w:tc>
          <w:tcPr>
            <w:tcW w:w="2060" w:type="dxa"/>
          </w:tcPr>
          <w:p>
            <w:pPr>
              <w:pStyle w:val="TableParagraph"/>
              <w:spacing w:line="224" w:lineRule="exact" w:before="8"/>
              <w:ind w:left="28" w:right="1"/>
              <w:jc w:val="center"/>
              <w:rPr>
                <w:sz w:val="20"/>
              </w:rPr>
            </w:pPr>
            <w:r>
              <w:rPr>
                <w:color w:val="231F20"/>
                <w:spacing w:val="-2"/>
                <w:sz w:val="20"/>
              </w:rPr>
              <w:t>44,159</w:t>
            </w:r>
          </w:p>
        </w:tc>
        <w:tc>
          <w:tcPr>
            <w:tcW w:w="1841" w:type="dxa"/>
          </w:tcPr>
          <w:p>
            <w:pPr>
              <w:pStyle w:val="TableParagraph"/>
              <w:spacing w:line="224" w:lineRule="exact" w:before="8"/>
              <w:ind w:left="24"/>
              <w:jc w:val="center"/>
              <w:rPr>
                <w:sz w:val="20"/>
              </w:rPr>
            </w:pPr>
            <w:r>
              <w:rPr>
                <w:color w:val="231F20"/>
                <w:spacing w:val="-2"/>
                <w:sz w:val="20"/>
              </w:rPr>
              <w:t>43,200</w:t>
            </w:r>
          </w:p>
        </w:tc>
        <w:tc>
          <w:tcPr>
            <w:tcW w:w="1281" w:type="dxa"/>
          </w:tcPr>
          <w:p>
            <w:pPr>
              <w:pStyle w:val="TableParagraph"/>
              <w:spacing w:line="224" w:lineRule="exact" w:before="8"/>
              <w:ind w:left="177"/>
              <w:jc w:val="center"/>
              <w:rPr>
                <w:sz w:val="20"/>
              </w:rPr>
            </w:pPr>
            <w:r>
              <w:rPr>
                <w:color w:val="231F20"/>
                <w:spacing w:val="-2"/>
                <w:sz w:val="20"/>
              </w:rPr>
              <w:t>97.80%</w:t>
            </w:r>
          </w:p>
        </w:tc>
      </w:tr>
      <w:tr>
        <w:trPr>
          <w:trHeight w:val="251" w:hRule="atLeast"/>
        </w:trPr>
        <w:tc>
          <w:tcPr>
            <w:tcW w:w="1411" w:type="dxa"/>
          </w:tcPr>
          <w:p>
            <w:pPr>
              <w:pStyle w:val="TableParagraph"/>
              <w:spacing w:line="223" w:lineRule="exact" w:before="8"/>
              <w:ind w:right="140"/>
              <w:jc w:val="center"/>
              <w:rPr>
                <w:sz w:val="20"/>
              </w:rPr>
            </w:pPr>
            <w:r>
              <w:rPr>
                <w:color w:val="231F20"/>
                <w:sz w:val="20"/>
              </w:rPr>
              <w:t>2018-</w:t>
            </w:r>
            <w:r>
              <w:rPr>
                <w:color w:val="231F20"/>
                <w:spacing w:val="-5"/>
                <w:sz w:val="20"/>
              </w:rPr>
              <w:t>19</w:t>
            </w:r>
          </w:p>
        </w:tc>
        <w:tc>
          <w:tcPr>
            <w:tcW w:w="1512" w:type="dxa"/>
          </w:tcPr>
          <w:p>
            <w:pPr>
              <w:pStyle w:val="TableParagraph"/>
              <w:spacing w:line="223" w:lineRule="exact" w:before="8"/>
              <w:ind w:right="313"/>
              <w:jc w:val="right"/>
              <w:rPr>
                <w:sz w:val="20"/>
              </w:rPr>
            </w:pPr>
            <w:r>
              <w:rPr>
                <w:color w:val="231F20"/>
                <w:spacing w:val="-2"/>
                <w:sz w:val="20"/>
              </w:rPr>
              <w:t>2,099</w:t>
            </w:r>
          </w:p>
        </w:tc>
        <w:tc>
          <w:tcPr>
            <w:tcW w:w="2060" w:type="dxa"/>
          </w:tcPr>
          <w:p>
            <w:pPr>
              <w:pStyle w:val="TableParagraph"/>
              <w:spacing w:line="223" w:lineRule="exact" w:before="8"/>
              <w:ind w:left="28" w:right="1"/>
              <w:jc w:val="center"/>
              <w:rPr>
                <w:sz w:val="20"/>
              </w:rPr>
            </w:pPr>
            <w:r>
              <w:rPr>
                <w:color w:val="231F20"/>
                <w:spacing w:val="-2"/>
                <w:sz w:val="20"/>
              </w:rPr>
              <w:t>46,853</w:t>
            </w:r>
          </w:p>
        </w:tc>
        <w:tc>
          <w:tcPr>
            <w:tcW w:w="1841" w:type="dxa"/>
          </w:tcPr>
          <w:p>
            <w:pPr>
              <w:pStyle w:val="TableParagraph"/>
              <w:spacing w:line="223" w:lineRule="exact" w:before="8"/>
              <w:ind w:left="24"/>
              <w:jc w:val="center"/>
              <w:rPr>
                <w:sz w:val="20"/>
              </w:rPr>
            </w:pPr>
            <w:r>
              <w:rPr>
                <w:color w:val="231F20"/>
                <w:spacing w:val="-2"/>
                <w:sz w:val="20"/>
              </w:rPr>
              <w:t>45,930</w:t>
            </w:r>
          </w:p>
        </w:tc>
        <w:tc>
          <w:tcPr>
            <w:tcW w:w="1281" w:type="dxa"/>
          </w:tcPr>
          <w:p>
            <w:pPr>
              <w:pStyle w:val="TableParagraph"/>
              <w:spacing w:line="223" w:lineRule="exact" w:before="8"/>
              <w:ind w:left="177"/>
              <w:jc w:val="center"/>
              <w:rPr>
                <w:sz w:val="20"/>
              </w:rPr>
            </w:pPr>
            <w:r>
              <w:rPr>
                <w:color w:val="231F20"/>
                <w:spacing w:val="-2"/>
                <w:sz w:val="20"/>
              </w:rPr>
              <w:t>98.00%</w:t>
            </w:r>
          </w:p>
        </w:tc>
      </w:tr>
      <w:tr>
        <w:trPr>
          <w:trHeight w:val="238" w:hRule="atLeast"/>
        </w:trPr>
        <w:tc>
          <w:tcPr>
            <w:tcW w:w="1411" w:type="dxa"/>
          </w:tcPr>
          <w:p>
            <w:pPr>
              <w:pStyle w:val="TableParagraph"/>
              <w:spacing w:line="210" w:lineRule="exact" w:before="8"/>
              <w:ind w:right="140"/>
              <w:jc w:val="center"/>
              <w:rPr>
                <w:sz w:val="20"/>
              </w:rPr>
            </w:pPr>
            <w:r>
              <w:rPr>
                <w:color w:val="231F20"/>
                <w:sz w:val="20"/>
              </w:rPr>
              <w:t>2017-</w:t>
            </w:r>
            <w:r>
              <w:rPr>
                <w:color w:val="231F20"/>
                <w:spacing w:val="-5"/>
                <w:sz w:val="20"/>
              </w:rPr>
              <w:t>18</w:t>
            </w:r>
          </w:p>
        </w:tc>
        <w:tc>
          <w:tcPr>
            <w:tcW w:w="1512" w:type="dxa"/>
          </w:tcPr>
          <w:p>
            <w:pPr>
              <w:pStyle w:val="TableParagraph"/>
              <w:spacing w:line="210" w:lineRule="exact" w:before="8"/>
              <w:ind w:right="313"/>
              <w:jc w:val="right"/>
              <w:rPr>
                <w:sz w:val="20"/>
              </w:rPr>
            </w:pPr>
            <w:r>
              <w:rPr>
                <w:color w:val="231F20"/>
                <w:spacing w:val="-2"/>
                <w:sz w:val="20"/>
              </w:rPr>
              <w:t>2,262</w:t>
            </w:r>
          </w:p>
        </w:tc>
        <w:tc>
          <w:tcPr>
            <w:tcW w:w="2060" w:type="dxa"/>
          </w:tcPr>
          <w:p>
            <w:pPr>
              <w:pStyle w:val="TableParagraph"/>
              <w:spacing w:line="210" w:lineRule="exact" w:before="8"/>
              <w:ind w:left="28" w:right="1"/>
              <w:jc w:val="center"/>
              <w:rPr>
                <w:sz w:val="20"/>
              </w:rPr>
            </w:pPr>
            <w:r>
              <w:rPr>
                <w:color w:val="231F20"/>
                <w:spacing w:val="-2"/>
                <w:sz w:val="20"/>
              </w:rPr>
              <w:t>48,049</w:t>
            </w:r>
          </w:p>
        </w:tc>
        <w:tc>
          <w:tcPr>
            <w:tcW w:w="1841" w:type="dxa"/>
          </w:tcPr>
          <w:p>
            <w:pPr>
              <w:pStyle w:val="TableParagraph"/>
              <w:spacing w:line="210" w:lineRule="exact" w:before="8"/>
              <w:ind w:left="24"/>
              <w:jc w:val="center"/>
              <w:rPr>
                <w:sz w:val="20"/>
              </w:rPr>
            </w:pPr>
            <w:r>
              <w:rPr>
                <w:color w:val="231F20"/>
                <w:spacing w:val="-2"/>
                <w:sz w:val="20"/>
              </w:rPr>
              <w:t>46,887</w:t>
            </w:r>
          </w:p>
        </w:tc>
        <w:tc>
          <w:tcPr>
            <w:tcW w:w="1281" w:type="dxa"/>
          </w:tcPr>
          <w:p>
            <w:pPr>
              <w:pStyle w:val="TableParagraph"/>
              <w:spacing w:line="210" w:lineRule="exact" w:before="8"/>
              <w:ind w:left="177"/>
              <w:jc w:val="center"/>
              <w:rPr>
                <w:sz w:val="20"/>
              </w:rPr>
            </w:pPr>
            <w:r>
              <w:rPr>
                <w:color w:val="231F20"/>
                <w:spacing w:val="-2"/>
                <w:sz w:val="20"/>
              </w:rPr>
              <w:t>97.60%</w:t>
            </w:r>
          </w:p>
        </w:tc>
      </w:tr>
    </w:tbl>
    <w:p>
      <w:pPr>
        <w:pStyle w:val="BodyText"/>
        <w:spacing w:before="6"/>
        <w:rPr>
          <w:sz w:val="28"/>
        </w:rPr>
      </w:pPr>
    </w:p>
    <w:p>
      <w:pPr>
        <w:pStyle w:val="BodyText"/>
        <w:spacing w:line="276" w:lineRule="auto"/>
        <w:ind w:left="1439" w:right="1048"/>
      </w:pPr>
      <w:r>
        <w:rPr>
          <w:color w:val="231F20"/>
        </w:rPr>
        <w:t>As the chart above demonstrates, head count and credit hours have increased in the 2021-22 school year. The end-of-course completion rates continue to hover around 98%. The End of Course is a measure used to calculate the higher education funding formula. The percentage of EOCCH to CH indicates</w:t>
      </w:r>
      <w:r>
        <w:rPr>
          <w:color w:val="231F20"/>
          <w:spacing w:val="-3"/>
        </w:rPr>
        <w:t> </w:t>
      </w:r>
      <w:r>
        <w:rPr>
          <w:color w:val="231F20"/>
        </w:rPr>
        <w:t>increased</w:t>
      </w:r>
      <w:r>
        <w:rPr>
          <w:color w:val="231F20"/>
          <w:spacing w:val="-3"/>
        </w:rPr>
        <w:t> </w:t>
      </w:r>
      <w:r>
        <w:rPr>
          <w:color w:val="231F20"/>
        </w:rPr>
        <w:t>performance</w:t>
      </w:r>
      <w:r>
        <w:rPr>
          <w:color w:val="231F20"/>
          <w:spacing w:val="-3"/>
        </w:rPr>
        <w:t> </w:t>
      </w:r>
      <w:r>
        <w:rPr>
          <w:color w:val="231F20"/>
        </w:rPr>
        <w:t>is</w:t>
      </w:r>
      <w:r>
        <w:rPr>
          <w:color w:val="231F20"/>
          <w:spacing w:val="-3"/>
        </w:rPr>
        <w:t> </w:t>
      </w:r>
      <w:r>
        <w:rPr>
          <w:color w:val="231F20"/>
        </w:rPr>
        <w:t>directly</w:t>
      </w:r>
      <w:r>
        <w:rPr>
          <w:color w:val="231F20"/>
          <w:spacing w:val="-3"/>
        </w:rPr>
        <w:t> </w:t>
      </w:r>
      <w:r>
        <w:rPr>
          <w:color w:val="231F20"/>
        </w:rPr>
        <w:t>related</w:t>
      </w:r>
      <w:r>
        <w:rPr>
          <w:color w:val="231F20"/>
          <w:spacing w:val="-3"/>
        </w:rPr>
        <w:t> </w:t>
      </w:r>
      <w:r>
        <w:rPr>
          <w:color w:val="231F20"/>
        </w:rPr>
        <w:t>to</w:t>
      </w:r>
      <w:r>
        <w:rPr>
          <w:color w:val="231F20"/>
          <w:spacing w:val="-4"/>
        </w:rPr>
        <w:t> </w:t>
      </w:r>
      <w:r>
        <w:rPr>
          <w:color w:val="231F20"/>
        </w:rPr>
        <w:t>the</w:t>
      </w:r>
      <w:r>
        <w:rPr>
          <w:color w:val="231F20"/>
          <w:spacing w:val="-3"/>
        </w:rPr>
        <w:t> </w:t>
      </w:r>
      <w:r>
        <w:rPr>
          <w:color w:val="231F20"/>
        </w:rPr>
        <w:t>quality</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student,</w:t>
      </w:r>
      <w:r>
        <w:rPr>
          <w:color w:val="231F20"/>
          <w:spacing w:val="-3"/>
        </w:rPr>
        <w:t> </w:t>
      </w:r>
      <w:r>
        <w:rPr>
          <w:color w:val="231F20"/>
        </w:rPr>
        <w:t>faculty</w:t>
      </w:r>
      <w:r>
        <w:rPr>
          <w:color w:val="231F20"/>
          <w:spacing w:val="-3"/>
        </w:rPr>
        <w:t> </w:t>
      </w:r>
      <w:r>
        <w:rPr>
          <w:color w:val="231F20"/>
        </w:rPr>
        <w:t>and</w:t>
      </w:r>
      <w:r>
        <w:rPr>
          <w:color w:val="231F20"/>
          <w:spacing w:val="-4"/>
        </w:rPr>
        <w:t> </w:t>
      </w:r>
      <w:r>
        <w:rPr>
          <w:color w:val="231F20"/>
        </w:rPr>
        <w:t>staff</w:t>
      </w:r>
      <w:r>
        <w:rPr>
          <w:color w:val="231F20"/>
          <w:spacing w:val="-3"/>
        </w:rPr>
        <w:t> </w:t>
      </w:r>
      <w:r>
        <w:rPr>
          <w:color w:val="231F20"/>
        </w:rPr>
        <w:t>at</w:t>
      </w:r>
      <w:r>
        <w:rPr>
          <w:color w:val="231F20"/>
          <w:spacing w:val="-3"/>
        </w:rPr>
        <w:t> </w:t>
      </w:r>
      <w:r>
        <w:rPr>
          <w:color w:val="231F20"/>
        </w:rPr>
        <w:t>NMT.</w:t>
      </w:r>
    </w:p>
    <w:p>
      <w:pPr>
        <w:pStyle w:val="BodyText"/>
        <w:rPr>
          <w:sz w:val="23"/>
        </w:rPr>
      </w:pPr>
    </w:p>
    <w:p>
      <w:pPr>
        <w:pStyle w:val="BodyText"/>
        <w:spacing w:line="276" w:lineRule="auto"/>
        <w:ind w:left="1439" w:right="891"/>
      </w:pPr>
      <w:r>
        <w:rPr>
          <w:color w:val="231F20"/>
        </w:rPr>
        <w:t>The</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Tech</w:t>
      </w:r>
      <w:r>
        <w:rPr>
          <w:color w:val="231F20"/>
          <w:spacing w:val="-3"/>
        </w:rPr>
        <w:t> </w:t>
      </w:r>
      <w:r>
        <w:rPr>
          <w:color w:val="231F20"/>
        </w:rPr>
        <w:t>faculty,</w:t>
      </w:r>
      <w:r>
        <w:rPr>
          <w:color w:val="231F20"/>
          <w:spacing w:val="-3"/>
        </w:rPr>
        <w:t> </w:t>
      </w:r>
      <w:r>
        <w:rPr>
          <w:color w:val="231F20"/>
        </w:rPr>
        <w:t>staff,</w:t>
      </w:r>
      <w:r>
        <w:rPr>
          <w:color w:val="231F20"/>
          <w:spacing w:val="-3"/>
        </w:rPr>
        <w:t> </w:t>
      </w:r>
      <w:r>
        <w:rPr>
          <w:color w:val="231F20"/>
        </w:rPr>
        <w:t>and</w:t>
      </w:r>
      <w:r>
        <w:rPr>
          <w:color w:val="231F20"/>
          <w:spacing w:val="-3"/>
        </w:rPr>
        <w:t> </w:t>
      </w:r>
      <w:r>
        <w:rPr>
          <w:color w:val="231F20"/>
        </w:rPr>
        <w:t>administration</w:t>
      </w:r>
      <w:r>
        <w:rPr>
          <w:color w:val="231F20"/>
          <w:spacing w:val="-3"/>
        </w:rPr>
        <w:t> </w:t>
      </w:r>
      <w:r>
        <w:rPr>
          <w:color w:val="231F20"/>
        </w:rPr>
        <w:t>have</w:t>
      </w:r>
      <w:r>
        <w:rPr>
          <w:color w:val="231F20"/>
          <w:spacing w:val="-3"/>
        </w:rPr>
        <w:t> </w:t>
      </w:r>
      <w:r>
        <w:rPr>
          <w:color w:val="231F20"/>
        </w:rPr>
        <w:t>continued</w:t>
      </w:r>
      <w:r>
        <w:rPr>
          <w:color w:val="231F20"/>
          <w:spacing w:val="-1"/>
        </w:rPr>
        <w:t> </w:t>
      </w:r>
      <w:r>
        <w:rPr>
          <w:color w:val="231F20"/>
        </w:rPr>
        <w:t>to</w:t>
      </w:r>
      <w:r>
        <w:rPr>
          <w:color w:val="231F20"/>
          <w:spacing w:val="-3"/>
        </w:rPr>
        <w:t> </w:t>
      </w:r>
      <w:r>
        <w:rPr>
          <w:color w:val="231F20"/>
        </w:rPr>
        <w:t>deliver</w:t>
      </w:r>
      <w:r>
        <w:rPr>
          <w:color w:val="231F20"/>
          <w:spacing w:val="-3"/>
        </w:rPr>
        <w:t> </w:t>
      </w:r>
      <w:r>
        <w:rPr>
          <w:color w:val="231F20"/>
        </w:rPr>
        <w:t>quality</w:t>
      </w:r>
      <w:r>
        <w:rPr>
          <w:color w:val="231F20"/>
          <w:spacing w:val="-3"/>
        </w:rPr>
        <w:t> </w:t>
      </w:r>
      <w:r>
        <w:rPr>
          <w:color w:val="231F20"/>
        </w:rPr>
        <w:t>education</w:t>
      </w:r>
      <w:r>
        <w:rPr>
          <w:color w:val="231F20"/>
          <w:spacing w:val="-3"/>
        </w:rPr>
        <w:t> </w:t>
      </w:r>
      <w:r>
        <w:rPr>
          <w:color w:val="231F20"/>
        </w:rPr>
        <w:t>to</w:t>
      </w:r>
      <w:r>
        <w:rPr>
          <w:color w:val="231F20"/>
          <w:spacing w:val="-3"/>
        </w:rPr>
        <w:t> </w:t>
      </w:r>
      <w:r>
        <w:rPr>
          <w:color w:val="231F20"/>
        </w:rPr>
        <w:t>the students. Additional faculty have been hired for the current school year replacing many vacant positions that were on hold because of past budget reductions.</w:t>
      </w:r>
    </w:p>
    <w:p>
      <w:pPr>
        <w:pStyle w:val="BodyText"/>
        <w:rPr>
          <w:sz w:val="23"/>
        </w:rPr>
      </w:pPr>
    </w:p>
    <w:p>
      <w:pPr>
        <w:pStyle w:val="BodyText"/>
        <w:spacing w:before="1"/>
        <w:ind w:left="1439"/>
      </w:pPr>
      <w:r>
        <w:rPr>
          <w:color w:val="231F20"/>
        </w:rPr>
        <w:t>New</w:t>
      </w:r>
      <w:r>
        <w:rPr>
          <w:color w:val="231F20"/>
          <w:spacing w:val="-9"/>
        </w:rPr>
        <w:t> </w:t>
      </w:r>
      <w:r>
        <w:rPr>
          <w:color w:val="231F20"/>
        </w:rPr>
        <w:t>Mexico</w:t>
      </w:r>
      <w:r>
        <w:rPr>
          <w:color w:val="231F20"/>
          <w:spacing w:val="-8"/>
        </w:rPr>
        <w:t> </w:t>
      </w:r>
      <w:r>
        <w:rPr>
          <w:color w:val="231F20"/>
        </w:rPr>
        <w:t>Tech</w:t>
      </w:r>
      <w:r>
        <w:rPr>
          <w:color w:val="231F20"/>
          <w:spacing w:val="-7"/>
        </w:rPr>
        <w:t> </w:t>
      </w:r>
      <w:r>
        <w:rPr>
          <w:color w:val="231F20"/>
        </w:rPr>
        <w:t>graduates</w:t>
      </w:r>
      <w:r>
        <w:rPr>
          <w:color w:val="231F20"/>
          <w:spacing w:val="-7"/>
        </w:rPr>
        <w:t> </w:t>
      </w:r>
      <w:r>
        <w:rPr>
          <w:color w:val="231F20"/>
        </w:rPr>
        <w:t>with</w:t>
      </w:r>
      <w:r>
        <w:rPr>
          <w:color w:val="231F20"/>
          <w:spacing w:val="-6"/>
        </w:rPr>
        <w:t> </w:t>
      </w:r>
      <w:r>
        <w:rPr>
          <w:color w:val="231F20"/>
        </w:rPr>
        <w:t>bachelor’s</w:t>
      </w:r>
      <w:r>
        <w:rPr>
          <w:color w:val="231F20"/>
          <w:spacing w:val="-7"/>
        </w:rPr>
        <w:t> </w:t>
      </w:r>
      <w:r>
        <w:rPr>
          <w:color w:val="231F20"/>
        </w:rPr>
        <w:t>degrees</w:t>
      </w:r>
      <w:r>
        <w:rPr>
          <w:color w:val="231F20"/>
          <w:spacing w:val="-8"/>
        </w:rPr>
        <w:t> </w:t>
      </w:r>
      <w:r>
        <w:rPr>
          <w:color w:val="231F20"/>
        </w:rPr>
        <w:t>continue</w:t>
      </w:r>
      <w:r>
        <w:rPr>
          <w:color w:val="231F20"/>
          <w:spacing w:val="-7"/>
        </w:rPr>
        <w:t> </w:t>
      </w:r>
      <w:r>
        <w:rPr>
          <w:color w:val="231F20"/>
        </w:rPr>
        <w:t>to</w:t>
      </w:r>
      <w:r>
        <w:rPr>
          <w:color w:val="231F20"/>
          <w:spacing w:val="-6"/>
        </w:rPr>
        <w:t> </w:t>
      </w:r>
      <w:r>
        <w:rPr>
          <w:color w:val="231F20"/>
        </w:rPr>
        <w:t>obtain</w:t>
      </w:r>
      <w:r>
        <w:rPr>
          <w:color w:val="231F20"/>
          <w:spacing w:val="-7"/>
        </w:rPr>
        <w:t> </w:t>
      </w:r>
      <w:r>
        <w:rPr>
          <w:color w:val="231F20"/>
        </w:rPr>
        <w:t>entry-level</w:t>
      </w:r>
      <w:r>
        <w:rPr>
          <w:color w:val="231F20"/>
          <w:spacing w:val="-7"/>
        </w:rPr>
        <w:t> </w:t>
      </w:r>
      <w:r>
        <w:rPr>
          <w:color w:val="231F20"/>
        </w:rPr>
        <w:t>employment</w:t>
      </w:r>
      <w:r>
        <w:rPr>
          <w:color w:val="231F20"/>
          <w:spacing w:val="-7"/>
        </w:rPr>
        <w:t> </w:t>
      </w:r>
      <w:r>
        <w:rPr>
          <w:color w:val="231F20"/>
        </w:rPr>
        <w:t>in</w:t>
      </w:r>
      <w:r>
        <w:rPr>
          <w:color w:val="231F20"/>
          <w:spacing w:val="-6"/>
        </w:rPr>
        <w:t> </w:t>
      </w:r>
      <w:r>
        <w:rPr>
          <w:color w:val="231F20"/>
          <w:spacing w:val="-5"/>
        </w:rPr>
        <w:t>the</w:t>
      </w:r>
    </w:p>
    <w:p>
      <w:pPr>
        <w:pStyle w:val="BodyText"/>
        <w:spacing w:line="276" w:lineRule="auto" w:before="34"/>
        <w:ind w:left="1439" w:right="891"/>
      </w:pPr>
      <w:r>
        <w:rPr>
          <w:color w:val="231F20"/>
        </w:rPr>
        <w:t>$60,000 and above pay range. This level is a testament to the quality of the education received by New Mexico</w:t>
      </w:r>
      <w:r>
        <w:rPr>
          <w:color w:val="231F20"/>
          <w:spacing w:val="-4"/>
        </w:rPr>
        <w:t> </w:t>
      </w:r>
      <w:r>
        <w:rPr>
          <w:color w:val="231F20"/>
        </w:rPr>
        <w:t>Tech</w:t>
      </w:r>
      <w:r>
        <w:rPr>
          <w:color w:val="231F20"/>
          <w:spacing w:val="-5"/>
        </w:rPr>
        <w:t> </w:t>
      </w:r>
      <w:r>
        <w:rPr>
          <w:color w:val="231F20"/>
        </w:rPr>
        <w:t>graduates</w:t>
      </w:r>
      <w:r>
        <w:rPr>
          <w:color w:val="231F20"/>
          <w:spacing w:val="-3"/>
        </w:rPr>
        <w:t> </w:t>
      </w:r>
      <w:r>
        <w:rPr>
          <w:color w:val="231F20"/>
        </w:rPr>
        <w:t>and</w:t>
      </w:r>
      <w:r>
        <w:rPr>
          <w:color w:val="231F20"/>
          <w:spacing w:val="-4"/>
        </w:rPr>
        <w:t> </w:t>
      </w:r>
      <w:r>
        <w:rPr>
          <w:color w:val="231F20"/>
        </w:rPr>
        <w:t>the</w:t>
      </w:r>
      <w:r>
        <w:rPr>
          <w:color w:val="231F20"/>
          <w:spacing w:val="-4"/>
        </w:rPr>
        <w:t> </w:t>
      </w:r>
      <w:r>
        <w:rPr>
          <w:color w:val="231F20"/>
        </w:rPr>
        <w:t>increasing</w:t>
      </w:r>
      <w:r>
        <w:rPr>
          <w:color w:val="231F20"/>
          <w:spacing w:val="-4"/>
        </w:rPr>
        <w:t> </w:t>
      </w:r>
      <w:r>
        <w:rPr>
          <w:color w:val="231F20"/>
        </w:rPr>
        <w:t>demand</w:t>
      </w:r>
      <w:r>
        <w:rPr>
          <w:color w:val="231F20"/>
          <w:spacing w:val="-4"/>
        </w:rPr>
        <w:t> </w:t>
      </w:r>
      <w:r>
        <w:rPr>
          <w:color w:val="231F20"/>
        </w:rPr>
        <w:t>for</w:t>
      </w:r>
      <w:r>
        <w:rPr>
          <w:color w:val="231F20"/>
          <w:spacing w:val="-2"/>
        </w:rPr>
        <w:t> </w:t>
      </w:r>
      <w:r>
        <w:rPr>
          <w:color w:val="231F20"/>
        </w:rPr>
        <w:t>highly</w:t>
      </w:r>
      <w:r>
        <w:rPr>
          <w:color w:val="231F20"/>
          <w:spacing w:val="-4"/>
        </w:rPr>
        <w:t> </w:t>
      </w:r>
      <w:r>
        <w:rPr>
          <w:color w:val="231F20"/>
        </w:rPr>
        <w:t>qualified</w:t>
      </w:r>
      <w:r>
        <w:rPr>
          <w:color w:val="231F20"/>
          <w:spacing w:val="-4"/>
        </w:rPr>
        <w:t> </w:t>
      </w:r>
      <w:r>
        <w:rPr>
          <w:color w:val="231F20"/>
        </w:rPr>
        <w:t>students</w:t>
      </w:r>
      <w:r>
        <w:rPr>
          <w:color w:val="231F20"/>
          <w:spacing w:val="-5"/>
        </w:rPr>
        <w:t> </w:t>
      </w:r>
      <w:r>
        <w:rPr>
          <w:color w:val="231F20"/>
        </w:rPr>
        <w:t>with</w:t>
      </w:r>
      <w:r>
        <w:rPr>
          <w:color w:val="231F20"/>
          <w:spacing w:val="-4"/>
        </w:rPr>
        <w:t> </w:t>
      </w:r>
      <w:r>
        <w:rPr>
          <w:color w:val="231F20"/>
        </w:rPr>
        <w:t>science,</w:t>
      </w:r>
      <w:r>
        <w:rPr>
          <w:color w:val="231F20"/>
          <w:spacing w:val="-5"/>
        </w:rPr>
        <w:t> </w:t>
      </w:r>
      <w:r>
        <w:rPr>
          <w:color w:val="231F20"/>
        </w:rPr>
        <w:t>technology, engineering, and math (STEM) degrees.</w:t>
      </w:r>
    </w:p>
    <w:p>
      <w:pPr>
        <w:spacing w:after="0" w:line="276" w:lineRule="auto"/>
        <w:sectPr>
          <w:pgSz w:w="12240" w:h="15840"/>
          <w:pgMar w:header="994" w:footer="1097" w:top="1900" w:bottom="1280" w:left="0" w:right="580"/>
        </w:sectPr>
      </w:pPr>
    </w:p>
    <w:p>
      <w:pPr>
        <w:pStyle w:val="BodyText"/>
      </w:pPr>
    </w:p>
    <w:p>
      <w:pPr>
        <w:pStyle w:val="BodyText"/>
        <w:spacing w:before="10"/>
        <w:rPr>
          <w:sz w:val="17"/>
        </w:rPr>
      </w:pPr>
    </w:p>
    <w:p>
      <w:pPr>
        <w:pStyle w:val="Heading4"/>
        <w:spacing w:before="94"/>
      </w:pPr>
      <w:r>
        <w:rPr>
          <w:color w:val="231F20"/>
        </w:rPr>
        <w:t>Higher</w:t>
      </w:r>
      <w:r>
        <w:rPr>
          <w:color w:val="231F20"/>
          <w:spacing w:val="-8"/>
        </w:rPr>
        <w:t> </w:t>
      </w:r>
      <w:r>
        <w:rPr>
          <w:color w:val="231F20"/>
        </w:rPr>
        <w:t>Education</w:t>
      </w:r>
      <w:r>
        <w:rPr>
          <w:color w:val="231F20"/>
          <w:spacing w:val="-8"/>
        </w:rPr>
        <w:t> </w:t>
      </w:r>
      <w:r>
        <w:rPr>
          <w:color w:val="231F20"/>
        </w:rPr>
        <w:t>Funding</w:t>
      </w:r>
      <w:r>
        <w:rPr>
          <w:color w:val="231F20"/>
          <w:spacing w:val="-7"/>
        </w:rPr>
        <w:t> </w:t>
      </w:r>
      <w:r>
        <w:rPr>
          <w:color w:val="231F20"/>
          <w:spacing w:val="-2"/>
        </w:rPr>
        <w:t>Formula</w:t>
      </w:r>
    </w:p>
    <w:p>
      <w:pPr>
        <w:pStyle w:val="BodyText"/>
        <w:spacing w:line="276" w:lineRule="auto" w:before="35"/>
        <w:ind w:left="1440" w:right="891"/>
      </w:pPr>
      <w:r>
        <w:rPr>
          <w:color w:val="231F20"/>
        </w:rPr>
        <w:t>The funding formula for higher education in New Mexico was updated in the fiscal year 2016. Instead of funding</w:t>
      </w:r>
      <w:r>
        <w:rPr>
          <w:color w:val="231F20"/>
          <w:spacing w:val="-3"/>
        </w:rPr>
        <w:t> </w:t>
      </w:r>
      <w:r>
        <w:rPr>
          <w:color w:val="231F20"/>
        </w:rPr>
        <w:t>universities</w:t>
      </w:r>
      <w:r>
        <w:rPr>
          <w:color w:val="231F20"/>
          <w:spacing w:val="-2"/>
        </w:rPr>
        <w:t> </w:t>
      </w:r>
      <w:r>
        <w:rPr>
          <w:color w:val="231F20"/>
        </w:rPr>
        <w:t>for</w:t>
      </w:r>
      <w:r>
        <w:rPr>
          <w:color w:val="231F20"/>
          <w:spacing w:val="-3"/>
        </w:rPr>
        <w:t> </w:t>
      </w:r>
      <w:r>
        <w:rPr>
          <w:color w:val="231F20"/>
        </w:rPr>
        <w:t>student</w:t>
      </w:r>
      <w:r>
        <w:rPr>
          <w:color w:val="231F20"/>
          <w:spacing w:val="-3"/>
        </w:rPr>
        <w:t> </w:t>
      </w:r>
      <w:r>
        <w:rPr>
          <w:color w:val="231F20"/>
        </w:rPr>
        <w:t>credit</w:t>
      </w:r>
      <w:r>
        <w:rPr>
          <w:color w:val="231F20"/>
          <w:spacing w:val="-2"/>
        </w:rPr>
        <w:t> </w:t>
      </w:r>
      <w:r>
        <w:rPr>
          <w:color w:val="231F20"/>
        </w:rPr>
        <w:t>hours</w:t>
      </w:r>
      <w:r>
        <w:rPr>
          <w:color w:val="231F20"/>
          <w:spacing w:val="-3"/>
        </w:rPr>
        <w:t> </w:t>
      </w:r>
      <w:r>
        <w:rPr>
          <w:color w:val="231F20"/>
        </w:rPr>
        <w:t>at</w:t>
      </w:r>
      <w:r>
        <w:rPr>
          <w:color w:val="231F20"/>
          <w:spacing w:val="-3"/>
        </w:rPr>
        <w:t> </w:t>
      </w:r>
      <w:r>
        <w:rPr>
          <w:color w:val="231F20"/>
        </w:rPr>
        <w:t>the</w:t>
      </w:r>
      <w:r>
        <w:rPr>
          <w:color w:val="231F20"/>
          <w:spacing w:val="-4"/>
        </w:rPr>
        <w:t> </w:t>
      </w:r>
      <w:r>
        <w:rPr>
          <w:color w:val="231F20"/>
        </w:rPr>
        <w:t>census</w:t>
      </w:r>
      <w:r>
        <w:rPr>
          <w:color w:val="231F20"/>
          <w:spacing w:val="-2"/>
        </w:rPr>
        <w:t> </w:t>
      </w:r>
      <w:r>
        <w:rPr>
          <w:color w:val="231F20"/>
        </w:rPr>
        <w:t>date,</w:t>
      </w:r>
      <w:r>
        <w:rPr>
          <w:color w:val="231F20"/>
          <w:spacing w:val="-3"/>
        </w:rPr>
        <w:t> </w:t>
      </w:r>
      <w:r>
        <w:rPr>
          <w:color w:val="231F20"/>
        </w:rPr>
        <w:t>the</w:t>
      </w:r>
      <w:r>
        <w:rPr>
          <w:color w:val="231F20"/>
          <w:spacing w:val="-3"/>
        </w:rPr>
        <w:t> </w:t>
      </w:r>
      <w:r>
        <w:rPr>
          <w:color w:val="231F20"/>
        </w:rPr>
        <w:t>third</w:t>
      </w:r>
      <w:r>
        <w:rPr>
          <w:color w:val="231F20"/>
          <w:spacing w:val="-3"/>
        </w:rPr>
        <w:t> </w:t>
      </w:r>
      <w:r>
        <w:rPr>
          <w:color w:val="231F20"/>
        </w:rPr>
        <w:t>week</w:t>
      </w:r>
      <w:r>
        <w:rPr>
          <w:color w:val="231F20"/>
          <w:spacing w:val="-3"/>
        </w:rPr>
        <w:t> </w:t>
      </w:r>
      <w:r>
        <w:rPr>
          <w:color w:val="231F20"/>
        </w:rPr>
        <w:t>of</w:t>
      </w:r>
      <w:r>
        <w:rPr>
          <w:color w:val="231F20"/>
          <w:spacing w:val="-4"/>
        </w:rPr>
        <w:t> </w:t>
      </w:r>
      <w:r>
        <w:rPr>
          <w:color w:val="231F20"/>
        </w:rPr>
        <w:t>classes,</w:t>
      </w:r>
      <w:r>
        <w:rPr>
          <w:color w:val="231F20"/>
          <w:spacing w:val="-3"/>
        </w:rPr>
        <w:t> </w:t>
      </w:r>
      <w:r>
        <w:rPr>
          <w:color w:val="231F20"/>
        </w:rPr>
        <w:t>the</w:t>
      </w:r>
      <w:r>
        <w:rPr>
          <w:color w:val="231F20"/>
          <w:spacing w:val="-3"/>
        </w:rPr>
        <w:t> </w:t>
      </w:r>
      <w:r>
        <w:rPr>
          <w:color w:val="231F20"/>
        </w:rPr>
        <w:t>new</w:t>
      </w:r>
      <w:r>
        <w:rPr>
          <w:color w:val="231F20"/>
          <w:spacing w:val="-3"/>
        </w:rPr>
        <w:t> </w:t>
      </w:r>
      <w:r>
        <w:rPr>
          <w:color w:val="231F20"/>
        </w:rPr>
        <w:t>formula now funds universities on outcomes, end-of-course completion, awards (diplomas and certificates), workforce incentives (STEM), at-risk student enrollment (Pell-eligible) and sector-specific measures,</w:t>
      </w:r>
      <w:r>
        <w:rPr>
          <w:color w:val="231F20"/>
        </w:rPr>
        <w:t> which for the research universities is calculated as research expenditures. The HED is leading in reviewing and evaluating the state’s higher education funding formula, which determines annual funding recommendations for state appropriations to the operational budgets of the state’s public colleges and universities. Tuition increases have helped offset some of the Institute’s increased costs such as health insurance, risk management insurance, utilities, etc.</w:t>
      </w:r>
    </w:p>
    <w:p>
      <w:pPr>
        <w:pStyle w:val="BodyText"/>
        <w:rPr>
          <w:sz w:val="23"/>
        </w:rPr>
      </w:pPr>
    </w:p>
    <w:p>
      <w:pPr>
        <w:pStyle w:val="BodyText"/>
        <w:spacing w:line="276" w:lineRule="auto"/>
        <w:ind w:left="1440" w:right="891"/>
      </w:pPr>
      <w:r>
        <w:rPr>
          <w:color w:val="231F20"/>
        </w:rPr>
        <w:t>Concern</w:t>
      </w:r>
      <w:r>
        <w:rPr>
          <w:color w:val="231F20"/>
          <w:spacing w:val="-3"/>
        </w:rPr>
        <w:t> </w:t>
      </w:r>
      <w:r>
        <w:rPr>
          <w:color w:val="231F20"/>
        </w:rPr>
        <w:t>for</w:t>
      </w:r>
      <w:r>
        <w:rPr>
          <w:color w:val="231F20"/>
          <w:spacing w:val="-3"/>
        </w:rPr>
        <w:t> </w:t>
      </w:r>
      <w:r>
        <w:rPr>
          <w:color w:val="231F20"/>
        </w:rPr>
        <w:t>future</w:t>
      </w:r>
      <w:r>
        <w:rPr>
          <w:color w:val="231F20"/>
          <w:spacing w:val="-3"/>
        </w:rPr>
        <w:t> </w:t>
      </w:r>
      <w:r>
        <w:rPr>
          <w:color w:val="231F20"/>
        </w:rPr>
        <w:t>enrollment</w:t>
      </w:r>
      <w:r>
        <w:rPr>
          <w:color w:val="231F20"/>
          <w:spacing w:val="-3"/>
        </w:rPr>
        <w:t> </w:t>
      </w:r>
      <w:r>
        <w:rPr>
          <w:color w:val="231F20"/>
        </w:rPr>
        <w:t>is</w:t>
      </w:r>
      <w:r>
        <w:rPr>
          <w:color w:val="231F20"/>
          <w:spacing w:val="-3"/>
        </w:rPr>
        <w:t> </w:t>
      </w:r>
      <w:r>
        <w:rPr>
          <w:color w:val="231F20"/>
        </w:rPr>
        <w:t>based</w:t>
      </w:r>
      <w:r>
        <w:rPr>
          <w:color w:val="231F20"/>
          <w:spacing w:val="-4"/>
        </w:rPr>
        <w:t> </w:t>
      </w:r>
      <w:r>
        <w:rPr>
          <w:color w:val="231F20"/>
        </w:rPr>
        <w:t>on</w:t>
      </w:r>
      <w:r>
        <w:rPr>
          <w:color w:val="231F20"/>
          <w:spacing w:val="-3"/>
        </w:rPr>
        <w:t> </w:t>
      </w:r>
      <w:r>
        <w:rPr>
          <w:color w:val="231F20"/>
        </w:rPr>
        <w:t>the</w:t>
      </w:r>
      <w:r>
        <w:rPr>
          <w:color w:val="231F20"/>
          <w:spacing w:val="-3"/>
        </w:rPr>
        <w:t> </w:t>
      </w:r>
      <w:r>
        <w:rPr>
          <w:color w:val="231F20"/>
        </w:rPr>
        <w:t>same</w:t>
      </w:r>
      <w:r>
        <w:rPr>
          <w:color w:val="231F20"/>
          <w:spacing w:val="-3"/>
        </w:rPr>
        <w:t> </w:t>
      </w:r>
      <w:r>
        <w:rPr>
          <w:color w:val="231F20"/>
        </w:rPr>
        <w:t>circumstances</w:t>
      </w:r>
      <w:r>
        <w:rPr>
          <w:color w:val="231F20"/>
          <w:spacing w:val="-3"/>
        </w:rPr>
        <w:t> </w:t>
      </w:r>
      <w:r>
        <w:rPr>
          <w:color w:val="231F20"/>
        </w:rPr>
        <w:t>that</w:t>
      </w:r>
      <w:r>
        <w:rPr>
          <w:color w:val="231F20"/>
          <w:spacing w:val="-3"/>
        </w:rPr>
        <w:t> </w:t>
      </w:r>
      <w:r>
        <w:rPr>
          <w:color w:val="231F20"/>
        </w:rPr>
        <w:t>existed</w:t>
      </w:r>
      <w:r>
        <w:rPr>
          <w:color w:val="231F20"/>
          <w:spacing w:val="-4"/>
        </w:rPr>
        <w:t> </w:t>
      </w:r>
      <w:r>
        <w:rPr>
          <w:color w:val="231F20"/>
        </w:rPr>
        <w:t>for</w:t>
      </w:r>
      <w:r>
        <w:rPr>
          <w:color w:val="231F20"/>
          <w:spacing w:val="-3"/>
        </w:rPr>
        <w:t> </w:t>
      </w:r>
      <w:r>
        <w:rPr>
          <w:color w:val="231F20"/>
        </w:rPr>
        <w:t>several</w:t>
      </w:r>
      <w:r>
        <w:rPr>
          <w:color w:val="231F20"/>
          <w:spacing w:val="-3"/>
        </w:rPr>
        <w:t> </w:t>
      </w:r>
      <w:r>
        <w:rPr>
          <w:color w:val="231F20"/>
        </w:rPr>
        <w:t>years;</w:t>
      </w:r>
      <w:r>
        <w:rPr>
          <w:color w:val="231F20"/>
          <w:spacing w:val="-3"/>
        </w:rPr>
        <w:t> </w:t>
      </w:r>
      <w:r>
        <w:rPr>
          <w:color w:val="231F20"/>
        </w:rPr>
        <w:t>i.e.,</w:t>
      </w:r>
      <w:r>
        <w:rPr>
          <w:color w:val="231F20"/>
          <w:spacing w:val="-3"/>
        </w:rPr>
        <w:t> </w:t>
      </w:r>
      <w:r>
        <w:rPr>
          <w:color w:val="231F20"/>
        </w:rPr>
        <w:t>the forecast</w:t>
      </w:r>
      <w:r>
        <w:rPr>
          <w:color w:val="231F20"/>
          <w:spacing w:val="-2"/>
        </w:rPr>
        <w:t> </w:t>
      </w:r>
      <w:r>
        <w:rPr>
          <w:color w:val="231F20"/>
        </w:rPr>
        <w:t>for</w:t>
      </w:r>
      <w:r>
        <w:rPr>
          <w:color w:val="231F20"/>
          <w:spacing w:val="-2"/>
        </w:rPr>
        <w:t> </w:t>
      </w:r>
      <w:r>
        <w:rPr>
          <w:color w:val="231F20"/>
        </w:rPr>
        <w:t>high</w:t>
      </w:r>
      <w:r>
        <w:rPr>
          <w:color w:val="231F20"/>
          <w:spacing w:val="-2"/>
        </w:rPr>
        <w:t> </w:t>
      </w:r>
      <w:r>
        <w:rPr>
          <w:color w:val="231F20"/>
        </w:rPr>
        <w:t>school</w:t>
      </w:r>
      <w:r>
        <w:rPr>
          <w:color w:val="231F20"/>
          <w:spacing w:val="-2"/>
        </w:rPr>
        <w:t> </w:t>
      </w:r>
      <w:r>
        <w:rPr>
          <w:color w:val="231F20"/>
        </w:rPr>
        <w:t>graduation</w:t>
      </w:r>
      <w:r>
        <w:rPr>
          <w:color w:val="231F20"/>
          <w:spacing w:val="-2"/>
        </w:rPr>
        <w:t> </w:t>
      </w:r>
      <w:r>
        <w:rPr>
          <w:color w:val="231F20"/>
        </w:rPr>
        <w:t>rates</w:t>
      </w:r>
      <w:r>
        <w:rPr>
          <w:color w:val="231F20"/>
          <w:spacing w:val="-3"/>
        </w:rPr>
        <w:t> </w:t>
      </w:r>
      <w:r>
        <w:rPr>
          <w:color w:val="231F20"/>
        </w:rPr>
        <w:t>in</w:t>
      </w:r>
      <w:r>
        <w:rPr>
          <w:color w:val="231F20"/>
          <w:spacing w:val="-2"/>
        </w:rPr>
        <w:t> </w:t>
      </w:r>
      <w:r>
        <w:rPr>
          <w:color w:val="231F20"/>
        </w:rPr>
        <w:t>New</w:t>
      </w:r>
      <w:r>
        <w:rPr>
          <w:color w:val="231F20"/>
          <w:spacing w:val="-2"/>
        </w:rPr>
        <w:t> </w:t>
      </w:r>
      <w:r>
        <w:rPr>
          <w:color w:val="231F20"/>
        </w:rPr>
        <w:t>Mexico</w:t>
      </w:r>
      <w:r>
        <w:rPr>
          <w:color w:val="231F20"/>
          <w:spacing w:val="-2"/>
        </w:rPr>
        <w:t> </w:t>
      </w:r>
      <w:r>
        <w:rPr>
          <w:color w:val="231F20"/>
        </w:rPr>
        <w:t>continues</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discouraging</w:t>
      </w:r>
      <w:r>
        <w:rPr>
          <w:color w:val="231F20"/>
          <w:spacing w:val="-2"/>
        </w:rPr>
        <w:t> </w:t>
      </w:r>
      <w:r>
        <w:rPr>
          <w:color w:val="231F20"/>
        </w:rPr>
        <w:t>because</w:t>
      </w:r>
      <w:r>
        <w:rPr>
          <w:color w:val="231F20"/>
          <w:spacing w:val="-3"/>
        </w:rPr>
        <w:t> </w:t>
      </w:r>
      <w:r>
        <w:rPr>
          <w:color w:val="231F20"/>
        </w:rPr>
        <w:t>of</w:t>
      </w:r>
      <w:r>
        <w:rPr>
          <w:color w:val="231F20"/>
          <w:spacing w:val="-2"/>
        </w:rPr>
        <w:t> </w:t>
      </w:r>
      <w:r>
        <w:rPr>
          <w:color w:val="231F20"/>
        </w:rPr>
        <w:t>smaller graduating classes and low high school graduation rates. Smaller high school graduating classes means fewer</w:t>
      </w:r>
      <w:r>
        <w:rPr>
          <w:color w:val="231F20"/>
          <w:spacing w:val="-1"/>
        </w:rPr>
        <w:t> </w:t>
      </w:r>
      <w:r>
        <w:rPr>
          <w:color w:val="231F20"/>
        </w:rPr>
        <w:t>students are in the pipeline to attend New Mexico colleges and universities. New Mexico Tech</w:t>
      </w:r>
      <w:r>
        <w:rPr>
          <w:color w:val="231F20"/>
          <w:spacing w:val="-1"/>
        </w:rPr>
        <w:t> </w:t>
      </w:r>
      <w:r>
        <w:rPr>
          <w:color w:val="231F20"/>
        </w:rPr>
        <w:t>has been successful in recruiting and enrolling New Mexico high school graduates. The Fall 2021 undergraduate enrollment of New Mexico students is 88.8 percent.</w:t>
      </w:r>
    </w:p>
    <w:p>
      <w:pPr>
        <w:pStyle w:val="BodyText"/>
        <w:spacing w:before="10"/>
        <w:rPr>
          <w:sz w:val="22"/>
        </w:rPr>
      </w:pPr>
    </w:p>
    <w:p>
      <w:pPr>
        <w:pStyle w:val="Heading4"/>
      </w:pPr>
      <w:r>
        <w:rPr>
          <w:color w:val="231F20"/>
          <w:spacing w:val="-2"/>
        </w:rPr>
        <w:t>Research</w:t>
      </w:r>
    </w:p>
    <w:p>
      <w:pPr>
        <w:pStyle w:val="BodyText"/>
        <w:spacing w:line="276" w:lineRule="auto" w:before="35"/>
        <w:ind w:left="1440" w:right="857"/>
      </w:pPr>
      <w:r>
        <w:rPr>
          <w:color w:val="231F20"/>
        </w:rPr>
        <w:t>While</w:t>
      </w:r>
      <w:r>
        <w:rPr>
          <w:color w:val="231F20"/>
          <w:spacing w:val="-4"/>
        </w:rPr>
        <w:t> </w:t>
      </w:r>
      <w:r>
        <w:rPr>
          <w:color w:val="231F20"/>
        </w:rPr>
        <w:t>RPSPs</w:t>
      </w:r>
      <w:r>
        <w:rPr>
          <w:color w:val="231F20"/>
          <w:spacing w:val="-3"/>
        </w:rPr>
        <w:t> </w:t>
      </w:r>
      <w:r>
        <w:rPr>
          <w:color w:val="231F20"/>
        </w:rPr>
        <w:t>and</w:t>
      </w:r>
      <w:r>
        <w:rPr>
          <w:color w:val="231F20"/>
          <w:spacing w:val="-3"/>
        </w:rPr>
        <w:t> </w:t>
      </w:r>
      <w:r>
        <w:rPr>
          <w:color w:val="231F20"/>
        </w:rPr>
        <w:t>some</w:t>
      </w:r>
      <w:r>
        <w:rPr>
          <w:color w:val="231F20"/>
          <w:spacing w:val="-3"/>
        </w:rPr>
        <w:t> </w:t>
      </w:r>
      <w:r>
        <w:rPr>
          <w:color w:val="231F20"/>
        </w:rPr>
        <w:t>grants</w:t>
      </w:r>
      <w:r>
        <w:rPr>
          <w:color w:val="231F20"/>
          <w:spacing w:val="-3"/>
        </w:rPr>
        <w:t> </w:t>
      </w:r>
      <w:r>
        <w:rPr>
          <w:color w:val="231F20"/>
        </w:rPr>
        <w:t>and</w:t>
      </w:r>
      <w:r>
        <w:rPr>
          <w:color w:val="231F20"/>
          <w:spacing w:val="-3"/>
        </w:rPr>
        <w:t> </w:t>
      </w:r>
      <w:r>
        <w:rPr>
          <w:color w:val="231F20"/>
        </w:rPr>
        <w:t>contracts</w:t>
      </w:r>
      <w:r>
        <w:rPr>
          <w:color w:val="231F20"/>
          <w:spacing w:val="-3"/>
        </w:rPr>
        <w:t> </w:t>
      </w:r>
      <w:r>
        <w:rPr>
          <w:color w:val="231F20"/>
        </w:rPr>
        <w:t>are</w:t>
      </w:r>
      <w:r>
        <w:rPr>
          <w:color w:val="231F20"/>
          <w:spacing w:val="-3"/>
        </w:rPr>
        <w:t> </w:t>
      </w:r>
      <w:r>
        <w:rPr>
          <w:color w:val="231F20"/>
        </w:rPr>
        <w:t>funded</w:t>
      </w:r>
      <w:r>
        <w:rPr>
          <w:color w:val="231F20"/>
          <w:spacing w:val="-3"/>
        </w:rPr>
        <w:t> </w:t>
      </w:r>
      <w:r>
        <w:rPr>
          <w:color w:val="231F20"/>
        </w:rPr>
        <w:t>through</w:t>
      </w:r>
      <w:r>
        <w:rPr>
          <w:color w:val="231F20"/>
          <w:spacing w:val="-3"/>
        </w:rPr>
        <w:t> </w:t>
      </w:r>
      <w:r>
        <w:rPr>
          <w:color w:val="231F20"/>
        </w:rPr>
        <w:t>the</w:t>
      </w:r>
      <w:r>
        <w:rPr>
          <w:color w:val="231F20"/>
          <w:spacing w:val="-3"/>
        </w:rPr>
        <w:t> </w:t>
      </w:r>
      <w:r>
        <w:rPr>
          <w:color w:val="231F20"/>
        </w:rPr>
        <w:t>State,</w:t>
      </w:r>
      <w:r>
        <w:rPr>
          <w:color w:val="231F20"/>
          <w:spacing w:val="-3"/>
        </w:rPr>
        <w:t> </w:t>
      </w:r>
      <w:r>
        <w:rPr>
          <w:color w:val="231F20"/>
        </w:rPr>
        <w:t>most</w:t>
      </w:r>
      <w:r>
        <w:rPr>
          <w:color w:val="231F20"/>
          <w:spacing w:val="-3"/>
        </w:rPr>
        <w:t> </w:t>
      </w:r>
      <w:r>
        <w:rPr>
          <w:color w:val="231F20"/>
        </w:rPr>
        <w:t>other</w:t>
      </w:r>
      <w:r>
        <w:rPr>
          <w:color w:val="231F20"/>
          <w:spacing w:val="-3"/>
        </w:rPr>
        <w:t> </w:t>
      </w:r>
      <w:r>
        <w:rPr>
          <w:color w:val="231F20"/>
        </w:rPr>
        <w:t>research</w:t>
      </w:r>
      <w:r>
        <w:rPr>
          <w:color w:val="231F20"/>
          <w:spacing w:val="-3"/>
        </w:rPr>
        <w:t> </w:t>
      </w:r>
      <w:r>
        <w:rPr>
          <w:color w:val="231F20"/>
        </w:rPr>
        <w:t>functions are not. Most are funded through federal resources.</w:t>
      </w:r>
    </w:p>
    <w:p>
      <w:pPr>
        <w:pStyle w:val="BodyText"/>
        <w:rPr>
          <w:sz w:val="23"/>
        </w:rPr>
      </w:pPr>
    </w:p>
    <w:p>
      <w:pPr>
        <w:pStyle w:val="BodyText"/>
        <w:spacing w:line="276" w:lineRule="auto"/>
        <w:ind w:left="1440" w:right="891"/>
      </w:pPr>
      <w:r>
        <w:rPr>
          <w:color w:val="231F20"/>
        </w:rPr>
        <w:t>Research continues to provide a public service to the community and enhances the educational experience</w:t>
      </w:r>
      <w:r>
        <w:rPr>
          <w:color w:val="231F20"/>
          <w:spacing w:val="-3"/>
        </w:rPr>
        <w:t> </w:t>
      </w:r>
      <w:r>
        <w:rPr>
          <w:color w:val="231F20"/>
        </w:rPr>
        <w:t>for</w:t>
      </w:r>
      <w:r>
        <w:rPr>
          <w:color w:val="231F20"/>
          <w:spacing w:val="-3"/>
        </w:rPr>
        <w:t> </w:t>
      </w:r>
      <w:r>
        <w:rPr>
          <w:color w:val="231F20"/>
        </w:rPr>
        <w:t>students.</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time</w:t>
      </w:r>
      <w:r>
        <w:rPr>
          <w:color w:val="231F20"/>
          <w:spacing w:val="-3"/>
        </w:rPr>
        <w:t> </w:t>
      </w:r>
      <w:r>
        <w:rPr>
          <w:color w:val="231F20"/>
        </w:rPr>
        <w:t>they</w:t>
      </w:r>
      <w:r>
        <w:rPr>
          <w:color w:val="231F20"/>
          <w:spacing w:val="-3"/>
        </w:rPr>
        <w:t> </w:t>
      </w:r>
      <w:r>
        <w:rPr>
          <w:color w:val="231F20"/>
        </w:rPr>
        <w:t>graduate,</w:t>
      </w:r>
      <w:r>
        <w:rPr>
          <w:color w:val="231F20"/>
          <w:spacing w:val="-2"/>
        </w:rPr>
        <w:t> </w:t>
      </w:r>
      <w:r>
        <w:rPr>
          <w:color w:val="231F20"/>
        </w:rPr>
        <w:t>most</w:t>
      </w:r>
      <w:r>
        <w:rPr>
          <w:color w:val="231F20"/>
          <w:spacing w:val="-3"/>
        </w:rPr>
        <w:t> </w:t>
      </w:r>
      <w:r>
        <w:rPr>
          <w:color w:val="231F20"/>
        </w:rPr>
        <w:t>students</w:t>
      </w:r>
      <w:r>
        <w:rPr>
          <w:color w:val="231F20"/>
          <w:spacing w:val="-4"/>
        </w:rPr>
        <w:t> </w:t>
      </w:r>
      <w:r>
        <w:rPr>
          <w:color w:val="231F20"/>
        </w:rPr>
        <w:t>have</w:t>
      </w:r>
      <w:r>
        <w:rPr>
          <w:color w:val="231F20"/>
          <w:spacing w:val="-3"/>
        </w:rPr>
        <w:t> </w:t>
      </w:r>
      <w:r>
        <w:rPr>
          <w:color w:val="231F20"/>
        </w:rPr>
        <w:t>practical</w:t>
      </w:r>
      <w:r>
        <w:rPr>
          <w:color w:val="231F20"/>
          <w:spacing w:val="-3"/>
        </w:rPr>
        <w:t> </w:t>
      </w:r>
      <w:r>
        <w:rPr>
          <w:color w:val="231F20"/>
        </w:rPr>
        <w:t>hands-on</w:t>
      </w:r>
      <w:r>
        <w:rPr>
          <w:color w:val="231F20"/>
          <w:spacing w:val="-3"/>
        </w:rPr>
        <w:t> </w:t>
      </w:r>
      <w:r>
        <w:rPr>
          <w:color w:val="231F20"/>
        </w:rPr>
        <w:t>experience</w:t>
      </w:r>
      <w:r>
        <w:rPr>
          <w:color w:val="231F20"/>
          <w:spacing w:val="-3"/>
        </w:rPr>
        <w:t> </w:t>
      </w:r>
      <w:r>
        <w:rPr>
          <w:color w:val="231F20"/>
        </w:rPr>
        <w:t>in their major field of study because of the research programs at New Mexico Tech. This is an important discriminator for employers that seek students with valuable research experience, and it is provided by only a select few universities in the world. Our students have an advantage when they go into the workforce. The effort pays off with the overwhelming majority of students finding employment in their chosen field of study.</w:t>
      </w:r>
    </w:p>
    <w:p>
      <w:pPr>
        <w:spacing w:after="0" w:line="276" w:lineRule="auto"/>
        <w:sectPr>
          <w:pgSz w:w="12240" w:h="15840"/>
          <w:pgMar w:header="994" w:footer="1097" w:top="1900" w:bottom="1280" w:left="0" w:right="580"/>
        </w:sectPr>
      </w:pPr>
    </w:p>
    <w:p>
      <w:pPr>
        <w:pStyle w:val="BodyText"/>
      </w:pPr>
    </w:p>
    <w:p>
      <w:pPr>
        <w:pStyle w:val="BodyText"/>
        <w:spacing w:before="10"/>
        <w:rPr>
          <w:sz w:val="17"/>
        </w:rPr>
      </w:pPr>
    </w:p>
    <w:p>
      <w:pPr>
        <w:pStyle w:val="BodyText"/>
        <w:spacing w:line="276" w:lineRule="auto" w:before="94"/>
        <w:ind w:left="1439" w:right="1048"/>
      </w:pPr>
      <w:r>
        <w:rPr>
          <w:color w:val="231F20"/>
        </w:rPr>
        <w:t>New</w:t>
      </w:r>
      <w:r>
        <w:rPr>
          <w:color w:val="231F20"/>
          <w:spacing w:val="-4"/>
        </w:rPr>
        <w:t> </w:t>
      </w:r>
      <w:r>
        <w:rPr>
          <w:color w:val="231F20"/>
        </w:rPr>
        <w:t>Mexico</w:t>
      </w:r>
      <w:r>
        <w:rPr>
          <w:color w:val="231F20"/>
          <w:spacing w:val="-5"/>
        </w:rPr>
        <w:t> </w:t>
      </w:r>
      <w:r>
        <w:rPr>
          <w:color w:val="231F20"/>
        </w:rPr>
        <w:t>Tech’s</w:t>
      </w:r>
      <w:r>
        <w:rPr>
          <w:color w:val="231F20"/>
          <w:spacing w:val="-3"/>
        </w:rPr>
        <w:t> </w:t>
      </w:r>
      <w:r>
        <w:rPr>
          <w:color w:val="231F20"/>
        </w:rPr>
        <w:t>Incurred</w:t>
      </w:r>
      <w:r>
        <w:rPr>
          <w:color w:val="231F20"/>
          <w:spacing w:val="-4"/>
        </w:rPr>
        <w:t> </w:t>
      </w:r>
      <w:r>
        <w:rPr>
          <w:color w:val="231F20"/>
        </w:rPr>
        <w:t>Cost</w:t>
      </w:r>
      <w:r>
        <w:rPr>
          <w:color w:val="231F20"/>
          <w:spacing w:val="-4"/>
        </w:rPr>
        <w:t> </w:t>
      </w:r>
      <w:r>
        <w:rPr>
          <w:color w:val="231F20"/>
        </w:rPr>
        <w:t>report</w:t>
      </w:r>
      <w:r>
        <w:rPr>
          <w:color w:val="231F20"/>
          <w:spacing w:val="-4"/>
        </w:rPr>
        <w:t> </w:t>
      </w:r>
      <w:r>
        <w:rPr>
          <w:color w:val="231F20"/>
        </w:rPr>
        <w:t>demonstrates</w:t>
      </w:r>
      <w:r>
        <w:rPr>
          <w:color w:val="231F20"/>
          <w:spacing w:val="-2"/>
        </w:rPr>
        <w:t> </w:t>
      </w:r>
      <w:r>
        <w:rPr>
          <w:color w:val="231F20"/>
        </w:rPr>
        <w:t>externally</w:t>
      </w:r>
      <w:r>
        <w:rPr>
          <w:color w:val="231F20"/>
          <w:spacing w:val="-3"/>
        </w:rPr>
        <w:t> </w:t>
      </w:r>
      <w:r>
        <w:rPr>
          <w:color w:val="231F20"/>
        </w:rPr>
        <w:t>funded</w:t>
      </w:r>
      <w:r>
        <w:rPr>
          <w:color w:val="231F20"/>
          <w:spacing w:val="-4"/>
        </w:rPr>
        <w:t> </w:t>
      </w:r>
      <w:r>
        <w:rPr>
          <w:color w:val="231F20"/>
        </w:rPr>
        <w:t>research</w:t>
      </w:r>
      <w:r>
        <w:rPr>
          <w:color w:val="231F20"/>
          <w:spacing w:val="-4"/>
        </w:rPr>
        <w:t> </w:t>
      </w:r>
      <w:r>
        <w:rPr>
          <w:color w:val="231F20"/>
        </w:rPr>
        <w:t>and</w:t>
      </w:r>
      <w:r>
        <w:rPr>
          <w:color w:val="231F20"/>
          <w:spacing w:val="-4"/>
        </w:rPr>
        <w:t> </w:t>
      </w:r>
      <w:r>
        <w:rPr>
          <w:color w:val="231F20"/>
        </w:rPr>
        <w:t>other</w:t>
      </w:r>
      <w:r>
        <w:rPr>
          <w:color w:val="231F20"/>
          <w:spacing w:val="-5"/>
        </w:rPr>
        <w:t> </w:t>
      </w:r>
      <w:r>
        <w:rPr>
          <w:color w:val="231F20"/>
        </w:rPr>
        <w:t>sponsored activity has increased in fiscal year 2022. External funding award amounts are indicated below</w:t>
      </w:r>
      <w:r>
        <w:rPr>
          <w:color w:val="231F20"/>
          <w:spacing w:val="-3"/>
        </w:rPr>
        <w:t> </w:t>
      </w:r>
      <w:r>
        <w:rPr>
          <w:color w:val="231F20"/>
        </w:rPr>
        <w:t>(in </w:t>
      </w:r>
      <w:r>
        <w:rPr>
          <w:color w:val="231F20"/>
          <w:spacing w:val="-2"/>
        </w:rPr>
        <w:t>thousands):</w:t>
      </w:r>
    </w:p>
    <w:p>
      <w:pPr>
        <w:pStyle w:val="BodyText"/>
        <w:spacing w:before="8"/>
        <w:rPr>
          <w:sz w:val="24"/>
        </w:rPr>
      </w:pPr>
    </w:p>
    <w:tbl>
      <w:tblPr>
        <w:tblW w:w="0" w:type="auto"/>
        <w:jc w:val="left"/>
        <w:tblInd w:w="4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8"/>
        <w:gridCol w:w="1311"/>
      </w:tblGrid>
      <w:tr>
        <w:trPr>
          <w:trHeight w:val="232" w:hRule="atLeast"/>
        </w:trPr>
        <w:tc>
          <w:tcPr>
            <w:tcW w:w="1848" w:type="dxa"/>
          </w:tcPr>
          <w:p>
            <w:pPr>
              <w:pStyle w:val="TableParagraph"/>
              <w:spacing w:line="212" w:lineRule="exact"/>
              <w:ind w:left="50"/>
              <w:rPr>
                <w:sz w:val="19"/>
              </w:rPr>
            </w:pPr>
            <w:r>
              <w:rPr>
                <w:color w:val="231F20"/>
                <w:w w:val="105"/>
                <w:sz w:val="19"/>
              </w:rPr>
              <w:t>Fiscal</w:t>
            </w:r>
            <w:r>
              <w:rPr>
                <w:color w:val="231F20"/>
                <w:spacing w:val="2"/>
                <w:w w:val="105"/>
                <w:sz w:val="19"/>
              </w:rPr>
              <w:t> </w:t>
            </w:r>
            <w:r>
              <w:rPr>
                <w:color w:val="231F20"/>
                <w:w w:val="105"/>
                <w:sz w:val="19"/>
              </w:rPr>
              <w:t>year</w:t>
            </w:r>
            <w:r>
              <w:rPr>
                <w:color w:val="231F20"/>
                <w:spacing w:val="3"/>
                <w:w w:val="105"/>
                <w:sz w:val="19"/>
              </w:rPr>
              <w:t> </w:t>
            </w:r>
            <w:r>
              <w:rPr>
                <w:color w:val="231F20"/>
                <w:spacing w:val="-4"/>
                <w:w w:val="105"/>
                <w:sz w:val="19"/>
              </w:rPr>
              <w:t>2022</w:t>
            </w:r>
          </w:p>
        </w:tc>
        <w:tc>
          <w:tcPr>
            <w:tcW w:w="1311" w:type="dxa"/>
          </w:tcPr>
          <w:p>
            <w:pPr>
              <w:pStyle w:val="TableParagraph"/>
              <w:tabs>
                <w:tab w:pos="327" w:val="left" w:leader="none"/>
              </w:tabs>
              <w:spacing w:line="212" w:lineRule="exact"/>
              <w:ind w:right="47"/>
              <w:jc w:val="right"/>
              <w:rPr>
                <w:sz w:val="19"/>
              </w:rPr>
            </w:pPr>
            <w:r>
              <w:rPr>
                <w:color w:val="231F20"/>
                <w:spacing w:val="-10"/>
                <w:w w:val="105"/>
                <w:sz w:val="19"/>
              </w:rPr>
              <w:t>$</w:t>
            </w:r>
            <w:r>
              <w:rPr>
                <w:color w:val="231F20"/>
                <w:sz w:val="19"/>
              </w:rPr>
              <w:tab/>
            </w:r>
            <w:r>
              <w:rPr>
                <w:color w:val="231F20"/>
                <w:spacing w:val="-2"/>
                <w:w w:val="105"/>
                <w:sz w:val="19"/>
              </w:rPr>
              <w:t>76,486</w:t>
            </w:r>
          </w:p>
        </w:tc>
      </w:tr>
      <w:tr>
        <w:trPr>
          <w:trHeight w:val="244" w:hRule="atLeast"/>
        </w:trPr>
        <w:tc>
          <w:tcPr>
            <w:tcW w:w="1848" w:type="dxa"/>
          </w:tcPr>
          <w:p>
            <w:pPr>
              <w:pStyle w:val="TableParagraph"/>
              <w:spacing w:line="212" w:lineRule="exact" w:before="12"/>
              <w:ind w:left="50"/>
              <w:rPr>
                <w:sz w:val="19"/>
              </w:rPr>
            </w:pPr>
            <w:r>
              <w:rPr>
                <w:color w:val="231F20"/>
                <w:w w:val="105"/>
                <w:sz w:val="19"/>
              </w:rPr>
              <w:t>Fiscal</w:t>
            </w:r>
            <w:r>
              <w:rPr>
                <w:color w:val="231F20"/>
                <w:spacing w:val="2"/>
                <w:w w:val="105"/>
                <w:sz w:val="19"/>
              </w:rPr>
              <w:t> </w:t>
            </w:r>
            <w:r>
              <w:rPr>
                <w:color w:val="231F20"/>
                <w:w w:val="105"/>
                <w:sz w:val="19"/>
              </w:rPr>
              <w:t>year</w:t>
            </w:r>
            <w:r>
              <w:rPr>
                <w:color w:val="231F20"/>
                <w:spacing w:val="3"/>
                <w:w w:val="105"/>
                <w:sz w:val="19"/>
              </w:rPr>
              <w:t> </w:t>
            </w:r>
            <w:r>
              <w:rPr>
                <w:color w:val="231F20"/>
                <w:spacing w:val="-4"/>
                <w:w w:val="105"/>
                <w:sz w:val="19"/>
              </w:rPr>
              <w:t>2021</w:t>
            </w:r>
          </w:p>
        </w:tc>
        <w:tc>
          <w:tcPr>
            <w:tcW w:w="1311" w:type="dxa"/>
          </w:tcPr>
          <w:p>
            <w:pPr>
              <w:pStyle w:val="TableParagraph"/>
              <w:spacing w:line="212" w:lineRule="exact" w:before="12"/>
              <w:ind w:right="47"/>
              <w:jc w:val="right"/>
              <w:rPr>
                <w:sz w:val="19"/>
              </w:rPr>
            </w:pPr>
            <w:r>
              <w:rPr>
                <w:color w:val="231F20"/>
                <w:spacing w:val="-2"/>
                <w:w w:val="105"/>
                <w:sz w:val="19"/>
              </w:rPr>
              <w:t>52,545</w:t>
            </w:r>
          </w:p>
        </w:tc>
      </w:tr>
      <w:tr>
        <w:trPr>
          <w:trHeight w:val="244" w:hRule="atLeast"/>
        </w:trPr>
        <w:tc>
          <w:tcPr>
            <w:tcW w:w="1848" w:type="dxa"/>
          </w:tcPr>
          <w:p>
            <w:pPr>
              <w:pStyle w:val="TableParagraph"/>
              <w:spacing w:line="212" w:lineRule="exact" w:before="12"/>
              <w:ind w:left="50"/>
              <w:rPr>
                <w:sz w:val="19"/>
              </w:rPr>
            </w:pPr>
            <w:r>
              <w:rPr>
                <w:color w:val="231F20"/>
                <w:w w:val="105"/>
                <w:sz w:val="19"/>
              </w:rPr>
              <w:t>Fiscal</w:t>
            </w:r>
            <w:r>
              <w:rPr>
                <w:color w:val="231F20"/>
                <w:spacing w:val="2"/>
                <w:w w:val="105"/>
                <w:sz w:val="19"/>
              </w:rPr>
              <w:t> </w:t>
            </w:r>
            <w:r>
              <w:rPr>
                <w:color w:val="231F20"/>
                <w:w w:val="105"/>
                <w:sz w:val="19"/>
              </w:rPr>
              <w:t>year</w:t>
            </w:r>
            <w:r>
              <w:rPr>
                <w:color w:val="231F20"/>
                <w:spacing w:val="3"/>
                <w:w w:val="105"/>
                <w:sz w:val="19"/>
              </w:rPr>
              <w:t> </w:t>
            </w:r>
            <w:r>
              <w:rPr>
                <w:color w:val="231F20"/>
                <w:spacing w:val="-4"/>
                <w:w w:val="105"/>
                <w:sz w:val="19"/>
              </w:rPr>
              <w:t>2020</w:t>
            </w:r>
          </w:p>
        </w:tc>
        <w:tc>
          <w:tcPr>
            <w:tcW w:w="1311" w:type="dxa"/>
          </w:tcPr>
          <w:p>
            <w:pPr>
              <w:pStyle w:val="TableParagraph"/>
              <w:spacing w:line="212" w:lineRule="exact" w:before="12"/>
              <w:ind w:right="47"/>
              <w:jc w:val="right"/>
              <w:rPr>
                <w:sz w:val="19"/>
              </w:rPr>
            </w:pPr>
            <w:r>
              <w:rPr>
                <w:color w:val="231F20"/>
                <w:spacing w:val="-2"/>
                <w:w w:val="105"/>
                <w:sz w:val="19"/>
              </w:rPr>
              <w:t>55,842</w:t>
            </w:r>
          </w:p>
        </w:tc>
      </w:tr>
      <w:tr>
        <w:trPr>
          <w:trHeight w:val="244" w:hRule="atLeast"/>
        </w:trPr>
        <w:tc>
          <w:tcPr>
            <w:tcW w:w="1848" w:type="dxa"/>
          </w:tcPr>
          <w:p>
            <w:pPr>
              <w:pStyle w:val="TableParagraph"/>
              <w:spacing w:line="212" w:lineRule="exact" w:before="12"/>
              <w:ind w:left="50"/>
              <w:rPr>
                <w:sz w:val="19"/>
              </w:rPr>
            </w:pPr>
            <w:r>
              <w:rPr>
                <w:color w:val="231F20"/>
                <w:w w:val="105"/>
                <w:sz w:val="19"/>
              </w:rPr>
              <w:t>Fiscal</w:t>
            </w:r>
            <w:r>
              <w:rPr>
                <w:color w:val="231F20"/>
                <w:spacing w:val="2"/>
                <w:w w:val="105"/>
                <w:sz w:val="19"/>
              </w:rPr>
              <w:t> </w:t>
            </w:r>
            <w:r>
              <w:rPr>
                <w:color w:val="231F20"/>
                <w:w w:val="105"/>
                <w:sz w:val="19"/>
              </w:rPr>
              <w:t>year</w:t>
            </w:r>
            <w:r>
              <w:rPr>
                <w:color w:val="231F20"/>
                <w:spacing w:val="3"/>
                <w:w w:val="105"/>
                <w:sz w:val="19"/>
              </w:rPr>
              <w:t> </w:t>
            </w:r>
            <w:r>
              <w:rPr>
                <w:color w:val="231F20"/>
                <w:spacing w:val="-4"/>
                <w:w w:val="105"/>
                <w:sz w:val="19"/>
              </w:rPr>
              <w:t>2019</w:t>
            </w:r>
          </w:p>
        </w:tc>
        <w:tc>
          <w:tcPr>
            <w:tcW w:w="1311" w:type="dxa"/>
          </w:tcPr>
          <w:p>
            <w:pPr>
              <w:pStyle w:val="TableParagraph"/>
              <w:spacing w:line="212" w:lineRule="exact" w:before="12"/>
              <w:ind w:right="47"/>
              <w:jc w:val="right"/>
              <w:rPr>
                <w:sz w:val="19"/>
              </w:rPr>
            </w:pPr>
            <w:r>
              <w:rPr>
                <w:color w:val="231F20"/>
                <w:spacing w:val="-2"/>
                <w:w w:val="105"/>
                <w:sz w:val="19"/>
              </w:rPr>
              <w:t>56,398</w:t>
            </w:r>
          </w:p>
        </w:tc>
      </w:tr>
      <w:tr>
        <w:trPr>
          <w:trHeight w:val="232" w:hRule="atLeast"/>
        </w:trPr>
        <w:tc>
          <w:tcPr>
            <w:tcW w:w="1848" w:type="dxa"/>
          </w:tcPr>
          <w:p>
            <w:pPr>
              <w:pStyle w:val="TableParagraph"/>
              <w:spacing w:line="200" w:lineRule="exact" w:before="12"/>
              <w:ind w:left="50"/>
              <w:rPr>
                <w:sz w:val="19"/>
              </w:rPr>
            </w:pPr>
            <w:r>
              <w:rPr>
                <w:color w:val="231F20"/>
                <w:w w:val="105"/>
                <w:sz w:val="19"/>
              </w:rPr>
              <w:t>Fiscal</w:t>
            </w:r>
            <w:r>
              <w:rPr>
                <w:color w:val="231F20"/>
                <w:spacing w:val="2"/>
                <w:w w:val="105"/>
                <w:sz w:val="19"/>
              </w:rPr>
              <w:t> </w:t>
            </w:r>
            <w:r>
              <w:rPr>
                <w:color w:val="231F20"/>
                <w:w w:val="105"/>
                <w:sz w:val="19"/>
              </w:rPr>
              <w:t>year</w:t>
            </w:r>
            <w:r>
              <w:rPr>
                <w:color w:val="231F20"/>
                <w:spacing w:val="3"/>
                <w:w w:val="105"/>
                <w:sz w:val="19"/>
              </w:rPr>
              <w:t> </w:t>
            </w:r>
            <w:r>
              <w:rPr>
                <w:color w:val="231F20"/>
                <w:spacing w:val="-4"/>
                <w:w w:val="105"/>
                <w:sz w:val="19"/>
              </w:rPr>
              <w:t>2018</w:t>
            </w:r>
          </w:p>
        </w:tc>
        <w:tc>
          <w:tcPr>
            <w:tcW w:w="1311" w:type="dxa"/>
          </w:tcPr>
          <w:p>
            <w:pPr>
              <w:pStyle w:val="TableParagraph"/>
              <w:spacing w:line="200" w:lineRule="exact" w:before="12"/>
              <w:ind w:right="47"/>
              <w:jc w:val="right"/>
              <w:rPr>
                <w:sz w:val="19"/>
              </w:rPr>
            </w:pPr>
            <w:r>
              <w:rPr>
                <w:color w:val="231F20"/>
                <w:spacing w:val="-2"/>
                <w:w w:val="105"/>
                <w:sz w:val="19"/>
              </w:rPr>
              <w:t>56,565</w:t>
            </w:r>
          </w:p>
        </w:tc>
      </w:tr>
    </w:tbl>
    <w:p>
      <w:pPr>
        <w:pStyle w:val="BodyText"/>
        <w:spacing w:before="6"/>
        <w:rPr>
          <w:sz w:val="28"/>
        </w:rPr>
      </w:pPr>
    </w:p>
    <w:p>
      <w:pPr>
        <w:pStyle w:val="BodyText"/>
        <w:spacing w:line="276" w:lineRule="auto"/>
        <w:ind w:left="1440" w:right="891"/>
      </w:pPr>
      <w:r>
        <w:rPr>
          <w:color w:val="231F20"/>
        </w:rPr>
        <w:t>The Bureau of Geology and Mineral Resources (NMBGMR, the Bureau), Geophysical Research Center (GRC) and Institute of Complex Additive Systems Analysis (ICASA) are mainly funded by the State of New Mexico through the RPSPs line item in the higher education budget. In addition to funding by the state,</w:t>
      </w:r>
      <w:r>
        <w:rPr>
          <w:color w:val="231F20"/>
          <w:spacing w:val="-3"/>
        </w:rPr>
        <w:t> </w:t>
      </w:r>
      <w:r>
        <w:rPr>
          <w:color w:val="231F20"/>
        </w:rPr>
        <w:t>the</w:t>
      </w:r>
      <w:r>
        <w:rPr>
          <w:color w:val="231F20"/>
          <w:spacing w:val="-3"/>
        </w:rPr>
        <w:t> </w:t>
      </w:r>
      <w:r>
        <w:rPr>
          <w:color w:val="231F20"/>
        </w:rPr>
        <w:t>Bureau</w:t>
      </w:r>
      <w:r>
        <w:rPr>
          <w:color w:val="231F20"/>
          <w:spacing w:val="-3"/>
        </w:rPr>
        <w:t> </w:t>
      </w:r>
      <w:r>
        <w:rPr>
          <w:color w:val="231F20"/>
        </w:rPr>
        <w:t>receives</w:t>
      </w:r>
      <w:r>
        <w:rPr>
          <w:color w:val="231F20"/>
          <w:spacing w:val="-3"/>
        </w:rPr>
        <w:t> </w:t>
      </w:r>
      <w:r>
        <w:rPr>
          <w:color w:val="231F20"/>
        </w:rPr>
        <w:t>between</w:t>
      </w:r>
      <w:r>
        <w:rPr>
          <w:color w:val="231F20"/>
          <w:spacing w:val="-3"/>
        </w:rPr>
        <w:t> </w:t>
      </w:r>
      <w:r>
        <w:rPr>
          <w:color w:val="231F20"/>
        </w:rPr>
        <w:t>$1</w:t>
      </w:r>
      <w:r>
        <w:rPr>
          <w:color w:val="231F20"/>
          <w:spacing w:val="-3"/>
        </w:rPr>
        <w:t> </w:t>
      </w:r>
      <w:r>
        <w:rPr>
          <w:color w:val="231F20"/>
        </w:rPr>
        <w:t>and</w:t>
      </w:r>
      <w:r>
        <w:rPr>
          <w:color w:val="231F20"/>
          <w:spacing w:val="-3"/>
        </w:rPr>
        <w:t> </w:t>
      </w:r>
      <w:r>
        <w:rPr>
          <w:color w:val="231F20"/>
        </w:rPr>
        <w:t>$2</w:t>
      </w:r>
      <w:r>
        <w:rPr>
          <w:color w:val="231F20"/>
          <w:spacing w:val="-3"/>
        </w:rPr>
        <w:t> </w:t>
      </w:r>
      <w:r>
        <w:rPr>
          <w:color w:val="231F20"/>
        </w:rPr>
        <w:t>million</w:t>
      </w:r>
      <w:r>
        <w:rPr>
          <w:color w:val="231F20"/>
          <w:spacing w:val="-4"/>
        </w:rPr>
        <w:t> </w:t>
      </w:r>
      <w:r>
        <w:rPr>
          <w:color w:val="231F20"/>
        </w:rPr>
        <w:t>per</w:t>
      </w:r>
      <w:r>
        <w:rPr>
          <w:color w:val="231F20"/>
          <w:spacing w:val="-3"/>
        </w:rPr>
        <w:t> </w:t>
      </w:r>
      <w:r>
        <w:rPr>
          <w:color w:val="231F20"/>
        </w:rPr>
        <w:t>year</w:t>
      </w:r>
      <w:r>
        <w:rPr>
          <w:color w:val="231F20"/>
          <w:spacing w:val="-2"/>
        </w:rPr>
        <w:t> </w:t>
      </w:r>
      <w:r>
        <w:rPr>
          <w:color w:val="231F20"/>
        </w:rPr>
        <w:t>in</w:t>
      </w:r>
      <w:r>
        <w:rPr>
          <w:color w:val="231F20"/>
          <w:spacing w:val="-3"/>
        </w:rPr>
        <w:t> </w:t>
      </w:r>
      <w:r>
        <w:rPr>
          <w:color w:val="231F20"/>
        </w:rPr>
        <w:t>grant,</w:t>
      </w:r>
      <w:r>
        <w:rPr>
          <w:color w:val="231F20"/>
          <w:spacing w:val="-3"/>
        </w:rPr>
        <w:t> </w:t>
      </w:r>
      <w:r>
        <w:rPr>
          <w:color w:val="231F20"/>
        </w:rPr>
        <w:t>contract</w:t>
      </w:r>
      <w:r>
        <w:rPr>
          <w:color w:val="231F20"/>
          <w:spacing w:val="-4"/>
        </w:rPr>
        <w:t> </w:t>
      </w:r>
      <w:r>
        <w:rPr>
          <w:color w:val="231F20"/>
        </w:rPr>
        <w:t>and</w:t>
      </w:r>
      <w:r>
        <w:rPr>
          <w:color w:val="231F20"/>
          <w:spacing w:val="-3"/>
        </w:rPr>
        <w:t> </w:t>
      </w:r>
      <w:r>
        <w:rPr>
          <w:color w:val="231F20"/>
        </w:rPr>
        <w:t>gift</w:t>
      </w:r>
      <w:r>
        <w:rPr>
          <w:color w:val="231F20"/>
          <w:spacing w:val="-3"/>
        </w:rPr>
        <w:t> </w:t>
      </w:r>
      <w:r>
        <w:rPr>
          <w:color w:val="231F20"/>
        </w:rPr>
        <w:t>funding.</w:t>
      </w:r>
      <w:r>
        <w:rPr>
          <w:color w:val="231F20"/>
          <w:spacing w:val="-3"/>
        </w:rPr>
        <w:t> </w:t>
      </w:r>
      <w:r>
        <w:rPr>
          <w:color w:val="231F20"/>
        </w:rPr>
        <w:t>Funding sources included the National Science Foundation, Department of Energy, United States Geological Survey, National Park Service, State agencies and philanthropic organizations, among others.</w:t>
      </w:r>
    </w:p>
    <w:p>
      <w:pPr>
        <w:pStyle w:val="BodyText"/>
        <w:spacing w:before="11"/>
        <w:rPr>
          <w:sz w:val="22"/>
        </w:rPr>
      </w:pPr>
    </w:p>
    <w:p>
      <w:pPr>
        <w:pStyle w:val="BodyText"/>
        <w:spacing w:line="276" w:lineRule="auto"/>
        <w:ind w:left="1440" w:right="891"/>
      </w:pPr>
      <w:r>
        <w:rPr>
          <w:color w:val="231F20"/>
        </w:rPr>
        <w:t>The</w:t>
      </w:r>
      <w:r>
        <w:rPr>
          <w:color w:val="231F20"/>
          <w:spacing w:val="-3"/>
        </w:rPr>
        <w:t> </w:t>
      </w:r>
      <w:r>
        <w:rPr>
          <w:color w:val="231F20"/>
        </w:rPr>
        <w:t>Petroleum</w:t>
      </w:r>
      <w:r>
        <w:rPr>
          <w:color w:val="231F20"/>
          <w:spacing w:val="-3"/>
        </w:rPr>
        <w:t> </w:t>
      </w:r>
      <w:r>
        <w:rPr>
          <w:color w:val="231F20"/>
        </w:rPr>
        <w:t>Research</w:t>
      </w:r>
      <w:r>
        <w:rPr>
          <w:color w:val="231F20"/>
          <w:spacing w:val="-3"/>
        </w:rPr>
        <w:t> </w:t>
      </w:r>
      <w:r>
        <w:rPr>
          <w:color w:val="231F20"/>
        </w:rPr>
        <w:t>and</w:t>
      </w:r>
      <w:r>
        <w:rPr>
          <w:color w:val="231F20"/>
          <w:spacing w:val="-3"/>
        </w:rPr>
        <w:t> </w:t>
      </w:r>
      <w:r>
        <w:rPr>
          <w:color w:val="231F20"/>
        </w:rPr>
        <w:t>Recovery</w:t>
      </w:r>
      <w:r>
        <w:rPr>
          <w:color w:val="231F20"/>
          <w:spacing w:val="-3"/>
        </w:rPr>
        <w:t> </w:t>
      </w:r>
      <w:r>
        <w:rPr>
          <w:color w:val="231F20"/>
        </w:rPr>
        <w:t>Center</w:t>
      </w:r>
      <w:r>
        <w:rPr>
          <w:color w:val="231F20"/>
          <w:spacing w:val="-3"/>
        </w:rPr>
        <w:t> </w:t>
      </w:r>
      <w:r>
        <w:rPr>
          <w:color w:val="231F20"/>
        </w:rPr>
        <w:t>is</w:t>
      </w:r>
      <w:r>
        <w:rPr>
          <w:color w:val="231F20"/>
          <w:spacing w:val="-3"/>
        </w:rPr>
        <w:t> </w:t>
      </w:r>
      <w:r>
        <w:rPr>
          <w:color w:val="231F20"/>
        </w:rPr>
        <w:t>also</w:t>
      </w:r>
      <w:r>
        <w:rPr>
          <w:color w:val="231F20"/>
          <w:spacing w:val="-3"/>
        </w:rPr>
        <w:t> </w:t>
      </w:r>
      <w:r>
        <w:rPr>
          <w:color w:val="231F20"/>
        </w:rPr>
        <w:t>partially</w:t>
      </w:r>
      <w:r>
        <w:rPr>
          <w:color w:val="231F20"/>
          <w:spacing w:val="-1"/>
        </w:rPr>
        <w:t> </w:t>
      </w:r>
      <w:r>
        <w:rPr>
          <w:color w:val="231F20"/>
        </w:rPr>
        <w:t>funded</w:t>
      </w:r>
      <w:r>
        <w:rPr>
          <w:color w:val="231F20"/>
          <w:spacing w:val="-4"/>
        </w:rPr>
        <w:t> </w:t>
      </w:r>
      <w:r>
        <w:rPr>
          <w:color w:val="231F20"/>
        </w:rPr>
        <w:t>via</w:t>
      </w:r>
      <w:r>
        <w:rPr>
          <w:color w:val="231F20"/>
          <w:spacing w:val="-3"/>
        </w:rPr>
        <w:t> </w:t>
      </w:r>
      <w:r>
        <w:rPr>
          <w:color w:val="231F20"/>
        </w:rPr>
        <w:t>the</w:t>
      </w:r>
      <w:r>
        <w:rPr>
          <w:color w:val="231F20"/>
          <w:spacing w:val="-4"/>
        </w:rPr>
        <w:t> </w:t>
      </w:r>
      <w:r>
        <w:rPr>
          <w:color w:val="231F20"/>
        </w:rPr>
        <w:t>RPSP</w:t>
      </w:r>
      <w:r>
        <w:rPr>
          <w:color w:val="231F20"/>
          <w:spacing w:val="-3"/>
        </w:rPr>
        <w:t> </w:t>
      </w:r>
      <w:r>
        <w:rPr>
          <w:color w:val="231F20"/>
        </w:rPr>
        <w:t>budget.</w:t>
      </w:r>
      <w:r>
        <w:rPr>
          <w:color w:val="231F20"/>
          <w:spacing w:val="-3"/>
        </w:rPr>
        <w:t> </w:t>
      </w:r>
      <w:r>
        <w:rPr>
          <w:color w:val="231F20"/>
        </w:rPr>
        <w:t>However,</w:t>
      </w:r>
      <w:r>
        <w:rPr>
          <w:color w:val="231F20"/>
          <w:spacing w:val="-3"/>
        </w:rPr>
        <w:t> </w:t>
      </w:r>
      <w:r>
        <w:rPr>
          <w:color w:val="231F20"/>
        </w:rPr>
        <w:t>a Department of Energy carbon sequestration project has been in place for several years bringing in approximately</w:t>
      </w:r>
      <w:r>
        <w:rPr>
          <w:color w:val="231F20"/>
          <w:spacing w:val="-4"/>
        </w:rPr>
        <w:t> </w:t>
      </w:r>
      <w:r>
        <w:rPr>
          <w:color w:val="231F20"/>
        </w:rPr>
        <w:t>$90</w:t>
      </w:r>
      <w:r>
        <w:rPr>
          <w:color w:val="231F20"/>
          <w:spacing w:val="-4"/>
        </w:rPr>
        <w:t> </w:t>
      </w:r>
      <w:r>
        <w:rPr>
          <w:color w:val="231F20"/>
        </w:rPr>
        <w:t>million</w:t>
      </w:r>
      <w:r>
        <w:rPr>
          <w:color w:val="231F20"/>
          <w:spacing w:val="-4"/>
        </w:rPr>
        <w:t> </w:t>
      </w:r>
      <w:r>
        <w:rPr>
          <w:color w:val="231F20"/>
        </w:rPr>
        <w:t>dollars.</w:t>
      </w:r>
      <w:r>
        <w:rPr>
          <w:color w:val="231F20"/>
          <w:spacing w:val="-4"/>
        </w:rPr>
        <w:t> </w:t>
      </w:r>
      <w:r>
        <w:rPr>
          <w:color w:val="231F20"/>
        </w:rPr>
        <w:t>Additional</w:t>
      </w:r>
      <w:r>
        <w:rPr>
          <w:color w:val="231F20"/>
          <w:spacing w:val="-4"/>
        </w:rPr>
        <w:t> </w:t>
      </w:r>
      <w:r>
        <w:rPr>
          <w:color w:val="231F20"/>
        </w:rPr>
        <w:t>awards</w:t>
      </w:r>
      <w:r>
        <w:rPr>
          <w:color w:val="231F20"/>
          <w:spacing w:val="-5"/>
        </w:rPr>
        <w:t> </w:t>
      </w:r>
      <w:r>
        <w:rPr>
          <w:color w:val="231F20"/>
        </w:rPr>
        <w:t>with</w:t>
      </w:r>
      <w:r>
        <w:rPr>
          <w:color w:val="231F20"/>
          <w:spacing w:val="-2"/>
        </w:rPr>
        <w:t> </w:t>
      </w:r>
      <w:r>
        <w:rPr>
          <w:color w:val="231F20"/>
        </w:rPr>
        <w:t>DOE</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Bureau</w:t>
      </w:r>
      <w:r>
        <w:rPr>
          <w:color w:val="231F20"/>
          <w:spacing w:val="-4"/>
        </w:rPr>
        <w:t> </w:t>
      </w:r>
      <w:r>
        <w:rPr>
          <w:color w:val="231F20"/>
        </w:rPr>
        <w:t>of</w:t>
      </w:r>
      <w:r>
        <w:rPr>
          <w:color w:val="231F20"/>
          <w:spacing w:val="-4"/>
        </w:rPr>
        <w:t> </w:t>
      </w:r>
      <w:r>
        <w:rPr>
          <w:color w:val="231F20"/>
        </w:rPr>
        <w:t>Reclamation</w:t>
      </w:r>
      <w:r>
        <w:rPr>
          <w:color w:val="231F20"/>
          <w:spacing w:val="-4"/>
        </w:rPr>
        <w:t> </w:t>
      </w:r>
      <w:r>
        <w:rPr>
          <w:color w:val="231F20"/>
        </w:rPr>
        <w:t>brought</w:t>
      </w:r>
      <w:r>
        <w:rPr>
          <w:color w:val="231F20"/>
          <w:spacing w:val="-4"/>
        </w:rPr>
        <w:t> </w:t>
      </w:r>
      <w:r>
        <w:rPr>
          <w:color w:val="231F20"/>
        </w:rPr>
        <w:t>in the funding of over $20 million dollars.</w:t>
      </w:r>
    </w:p>
    <w:p>
      <w:pPr>
        <w:pStyle w:val="BodyText"/>
        <w:spacing w:before="11"/>
        <w:rPr>
          <w:sz w:val="22"/>
        </w:rPr>
      </w:pPr>
    </w:p>
    <w:p>
      <w:pPr>
        <w:pStyle w:val="BodyText"/>
        <w:spacing w:line="276" w:lineRule="auto"/>
        <w:ind w:left="1440" w:right="857"/>
      </w:pPr>
      <w:r>
        <w:rPr>
          <w:color w:val="231F20"/>
        </w:rPr>
        <w:t>The</w:t>
      </w:r>
      <w:r>
        <w:rPr>
          <w:color w:val="231F20"/>
          <w:spacing w:val="-3"/>
        </w:rPr>
        <w:t> </w:t>
      </w:r>
      <w:r>
        <w:rPr>
          <w:color w:val="231F20"/>
        </w:rPr>
        <w:t>Energetic</w:t>
      </w:r>
      <w:r>
        <w:rPr>
          <w:color w:val="231F20"/>
          <w:spacing w:val="-2"/>
        </w:rPr>
        <w:t> </w:t>
      </w:r>
      <w:r>
        <w:rPr>
          <w:color w:val="231F20"/>
        </w:rPr>
        <w:t>Materials</w:t>
      </w:r>
      <w:r>
        <w:rPr>
          <w:color w:val="231F20"/>
          <w:spacing w:val="-4"/>
        </w:rPr>
        <w:t> </w:t>
      </w:r>
      <w:r>
        <w:rPr>
          <w:color w:val="231F20"/>
        </w:rPr>
        <w:t>Research</w:t>
      </w:r>
      <w:r>
        <w:rPr>
          <w:color w:val="231F20"/>
          <w:spacing w:val="-3"/>
        </w:rPr>
        <w:t> </w:t>
      </w:r>
      <w:r>
        <w:rPr>
          <w:color w:val="231F20"/>
        </w:rPr>
        <w:t>and</w:t>
      </w:r>
      <w:r>
        <w:rPr>
          <w:color w:val="231F20"/>
          <w:spacing w:val="-3"/>
        </w:rPr>
        <w:t> </w:t>
      </w:r>
      <w:r>
        <w:rPr>
          <w:color w:val="231F20"/>
        </w:rPr>
        <w:t>Testing</w:t>
      </w:r>
      <w:r>
        <w:rPr>
          <w:color w:val="231F20"/>
          <w:spacing w:val="-4"/>
        </w:rPr>
        <w:t> </w:t>
      </w:r>
      <w:r>
        <w:rPr>
          <w:color w:val="231F20"/>
        </w:rPr>
        <w:t>Center</w:t>
      </w:r>
      <w:r>
        <w:rPr>
          <w:color w:val="231F20"/>
          <w:spacing w:val="-3"/>
        </w:rPr>
        <w:t> </w:t>
      </w:r>
      <w:r>
        <w:rPr>
          <w:color w:val="231F20"/>
        </w:rPr>
        <w:t>(EMRTC)</w:t>
      </w:r>
      <w:r>
        <w:rPr>
          <w:color w:val="231F20"/>
          <w:spacing w:val="-4"/>
        </w:rPr>
        <w:t> </w:t>
      </w:r>
      <w:r>
        <w:rPr>
          <w:color w:val="231F20"/>
        </w:rPr>
        <w:t>continues</w:t>
      </w:r>
      <w:r>
        <w:rPr>
          <w:color w:val="231F20"/>
          <w:spacing w:val="-3"/>
        </w:rPr>
        <w:t> </w:t>
      </w:r>
      <w:r>
        <w:rPr>
          <w:color w:val="231F20"/>
        </w:rPr>
        <w:t>to</w:t>
      </w:r>
      <w:r>
        <w:rPr>
          <w:color w:val="231F20"/>
          <w:spacing w:val="-3"/>
        </w:rPr>
        <w:t> </w:t>
      </w:r>
      <w:r>
        <w:rPr>
          <w:color w:val="231F20"/>
        </w:rPr>
        <w:t>work</w:t>
      </w:r>
      <w:r>
        <w:rPr>
          <w:color w:val="231F20"/>
          <w:spacing w:val="-3"/>
        </w:rPr>
        <w:t> </w:t>
      </w:r>
      <w:r>
        <w:rPr>
          <w:color w:val="231F20"/>
        </w:rPr>
        <w:t>with</w:t>
      </w:r>
      <w:r>
        <w:rPr>
          <w:color w:val="231F20"/>
          <w:spacing w:val="-3"/>
        </w:rPr>
        <w:t> </w:t>
      </w:r>
      <w:r>
        <w:rPr>
          <w:color w:val="231F20"/>
        </w:rPr>
        <w:t>the</w:t>
      </w:r>
      <w:r>
        <w:rPr>
          <w:color w:val="231F20"/>
          <w:spacing w:val="-4"/>
        </w:rPr>
        <w:t> </w:t>
      </w:r>
      <w:r>
        <w:rPr>
          <w:color w:val="231F20"/>
        </w:rPr>
        <w:t>Department</w:t>
      </w:r>
      <w:r>
        <w:rPr>
          <w:color w:val="231F20"/>
          <w:spacing w:val="-3"/>
        </w:rPr>
        <w:t> </w:t>
      </w:r>
      <w:r>
        <w:rPr>
          <w:color w:val="231F20"/>
        </w:rPr>
        <w:t>of Homeland Security training program. Grant and Contract activities remain at an average of $5 million per </w:t>
      </w:r>
      <w:r>
        <w:rPr>
          <w:color w:val="231F20"/>
          <w:spacing w:val="-2"/>
        </w:rPr>
        <w:t>annum.</w:t>
      </w:r>
    </w:p>
    <w:p>
      <w:pPr>
        <w:pStyle w:val="BodyText"/>
        <w:rPr>
          <w:sz w:val="23"/>
        </w:rPr>
      </w:pPr>
    </w:p>
    <w:p>
      <w:pPr>
        <w:pStyle w:val="BodyText"/>
        <w:spacing w:line="276" w:lineRule="auto"/>
        <w:ind w:left="1440" w:right="1048"/>
      </w:pPr>
      <w:r>
        <w:rPr>
          <w:color w:val="231F20"/>
        </w:rPr>
        <w:t>The Magdalena Ridge Observatory (MRO) 2.4-meter telescope continues to be NASA’s flagship telescope for near-Earth object observations. In the past year, the telescope conducted numerous campaigns</w:t>
      </w:r>
      <w:r>
        <w:rPr>
          <w:color w:val="231F20"/>
          <w:spacing w:val="-3"/>
        </w:rPr>
        <w:t> </w:t>
      </w:r>
      <w:r>
        <w:rPr>
          <w:color w:val="231F20"/>
        </w:rPr>
        <w:t>to</w:t>
      </w:r>
      <w:r>
        <w:rPr>
          <w:color w:val="231F20"/>
          <w:spacing w:val="-4"/>
        </w:rPr>
        <w:t> </w:t>
      </w:r>
      <w:r>
        <w:rPr>
          <w:color w:val="231F20"/>
        </w:rPr>
        <w:t>track</w:t>
      </w:r>
      <w:r>
        <w:rPr>
          <w:color w:val="231F20"/>
          <w:spacing w:val="-3"/>
        </w:rPr>
        <w:t> </w:t>
      </w:r>
      <w:r>
        <w:rPr>
          <w:color w:val="231F20"/>
        </w:rPr>
        <w:t>and</w:t>
      </w:r>
      <w:r>
        <w:rPr>
          <w:color w:val="231F20"/>
          <w:spacing w:val="-4"/>
        </w:rPr>
        <w:t> </w:t>
      </w:r>
      <w:r>
        <w:rPr>
          <w:color w:val="231F20"/>
        </w:rPr>
        <w:t>characterize</w:t>
      </w:r>
      <w:r>
        <w:rPr>
          <w:color w:val="231F20"/>
          <w:spacing w:val="-4"/>
        </w:rPr>
        <w:t> </w:t>
      </w:r>
      <w:r>
        <w:rPr>
          <w:color w:val="231F20"/>
        </w:rPr>
        <w:t>close</w:t>
      </w:r>
      <w:r>
        <w:rPr>
          <w:color w:val="231F20"/>
          <w:spacing w:val="-3"/>
        </w:rPr>
        <w:t> </w:t>
      </w:r>
      <w:r>
        <w:rPr>
          <w:color w:val="231F20"/>
        </w:rPr>
        <w:t>approaching</w:t>
      </w:r>
      <w:r>
        <w:rPr>
          <w:color w:val="231F20"/>
          <w:spacing w:val="-3"/>
        </w:rPr>
        <w:t> </w:t>
      </w:r>
      <w:r>
        <w:rPr>
          <w:color w:val="231F20"/>
        </w:rPr>
        <w:t>asteroids.</w:t>
      </w:r>
      <w:r>
        <w:rPr>
          <w:color w:val="231F20"/>
          <w:spacing w:val="-3"/>
        </w:rPr>
        <w:t> </w:t>
      </w:r>
      <w:r>
        <w:rPr>
          <w:color w:val="231F20"/>
        </w:rPr>
        <w:t>Funding</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2.4-meter</w:t>
      </w:r>
      <w:r>
        <w:rPr>
          <w:color w:val="231F20"/>
          <w:spacing w:val="-4"/>
        </w:rPr>
        <w:t> </w:t>
      </w:r>
      <w:r>
        <w:rPr>
          <w:color w:val="231F20"/>
        </w:rPr>
        <w:t>telescope comes from NASA (80%) and the Department of Defense (20%).</w:t>
      </w:r>
    </w:p>
    <w:p>
      <w:pPr>
        <w:pStyle w:val="BodyText"/>
        <w:rPr>
          <w:sz w:val="23"/>
        </w:rPr>
      </w:pPr>
    </w:p>
    <w:p>
      <w:pPr>
        <w:pStyle w:val="BodyText"/>
        <w:spacing w:line="276" w:lineRule="auto"/>
        <w:ind w:left="1440" w:right="1048"/>
      </w:pPr>
      <w:r>
        <w:rPr>
          <w:color w:val="231F20"/>
        </w:rPr>
        <w:t>The</w:t>
      </w:r>
      <w:r>
        <w:rPr>
          <w:color w:val="231F20"/>
          <w:spacing w:val="-3"/>
        </w:rPr>
        <w:t> </w:t>
      </w:r>
      <w:r>
        <w:rPr>
          <w:color w:val="231F20"/>
        </w:rPr>
        <w:t>construction</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Interferometer</w:t>
      </w:r>
      <w:r>
        <w:rPr>
          <w:color w:val="231F20"/>
          <w:spacing w:val="-3"/>
        </w:rPr>
        <w:t> </w:t>
      </w:r>
      <w:r>
        <w:rPr>
          <w:color w:val="231F20"/>
        </w:rPr>
        <w:t>at</w:t>
      </w:r>
      <w:r>
        <w:rPr>
          <w:color w:val="231F20"/>
          <w:spacing w:val="-4"/>
        </w:rPr>
        <w:t> </w:t>
      </w:r>
      <w:r>
        <w:rPr>
          <w:color w:val="231F20"/>
        </w:rPr>
        <w:t>MRO</w:t>
      </w:r>
      <w:r>
        <w:rPr>
          <w:color w:val="231F20"/>
          <w:spacing w:val="-4"/>
        </w:rPr>
        <w:t> </w:t>
      </w:r>
      <w:r>
        <w:rPr>
          <w:color w:val="231F20"/>
        </w:rPr>
        <w:t>continues.</w:t>
      </w:r>
      <w:r>
        <w:rPr>
          <w:color w:val="231F20"/>
          <w:spacing w:val="-3"/>
        </w:rPr>
        <w:t> </w:t>
      </w:r>
      <w:r>
        <w:rPr>
          <w:color w:val="231F20"/>
        </w:rPr>
        <w:t>The</w:t>
      </w:r>
      <w:r>
        <w:rPr>
          <w:color w:val="231F20"/>
          <w:spacing w:val="-3"/>
        </w:rPr>
        <w:t> </w:t>
      </w:r>
      <w:r>
        <w:rPr>
          <w:color w:val="231F20"/>
        </w:rPr>
        <w:t>first</w:t>
      </w:r>
      <w:r>
        <w:rPr>
          <w:color w:val="231F20"/>
          <w:spacing w:val="-3"/>
        </w:rPr>
        <w:t> </w:t>
      </w:r>
      <w:r>
        <w:rPr>
          <w:color w:val="231F20"/>
        </w:rPr>
        <w:t>telescope</w:t>
      </w:r>
      <w:r>
        <w:rPr>
          <w:color w:val="231F20"/>
          <w:spacing w:val="-3"/>
        </w:rPr>
        <w:t> </w:t>
      </w:r>
      <w:r>
        <w:rPr>
          <w:color w:val="231F20"/>
        </w:rPr>
        <w:t>was</w:t>
      </w:r>
      <w:r>
        <w:rPr>
          <w:color w:val="231F20"/>
          <w:spacing w:val="-3"/>
        </w:rPr>
        <w:t> </w:t>
      </w:r>
      <w:r>
        <w:rPr>
          <w:color w:val="231F20"/>
        </w:rPr>
        <w:t>installed</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array and the Air Force Research Lab (AFRL) continues to fund this project. They have steady funding from NASA at $1.4 million every three years.</w:t>
      </w:r>
    </w:p>
    <w:p>
      <w:pPr>
        <w:pStyle w:val="BodyText"/>
        <w:rPr>
          <w:sz w:val="23"/>
        </w:rPr>
      </w:pPr>
    </w:p>
    <w:p>
      <w:pPr>
        <w:pStyle w:val="BodyText"/>
        <w:ind w:left="1440" w:right="926"/>
      </w:pPr>
      <w:r>
        <w:rPr>
          <w:color w:val="231F20"/>
        </w:rPr>
        <w:t>The</w:t>
      </w:r>
      <w:r>
        <w:rPr>
          <w:color w:val="231F20"/>
          <w:spacing w:val="-4"/>
        </w:rPr>
        <w:t> </w:t>
      </w:r>
      <w:r>
        <w:rPr>
          <w:color w:val="231F20"/>
        </w:rPr>
        <w:t>IRIS/PASSCAL</w:t>
      </w:r>
      <w:r>
        <w:rPr>
          <w:color w:val="231F20"/>
          <w:spacing w:val="-4"/>
        </w:rPr>
        <w:t> </w:t>
      </w:r>
      <w:r>
        <w:rPr>
          <w:color w:val="231F20"/>
        </w:rPr>
        <w:t>seismic</w:t>
      </w:r>
      <w:r>
        <w:rPr>
          <w:color w:val="231F20"/>
          <w:spacing w:val="-4"/>
        </w:rPr>
        <w:t> </w:t>
      </w:r>
      <w:r>
        <w:rPr>
          <w:color w:val="231F20"/>
        </w:rPr>
        <w:t>center</w:t>
      </w:r>
      <w:r>
        <w:rPr>
          <w:color w:val="231F20"/>
          <w:spacing w:val="-4"/>
        </w:rPr>
        <w:t> </w:t>
      </w:r>
      <w:r>
        <w:rPr>
          <w:color w:val="231F20"/>
        </w:rPr>
        <w:t>continues</w:t>
      </w:r>
      <w:r>
        <w:rPr>
          <w:color w:val="231F20"/>
          <w:spacing w:val="-4"/>
        </w:rPr>
        <w:t> </w:t>
      </w:r>
      <w:r>
        <w:rPr>
          <w:color w:val="231F20"/>
        </w:rPr>
        <w:t>to</w:t>
      </w:r>
      <w:r>
        <w:rPr>
          <w:color w:val="231F20"/>
          <w:spacing w:val="-4"/>
        </w:rPr>
        <w:t> </w:t>
      </w:r>
      <w:r>
        <w:rPr>
          <w:color w:val="231F20"/>
        </w:rPr>
        <w:t>support</w:t>
      </w:r>
      <w:r>
        <w:rPr>
          <w:color w:val="231F20"/>
          <w:spacing w:val="-4"/>
        </w:rPr>
        <w:t> </w:t>
      </w:r>
      <w:r>
        <w:rPr>
          <w:color w:val="231F20"/>
        </w:rPr>
        <w:t>National</w:t>
      </w:r>
      <w:r>
        <w:rPr>
          <w:color w:val="231F20"/>
          <w:spacing w:val="-4"/>
        </w:rPr>
        <w:t> </w:t>
      </w:r>
      <w:r>
        <w:rPr>
          <w:color w:val="231F20"/>
        </w:rPr>
        <w:t>Science</w:t>
      </w:r>
      <w:r>
        <w:rPr>
          <w:color w:val="231F20"/>
          <w:spacing w:val="-4"/>
        </w:rPr>
        <w:t> </w:t>
      </w:r>
      <w:r>
        <w:rPr>
          <w:color w:val="231F20"/>
        </w:rPr>
        <w:t>Foundation</w:t>
      </w:r>
      <w:r>
        <w:rPr>
          <w:color w:val="231F20"/>
          <w:spacing w:val="-4"/>
        </w:rPr>
        <w:t> </w:t>
      </w:r>
      <w:r>
        <w:rPr>
          <w:color w:val="231F20"/>
        </w:rPr>
        <w:t>and</w:t>
      </w:r>
      <w:r>
        <w:rPr>
          <w:color w:val="231F20"/>
          <w:spacing w:val="-4"/>
        </w:rPr>
        <w:t> </w:t>
      </w:r>
      <w:r>
        <w:rPr>
          <w:color w:val="231F20"/>
        </w:rPr>
        <w:t>other</w:t>
      </w:r>
      <w:r>
        <w:rPr>
          <w:color w:val="231F20"/>
          <w:spacing w:val="-4"/>
        </w:rPr>
        <w:t> </w:t>
      </w:r>
      <w:r>
        <w:rPr>
          <w:color w:val="231F20"/>
        </w:rPr>
        <w:t>projects around the world. IRIS was awarded funding to continue supporting US seismology for the next two years. Funding for this program continues to be stable.</w:t>
      </w:r>
    </w:p>
    <w:p>
      <w:pPr>
        <w:pStyle w:val="BodyText"/>
      </w:pPr>
    </w:p>
    <w:p>
      <w:pPr>
        <w:pStyle w:val="Heading4"/>
      </w:pPr>
      <w:r>
        <w:rPr>
          <w:color w:val="231F20"/>
        </w:rPr>
        <w:t>COVID-19</w:t>
      </w:r>
      <w:r>
        <w:rPr>
          <w:color w:val="231F20"/>
          <w:spacing w:val="-8"/>
        </w:rPr>
        <w:t> </w:t>
      </w:r>
      <w:r>
        <w:rPr>
          <w:color w:val="231F20"/>
          <w:spacing w:val="-2"/>
        </w:rPr>
        <w:t>Impact</w:t>
      </w:r>
    </w:p>
    <w:p>
      <w:pPr>
        <w:pStyle w:val="BodyText"/>
        <w:spacing w:line="276" w:lineRule="auto" w:before="34"/>
        <w:ind w:left="1440" w:right="926"/>
      </w:pPr>
      <w:r>
        <w:rPr>
          <w:color w:val="231F20"/>
        </w:rPr>
        <w:t>The impact of the COVID-19 pandemic continues. The</w:t>
      </w:r>
      <w:r>
        <w:rPr>
          <w:color w:val="231F20"/>
          <w:spacing w:val="-1"/>
        </w:rPr>
        <w:t> </w:t>
      </w:r>
      <w:r>
        <w:rPr>
          <w:color w:val="231F20"/>
        </w:rPr>
        <w:t>institution has to increase</w:t>
      </w:r>
      <w:r>
        <w:rPr>
          <w:color w:val="231F20"/>
          <w:spacing w:val="-1"/>
        </w:rPr>
        <w:t> </w:t>
      </w:r>
      <w:r>
        <w:rPr>
          <w:color w:val="231F20"/>
        </w:rPr>
        <w:t>expenditures relative to providing instruction and minimizing the risk of the spread of COVID-19 to our campus community and increasing funds for student financial aid. It is estimated only 50% of the costs can be recovered from Federal stimulus funds due to the limitation of the available funding source. The institution has spent</w:t>
      </w:r>
      <w:r>
        <w:rPr>
          <w:color w:val="231F20"/>
        </w:rPr>
        <w:t> more</w:t>
      </w:r>
      <w:r>
        <w:rPr>
          <w:color w:val="231F20"/>
          <w:spacing w:val="-3"/>
        </w:rPr>
        <w:t> </w:t>
      </w:r>
      <w:r>
        <w:rPr>
          <w:color w:val="231F20"/>
        </w:rPr>
        <w:t>than</w:t>
      </w:r>
      <w:r>
        <w:rPr>
          <w:color w:val="231F20"/>
          <w:spacing w:val="-3"/>
        </w:rPr>
        <w:t> </w:t>
      </w:r>
      <w:r>
        <w:rPr>
          <w:color w:val="231F20"/>
        </w:rPr>
        <w:t>$1</w:t>
      </w:r>
      <w:r>
        <w:rPr>
          <w:color w:val="231F20"/>
          <w:spacing w:val="-4"/>
        </w:rPr>
        <w:t> </w:t>
      </w:r>
      <w:r>
        <w:rPr>
          <w:color w:val="231F20"/>
        </w:rPr>
        <w:t>million</w:t>
      </w:r>
      <w:r>
        <w:rPr>
          <w:color w:val="231F20"/>
          <w:spacing w:val="-3"/>
        </w:rPr>
        <w:t> </w:t>
      </w:r>
      <w:r>
        <w:rPr>
          <w:color w:val="231F20"/>
        </w:rPr>
        <w:t>to</w:t>
      </w:r>
      <w:r>
        <w:rPr>
          <w:color w:val="231F20"/>
          <w:spacing w:val="-3"/>
        </w:rPr>
        <w:t> </w:t>
      </w:r>
      <w:r>
        <w:rPr>
          <w:color w:val="231F20"/>
        </w:rPr>
        <w:t>support</w:t>
      </w:r>
      <w:r>
        <w:rPr>
          <w:color w:val="231F20"/>
          <w:spacing w:val="-3"/>
        </w:rPr>
        <w:t> </w:t>
      </w:r>
      <w:r>
        <w:rPr>
          <w:color w:val="231F20"/>
        </w:rPr>
        <w:t>technological</w:t>
      </w:r>
      <w:r>
        <w:rPr>
          <w:color w:val="231F20"/>
          <w:spacing w:val="-4"/>
        </w:rPr>
        <w:t> </w:t>
      </w:r>
      <w:r>
        <w:rPr>
          <w:color w:val="231F20"/>
        </w:rPr>
        <w:t>costs</w:t>
      </w:r>
      <w:r>
        <w:rPr>
          <w:color w:val="231F20"/>
          <w:spacing w:val="-1"/>
        </w:rPr>
        <w:t> </w:t>
      </w:r>
      <w:r>
        <w:rPr>
          <w:color w:val="231F20"/>
        </w:rPr>
        <w:t>and</w:t>
      </w:r>
      <w:r>
        <w:rPr>
          <w:color w:val="231F20"/>
          <w:spacing w:val="-3"/>
        </w:rPr>
        <w:t> </w:t>
      </w:r>
      <w:r>
        <w:rPr>
          <w:color w:val="231F20"/>
        </w:rPr>
        <w:t>necessary</w:t>
      </w:r>
      <w:r>
        <w:rPr>
          <w:color w:val="231F20"/>
          <w:spacing w:val="-4"/>
        </w:rPr>
        <w:t> </w:t>
      </w:r>
      <w:r>
        <w:rPr>
          <w:color w:val="231F20"/>
        </w:rPr>
        <w:t>resources,</w:t>
      </w:r>
      <w:r>
        <w:rPr>
          <w:color w:val="231F20"/>
          <w:spacing w:val="-3"/>
        </w:rPr>
        <w:t> </w:t>
      </w:r>
      <w:r>
        <w:rPr>
          <w:color w:val="231F20"/>
        </w:rPr>
        <w:t>as</w:t>
      </w:r>
      <w:r>
        <w:rPr>
          <w:color w:val="231F20"/>
          <w:spacing w:val="-4"/>
        </w:rPr>
        <w:t> </w:t>
      </w:r>
      <w:r>
        <w:rPr>
          <w:color w:val="231F20"/>
        </w:rPr>
        <w:t>well</w:t>
      </w:r>
      <w:r>
        <w:rPr>
          <w:color w:val="231F20"/>
          <w:spacing w:val="-3"/>
        </w:rPr>
        <w:t> </w:t>
      </w:r>
      <w:r>
        <w:rPr>
          <w:color w:val="231F20"/>
        </w:rPr>
        <w:t>as</w:t>
      </w:r>
      <w:r>
        <w:rPr>
          <w:color w:val="231F20"/>
          <w:spacing w:val="-2"/>
        </w:rPr>
        <w:t> </w:t>
      </w:r>
      <w:r>
        <w:rPr>
          <w:color w:val="231F20"/>
        </w:rPr>
        <w:t>provide</w:t>
      </w:r>
      <w:r>
        <w:rPr>
          <w:color w:val="231F20"/>
          <w:spacing w:val="-3"/>
        </w:rPr>
        <w:t> </w:t>
      </w:r>
      <w:r>
        <w:rPr>
          <w:color w:val="231F20"/>
        </w:rPr>
        <w:t>students with additional financial aid funding. The impact of the COVID-19 pandemic is expected to last for years.</w:t>
      </w:r>
    </w:p>
    <w:p>
      <w:pPr>
        <w:spacing w:after="0" w:line="276" w:lineRule="auto"/>
        <w:sectPr>
          <w:pgSz w:w="12240" w:h="15840"/>
          <w:pgMar w:header="994" w:footer="1097" w:top="1900" w:bottom="1280" w:left="0" w:right="580"/>
        </w:sectPr>
      </w:pPr>
    </w:p>
    <w:p>
      <w:pPr>
        <w:pStyle w:val="BodyText"/>
      </w:pPr>
    </w:p>
    <w:p>
      <w:pPr>
        <w:pStyle w:val="BodyText"/>
        <w:spacing w:before="10"/>
        <w:rPr>
          <w:sz w:val="17"/>
        </w:rPr>
      </w:pPr>
    </w:p>
    <w:p>
      <w:pPr>
        <w:pStyle w:val="Heading4"/>
        <w:spacing w:before="94"/>
      </w:pPr>
      <w:r>
        <w:rPr>
          <w:color w:val="231F20"/>
        </w:rPr>
        <w:t>Economic</w:t>
      </w:r>
      <w:r>
        <w:rPr>
          <w:color w:val="231F20"/>
          <w:spacing w:val="-5"/>
        </w:rPr>
        <w:t> </w:t>
      </w:r>
      <w:r>
        <w:rPr>
          <w:color w:val="231F20"/>
          <w:spacing w:val="-2"/>
        </w:rPr>
        <w:t>Outlook</w:t>
      </w:r>
    </w:p>
    <w:p>
      <w:pPr>
        <w:pStyle w:val="BodyText"/>
        <w:spacing w:line="276" w:lineRule="auto" w:before="35"/>
        <w:ind w:left="1440" w:right="891"/>
      </w:pPr>
      <w:r>
        <w:rPr>
          <w:color w:val="231F20"/>
        </w:rPr>
        <w:t>The economic outlook for New Mexico Tech continues to be closely monitored by the administration. Decisions by the NMT administration are dependent on actions taken by the state and federal governments.</w:t>
      </w:r>
      <w:r>
        <w:rPr>
          <w:color w:val="231F20"/>
          <w:spacing w:val="-4"/>
        </w:rPr>
        <w:t> </w:t>
      </w:r>
      <w:r>
        <w:rPr>
          <w:color w:val="231F20"/>
        </w:rPr>
        <w:t>Proactive</w:t>
      </w:r>
      <w:r>
        <w:rPr>
          <w:color w:val="231F20"/>
          <w:spacing w:val="-4"/>
        </w:rPr>
        <w:t> </w:t>
      </w:r>
      <w:r>
        <w:rPr>
          <w:color w:val="231F20"/>
        </w:rPr>
        <w:t>financial</w:t>
      </w:r>
      <w:r>
        <w:rPr>
          <w:color w:val="231F20"/>
          <w:spacing w:val="-4"/>
        </w:rPr>
        <w:t> </w:t>
      </w:r>
      <w:r>
        <w:rPr>
          <w:color w:val="231F20"/>
        </w:rPr>
        <w:t>and</w:t>
      </w:r>
      <w:r>
        <w:rPr>
          <w:color w:val="231F20"/>
          <w:spacing w:val="-4"/>
        </w:rPr>
        <w:t> </w:t>
      </w:r>
      <w:r>
        <w:rPr>
          <w:color w:val="231F20"/>
        </w:rPr>
        <w:t>budget</w:t>
      </w:r>
      <w:r>
        <w:rPr>
          <w:color w:val="231F20"/>
          <w:spacing w:val="-4"/>
        </w:rPr>
        <w:t> </w:t>
      </w:r>
      <w:r>
        <w:rPr>
          <w:color w:val="231F20"/>
        </w:rPr>
        <w:t>actions</w:t>
      </w:r>
      <w:r>
        <w:rPr>
          <w:color w:val="231F20"/>
          <w:spacing w:val="-5"/>
        </w:rPr>
        <w:t> </w:t>
      </w:r>
      <w:r>
        <w:rPr>
          <w:color w:val="231F20"/>
        </w:rPr>
        <w:t>were</w:t>
      </w:r>
      <w:r>
        <w:rPr>
          <w:color w:val="231F20"/>
          <w:spacing w:val="-1"/>
        </w:rPr>
        <w:t> </w:t>
      </w:r>
      <w:r>
        <w:rPr>
          <w:color w:val="231F20"/>
        </w:rPr>
        <w:t>taken</w:t>
      </w:r>
      <w:r>
        <w:rPr>
          <w:color w:val="231F20"/>
          <w:spacing w:val="-4"/>
        </w:rPr>
        <w:t> </w:t>
      </w:r>
      <w:r>
        <w:rPr>
          <w:color w:val="231F20"/>
        </w:rPr>
        <w:t>early</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global</w:t>
      </w:r>
      <w:r>
        <w:rPr>
          <w:color w:val="231F20"/>
          <w:spacing w:val="-4"/>
        </w:rPr>
        <w:t> </w:t>
      </w:r>
      <w:r>
        <w:rPr>
          <w:color w:val="231F20"/>
        </w:rPr>
        <w:t>economic</w:t>
      </w:r>
      <w:r>
        <w:rPr>
          <w:color w:val="231F20"/>
          <w:spacing w:val="-4"/>
        </w:rPr>
        <w:t> </w:t>
      </w:r>
      <w:r>
        <w:rPr>
          <w:color w:val="231F20"/>
        </w:rPr>
        <w:t>downturn</w:t>
      </w:r>
      <w:r>
        <w:rPr>
          <w:color w:val="231F20"/>
          <w:spacing w:val="-4"/>
        </w:rPr>
        <w:t> </w:t>
      </w:r>
      <w:r>
        <w:rPr>
          <w:color w:val="231F20"/>
        </w:rPr>
        <w:t>to reduce budgets. Overall appropriations from the state for fiscal year 2022 increased by approximately 7.0%. Funding for higher education will be offset by continued increased operational costs and by unfunded mandates placed on higher education by the State. New Mexico Tech staff has been very collaborative in managing their departmental budgets, and have picked up additional duties in order to continue to provide a quality educational experience for our students through ongoing student support services and facilities.</w:t>
      </w:r>
    </w:p>
    <w:p>
      <w:pPr>
        <w:pStyle w:val="BodyText"/>
        <w:rPr>
          <w:sz w:val="23"/>
        </w:rPr>
      </w:pPr>
    </w:p>
    <w:p>
      <w:pPr>
        <w:pStyle w:val="BodyText"/>
        <w:spacing w:line="276" w:lineRule="auto"/>
        <w:ind w:left="1440" w:right="943"/>
      </w:pPr>
      <w:r>
        <w:rPr>
          <w:color w:val="231F20"/>
        </w:rPr>
        <w:t>New</w:t>
      </w:r>
      <w:r>
        <w:rPr>
          <w:color w:val="231F20"/>
          <w:spacing w:val="-4"/>
        </w:rPr>
        <w:t> </w:t>
      </w:r>
      <w:r>
        <w:rPr>
          <w:color w:val="231F20"/>
        </w:rPr>
        <w:t>Mexico</w:t>
      </w:r>
      <w:r>
        <w:rPr>
          <w:color w:val="231F20"/>
          <w:spacing w:val="-5"/>
        </w:rPr>
        <w:t> </w:t>
      </w:r>
      <w:r>
        <w:rPr>
          <w:color w:val="231F20"/>
        </w:rPr>
        <w:t>Tech's</w:t>
      </w:r>
      <w:r>
        <w:rPr>
          <w:color w:val="231F20"/>
          <w:spacing w:val="-4"/>
        </w:rPr>
        <w:t> </w:t>
      </w:r>
      <w:r>
        <w:rPr>
          <w:color w:val="231F20"/>
        </w:rPr>
        <w:t>national</w:t>
      </w:r>
      <w:r>
        <w:rPr>
          <w:color w:val="231F20"/>
          <w:spacing w:val="-4"/>
        </w:rPr>
        <w:t> </w:t>
      </w:r>
      <w:r>
        <w:rPr>
          <w:color w:val="231F20"/>
        </w:rPr>
        <w:t>and</w:t>
      </w:r>
      <w:r>
        <w:rPr>
          <w:color w:val="231F20"/>
          <w:spacing w:val="-4"/>
        </w:rPr>
        <w:t> </w:t>
      </w:r>
      <w:r>
        <w:rPr>
          <w:color w:val="231F20"/>
        </w:rPr>
        <w:t>international</w:t>
      </w:r>
      <w:r>
        <w:rPr>
          <w:color w:val="231F20"/>
          <w:spacing w:val="-4"/>
        </w:rPr>
        <w:t> </w:t>
      </w:r>
      <w:r>
        <w:rPr>
          <w:color w:val="231F20"/>
        </w:rPr>
        <w:t>reputation</w:t>
      </w:r>
      <w:r>
        <w:rPr>
          <w:color w:val="231F20"/>
          <w:spacing w:val="-4"/>
        </w:rPr>
        <w:t> </w:t>
      </w:r>
      <w:r>
        <w:rPr>
          <w:color w:val="231F20"/>
        </w:rPr>
        <w:t>as</w:t>
      </w:r>
      <w:r>
        <w:rPr>
          <w:color w:val="231F20"/>
          <w:spacing w:val="-4"/>
        </w:rPr>
        <w:t> </w:t>
      </w:r>
      <w:r>
        <w:rPr>
          <w:color w:val="231F20"/>
        </w:rPr>
        <w:t>an</w:t>
      </w:r>
      <w:r>
        <w:rPr>
          <w:color w:val="231F20"/>
          <w:spacing w:val="-4"/>
        </w:rPr>
        <w:t> </w:t>
      </w:r>
      <w:r>
        <w:rPr>
          <w:color w:val="231F20"/>
        </w:rPr>
        <w:t>outstanding</w:t>
      </w:r>
      <w:r>
        <w:rPr>
          <w:color w:val="231F20"/>
          <w:spacing w:val="-4"/>
        </w:rPr>
        <w:t> </w:t>
      </w:r>
      <w:r>
        <w:rPr>
          <w:color w:val="231F20"/>
        </w:rPr>
        <w:t>research</w:t>
      </w:r>
      <w:r>
        <w:rPr>
          <w:color w:val="231F20"/>
          <w:spacing w:val="-4"/>
        </w:rPr>
        <w:t> </w:t>
      </w:r>
      <w:r>
        <w:rPr>
          <w:color w:val="231F20"/>
        </w:rPr>
        <w:t>university</w:t>
      </w:r>
      <w:r>
        <w:rPr>
          <w:color w:val="231F20"/>
          <w:spacing w:val="-4"/>
        </w:rPr>
        <w:t> </w:t>
      </w:r>
      <w:r>
        <w:rPr>
          <w:color w:val="231F20"/>
        </w:rPr>
        <w:t>has</w:t>
      </w:r>
      <w:r>
        <w:rPr>
          <w:color w:val="231F20"/>
          <w:spacing w:val="-4"/>
        </w:rPr>
        <w:t> </w:t>
      </w:r>
      <w:r>
        <w:rPr>
          <w:color w:val="231F20"/>
        </w:rPr>
        <w:t>made it a go-to organization for many federal, state and private companies to address their needs. The research</w:t>
      </w:r>
      <w:r>
        <w:rPr>
          <w:color w:val="231F20"/>
          <w:spacing w:val="-2"/>
        </w:rPr>
        <w:t> </w:t>
      </w:r>
      <w:r>
        <w:rPr>
          <w:color w:val="231F20"/>
        </w:rPr>
        <w:t>programs</w:t>
      </w:r>
      <w:r>
        <w:rPr>
          <w:color w:val="231F20"/>
          <w:spacing w:val="-1"/>
        </w:rPr>
        <w:t> </w:t>
      </w:r>
      <w:r>
        <w:rPr>
          <w:color w:val="231F20"/>
        </w:rPr>
        <w:t>enhance</w:t>
      </w:r>
      <w:r>
        <w:rPr>
          <w:color w:val="231F20"/>
          <w:spacing w:val="-2"/>
        </w:rPr>
        <w:t> </w:t>
      </w:r>
      <w:r>
        <w:rPr>
          <w:color w:val="231F20"/>
        </w:rPr>
        <w:t>the</w:t>
      </w:r>
      <w:r>
        <w:rPr>
          <w:color w:val="231F20"/>
          <w:spacing w:val="-2"/>
        </w:rPr>
        <w:t> </w:t>
      </w:r>
      <w:r>
        <w:rPr>
          <w:color w:val="231F20"/>
        </w:rPr>
        <w:t>teaching,</w:t>
      </w:r>
      <w:r>
        <w:rPr>
          <w:color w:val="231F20"/>
          <w:spacing w:val="-2"/>
        </w:rPr>
        <w:t> </w:t>
      </w:r>
      <w:r>
        <w:rPr>
          <w:color w:val="231F20"/>
        </w:rPr>
        <w:t>research</w:t>
      </w:r>
      <w:r>
        <w:rPr>
          <w:color w:val="231F20"/>
          <w:spacing w:val="-2"/>
        </w:rPr>
        <w:t> </w:t>
      </w:r>
      <w:r>
        <w:rPr>
          <w:color w:val="231F20"/>
        </w:rPr>
        <w:t>and</w:t>
      </w:r>
      <w:r>
        <w:rPr>
          <w:color w:val="231F20"/>
          <w:spacing w:val="-2"/>
        </w:rPr>
        <w:t> </w:t>
      </w:r>
      <w:r>
        <w:rPr>
          <w:color w:val="231F20"/>
        </w:rPr>
        <w:t>economic</w:t>
      </w:r>
      <w:r>
        <w:rPr>
          <w:color w:val="231F20"/>
          <w:spacing w:val="-1"/>
        </w:rPr>
        <w:t> </w:t>
      </w:r>
      <w:r>
        <w:rPr>
          <w:color w:val="231F20"/>
        </w:rPr>
        <w:t>development</w:t>
      </w:r>
      <w:r>
        <w:rPr>
          <w:color w:val="231F20"/>
          <w:spacing w:val="-2"/>
        </w:rPr>
        <w:t> </w:t>
      </w:r>
      <w:r>
        <w:rPr>
          <w:color w:val="231F20"/>
        </w:rPr>
        <w:t>missions</w:t>
      </w:r>
      <w:r>
        <w:rPr>
          <w:color w:val="231F20"/>
          <w:spacing w:val="-2"/>
        </w:rPr>
        <w:t> </w:t>
      </w:r>
      <w:r>
        <w:rPr>
          <w:color w:val="231F20"/>
        </w:rPr>
        <w:t>of</w:t>
      </w:r>
      <w:r>
        <w:rPr>
          <w:color w:val="231F20"/>
          <w:spacing w:val="-3"/>
        </w:rPr>
        <w:t> </w:t>
      </w:r>
      <w:r>
        <w:rPr>
          <w:color w:val="231F20"/>
        </w:rPr>
        <w:t>New</w:t>
      </w:r>
      <w:r>
        <w:rPr>
          <w:color w:val="231F20"/>
          <w:spacing w:val="-2"/>
        </w:rPr>
        <w:t> </w:t>
      </w:r>
      <w:r>
        <w:rPr>
          <w:color w:val="231F20"/>
        </w:rPr>
        <w:t>Mexico Tech, the local community, the State of New Mexico, and the United States of America.</w:t>
      </w:r>
    </w:p>
    <w:p>
      <w:pPr>
        <w:pStyle w:val="BodyText"/>
        <w:spacing w:before="10"/>
        <w:rPr>
          <w:sz w:val="22"/>
        </w:rPr>
      </w:pPr>
    </w:p>
    <w:p>
      <w:pPr>
        <w:pStyle w:val="BodyText"/>
        <w:spacing w:line="276" w:lineRule="auto"/>
        <w:ind w:left="1440" w:right="857"/>
      </w:pPr>
      <w:r>
        <w:rPr>
          <w:color w:val="231F20"/>
        </w:rPr>
        <w:t>The</w:t>
      </w:r>
      <w:r>
        <w:rPr>
          <w:color w:val="231F20"/>
          <w:spacing w:val="-3"/>
        </w:rPr>
        <w:t> </w:t>
      </w:r>
      <w:r>
        <w:rPr>
          <w:color w:val="231F20"/>
        </w:rPr>
        <w:t>longevity</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success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established</w:t>
      </w:r>
      <w:r>
        <w:rPr>
          <w:color w:val="231F20"/>
          <w:spacing w:val="-3"/>
        </w:rPr>
        <w:t> </w:t>
      </w:r>
      <w:r>
        <w:rPr>
          <w:color w:val="231F20"/>
        </w:rPr>
        <w:t>programs</w:t>
      </w:r>
      <w:r>
        <w:rPr>
          <w:color w:val="231F20"/>
          <w:spacing w:val="-2"/>
        </w:rPr>
        <w:t> </w:t>
      </w:r>
      <w:r>
        <w:rPr>
          <w:color w:val="231F20"/>
        </w:rPr>
        <w:t>at</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Tech</w:t>
      </w:r>
      <w:r>
        <w:rPr>
          <w:color w:val="231F20"/>
          <w:spacing w:val="-4"/>
        </w:rPr>
        <w:t> </w:t>
      </w:r>
      <w:r>
        <w:rPr>
          <w:color w:val="231F20"/>
        </w:rPr>
        <w:t>have</w:t>
      </w:r>
      <w:r>
        <w:rPr>
          <w:color w:val="231F20"/>
          <w:spacing w:val="-3"/>
        </w:rPr>
        <w:t> </w:t>
      </w:r>
      <w:r>
        <w:rPr>
          <w:color w:val="231F20"/>
        </w:rPr>
        <w:t>helped</w:t>
      </w:r>
      <w:r>
        <w:rPr>
          <w:color w:val="231F20"/>
          <w:spacing w:val="-4"/>
        </w:rPr>
        <w:t> </w:t>
      </w:r>
      <w:r>
        <w:rPr>
          <w:color w:val="231F20"/>
        </w:rPr>
        <w:t>solidify</w:t>
      </w:r>
      <w:r>
        <w:rPr>
          <w:color w:val="231F20"/>
          <w:spacing w:val="-3"/>
        </w:rPr>
        <w:t> </w:t>
      </w:r>
      <w:r>
        <w:rPr>
          <w:color w:val="231F20"/>
        </w:rPr>
        <w:t>their funding; however, their budgets for future funding continue to be scrutinized by both the state and federal </w:t>
      </w:r>
      <w:r>
        <w:rPr>
          <w:color w:val="231F20"/>
          <w:spacing w:val="-2"/>
        </w:rPr>
        <w:t>grantors.</w:t>
      </w:r>
    </w:p>
    <w:p>
      <w:pPr>
        <w:pStyle w:val="BodyText"/>
        <w:rPr>
          <w:sz w:val="23"/>
        </w:rPr>
      </w:pPr>
    </w:p>
    <w:p>
      <w:pPr>
        <w:pStyle w:val="BodyText"/>
        <w:spacing w:line="276" w:lineRule="auto" w:before="1"/>
        <w:ind w:left="1440" w:right="1048"/>
      </w:pPr>
      <w:r>
        <w:rPr>
          <w:color w:val="231F20"/>
        </w:rPr>
        <w:t>The</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Tech</w:t>
      </w:r>
      <w:r>
        <w:rPr>
          <w:color w:val="231F20"/>
          <w:spacing w:val="-3"/>
        </w:rPr>
        <w:t> </w:t>
      </w:r>
      <w:r>
        <w:rPr>
          <w:color w:val="231F20"/>
        </w:rPr>
        <w:t>Admissions</w:t>
      </w:r>
      <w:r>
        <w:rPr>
          <w:color w:val="231F20"/>
          <w:spacing w:val="-3"/>
        </w:rPr>
        <w:t> </w:t>
      </w:r>
      <w:r>
        <w:rPr>
          <w:color w:val="231F20"/>
        </w:rPr>
        <w:t>Office</w:t>
      </w:r>
      <w:r>
        <w:rPr>
          <w:color w:val="231F20"/>
          <w:spacing w:val="-3"/>
        </w:rPr>
        <w:t> </w:t>
      </w:r>
      <w:r>
        <w:rPr>
          <w:color w:val="231F20"/>
        </w:rPr>
        <w:t>shall</w:t>
      </w:r>
      <w:r>
        <w:rPr>
          <w:color w:val="231F20"/>
          <w:spacing w:val="-3"/>
        </w:rPr>
        <w:t> </w:t>
      </w:r>
      <w:r>
        <w:rPr>
          <w:color w:val="231F20"/>
        </w:rPr>
        <w:t>continue</w:t>
      </w:r>
      <w:r>
        <w:rPr>
          <w:color w:val="231F20"/>
          <w:spacing w:val="-3"/>
        </w:rPr>
        <w:t> </w:t>
      </w:r>
      <w:r>
        <w:rPr>
          <w:color w:val="231F20"/>
        </w:rPr>
        <w:t>to</w:t>
      </w:r>
      <w:r>
        <w:rPr>
          <w:color w:val="231F20"/>
          <w:spacing w:val="-1"/>
        </w:rPr>
        <w:t> </w:t>
      </w:r>
      <w:r>
        <w:rPr>
          <w:color w:val="231F20"/>
        </w:rPr>
        <w:t>increase</w:t>
      </w:r>
      <w:r>
        <w:rPr>
          <w:color w:val="231F20"/>
          <w:spacing w:val="-3"/>
        </w:rPr>
        <w:t> </w:t>
      </w:r>
      <w:r>
        <w:rPr>
          <w:color w:val="231F20"/>
        </w:rPr>
        <w:t>its</w:t>
      </w:r>
      <w:r>
        <w:rPr>
          <w:color w:val="231F20"/>
          <w:spacing w:val="-3"/>
        </w:rPr>
        <w:t> </w:t>
      </w:r>
      <w:r>
        <w:rPr>
          <w:color w:val="231F20"/>
        </w:rPr>
        <w:t>recruitment</w:t>
      </w:r>
      <w:r>
        <w:rPr>
          <w:color w:val="231F20"/>
          <w:spacing w:val="-3"/>
        </w:rPr>
        <w:t> </w:t>
      </w:r>
      <w:r>
        <w:rPr>
          <w:color w:val="231F20"/>
        </w:rPr>
        <w:t>efforts</w:t>
      </w:r>
      <w:r>
        <w:rPr>
          <w:color w:val="231F20"/>
          <w:spacing w:val="-3"/>
        </w:rPr>
        <w:t> </w:t>
      </w:r>
      <w:r>
        <w:rPr>
          <w:color w:val="231F20"/>
        </w:rPr>
        <w:t>in</w:t>
      </w:r>
      <w:r>
        <w:rPr>
          <w:color w:val="231F20"/>
          <w:spacing w:val="-3"/>
        </w:rPr>
        <w:t> </w:t>
      </w:r>
      <w:r>
        <w:rPr>
          <w:color w:val="231F20"/>
        </w:rPr>
        <w:t>states</w:t>
      </w:r>
      <w:r>
        <w:rPr>
          <w:color w:val="231F20"/>
          <w:spacing w:val="-4"/>
        </w:rPr>
        <w:t> </w:t>
      </w:r>
      <w:r>
        <w:rPr>
          <w:color w:val="231F20"/>
        </w:rPr>
        <w:t>such as</w:t>
      </w:r>
      <w:r>
        <w:rPr>
          <w:color w:val="231F20"/>
          <w:spacing w:val="-1"/>
        </w:rPr>
        <w:t> </w:t>
      </w:r>
      <w:r>
        <w:rPr>
          <w:color w:val="231F20"/>
        </w:rPr>
        <w:t>Texas,</w:t>
      </w:r>
      <w:r>
        <w:rPr>
          <w:color w:val="231F20"/>
          <w:spacing w:val="-1"/>
        </w:rPr>
        <w:t> </w:t>
      </w:r>
      <w:r>
        <w:rPr>
          <w:color w:val="231F20"/>
        </w:rPr>
        <w:t>California</w:t>
      </w:r>
      <w:r>
        <w:rPr>
          <w:color w:val="231F20"/>
          <w:spacing w:val="-1"/>
        </w:rPr>
        <w:t> </w:t>
      </w:r>
      <w:r>
        <w:rPr>
          <w:color w:val="231F20"/>
        </w:rPr>
        <w:t>and</w:t>
      </w:r>
      <w:r>
        <w:rPr>
          <w:color w:val="231F20"/>
          <w:spacing w:val="-1"/>
        </w:rPr>
        <w:t> </w:t>
      </w:r>
      <w:r>
        <w:rPr>
          <w:color w:val="231F20"/>
        </w:rPr>
        <w:t>Arizona.</w:t>
      </w:r>
      <w:r>
        <w:rPr>
          <w:color w:val="231F20"/>
          <w:spacing w:val="-1"/>
        </w:rPr>
        <w:t> </w:t>
      </w:r>
      <w:r>
        <w:rPr>
          <w:color w:val="231F20"/>
        </w:rPr>
        <w:t>These</w:t>
      </w:r>
      <w:r>
        <w:rPr>
          <w:color w:val="231F20"/>
          <w:spacing w:val="-1"/>
        </w:rPr>
        <w:t> </w:t>
      </w:r>
      <w:r>
        <w:rPr>
          <w:color w:val="231F20"/>
        </w:rPr>
        <w:t>states</w:t>
      </w:r>
      <w:r>
        <w:rPr>
          <w:color w:val="231F20"/>
          <w:spacing w:val="-1"/>
        </w:rPr>
        <w:t> </w:t>
      </w:r>
      <w:r>
        <w:rPr>
          <w:color w:val="231F20"/>
        </w:rPr>
        <w:t>are</w:t>
      </w:r>
      <w:r>
        <w:rPr>
          <w:color w:val="231F20"/>
          <w:spacing w:val="-1"/>
        </w:rPr>
        <w:t> </w:t>
      </w:r>
      <w:r>
        <w:rPr>
          <w:color w:val="231F20"/>
        </w:rPr>
        <w:t>excellent</w:t>
      </w:r>
      <w:r>
        <w:rPr>
          <w:color w:val="231F20"/>
          <w:spacing w:val="-1"/>
        </w:rPr>
        <w:t> </w:t>
      </w:r>
      <w:r>
        <w:rPr>
          <w:color w:val="231F20"/>
        </w:rPr>
        <w:t>opportunities</w:t>
      </w:r>
      <w:r>
        <w:rPr>
          <w:color w:val="231F20"/>
          <w:spacing w:val="-1"/>
        </w:rPr>
        <w:t> </w:t>
      </w:r>
      <w:r>
        <w:rPr>
          <w:color w:val="231F20"/>
        </w:rPr>
        <w:t>for</w:t>
      </w:r>
      <w:r>
        <w:rPr>
          <w:color w:val="231F20"/>
          <w:spacing w:val="-2"/>
        </w:rPr>
        <w:t> </w:t>
      </w:r>
      <w:r>
        <w:rPr>
          <w:color w:val="231F20"/>
        </w:rPr>
        <w:t>recruitment</w:t>
      </w:r>
      <w:r>
        <w:rPr>
          <w:color w:val="231F20"/>
          <w:spacing w:val="-1"/>
        </w:rPr>
        <w:t> </w:t>
      </w:r>
      <w:r>
        <w:rPr>
          <w:color w:val="231F20"/>
        </w:rPr>
        <w:t>because</w:t>
      </w:r>
      <w:r>
        <w:rPr>
          <w:color w:val="231F20"/>
          <w:spacing w:val="-1"/>
        </w:rPr>
        <w:t> </w:t>
      </w:r>
      <w:r>
        <w:rPr>
          <w:color w:val="231F20"/>
        </w:rPr>
        <w:t>their universities are at or near full capacity, and they have a large Hispanic population. New Mexico Tech continues to be recognized as a Hispanic Serving Institution. By qualifying as a Hispanic Serving Institution,</w:t>
      </w:r>
      <w:r>
        <w:rPr>
          <w:color w:val="231F20"/>
          <w:spacing w:val="-4"/>
        </w:rPr>
        <w:t> </w:t>
      </w:r>
      <w:r>
        <w:rPr>
          <w:color w:val="231F20"/>
        </w:rPr>
        <w:t>additional</w:t>
      </w:r>
      <w:r>
        <w:rPr>
          <w:color w:val="231F20"/>
          <w:spacing w:val="-4"/>
        </w:rPr>
        <w:t> </w:t>
      </w:r>
      <w:r>
        <w:rPr>
          <w:color w:val="231F20"/>
        </w:rPr>
        <w:t>research</w:t>
      </w:r>
      <w:r>
        <w:rPr>
          <w:color w:val="231F20"/>
          <w:spacing w:val="-4"/>
        </w:rPr>
        <w:t> </w:t>
      </w:r>
      <w:r>
        <w:rPr>
          <w:color w:val="231F20"/>
        </w:rPr>
        <w:t>and</w:t>
      </w:r>
      <w:r>
        <w:rPr>
          <w:color w:val="231F20"/>
          <w:spacing w:val="-4"/>
        </w:rPr>
        <w:t> </w:t>
      </w:r>
      <w:r>
        <w:rPr>
          <w:color w:val="231F20"/>
        </w:rPr>
        <w:t>grants,</w:t>
      </w:r>
      <w:r>
        <w:rPr>
          <w:color w:val="231F20"/>
          <w:spacing w:val="-4"/>
        </w:rPr>
        <w:t> </w:t>
      </w:r>
      <w:r>
        <w:rPr>
          <w:color w:val="231F20"/>
        </w:rPr>
        <w:t>plus</w:t>
      </w:r>
      <w:r>
        <w:rPr>
          <w:color w:val="231F20"/>
          <w:spacing w:val="-4"/>
        </w:rPr>
        <w:t> </w:t>
      </w:r>
      <w:r>
        <w:rPr>
          <w:color w:val="231F20"/>
        </w:rPr>
        <w:t>other</w:t>
      </w:r>
      <w:r>
        <w:rPr>
          <w:color w:val="231F20"/>
          <w:spacing w:val="-4"/>
        </w:rPr>
        <w:t> </w:t>
      </w:r>
      <w:r>
        <w:rPr>
          <w:color w:val="231F20"/>
        </w:rPr>
        <w:t>funding</w:t>
      </w:r>
      <w:r>
        <w:rPr>
          <w:color w:val="231F20"/>
          <w:spacing w:val="-4"/>
        </w:rPr>
        <w:t> </w:t>
      </w:r>
      <w:r>
        <w:rPr>
          <w:color w:val="231F20"/>
        </w:rPr>
        <w:t>opportunities,</w:t>
      </w:r>
      <w:r>
        <w:rPr>
          <w:color w:val="231F20"/>
          <w:spacing w:val="-4"/>
        </w:rPr>
        <w:t> </w:t>
      </w:r>
      <w:r>
        <w:rPr>
          <w:color w:val="231F20"/>
        </w:rPr>
        <w:t>are</w:t>
      </w:r>
      <w:r>
        <w:rPr>
          <w:color w:val="231F20"/>
          <w:spacing w:val="-4"/>
        </w:rPr>
        <w:t> </w:t>
      </w:r>
      <w:r>
        <w:rPr>
          <w:color w:val="231F20"/>
        </w:rPr>
        <w:t>available</w:t>
      </w:r>
      <w:r>
        <w:rPr>
          <w:color w:val="231F20"/>
          <w:spacing w:val="-4"/>
        </w:rPr>
        <w:t> </w:t>
      </w:r>
      <w:r>
        <w:rPr>
          <w:color w:val="231F20"/>
        </w:rPr>
        <w:t>to</w:t>
      </w:r>
      <w:r>
        <w:rPr>
          <w:color w:val="231F20"/>
          <w:spacing w:val="-4"/>
        </w:rPr>
        <w:t> </w:t>
      </w:r>
      <w:r>
        <w:rPr>
          <w:color w:val="231F20"/>
        </w:rPr>
        <w:t>New</w:t>
      </w:r>
      <w:r>
        <w:rPr>
          <w:color w:val="231F20"/>
          <w:spacing w:val="-4"/>
        </w:rPr>
        <w:t> </w:t>
      </w:r>
      <w:r>
        <w:rPr>
          <w:color w:val="231F20"/>
        </w:rPr>
        <w:t>Mexico </w:t>
      </w:r>
      <w:r>
        <w:rPr>
          <w:color w:val="231F20"/>
          <w:spacing w:val="-2"/>
        </w:rPr>
        <w:t>Tech.</w:t>
      </w:r>
    </w:p>
    <w:p>
      <w:pPr>
        <w:pStyle w:val="BodyText"/>
        <w:spacing w:before="11"/>
        <w:rPr>
          <w:sz w:val="22"/>
        </w:rPr>
      </w:pPr>
    </w:p>
    <w:p>
      <w:pPr>
        <w:pStyle w:val="BodyText"/>
        <w:ind w:left="1440"/>
      </w:pPr>
      <w:r>
        <w:rPr>
          <w:color w:val="231F20"/>
        </w:rPr>
        <w:t>The</w:t>
      </w:r>
      <w:r>
        <w:rPr>
          <w:color w:val="231F20"/>
          <w:spacing w:val="-6"/>
        </w:rPr>
        <w:t> </w:t>
      </w:r>
      <w:r>
        <w:rPr>
          <w:color w:val="231F20"/>
        </w:rPr>
        <w:t>total</w:t>
      </w:r>
      <w:r>
        <w:rPr>
          <w:color w:val="231F20"/>
          <w:spacing w:val="-3"/>
        </w:rPr>
        <w:t> </w:t>
      </w:r>
      <w:r>
        <w:rPr>
          <w:color w:val="231F20"/>
        </w:rPr>
        <w:t>entering</w:t>
      </w:r>
      <w:r>
        <w:rPr>
          <w:color w:val="231F20"/>
          <w:spacing w:val="-3"/>
        </w:rPr>
        <w:t> </w:t>
      </w:r>
      <w:r>
        <w:rPr>
          <w:color w:val="231F20"/>
        </w:rPr>
        <w:t>first-time</w:t>
      </w:r>
      <w:r>
        <w:rPr>
          <w:color w:val="231F20"/>
          <w:spacing w:val="-4"/>
        </w:rPr>
        <w:t> </w:t>
      </w:r>
      <w:r>
        <w:rPr>
          <w:color w:val="231F20"/>
        </w:rPr>
        <w:t>full-time</w:t>
      </w:r>
      <w:r>
        <w:rPr>
          <w:color w:val="231F20"/>
          <w:spacing w:val="-3"/>
        </w:rPr>
        <w:t> </w:t>
      </w:r>
      <w:r>
        <w:rPr>
          <w:color w:val="231F20"/>
        </w:rPr>
        <w:t>freshmen</w:t>
      </w:r>
      <w:r>
        <w:rPr>
          <w:color w:val="231F20"/>
          <w:spacing w:val="-4"/>
        </w:rPr>
        <w:t> </w:t>
      </w:r>
      <w:r>
        <w:rPr>
          <w:color w:val="231F20"/>
        </w:rPr>
        <w:t>for</w:t>
      </w:r>
      <w:r>
        <w:rPr>
          <w:color w:val="231F20"/>
          <w:spacing w:val="-3"/>
        </w:rPr>
        <w:t> </w:t>
      </w:r>
      <w:r>
        <w:rPr>
          <w:color w:val="231F20"/>
        </w:rPr>
        <w:t>fall</w:t>
      </w:r>
      <w:r>
        <w:rPr>
          <w:color w:val="231F20"/>
          <w:spacing w:val="-3"/>
        </w:rPr>
        <w:t> </w:t>
      </w:r>
      <w:r>
        <w:rPr>
          <w:color w:val="231F20"/>
        </w:rPr>
        <w:t>2022</w:t>
      </w:r>
      <w:r>
        <w:rPr>
          <w:color w:val="231F20"/>
          <w:spacing w:val="-3"/>
        </w:rPr>
        <w:t> </w:t>
      </w:r>
      <w:r>
        <w:rPr>
          <w:color w:val="231F20"/>
        </w:rPr>
        <w:t>was</w:t>
      </w:r>
      <w:r>
        <w:rPr>
          <w:color w:val="231F20"/>
          <w:spacing w:val="-3"/>
        </w:rPr>
        <w:t> </w:t>
      </w:r>
      <w:r>
        <w:rPr>
          <w:color w:val="231F20"/>
        </w:rPr>
        <w:t>299</w:t>
      </w:r>
      <w:r>
        <w:rPr>
          <w:color w:val="231F20"/>
          <w:spacing w:val="-5"/>
        </w:rPr>
        <w:t> </w:t>
      </w:r>
      <w:r>
        <w:rPr>
          <w:color w:val="231F20"/>
        </w:rPr>
        <w:t>compared</w:t>
      </w:r>
      <w:r>
        <w:rPr>
          <w:color w:val="231F20"/>
          <w:spacing w:val="-3"/>
        </w:rPr>
        <w:t> </w:t>
      </w:r>
      <w:r>
        <w:rPr>
          <w:color w:val="231F20"/>
        </w:rPr>
        <w:t>to</w:t>
      </w:r>
      <w:r>
        <w:rPr>
          <w:color w:val="231F20"/>
          <w:spacing w:val="-3"/>
        </w:rPr>
        <w:t> </w:t>
      </w:r>
      <w:r>
        <w:rPr>
          <w:color w:val="231F20"/>
        </w:rPr>
        <w:t>296</w:t>
      </w:r>
      <w:r>
        <w:rPr>
          <w:color w:val="231F20"/>
          <w:spacing w:val="-3"/>
        </w:rPr>
        <w:t> </w:t>
      </w:r>
      <w:r>
        <w:rPr>
          <w:color w:val="231F20"/>
        </w:rPr>
        <w:t>in</w:t>
      </w:r>
      <w:r>
        <w:rPr>
          <w:color w:val="231F20"/>
          <w:spacing w:val="-3"/>
        </w:rPr>
        <w:t> </w:t>
      </w:r>
      <w:r>
        <w:rPr>
          <w:color w:val="231F20"/>
        </w:rPr>
        <w:t>fall</w:t>
      </w:r>
      <w:r>
        <w:rPr>
          <w:color w:val="231F20"/>
          <w:spacing w:val="-3"/>
        </w:rPr>
        <w:t> </w:t>
      </w:r>
      <w:r>
        <w:rPr>
          <w:color w:val="231F20"/>
          <w:spacing w:val="-2"/>
        </w:rPr>
        <w:t>2021.</w:t>
      </w:r>
    </w:p>
    <w:p>
      <w:pPr>
        <w:pStyle w:val="BodyText"/>
        <w:rPr>
          <w:sz w:val="23"/>
        </w:rPr>
      </w:pPr>
    </w:p>
    <w:p>
      <w:pPr>
        <w:pStyle w:val="Heading4"/>
      </w:pPr>
      <w:r>
        <w:rPr>
          <w:color w:val="231F20"/>
        </w:rPr>
        <w:t>Requests</w:t>
      </w:r>
      <w:r>
        <w:rPr>
          <w:color w:val="231F20"/>
          <w:spacing w:val="-6"/>
        </w:rPr>
        <w:t> </w:t>
      </w:r>
      <w:r>
        <w:rPr>
          <w:color w:val="231F20"/>
        </w:rPr>
        <w:t>for</w:t>
      </w:r>
      <w:r>
        <w:rPr>
          <w:color w:val="231F20"/>
          <w:spacing w:val="-5"/>
        </w:rPr>
        <w:t> </w:t>
      </w:r>
      <w:r>
        <w:rPr>
          <w:color w:val="231F20"/>
          <w:spacing w:val="-2"/>
        </w:rPr>
        <w:t>Information</w:t>
      </w:r>
    </w:p>
    <w:p>
      <w:pPr>
        <w:pStyle w:val="BodyText"/>
        <w:spacing w:line="276" w:lineRule="auto" w:before="34"/>
        <w:ind w:left="1440" w:right="919"/>
      </w:pPr>
      <w:r>
        <w:rPr>
          <w:color w:val="231F20"/>
        </w:rPr>
        <w:t>Questions concerning any of the financial information provided in this report or requests for additional information should be addressed to Dr. Cleve McDaniel, Vice President for Administration and Finance, New Mexico Institute of Mining and Technology, 801 Leroy Place, Socorro, New Mexico 87801-4796. There are separately issued financial statements available for the New Mexico Institute of Mining and Technology</w:t>
      </w:r>
      <w:r>
        <w:rPr>
          <w:color w:val="231F20"/>
          <w:spacing w:val="-3"/>
        </w:rPr>
        <w:t> </w:t>
      </w:r>
      <w:r>
        <w:rPr>
          <w:color w:val="231F20"/>
        </w:rPr>
        <w:t>Employee</w:t>
      </w:r>
      <w:r>
        <w:rPr>
          <w:color w:val="231F20"/>
          <w:spacing w:val="-3"/>
        </w:rPr>
        <w:t> </w:t>
      </w:r>
      <w:r>
        <w:rPr>
          <w:color w:val="231F20"/>
        </w:rPr>
        <w:t>Benefit</w:t>
      </w:r>
      <w:r>
        <w:rPr>
          <w:color w:val="231F20"/>
          <w:spacing w:val="-3"/>
        </w:rPr>
        <w:t> </w:t>
      </w:r>
      <w:r>
        <w:rPr>
          <w:color w:val="231F20"/>
        </w:rPr>
        <w:t>Trust,</w:t>
      </w:r>
      <w:r>
        <w:rPr>
          <w:color w:val="231F20"/>
          <w:spacing w:val="-3"/>
        </w:rPr>
        <w:t> </w:t>
      </w:r>
      <w:r>
        <w:rPr>
          <w:color w:val="231F20"/>
        </w:rPr>
        <w:t>the</w:t>
      </w:r>
      <w:r>
        <w:rPr>
          <w:color w:val="231F20"/>
          <w:spacing w:val="-3"/>
        </w:rPr>
        <w:t> </w:t>
      </w:r>
      <w:r>
        <w:rPr>
          <w:color w:val="231F20"/>
        </w:rPr>
        <w:t>New</w:t>
      </w:r>
      <w:r>
        <w:rPr>
          <w:color w:val="231F20"/>
          <w:spacing w:val="-3"/>
        </w:rPr>
        <w:t> </w:t>
      </w:r>
      <w:r>
        <w:rPr>
          <w:color w:val="231F20"/>
        </w:rPr>
        <w:t>Mexico</w:t>
      </w:r>
      <w:r>
        <w:rPr>
          <w:color w:val="231F20"/>
          <w:spacing w:val="-4"/>
        </w:rPr>
        <w:t> </w:t>
      </w:r>
      <w:r>
        <w:rPr>
          <w:color w:val="231F20"/>
        </w:rPr>
        <w:t>Tech</w:t>
      </w:r>
      <w:r>
        <w:rPr>
          <w:color w:val="231F20"/>
          <w:spacing w:val="-3"/>
        </w:rPr>
        <w:t> </w:t>
      </w:r>
      <w:r>
        <w:rPr>
          <w:color w:val="231F20"/>
        </w:rPr>
        <w:t>Foundation,</w:t>
      </w:r>
      <w:r>
        <w:rPr>
          <w:color w:val="231F20"/>
          <w:spacing w:val="-3"/>
        </w:rPr>
        <w:t> </w:t>
      </w:r>
      <w:r>
        <w:rPr>
          <w:color w:val="231F20"/>
        </w:rPr>
        <w:t>and</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Tech</w:t>
      </w:r>
      <w:r>
        <w:rPr>
          <w:color w:val="231F20"/>
          <w:spacing w:val="-4"/>
        </w:rPr>
        <w:t> </w:t>
      </w:r>
      <w:r>
        <w:rPr>
          <w:color w:val="231F20"/>
        </w:rPr>
        <w:t>University Research Park Corporation, the component units of the Institute. These are available at the same </w:t>
      </w:r>
      <w:r>
        <w:rPr>
          <w:color w:val="231F20"/>
          <w:spacing w:val="-2"/>
        </w:rPr>
        <w:t>location.</w:t>
      </w:r>
    </w:p>
    <w:p>
      <w:pPr>
        <w:spacing w:after="0" w:line="276" w:lineRule="auto"/>
        <w:sectPr>
          <w:pgSz w:w="12240" w:h="15840"/>
          <w:pgMar w:header="994" w:footer="1097" w:top="1900" w:bottom="1280" w:left="0" w:right="580"/>
        </w:sectPr>
      </w:pPr>
    </w:p>
    <w:p>
      <w:pPr>
        <w:pStyle w:val="Heading3"/>
        <w:ind w:left="5006" w:right="2665" w:hanging="1514"/>
        <w:jc w:val="left"/>
      </w:pPr>
      <w:r>
        <w:rPr/>
        <w:pict>
          <v:rect style="position:absolute;margin-left:70.5pt;margin-top:28.525633pt;width:471.001pt;height:1.5pt;mso-position-horizontal-relative:page;mso-position-vertical-relative:paragraph;z-index:-15709696;mso-wrap-distance-left:0;mso-wrap-distance-right:0" id="docshape218" filled="true" fillcolor="#231f20" stroked="false">
            <v:fill type="solid"/>
            <w10:wrap type="topAndBottom"/>
          </v:rect>
        </w:pict>
      </w:r>
      <w:r>
        <w:rPr>
          <w:color w:val="231F20"/>
        </w:rPr>
        <w:t>Statement</w:t>
      </w:r>
      <w:r>
        <w:rPr>
          <w:color w:val="231F20"/>
          <w:spacing w:val="-6"/>
        </w:rPr>
        <w:t> </w:t>
      </w:r>
      <w:r>
        <w:rPr>
          <w:color w:val="231F20"/>
        </w:rPr>
        <w:t>of</w:t>
      </w:r>
      <w:r>
        <w:rPr>
          <w:color w:val="231F20"/>
          <w:spacing w:val="-6"/>
        </w:rPr>
        <w:t> </w:t>
      </w:r>
      <w:r>
        <w:rPr>
          <w:color w:val="231F20"/>
        </w:rPr>
        <w:t>Net</w:t>
      </w:r>
      <w:r>
        <w:rPr>
          <w:color w:val="231F20"/>
          <w:spacing w:val="-6"/>
        </w:rPr>
        <w:t> </w:t>
      </w:r>
      <w:r>
        <w:rPr>
          <w:color w:val="231F20"/>
        </w:rPr>
        <w:t>Position</w:t>
      </w:r>
      <w:r>
        <w:rPr>
          <w:color w:val="231F20"/>
          <w:spacing w:val="-6"/>
        </w:rPr>
        <w:t> </w:t>
      </w:r>
      <w:r>
        <w:rPr>
          <w:color w:val="231F20"/>
        </w:rPr>
        <w:t>–</w:t>
      </w:r>
      <w:r>
        <w:rPr>
          <w:color w:val="231F20"/>
          <w:spacing w:val="-8"/>
        </w:rPr>
        <w:t> </w:t>
      </w:r>
      <w:r>
        <w:rPr>
          <w:color w:val="231F20"/>
        </w:rPr>
        <w:t>Proprietary</w:t>
      </w:r>
      <w:r>
        <w:rPr>
          <w:color w:val="231F20"/>
          <w:spacing w:val="-6"/>
        </w:rPr>
        <w:t> </w:t>
      </w:r>
      <w:r>
        <w:rPr>
          <w:color w:val="231F20"/>
        </w:rPr>
        <w:t>Funds As of June 30, 2022</w:t>
      </w:r>
    </w:p>
    <w:p>
      <w:pPr>
        <w:pStyle w:val="BodyText"/>
        <w:rPr>
          <w:b/>
        </w:rPr>
      </w:pPr>
    </w:p>
    <w:p>
      <w:pPr>
        <w:pStyle w:val="BodyText"/>
        <w:spacing w:before="5"/>
        <w:rPr>
          <w:b/>
          <w:sz w:val="19"/>
        </w:rPr>
      </w:pPr>
    </w:p>
    <w:p>
      <w:pPr>
        <w:spacing w:after="0"/>
        <w:rPr>
          <w:sz w:val="19"/>
        </w:rPr>
        <w:sectPr>
          <w:headerReference w:type="default" r:id="rId35"/>
          <w:footerReference w:type="default" r:id="rId36"/>
          <w:pgSz w:w="12240" w:h="15840"/>
          <w:pgMar w:header="1270" w:footer="1097" w:top="1580" w:bottom="1280" w:left="0" w:right="580"/>
        </w:sectPr>
      </w:pPr>
    </w:p>
    <w:p>
      <w:pPr>
        <w:pStyle w:val="BodyText"/>
        <w:rPr>
          <w:b/>
          <w:sz w:val="22"/>
        </w:rPr>
      </w:pPr>
    </w:p>
    <w:p>
      <w:pPr>
        <w:pStyle w:val="BodyText"/>
        <w:rPr>
          <w:b/>
          <w:sz w:val="22"/>
        </w:rPr>
      </w:pPr>
    </w:p>
    <w:p>
      <w:pPr>
        <w:pStyle w:val="BodyText"/>
        <w:spacing w:before="3"/>
        <w:rPr>
          <w:b/>
          <w:sz w:val="29"/>
        </w:rPr>
      </w:pPr>
    </w:p>
    <w:p>
      <w:pPr>
        <w:pStyle w:val="BodyText"/>
        <w:spacing w:before="1"/>
        <w:ind w:left="1488"/>
      </w:pPr>
      <w:r>
        <w:rPr>
          <w:color w:val="231F20"/>
        </w:rPr>
        <w:t>CURRENT</w:t>
      </w:r>
      <w:r>
        <w:rPr>
          <w:color w:val="231F20"/>
          <w:spacing w:val="-7"/>
        </w:rPr>
        <w:t> </w:t>
      </w:r>
      <w:r>
        <w:rPr>
          <w:color w:val="231F20"/>
          <w:spacing w:val="-2"/>
        </w:rPr>
        <w:t>ASSETS</w:t>
      </w:r>
    </w:p>
    <w:p>
      <w:pPr>
        <w:spacing w:line="240" w:lineRule="auto" w:before="0"/>
        <w:rPr>
          <w:sz w:val="22"/>
        </w:rPr>
      </w:pPr>
      <w:r>
        <w:rPr/>
        <w:br w:type="column"/>
      </w:r>
      <w:r>
        <w:rPr>
          <w:sz w:val="22"/>
        </w:rPr>
      </w:r>
    </w:p>
    <w:p>
      <w:pPr>
        <w:pStyle w:val="BodyText"/>
        <w:rPr>
          <w:sz w:val="29"/>
        </w:rPr>
      </w:pPr>
    </w:p>
    <w:p>
      <w:pPr>
        <w:pStyle w:val="Heading4"/>
        <w:ind w:left="1488"/>
      </w:pPr>
      <w:r>
        <w:rPr>
          <w:color w:val="231F20"/>
          <w:spacing w:val="-2"/>
        </w:rPr>
        <w:t>ASSETS</w:t>
      </w:r>
    </w:p>
    <w:p>
      <w:pPr>
        <w:pStyle w:val="BodyText"/>
        <w:spacing w:before="94"/>
        <w:ind w:right="954"/>
        <w:jc w:val="right"/>
      </w:pPr>
      <w:r>
        <w:rPr/>
        <w:br w:type="column"/>
      </w:r>
      <w:r>
        <w:rPr>
          <w:color w:val="231F20"/>
        </w:rPr>
        <w:t>Component</w:t>
      </w:r>
      <w:r>
        <w:rPr>
          <w:color w:val="231F20"/>
          <w:spacing w:val="-7"/>
        </w:rPr>
        <w:t> </w:t>
      </w:r>
      <w:r>
        <w:rPr>
          <w:color w:val="231F20"/>
          <w:spacing w:val="-4"/>
        </w:rPr>
        <w:t>Unit</w:t>
      </w:r>
    </w:p>
    <w:p>
      <w:pPr>
        <w:pStyle w:val="BodyText"/>
        <w:tabs>
          <w:tab w:pos="461" w:val="left" w:leader="none"/>
          <w:tab w:pos="1606" w:val="left" w:leader="none"/>
          <w:tab w:pos="1925" w:val="left" w:leader="none"/>
          <w:tab w:pos="2235" w:val="left" w:leader="none"/>
          <w:tab w:pos="3532" w:val="left" w:leader="none"/>
        </w:tabs>
        <w:spacing w:before="20"/>
        <w:ind w:right="885"/>
        <w:jc w:val="right"/>
      </w:pPr>
      <w:r>
        <w:rPr>
          <w:color w:val="231F20"/>
          <w:u w:val="single" w:color="231F20"/>
        </w:rPr>
        <w:tab/>
      </w:r>
      <w:r>
        <w:rPr>
          <w:color w:val="231F20"/>
          <w:spacing w:val="-2"/>
          <w:u w:val="single" w:color="231F20"/>
        </w:rPr>
        <w:t>Institute</w:t>
      </w:r>
      <w:r>
        <w:rPr>
          <w:color w:val="231F20"/>
          <w:u w:val="single" w:color="231F20"/>
        </w:rPr>
        <w:tab/>
      </w:r>
      <w:r>
        <w:rPr>
          <w:color w:val="231F20"/>
        </w:rPr>
        <w:tab/>
      </w:r>
      <w:r>
        <w:rPr>
          <w:color w:val="231F20"/>
          <w:u w:val="single" w:color="231F20"/>
        </w:rPr>
        <w:tab/>
      </w:r>
      <w:r>
        <w:rPr>
          <w:color w:val="231F20"/>
          <w:spacing w:val="-2"/>
          <w:u w:val="single" w:color="231F20"/>
        </w:rPr>
        <w:t>Foundation</w:t>
      </w:r>
      <w:r>
        <w:rPr>
          <w:color w:val="231F20"/>
          <w:u w:val="single" w:color="231F20"/>
        </w:rPr>
        <w:tab/>
      </w:r>
    </w:p>
    <w:p>
      <w:pPr>
        <w:spacing w:after="0"/>
        <w:jc w:val="right"/>
        <w:sectPr>
          <w:type w:val="continuous"/>
          <w:pgSz w:w="12240" w:h="15840"/>
          <w:pgMar w:header="1270" w:footer="1097" w:top="1460" w:bottom="280" w:left="0" w:right="580"/>
          <w:cols w:num="3" w:equalWidth="0">
            <w:col w:w="3358" w:space="873"/>
            <w:col w:w="2290" w:space="40"/>
            <w:col w:w="5099"/>
          </w:cols>
        </w:sectPr>
      </w:pPr>
    </w:p>
    <w:p>
      <w:pPr>
        <w:pStyle w:val="BodyText"/>
        <w:spacing w:before="2"/>
        <w:rPr>
          <w:sz w:val="2"/>
        </w:rPr>
      </w:pPr>
    </w:p>
    <w:tbl>
      <w:tblPr>
        <w:tblW w:w="0" w:type="auto"/>
        <w:jc w:val="left"/>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3"/>
        <w:gridCol w:w="1606"/>
        <w:gridCol w:w="320"/>
        <w:gridCol w:w="1608"/>
      </w:tblGrid>
      <w:tr>
        <w:trPr>
          <w:trHeight w:val="236" w:hRule="atLeast"/>
        </w:trPr>
        <w:tc>
          <w:tcPr>
            <w:tcW w:w="5803" w:type="dxa"/>
          </w:tcPr>
          <w:p>
            <w:pPr>
              <w:pStyle w:val="TableParagraph"/>
              <w:spacing w:line="217" w:lineRule="exact"/>
              <w:ind w:left="190"/>
              <w:rPr>
                <w:sz w:val="20"/>
              </w:rPr>
            </w:pPr>
            <w:r>
              <w:rPr>
                <w:color w:val="231F20"/>
                <w:sz w:val="20"/>
              </w:rPr>
              <w:t>Cash</w:t>
            </w:r>
            <w:r>
              <w:rPr>
                <w:color w:val="231F20"/>
                <w:spacing w:val="-2"/>
                <w:sz w:val="20"/>
              </w:rPr>
              <w:t> </w:t>
            </w:r>
            <w:r>
              <w:rPr>
                <w:color w:val="231F20"/>
                <w:sz w:val="20"/>
              </w:rPr>
              <w:t>and</w:t>
            </w:r>
            <w:r>
              <w:rPr>
                <w:color w:val="231F20"/>
                <w:spacing w:val="-2"/>
                <w:sz w:val="20"/>
              </w:rPr>
              <w:t> </w:t>
            </w:r>
            <w:r>
              <w:rPr>
                <w:color w:val="231F20"/>
                <w:sz w:val="20"/>
              </w:rPr>
              <w:t>cash</w:t>
            </w:r>
            <w:r>
              <w:rPr>
                <w:color w:val="231F20"/>
                <w:spacing w:val="-1"/>
                <w:sz w:val="20"/>
              </w:rPr>
              <w:t> </w:t>
            </w:r>
            <w:r>
              <w:rPr>
                <w:color w:val="231F20"/>
                <w:spacing w:val="-2"/>
                <w:sz w:val="20"/>
              </w:rPr>
              <w:t>equivalents</w:t>
            </w:r>
          </w:p>
        </w:tc>
        <w:tc>
          <w:tcPr>
            <w:tcW w:w="1606" w:type="dxa"/>
          </w:tcPr>
          <w:p>
            <w:pPr>
              <w:pStyle w:val="TableParagraph"/>
              <w:tabs>
                <w:tab w:pos="491" w:val="left" w:leader="none"/>
              </w:tabs>
              <w:spacing w:line="217" w:lineRule="exact"/>
              <w:ind w:left="105"/>
              <w:rPr>
                <w:sz w:val="20"/>
              </w:rPr>
            </w:pPr>
            <w:r>
              <w:rPr>
                <w:color w:val="231F20"/>
                <w:spacing w:val="-10"/>
                <w:sz w:val="20"/>
              </w:rPr>
              <w:t>$</w:t>
            </w:r>
            <w:r>
              <w:rPr>
                <w:color w:val="231F20"/>
                <w:sz w:val="20"/>
              </w:rPr>
              <w:tab/>
            </w:r>
            <w:r>
              <w:rPr>
                <w:color w:val="231F20"/>
                <w:spacing w:val="-2"/>
                <w:sz w:val="20"/>
              </w:rPr>
              <w:t>36,259,048</w:t>
            </w:r>
          </w:p>
        </w:tc>
        <w:tc>
          <w:tcPr>
            <w:tcW w:w="1928" w:type="dxa"/>
            <w:gridSpan w:val="2"/>
          </w:tcPr>
          <w:p>
            <w:pPr>
              <w:pStyle w:val="TableParagraph"/>
              <w:tabs>
                <w:tab w:pos="924" w:val="left" w:leader="none"/>
              </w:tabs>
              <w:spacing w:line="217" w:lineRule="exact"/>
              <w:ind w:left="425"/>
              <w:rPr>
                <w:sz w:val="20"/>
              </w:rPr>
            </w:pPr>
            <w:r>
              <w:rPr>
                <w:color w:val="231F20"/>
                <w:spacing w:val="-10"/>
                <w:sz w:val="20"/>
              </w:rPr>
              <w:t>$</w:t>
            </w:r>
            <w:r>
              <w:rPr>
                <w:color w:val="231F20"/>
                <w:sz w:val="20"/>
              </w:rPr>
              <w:tab/>
            </w:r>
            <w:r>
              <w:rPr>
                <w:color w:val="231F20"/>
                <w:spacing w:val="-2"/>
                <w:sz w:val="20"/>
              </w:rPr>
              <w:t>1,755,041</w:t>
            </w:r>
          </w:p>
        </w:tc>
      </w:tr>
      <w:tr>
        <w:trPr>
          <w:trHeight w:val="250" w:hRule="atLeast"/>
        </w:trPr>
        <w:tc>
          <w:tcPr>
            <w:tcW w:w="5803" w:type="dxa"/>
          </w:tcPr>
          <w:p>
            <w:pPr>
              <w:pStyle w:val="TableParagraph"/>
              <w:spacing w:line="223" w:lineRule="exact" w:before="6"/>
              <w:ind w:left="190"/>
              <w:rPr>
                <w:sz w:val="20"/>
              </w:rPr>
            </w:pPr>
            <w:r>
              <w:rPr>
                <w:color w:val="231F20"/>
                <w:sz w:val="20"/>
              </w:rPr>
              <w:t>Short-term</w:t>
            </w:r>
            <w:r>
              <w:rPr>
                <w:color w:val="231F20"/>
                <w:spacing w:val="-8"/>
                <w:sz w:val="20"/>
              </w:rPr>
              <w:t> </w:t>
            </w:r>
            <w:r>
              <w:rPr>
                <w:color w:val="231F20"/>
                <w:spacing w:val="-2"/>
                <w:sz w:val="20"/>
              </w:rPr>
              <w:t>investments</w:t>
            </w:r>
          </w:p>
        </w:tc>
        <w:tc>
          <w:tcPr>
            <w:tcW w:w="1606" w:type="dxa"/>
          </w:tcPr>
          <w:p>
            <w:pPr>
              <w:pStyle w:val="TableParagraph"/>
              <w:spacing w:line="223" w:lineRule="exact" w:before="6"/>
              <w:ind w:left="492"/>
              <w:rPr>
                <w:sz w:val="20"/>
              </w:rPr>
            </w:pPr>
            <w:r>
              <w:rPr>
                <w:color w:val="231F20"/>
                <w:spacing w:val="-2"/>
                <w:sz w:val="20"/>
              </w:rPr>
              <w:t>19,552,022</w:t>
            </w:r>
          </w:p>
        </w:tc>
        <w:tc>
          <w:tcPr>
            <w:tcW w:w="1928" w:type="dxa"/>
            <w:gridSpan w:val="2"/>
          </w:tcPr>
          <w:p>
            <w:pPr>
              <w:pStyle w:val="TableParagraph"/>
              <w:spacing w:line="223" w:lineRule="exact" w:before="6"/>
              <w:ind w:left="813"/>
              <w:rPr>
                <w:sz w:val="20"/>
              </w:rPr>
            </w:pPr>
            <w:r>
              <w:rPr>
                <w:color w:val="231F20"/>
                <w:spacing w:val="-2"/>
                <w:sz w:val="20"/>
              </w:rPr>
              <w:t>23,295,503</w:t>
            </w:r>
          </w:p>
        </w:tc>
      </w:tr>
      <w:tr>
        <w:trPr>
          <w:trHeight w:val="736" w:hRule="atLeast"/>
        </w:trPr>
        <w:tc>
          <w:tcPr>
            <w:tcW w:w="5803" w:type="dxa"/>
          </w:tcPr>
          <w:p>
            <w:pPr>
              <w:pStyle w:val="TableParagraph"/>
              <w:spacing w:line="261" w:lineRule="auto" w:before="7"/>
              <w:ind w:left="190" w:right="1116"/>
              <w:rPr>
                <w:sz w:val="20"/>
              </w:rPr>
            </w:pPr>
            <w:r>
              <w:rPr>
                <w:color w:val="231F20"/>
                <w:sz w:val="20"/>
              </w:rPr>
              <w:t>Contract</w:t>
            </w:r>
            <w:r>
              <w:rPr>
                <w:color w:val="231F20"/>
                <w:spacing w:val="-4"/>
                <w:sz w:val="20"/>
              </w:rPr>
              <w:t> </w:t>
            </w:r>
            <w:r>
              <w:rPr>
                <w:color w:val="231F20"/>
                <w:sz w:val="20"/>
              </w:rPr>
              <w:t>and</w:t>
            </w:r>
            <w:r>
              <w:rPr>
                <w:color w:val="231F20"/>
                <w:spacing w:val="-3"/>
                <w:sz w:val="20"/>
              </w:rPr>
              <w:t> </w:t>
            </w:r>
            <w:r>
              <w:rPr>
                <w:color w:val="231F20"/>
                <w:sz w:val="20"/>
              </w:rPr>
              <w:t>grant</w:t>
            </w:r>
            <w:r>
              <w:rPr>
                <w:color w:val="231F20"/>
                <w:spacing w:val="-4"/>
                <w:sz w:val="20"/>
              </w:rPr>
              <w:t> </w:t>
            </w:r>
            <w:r>
              <w:rPr>
                <w:color w:val="231F20"/>
                <w:sz w:val="20"/>
              </w:rPr>
              <w:t>billed</w:t>
            </w:r>
            <w:r>
              <w:rPr>
                <w:color w:val="231F20"/>
                <w:spacing w:val="-4"/>
                <w:sz w:val="20"/>
              </w:rPr>
              <w:t> </w:t>
            </w:r>
            <w:r>
              <w:rPr>
                <w:color w:val="231F20"/>
                <w:sz w:val="20"/>
              </w:rPr>
              <w:t>and</w:t>
            </w:r>
            <w:r>
              <w:rPr>
                <w:color w:val="231F20"/>
                <w:spacing w:val="-3"/>
                <w:sz w:val="20"/>
              </w:rPr>
              <w:t> </w:t>
            </w:r>
            <w:r>
              <w:rPr>
                <w:color w:val="231F20"/>
                <w:sz w:val="20"/>
              </w:rPr>
              <w:t>unbilled</w:t>
            </w:r>
            <w:r>
              <w:rPr>
                <w:color w:val="231F20"/>
                <w:spacing w:val="-4"/>
                <w:sz w:val="20"/>
              </w:rPr>
              <w:t> </w:t>
            </w:r>
            <w:r>
              <w:rPr>
                <w:color w:val="231F20"/>
                <w:sz w:val="20"/>
              </w:rPr>
              <w:t>receivables Student accounts receivable, net of allowance</w:t>
            </w:r>
          </w:p>
          <w:p>
            <w:pPr>
              <w:pStyle w:val="TableParagraph"/>
              <w:spacing w:line="208" w:lineRule="exact"/>
              <w:ind w:left="332"/>
              <w:rPr>
                <w:sz w:val="20"/>
              </w:rPr>
            </w:pPr>
            <w:r>
              <w:rPr>
                <w:color w:val="231F20"/>
                <w:sz w:val="20"/>
              </w:rPr>
              <w:t>for</w:t>
            </w:r>
            <w:r>
              <w:rPr>
                <w:color w:val="231F20"/>
                <w:spacing w:val="-4"/>
                <w:sz w:val="20"/>
              </w:rPr>
              <w:t> </w:t>
            </w:r>
            <w:r>
              <w:rPr>
                <w:color w:val="231F20"/>
                <w:sz w:val="20"/>
              </w:rPr>
              <w:t>doubtful</w:t>
            </w:r>
            <w:r>
              <w:rPr>
                <w:color w:val="231F20"/>
                <w:spacing w:val="-3"/>
                <w:sz w:val="20"/>
              </w:rPr>
              <w:t> </w:t>
            </w:r>
            <w:r>
              <w:rPr>
                <w:color w:val="231F20"/>
                <w:spacing w:val="-2"/>
                <w:sz w:val="20"/>
              </w:rPr>
              <w:t>accounts</w:t>
            </w:r>
          </w:p>
        </w:tc>
        <w:tc>
          <w:tcPr>
            <w:tcW w:w="1606" w:type="dxa"/>
          </w:tcPr>
          <w:p>
            <w:pPr>
              <w:pStyle w:val="TableParagraph"/>
              <w:spacing w:before="7"/>
              <w:ind w:left="490"/>
              <w:rPr>
                <w:sz w:val="20"/>
              </w:rPr>
            </w:pPr>
            <w:r>
              <w:rPr>
                <w:color w:val="231F20"/>
                <w:spacing w:val="-2"/>
                <w:sz w:val="20"/>
              </w:rPr>
              <w:t>16,506,193</w:t>
            </w:r>
          </w:p>
          <w:p>
            <w:pPr>
              <w:pStyle w:val="TableParagraph"/>
              <w:spacing w:before="5"/>
              <w:rPr>
                <w:sz w:val="23"/>
              </w:rPr>
            </w:pPr>
          </w:p>
          <w:p>
            <w:pPr>
              <w:pStyle w:val="TableParagraph"/>
              <w:spacing w:line="210" w:lineRule="exact"/>
              <w:ind w:left="771"/>
              <w:rPr>
                <w:sz w:val="20"/>
              </w:rPr>
            </w:pPr>
            <w:r>
              <w:rPr>
                <w:color w:val="231F20"/>
                <w:spacing w:val="-2"/>
                <w:sz w:val="20"/>
              </w:rPr>
              <w:t>719,676</w:t>
            </w:r>
          </w:p>
        </w:tc>
        <w:tc>
          <w:tcPr>
            <w:tcW w:w="1928" w:type="dxa"/>
            <w:gridSpan w:val="2"/>
          </w:tcPr>
          <w:p>
            <w:pPr>
              <w:pStyle w:val="TableParagraph"/>
              <w:spacing w:before="7"/>
              <w:ind w:left="1750"/>
              <w:rPr>
                <w:sz w:val="20"/>
              </w:rPr>
            </w:pPr>
            <w:r>
              <w:rPr>
                <w:color w:val="231F20"/>
                <w:w w:val="100"/>
                <w:sz w:val="20"/>
              </w:rPr>
              <w:t>-</w:t>
            </w:r>
          </w:p>
          <w:p>
            <w:pPr>
              <w:pStyle w:val="TableParagraph"/>
              <w:spacing w:before="5"/>
              <w:rPr>
                <w:sz w:val="23"/>
              </w:rPr>
            </w:pPr>
          </w:p>
          <w:p>
            <w:pPr>
              <w:pStyle w:val="TableParagraph"/>
              <w:spacing w:line="210" w:lineRule="exact"/>
              <w:ind w:left="1750"/>
              <w:rPr>
                <w:sz w:val="20"/>
              </w:rPr>
            </w:pPr>
            <w:r>
              <w:rPr>
                <w:color w:val="231F20"/>
                <w:w w:val="100"/>
                <w:sz w:val="20"/>
              </w:rPr>
              <w:t>-</w:t>
            </w:r>
          </w:p>
        </w:tc>
      </w:tr>
      <w:tr>
        <w:trPr>
          <w:trHeight w:val="249" w:hRule="atLeast"/>
        </w:trPr>
        <w:tc>
          <w:tcPr>
            <w:tcW w:w="5803" w:type="dxa"/>
          </w:tcPr>
          <w:p>
            <w:pPr>
              <w:pStyle w:val="TableParagraph"/>
              <w:spacing w:line="210" w:lineRule="exact" w:before="19"/>
              <w:ind w:left="190"/>
              <w:rPr>
                <w:sz w:val="20"/>
              </w:rPr>
            </w:pPr>
            <w:r>
              <w:rPr>
                <w:color w:val="231F20"/>
                <w:sz w:val="20"/>
              </w:rPr>
              <w:t>Due</w:t>
            </w:r>
            <w:r>
              <w:rPr>
                <w:color w:val="231F20"/>
                <w:spacing w:val="-3"/>
                <w:sz w:val="20"/>
              </w:rPr>
              <w:t> </w:t>
            </w:r>
            <w:r>
              <w:rPr>
                <w:color w:val="231F20"/>
                <w:sz w:val="20"/>
              </w:rPr>
              <w:t>from</w:t>
            </w:r>
            <w:r>
              <w:rPr>
                <w:color w:val="231F20"/>
                <w:spacing w:val="-3"/>
                <w:sz w:val="20"/>
              </w:rPr>
              <w:t> </w:t>
            </w:r>
            <w:r>
              <w:rPr>
                <w:color w:val="231F20"/>
                <w:sz w:val="20"/>
              </w:rPr>
              <w:t>state</w:t>
            </w:r>
            <w:r>
              <w:rPr>
                <w:color w:val="231F20"/>
                <w:spacing w:val="-3"/>
                <w:sz w:val="20"/>
              </w:rPr>
              <w:t> </w:t>
            </w:r>
            <w:r>
              <w:rPr>
                <w:color w:val="231F20"/>
                <w:sz w:val="20"/>
              </w:rPr>
              <w:t>agencies</w:t>
            </w:r>
            <w:r>
              <w:rPr>
                <w:color w:val="231F20"/>
                <w:spacing w:val="-3"/>
                <w:sz w:val="20"/>
              </w:rPr>
              <w:t> </w:t>
            </w:r>
            <w:r>
              <w:rPr>
                <w:color w:val="231F20"/>
                <w:sz w:val="20"/>
              </w:rPr>
              <w:t>and</w:t>
            </w:r>
            <w:r>
              <w:rPr>
                <w:color w:val="231F20"/>
                <w:spacing w:val="-2"/>
                <w:sz w:val="20"/>
              </w:rPr>
              <w:t> </w:t>
            </w:r>
            <w:r>
              <w:rPr>
                <w:color w:val="231F20"/>
                <w:sz w:val="20"/>
              </w:rPr>
              <w:t>other</w:t>
            </w:r>
            <w:r>
              <w:rPr>
                <w:color w:val="231F20"/>
                <w:spacing w:val="-1"/>
                <w:sz w:val="20"/>
              </w:rPr>
              <w:t> </w:t>
            </w:r>
            <w:r>
              <w:rPr>
                <w:color w:val="231F20"/>
                <w:spacing w:val="-2"/>
                <w:sz w:val="20"/>
              </w:rPr>
              <w:t>accounts</w:t>
            </w:r>
          </w:p>
        </w:tc>
        <w:tc>
          <w:tcPr>
            <w:tcW w:w="1606" w:type="dxa"/>
          </w:tcPr>
          <w:p>
            <w:pPr>
              <w:pStyle w:val="TableParagraph"/>
              <w:rPr>
                <w:rFonts w:ascii="Times New Roman"/>
                <w:sz w:val="18"/>
              </w:rPr>
            </w:pPr>
          </w:p>
        </w:tc>
        <w:tc>
          <w:tcPr>
            <w:tcW w:w="1928" w:type="dxa"/>
            <w:gridSpan w:val="2"/>
          </w:tcPr>
          <w:p>
            <w:pPr>
              <w:pStyle w:val="TableParagraph"/>
              <w:rPr>
                <w:rFonts w:ascii="Times New Roman"/>
                <w:sz w:val="18"/>
              </w:rPr>
            </w:pPr>
          </w:p>
        </w:tc>
      </w:tr>
      <w:tr>
        <w:trPr>
          <w:trHeight w:val="262" w:hRule="atLeast"/>
        </w:trPr>
        <w:tc>
          <w:tcPr>
            <w:tcW w:w="5803" w:type="dxa"/>
          </w:tcPr>
          <w:p>
            <w:pPr>
              <w:pStyle w:val="TableParagraph"/>
              <w:spacing w:line="223" w:lineRule="exact" w:before="19"/>
              <w:ind w:left="331"/>
              <w:rPr>
                <w:sz w:val="20"/>
              </w:rPr>
            </w:pPr>
            <w:r>
              <w:rPr>
                <w:color w:val="231F20"/>
                <w:spacing w:val="-2"/>
                <w:sz w:val="20"/>
              </w:rPr>
              <w:t>receivables</w:t>
            </w:r>
          </w:p>
        </w:tc>
        <w:tc>
          <w:tcPr>
            <w:tcW w:w="1606" w:type="dxa"/>
          </w:tcPr>
          <w:p>
            <w:pPr>
              <w:pStyle w:val="TableParagraph"/>
              <w:spacing w:line="223" w:lineRule="exact" w:before="19"/>
              <w:ind w:left="604"/>
              <w:rPr>
                <w:sz w:val="20"/>
              </w:rPr>
            </w:pPr>
            <w:r>
              <w:rPr>
                <w:color w:val="231F20"/>
                <w:spacing w:val="-2"/>
                <w:sz w:val="20"/>
              </w:rPr>
              <w:t>4,728,104</w:t>
            </w:r>
          </w:p>
        </w:tc>
        <w:tc>
          <w:tcPr>
            <w:tcW w:w="320" w:type="dxa"/>
          </w:tcPr>
          <w:p>
            <w:pPr>
              <w:pStyle w:val="TableParagraph"/>
              <w:rPr>
                <w:rFonts w:ascii="Times New Roman"/>
                <w:sz w:val="18"/>
              </w:rPr>
            </w:pPr>
          </w:p>
        </w:tc>
        <w:tc>
          <w:tcPr>
            <w:tcW w:w="1608" w:type="dxa"/>
          </w:tcPr>
          <w:p>
            <w:pPr>
              <w:pStyle w:val="TableParagraph"/>
              <w:spacing w:line="223" w:lineRule="exact" w:before="19"/>
              <w:ind w:left="605"/>
              <w:rPr>
                <w:sz w:val="20"/>
              </w:rPr>
            </w:pPr>
            <w:r>
              <w:rPr>
                <w:color w:val="231F20"/>
                <w:spacing w:val="-2"/>
                <w:sz w:val="20"/>
              </w:rPr>
              <w:t>1,190,088</w:t>
            </w:r>
          </w:p>
        </w:tc>
      </w:tr>
      <w:tr>
        <w:trPr>
          <w:trHeight w:val="249" w:hRule="atLeast"/>
        </w:trPr>
        <w:tc>
          <w:tcPr>
            <w:tcW w:w="5803" w:type="dxa"/>
          </w:tcPr>
          <w:p>
            <w:pPr>
              <w:pStyle w:val="TableParagraph"/>
              <w:spacing w:line="223" w:lineRule="exact" w:before="6"/>
              <w:ind w:left="190"/>
              <w:rPr>
                <w:sz w:val="20"/>
              </w:rPr>
            </w:pPr>
            <w:r>
              <w:rPr>
                <w:color w:val="231F20"/>
                <w:sz w:val="20"/>
              </w:rPr>
              <w:t>Due</w:t>
            </w:r>
            <w:r>
              <w:rPr>
                <w:color w:val="231F20"/>
                <w:spacing w:val="-5"/>
                <w:sz w:val="20"/>
              </w:rPr>
              <w:t> </w:t>
            </w:r>
            <w:r>
              <w:rPr>
                <w:color w:val="231F20"/>
                <w:sz w:val="20"/>
              </w:rPr>
              <w:t>from</w:t>
            </w:r>
            <w:r>
              <w:rPr>
                <w:color w:val="231F20"/>
                <w:spacing w:val="-3"/>
                <w:sz w:val="20"/>
              </w:rPr>
              <w:t> </w:t>
            </w:r>
            <w:r>
              <w:rPr>
                <w:color w:val="231F20"/>
                <w:sz w:val="20"/>
              </w:rPr>
              <w:t>component</w:t>
            </w:r>
            <w:r>
              <w:rPr>
                <w:color w:val="231F20"/>
                <w:spacing w:val="-2"/>
                <w:sz w:val="20"/>
              </w:rPr>
              <w:t> </w:t>
            </w:r>
            <w:r>
              <w:rPr>
                <w:color w:val="231F20"/>
                <w:spacing w:val="-4"/>
                <w:sz w:val="20"/>
              </w:rPr>
              <w:t>unit</w:t>
            </w:r>
          </w:p>
        </w:tc>
        <w:tc>
          <w:tcPr>
            <w:tcW w:w="1606" w:type="dxa"/>
          </w:tcPr>
          <w:p>
            <w:pPr>
              <w:pStyle w:val="TableParagraph"/>
              <w:spacing w:line="223" w:lineRule="exact" w:before="6"/>
              <w:ind w:left="603"/>
              <w:rPr>
                <w:sz w:val="20"/>
              </w:rPr>
            </w:pPr>
            <w:r>
              <w:rPr>
                <w:color w:val="231F20"/>
                <w:spacing w:val="-2"/>
                <w:sz w:val="20"/>
              </w:rPr>
              <w:t>1,503,264</w:t>
            </w:r>
          </w:p>
        </w:tc>
        <w:tc>
          <w:tcPr>
            <w:tcW w:w="320" w:type="dxa"/>
          </w:tcPr>
          <w:p>
            <w:pPr>
              <w:pStyle w:val="TableParagraph"/>
              <w:rPr>
                <w:rFonts w:ascii="Times New Roman"/>
                <w:sz w:val="18"/>
              </w:rPr>
            </w:pPr>
          </w:p>
        </w:tc>
        <w:tc>
          <w:tcPr>
            <w:tcW w:w="1608" w:type="dxa"/>
          </w:tcPr>
          <w:p>
            <w:pPr>
              <w:pStyle w:val="TableParagraph"/>
              <w:spacing w:line="223" w:lineRule="exact" w:before="6"/>
              <w:ind w:right="108"/>
              <w:jc w:val="right"/>
              <w:rPr>
                <w:sz w:val="20"/>
              </w:rPr>
            </w:pPr>
            <w:r>
              <w:rPr>
                <w:color w:val="231F20"/>
                <w:w w:val="100"/>
                <w:sz w:val="20"/>
              </w:rPr>
              <w:t>-</w:t>
            </w:r>
          </w:p>
        </w:tc>
      </w:tr>
      <w:tr>
        <w:trPr>
          <w:trHeight w:val="249" w:hRule="atLeast"/>
        </w:trPr>
        <w:tc>
          <w:tcPr>
            <w:tcW w:w="5803" w:type="dxa"/>
          </w:tcPr>
          <w:p>
            <w:pPr>
              <w:pStyle w:val="TableParagraph"/>
              <w:spacing w:line="223" w:lineRule="exact" w:before="6"/>
              <w:ind w:left="190"/>
              <w:rPr>
                <w:sz w:val="20"/>
              </w:rPr>
            </w:pPr>
            <w:r>
              <w:rPr>
                <w:color w:val="231F20"/>
                <w:spacing w:val="-2"/>
                <w:sz w:val="20"/>
              </w:rPr>
              <w:t>Inventories</w:t>
            </w:r>
          </w:p>
        </w:tc>
        <w:tc>
          <w:tcPr>
            <w:tcW w:w="1606" w:type="dxa"/>
          </w:tcPr>
          <w:p>
            <w:pPr>
              <w:pStyle w:val="TableParagraph"/>
              <w:spacing w:line="223" w:lineRule="exact" w:before="6"/>
              <w:ind w:left="603"/>
              <w:rPr>
                <w:sz w:val="20"/>
              </w:rPr>
            </w:pPr>
            <w:r>
              <w:rPr>
                <w:color w:val="231F20"/>
                <w:spacing w:val="-2"/>
                <w:sz w:val="20"/>
              </w:rPr>
              <w:t>1,949,388</w:t>
            </w:r>
          </w:p>
        </w:tc>
        <w:tc>
          <w:tcPr>
            <w:tcW w:w="320" w:type="dxa"/>
          </w:tcPr>
          <w:p>
            <w:pPr>
              <w:pStyle w:val="TableParagraph"/>
              <w:rPr>
                <w:rFonts w:ascii="Times New Roman"/>
                <w:sz w:val="18"/>
              </w:rPr>
            </w:pPr>
          </w:p>
        </w:tc>
        <w:tc>
          <w:tcPr>
            <w:tcW w:w="1608" w:type="dxa"/>
          </w:tcPr>
          <w:p>
            <w:pPr>
              <w:pStyle w:val="TableParagraph"/>
              <w:spacing w:line="223" w:lineRule="exact" w:before="6"/>
              <w:ind w:right="108"/>
              <w:jc w:val="right"/>
              <w:rPr>
                <w:sz w:val="20"/>
              </w:rPr>
            </w:pPr>
            <w:r>
              <w:rPr>
                <w:color w:val="231F20"/>
                <w:w w:val="100"/>
                <w:sz w:val="20"/>
              </w:rPr>
              <w:t>-</w:t>
            </w:r>
          </w:p>
        </w:tc>
      </w:tr>
      <w:tr>
        <w:trPr>
          <w:trHeight w:val="358" w:hRule="atLeast"/>
        </w:trPr>
        <w:tc>
          <w:tcPr>
            <w:tcW w:w="5803" w:type="dxa"/>
          </w:tcPr>
          <w:p>
            <w:pPr>
              <w:pStyle w:val="TableParagraph"/>
              <w:spacing w:before="6"/>
              <w:ind w:left="190"/>
              <w:rPr>
                <w:sz w:val="20"/>
              </w:rPr>
            </w:pPr>
            <w:r>
              <w:rPr>
                <w:color w:val="231F20"/>
                <w:sz w:val="20"/>
              </w:rPr>
              <w:t>Other</w:t>
            </w:r>
            <w:r>
              <w:rPr>
                <w:color w:val="231F20"/>
                <w:spacing w:val="-2"/>
                <w:sz w:val="20"/>
              </w:rPr>
              <w:t> assets</w:t>
            </w:r>
          </w:p>
        </w:tc>
        <w:tc>
          <w:tcPr>
            <w:tcW w:w="1606" w:type="dxa"/>
          </w:tcPr>
          <w:p>
            <w:pPr>
              <w:pStyle w:val="TableParagraph"/>
              <w:tabs>
                <w:tab w:pos="603" w:val="left" w:leader="none"/>
              </w:tabs>
              <w:spacing w:before="6"/>
              <w:ind w:left="-2"/>
              <w:rPr>
                <w:sz w:val="20"/>
              </w:rPr>
            </w:pPr>
            <w:r>
              <w:rPr>
                <w:color w:val="231F20"/>
                <w:sz w:val="20"/>
                <w:u w:val="single" w:color="231F20"/>
              </w:rPr>
              <w:tab/>
            </w:r>
            <w:r>
              <w:rPr>
                <w:color w:val="231F20"/>
                <w:spacing w:val="-2"/>
                <w:sz w:val="20"/>
                <w:u w:val="single" w:color="231F20"/>
              </w:rPr>
              <w:t>3,625,584</w:t>
            </w:r>
            <w:r>
              <w:rPr>
                <w:color w:val="231F20"/>
                <w:spacing w:val="80"/>
                <w:sz w:val="20"/>
                <w:u w:val="single" w:color="231F20"/>
              </w:rPr>
              <w:t> </w:t>
            </w:r>
          </w:p>
        </w:tc>
        <w:tc>
          <w:tcPr>
            <w:tcW w:w="320" w:type="dxa"/>
          </w:tcPr>
          <w:p>
            <w:pPr>
              <w:pStyle w:val="TableParagraph"/>
              <w:rPr>
                <w:rFonts w:ascii="Times New Roman"/>
                <w:sz w:val="20"/>
              </w:rPr>
            </w:pPr>
          </w:p>
        </w:tc>
        <w:tc>
          <w:tcPr>
            <w:tcW w:w="1608" w:type="dxa"/>
          </w:tcPr>
          <w:p>
            <w:pPr>
              <w:pStyle w:val="TableParagraph"/>
              <w:tabs>
                <w:tab w:pos="996" w:val="left" w:leader="none"/>
              </w:tabs>
              <w:spacing w:before="6"/>
              <w:ind w:left="-2"/>
              <w:rPr>
                <w:sz w:val="20"/>
              </w:rPr>
            </w:pPr>
            <w:r>
              <w:rPr>
                <w:color w:val="231F20"/>
                <w:sz w:val="20"/>
                <w:u w:val="single" w:color="231F20"/>
              </w:rPr>
              <w:tab/>
            </w:r>
            <w:r>
              <w:rPr>
                <w:color w:val="231F20"/>
                <w:spacing w:val="-2"/>
                <w:sz w:val="20"/>
                <w:u w:val="single" w:color="231F20"/>
              </w:rPr>
              <w:t>8,877</w:t>
            </w:r>
            <w:r>
              <w:rPr>
                <w:color w:val="231F20"/>
                <w:spacing w:val="80"/>
                <w:sz w:val="20"/>
                <w:u w:val="single" w:color="231F20"/>
              </w:rPr>
              <w:t> </w:t>
            </w:r>
          </w:p>
        </w:tc>
      </w:tr>
      <w:tr>
        <w:trPr>
          <w:trHeight w:val="485" w:hRule="atLeast"/>
        </w:trPr>
        <w:tc>
          <w:tcPr>
            <w:tcW w:w="5803" w:type="dxa"/>
          </w:tcPr>
          <w:p>
            <w:pPr>
              <w:pStyle w:val="TableParagraph"/>
              <w:spacing w:before="115"/>
              <w:ind w:left="548"/>
              <w:rPr>
                <w:sz w:val="20"/>
              </w:rPr>
            </w:pPr>
            <w:r>
              <w:rPr>
                <w:color w:val="231F20"/>
                <w:sz w:val="20"/>
              </w:rPr>
              <w:t>Total</w:t>
            </w:r>
            <w:r>
              <w:rPr>
                <w:color w:val="231F20"/>
                <w:spacing w:val="-4"/>
                <w:sz w:val="20"/>
              </w:rPr>
              <w:t> </w:t>
            </w:r>
            <w:r>
              <w:rPr>
                <w:color w:val="231F20"/>
                <w:sz w:val="20"/>
              </w:rPr>
              <w:t>current</w:t>
            </w:r>
            <w:r>
              <w:rPr>
                <w:color w:val="231F20"/>
                <w:spacing w:val="-3"/>
                <w:sz w:val="20"/>
              </w:rPr>
              <w:t> </w:t>
            </w:r>
            <w:r>
              <w:rPr>
                <w:color w:val="231F20"/>
                <w:spacing w:val="-2"/>
                <w:sz w:val="20"/>
              </w:rPr>
              <w:t>assets</w:t>
            </w:r>
          </w:p>
        </w:tc>
        <w:tc>
          <w:tcPr>
            <w:tcW w:w="1606" w:type="dxa"/>
          </w:tcPr>
          <w:p>
            <w:pPr>
              <w:pStyle w:val="TableParagraph"/>
              <w:tabs>
                <w:tab w:pos="490" w:val="left" w:leader="none"/>
              </w:tabs>
              <w:spacing w:before="115"/>
              <w:ind w:left="-2"/>
              <w:rPr>
                <w:sz w:val="20"/>
              </w:rPr>
            </w:pPr>
            <w:r>
              <w:rPr>
                <w:color w:val="231F20"/>
                <w:sz w:val="20"/>
                <w:u w:val="single" w:color="231F20"/>
              </w:rPr>
              <w:tab/>
            </w:r>
            <w:r>
              <w:rPr>
                <w:color w:val="231F20"/>
                <w:spacing w:val="-2"/>
                <w:sz w:val="20"/>
                <w:u w:val="single" w:color="231F20"/>
              </w:rPr>
              <w:t>84,843,279</w:t>
            </w:r>
            <w:r>
              <w:rPr>
                <w:color w:val="231F20"/>
                <w:spacing w:val="80"/>
                <w:sz w:val="20"/>
                <w:u w:val="single" w:color="231F20"/>
              </w:rPr>
              <w:t> </w:t>
            </w:r>
          </w:p>
        </w:tc>
        <w:tc>
          <w:tcPr>
            <w:tcW w:w="320" w:type="dxa"/>
          </w:tcPr>
          <w:p>
            <w:pPr>
              <w:pStyle w:val="TableParagraph"/>
              <w:rPr>
                <w:rFonts w:ascii="Times New Roman"/>
                <w:sz w:val="20"/>
              </w:rPr>
            </w:pPr>
          </w:p>
        </w:tc>
        <w:tc>
          <w:tcPr>
            <w:tcW w:w="1608" w:type="dxa"/>
          </w:tcPr>
          <w:p>
            <w:pPr>
              <w:pStyle w:val="TableParagraph"/>
              <w:tabs>
                <w:tab w:pos="493" w:val="left" w:leader="none"/>
              </w:tabs>
              <w:spacing w:before="115"/>
              <w:ind w:left="-2"/>
              <w:rPr>
                <w:sz w:val="20"/>
              </w:rPr>
            </w:pPr>
            <w:r>
              <w:rPr>
                <w:color w:val="231F20"/>
                <w:sz w:val="20"/>
                <w:u w:val="single" w:color="231F20"/>
              </w:rPr>
              <w:tab/>
            </w:r>
            <w:r>
              <w:rPr>
                <w:color w:val="231F20"/>
                <w:spacing w:val="-2"/>
                <w:sz w:val="20"/>
                <w:u w:val="single" w:color="231F20"/>
              </w:rPr>
              <w:t>26,249,509</w:t>
            </w:r>
            <w:r>
              <w:rPr>
                <w:color w:val="231F20"/>
                <w:spacing w:val="80"/>
                <w:sz w:val="20"/>
                <w:u w:val="single" w:color="231F20"/>
              </w:rPr>
              <w:t> </w:t>
            </w:r>
          </w:p>
        </w:tc>
      </w:tr>
      <w:tr>
        <w:trPr>
          <w:trHeight w:val="627" w:hRule="atLeast"/>
        </w:trPr>
        <w:tc>
          <w:tcPr>
            <w:tcW w:w="5803" w:type="dxa"/>
          </w:tcPr>
          <w:p>
            <w:pPr>
              <w:pStyle w:val="TableParagraph"/>
              <w:spacing w:before="134"/>
              <w:ind w:left="50"/>
              <w:rPr>
                <w:sz w:val="20"/>
              </w:rPr>
            </w:pPr>
            <w:r>
              <w:rPr>
                <w:color w:val="231F20"/>
                <w:sz w:val="20"/>
              </w:rPr>
              <w:t>NONCURRENT</w:t>
            </w:r>
            <w:r>
              <w:rPr>
                <w:color w:val="231F20"/>
                <w:spacing w:val="-6"/>
                <w:sz w:val="20"/>
              </w:rPr>
              <w:t> </w:t>
            </w:r>
            <w:r>
              <w:rPr>
                <w:color w:val="231F20"/>
                <w:spacing w:val="-2"/>
                <w:sz w:val="20"/>
              </w:rPr>
              <w:t>ASSETS</w:t>
            </w:r>
          </w:p>
          <w:p>
            <w:pPr>
              <w:pStyle w:val="TableParagraph"/>
              <w:spacing w:line="223" w:lineRule="exact" w:before="20"/>
              <w:ind w:left="190"/>
              <w:rPr>
                <w:sz w:val="20"/>
              </w:rPr>
            </w:pPr>
            <w:r>
              <w:rPr>
                <w:color w:val="231F20"/>
                <w:sz w:val="20"/>
              </w:rPr>
              <w:t>Restricted</w:t>
            </w:r>
            <w:r>
              <w:rPr>
                <w:color w:val="231F20"/>
                <w:spacing w:val="-3"/>
                <w:sz w:val="20"/>
              </w:rPr>
              <w:t> </w:t>
            </w:r>
            <w:r>
              <w:rPr>
                <w:color w:val="231F20"/>
                <w:sz w:val="20"/>
              </w:rPr>
              <w:t>cash</w:t>
            </w:r>
            <w:r>
              <w:rPr>
                <w:color w:val="231F20"/>
                <w:spacing w:val="-3"/>
                <w:sz w:val="20"/>
              </w:rPr>
              <w:t> </w:t>
            </w:r>
            <w:r>
              <w:rPr>
                <w:color w:val="231F20"/>
                <w:sz w:val="20"/>
              </w:rPr>
              <w:t>and</w:t>
            </w:r>
            <w:r>
              <w:rPr>
                <w:color w:val="231F20"/>
                <w:spacing w:val="-3"/>
                <w:sz w:val="20"/>
              </w:rPr>
              <w:t> </w:t>
            </w:r>
            <w:r>
              <w:rPr>
                <w:color w:val="231F20"/>
                <w:sz w:val="20"/>
              </w:rPr>
              <w:t>cash</w:t>
            </w:r>
            <w:r>
              <w:rPr>
                <w:color w:val="231F20"/>
                <w:spacing w:val="-2"/>
                <w:sz w:val="20"/>
              </w:rPr>
              <w:t> equivalents</w:t>
            </w:r>
          </w:p>
        </w:tc>
        <w:tc>
          <w:tcPr>
            <w:tcW w:w="1606" w:type="dxa"/>
          </w:tcPr>
          <w:p>
            <w:pPr>
              <w:pStyle w:val="TableParagraph"/>
              <w:rPr>
                <w:sz w:val="22"/>
              </w:rPr>
            </w:pPr>
          </w:p>
          <w:p>
            <w:pPr>
              <w:pStyle w:val="TableParagraph"/>
              <w:spacing w:line="223" w:lineRule="exact" w:before="131"/>
              <w:ind w:left="880"/>
              <w:rPr>
                <w:sz w:val="20"/>
              </w:rPr>
            </w:pPr>
            <w:r>
              <w:rPr>
                <w:color w:val="231F20"/>
                <w:spacing w:val="-2"/>
                <w:sz w:val="20"/>
              </w:rPr>
              <w:t>89,172</w:t>
            </w:r>
          </w:p>
        </w:tc>
        <w:tc>
          <w:tcPr>
            <w:tcW w:w="320" w:type="dxa"/>
          </w:tcPr>
          <w:p>
            <w:pPr>
              <w:pStyle w:val="TableParagraph"/>
              <w:rPr>
                <w:rFonts w:ascii="Times New Roman"/>
                <w:sz w:val="20"/>
              </w:rPr>
            </w:pPr>
          </w:p>
        </w:tc>
        <w:tc>
          <w:tcPr>
            <w:tcW w:w="1608" w:type="dxa"/>
          </w:tcPr>
          <w:p>
            <w:pPr>
              <w:pStyle w:val="TableParagraph"/>
              <w:rPr>
                <w:sz w:val="22"/>
              </w:rPr>
            </w:pPr>
          </w:p>
          <w:p>
            <w:pPr>
              <w:pStyle w:val="TableParagraph"/>
              <w:spacing w:line="223" w:lineRule="exact" w:before="131"/>
              <w:ind w:right="107"/>
              <w:jc w:val="right"/>
              <w:rPr>
                <w:sz w:val="20"/>
              </w:rPr>
            </w:pPr>
            <w:r>
              <w:rPr>
                <w:color w:val="231F20"/>
                <w:w w:val="100"/>
                <w:sz w:val="20"/>
              </w:rPr>
              <w:t>-</w:t>
            </w:r>
          </w:p>
        </w:tc>
      </w:tr>
      <w:tr>
        <w:trPr>
          <w:trHeight w:val="249" w:hRule="atLeast"/>
        </w:trPr>
        <w:tc>
          <w:tcPr>
            <w:tcW w:w="5803" w:type="dxa"/>
          </w:tcPr>
          <w:p>
            <w:pPr>
              <w:pStyle w:val="TableParagraph"/>
              <w:spacing w:line="223" w:lineRule="exact" w:before="6"/>
              <w:ind w:left="190"/>
              <w:rPr>
                <w:sz w:val="20"/>
              </w:rPr>
            </w:pPr>
            <w:r>
              <w:rPr>
                <w:color w:val="231F20"/>
                <w:sz w:val="20"/>
              </w:rPr>
              <w:t>Endowment</w:t>
            </w:r>
            <w:r>
              <w:rPr>
                <w:color w:val="231F20"/>
                <w:spacing w:val="-7"/>
                <w:sz w:val="20"/>
              </w:rPr>
              <w:t> </w:t>
            </w:r>
            <w:r>
              <w:rPr>
                <w:color w:val="231F20"/>
                <w:spacing w:val="-2"/>
                <w:sz w:val="20"/>
              </w:rPr>
              <w:t>investments</w:t>
            </w:r>
          </w:p>
        </w:tc>
        <w:tc>
          <w:tcPr>
            <w:tcW w:w="1606" w:type="dxa"/>
          </w:tcPr>
          <w:p>
            <w:pPr>
              <w:pStyle w:val="TableParagraph"/>
              <w:spacing w:line="223" w:lineRule="exact" w:before="6"/>
              <w:ind w:left="492"/>
              <w:rPr>
                <w:sz w:val="20"/>
              </w:rPr>
            </w:pPr>
            <w:r>
              <w:rPr>
                <w:color w:val="231F20"/>
                <w:spacing w:val="-2"/>
                <w:sz w:val="20"/>
              </w:rPr>
              <w:t>60,832,912</w:t>
            </w:r>
          </w:p>
        </w:tc>
        <w:tc>
          <w:tcPr>
            <w:tcW w:w="320" w:type="dxa"/>
          </w:tcPr>
          <w:p>
            <w:pPr>
              <w:pStyle w:val="TableParagraph"/>
              <w:rPr>
                <w:rFonts w:ascii="Times New Roman"/>
                <w:sz w:val="18"/>
              </w:rPr>
            </w:pPr>
          </w:p>
        </w:tc>
        <w:tc>
          <w:tcPr>
            <w:tcW w:w="1608" w:type="dxa"/>
          </w:tcPr>
          <w:p>
            <w:pPr>
              <w:pStyle w:val="TableParagraph"/>
              <w:spacing w:line="223" w:lineRule="exact" w:before="6"/>
              <w:ind w:left="605"/>
              <w:rPr>
                <w:sz w:val="20"/>
              </w:rPr>
            </w:pPr>
            <w:r>
              <w:rPr>
                <w:color w:val="231F20"/>
                <w:spacing w:val="-2"/>
                <w:sz w:val="20"/>
              </w:rPr>
              <w:t>8,535,993</w:t>
            </w:r>
          </w:p>
        </w:tc>
      </w:tr>
      <w:tr>
        <w:trPr>
          <w:trHeight w:val="748" w:hRule="atLeast"/>
        </w:trPr>
        <w:tc>
          <w:tcPr>
            <w:tcW w:w="5803" w:type="dxa"/>
          </w:tcPr>
          <w:p>
            <w:pPr>
              <w:pStyle w:val="TableParagraph"/>
              <w:spacing w:before="6"/>
              <w:ind w:left="190"/>
              <w:rPr>
                <w:sz w:val="20"/>
              </w:rPr>
            </w:pPr>
            <w:r>
              <w:rPr>
                <w:color w:val="231F20"/>
                <w:sz w:val="20"/>
              </w:rPr>
              <w:t>Other</w:t>
            </w:r>
            <w:r>
              <w:rPr>
                <w:color w:val="231F20"/>
                <w:spacing w:val="-6"/>
                <w:sz w:val="20"/>
              </w:rPr>
              <w:t> </w:t>
            </w:r>
            <w:r>
              <w:rPr>
                <w:color w:val="231F20"/>
                <w:sz w:val="20"/>
              </w:rPr>
              <w:t>long-term</w:t>
            </w:r>
            <w:r>
              <w:rPr>
                <w:color w:val="231F20"/>
                <w:spacing w:val="-5"/>
                <w:sz w:val="20"/>
              </w:rPr>
              <w:t> </w:t>
            </w:r>
            <w:r>
              <w:rPr>
                <w:color w:val="231F20"/>
                <w:spacing w:val="-2"/>
                <w:sz w:val="20"/>
              </w:rPr>
              <w:t>investments</w:t>
            </w:r>
          </w:p>
          <w:p>
            <w:pPr>
              <w:pStyle w:val="TableParagraph"/>
              <w:spacing w:line="250" w:lineRule="atLeast"/>
              <w:ind w:left="331" w:right="1116" w:hanging="142"/>
              <w:rPr>
                <w:sz w:val="20"/>
              </w:rPr>
            </w:pPr>
            <w:r>
              <w:rPr>
                <w:color w:val="231F20"/>
                <w:sz w:val="20"/>
              </w:rPr>
              <w:t>Capital</w:t>
            </w:r>
            <w:r>
              <w:rPr>
                <w:color w:val="231F20"/>
                <w:spacing w:val="-4"/>
                <w:sz w:val="20"/>
              </w:rPr>
              <w:t> </w:t>
            </w:r>
            <w:r>
              <w:rPr>
                <w:color w:val="231F20"/>
                <w:sz w:val="20"/>
              </w:rPr>
              <w:t>assets,</w:t>
            </w:r>
            <w:r>
              <w:rPr>
                <w:color w:val="231F20"/>
                <w:spacing w:val="-4"/>
                <w:sz w:val="20"/>
              </w:rPr>
              <w:t> </w:t>
            </w:r>
            <w:r>
              <w:rPr>
                <w:color w:val="231F20"/>
                <w:sz w:val="20"/>
              </w:rPr>
              <w:t>net</w:t>
            </w:r>
            <w:r>
              <w:rPr>
                <w:color w:val="231F20"/>
                <w:spacing w:val="-4"/>
                <w:sz w:val="20"/>
              </w:rPr>
              <w:t> </w:t>
            </w:r>
            <w:r>
              <w:rPr>
                <w:color w:val="231F20"/>
                <w:sz w:val="20"/>
              </w:rPr>
              <w:t>of</w:t>
            </w:r>
            <w:r>
              <w:rPr>
                <w:color w:val="231F20"/>
                <w:spacing w:val="-4"/>
                <w:sz w:val="20"/>
              </w:rPr>
              <w:t> </w:t>
            </w:r>
            <w:r>
              <w:rPr>
                <w:color w:val="231F20"/>
                <w:sz w:val="20"/>
              </w:rPr>
              <w:t>accumulated</w:t>
            </w:r>
            <w:r>
              <w:rPr>
                <w:color w:val="231F20"/>
                <w:spacing w:val="-3"/>
                <w:sz w:val="20"/>
              </w:rPr>
              <w:t> </w:t>
            </w:r>
            <w:r>
              <w:rPr>
                <w:color w:val="231F20"/>
                <w:sz w:val="20"/>
              </w:rPr>
              <w:t>depreciation and amortization</w:t>
            </w:r>
          </w:p>
        </w:tc>
        <w:tc>
          <w:tcPr>
            <w:tcW w:w="1606" w:type="dxa"/>
          </w:tcPr>
          <w:p>
            <w:pPr>
              <w:pStyle w:val="TableParagraph"/>
              <w:spacing w:before="6"/>
              <w:ind w:left="491"/>
              <w:rPr>
                <w:sz w:val="20"/>
              </w:rPr>
            </w:pPr>
            <w:r>
              <w:rPr>
                <w:color w:val="231F20"/>
                <w:spacing w:val="-2"/>
                <w:sz w:val="20"/>
              </w:rPr>
              <w:t>19,801,175</w:t>
            </w:r>
          </w:p>
          <w:p>
            <w:pPr>
              <w:pStyle w:val="TableParagraph"/>
              <w:spacing w:before="5"/>
              <w:rPr>
                <w:sz w:val="23"/>
              </w:rPr>
            </w:pPr>
          </w:p>
          <w:p>
            <w:pPr>
              <w:pStyle w:val="TableParagraph"/>
              <w:spacing w:line="223" w:lineRule="exact"/>
              <w:ind w:left="378"/>
              <w:rPr>
                <w:sz w:val="20"/>
              </w:rPr>
            </w:pPr>
            <w:r>
              <w:rPr>
                <w:color w:val="231F20"/>
                <w:spacing w:val="-2"/>
                <w:sz w:val="20"/>
              </w:rPr>
              <w:t>156,021,998</w:t>
            </w:r>
          </w:p>
        </w:tc>
        <w:tc>
          <w:tcPr>
            <w:tcW w:w="320" w:type="dxa"/>
          </w:tcPr>
          <w:p>
            <w:pPr>
              <w:pStyle w:val="TableParagraph"/>
              <w:rPr>
                <w:rFonts w:ascii="Times New Roman"/>
                <w:sz w:val="20"/>
              </w:rPr>
            </w:pPr>
          </w:p>
        </w:tc>
        <w:tc>
          <w:tcPr>
            <w:tcW w:w="1608" w:type="dxa"/>
          </w:tcPr>
          <w:p>
            <w:pPr>
              <w:pStyle w:val="TableParagraph"/>
              <w:spacing w:before="6"/>
              <w:ind w:right="108"/>
              <w:jc w:val="right"/>
              <w:rPr>
                <w:sz w:val="20"/>
              </w:rPr>
            </w:pPr>
            <w:r>
              <w:rPr>
                <w:color w:val="231F20"/>
                <w:w w:val="100"/>
                <w:sz w:val="20"/>
              </w:rPr>
              <w:t>-</w:t>
            </w:r>
          </w:p>
          <w:p>
            <w:pPr>
              <w:pStyle w:val="TableParagraph"/>
              <w:spacing w:before="5"/>
              <w:rPr>
                <w:sz w:val="23"/>
              </w:rPr>
            </w:pPr>
          </w:p>
          <w:p>
            <w:pPr>
              <w:pStyle w:val="TableParagraph"/>
              <w:spacing w:line="223" w:lineRule="exact"/>
              <w:ind w:left="605"/>
              <w:rPr>
                <w:sz w:val="20"/>
              </w:rPr>
            </w:pPr>
            <w:r>
              <w:rPr>
                <w:color w:val="231F20"/>
                <w:spacing w:val="-2"/>
                <w:sz w:val="20"/>
              </w:rPr>
              <w:t>1,263,535</w:t>
            </w:r>
          </w:p>
        </w:tc>
      </w:tr>
      <w:tr>
        <w:trPr>
          <w:trHeight w:val="249" w:hRule="atLeast"/>
        </w:trPr>
        <w:tc>
          <w:tcPr>
            <w:tcW w:w="5803" w:type="dxa"/>
          </w:tcPr>
          <w:p>
            <w:pPr>
              <w:pStyle w:val="TableParagraph"/>
              <w:spacing w:line="223" w:lineRule="exact" w:before="6"/>
              <w:ind w:left="190"/>
              <w:rPr>
                <w:sz w:val="20"/>
              </w:rPr>
            </w:pPr>
            <w:r>
              <w:rPr>
                <w:color w:val="231F20"/>
                <w:sz w:val="20"/>
              </w:rPr>
              <w:t>Other</w:t>
            </w:r>
            <w:r>
              <w:rPr>
                <w:color w:val="231F20"/>
                <w:spacing w:val="-6"/>
                <w:sz w:val="20"/>
              </w:rPr>
              <w:t> </w:t>
            </w:r>
            <w:r>
              <w:rPr>
                <w:color w:val="231F20"/>
                <w:sz w:val="20"/>
              </w:rPr>
              <w:t>non-current</w:t>
            </w:r>
            <w:r>
              <w:rPr>
                <w:color w:val="231F20"/>
                <w:spacing w:val="-5"/>
                <w:sz w:val="20"/>
              </w:rPr>
              <w:t> </w:t>
            </w:r>
            <w:r>
              <w:rPr>
                <w:color w:val="231F20"/>
                <w:spacing w:val="-2"/>
                <w:sz w:val="20"/>
              </w:rPr>
              <w:t>receivables</w:t>
            </w:r>
          </w:p>
        </w:tc>
        <w:tc>
          <w:tcPr>
            <w:tcW w:w="1606" w:type="dxa"/>
          </w:tcPr>
          <w:p>
            <w:pPr>
              <w:pStyle w:val="TableParagraph"/>
              <w:spacing w:line="223" w:lineRule="exact" w:before="6"/>
              <w:ind w:left="602"/>
              <w:rPr>
                <w:sz w:val="20"/>
              </w:rPr>
            </w:pPr>
            <w:r>
              <w:rPr>
                <w:color w:val="231F20"/>
                <w:spacing w:val="-2"/>
                <w:sz w:val="20"/>
              </w:rPr>
              <w:t>1,210,866</w:t>
            </w:r>
          </w:p>
        </w:tc>
        <w:tc>
          <w:tcPr>
            <w:tcW w:w="320" w:type="dxa"/>
          </w:tcPr>
          <w:p>
            <w:pPr>
              <w:pStyle w:val="TableParagraph"/>
              <w:rPr>
                <w:rFonts w:ascii="Times New Roman"/>
                <w:sz w:val="18"/>
              </w:rPr>
            </w:pPr>
          </w:p>
        </w:tc>
        <w:tc>
          <w:tcPr>
            <w:tcW w:w="1608" w:type="dxa"/>
          </w:tcPr>
          <w:p>
            <w:pPr>
              <w:pStyle w:val="TableParagraph"/>
              <w:spacing w:line="223" w:lineRule="exact" w:before="6"/>
              <w:ind w:left="605"/>
              <w:rPr>
                <w:sz w:val="20"/>
              </w:rPr>
            </w:pPr>
            <w:r>
              <w:rPr>
                <w:color w:val="231F20"/>
                <w:spacing w:val="-2"/>
                <w:sz w:val="20"/>
              </w:rPr>
              <w:t>2,449,537</w:t>
            </w:r>
          </w:p>
        </w:tc>
      </w:tr>
      <w:tr>
        <w:trPr>
          <w:trHeight w:val="358" w:hRule="atLeast"/>
        </w:trPr>
        <w:tc>
          <w:tcPr>
            <w:tcW w:w="5803" w:type="dxa"/>
          </w:tcPr>
          <w:p>
            <w:pPr>
              <w:pStyle w:val="TableParagraph"/>
              <w:spacing w:before="6"/>
              <w:ind w:left="190"/>
              <w:rPr>
                <w:sz w:val="20"/>
              </w:rPr>
            </w:pPr>
            <w:r>
              <w:rPr>
                <w:color w:val="231F20"/>
                <w:sz w:val="20"/>
              </w:rPr>
              <w:t>Other</w:t>
            </w:r>
            <w:r>
              <w:rPr>
                <w:color w:val="231F20"/>
                <w:spacing w:val="-6"/>
                <w:sz w:val="20"/>
              </w:rPr>
              <w:t> </w:t>
            </w:r>
            <w:r>
              <w:rPr>
                <w:color w:val="231F20"/>
                <w:sz w:val="20"/>
              </w:rPr>
              <w:t>non-current</w:t>
            </w:r>
            <w:r>
              <w:rPr>
                <w:color w:val="231F20"/>
                <w:spacing w:val="-5"/>
                <w:sz w:val="20"/>
              </w:rPr>
              <w:t> </w:t>
            </w:r>
            <w:r>
              <w:rPr>
                <w:color w:val="231F20"/>
                <w:spacing w:val="-2"/>
                <w:sz w:val="20"/>
              </w:rPr>
              <w:t>assets</w:t>
            </w:r>
          </w:p>
        </w:tc>
        <w:tc>
          <w:tcPr>
            <w:tcW w:w="1606" w:type="dxa"/>
          </w:tcPr>
          <w:p>
            <w:pPr>
              <w:pStyle w:val="TableParagraph"/>
              <w:tabs>
                <w:tab w:pos="769" w:val="left" w:leader="none"/>
              </w:tabs>
              <w:spacing w:before="6"/>
              <w:ind w:left="-2"/>
              <w:rPr>
                <w:sz w:val="20"/>
              </w:rPr>
            </w:pPr>
            <w:r>
              <w:rPr>
                <w:color w:val="231F20"/>
                <w:sz w:val="20"/>
                <w:u w:val="single" w:color="231F20"/>
              </w:rPr>
              <w:tab/>
            </w:r>
            <w:r>
              <w:rPr>
                <w:color w:val="231F20"/>
                <w:spacing w:val="-2"/>
                <w:sz w:val="20"/>
                <w:u w:val="single" w:color="231F20"/>
              </w:rPr>
              <w:t>889,201</w:t>
            </w:r>
            <w:r>
              <w:rPr>
                <w:color w:val="231F20"/>
                <w:spacing w:val="80"/>
                <w:sz w:val="20"/>
                <w:u w:val="single" w:color="231F20"/>
              </w:rPr>
              <w:t> </w:t>
            </w:r>
          </w:p>
        </w:tc>
        <w:tc>
          <w:tcPr>
            <w:tcW w:w="320" w:type="dxa"/>
          </w:tcPr>
          <w:p>
            <w:pPr>
              <w:pStyle w:val="TableParagraph"/>
              <w:rPr>
                <w:rFonts w:ascii="Times New Roman"/>
                <w:sz w:val="20"/>
              </w:rPr>
            </w:pPr>
          </w:p>
        </w:tc>
        <w:tc>
          <w:tcPr>
            <w:tcW w:w="1608" w:type="dxa"/>
          </w:tcPr>
          <w:p>
            <w:pPr>
              <w:pStyle w:val="TableParagraph"/>
              <w:tabs>
                <w:tab w:pos="1431" w:val="left" w:leader="none"/>
              </w:tabs>
              <w:spacing w:before="6"/>
              <w:ind w:left="-2"/>
              <w:rPr>
                <w:sz w:val="20"/>
              </w:rPr>
            </w:pPr>
            <w:r>
              <w:rPr>
                <w:color w:val="231F20"/>
                <w:sz w:val="20"/>
                <w:u w:val="single" w:color="231F20"/>
              </w:rPr>
              <w:tab/>
            </w:r>
            <w:r>
              <w:rPr>
                <w:color w:val="231F20"/>
                <w:spacing w:val="-10"/>
                <w:sz w:val="20"/>
                <w:u w:val="single" w:color="231F20"/>
              </w:rPr>
              <w:t>-</w:t>
            </w:r>
            <w:r>
              <w:rPr>
                <w:color w:val="231F20"/>
                <w:spacing w:val="80"/>
                <w:sz w:val="20"/>
                <w:u w:val="single" w:color="231F20"/>
              </w:rPr>
              <w:t> </w:t>
            </w:r>
          </w:p>
        </w:tc>
      </w:tr>
      <w:tr>
        <w:trPr>
          <w:trHeight w:val="481" w:hRule="atLeast"/>
        </w:trPr>
        <w:tc>
          <w:tcPr>
            <w:tcW w:w="5803" w:type="dxa"/>
          </w:tcPr>
          <w:p>
            <w:pPr>
              <w:pStyle w:val="TableParagraph"/>
              <w:spacing w:before="115"/>
              <w:ind w:left="612"/>
              <w:rPr>
                <w:sz w:val="20"/>
              </w:rPr>
            </w:pPr>
            <w:r>
              <w:rPr>
                <w:color w:val="231F20"/>
                <w:sz w:val="20"/>
              </w:rPr>
              <w:t>Total</w:t>
            </w:r>
            <w:r>
              <w:rPr>
                <w:color w:val="231F20"/>
                <w:spacing w:val="-6"/>
                <w:sz w:val="20"/>
              </w:rPr>
              <w:t> </w:t>
            </w:r>
            <w:r>
              <w:rPr>
                <w:color w:val="231F20"/>
                <w:sz w:val="20"/>
              </w:rPr>
              <w:t>noncurrent</w:t>
            </w:r>
            <w:r>
              <w:rPr>
                <w:color w:val="231F20"/>
                <w:spacing w:val="-5"/>
                <w:sz w:val="20"/>
              </w:rPr>
              <w:t> </w:t>
            </w:r>
            <w:r>
              <w:rPr>
                <w:color w:val="231F20"/>
                <w:spacing w:val="-2"/>
                <w:sz w:val="20"/>
              </w:rPr>
              <w:t>assets</w:t>
            </w:r>
          </w:p>
        </w:tc>
        <w:tc>
          <w:tcPr>
            <w:tcW w:w="1606" w:type="dxa"/>
          </w:tcPr>
          <w:p>
            <w:pPr>
              <w:pStyle w:val="TableParagraph"/>
              <w:tabs>
                <w:tab w:pos="378" w:val="left" w:leader="none"/>
              </w:tabs>
              <w:spacing w:before="115"/>
              <w:ind w:left="-2"/>
              <w:rPr>
                <w:sz w:val="20"/>
              </w:rPr>
            </w:pPr>
            <w:r>
              <w:rPr>
                <w:color w:val="231F20"/>
                <w:sz w:val="20"/>
                <w:u w:val="single" w:color="231F20"/>
              </w:rPr>
              <w:tab/>
            </w:r>
            <w:r>
              <w:rPr>
                <w:color w:val="231F20"/>
                <w:spacing w:val="-2"/>
                <w:sz w:val="20"/>
                <w:u w:val="single" w:color="231F20"/>
              </w:rPr>
              <w:t>238,845,324</w:t>
            </w:r>
            <w:r>
              <w:rPr>
                <w:color w:val="231F20"/>
                <w:spacing w:val="80"/>
                <w:sz w:val="20"/>
                <w:u w:val="single" w:color="231F20"/>
              </w:rPr>
              <w:t> </w:t>
            </w:r>
          </w:p>
        </w:tc>
        <w:tc>
          <w:tcPr>
            <w:tcW w:w="320" w:type="dxa"/>
          </w:tcPr>
          <w:p>
            <w:pPr>
              <w:pStyle w:val="TableParagraph"/>
              <w:rPr>
                <w:rFonts w:ascii="Times New Roman"/>
                <w:sz w:val="20"/>
              </w:rPr>
            </w:pPr>
          </w:p>
        </w:tc>
        <w:tc>
          <w:tcPr>
            <w:tcW w:w="1608" w:type="dxa"/>
          </w:tcPr>
          <w:p>
            <w:pPr>
              <w:pStyle w:val="TableParagraph"/>
              <w:tabs>
                <w:tab w:pos="493" w:val="left" w:leader="none"/>
              </w:tabs>
              <w:spacing w:before="115"/>
              <w:ind w:left="-2"/>
              <w:rPr>
                <w:sz w:val="20"/>
              </w:rPr>
            </w:pPr>
            <w:r>
              <w:rPr>
                <w:color w:val="231F20"/>
                <w:sz w:val="20"/>
                <w:u w:val="single" w:color="231F20"/>
              </w:rPr>
              <w:tab/>
            </w:r>
            <w:r>
              <w:rPr>
                <w:color w:val="231F20"/>
                <w:spacing w:val="-2"/>
                <w:sz w:val="20"/>
                <w:u w:val="single" w:color="231F20"/>
              </w:rPr>
              <w:t>12,249,065</w:t>
            </w:r>
            <w:r>
              <w:rPr>
                <w:color w:val="231F20"/>
                <w:spacing w:val="80"/>
                <w:sz w:val="20"/>
                <w:u w:val="single" w:color="231F20"/>
              </w:rPr>
              <w:t> </w:t>
            </w:r>
          </w:p>
        </w:tc>
      </w:tr>
      <w:tr>
        <w:trPr>
          <w:trHeight w:val="405" w:hRule="atLeast"/>
        </w:trPr>
        <w:tc>
          <w:tcPr>
            <w:tcW w:w="5803" w:type="dxa"/>
          </w:tcPr>
          <w:p>
            <w:pPr>
              <w:pStyle w:val="TableParagraph"/>
              <w:spacing w:before="129"/>
              <w:ind w:left="50"/>
              <w:rPr>
                <w:sz w:val="20"/>
              </w:rPr>
            </w:pPr>
            <w:r>
              <w:rPr>
                <w:color w:val="231F20"/>
                <w:sz w:val="20"/>
              </w:rPr>
              <w:t>TOTAL</w:t>
            </w:r>
            <w:r>
              <w:rPr>
                <w:color w:val="231F20"/>
                <w:spacing w:val="-2"/>
                <w:sz w:val="20"/>
              </w:rPr>
              <w:t> ASSETS</w:t>
            </w:r>
          </w:p>
        </w:tc>
        <w:tc>
          <w:tcPr>
            <w:tcW w:w="1606" w:type="dxa"/>
            <w:tcBorders>
              <w:bottom w:val="single" w:sz="8" w:space="0" w:color="231F20"/>
            </w:tcBorders>
          </w:tcPr>
          <w:p>
            <w:pPr>
              <w:pStyle w:val="TableParagraph"/>
              <w:spacing w:before="145"/>
              <w:ind w:left="-1"/>
              <w:rPr>
                <w:sz w:val="20"/>
              </w:rPr>
            </w:pPr>
            <w:r>
              <w:rPr>
                <w:color w:val="231F20"/>
                <w:spacing w:val="49"/>
                <w:sz w:val="20"/>
                <w:u w:val="single" w:color="231F20"/>
              </w:rPr>
              <w:t> </w:t>
            </w:r>
            <w:r>
              <w:rPr>
                <w:color w:val="231F20"/>
                <w:sz w:val="20"/>
                <w:u w:val="single" w:color="231F20"/>
              </w:rPr>
              <w:t>$</w:t>
            </w:r>
            <w:r>
              <w:rPr>
                <w:color w:val="231F20"/>
                <w:spacing w:val="79"/>
                <w:w w:val="150"/>
                <w:sz w:val="20"/>
                <w:u w:val="single" w:color="231F20"/>
              </w:rPr>
              <w:t> </w:t>
            </w:r>
            <w:r>
              <w:rPr>
                <w:color w:val="231F20"/>
                <w:spacing w:val="-2"/>
                <w:sz w:val="20"/>
                <w:u w:val="single" w:color="231F20"/>
              </w:rPr>
              <w:t>323,688,603</w:t>
            </w:r>
            <w:r>
              <w:rPr>
                <w:color w:val="231F20"/>
                <w:spacing w:val="80"/>
                <w:sz w:val="20"/>
                <w:u w:val="single" w:color="231F20"/>
              </w:rPr>
              <w:t> </w:t>
            </w:r>
          </w:p>
        </w:tc>
        <w:tc>
          <w:tcPr>
            <w:tcW w:w="320" w:type="dxa"/>
          </w:tcPr>
          <w:p>
            <w:pPr>
              <w:pStyle w:val="TableParagraph"/>
              <w:rPr>
                <w:rFonts w:ascii="Times New Roman"/>
                <w:sz w:val="20"/>
              </w:rPr>
            </w:pPr>
          </w:p>
        </w:tc>
        <w:tc>
          <w:tcPr>
            <w:tcW w:w="1608" w:type="dxa"/>
            <w:tcBorders>
              <w:bottom w:val="single" w:sz="8" w:space="0" w:color="231F20"/>
            </w:tcBorders>
          </w:tcPr>
          <w:p>
            <w:pPr>
              <w:pStyle w:val="TableParagraph"/>
              <w:tabs>
                <w:tab w:pos="492" w:val="left" w:leader="none"/>
              </w:tabs>
              <w:spacing w:before="145"/>
              <w:ind w:left="-1"/>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38,498,574</w:t>
            </w:r>
            <w:r>
              <w:rPr>
                <w:color w:val="231F20"/>
                <w:spacing w:val="80"/>
                <w:sz w:val="20"/>
                <w:u w:val="single" w:color="231F20"/>
              </w:rPr>
              <w:t> </w:t>
            </w:r>
          </w:p>
        </w:tc>
      </w:tr>
      <w:tr>
        <w:trPr>
          <w:trHeight w:val="736" w:hRule="atLeast"/>
        </w:trPr>
        <w:tc>
          <w:tcPr>
            <w:tcW w:w="5803" w:type="dxa"/>
          </w:tcPr>
          <w:p>
            <w:pPr>
              <w:pStyle w:val="TableParagraph"/>
              <w:spacing w:before="2"/>
              <w:rPr>
                <w:sz w:val="21"/>
              </w:rPr>
            </w:pPr>
          </w:p>
          <w:p>
            <w:pPr>
              <w:pStyle w:val="TableParagraph"/>
              <w:ind w:left="50"/>
              <w:rPr>
                <w:sz w:val="20"/>
              </w:rPr>
            </w:pPr>
            <w:r>
              <w:rPr>
                <w:color w:val="231F20"/>
                <w:sz w:val="20"/>
              </w:rPr>
              <w:t>DEFERRED</w:t>
            </w:r>
            <w:r>
              <w:rPr>
                <w:color w:val="231F20"/>
                <w:spacing w:val="-3"/>
                <w:sz w:val="20"/>
              </w:rPr>
              <w:t> </w:t>
            </w:r>
            <w:r>
              <w:rPr>
                <w:color w:val="231F20"/>
                <w:sz w:val="20"/>
              </w:rPr>
              <w:t>OUTFLOWS</w:t>
            </w:r>
            <w:r>
              <w:rPr>
                <w:color w:val="231F20"/>
                <w:spacing w:val="-4"/>
                <w:sz w:val="20"/>
              </w:rPr>
              <w:t> </w:t>
            </w:r>
            <w:r>
              <w:rPr>
                <w:color w:val="231F20"/>
                <w:sz w:val="20"/>
              </w:rPr>
              <w:t>OF</w:t>
            </w:r>
            <w:r>
              <w:rPr>
                <w:color w:val="231F20"/>
                <w:spacing w:val="-2"/>
                <w:sz w:val="20"/>
              </w:rPr>
              <w:t> RESOURCES</w:t>
            </w:r>
          </w:p>
          <w:p>
            <w:pPr>
              <w:pStyle w:val="TableParagraph"/>
              <w:spacing w:line="223" w:lineRule="exact" w:before="20"/>
              <w:ind w:left="190"/>
              <w:rPr>
                <w:sz w:val="20"/>
              </w:rPr>
            </w:pPr>
            <w:r>
              <w:rPr>
                <w:color w:val="231F20"/>
                <w:sz w:val="20"/>
              </w:rPr>
              <w:t>Related</w:t>
            </w:r>
            <w:r>
              <w:rPr>
                <w:color w:val="231F20"/>
                <w:spacing w:val="-3"/>
                <w:sz w:val="20"/>
              </w:rPr>
              <w:t> </w:t>
            </w:r>
            <w:r>
              <w:rPr>
                <w:color w:val="231F20"/>
                <w:sz w:val="20"/>
              </w:rPr>
              <w:t>to</w:t>
            </w:r>
            <w:r>
              <w:rPr>
                <w:color w:val="231F20"/>
                <w:spacing w:val="-2"/>
                <w:sz w:val="20"/>
              </w:rPr>
              <w:t> pensions</w:t>
            </w:r>
          </w:p>
        </w:tc>
        <w:tc>
          <w:tcPr>
            <w:tcW w:w="1606" w:type="dxa"/>
            <w:tcBorders>
              <w:top w:val="single" w:sz="8" w:space="0" w:color="231F20"/>
            </w:tcBorders>
          </w:tcPr>
          <w:p>
            <w:pPr>
              <w:pStyle w:val="TableParagraph"/>
              <w:rPr>
                <w:sz w:val="22"/>
              </w:rPr>
            </w:pPr>
          </w:p>
          <w:p>
            <w:pPr>
              <w:pStyle w:val="TableParagraph"/>
              <w:spacing w:before="10"/>
              <w:rPr>
                <w:sz w:val="20"/>
              </w:rPr>
            </w:pPr>
          </w:p>
          <w:p>
            <w:pPr>
              <w:pStyle w:val="TableParagraph"/>
              <w:tabs>
                <w:tab w:pos="491" w:val="left" w:leader="none"/>
              </w:tabs>
              <w:spacing w:line="223" w:lineRule="exact"/>
              <w:ind w:left="105"/>
              <w:rPr>
                <w:sz w:val="20"/>
              </w:rPr>
            </w:pPr>
            <w:r>
              <w:rPr>
                <w:color w:val="231F20"/>
                <w:spacing w:val="-10"/>
                <w:sz w:val="20"/>
              </w:rPr>
              <w:t>$</w:t>
            </w:r>
            <w:r>
              <w:rPr>
                <w:color w:val="231F20"/>
                <w:sz w:val="20"/>
              </w:rPr>
              <w:tab/>
            </w:r>
            <w:r>
              <w:rPr>
                <w:color w:val="231F20"/>
                <w:spacing w:val="-2"/>
                <w:sz w:val="20"/>
              </w:rPr>
              <w:t>74,426,240</w:t>
            </w:r>
          </w:p>
        </w:tc>
        <w:tc>
          <w:tcPr>
            <w:tcW w:w="320" w:type="dxa"/>
          </w:tcPr>
          <w:p>
            <w:pPr>
              <w:pStyle w:val="TableParagraph"/>
              <w:rPr>
                <w:rFonts w:ascii="Times New Roman"/>
                <w:sz w:val="20"/>
              </w:rPr>
            </w:pPr>
          </w:p>
        </w:tc>
        <w:tc>
          <w:tcPr>
            <w:tcW w:w="1608" w:type="dxa"/>
            <w:tcBorders>
              <w:top w:val="single" w:sz="8" w:space="0" w:color="231F20"/>
            </w:tcBorders>
          </w:tcPr>
          <w:p>
            <w:pPr>
              <w:pStyle w:val="TableParagraph"/>
              <w:rPr>
                <w:sz w:val="22"/>
              </w:rPr>
            </w:pPr>
          </w:p>
          <w:p>
            <w:pPr>
              <w:pStyle w:val="TableParagraph"/>
              <w:spacing w:before="10"/>
              <w:rPr>
                <w:sz w:val="20"/>
              </w:rPr>
            </w:pPr>
          </w:p>
          <w:p>
            <w:pPr>
              <w:pStyle w:val="TableParagraph"/>
              <w:tabs>
                <w:tab w:pos="1430" w:val="left" w:leader="none"/>
              </w:tabs>
              <w:spacing w:line="223" w:lineRule="exact"/>
              <w:ind w:left="105"/>
              <w:rPr>
                <w:sz w:val="20"/>
              </w:rPr>
            </w:pPr>
            <w:r>
              <w:rPr>
                <w:color w:val="231F20"/>
                <w:spacing w:val="-10"/>
                <w:sz w:val="20"/>
              </w:rPr>
              <w:t>$</w:t>
            </w:r>
            <w:r>
              <w:rPr>
                <w:color w:val="231F20"/>
                <w:sz w:val="20"/>
              </w:rPr>
              <w:tab/>
            </w:r>
            <w:r>
              <w:rPr>
                <w:color w:val="231F20"/>
                <w:spacing w:val="-10"/>
                <w:sz w:val="20"/>
              </w:rPr>
              <w:t>-</w:t>
            </w:r>
          </w:p>
        </w:tc>
      </w:tr>
      <w:tr>
        <w:trPr>
          <w:trHeight w:val="370" w:hRule="atLeast"/>
        </w:trPr>
        <w:tc>
          <w:tcPr>
            <w:tcW w:w="5803" w:type="dxa"/>
          </w:tcPr>
          <w:p>
            <w:pPr>
              <w:pStyle w:val="TableParagraph"/>
              <w:spacing w:before="6"/>
              <w:ind w:left="190"/>
              <w:rPr>
                <w:sz w:val="20"/>
              </w:rPr>
            </w:pPr>
            <w:r>
              <w:rPr>
                <w:color w:val="231F20"/>
                <w:sz w:val="20"/>
              </w:rPr>
              <w:t>Related</w:t>
            </w:r>
            <w:r>
              <w:rPr>
                <w:color w:val="231F20"/>
                <w:spacing w:val="-4"/>
                <w:sz w:val="20"/>
              </w:rPr>
              <w:t> </w:t>
            </w:r>
            <w:r>
              <w:rPr>
                <w:color w:val="231F20"/>
                <w:sz w:val="20"/>
              </w:rPr>
              <w:t>to</w:t>
            </w:r>
            <w:r>
              <w:rPr>
                <w:color w:val="231F20"/>
                <w:spacing w:val="-4"/>
                <w:sz w:val="20"/>
              </w:rPr>
              <w:t> </w:t>
            </w:r>
            <w:r>
              <w:rPr>
                <w:color w:val="231F20"/>
                <w:sz w:val="20"/>
              </w:rPr>
              <w:t>other</w:t>
            </w:r>
            <w:r>
              <w:rPr>
                <w:color w:val="231F20"/>
                <w:spacing w:val="-4"/>
                <w:sz w:val="20"/>
              </w:rPr>
              <w:t> </w:t>
            </w:r>
            <w:r>
              <w:rPr>
                <w:color w:val="231F20"/>
                <w:sz w:val="20"/>
              </w:rPr>
              <w:t>post</w:t>
            </w:r>
            <w:r>
              <w:rPr>
                <w:color w:val="231F20"/>
                <w:spacing w:val="-4"/>
                <w:sz w:val="20"/>
              </w:rPr>
              <w:t> </w:t>
            </w:r>
            <w:r>
              <w:rPr>
                <w:color w:val="231F20"/>
                <w:sz w:val="20"/>
              </w:rPr>
              <w:t>employment</w:t>
            </w:r>
            <w:r>
              <w:rPr>
                <w:color w:val="231F20"/>
                <w:spacing w:val="-3"/>
                <w:sz w:val="20"/>
              </w:rPr>
              <w:t> </w:t>
            </w:r>
            <w:r>
              <w:rPr>
                <w:color w:val="231F20"/>
                <w:spacing w:val="-2"/>
                <w:sz w:val="20"/>
              </w:rPr>
              <w:t>benefits</w:t>
            </w:r>
          </w:p>
        </w:tc>
        <w:tc>
          <w:tcPr>
            <w:tcW w:w="1606" w:type="dxa"/>
          </w:tcPr>
          <w:p>
            <w:pPr>
              <w:pStyle w:val="TableParagraph"/>
              <w:tabs>
                <w:tab w:pos="489" w:val="left" w:leader="none"/>
              </w:tabs>
              <w:spacing w:before="6"/>
              <w:ind w:left="-2"/>
              <w:rPr>
                <w:sz w:val="20"/>
              </w:rPr>
            </w:pPr>
            <w:r>
              <w:rPr>
                <w:color w:val="231F20"/>
                <w:sz w:val="20"/>
                <w:u w:val="thick" w:color="231F20"/>
              </w:rPr>
              <w:tab/>
            </w:r>
            <w:r>
              <w:rPr>
                <w:color w:val="231F20"/>
                <w:spacing w:val="-2"/>
                <w:sz w:val="20"/>
                <w:u w:val="thick" w:color="231F20"/>
              </w:rPr>
              <w:t>25,084,005</w:t>
            </w:r>
            <w:r>
              <w:rPr>
                <w:color w:val="231F20"/>
                <w:spacing w:val="80"/>
                <w:sz w:val="20"/>
                <w:u w:val="thick" w:color="231F20"/>
              </w:rPr>
              <w:t> </w:t>
            </w:r>
          </w:p>
        </w:tc>
        <w:tc>
          <w:tcPr>
            <w:tcW w:w="320" w:type="dxa"/>
          </w:tcPr>
          <w:p>
            <w:pPr>
              <w:pStyle w:val="TableParagraph"/>
              <w:rPr>
                <w:rFonts w:ascii="Times New Roman"/>
                <w:sz w:val="20"/>
              </w:rPr>
            </w:pPr>
          </w:p>
        </w:tc>
        <w:tc>
          <w:tcPr>
            <w:tcW w:w="1608" w:type="dxa"/>
          </w:tcPr>
          <w:p>
            <w:pPr>
              <w:pStyle w:val="TableParagraph"/>
              <w:tabs>
                <w:tab w:pos="1430" w:val="left" w:leader="none"/>
              </w:tabs>
              <w:spacing w:before="6"/>
              <w:ind w:left="-2"/>
              <w:rPr>
                <w:sz w:val="20"/>
              </w:rPr>
            </w:pPr>
            <w:r>
              <w:rPr>
                <w:color w:val="231F20"/>
                <w:sz w:val="20"/>
                <w:u w:val="thick" w:color="231F20"/>
              </w:rPr>
              <w:tab/>
            </w:r>
            <w:r>
              <w:rPr>
                <w:color w:val="231F20"/>
                <w:spacing w:val="-10"/>
                <w:sz w:val="20"/>
                <w:u w:val="thick" w:color="231F20"/>
              </w:rPr>
              <w:t>-</w:t>
            </w:r>
            <w:r>
              <w:rPr>
                <w:color w:val="231F20"/>
                <w:spacing w:val="80"/>
                <w:sz w:val="20"/>
                <w:u w:val="thick" w:color="231F20"/>
              </w:rPr>
              <w:t> </w:t>
            </w:r>
          </w:p>
        </w:tc>
      </w:tr>
      <w:tr>
        <w:trPr>
          <w:trHeight w:val="402" w:hRule="atLeast"/>
        </w:trPr>
        <w:tc>
          <w:tcPr>
            <w:tcW w:w="5803" w:type="dxa"/>
          </w:tcPr>
          <w:p>
            <w:pPr>
              <w:pStyle w:val="TableParagraph"/>
              <w:spacing w:before="127"/>
              <w:ind w:left="50"/>
              <w:rPr>
                <w:sz w:val="20"/>
              </w:rPr>
            </w:pPr>
            <w:r>
              <w:rPr>
                <w:color w:val="231F20"/>
                <w:sz w:val="20"/>
              </w:rPr>
              <w:t>TOTAL</w:t>
            </w:r>
            <w:r>
              <w:rPr>
                <w:color w:val="231F20"/>
                <w:spacing w:val="-7"/>
                <w:sz w:val="20"/>
              </w:rPr>
              <w:t> </w:t>
            </w:r>
            <w:r>
              <w:rPr>
                <w:color w:val="231F20"/>
                <w:sz w:val="20"/>
              </w:rPr>
              <w:t>DEFERRED</w:t>
            </w:r>
            <w:r>
              <w:rPr>
                <w:color w:val="231F20"/>
                <w:spacing w:val="-4"/>
                <w:sz w:val="20"/>
              </w:rPr>
              <w:t> </w:t>
            </w:r>
            <w:r>
              <w:rPr>
                <w:color w:val="231F20"/>
                <w:sz w:val="20"/>
              </w:rPr>
              <w:t>OUTFLOWS</w:t>
            </w:r>
            <w:r>
              <w:rPr>
                <w:color w:val="231F20"/>
                <w:spacing w:val="-5"/>
                <w:sz w:val="20"/>
              </w:rPr>
              <w:t> </w:t>
            </w:r>
            <w:r>
              <w:rPr>
                <w:color w:val="231F20"/>
                <w:sz w:val="20"/>
              </w:rPr>
              <w:t>OF</w:t>
            </w:r>
            <w:r>
              <w:rPr>
                <w:color w:val="231F20"/>
                <w:spacing w:val="-5"/>
                <w:sz w:val="20"/>
              </w:rPr>
              <w:t> </w:t>
            </w:r>
            <w:r>
              <w:rPr>
                <w:color w:val="231F20"/>
                <w:spacing w:val="-2"/>
                <w:sz w:val="20"/>
              </w:rPr>
              <w:t>RESOURCES</w:t>
            </w:r>
          </w:p>
        </w:tc>
        <w:tc>
          <w:tcPr>
            <w:tcW w:w="1606" w:type="dxa"/>
            <w:tcBorders>
              <w:bottom w:val="single" w:sz="8" w:space="0" w:color="231F20"/>
            </w:tcBorders>
          </w:tcPr>
          <w:p>
            <w:pPr>
              <w:pStyle w:val="TableParagraph"/>
              <w:tabs>
                <w:tab w:pos="493" w:val="left" w:leader="none"/>
              </w:tabs>
              <w:spacing w:before="143"/>
              <w:ind w:left="-1"/>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99,510,245</w:t>
            </w:r>
            <w:r>
              <w:rPr>
                <w:color w:val="231F20"/>
                <w:spacing w:val="80"/>
                <w:sz w:val="20"/>
                <w:u w:val="single" w:color="231F20"/>
              </w:rPr>
              <w:t> </w:t>
            </w:r>
          </w:p>
        </w:tc>
        <w:tc>
          <w:tcPr>
            <w:tcW w:w="320" w:type="dxa"/>
          </w:tcPr>
          <w:p>
            <w:pPr>
              <w:pStyle w:val="TableParagraph"/>
              <w:rPr>
                <w:rFonts w:ascii="Times New Roman"/>
                <w:sz w:val="20"/>
              </w:rPr>
            </w:pPr>
          </w:p>
        </w:tc>
        <w:tc>
          <w:tcPr>
            <w:tcW w:w="1608" w:type="dxa"/>
            <w:tcBorders>
              <w:bottom w:val="single" w:sz="8" w:space="0" w:color="231F20"/>
            </w:tcBorders>
          </w:tcPr>
          <w:p>
            <w:pPr>
              <w:pStyle w:val="TableParagraph"/>
              <w:tabs>
                <w:tab w:pos="1430" w:val="left" w:leader="none"/>
              </w:tabs>
              <w:spacing w:before="143"/>
              <w:ind w:left="-1"/>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10"/>
                <w:sz w:val="20"/>
                <w:u w:val="single" w:color="231F20"/>
              </w:rPr>
              <w:t>-</w:t>
            </w:r>
            <w:r>
              <w:rPr>
                <w:color w:val="231F20"/>
                <w:spacing w:val="80"/>
                <w:sz w:val="20"/>
                <w:u w:val="single" w:color="231F20"/>
              </w:rPr>
              <w:t> </w:t>
            </w:r>
          </w:p>
        </w:tc>
      </w:tr>
    </w:tbl>
    <w:p>
      <w:pPr>
        <w:spacing w:after="0"/>
        <w:rPr>
          <w:sz w:val="20"/>
        </w:rPr>
        <w:sectPr>
          <w:type w:val="continuous"/>
          <w:pgSz w:w="12240" w:h="15840"/>
          <w:pgMar w:header="1270" w:footer="1097" w:top="1460" w:bottom="280" w:left="0" w:right="580"/>
        </w:sectPr>
      </w:pPr>
    </w:p>
    <w:p>
      <w:pPr>
        <w:pStyle w:val="Heading3"/>
        <w:ind w:left="5006" w:right="1289" w:hanging="2994"/>
        <w:jc w:val="left"/>
      </w:pPr>
      <w:r>
        <w:rPr/>
        <w:pict>
          <v:rect style="position:absolute;margin-left:70.5pt;margin-top:28.525633pt;width:471.001pt;height:1.5pt;mso-position-horizontal-relative:page;mso-position-vertical-relative:paragraph;z-index:-15709184;mso-wrap-distance-left:0;mso-wrap-distance-right:0" id="docshape219" filled="true" fillcolor="#231f20" stroked="false">
            <v:fill type="solid"/>
            <w10:wrap type="topAndBottom"/>
          </v:rect>
        </w:pict>
      </w:r>
      <w:r>
        <w:rPr>
          <w:color w:val="231F20"/>
        </w:rPr>
        <w:t>Consolidated</w:t>
      </w:r>
      <w:r>
        <w:rPr>
          <w:color w:val="231F20"/>
          <w:spacing w:val="-5"/>
        </w:rPr>
        <w:t> </w:t>
      </w:r>
      <w:r>
        <w:rPr>
          <w:color w:val="231F20"/>
        </w:rPr>
        <w:t>Statement</w:t>
      </w:r>
      <w:r>
        <w:rPr>
          <w:color w:val="231F20"/>
          <w:spacing w:val="-5"/>
        </w:rPr>
        <w:t> </w:t>
      </w:r>
      <w:r>
        <w:rPr>
          <w:color w:val="231F20"/>
        </w:rPr>
        <w:t>of</w:t>
      </w:r>
      <w:r>
        <w:rPr>
          <w:color w:val="231F20"/>
          <w:spacing w:val="-5"/>
        </w:rPr>
        <w:t> </w:t>
      </w:r>
      <w:r>
        <w:rPr>
          <w:color w:val="231F20"/>
        </w:rPr>
        <w:t>Net</w:t>
      </w:r>
      <w:r>
        <w:rPr>
          <w:color w:val="231F20"/>
          <w:spacing w:val="-5"/>
        </w:rPr>
        <w:t> </w:t>
      </w:r>
      <w:r>
        <w:rPr>
          <w:color w:val="231F20"/>
        </w:rPr>
        <w:t>Position</w:t>
      </w:r>
      <w:r>
        <w:rPr>
          <w:color w:val="231F20"/>
          <w:spacing w:val="-5"/>
        </w:rPr>
        <w:t> </w:t>
      </w:r>
      <w:r>
        <w:rPr>
          <w:color w:val="231F20"/>
        </w:rPr>
        <w:t>–</w:t>
      </w:r>
      <w:r>
        <w:rPr>
          <w:color w:val="231F20"/>
          <w:spacing w:val="-5"/>
        </w:rPr>
        <w:t> </w:t>
      </w:r>
      <w:r>
        <w:rPr>
          <w:color w:val="231F20"/>
        </w:rPr>
        <w:t>Proprietary</w:t>
      </w:r>
      <w:r>
        <w:rPr>
          <w:color w:val="231F20"/>
          <w:spacing w:val="-5"/>
        </w:rPr>
        <w:t> </w:t>
      </w:r>
      <w:r>
        <w:rPr>
          <w:color w:val="231F20"/>
        </w:rPr>
        <w:t>Funds</w:t>
      </w:r>
      <w:r>
        <w:rPr>
          <w:color w:val="231F20"/>
          <w:spacing w:val="-5"/>
        </w:rPr>
        <w:t> </w:t>
      </w:r>
      <w:r>
        <w:rPr>
          <w:color w:val="231F20"/>
        </w:rPr>
        <w:t>(continued) As of June 30, 2022</w:t>
      </w:r>
    </w:p>
    <w:p>
      <w:pPr>
        <w:pStyle w:val="BodyText"/>
        <w:rPr>
          <w:b/>
        </w:rPr>
      </w:pPr>
    </w:p>
    <w:p>
      <w:pPr>
        <w:pStyle w:val="BodyText"/>
        <w:spacing w:before="5"/>
        <w:rPr>
          <w:b/>
          <w:sz w:val="19"/>
        </w:rPr>
      </w:pPr>
    </w:p>
    <w:p>
      <w:pPr>
        <w:spacing w:after="0"/>
        <w:rPr>
          <w:sz w:val="19"/>
        </w:rPr>
        <w:sectPr>
          <w:pgSz w:w="12240" w:h="15840"/>
          <w:pgMar w:header="1270" w:footer="1097" w:top="1580" w:bottom="1280" w:left="0" w:right="580"/>
        </w:sectPr>
      </w:pPr>
    </w:p>
    <w:p>
      <w:pPr>
        <w:pStyle w:val="BodyText"/>
        <w:rPr>
          <w:b/>
          <w:sz w:val="22"/>
        </w:rPr>
      </w:pPr>
    </w:p>
    <w:p>
      <w:pPr>
        <w:pStyle w:val="BodyText"/>
        <w:rPr>
          <w:b/>
          <w:sz w:val="22"/>
        </w:rPr>
      </w:pPr>
    </w:p>
    <w:p>
      <w:pPr>
        <w:pStyle w:val="BodyText"/>
        <w:spacing w:before="9"/>
        <w:rPr>
          <w:b/>
          <w:sz w:val="28"/>
        </w:rPr>
      </w:pPr>
    </w:p>
    <w:p>
      <w:pPr>
        <w:pStyle w:val="BodyText"/>
        <w:ind w:left="1488"/>
      </w:pPr>
      <w:r>
        <w:rPr>
          <w:color w:val="231F20"/>
        </w:rPr>
        <w:t>CURRENT</w:t>
      </w:r>
      <w:r>
        <w:rPr>
          <w:color w:val="231F20"/>
          <w:spacing w:val="-8"/>
        </w:rPr>
        <w:t> </w:t>
      </w:r>
      <w:r>
        <w:rPr>
          <w:color w:val="231F20"/>
          <w:spacing w:val="-2"/>
        </w:rPr>
        <w:t>LIABILITIES</w:t>
      </w:r>
    </w:p>
    <w:p>
      <w:pPr>
        <w:spacing w:line="240" w:lineRule="auto" w:before="0"/>
        <w:rPr>
          <w:sz w:val="22"/>
        </w:rPr>
      </w:pPr>
      <w:r>
        <w:rPr/>
        <w:br w:type="column"/>
      </w:r>
      <w:r>
        <w:rPr>
          <w:sz w:val="22"/>
        </w:rPr>
      </w:r>
    </w:p>
    <w:p>
      <w:pPr>
        <w:pStyle w:val="BodyText"/>
        <w:spacing w:before="7"/>
        <w:rPr>
          <w:sz w:val="28"/>
        </w:rPr>
      </w:pPr>
    </w:p>
    <w:p>
      <w:pPr>
        <w:pStyle w:val="Heading4"/>
        <w:spacing w:before="1"/>
        <w:ind w:left="1488"/>
      </w:pPr>
      <w:r>
        <w:rPr>
          <w:color w:val="231F20"/>
          <w:spacing w:val="-2"/>
        </w:rPr>
        <w:t>LIABILITIES</w:t>
      </w:r>
    </w:p>
    <w:p>
      <w:pPr>
        <w:pStyle w:val="BodyText"/>
        <w:spacing w:before="93"/>
        <w:ind w:left="2463"/>
      </w:pPr>
      <w:r>
        <w:rPr/>
        <w:br w:type="column"/>
      </w:r>
      <w:r>
        <w:rPr>
          <w:color w:val="231F20"/>
        </w:rPr>
        <w:t>Component</w:t>
      </w:r>
      <w:r>
        <w:rPr>
          <w:color w:val="231F20"/>
          <w:spacing w:val="-3"/>
        </w:rPr>
        <w:t> </w:t>
      </w:r>
      <w:r>
        <w:rPr>
          <w:color w:val="231F20"/>
          <w:spacing w:val="-4"/>
        </w:rPr>
        <w:t>Unit</w:t>
      </w:r>
    </w:p>
    <w:p>
      <w:pPr>
        <w:pStyle w:val="BodyText"/>
        <w:tabs>
          <w:tab w:pos="964" w:val="left" w:leader="none"/>
          <w:tab w:pos="2106" w:val="left" w:leader="none"/>
          <w:tab w:pos="2424" w:val="left" w:leader="none"/>
          <w:tab w:pos="2735" w:val="left" w:leader="none"/>
          <w:tab w:pos="4026" w:val="left" w:leader="none"/>
        </w:tabs>
        <w:spacing w:before="18"/>
        <w:ind w:left="504"/>
      </w:pPr>
      <w:r>
        <w:rPr>
          <w:color w:val="231F20"/>
          <w:u w:val="thick" w:color="231F20"/>
        </w:rPr>
        <w:tab/>
      </w:r>
      <w:r>
        <w:rPr>
          <w:color w:val="231F20"/>
          <w:spacing w:val="-2"/>
          <w:u w:val="thick" w:color="231F20"/>
        </w:rPr>
        <w:t>Institute</w:t>
      </w:r>
      <w:r>
        <w:rPr>
          <w:color w:val="231F20"/>
          <w:u w:val="thick" w:color="231F20"/>
        </w:rPr>
        <w:tab/>
      </w:r>
      <w:r>
        <w:rPr>
          <w:color w:val="231F20"/>
        </w:rPr>
        <w:tab/>
      </w:r>
      <w:r>
        <w:rPr>
          <w:color w:val="231F20"/>
          <w:u w:val="thick" w:color="231F20"/>
        </w:rPr>
        <w:tab/>
      </w:r>
      <w:r>
        <w:rPr>
          <w:color w:val="231F20"/>
          <w:spacing w:val="-2"/>
          <w:u w:val="thick" w:color="231F20"/>
        </w:rPr>
        <w:t>Foundation</w:t>
      </w:r>
      <w:r>
        <w:rPr>
          <w:color w:val="231F20"/>
          <w:u w:val="thick" w:color="231F20"/>
        </w:rPr>
        <w:tab/>
      </w:r>
    </w:p>
    <w:p>
      <w:pPr>
        <w:spacing w:after="0"/>
        <w:sectPr>
          <w:type w:val="continuous"/>
          <w:pgSz w:w="12240" w:h="15840"/>
          <w:pgMar w:header="1270" w:footer="1097" w:top="1460" w:bottom="280" w:left="0" w:right="580"/>
          <w:cols w:num="3" w:equalWidth="0">
            <w:col w:w="3662" w:space="383"/>
            <w:col w:w="2633" w:space="40"/>
            <w:col w:w="4942"/>
          </w:cols>
        </w:sectPr>
      </w:pPr>
    </w:p>
    <w:p>
      <w:pPr>
        <w:pStyle w:val="BodyText"/>
        <w:spacing w:before="2"/>
        <w:rPr>
          <w:sz w:val="2"/>
        </w:rPr>
      </w:pPr>
    </w:p>
    <w:tbl>
      <w:tblPr>
        <w:tblW w:w="0" w:type="auto"/>
        <w:jc w:val="left"/>
        <w:tblInd w:w="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2"/>
        <w:gridCol w:w="2402"/>
        <w:gridCol w:w="1811"/>
      </w:tblGrid>
      <w:tr>
        <w:trPr>
          <w:trHeight w:val="235" w:hRule="atLeast"/>
        </w:trPr>
        <w:tc>
          <w:tcPr>
            <w:tcW w:w="5002" w:type="dxa"/>
          </w:tcPr>
          <w:p>
            <w:pPr>
              <w:pStyle w:val="TableParagraph"/>
              <w:spacing w:line="215" w:lineRule="exact"/>
              <w:ind w:left="50"/>
              <w:rPr>
                <w:sz w:val="20"/>
              </w:rPr>
            </w:pPr>
            <w:r>
              <w:rPr>
                <w:color w:val="231F20"/>
                <w:sz w:val="20"/>
              </w:rPr>
              <w:t>Accounts</w:t>
            </w:r>
            <w:r>
              <w:rPr>
                <w:color w:val="231F20"/>
                <w:spacing w:val="-2"/>
                <w:sz w:val="20"/>
              </w:rPr>
              <w:t> </w:t>
            </w:r>
            <w:r>
              <w:rPr>
                <w:color w:val="231F20"/>
                <w:sz w:val="20"/>
              </w:rPr>
              <w:t>payable</w:t>
            </w:r>
            <w:r>
              <w:rPr>
                <w:color w:val="231F20"/>
                <w:spacing w:val="-1"/>
                <w:sz w:val="20"/>
              </w:rPr>
              <w:t> </w:t>
            </w:r>
            <w:r>
              <w:rPr>
                <w:color w:val="231F20"/>
                <w:sz w:val="20"/>
              </w:rPr>
              <w:t>and</w:t>
            </w:r>
            <w:r>
              <w:rPr>
                <w:color w:val="231F20"/>
                <w:spacing w:val="-2"/>
                <w:sz w:val="20"/>
              </w:rPr>
              <w:t> </w:t>
            </w:r>
            <w:r>
              <w:rPr>
                <w:color w:val="231F20"/>
                <w:sz w:val="20"/>
              </w:rPr>
              <w:t>accrued</w:t>
            </w:r>
            <w:r>
              <w:rPr>
                <w:color w:val="231F20"/>
                <w:spacing w:val="-1"/>
                <w:sz w:val="20"/>
              </w:rPr>
              <w:t> </w:t>
            </w:r>
            <w:r>
              <w:rPr>
                <w:color w:val="231F20"/>
                <w:spacing w:val="-2"/>
                <w:sz w:val="20"/>
              </w:rPr>
              <w:t>liabilities</w:t>
            </w:r>
          </w:p>
        </w:tc>
        <w:tc>
          <w:tcPr>
            <w:tcW w:w="2402" w:type="dxa"/>
          </w:tcPr>
          <w:p>
            <w:pPr>
              <w:pStyle w:val="TableParagraph"/>
              <w:tabs>
                <w:tab w:pos="494" w:val="left" w:leader="none"/>
              </w:tabs>
              <w:spacing w:line="215" w:lineRule="exact"/>
              <w:ind w:right="265"/>
              <w:jc w:val="right"/>
              <w:rPr>
                <w:sz w:val="20"/>
              </w:rPr>
            </w:pPr>
            <w:r>
              <w:rPr>
                <w:color w:val="231F20"/>
                <w:spacing w:val="-10"/>
                <w:sz w:val="20"/>
              </w:rPr>
              <w:t>$</w:t>
            </w:r>
            <w:r>
              <w:rPr>
                <w:color w:val="231F20"/>
                <w:sz w:val="20"/>
              </w:rPr>
              <w:tab/>
            </w:r>
            <w:r>
              <w:rPr>
                <w:color w:val="231F20"/>
                <w:spacing w:val="-2"/>
                <w:sz w:val="20"/>
              </w:rPr>
              <w:t>9,435,083</w:t>
            </w:r>
          </w:p>
        </w:tc>
        <w:tc>
          <w:tcPr>
            <w:tcW w:w="1811" w:type="dxa"/>
          </w:tcPr>
          <w:p>
            <w:pPr>
              <w:pStyle w:val="TableParagraph"/>
              <w:tabs>
                <w:tab w:pos="1041" w:val="left" w:leader="none"/>
              </w:tabs>
              <w:spacing w:line="215" w:lineRule="exact"/>
              <w:ind w:left="266"/>
              <w:rPr>
                <w:sz w:val="20"/>
              </w:rPr>
            </w:pPr>
            <w:r>
              <w:rPr>
                <w:color w:val="231F20"/>
                <w:spacing w:val="-10"/>
                <w:sz w:val="20"/>
              </w:rPr>
              <w:t>$</w:t>
            </w:r>
            <w:r>
              <w:rPr>
                <w:color w:val="231F20"/>
                <w:sz w:val="20"/>
              </w:rPr>
              <w:tab/>
            </w:r>
            <w:r>
              <w:rPr>
                <w:color w:val="231F20"/>
                <w:spacing w:val="-2"/>
                <w:sz w:val="20"/>
              </w:rPr>
              <w:t>23,148</w:t>
            </w:r>
          </w:p>
        </w:tc>
      </w:tr>
      <w:tr>
        <w:trPr>
          <w:trHeight w:val="248" w:hRule="atLeast"/>
        </w:trPr>
        <w:tc>
          <w:tcPr>
            <w:tcW w:w="5002" w:type="dxa"/>
          </w:tcPr>
          <w:p>
            <w:pPr>
              <w:pStyle w:val="TableParagraph"/>
              <w:spacing w:line="223" w:lineRule="exact" w:before="5"/>
              <w:ind w:left="50"/>
              <w:rPr>
                <w:sz w:val="20"/>
              </w:rPr>
            </w:pPr>
            <w:r>
              <w:rPr>
                <w:color w:val="231F20"/>
                <w:sz w:val="20"/>
              </w:rPr>
              <w:t>Bonds</w:t>
            </w:r>
            <w:r>
              <w:rPr>
                <w:color w:val="231F20"/>
                <w:spacing w:val="-2"/>
                <w:sz w:val="20"/>
              </w:rPr>
              <w:t> </w:t>
            </w:r>
            <w:r>
              <w:rPr>
                <w:color w:val="231F20"/>
                <w:sz w:val="20"/>
              </w:rPr>
              <w:t>payable,</w:t>
            </w:r>
            <w:r>
              <w:rPr>
                <w:color w:val="231F20"/>
                <w:spacing w:val="-2"/>
                <w:sz w:val="20"/>
              </w:rPr>
              <w:t> </w:t>
            </w:r>
            <w:r>
              <w:rPr>
                <w:color w:val="231F20"/>
                <w:sz w:val="20"/>
              </w:rPr>
              <w:t>current</w:t>
            </w:r>
            <w:r>
              <w:rPr>
                <w:color w:val="231F20"/>
                <w:spacing w:val="-1"/>
                <w:sz w:val="20"/>
              </w:rPr>
              <w:t> </w:t>
            </w:r>
            <w:r>
              <w:rPr>
                <w:color w:val="231F20"/>
                <w:spacing w:val="-2"/>
                <w:sz w:val="20"/>
              </w:rPr>
              <w:t>portion</w:t>
            </w:r>
          </w:p>
        </w:tc>
        <w:tc>
          <w:tcPr>
            <w:tcW w:w="2402" w:type="dxa"/>
          </w:tcPr>
          <w:p>
            <w:pPr>
              <w:pStyle w:val="TableParagraph"/>
              <w:spacing w:line="223" w:lineRule="exact" w:before="5"/>
              <w:ind w:right="267"/>
              <w:jc w:val="right"/>
              <w:rPr>
                <w:sz w:val="20"/>
              </w:rPr>
            </w:pPr>
            <w:r>
              <w:rPr>
                <w:color w:val="231F20"/>
                <w:spacing w:val="-2"/>
                <w:sz w:val="20"/>
              </w:rPr>
              <w:t>970,000</w:t>
            </w:r>
          </w:p>
        </w:tc>
        <w:tc>
          <w:tcPr>
            <w:tcW w:w="1811" w:type="dxa"/>
          </w:tcPr>
          <w:p>
            <w:pPr>
              <w:pStyle w:val="TableParagraph"/>
              <w:spacing w:line="223" w:lineRule="exact" w:before="5"/>
              <w:ind w:right="154"/>
              <w:jc w:val="right"/>
              <w:rPr>
                <w:sz w:val="20"/>
              </w:rPr>
            </w:pPr>
            <w:r>
              <w:rPr>
                <w:color w:val="231F20"/>
                <w:w w:val="100"/>
                <w:sz w:val="20"/>
              </w:rPr>
              <w:t>-</w:t>
            </w:r>
          </w:p>
        </w:tc>
      </w:tr>
      <w:tr>
        <w:trPr>
          <w:trHeight w:val="248" w:hRule="atLeast"/>
        </w:trPr>
        <w:tc>
          <w:tcPr>
            <w:tcW w:w="5002" w:type="dxa"/>
          </w:tcPr>
          <w:p>
            <w:pPr>
              <w:pStyle w:val="TableParagraph"/>
              <w:spacing w:line="223" w:lineRule="exact" w:before="5"/>
              <w:ind w:left="50"/>
              <w:rPr>
                <w:sz w:val="20"/>
              </w:rPr>
            </w:pPr>
            <w:r>
              <w:rPr>
                <w:color w:val="231F20"/>
                <w:sz w:val="20"/>
              </w:rPr>
              <w:t>Accrued</w:t>
            </w:r>
            <w:r>
              <w:rPr>
                <w:color w:val="231F20"/>
                <w:spacing w:val="-3"/>
                <w:sz w:val="20"/>
              </w:rPr>
              <w:t> </w:t>
            </w:r>
            <w:r>
              <w:rPr>
                <w:color w:val="231F20"/>
                <w:sz w:val="20"/>
              </w:rPr>
              <w:t>compensated</w:t>
            </w:r>
            <w:r>
              <w:rPr>
                <w:color w:val="231F20"/>
                <w:spacing w:val="-1"/>
                <w:sz w:val="20"/>
              </w:rPr>
              <w:t> </w:t>
            </w:r>
            <w:r>
              <w:rPr>
                <w:color w:val="231F20"/>
                <w:sz w:val="20"/>
              </w:rPr>
              <w:t>absences,</w:t>
            </w:r>
            <w:r>
              <w:rPr>
                <w:color w:val="231F20"/>
                <w:spacing w:val="-1"/>
                <w:sz w:val="20"/>
              </w:rPr>
              <w:t> </w:t>
            </w:r>
            <w:r>
              <w:rPr>
                <w:color w:val="231F20"/>
                <w:sz w:val="20"/>
              </w:rPr>
              <w:t>current</w:t>
            </w:r>
            <w:r>
              <w:rPr>
                <w:color w:val="231F20"/>
                <w:spacing w:val="-1"/>
                <w:sz w:val="20"/>
              </w:rPr>
              <w:t> </w:t>
            </w:r>
            <w:r>
              <w:rPr>
                <w:color w:val="231F20"/>
                <w:spacing w:val="-2"/>
                <w:sz w:val="20"/>
              </w:rPr>
              <w:t>portion</w:t>
            </w:r>
          </w:p>
        </w:tc>
        <w:tc>
          <w:tcPr>
            <w:tcW w:w="2402" w:type="dxa"/>
          </w:tcPr>
          <w:p>
            <w:pPr>
              <w:pStyle w:val="TableParagraph"/>
              <w:spacing w:line="223" w:lineRule="exact" w:before="5"/>
              <w:ind w:right="266"/>
              <w:jc w:val="right"/>
              <w:rPr>
                <w:sz w:val="20"/>
              </w:rPr>
            </w:pPr>
            <w:r>
              <w:rPr>
                <w:color w:val="231F20"/>
                <w:spacing w:val="-2"/>
                <w:sz w:val="20"/>
              </w:rPr>
              <w:t>4,903,744</w:t>
            </w:r>
          </w:p>
        </w:tc>
        <w:tc>
          <w:tcPr>
            <w:tcW w:w="1811" w:type="dxa"/>
          </w:tcPr>
          <w:p>
            <w:pPr>
              <w:pStyle w:val="TableParagraph"/>
              <w:spacing w:line="223" w:lineRule="exact" w:before="5"/>
              <w:ind w:right="154"/>
              <w:jc w:val="right"/>
              <w:rPr>
                <w:sz w:val="20"/>
              </w:rPr>
            </w:pPr>
            <w:r>
              <w:rPr>
                <w:color w:val="231F20"/>
                <w:w w:val="100"/>
                <w:sz w:val="20"/>
              </w:rPr>
              <w:t>-</w:t>
            </w:r>
          </w:p>
        </w:tc>
      </w:tr>
      <w:tr>
        <w:trPr>
          <w:trHeight w:val="248" w:hRule="atLeast"/>
        </w:trPr>
        <w:tc>
          <w:tcPr>
            <w:tcW w:w="5002" w:type="dxa"/>
          </w:tcPr>
          <w:p>
            <w:pPr>
              <w:pStyle w:val="TableParagraph"/>
              <w:spacing w:line="223" w:lineRule="exact" w:before="5"/>
              <w:ind w:left="50"/>
              <w:rPr>
                <w:sz w:val="20"/>
              </w:rPr>
            </w:pPr>
            <w:r>
              <w:rPr>
                <w:color w:val="231F20"/>
                <w:sz w:val="20"/>
              </w:rPr>
              <w:t>Due</w:t>
            </w:r>
            <w:r>
              <w:rPr>
                <w:color w:val="231F20"/>
                <w:spacing w:val="-4"/>
                <w:sz w:val="20"/>
              </w:rPr>
              <w:t> </w:t>
            </w:r>
            <w:r>
              <w:rPr>
                <w:color w:val="231F20"/>
                <w:sz w:val="20"/>
              </w:rPr>
              <w:t>to</w:t>
            </w:r>
            <w:r>
              <w:rPr>
                <w:color w:val="231F20"/>
                <w:spacing w:val="-4"/>
                <w:sz w:val="20"/>
              </w:rPr>
              <w:t> </w:t>
            </w:r>
            <w:r>
              <w:rPr>
                <w:color w:val="231F20"/>
                <w:sz w:val="20"/>
              </w:rPr>
              <w:t>primary</w:t>
            </w:r>
            <w:r>
              <w:rPr>
                <w:color w:val="231F20"/>
                <w:spacing w:val="-3"/>
                <w:sz w:val="20"/>
              </w:rPr>
              <w:t> </w:t>
            </w:r>
            <w:r>
              <w:rPr>
                <w:color w:val="231F20"/>
                <w:spacing w:val="-2"/>
                <w:sz w:val="20"/>
              </w:rPr>
              <w:t>government</w:t>
            </w:r>
          </w:p>
        </w:tc>
        <w:tc>
          <w:tcPr>
            <w:tcW w:w="2402" w:type="dxa"/>
          </w:tcPr>
          <w:p>
            <w:pPr>
              <w:pStyle w:val="TableParagraph"/>
              <w:spacing w:line="223" w:lineRule="exact" w:before="5"/>
              <w:ind w:right="266"/>
              <w:jc w:val="right"/>
              <w:rPr>
                <w:sz w:val="20"/>
              </w:rPr>
            </w:pPr>
            <w:r>
              <w:rPr>
                <w:color w:val="231F20"/>
                <w:w w:val="100"/>
                <w:sz w:val="20"/>
              </w:rPr>
              <w:t>-</w:t>
            </w:r>
          </w:p>
        </w:tc>
        <w:tc>
          <w:tcPr>
            <w:tcW w:w="1811" w:type="dxa"/>
          </w:tcPr>
          <w:p>
            <w:pPr>
              <w:pStyle w:val="TableParagraph"/>
              <w:spacing w:line="223" w:lineRule="exact" w:before="5"/>
              <w:ind w:right="157"/>
              <w:jc w:val="right"/>
              <w:rPr>
                <w:sz w:val="20"/>
              </w:rPr>
            </w:pPr>
            <w:r>
              <w:rPr>
                <w:color w:val="231F20"/>
                <w:spacing w:val="-2"/>
                <w:sz w:val="20"/>
              </w:rPr>
              <w:t>1,503,264</w:t>
            </w:r>
          </w:p>
        </w:tc>
      </w:tr>
      <w:tr>
        <w:trPr>
          <w:trHeight w:val="248" w:hRule="atLeast"/>
        </w:trPr>
        <w:tc>
          <w:tcPr>
            <w:tcW w:w="5002" w:type="dxa"/>
          </w:tcPr>
          <w:p>
            <w:pPr>
              <w:pStyle w:val="TableParagraph"/>
              <w:spacing w:line="223" w:lineRule="exact" w:before="5"/>
              <w:ind w:left="50"/>
              <w:rPr>
                <w:sz w:val="20"/>
              </w:rPr>
            </w:pPr>
            <w:r>
              <w:rPr>
                <w:color w:val="231F20"/>
                <w:spacing w:val="-2"/>
                <w:sz w:val="20"/>
              </w:rPr>
              <w:t>Deposits</w:t>
            </w:r>
          </w:p>
        </w:tc>
        <w:tc>
          <w:tcPr>
            <w:tcW w:w="2402" w:type="dxa"/>
          </w:tcPr>
          <w:p>
            <w:pPr>
              <w:pStyle w:val="TableParagraph"/>
              <w:spacing w:line="223" w:lineRule="exact" w:before="5"/>
              <w:ind w:right="264"/>
              <w:jc w:val="right"/>
              <w:rPr>
                <w:sz w:val="20"/>
              </w:rPr>
            </w:pPr>
            <w:r>
              <w:rPr>
                <w:color w:val="231F20"/>
                <w:spacing w:val="-2"/>
                <w:sz w:val="20"/>
              </w:rPr>
              <w:t>250,780</w:t>
            </w:r>
          </w:p>
        </w:tc>
        <w:tc>
          <w:tcPr>
            <w:tcW w:w="1811" w:type="dxa"/>
          </w:tcPr>
          <w:p>
            <w:pPr>
              <w:pStyle w:val="TableParagraph"/>
              <w:spacing w:line="223" w:lineRule="exact" w:before="5"/>
              <w:ind w:right="154"/>
              <w:jc w:val="right"/>
              <w:rPr>
                <w:sz w:val="20"/>
              </w:rPr>
            </w:pPr>
            <w:r>
              <w:rPr>
                <w:color w:val="231F20"/>
                <w:w w:val="100"/>
                <w:sz w:val="20"/>
              </w:rPr>
              <w:t>-</w:t>
            </w:r>
          </w:p>
        </w:tc>
      </w:tr>
      <w:tr>
        <w:trPr>
          <w:trHeight w:val="235" w:hRule="atLeast"/>
        </w:trPr>
        <w:tc>
          <w:tcPr>
            <w:tcW w:w="5002" w:type="dxa"/>
          </w:tcPr>
          <w:p>
            <w:pPr>
              <w:pStyle w:val="TableParagraph"/>
              <w:spacing w:line="210" w:lineRule="exact" w:before="5"/>
              <w:ind w:left="50"/>
              <w:rPr>
                <w:sz w:val="20"/>
              </w:rPr>
            </w:pPr>
            <w:r>
              <w:rPr>
                <w:color w:val="231F20"/>
                <w:sz w:val="20"/>
              </w:rPr>
              <w:t>Unearned</w:t>
            </w:r>
            <w:r>
              <w:rPr>
                <w:color w:val="231F20"/>
                <w:spacing w:val="-3"/>
                <w:sz w:val="20"/>
              </w:rPr>
              <w:t> </w:t>
            </w:r>
            <w:r>
              <w:rPr>
                <w:color w:val="231F20"/>
                <w:spacing w:val="-2"/>
                <w:sz w:val="20"/>
              </w:rPr>
              <w:t>revenue</w:t>
            </w:r>
          </w:p>
        </w:tc>
        <w:tc>
          <w:tcPr>
            <w:tcW w:w="2402" w:type="dxa"/>
          </w:tcPr>
          <w:p>
            <w:pPr>
              <w:pStyle w:val="TableParagraph"/>
              <w:tabs>
                <w:tab w:pos="602" w:val="left" w:leader="none"/>
              </w:tabs>
              <w:spacing w:line="210" w:lineRule="exact" w:before="5"/>
              <w:ind w:right="156"/>
              <w:jc w:val="right"/>
              <w:rPr>
                <w:sz w:val="20"/>
              </w:rPr>
            </w:pPr>
            <w:r>
              <w:rPr>
                <w:color w:val="231F20"/>
                <w:sz w:val="20"/>
                <w:u w:val="single" w:color="231F20"/>
              </w:rPr>
              <w:tab/>
            </w:r>
            <w:r>
              <w:rPr>
                <w:color w:val="231F20"/>
                <w:spacing w:val="-2"/>
                <w:sz w:val="20"/>
                <w:u w:val="single" w:color="231F20"/>
              </w:rPr>
              <w:t>3,070,724</w:t>
            </w:r>
            <w:r>
              <w:rPr>
                <w:color w:val="231F20"/>
                <w:spacing w:val="80"/>
                <w:sz w:val="20"/>
                <w:u w:val="single" w:color="231F20"/>
              </w:rPr>
              <w:t> </w:t>
            </w:r>
          </w:p>
        </w:tc>
        <w:tc>
          <w:tcPr>
            <w:tcW w:w="1811" w:type="dxa"/>
          </w:tcPr>
          <w:p>
            <w:pPr>
              <w:pStyle w:val="TableParagraph"/>
              <w:tabs>
                <w:tab w:pos="1428" w:val="left" w:leader="none"/>
              </w:tabs>
              <w:spacing w:line="210" w:lineRule="exact" w:before="5"/>
              <w:ind w:right="47"/>
              <w:jc w:val="right"/>
              <w:rPr>
                <w:sz w:val="20"/>
              </w:rPr>
            </w:pPr>
            <w:r>
              <w:rPr>
                <w:color w:val="231F20"/>
                <w:sz w:val="20"/>
                <w:u w:val="single" w:color="231F20"/>
              </w:rPr>
              <w:tab/>
            </w:r>
            <w:r>
              <w:rPr>
                <w:color w:val="231F20"/>
                <w:spacing w:val="-10"/>
                <w:sz w:val="20"/>
                <w:u w:val="single" w:color="231F20"/>
              </w:rPr>
              <w:t>-</w:t>
            </w:r>
            <w:r>
              <w:rPr>
                <w:color w:val="231F20"/>
                <w:spacing w:val="80"/>
                <w:sz w:val="20"/>
                <w:u w:val="single" w:color="231F20"/>
              </w:rPr>
              <w:t> </w:t>
            </w:r>
          </w:p>
        </w:tc>
      </w:tr>
    </w:tbl>
    <w:p>
      <w:pPr>
        <w:pStyle w:val="BodyText"/>
        <w:spacing w:before="5"/>
        <w:rPr>
          <w:sz w:val="12"/>
        </w:rPr>
      </w:pPr>
    </w:p>
    <w:p>
      <w:pPr>
        <w:pStyle w:val="BodyText"/>
        <w:tabs>
          <w:tab w:pos="7221" w:val="left" w:leader="none"/>
          <w:tab w:pos="7713" w:val="left" w:leader="none"/>
          <w:tab w:pos="9141" w:val="left" w:leader="none"/>
          <w:tab w:pos="9745" w:val="left" w:leader="none"/>
        </w:tabs>
        <w:spacing w:line="523" w:lineRule="auto" w:before="93"/>
        <w:ind w:left="1488" w:right="919" w:firstLine="561"/>
      </w:pPr>
      <w:r>
        <w:rPr/>
        <w:pict>
          <v:shape style="position:absolute;margin-left:71.889801pt;margin-top:42.504833pt;width:467.8pt;height:406.6pt;mso-position-horizontal-relative:page;mso-position-vertical-relative:paragraph;z-index:15749632" type="#_x0000_t202" id="docshape22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85"/>
                    <w:gridCol w:w="1601"/>
                    <w:gridCol w:w="318"/>
                    <w:gridCol w:w="1652"/>
                  </w:tblGrid>
                  <w:tr>
                    <w:trPr>
                      <w:trHeight w:val="235" w:hRule="atLeast"/>
                    </w:trPr>
                    <w:tc>
                      <w:tcPr>
                        <w:tcW w:w="5785" w:type="dxa"/>
                      </w:tcPr>
                      <w:p>
                        <w:pPr>
                          <w:pStyle w:val="TableParagraph"/>
                          <w:spacing w:line="216" w:lineRule="exact"/>
                          <w:ind w:left="190"/>
                          <w:rPr>
                            <w:sz w:val="20"/>
                          </w:rPr>
                        </w:pPr>
                        <w:r>
                          <w:rPr>
                            <w:color w:val="231F20"/>
                            <w:sz w:val="20"/>
                          </w:rPr>
                          <w:t>Accrued</w:t>
                        </w:r>
                        <w:r>
                          <w:rPr>
                            <w:color w:val="231F20"/>
                            <w:spacing w:val="-3"/>
                            <w:sz w:val="20"/>
                          </w:rPr>
                          <w:t> </w:t>
                        </w:r>
                        <w:r>
                          <w:rPr>
                            <w:color w:val="231F20"/>
                            <w:sz w:val="20"/>
                          </w:rPr>
                          <w:t>compensated</w:t>
                        </w:r>
                        <w:r>
                          <w:rPr>
                            <w:color w:val="231F20"/>
                            <w:spacing w:val="-1"/>
                            <w:sz w:val="20"/>
                          </w:rPr>
                          <w:t> </w:t>
                        </w:r>
                        <w:r>
                          <w:rPr>
                            <w:color w:val="231F20"/>
                            <w:sz w:val="20"/>
                          </w:rPr>
                          <w:t>absences,</w:t>
                        </w:r>
                        <w:r>
                          <w:rPr>
                            <w:color w:val="231F20"/>
                            <w:spacing w:val="-1"/>
                            <w:sz w:val="20"/>
                          </w:rPr>
                          <w:t> </w:t>
                        </w:r>
                        <w:r>
                          <w:rPr>
                            <w:color w:val="231F20"/>
                            <w:sz w:val="20"/>
                          </w:rPr>
                          <w:t>net</w:t>
                        </w:r>
                        <w:r>
                          <w:rPr>
                            <w:color w:val="231F20"/>
                            <w:spacing w:val="-1"/>
                            <w:sz w:val="20"/>
                          </w:rPr>
                          <w:t> </w:t>
                        </w:r>
                        <w:r>
                          <w:rPr>
                            <w:color w:val="231F20"/>
                            <w:sz w:val="20"/>
                          </w:rPr>
                          <w:t>of</w:t>
                        </w:r>
                        <w:r>
                          <w:rPr>
                            <w:color w:val="231F20"/>
                            <w:spacing w:val="-1"/>
                            <w:sz w:val="20"/>
                          </w:rPr>
                          <w:t> </w:t>
                        </w:r>
                        <w:r>
                          <w:rPr>
                            <w:color w:val="231F20"/>
                            <w:sz w:val="20"/>
                          </w:rPr>
                          <w:t>current</w:t>
                        </w:r>
                        <w:r>
                          <w:rPr>
                            <w:color w:val="231F20"/>
                            <w:spacing w:val="-1"/>
                            <w:sz w:val="20"/>
                          </w:rPr>
                          <w:t> </w:t>
                        </w:r>
                        <w:r>
                          <w:rPr>
                            <w:color w:val="231F20"/>
                            <w:spacing w:val="-2"/>
                            <w:sz w:val="20"/>
                          </w:rPr>
                          <w:t>portion</w:t>
                        </w:r>
                      </w:p>
                    </w:tc>
                    <w:tc>
                      <w:tcPr>
                        <w:tcW w:w="1601" w:type="dxa"/>
                      </w:tcPr>
                      <w:p>
                        <w:pPr>
                          <w:pStyle w:val="TableParagraph"/>
                          <w:spacing w:line="216" w:lineRule="exact"/>
                          <w:ind w:left="-2" w:right="109"/>
                          <w:jc w:val="right"/>
                          <w:rPr>
                            <w:sz w:val="20"/>
                          </w:rPr>
                        </w:pPr>
                        <w:r>
                          <w:rPr>
                            <w:color w:val="231F20"/>
                            <w:spacing w:val="-2"/>
                            <w:sz w:val="20"/>
                          </w:rPr>
                          <w:t>2,992,749</w:t>
                        </w:r>
                      </w:p>
                    </w:tc>
                    <w:tc>
                      <w:tcPr>
                        <w:tcW w:w="318" w:type="dxa"/>
                      </w:tcPr>
                      <w:p>
                        <w:pPr>
                          <w:pStyle w:val="TableParagraph"/>
                          <w:rPr>
                            <w:rFonts w:ascii="Times New Roman"/>
                            <w:sz w:val="16"/>
                          </w:rPr>
                        </w:pPr>
                      </w:p>
                    </w:tc>
                    <w:tc>
                      <w:tcPr>
                        <w:tcW w:w="1652" w:type="dxa"/>
                      </w:tcPr>
                      <w:p>
                        <w:pPr>
                          <w:pStyle w:val="TableParagraph"/>
                          <w:spacing w:line="216" w:lineRule="exact"/>
                          <w:ind w:right="155"/>
                          <w:jc w:val="right"/>
                          <w:rPr>
                            <w:sz w:val="20"/>
                          </w:rPr>
                        </w:pPr>
                        <w:r>
                          <w:rPr>
                            <w:color w:val="231F20"/>
                            <w:w w:val="100"/>
                            <w:sz w:val="20"/>
                          </w:rPr>
                          <w:t>-</w:t>
                        </w:r>
                      </w:p>
                    </w:tc>
                  </w:tr>
                  <w:tr>
                    <w:trPr>
                      <w:trHeight w:val="248" w:hRule="atLeast"/>
                    </w:trPr>
                    <w:tc>
                      <w:tcPr>
                        <w:tcW w:w="5785" w:type="dxa"/>
                      </w:tcPr>
                      <w:p>
                        <w:pPr>
                          <w:pStyle w:val="TableParagraph"/>
                          <w:spacing w:line="223" w:lineRule="exact" w:before="5"/>
                          <w:ind w:left="190"/>
                          <w:rPr>
                            <w:sz w:val="20"/>
                          </w:rPr>
                        </w:pPr>
                        <w:r>
                          <w:rPr>
                            <w:color w:val="231F20"/>
                            <w:sz w:val="20"/>
                          </w:rPr>
                          <w:t>Bonds</w:t>
                        </w:r>
                        <w:r>
                          <w:rPr>
                            <w:color w:val="231F20"/>
                            <w:spacing w:val="-7"/>
                            <w:sz w:val="20"/>
                          </w:rPr>
                          <w:t> </w:t>
                        </w:r>
                        <w:r>
                          <w:rPr>
                            <w:color w:val="231F20"/>
                            <w:sz w:val="20"/>
                          </w:rPr>
                          <w:t>payable,</w:t>
                        </w:r>
                        <w:r>
                          <w:rPr>
                            <w:color w:val="231F20"/>
                            <w:spacing w:val="-6"/>
                            <w:sz w:val="20"/>
                          </w:rPr>
                          <w:t> </w:t>
                        </w:r>
                        <w:r>
                          <w:rPr>
                            <w:color w:val="231F20"/>
                            <w:spacing w:val="-5"/>
                            <w:sz w:val="20"/>
                          </w:rPr>
                          <w:t>net</w:t>
                        </w:r>
                      </w:p>
                    </w:tc>
                    <w:tc>
                      <w:tcPr>
                        <w:tcW w:w="1601" w:type="dxa"/>
                      </w:tcPr>
                      <w:p>
                        <w:pPr>
                          <w:pStyle w:val="TableParagraph"/>
                          <w:spacing w:line="223" w:lineRule="exact" w:before="5"/>
                          <w:ind w:left="-2" w:right="106"/>
                          <w:jc w:val="right"/>
                          <w:rPr>
                            <w:sz w:val="20"/>
                          </w:rPr>
                        </w:pPr>
                        <w:r>
                          <w:rPr>
                            <w:color w:val="231F20"/>
                            <w:spacing w:val="-2"/>
                            <w:sz w:val="20"/>
                          </w:rPr>
                          <w:t>16,287,450</w:t>
                        </w:r>
                      </w:p>
                    </w:tc>
                    <w:tc>
                      <w:tcPr>
                        <w:tcW w:w="318" w:type="dxa"/>
                      </w:tcPr>
                      <w:p>
                        <w:pPr>
                          <w:pStyle w:val="TableParagraph"/>
                          <w:rPr>
                            <w:rFonts w:ascii="Times New Roman"/>
                            <w:sz w:val="18"/>
                          </w:rPr>
                        </w:pPr>
                      </w:p>
                    </w:tc>
                    <w:tc>
                      <w:tcPr>
                        <w:tcW w:w="1652" w:type="dxa"/>
                      </w:tcPr>
                      <w:p>
                        <w:pPr>
                          <w:pStyle w:val="TableParagraph"/>
                          <w:spacing w:line="223" w:lineRule="exact" w:before="5"/>
                          <w:ind w:right="154"/>
                          <w:jc w:val="right"/>
                          <w:rPr>
                            <w:sz w:val="20"/>
                          </w:rPr>
                        </w:pPr>
                        <w:r>
                          <w:rPr>
                            <w:color w:val="231F20"/>
                            <w:w w:val="100"/>
                            <w:sz w:val="20"/>
                          </w:rPr>
                          <w:t>-</w:t>
                        </w:r>
                      </w:p>
                    </w:tc>
                  </w:tr>
                  <w:tr>
                    <w:trPr>
                      <w:trHeight w:val="247" w:hRule="atLeast"/>
                    </w:trPr>
                    <w:tc>
                      <w:tcPr>
                        <w:tcW w:w="5785" w:type="dxa"/>
                      </w:tcPr>
                      <w:p>
                        <w:pPr>
                          <w:pStyle w:val="TableParagraph"/>
                          <w:spacing w:line="222" w:lineRule="exact" w:before="5"/>
                          <w:ind w:left="190"/>
                          <w:rPr>
                            <w:sz w:val="20"/>
                          </w:rPr>
                        </w:pPr>
                        <w:r>
                          <w:rPr>
                            <w:color w:val="231F20"/>
                            <w:sz w:val="20"/>
                          </w:rPr>
                          <w:t>Net</w:t>
                        </w:r>
                        <w:r>
                          <w:rPr>
                            <w:color w:val="231F20"/>
                            <w:spacing w:val="-5"/>
                            <w:sz w:val="20"/>
                          </w:rPr>
                          <w:t> </w:t>
                        </w:r>
                        <w:r>
                          <w:rPr>
                            <w:color w:val="231F20"/>
                            <w:sz w:val="20"/>
                          </w:rPr>
                          <w:t>pension</w:t>
                        </w:r>
                        <w:r>
                          <w:rPr>
                            <w:color w:val="231F20"/>
                            <w:spacing w:val="-5"/>
                            <w:sz w:val="20"/>
                          </w:rPr>
                          <w:t> </w:t>
                        </w:r>
                        <w:r>
                          <w:rPr>
                            <w:color w:val="231F20"/>
                            <w:spacing w:val="-2"/>
                            <w:sz w:val="20"/>
                          </w:rPr>
                          <w:t>liability</w:t>
                        </w:r>
                      </w:p>
                    </w:tc>
                    <w:tc>
                      <w:tcPr>
                        <w:tcW w:w="1601" w:type="dxa"/>
                      </w:tcPr>
                      <w:p>
                        <w:pPr>
                          <w:pStyle w:val="TableParagraph"/>
                          <w:spacing w:line="222" w:lineRule="exact" w:before="5"/>
                          <w:ind w:left="-2" w:right="107"/>
                          <w:jc w:val="right"/>
                          <w:rPr>
                            <w:sz w:val="20"/>
                          </w:rPr>
                        </w:pPr>
                        <w:r>
                          <w:rPr>
                            <w:color w:val="231F20"/>
                            <w:spacing w:val="-2"/>
                            <w:sz w:val="20"/>
                          </w:rPr>
                          <w:t>91,132,064</w:t>
                        </w:r>
                      </w:p>
                    </w:tc>
                    <w:tc>
                      <w:tcPr>
                        <w:tcW w:w="318" w:type="dxa"/>
                      </w:tcPr>
                      <w:p>
                        <w:pPr>
                          <w:pStyle w:val="TableParagraph"/>
                          <w:rPr>
                            <w:rFonts w:ascii="Times New Roman"/>
                            <w:sz w:val="18"/>
                          </w:rPr>
                        </w:pPr>
                      </w:p>
                    </w:tc>
                    <w:tc>
                      <w:tcPr>
                        <w:tcW w:w="1652" w:type="dxa"/>
                      </w:tcPr>
                      <w:p>
                        <w:pPr>
                          <w:pStyle w:val="TableParagraph"/>
                          <w:spacing w:line="222" w:lineRule="exact" w:before="5"/>
                          <w:ind w:right="154"/>
                          <w:jc w:val="right"/>
                          <w:rPr>
                            <w:sz w:val="20"/>
                          </w:rPr>
                        </w:pPr>
                        <w:r>
                          <w:rPr>
                            <w:color w:val="231F20"/>
                            <w:w w:val="100"/>
                            <w:sz w:val="20"/>
                          </w:rPr>
                          <w:t>-</w:t>
                        </w:r>
                      </w:p>
                    </w:tc>
                  </w:tr>
                  <w:tr>
                    <w:trPr>
                      <w:trHeight w:val="247" w:hRule="atLeast"/>
                    </w:trPr>
                    <w:tc>
                      <w:tcPr>
                        <w:tcW w:w="5785" w:type="dxa"/>
                      </w:tcPr>
                      <w:p>
                        <w:pPr>
                          <w:pStyle w:val="TableParagraph"/>
                          <w:spacing w:line="223" w:lineRule="exact" w:before="5"/>
                          <w:ind w:left="190"/>
                          <w:rPr>
                            <w:sz w:val="20"/>
                          </w:rPr>
                        </w:pPr>
                        <w:r>
                          <w:rPr>
                            <w:color w:val="231F20"/>
                            <w:sz w:val="20"/>
                          </w:rPr>
                          <w:t>Net</w:t>
                        </w:r>
                        <w:r>
                          <w:rPr>
                            <w:color w:val="231F20"/>
                            <w:spacing w:val="-4"/>
                            <w:sz w:val="20"/>
                          </w:rPr>
                          <w:t> </w:t>
                        </w:r>
                        <w:r>
                          <w:rPr>
                            <w:color w:val="231F20"/>
                            <w:sz w:val="20"/>
                          </w:rPr>
                          <w:t>OPEB</w:t>
                        </w:r>
                        <w:r>
                          <w:rPr>
                            <w:color w:val="231F20"/>
                            <w:spacing w:val="-4"/>
                            <w:sz w:val="20"/>
                          </w:rPr>
                          <w:t> </w:t>
                        </w:r>
                        <w:r>
                          <w:rPr>
                            <w:color w:val="231F20"/>
                            <w:spacing w:val="-2"/>
                            <w:sz w:val="20"/>
                          </w:rPr>
                          <w:t>liability</w:t>
                        </w:r>
                      </w:p>
                    </w:tc>
                    <w:tc>
                      <w:tcPr>
                        <w:tcW w:w="1601" w:type="dxa"/>
                      </w:tcPr>
                      <w:p>
                        <w:pPr>
                          <w:pStyle w:val="TableParagraph"/>
                          <w:spacing w:line="223" w:lineRule="exact" w:before="5"/>
                          <w:ind w:left="-2" w:right="107"/>
                          <w:jc w:val="right"/>
                          <w:rPr>
                            <w:sz w:val="20"/>
                          </w:rPr>
                        </w:pPr>
                        <w:r>
                          <w:rPr>
                            <w:color w:val="231F20"/>
                            <w:spacing w:val="-2"/>
                            <w:sz w:val="20"/>
                          </w:rPr>
                          <w:t>59,253,702</w:t>
                        </w:r>
                      </w:p>
                    </w:tc>
                    <w:tc>
                      <w:tcPr>
                        <w:tcW w:w="318" w:type="dxa"/>
                      </w:tcPr>
                      <w:p>
                        <w:pPr>
                          <w:pStyle w:val="TableParagraph"/>
                          <w:rPr>
                            <w:rFonts w:ascii="Times New Roman"/>
                            <w:sz w:val="18"/>
                          </w:rPr>
                        </w:pPr>
                      </w:p>
                    </w:tc>
                    <w:tc>
                      <w:tcPr>
                        <w:tcW w:w="1652" w:type="dxa"/>
                      </w:tcPr>
                      <w:p>
                        <w:pPr>
                          <w:pStyle w:val="TableParagraph"/>
                          <w:spacing w:line="223" w:lineRule="exact" w:before="5"/>
                          <w:ind w:right="154"/>
                          <w:jc w:val="right"/>
                          <w:rPr>
                            <w:sz w:val="20"/>
                          </w:rPr>
                        </w:pPr>
                        <w:r>
                          <w:rPr>
                            <w:color w:val="231F20"/>
                            <w:w w:val="100"/>
                            <w:sz w:val="20"/>
                          </w:rPr>
                          <w:t>-</w:t>
                        </w:r>
                      </w:p>
                    </w:tc>
                  </w:tr>
                  <w:tr>
                    <w:trPr>
                      <w:trHeight w:val="348" w:hRule="atLeast"/>
                    </w:trPr>
                    <w:tc>
                      <w:tcPr>
                        <w:tcW w:w="5785" w:type="dxa"/>
                      </w:tcPr>
                      <w:p>
                        <w:pPr>
                          <w:pStyle w:val="TableParagraph"/>
                          <w:spacing w:before="5"/>
                          <w:ind w:left="190"/>
                          <w:rPr>
                            <w:sz w:val="20"/>
                          </w:rPr>
                        </w:pPr>
                        <w:r>
                          <w:rPr>
                            <w:color w:val="231F20"/>
                            <w:sz w:val="20"/>
                          </w:rPr>
                          <w:t>Other</w:t>
                        </w:r>
                        <w:r>
                          <w:rPr>
                            <w:color w:val="231F20"/>
                            <w:spacing w:val="-6"/>
                            <w:sz w:val="20"/>
                          </w:rPr>
                          <w:t> </w:t>
                        </w:r>
                        <w:r>
                          <w:rPr>
                            <w:color w:val="231F20"/>
                            <w:sz w:val="20"/>
                          </w:rPr>
                          <w:t>noncurrent</w:t>
                        </w:r>
                        <w:r>
                          <w:rPr>
                            <w:color w:val="231F20"/>
                            <w:spacing w:val="-5"/>
                            <w:sz w:val="20"/>
                          </w:rPr>
                          <w:t> </w:t>
                        </w:r>
                        <w:r>
                          <w:rPr>
                            <w:color w:val="231F20"/>
                            <w:spacing w:val="-2"/>
                            <w:sz w:val="20"/>
                          </w:rPr>
                          <w:t>liabilities</w:t>
                        </w:r>
                      </w:p>
                    </w:tc>
                    <w:tc>
                      <w:tcPr>
                        <w:tcW w:w="1601" w:type="dxa"/>
                      </w:tcPr>
                      <w:p>
                        <w:pPr>
                          <w:pStyle w:val="TableParagraph"/>
                          <w:tabs>
                            <w:tab w:pos="600" w:val="left" w:leader="none"/>
                          </w:tabs>
                          <w:spacing w:before="5"/>
                          <w:ind w:left="-2"/>
                          <w:jc w:val="right"/>
                          <w:rPr>
                            <w:sz w:val="20"/>
                          </w:rPr>
                        </w:pPr>
                        <w:r>
                          <w:rPr>
                            <w:color w:val="231F20"/>
                            <w:sz w:val="20"/>
                            <w:u w:val="single" w:color="231F20"/>
                          </w:rPr>
                          <w:tab/>
                        </w:r>
                        <w:r>
                          <w:rPr>
                            <w:color w:val="231F20"/>
                            <w:spacing w:val="-2"/>
                            <w:sz w:val="20"/>
                            <w:u w:val="single" w:color="231F20"/>
                          </w:rPr>
                          <w:t>5,842,662</w:t>
                        </w:r>
                        <w:r>
                          <w:rPr>
                            <w:color w:val="231F20"/>
                            <w:spacing w:val="80"/>
                            <w:sz w:val="20"/>
                            <w:u w:val="single" w:color="231F20"/>
                          </w:rPr>
                          <w:t> </w:t>
                        </w:r>
                      </w:p>
                    </w:tc>
                    <w:tc>
                      <w:tcPr>
                        <w:tcW w:w="318" w:type="dxa"/>
                      </w:tcPr>
                      <w:p>
                        <w:pPr>
                          <w:pStyle w:val="TableParagraph"/>
                          <w:rPr>
                            <w:rFonts w:ascii="Times New Roman"/>
                            <w:sz w:val="20"/>
                          </w:rPr>
                        </w:pPr>
                      </w:p>
                    </w:tc>
                    <w:tc>
                      <w:tcPr>
                        <w:tcW w:w="1652" w:type="dxa"/>
                      </w:tcPr>
                      <w:p>
                        <w:pPr>
                          <w:pStyle w:val="TableParagraph"/>
                          <w:tabs>
                            <w:tab w:pos="1428" w:val="left" w:leader="none"/>
                          </w:tabs>
                          <w:spacing w:before="5"/>
                          <w:ind w:left="-1" w:right="48"/>
                          <w:jc w:val="right"/>
                          <w:rPr>
                            <w:sz w:val="20"/>
                          </w:rPr>
                        </w:pPr>
                        <w:r>
                          <w:rPr>
                            <w:color w:val="231F20"/>
                            <w:sz w:val="20"/>
                            <w:u w:val="single" w:color="231F20"/>
                          </w:rPr>
                          <w:tab/>
                        </w:r>
                        <w:r>
                          <w:rPr>
                            <w:color w:val="231F20"/>
                            <w:spacing w:val="-10"/>
                            <w:sz w:val="20"/>
                            <w:u w:val="single" w:color="231F20"/>
                          </w:rPr>
                          <w:t>-</w:t>
                        </w:r>
                        <w:r>
                          <w:rPr>
                            <w:color w:val="231F20"/>
                            <w:spacing w:val="80"/>
                            <w:sz w:val="20"/>
                            <w:u w:val="single" w:color="231F20"/>
                          </w:rPr>
                          <w:t> </w:t>
                        </w:r>
                      </w:p>
                    </w:tc>
                  </w:tr>
                  <w:tr>
                    <w:trPr>
                      <w:trHeight w:val="449" w:hRule="atLeast"/>
                    </w:trPr>
                    <w:tc>
                      <w:tcPr>
                        <w:tcW w:w="5785" w:type="dxa"/>
                      </w:tcPr>
                      <w:p>
                        <w:pPr>
                          <w:pStyle w:val="TableParagraph"/>
                          <w:spacing w:before="106"/>
                          <w:ind w:left="611"/>
                          <w:rPr>
                            <w:sz w:val="20"/>
                          </w:rPr>
                        </w:pPr>
                        <w:r>
                          <w:rPr>
                            <w:color w:val="231F20"/>
                            <w:sz w:val="20"/>
                          </w:rPr>
                          <w:t>Total</w:t>
                        </w:r>
                        <w:r>
                          <w:rPr>
                            <w:color w:val="231F20"/>
                            <w:spacing w:val="-6"/>
                            <w:sz w:val="20"/>
                          </w:rPr>
                          <w:t> </w:t>
                        </w:r>
                        <w:r>
                          <w:rPr>
                            <w:color w:val="231F20"/>
                            <w:sz w:val="20"/>
                          </w:rPr>
                          <w:t>noncurrent</w:t>
                        </w:r>
                        <w:r>
                          <w:rPr>
                            <w:color w:val="231F20"/>
                            <w:spacing w:val="-5"/>
                            <w:sz w:val="20"/>
                          </w:rPr>
                          <w:t> </w:t>
                        </w:r>
                        <w:r>
                          <w:rPr>
                            <w:color w:val="231F20"/>
                            <w:spacing w:val="-2"/>
                            <w:sz w:val="20"/>
                          </w:rPr>
                          <w:t>liabilities</w:t>
                        </w:r>
                      </w:p>
                    </w:tc>
                    <w:tc>
                      <w:tcPr>
                        <w:tcW w:w="1601" w:type="dxa"/>
                      </w:tcPr>
                      <w:p>
                        <w:pPr>
                          <w:pStyle w:val="TableParagraph"/>
                          <w:tabs>
                            <w:tab w:pos="378" w:val="left" w:leader="none"/>
                          </w:tabs>
                          <w:spacing w:before="106"/>
                          <w:ind w:left="-2"/>
                          <w:jc w:val="right"/>
                          <w:rPr>
                            <w:sz w:val="20"/>
                          </w:rPr>
                        </w:pPr>
                        <w:r>
                          <w:rPr>
                            <w:color w:val="231F20"/>
                            <w:sz w:val="20"/>
                            <w:u w:val="single" w:color="231F20"/>
                          </w:rPr>
                          <w:tab/>
                        </w:r>
                        <w:r>
                          <w:rPr>
                            <w:color w:val="231F20"/>
                            <w:spacing w:val="-2"/>
                            <w:sz w:val="20"/>
                            <w:u w:val="single" w:color="231F20"/>
                          </w:rPr>
                          <w:t>175,508,627</w:t>
                        </w:r>
                        <w:r>
                          <w:rPr>
                            <w:color w:val="231F20"/>
                            <w:spacing w:val="80"/>
                            <w:sz w:val="20"/>
                            <w:u w:val="single" w:color="231F20"/>
                          </w:rPr>
                          <w:t> </w:t>
                        </w:r>
                      </w:p>
                    </w:tc>
                    <w:tc>
                      <w:tcPr>
                        <w:tcW w:w="318" w:type="dxa"/>
                      </w:tcPr>
                      <w:p>
                        <w:pPr>
                          <w:pStyle w:val="TableParagraph"/>
                          <w:rPr>
                            <w:rFonts w:ascii="Times New Roman"/>
                            <w:sz w:val="20"/>
                          </w:rPr>
                        </w:pPr>
                      </w:p>
                    </w:tc>
                    <w:tc>
                      <w:tcPr>
                        <w:tcW w:w="1652" w:type="dxa"/>
                      </w:tcPr>
                      <w:p>
                        <w:pPr>
                          <w:pStyle w:val="TableParagraph"/>
                          <w:tabs>
                            <w:tab w:pos="1428" w:val="left" w:leader="none"/>
                          </w:tabs>
                          <w:spacing w:before="106"/>
                          <w:ind w:left="-1" w:right="48"/>
                          <w:jc w:val="right"/>
                          <w:rPr>
                            <w:sz w:val="20"/>
                          </w:rPr>
                        </w:pPr>
                        <w:r>
                          <w:rPr>
                            <w:color w:val="231F20"/>
                            <w:sz w:val="20"/>
                            <w:u w:val="single" w:color="231F20"/>
                          </w:rPr>
                          <w:tab/>
                        </w:r>
                        <w:r>
                          <w:rPr>
                            <w:color w:val="231F20"/>
                            <w:spacing w:val="-10"/>
                            <w:sz w:val="20"/>
                            <w:u w:val="single" w:color="231F20"/>
                          </w:rPr>
                          <w:t>-</w:t>
                        </w:r>
                        <w:r>
                          <w:rPr>
                            <w:color w:val="231F20"/>
                            <w:spacing w:val="80"/>
                            <w:sz w:val="20"/>
                            <w:u w:val="single" w:color="231F20"/>
                          </w:rPr>
                          <w:t> </w:t>
                        </w:r>
                      </w:p>
                    </w:tc>
                  </w:tr>
                  <w:tr>
                    <w:trPr>
                      <w:trHeight w:val="381" w:hRule="atLeast"/>
                    </w:trPr>
                    <w:tc>
                      <w:tcPr>
                        <w:tcW w:w="5785" w:type="dxa"/>
                      </w:tcPr>
                      <w:p>
                        <w:pPr>
                          <w:pStyle w:val="TableParagraph"/>
                          <w:spacing w:before="106"/>
                          <w:ind w:left="50"/>
                          <w:rPr>
                            <w:sz w:val="20"/>
                          </w:rPr>
                        </w:pPr>
                        <w:r>
                          <w:rPr>
                            <w:color w:val="231F20"/>
                            <w:sz w:val="20"/>
                          </w:rPr>
                          <w:t>TOTAL</w:t>
                        </w:r>
                        <w:r>
                          <w:rPr>
                            <w:color w:val="231F20"/>
                            <w:spacing w:val="-7"/>
                            <w:sz w:val="20"/>
                          </w:rPr>
                          <w:t> </w:t>
                        </w:r>
                        <w:r>
                          <w:rPr>
                            <w:color w:val="231F20"/>
                            <w:spacing w:val="-2"/>
                            <w:sz w:val="20"/>
                          </w:rPr>
                          <w:t>LIABILITIES</w:t>
                        </w:r>
                      </w:p>
                    </w:tc>
                    <w:tc>
                      <w:tcPr>
                        <w:tcW w:w="1601" w:type="dxa"/>
                        <w:tcBorders>
                          <w:bottom w:val="single" w:sz="8" w:space="0" w:color="231F20"/>
                        </w:tcBorders>
                      </w:tcPr>
                      <w:p>
                        <w:pPr>
                          <w:pStyle w:val="TableParagraph"/>
                          <w:spacing w:before="106"/>
                          <w:jc w:val="right"/>
                          <w:rPr>
                            <w:sz w:val="20"/>
                          </w:rPr>
                        </w:pPr>
                        <w:r>
                          <w:rPr>
                            <w:color w:val="231F20"/>
                            <w:spacing w:val="49"/>
                            <w:sz w:val="20"/>
                            <w:u w:val="single" w:color="231F20"/>
                          </w:rPr>
                          <w:t> </w:t>
                        </w:r>
                        <w:r>
                          <w:rPr>
                            <w:color w:val="231F20"/>
                            <w:sz w:val="20"/>
                            <w:u w:val="single" w:color="231F20"/>
                          </w:rPr>
                          <w:t>$</w:t>
                        </w:r>
                        <w:r>
                          <w:rPr>
                            <w:color w:val="231F20"/>
                            <w:spacing w:val="26"/>
                            <w:sz w:val="20"/>
                            <w:u w:val="single" w:color="231F20"/>
                          </w:rPr>
                          <w:t>  </w:t>
                        </w:r>
                        <w:r>
                          <w:rPr>
                            <w:color w:val="231F20"/>
                            <w:spacing w:val="-2"/>
                            <w:sz w:val="20"/>
                            <w:u w:val="single" w:color="231F20"/>
                          </w:rPr>
                          <w:t>194,138,958</w:t>
                        </w:r>
                        <w:r>
                          <w:rPr>
                            <w:color w:val="231F20"/>
                            <w:spacing w:val="80"/>
                            <w:sz w:val="20"/>
                            <w:u w:val="single" w:color="231F20"/>
                          </w:rPr>
                          <w:t> </w:t>
                        </w:r>
                      </w:p>
                    </w:tc>
                    <w:tc>
                      <w:tcPr>
                        <w:tcW w:w="318" w:type="dxa"/>
                      </w:tcPr>
                      <w:p>
                        <w:pPr>
                          <w:pStyle w:val="TableParagraph"/>
                          <w:rPr>
                            <w:rFonts w:ascii="Times New Roman"/>
                            <w:sz w:val="20"/>
                          </w:rPr>
                        </w:pPr>
                      </w:p>
                    </w:tc>
                    <w:tc>
                      <w:tcPr>
                        <w:tcW w:w="1652" w:type="dxa"/>
                        <w:tcBorders>
                          <w:bottom w:val="single" w:sz="8" w:space="0" w:color="231F20"/>
                        </w:tcBorders>
                      </w:tcPr>
                      <w:p>
                        <w:pPr>
                          <w:pStyle w:val="TableParagraph"/>
                          <w:tabs>
                            <w:tab w:pos="602" w:val="left" w:leader="none"/>
                          </w:tabs>
                          <w:spacing w:before="106"/>
                          <w:ind w:right="48"/>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1,526,412</w:t>
                        </w:r>
                        <w:r>
                          <w:rPr>
                            <w:color w:val="231F20"/>
                            <w:spacing w:val="80"/>
                            <w:sz w:val="20"/>
                            <w:u w:val="single" w:color="231F20"/>
                          </w:rPr>
                          <w:t> </w:t>
                        </w:r>
                      </w:p>
                    </w:tc>
                  </w:tr>
                  <w:tr>
                    <w:trPr>
                      <w:trHeight w:val="730" w:hRule="atLeast"/>
                    </w:trPr>
                    <w:tc>
                      <w:tcPr>
                        <w:tcW w:w="5785" w:type="dxa"/>
                      </w:tcPr>
                      <w:p>
                        <w:pPr>
                          <w:pStyle w:val="TableParagraph"/>
                          <w:spacing w:before="10"/>
                          <w:rPr>
                            <w:sz w:val="20"/>
                          </w:rPr>
                        </w:pPr>
                      </w:p>
                      <w:p>
                        <w:pPr>
                          <w:pStyle w:val="TableParagraph"/>
                          <w:spacing w:before="1"/>
                          <w:ind w:left="50"/>
                          <w:rPr>
                            <w:sz w:val="20"/>
                          </w:rPr>
                        </w:pPr>
                        <w:r>
                          <w:rPr>
                            <w:color w:val="231F20"/>
                            <w:sz w:val="20"/>
                          </w:rPr>
                          <w:t>DEFERRED</w:t>
                        </w:r>
                        <w:r>
                          <w:rPr>
                            <w:color w:val="231F20"/>
                            <w:spacing w:val="-2"/>
                            <w:sz w:val="20"/>
                          </w:rPr>
                          <w:t> </w:t>
                        </w:r>
                        <w:r>
                          <w:rPr>
                            <w:color w:val="231F20"/>
                            <w:sz w:val="20"/>
                          </w:rPr>
                          <w:t>INFLOWS</w:t>
                        </w:r>
                        <w:r>
                          <w:rPr>
                            <w:color w:val="231F20"/>
                            <w:spacing w:val="-2"/>
                            <w:sz w:val="20"/>
                          </w:rPr>
                          <w:t> </w:t>
                        </w:r>
                        <w:r>
                          <w:rPr>
                            <w:color w:val="231F20"/>
                            <w:sz w:val="20"/>
                          </w:rPr>
                          <w:t>OF</w:t>
                        </w:r>
                        <w:r>
                          <w:rPr>
                            <w:color w:val="231F20"/>
                            <w:spacing w:val="-1"/>
                            <w:sz w:val="20"/>
                          </w:rPr>
                          <w:t> </w:t>
                        </w:r>
                        <w:r>
                          <w:rPr>
                            <w:color w:val="231F20"/>
                            <w:spacing w:val="-2"/>
                            <w:sz w:val="20"/>
                          </w:rPr>
                          <w:t>RESOURCES</w:t>
                        </w:r>
                      </w:p>
                      <w:p>
                        <w:pPr>
                          <w:pStyle w:val="TableParagraph"/>
                          <w:spacing w:line="223" w:lineRule="exact" w:before="17"/>
                          <w:ind w:left="190"/>
                          <w:rPr>
                            <w:sz w:val="20"/>
                          </w:rPr>
                        </w:pPr>
                        <w:r>
                          <w:rPr>
                            <w:color w:val="231F20"/>
                            <w:sz w:val="20"/>
                          </w:rPr>
                          <w:t>Related</w:t>
                        </w:r>
                        <w:r>
                          <w:rPr>
                            <w:color w:val="231F20"/>
                            <w:spacing w:val="-4"/>
                            <w:sz w:val="20"/>
                          </w:rPr>
                          <w:t> </w:t>
                        </w:r>
                        <w:r>
                          <w:rPr>
                            <w:color w:val="231F20"/>
                            <w:sz w:val="20"/>
                          </w:rPr>
                          <w:t>to</w:t>
                        </w:r>
                        <w:r>
                          <w:rPr>
                            <w:color w:val="231F20"/>
                            <w:spacing w:val="-1"/>
                            <w:sz w:val="20"/>
                          </w:rPr>
                          <w:t> </w:t>
                        </w:r>
                        <w:r>
                          <w:rPr>
                            <w:color w:val="231F20"/>
                            <w:spacing w:val="-2"/>
                            <w:sz w:val="20"/>
                          </w:rPr>
                          <w:t>pensions</w:t>
                        </w:r>
                      </w:p>
                    </w:tc>
                    <w:tc>
                      <w:tcPr>
                        <w:tcW w:w="1601" w:type="dxa"/>
                        <w:tcBorders>
                          <w:top w:val="single" w:sz="8" w:space="0" w:color="231F20"/>
                        </w:tcBorders>
                      </w:tcPr>
                      <w:p>
                        <w:pPr>
                          <w:pStyle w:val="TableParagraph"/>
                          <w:rPr>
                            <w:sz w:val="22"/>
                          </w:rPr>
                        </w:pPr>
                      </w:p>
                      <w:p>
                        <w:pPr>
                          <w:pStyle w:val="TableParagraph"/>
                          <w:spacing w:before="5"/>
                          <w:rPr>
                            <w:sz w:val="20"/>
                          </w:rPr>
                        </w:pPr>
                      </w:p>
                      <w:p>
                        <w:pPr>
                          <w:pStyle w:val="TableParagraph"/>
                          <w:spacing w:line="223" w:lineRule="exact"/>
                          <w:ind w:left="105"/>
                          <w:rPr>
                            <w:sz w:val="20"/>
                          </w:rPr>
                        </w:pPr>
                        <w:r>
                          <w:rPr>
                            <w:color w:val="231F20"/>
                            <w:sz w:val="20"/>
                          </w:rPr>
                          <w:t>$</w:t>
                        </w:r>
                        <w:r>
                          <w:rPr>
                            <w:color w:val="231F20"/>
                            <w:spacing w:val="78"/>
                            <w:w w:val="150"/>
                            <w:sz w:val="20"/>
                          </w:rPr>
                          <w:t> </w:t>
                        </w:r>
                        <w:r>
                          <w:rPr>
                            <w:color w:val="231F20"/>
                            <w:spacing w:val="-2"/>
                            <w:sz w:val="20"/>
                          </w:rPr>
                          <w:t>128,956,719</w:t>
                        </w:r>
                      </w:p>
                    </w:tc>
                    <w:tc>
                      <w:tcPr>
                        <w:tcW w:w="318" w:type="dxa"/>
                      </w:tcPr>
                      <w:p>
                        <w:pPr>
                          <w:pStyle w:val="TableParagraph"/>
                          <w:rPr>
                            <w:rFonts w:ascii="Times New Roman"/>
                            <w:sz w:val="20"/>
                          </w:rPr>
                        </w:pPr>
                      </w:p>
                    </w:tc>
                    <w:tc>
                      <w:tcPr>
                        <w:tcW w:w="1652" w:type="dxa"/>
                        <w:tcBorders>
                          <w:top w:val="single" w:sz="8" w:space="0" w:color="231F20"/>
                        </w:tcBorders>
                      </w:tcPr>
                      <w:p>
                        <w:pPr>
                          <w:pStyle w:val="TableParagraph"/>
                          <w:rPr>
                            <w:sz w:val="22"/>
                          </w:rPr>
                        </w:pPr>
                      </w:p>
                      <w:p>
                        <w:pPr>
                          <w:pStyle w:val="TableParagraph"/>
                          <w:spacing w:before="5"/>
                          <w:rPr>
                            <w:sz w:val="20"/>
                          </w:rPr>
                        </w:pPr>
                      </w:p>
                      <w:p>
                        <w:pPr>
                          <w:pStyle w:val="TableParagraph"/>
                          <w:tabs>
                            <w:tab w:pos="1427" w:val="left" w:leader="none"/>
                          </w:tabs>
                          <w:spacing w:line="223" w:lineRule="exact"/>
                          <w:ind w:left="106"/>
                          <w:rPr>
                            <w:sz w:val="20"/>
                          </w:rPr>
                        </w:pPr>
                        <w:r>
                          <w:rPr>
                            <w:color w:val="231F20"/>
                            <w:spacing w:val="-10"/>
                            <w:sz w:val="20"/>
                          </w:rPr>
                          <w:t>$</w:t>
                        </w:r>
                        <w:r>
                          <w:rPr>
                            <w:color w:val="231F20"/>
                            <w:sz w:val="20"/>
                          </w:rPr>
                          <w:tab/>
                        </w:r>
                        <w:r>
                          <w:rPr>
                            <w:color w:val="231F20"/>
                            <w:spacing w:val="-10"/>
                            <w:sz w:val="20"/>
                          </w:rPr>
                          <w:t>-</w:t>
                        </w:r>
                      </w:p>
                    </w:tc>
                  </w:tr>
                  <w:tr>
                    <w:trPr>
                      <w:trHeight w:val="248" w:hRule="atLeast"/>
                    </w:trPr>
                    <w:tc>
                      <w:tcPr>
                        <w:tcW w:w="5785" w:type="dxa"/>
                      </w:tcPr>
                      <w:p>
                        <w:pPr>
                          <w:pStyle w:val="TableParagraph"/>
                          <w:spacing w:line="223" w:lineRule="exact" w:before="5"/>
                          <w:ind w:left="190"/>
                          <w:rPr>
                            <w:sz w:val="20"/>
                          </w:rPr>
                        </w:pPr>
                        <w:r>
                          <w:rPr>
                            <w:color w:val="231F20"/>
                            <w:sz w:val="20"/>
                          </w:rPr>
                          <w:t>Related</w:t>
                        </w:r>
                        <w:r>
                          <w:rPr>
                            <w:color w:val="231F20"/>
                            <w:spacing w:val="-6"/>
                            <w:sz w:val="20"/>
                          </w:rPr>
                          <w:t> </w:t>
                        </w:r>
                        <w:r>
                          <w:rPr>
                            <w:color w:val="231F20"/>
                            <w:sz w:val="20"/>
                          </w:rPr>
                          <w:t>to</w:t>
                        </w:r>
                        <w:r>
                          <w:rPr>
                            <w:color w:val="231F20"/>
                            <w:spacing w:val="-5"/>
                            <w:sz w:val="20"/>
                          </w:rPr>
                          <w:t> </w:t>
                        </w:r>
                        <w:r>
                          <w:rPr>
                            <w:color w:val="231F20"/>
                            <w:sz w:val="20"/>
                          </w:rPr>
                          <w:t>other</w:t>
                        </w:r>
                        <w:r>
                          <w:rPr>
                            <w:color w:val="231F20"/>
                            <w:spacing w:val="-5"/>
                            <w:sz w:val="20"/>
                          </w:rPr>
                          <w:t> </w:t>
                        </w:r>
                        <w:r>
                          <w:rPr>
                            <w:color w:val="231F20"/>
                            <w:sz w:val="20"/>
                          </w:rPr>
                          <w:t>post</w:t>
                        </w:r>
                        <w:r>
                          <w:rPr>
                            <w:color w:val="231F20"/>
                            <w:spacing w:val="-5"/>
                            <w:sz w:val="20"/>
                          </w:rPr>
                          <w:t> </w:t>
                        </w:r>
                        <w:r>
                          <w:rPr>
                            <w:color w:val="231F20"/>
                            <w:sz w:val="20"/>
                          </w:rPr>
                          <w:t>employment</w:t>
                        </w:r>
                        <w:r>
                          <w:rPr>
                            <w:color w:val="231F20"/>
                            <w:spacing w:val="-5"/>
                            <w:sz w:val="20"/>
                          </w:rPr>
                          <w:t> </w:t>
                        </w:r>
                        <w:r>
                          <w:rPr>
                            <w:color w:val="231F20"/>
                            <w:spacing w:val="-2"/>
                            <w:sz w:val="20"/>
                          </w:rPr>
                          <w:t>benefits</w:t>
                        </w:r>
                      </w:p>
                    </w:tc>
                    <w:tc>
                      <w:tcPr>
                        <w:tcW w:w="1601" w:type="dxa"/>
                      </w:tcPr>
                      <w:p>
                        <w:pPr>
                          <w:pStyle w:val="TableParagraph"/>
                          <w:spacing w:line="223" w:lineRule="exact" w:before="5"/>
                          <w:ind w:left="-2" w:right="108"/>
                          <w:jc w:val="right"/>
                          <w:rPr>
                            <w:sz w:val="20"/>
                          </w:rPr>
                        </w:pPr>
                        <w:r>
                          <w:rPr>
                            <w:color w:val="231F20"/>
                            <w:spacing w:val="-2"/>
                            <w:sz w:val="20"/>
                          </w:rPr>
                          <w:t>6,366,163</w:t>
                        </w:r>
                      </w:p>
                    </w:tc>
                    <w:tc>
                      <w:tcPr>
                        <w:tcW w:w="318" w:type="dxa"/>
                      </w:tcPr>
                      <w:p>
                        <w:pPr>
                          <w:pStyle w:val="TableParagraph"/>
                          <w:rPr>
                            <w:rFonts w:ascii="Times New Roman"/>
                            <w:sz w:val="18"/>
                          </w:rPr>
                        </w:pPr>
                      </w:p>
                    </w:tc>
                    <w:tc>
                      <w:tcPr>
                        <w:tcW w:w="1652" w:type="dxa"/>
                      </w:tcPr>
                      <w:p>
                        <w:pPr>
                          <w:pStyle w:val="TableParagraph"/>
                          <w:spacing w:line="223" w:lineRule="exact" w:before="5"/>
                          <w:ind w:right="154"/>
                          <w:jc w:val="right"/>
                          <w:rPr>
                            <w:sz w:val="20"/>
                          </w:rPr>
                        </w:pPr>
                        <w:r>
                          <w:rPr>
                            <w:color w:val="231F20"/>
                            <w:w w:val="100"/>
                            <w:sz w:val="20"/>
                          </w:rPr>
                          <w:t>-</w:t>
                        </w:r>
                      </w:p>
                    </w:tc>
                  </w:tr>
                  <w:tr>
                    <w:trPr>
                      <w:trHeight w:val="376" w:hRule="atLeast"/>
                    </w:trPr>
                    <w:tc>
                      <w:tcPr>
                        <w:tcW w:w="5785" w:type="dxa"/>
                      </w:tcPr>
                      <w:p>
                        <w:pPr>
                          <w:pStyle w:val="TableParagraph"/>
                          <w:spacing w:before="5"/>
                          <w:ind w:left="190"/>
                          <w:rPr>
                            <w:sz w:val="20"/>
                          </w:rPr>
                        </w:pPr>
                        <w:r>
                          <w:rPr>
                            <w:color w:val="231F20"/>
                            <w:sz w:val="20"/>
                          </w:rPr>
                          <w:t>Related</w:t>
                        </w:r>
                        <w:r>
                          <w:rPr>
                            <w:color w:val="231F20"/>
                            <w:spacing w:val="-2"/>
                            <w:sz w:val="20"/>
                          </w:rPr>
                          <w:t> </w:t>
                        </w:r>
                        <w:r>
                          <w:rPr>
                            <w:color w:val="231F20"/>
                            <w:sz w:val="20"/>
                          </w:rPr>
                          <w:t>to</w:t>
                        </w:r>
                        <w:r>
                          <w:rPr>
                            <w:color w:val="231F20"/>
                            <w:spacing w:val="-1"/>
                            <w:sz w:val="20"/>
                          </w:rPr>
                          <w:t> </w:t>
                        </w:r>
                        <w:r>
                          <w:rPr>
                            <w:color w:val="231F20"/>
                            <w:spacing w:val="-2"/>
                            <w:sz w:val="20"/>
                          </w:rPr>
                          <w:t>leases</w:t>
                        </w:r>
                      </w:p>
                    </w:tc>
                    <w:tc>
                      <w:tcPr>
                        <w:tcW w:w="1601" w:type="dxa"/>
                      </w:tcPr>
                      <w:p>
                        <w:pPr>
                          <w:pStyle w:val="TableParagraph"/>
                          <w:tabs>
                            <w:tab w:pos="600" w:val="left" w:leader="none"/>
                          </w:tabs>
                          <w:spacing w:before="5"/>
                          <w:ind w:left="-2"/>
                          <w:jc w:val="right"/>
                          <w:rPr>
                            <w:sz w:val="20"/>
                          </w:rPr>
                        </w:pPr>
                        <w:r>
                          <w:rPr>
                            <w:color w:val="231F20"/>
                            <w:sz w:val="20"/>
                            <w:u w:val="single" w:color="231F20"/>
                          </w:rPr>
                          <w:tab/>
                        </w:r>
                        <w:r>
                          <w:rPr>
                            <w:color w:val="231F20"/>
                            <w:spacing w:val="-2"/>
                            <w:sz w:val="20"/>
                            <w:u w:val="single" w:color="231F20"/>
                          </w:rPr>
                          <w:t>1,032,673</w:t>
                        </w:r>
                        <w:r>
                          <w:rPr>
                            <w:color w:val="231F20"/>
                            <w:spacing w:val="80"/>
                            <w:sz w:val="20"/>
                            <w:u w:val="single" w:color="231F20"/>
                          </w:rPr>
                          <w:t> </w:t>
                        </w:r>
                      </w:p>
                    </w:tc>
                    <w:tc>
                      <w:tcPr>
                        <w:tcW w:w="318" w:type="dxa"/>
                      </w:tcPr>
                      <w:p>
                        <w:pPr>
                          <w:pStyle w:val="TableParagraph"/>
                          <w:rPr>
                            <w:rFonts w:ascii="Times New Roman"/>
                            <w:sz w:val="20"/>
                          </w:rPr>
                        </w:pPr>
                      </w:p>
                    </w:tc>
                    <w:tc>
                      <w:tcPr>
                        <w:tcW w:w="1652" w:type="dxa"/>
                      </w:tcPr>
                      <w:p>
                        <w:pPr>
                          <w:pStyle w:val="TableParagraph"/>
                          <w:tabs>
                            <w:tab w:pos="770" w:val="left" w:leader="none"/>
                          </w:tabs>
                          <w:spacing w:before="5"/>
                          <w:ind w:left="-1" w:right="48"/>
                          <w:jc w:val="right"/>
                          <w:rPr>
                            <w:sz w:val="20"/>
                          </w:rPr>
                        </w:pPr>
                        <w:r>
                          <w:rPr>
                            <w:color w:val="231F20"/>
                            <w:sz w:val="20"/>
                            <w:u w:val="single" w:color="231F20"/>
                          </w:rPr>
                          <w:tab/>
                        </w:r>
                        <w:r>
                          <w:rPr>
                            <w:color w:val="231F20"/>
                            <w:spacing w:val="-2"/>
                            <w:sz w:val="20"/>
                            <w:u w:val="single" w:color="231F20"/>
                          </w:rPr>
                          <w:t>334,862</w:t>
                        </w:r>
                        <w:r>
                          <w:rPr>
                            <w:color w:val="231F20"/>
                            <w:spacing w:val="80"/>
                            <w:sz w:val="20"/>
                            <w:u w:val="single" w:color="231F20"/>
                          </w:rPr>
                          <w:t> </w:t>
                        </w:r>
                      </w:p>
                    </w:tc>
                  </w:tr>
                  <w:tr>
                    <w:trPr>
                      <w:trHeight w:val="393" w:hRule="atLeast"/>
                    </w:trPr>
                    <w:tc>
                      <w:tcPr>
                        <w:tcW w:w="5785" w:type="dxa"/>
                      </w:tcPr>
                      <w:p>
                        <w:pPr>
                          <w:pStyle w:val="TableParagraph"/>
                          <w:spacing w:before="133"/>
                          <w:ind w:left="50"/>
                          <w:rPr>
                            <w:sz w:val="20"/>
                          </w:rPr>
                        </w:pPr>
                        <w:r>
                          <w:rPr>
                            <w:color w:val="231F20"/>
                            <w:sz w:val="20"/>
                          </w:rPr>
                          <w:t>TOTAL</w:t>
                        </w:r>
                        <w:r>
                          <w:rPr>
                            <w:color w:val="231F20"/>
                            <w:spacing w:val="-2"/>
                            <w:sz w:val="20"/>
                          </w:rPr>
                          <w:t> </w:t>
                        </w:r>
                        <w:r>
                          <w:rPr>
                            <w:color w:val="231F20"/>
                            <w:sz w:val="20"/>
                          </w:rPr>
                          <w:t>DEFERRED</w:t>
                        </w:r>
                        <w:r>
                          <w:rPr>
                            <w:color w:val="231F20"/>
                            <w:spacing w:val="-1"/>
                            <w:sz w:val="20"/>
                          </w:rPr>
                          <w:t> </w:t>
                        </w:r>
                        <w:r>
                          <w:rPr>
                            <w:color w:val="231F20"/>
                            <w:sz w:val="20"/>
                          </w:rPr>
                          <w:t>INFLOWS</w:t>
                        </w:r>
                        <w:r>
                          <w:rPr>
                            <w:color w:val="231F20"/>
                            <w:spacing w:val="-3"/>
                            <w:sz w:val="20"/>
                          </w:rPr>
                          <w:t> </w:t>
                        </w:r>
                        <w:r>
                          <w:rPr>
                            <w:color w:val="231F20"/>
                            <w:sz w:val="20"/>
                          </w:rPr>
                          <w:t>OF</w:t>
                        </w:r>
                        <w:r>
                          <w:rPr>
                            <w:color w:val="231F20"/>
                            <w:spacing w:val="-1"/>
                            <w:sz w:val="20"/>
                          </w:rPr>
                          <w:t> </w:t>
                        </w:r>
                        <w:r>
                          <w:rPr>
                            <w:color w:val="231F20"/>
                            <w:spacing w:val="-2"/>
                            <w:sz w:val="20"/>
                          </w:rPr>
                          <w:t>RESOURCES</w:t>
                        </w:r>
                      </w:p>
                    </w:tc>
                    <w:tc>
                      <w:tcPr>
                        <w:tcW w:w="1601" w:type="dxa"/>
                        <w:tcBorders>
                          <w:bottom w:val="single" w:sz="8" w:space="0" w:color="231F20"/>
                        </w:tcBorders>
                      </w:tcPr>
                      <w:p>
                        <w:pPr>
                          <w:pStyle w:val="TableParagraph"/>
                          <w:spacing w:before="133"/>
                          <w:jc w:val="right"/>
                          <w:rPr>
                            <w:sz w:val="20"/>
                          </w:rPr>
                        </w:pPr>
                        <w:r>
                          <w:rPr>
                            <w:color w:val="231F20"/>
                            <w:spacing w:val="49"/>
                            <w:sz w:val="20"/>
                            <w:u w:val="single" w:color="231F20"/>
                          </w:rPr>
                          <w:t> </w:t>
                        </w:r>
                        <w:r>
                          <w:rPr>
                            <w:color w:val="231F20"/>
                            <w:sz w:val="20"/>
                            <w:u w:val="single" w:color="231F20"/>
                          </w:rPr>
                          <w:t>$</w:t>
                        </w:r>
                        <w:r>
                          <w:rPr>
                            <w:color w:val="231F20"/>
                            <w:spacing w:val="79"/>
                            <w:w w:val="150"/>
                            <w:sz w:val="20"/>
                            <w:u w:val="single" w:color="231F20"/>
                          </w:rPr>
                          <w:t> </w:t>
                        </w:r>
                        <w:r>
                          <w:rPr>
                            <w:color w:val="231F20"/>
                            <w:spacing w:val="-2"/>
                            <w:sz w:val="20"/>
                            <w:u w:val="single" w:color="231F20"/>
                          </w:rPr>
                          <w:t>136,355,555</w:t>
                        </w:r>
                        <w:r>
                          <w:rPr>
                            <w:color w:val="231F20"/>
                            <w:spacing w:val="80"/>
                            <w:sz w:val="20"/>
                            <w:u w:val="single" w:color="231F20"/>
                          </w:rPr>
                          <w:t> </w:t>
                        </w:r>
                      </w:p>
                    </w:tc>
                    <w:tc>
                      <w:tcPr>
                        <w:tcW w:w="318" w:type="dxa"/>
                      </w:tcPr>
                      <w:p>
                        <w:pPr>
                          <w:pStyle w:val="TableParagraph"/>
                          <w:rPr>
                            <w:rFonts w:ascii="Times New Roman"/>
                            <w:sz w:val="20"/>
                          </w:rPr>
                        </w:pPr>
                      </w:p>
                    </w:tc>
                    <w:tc>
                      <w:tcPr>
                        <w:tcW w:w="1652" w:type="dxa"/>
                        <w:tcBorders>
                          <w:bottom w:val="single" w:sz="8" w:space="0" w:color="231F20"/>
                        </w:tcBorders>
                      </w:tcPr>
                      <w:p>
                        <w:pPr>
                          <w:pStyle w:val="TableParagraph"/>
                          <w:tabs>
                            <w:tab w:pos="769" w:val="left" w:leader="none"/>
                          </w:tabs>
                          <w:spacing w:before="133"/>
                          <w:ind w:right="48"/>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334,862</w:t>
                        </w:r>
                        <w:r>
                          <w:rPr>
                            <w:color w:val="231F20"/>
                            <w:spacing w:val="80"/>
                            <w:sz w:val="20"/>
                            <w:u w:val="single" w:color="231F20"/>
                          </w:rPr>
                          <w:t> </w:t>
                        </w:r>
                      </w:p>
                    </w:tc>
                  </w:tr>
                  <w:tr>
                    <w:trPr>
                      <w:trHeight w:val="479" w:hRule="atLeast"/>
                    </w:trPr>
                    <w:tc>
                      <w:tcPr>
                        <w:tcW w:w="5785" w:type="dxa"/>
                      </w:tcPr>
                      <w:p>
                        <w:pPr>
                          <w:pStyle w:val="TableParagraph"/>
                          <w:spacing w:before="3"/>
                          <w:rPr>
                            <w:sz w:val="20"/>
                          </w:rPr>
                        </w:pPr>
                      </w:p>
                      <w:p>
                        <w:pPr>
                          <w:pStyle w:val="TableParagraph"/>
                          <w:spacing w:line="226" w:lineRule="exact"/>
                          <w:ind w:right="409"/>
                          <w:jc w:val="right"/>
                          <w:rPr>
                            <w:b/>
                            <w:sz w:val="20"/>
                          </w:rPr>
                        </w:pPr>
                        <w:r>
                          <w:rPr>
                            <w:b/>
                            <w:color w:val="231F20"/>
                            <w:sz w:val="20"/>
                          </w:rPr>
                          <w:t>NET</w:t>
                        </w:r>
                        <w:r>
                          <w:rPr>
                            <w:b/>
                            <w:color w:val="231F20"/>
                            <w:spacing w:val="-5"/>
                            <w:sz w:val="20"/>
                          </w:rPr>
                          <w:t> </w:t>
                        </w:r>
                        <w:r>
                          <w:rPr>
                            <w:b/>
                            <w:color w:val="231F20"/>
                            <w:spacing w:val="-2"/>
                            <w:sz w:val="20"/>
                          </w:rPr>
                          <w:t>POSITION</w:t>
                        </w:r>
                      </w:p>
                    </w:tc>
                    <w:tc>
                      <w:tcPr>
                        <w:tcW w:w="1601" w:type="dxa"/>
                        <w:tcBorders>
                          <w:top w:val="single" w:sz="8" w:space="0" w:color="231F20"/>
                        </w:tcBorders>
                      </w:tcPr>
                      <w:p>
                        <w:pPr>
                          <w:pStyle w:val="TableParagraph"/>
                          <w:rPr>
                            <w:rFonts w:ascii="Times New Roman"/>
                            <w:sz w:val="20"/>
                          </w:rPr>
                        </w:pPr>
                      </w:p>
                    </w:tc>
                    <w:tc>
                      <w:tcPr>
                        <w:tcW w:w="318" w:type="dxa"/>
                      </w:tcPr>
                      <w:p>
                        <w:pPr>
                          <w:pStyle w:val="TableParagraph"/>
                          <w:rPr>
                            <w:rFonts w:ascii="Times New Roman"/>
                            <w:sz w:val="20"/>
                          </w:rPr>
                        </w:pPr>
                      </w:p>
                    </w:tc>
                    <w:tc>
                      <w:tcPr>
                        <w:tcW w:w="1652" w:type="dxa"/>
                        <w:tcBorders>
                          <w:top w:val="single" w:sz="8" w:space="0" w:color="231F20"/>
                        </w:tcBorders>
                      </w:tcPr>
                      <w:p>
                        <w:pPr>
                          <w:pStyle w:val="TableParagraph"/>
                          <w:rPr>
                            <w:rFonts w:ascii="Times New Roman"/>
                            <w:sz w:val="20"/>
                          </w:rPr>
                        </w:pPr>
                      </w:p>
                    </w:tc>
                  </w:tr>
                  <w:tr>
                    <w:trPr>
                      <w:trHeight w:val="359" w:hRule="atLeast"/>
                    </w:trPr>
                    <w:tc>
                      <w:tcPr>
                        <w:tcW w:w="5785" w:type="dxa"/>
                      </w:tcPr>
                      <w:p>
                        <w:pPr>
                          <w:pStyle w:val="TableParagraph"/>
                          <w:spacing w:before="9"/>
                          <w:ind w:left="50"/>
                          <w:rPr>
                            <w:sz w:val="20"/>
                          </w:rPr>
                        </w:pPr>
                        <w:r>
                          <w:rPr>
                            <w:color w:val="231F20"/>
                            <w:sz w:val="20"/>
                          </w:rPr>
                          <w:t>NET</w:t>
                        </w:r>
                        <w:r>
                          <w:rPr>
                            <w:color w:val="231F20"/>
                            <w:spacing w:val="-8"/>
                            <w:sz w:val="20"/>
                          </w:rPr>
                          <w:t> </w:t>
                        </w:r>
                        <w:r>
                          <w:rPr>
                            <w:color w:val="231F20"/>
                            <w:sz w:val="20"/>
                          </w:rPr>
                          <w:t>INVESTMENT</w:t>
                        </w:r>
                        <w:r>
                          <w:rPr>
                            <w:color w:val="231F20"/>
                            <w:spacing w:val="-6"/>
                            <w:sz w:val="20"/>
                          </w:rPr>
                          <w:t> </w:t>
                        </w:r>
                        <w:r>
                          <w:rPr>
                            <w:color w:val="231F20"/>
                            <w:sz w:val="20"/>
                          </w:rPr>
                          <w:t>IN</w:t>
                        </w:r>
                        <w:r>
                          <w:rPr>
                            <w:color w:val="231F20"/>
                            <w:spacing w:val="-6"/>
                            <w:sz w:val="20"/>
                          </w:rPr>
                          <w:t> </w:t>
                        </w:r>
                        <w:r>
                          <w:rPr>
                            <w:color w:val="231F20"/>
                            <w:sz w:val="20"/>
                          </w:rPr>
                          <w:t>CAPITAL</w:t>
                        </w:r>
                        <w:r>
                          <w:rPr>
                            <w:color w:val="231F20"/>
                            <w:spacing w:val="-6"/>
                            <w:sz w:val="20"/>
                          </w:rPr>
                          <w:t> </w:t>
                        </w:r>
                        <w:r>
                          <w:rPr>
                            <w:color w:val="231F20"/>
                            <w:spacing w:val="-2"/>
                            <w:sz w:val="20"/>
                          </w:rPr>
                          <w:t>ASSETS</w:t>
                        </w:r>
                      </w:p>
                    </w:tc>
                    <w:tc>
                      <w:tcPr>
                        <w:tcW w:w="1601" w:type="dxa"/>
                      </w:tcPr>
                      <w:p>
                        <w:pPr>
                          <w:pStyle w:val="TableParagraph"/>
                          <w:spacing w:before="9"/>
                          <w:ind w:left="105"/>
                          <w:rPr>
                            <w:sz w:val="20"/>
                          </w:rPr>
                        </w:pPr>
                        <w:r>
                          <w:rPr>
                            <w:color w:val="231F20"/>
                            <w:sz w:val="20"/>
                          </w:rPr>
                          <w:t>$</w:t>
                        </w:r>
                        <w:r>
                          <w:rPr>
                            <w:color w:val="231F20"/>
                            <w:spacing w:val="79"/>
                            <w:w w:val="150"/>
                            <w:sz w:val="20"/>
                          </w:rPr>
                          <w:t> </w:t>
                        </w:r>
                        <w:r>
                          <w:rPr>
                            <w:color w:val="231F20"/>
                            <w:spacing w:val="-2"/>
                            <w:sz w:val="20"/>
                          </w:rPr>
                          <w:t>139,653,749</w:t>
                        </w:r>
                      </w:p>
                    </w:tc>
                    <w:tc>
                      <w:tcPr>
                        <w:tcW w:w="318" w:type="dxa"/>
                      </w:tcPr>
                      <w:p>
                        <w:pPr>
                          <w:pStyle w:val="TableParagraph"/>
                          <w:rPr>
                            <w:rFonts w:ascii="Times New Roman"/>
                            <w:sz w:val="20"/>
                          </w:rPr>
                        </w:pPr>
                      </w:p>
                    </w:tc>
                    <w:tc>
                      <w:tcPr>
                        <w:tcW w:w="1652" w:type="dxa"/>
                      </w:tcPr>
                      <w:p>
                        <w:pPr>
                          <w:pStyle w:val="TableParagraph"/>
                          <w:tabs>
                            <w:tab w:pos="603" w:val="left" w:leader="none"/>
                          </w:tabs>
                          <w:spacing w:before="9"/>
                          <w:ind w:left="106"/>
                          <w:rPr>
                            <w:sz w:val="20"/>
                          </w:rPr>
                        </w:pPr>
                        <w:r>
                          <w:rPr>
                            <w:color w:val="231F20"/>
                            <w:spacing w:val="-10"/>
                            <w:sz w:val="20"/>
                          </w:rPr>
                          <w:t>$</w:t>
                        </w:r>
                        <w:r>
                          <w:rPr>
                            <w:color w:val="231F20"/>
                            <w:sz w:val="20"/>
                          </w:rPr>
                          <w:tab/>
                        </w:r>
                        <w:r>
                          <w:rPr>
                            <w:color w:val="231F20"/>
                            <w:spacing w:val="-2"/>
                            <w:sz w:val="20"/>
                          </w:rPr>
                          <w:t>1,263,535</w:t>
                        </w:r>
                      </w:p>
                    </w:tc>
                  </w:tr>
                  <w:tr>
                    <w:trPr>
                      <w:trHeight w:val="343" w:hRule="atLeast"/>
                    </w:trPr>
                    <w:tc>
                      <w:tcPr>
                        <w:tcW w:w="5785" w:type="dxa"/>
                      </w:tcPr>
                      <w:p>
                        <w:pPr>
                          <w:pStyle w:val="TableParagraph"/>
                          <w:spacing w:line="210" w:lineRule="exact" w:before="113"/>
                          <w:ind w:left="50"/>
                          <w:rPr>
                            <w:sz w:val="20"/>
                          </w:rPr>
                        </w:pPr>
                        <w:r>
                          <w:rPr>
                            <w:color w:val="231F20"/>
                            <w:sz w:val="20"/>
                          </w:rPr>
                          <w:t>RESTRICTED</w:t>
                        </w:r>
                        <w:r>
                          <w:rPr>
                            <w:color w:val="231F20"/>
                            <w:spacing w:val="-3"/>
                            <w:sz w:val="20"/>
                          </w:rPr>
                          <w:t> </w:t>
                        </w:r>
                        <w:r>
                          <w:rPr>
                            <w:color w:val="231F20"/>
                            <w:spacing w:val="-5"/>
                            <w:sz w:val="20"/>
                          </w:rPr>
                          <w:t>FOR</w:t>
                        </w:r>
                      </w:p>
                    </w:tc>
                    <w:tc>
                      <w:tcPr>
                        <w:tcW w:w="1601" w:type="dxa"/>
                      </w:tcPr>
                      <w:p>
                        <w:pPr>
                          <w:pStyle w:val="TableParagraph"/>
                          <w:rPr>
                            <w:rFonts w:ascii="Times New Roman"/>
                            <w:sz w:val="20"/>
                          </w:rPr>
                        </w:pPr>
                      </w:p>
                    </w:tc>
                    <w:tc>
                      <w:tcPr>
                        <w:tcW w:w="318" w:type="dxa"/>
                      </w:tcPr>
                      <w:p>
                        <w:pPr>
                          <w:pStyle w:val="TableParagraph"/>
                          <w:rPr>
                            <w:rFonts w:ascii="Times New Roman"/>
                            <w:sz w:val="20"/>
                          </w:rPr>
                        </w:pPr>
                      </w:p>
                    </w:tc>
                    <w:tc>
                      <w:tcPr>
                        <w:tcW w:w="1652" w:type="dxa"/>
                      </w:tcPr>
                      <w:p>
                        <w:pPr>
                          <w:pStyle w:val="TableParagraph"/>
                          <w:rPr>
                            <w:rFonts w:ascii="Times New Roman"/>
                            <w:sz w:val="20"/>
                          </w:rPr>
                        </w:pPr>
                      </w:p>
                    </w:tc>
                  </w:tr>
                  <w:tr>
                    <w:trPr>
                      <w:trHeight w:val="253" w:hRule="atLeast"/>
                    </w:trPr>
                    <w:tc>
                      <w:tcPr>
                        <w:tcW w:w="5785" w:type="dxa"/>
                      </w:tcPr>
                      <w:p>
                        <w:pPr>
                          <w:pStyle w:val="TableParagraph"/>
                          <w:spacing w:line="210" w:lineRule="exact" w:before="23"/>
                          <w:ind w:left="190"/>
                          <w:rPr>
                            <w:sz w:val="20"/>
                          </w:rPr>
                        </w:pPr>
                        <w:r>
                          <w:rPr>
                            <w:color w:val="231F20"/>
                            <w:spacing w:val="-2"/>
                            <w:sz w:val="20"/>
                          </w:rPr>
                          <w:t>Nonexpendable</w:t>
                        </w:r>
                      </w:p>
                    </w:tc>
                    <w:tc>
                      <w:tcPr>
                        <w:tcW w:w="1601" w:type="dxa"/>
                      </w:tcPr>
                      <w:p>
                        <w:pPr>
                          <w:pStyle w:val="TableParagraph"/>
                          <w:rPr>
                            <w:rFonts w:ascii="Times New Roman"/>
                            <w:sz w:val="18"/>
                          </w:rPr>
                        </w:pPr>
                      </w:p>
                    </w:tc>
                    <w:tc>
                      <w:tcPr>
                        <w:tcW w:w="318" w:type="dxa"/>
                      </w:tcPr>
                      <w:p>
                        <w:pPr>
                          <w:pStyle w:val="TableParagraph"/>
                          <w:rPr>
                            <w:rFonts w:ascii="Times New Roman"/>
                            <w:sz w:val="18"/>
                          </w:rPr>
                        </w:pPr>
                      </w:p>
                    </w:tc>
                    <w:tc>
                      <w:tcPr>
                        <w:tcW w:w="1652" w:type="dxa"/>
                      </w:tcPr>
                      <w:p>
                        <w:pPr>
                          <w:pStyle w:val="TableParagraph"/>
                          <w:rPr>
                            <w:rFonts w:ascii="Times New Roman"/>
                            <w:sz w:val="18"/>
                          </w:rPr>
                        </w:pPr>
                      </w:p>
                    </w:tc>
                  </w:tr>
                  <w:tr>
                    <w:trPr>
                      <w:trHeight w:val="261" w:hRule="atLeast"/>
                    </w:trPr>
                    <w:tc>
                      <w:tcPr>
                        <w:tcW w:w="5785" w:type="dxa"/>
                      </w:tcPr>
                      <w:p>
                        <w:pPr>
                          <w:pStyle w:val="TableParagraph"/>
                          <w:spacing w:line="223" w:lineRule="exact" w:before="18"/>
                          <w:ind w:left="330"/>
                          <w:rPr>
                            <w:sz w:val="20"/>
                          </w:rPr>
                        </w:pPr>
                        <w:r>
                          <w:rPr>
                            <w:color w:val="231F20"/>
                            <w:sz w:val="20"/>
                          </w:rPr>
                          <w:t>Endowments</w:t>
                        </w:r>
                        <w:r>
                          <w:rPr>
                            <w:color w:val="231F20"/>
                            <w:spacing w:val="-4"/>
                            <w:sz w:val="20"/>
                          </w:rPr>
                          <w:t> </w:t>
                        </w:r>
                        <w:r>
                          <w:rPr>
                            <w:color w:val="231F20"/>
                            <w:sz w:val="20"/>
                          </w:rPr>
                          <w:t>and</w:t>
                        </w:r>
                        <w:r>
                          <w:rPr>
                            <w:color w:val="231F20"/>
                            <w:spacing w:val="-1"/>
                            <w:sz w:val="20"/>
                          </w:rPr>
                          <w:t> </w:t>
                        </w:r>
                        <w:r>
                          <w:rPr>
                            <w:color w:val="231F20"/>
                            <w:sz w:val="20"/>
                          </w:rPr>
                          <w:t>all</w:t>
                        </w:r>
                        <w:r>
                          <w:rPr>
                            <w:color w:val="231F20"/>
                            <w:spacing w:val="-2"/>
                            <w:sz w:val="20"/>
                          </w:rPr>
                          <w:t> </w:t>
                        </w:r>
                        <w:r>
                          <w:rPr>
                            <w:color w:val="231F20"/>
                            <w:sz w:val="20"/>
                          </w:rPr>
                          <w:t>other</w:t>
                        </w:r>
                        <w:r>
                          <w:rPr>
                            <w:color w:val="231F20"/>
                            <w:spacing w:val="-1"/>
                            <w:sz w:val="20"/>
                          </w:rPr>
                          <w:t> </w:t>
                        </w:r>
                        <w:r>
                          <w:rPr>
                            <w:color w:val="231F20"/>
                            <w:spacing w:val="-2"/>
                            <w:sz w:val="20"/>
                          </w:rPr>
                          <w:t>nonexpendable</w:t>
                        </w:r>
                      </w:p>
                    </w:tc>
                    <w:tc>
                      <w:tcPr>
                        <w:tcW w:w="1601" w:type="dxa"/>
                      </w:tcPr>
                      <w:p>
                        <w:pPr>
                          <w:pStyle w:val="TableParagraph"/>
                          <w:spacing w:line="223" w:lineRule="exact" w:before="18"/>
                          <w:ind w:left="-2" w:right="107"/>
                          <w:jc w:val="right"/>
                          <w:rPr>
                            <w:sz w:val="20"/>
                          </w:rPr>
                        </w:pPr>
                        <w:r>
                          <w:rPr>
                            <w:color w:val="231F20"/>
                            <w:spacing w:val="-2"/>
                            <w:sz w:val="20"/>
                          </w:rPr>
                          <w:t>68,340,379</w:t>
                        </w:r>
                      </w:p>
                    </w:tc>
                    <w:tc>
                      <w:tcPr>
                        <w:tcW w:w="1970" w:type="dxa"/>
                        <w:gridSpan w:val="2"/>
                      </w:tcPr>
                      <w:p>
                        <w:pPr>
                          <w:pStyle w:val="TableParagraph"/>
                          <w:spacing w:line="223" w:lineRule="exact" w:before="18"/>
                          <w:ind w:left="810"/>
                          <w:rPr>
                            <w:sz w:val="20"/>
                          </w:rPr>
                        </w:pPr>
                        <w:r>
                          <w:rPr>
                            <w:color w:val="231F20"/>
                            <w:spacing w:val="-2"/>
                            <w:sz w:val="20"/>
                          </w:rPr>
                          <w:t>11,830,942</w:t>
                        </w:r>
                      </w:p>
                    </w:tc>
                  </w:tr>
                  <w:tr>
                    <w:trPr>
                      <w:trHeight w:val="495" w:hRule="atLeast"/>
                    </w:trPr>
                    <w:tc>
                      <w:tcPr>
                        <w:tcW w:w="5785" w:type="dxa"/>
                      </w:tcPr>
                      <w:p>
                        <w:pPr>
                          <w:pStyle w:val="TableParagraph"/>
                          <w:spacing w:before="5"/>
                          <w:ind w:right="4628"/>
                          <w:jc w:val="right"/>
                          <w:rPr>
                            <w:sz w:val="20"/>
                          </w:rPr>
                        </w:pPr>
                        <w:r>
                          <w:rPr>
                            <w:color w:val="231F20"/>
                            <w:spacing w:val="-2"/>
                            <w:sz w:val="20"/>
                          </w:rPr>
                          <w:t>Inventory</w:t>
                        </w:r>
                      </w:p>
                      <w:p>
                        <w:pPr>
                          <w:pStyle w:val="TableParagraph"/>
                          <w:spacing w:line="223" w:lineRule="exact" w:before="18"/>
                          <w:ind w:right="4535"/>
                          <w:jc w:val="right"/>
                          <w:rPr>
                            <w:sz w:val="20"/>
                          </w:rPr>
                        </w:pPr>
                        <w:r>
                          <w:rPr>
                            <w:color w:val="231F20"/>
                            <w:spacing w:val="-2"/>
                            <w:sz w:val="20"/>
                          </w:rPr>
                          <w:t>Expendable</w:t>
                        </w:r>
                      </w:p>
                    </w:tc>
                    <w:tc>
                      <w:tcPr>
                        <w:tcW w:w="1601" w:type="dxa"/>
                      </w:tcPr>
                      <w:p>
                        <w:pPr>
                          <w:pStyle w:val="TableParagraph"/>
                          <w:spacing w:before="5"/>
                          <w:ind w:left="-2" w:right="104"/>
                          <w:jc w:val="right"/>
                          <w:rPr>
                            <w:sz w:val="20"/>
                          </w:rPr>
                        </w:pPr>
                        <w:r>
                          <w:rPr>
                            <w:color w:val="231F20"/>
                            <w:spacing w:val="-2"/>
                            <w:sz w:val="20"/>
                          </w:rPr>
                          <w:t>1,949,388</w:t>
                        </w:r>
                      </w:p>
                    </w:tc>
                    <w:tc>
                      <w:tcPr>
                        <w:tcW w:w="1970" w:type="dxa"/>
                        <w:gridSpan w:val="2"/>
                      </w:tcPr>
                      <w:p>
                        <w:pPr>
                          <w:pStyle w:val="TableParagraph"/>
                          <w:spacing w:before="5"/>
                          <w:ind w:right="155"/>
                          <w:jc w:val="right"/>
                          <w:rPr>
                            <w:sz w:val="20"/>
                          </w:rPr>
                        </w:pPr>
                        <w:r>
                          <w:rPr>
                            <w:color w:val="231F20"/>
                            <w:w w:val="100"/>
                            <w:sz w:val="20"/>
                          </w:rPr>
                          <w:t>-</w:t>
                        </w:r>
                      </w:p>
                    </w:tc>
                  </w:tr>
                  <w:tr>
                    <w:trPr>
                      <w:trHeight w:val="248" w:hRule="atLeast"/>
                    </w:trPr>
                    <w:tc>
                      <w:tcPr>
                        <w:tcW w:w="5785" w:type="dxa"/>
                      </w:tcPr>
                      <w:p>
                        <w:pPr>
                          <w:pStyle w:val="TableParagraph"/>
                          <w:spacing w:line="223" w:lineRule="exact" w:before="5"/>
                          <w:ind w:left="301"/>
                          <w:rPr>
                            <w:sz w:val="20"/>
                          </w:rPr>
                        </w:pPr>
                        <w:r>
                          <w:rPr>
                            <w:color w:val="231F20"/>
                            <w:sz w:val="20"/>
                          </w:rPr>
                          <w:t>Scholarships,</w:t>
                        </w:r>
                        <w:r>
                          <w:rPr>
                            <w:color w:val="231F20"/>
                            <w:spacing w:val="-7"/>
                            <w:sz w:val="20"/>
                          </w:rPr>
                          <w:t> </w:t>
                        </w:r>
                        <w:r>
                          <w:rPr>
                            <w:color w:val="231F20"/>
                            <w:sz w:val="20"/>
                          </w:rPr>
                          <w:t>research,</w:t>
                        </w:r>
                        <w:r>
                          <w:rPr>
                            <w:color w:val="231F20"/>
                            <w:spacing w:val="-2"/>
                            <w:sz w:val="20"/>
                          </w:rPr>
                          <w:t> </w:t>
                        </w:r>
                        <w:r>
                          <w:rPr>
                            <w:color w:val="231F20"/>
                            <w:sz w:val="20"/>
                          </w:rPr>
                          <w:t>instruction,</w:t>
                        </w:r>
                        <w:r>
                          <w:rPr>
                            <w:color w:val="231F20"/>
                            <w:spacing w:val="-4"/>
                            <w:sz w:val="20"/>
                          </w:rPr>
                          <w:t> </w:t>
                        </w:r>
                        <w:r>
                          <w:rPr>
                            <w:color w:val="231F20"/>
                            <w:sz w:val="20"/>
                          </w:rPr>
                          <w:t>and</w:t>
                        </w:r>
                        <w:r>
                          <w:rPr>
                            <w:color w:val="231F20"/>
                            <w:spacing w:val="-4"/>
                            <w:sz w:val="20"/>
                          </w:rPr>
                          <w:t> </w:t>
                        </w:r>
                        <w:r>
                          <w:rPr>
                            <w:color w:val="231F20"/>
                            <w:spacing w:val="-2"/>
                            <w:sz w:val="20"/>
                          </w:rPr>
                          <w:t>other</w:t>
                        </w:r>
                      </w:p>
                    </w:tc>
                    <w:tc>
                      <w:tcPr>
                        <w:tcW w:w="1601" w:type="dxa"/>
                      </w:tcPr>
                      <w:p>
                        <w:pPr>
                          <w:pStyle w:val="TableParagraph"/>
                          <w:spacing w:line="223" w:lineRule="exact" w:before="5"/>
                          <w:ind w:left="-2" w:right="108"/>
                          <w:jc w:val="right"/>
                          <w:rPr>
                            <w:sz w:val="20"/>
                          </w:rPr>
                        </w:pPr>
                        <w:r>
                          <w:rPr>
                            <w:color w:val="231F20"/>
                            <w:spacing w:val="-2"/>
                            <w:sz w:val="20"/>
                          </w:rPr>
                          <w:t>12,151,271</w:t>
                        </w:r>
                      </w:p>
                    </w:tc>
                    <w:tc>
                      <w:tcPr>
                        <w:tcW w:w="1970" w:type="dxa"/>
                        <w:gridSpan w:val="2"/>
                      </w:tcPr>
                      <w:p>
                        <w:pPr>
                          <w:pStyle w:val="TableParagraph"/>
                          <w:spacing w:line="223" w:lineRule="exact" w:before="5"/>
                          <w:ind w:left="921"/>
                          <w:rPr>
                            <w:sz w:val="20"/>
                          </w:rPr>
                        </w:pPr>
                        <w:r>
                          <w:rPr>
                            <w:color w:val="231F20"/>
                            <w:spacing w:val="-2"/>
                            <w:sz w:val="20"/>
                          </w:rPr>
                          <w:t>2,747,033</w:t>
                        </w:r>
                      </w:p>
                    </w:tc>
                  </w:tr>
                  <w:tr>
                    <w:trPr>
                      <w:trHeight w:val="248" w:hRule="atLeast"/>
                    </w:trPr>
                    <w:tc>
                      <w:tcPr>
                        <w:tcW w:w="5785" w:type="dxa"/>
                      </w:tcPr>
                      <w:p>
                        <w:pPr>
                          <w:pStyle w:val="TableParagraph"/>
                          <w:spacing w:line="223" w:lineRule="exact" w:before="5"/>
                          <w:ind w:left="300"/>
                          <w:rPr>
                            <w:sz w:val="20"/>
                          </w:rPr>
                        </w:pPr>
                        <w:r>
                          <w:rPr>
                            <w:color w:val="231F20"/>
                            <w:sz w:val="20"/>
                          </w:rPr>
                          <w:t>Other</w:t>
                        </w:r>
                        <w:r>
                          <w:rPr>
                            <w:color w:val="231F20"/>
                            <w:spacing w:val="-10"/>
                            <w:sz w:val="20"/>
                          </w:rPr>
                          <w:t> </w:t>
                        </w:r>
                        <w:r>
                          <w:rPr>
                            <w:color w:val="231F20"/>
                            <w:sz w:val="20"/>
                          </w:rPr>
                          <w:t>postemployment</w:t>
                        </w:r>
                        <w:r>
                          <w:rPr>
                            <w:color w:val="231F20"/>
                            <w:spacing w:val="-9"/>
                            <w:sz w:val="20"/>
                          </w:rPr>
                          <w:t> </w:t>
                        </w:r>
                        <w:r>
                          <w:rPr>
                            <w:color w:val="231F20"/>
                            <w:spacing w:val="-2"/>
                            <w:sz w:val="20"/>
                          </w:rPr>
                          <w:t>benefits</w:t>
                        </w:r>
                      </w:p>
                    </w:tc>
                    <w:tc>
                      <w:tcPr>
                        <w:tcW w:w="1601" w:type="dxa"/>
                      </w:tcPr>
                      <w:p>
                        <w:pPr>
                          <w:pStyle w:val="TableParagraph"/>
                          <w:spacing w:line="223" w:lineRule="exact" w:before="5"/>
                          <w:ind w:left="-2" w:right="42"/>
                          <w:jc w:val="right"/>
                          <w:rPr>
                            <w:sz w:val="20"/>
                          </w:rPr>
                        </w:pPr>
                        <w:r>
                          <w:rPr>
                            <w:color w:val="231F20"/>
                            <w:spacing w:val="-2"/>
                            <w:sz w:val="20"/>
                          </w:rPr>
                          <w:t>(40,535,860)</w:t>
                        </w:r>
                      </w:p>
                    </w:tc>
                    <w:tc>
                      <w:tcPr>
                        <w:tcW w:w="1970" w:type="dxa"/>
                        <w:gridSpan w:val="2"/>
                      </w:tcPr>
                      <w:p>
                        <w:pPr>
                          <w:pStyle w:val="TableParagraph"/>
                          <w:spacing w:line="223" w:lineRule="exact" w:before="5"/>
                          <w:ind w:right="155"/>
                          <w:jc w:val="right"/>
                          <w:rPr>
                            <w:sz w:val="20"/>
                          </w:rPr>
                        </w:pPr>
                        <w:r>
                          <w:rPr>
                            <w:color w:val="231F20"/>
                            <w:w w:val="100"/>
                            <w:sz w:val="20"/>
                          </w:rPr>
                          <w:t>-</w:t>
                        </w:r>
                      </w:p>
                    </w:tc>
                  </w:tr>
                  <w:tr>
                    <w:trPr>
                      <w:trHeight w:val="248" w:hRule="atLeast"/>
                    </w:trPr>
                    <w:tc>
                      <w:tcPr>
                        <w:tcW w:w="5785" w:type="dxa"/>
                      </w:tcPr>
                      <w:p>
                        <w:pPr>
                          <w:pStyle w:val="TableParagraph"/>
                          <w:spacing w:line="223" w:lineRule="exact" w:before="5"/>
                          <w:ind w:left="301"/>
                          <w:rPr>
                            <w:sz w:val="20"/>
                          </w:rPr>
                        </w:pPr>
                        <w:r>
                          <w:rPr>
                            <w:color w:val="231F20"/>
                            <w:sz w:val="20"/>
                          </w:rPr>
                          <w:t>Employee</w:t>
                        </w:r>
                        <w:r>
                          <w:rPr>
                            <w:color w:val="231F20"/>
                            <w:spacing w:val="-8"/>
                            <w:sz w:val="20"/>
                          </w:rPr>
                          <w:t> </w:t>
                        </w:r>
                        <w:r>
                          <w:rPr>
                            <w:color w:val="231F20"/>
                            <w:sz w:val="20"/>
                          </w:rPr>
                          <w:t>benefit</w:t>
                        </w:r>
                        <w:r>
                          <w:rPr>
                            <w:color w:val="231F20"/>
                            <w:spacing w:val="-8"/>
                            <w:sz w:val="20"/>
                          </w:rPr>
                          <w:t> </w:t>
                        </w:r>
                        <w:r>
                          <w:rPr>
                            <w:color w:val="231F20"/>
                            <w:spacing w:val="-2"/>
                            <w:sz w:val="20"/>
                          </w:rPr>
                          <w:t>trust</w:t>
                        </w:r>
                      </w:p>
                    </w:tc>
                    <w:tc>
                      <w:tcPr>
                        <w:tcW w:w="1601" w:type="dxa"/>
                      </w:tcPr>
                      <w:p>
                        <w:pPr>
                          <w:pStyle w:val="TableParagraph"/>
                          <w:spacing w:line="223" w:lineRule="exact" w:before="5"/>
                          <w:ind w:left="-2" w:right="107"/>
                          <w:jc w:val="right"/>
                          <w:rPr>
                            <w:sz w:val="20"/>
                          </w:rPr>
                        </w:pPr>
                        <w:r>
                          <w:rPr>
                            <w:color w:val="231F20"/>
                            <w:spacing w:val="-2"/>
                            <w:sz w:val="20"/>
                          </w:rPr>
                          <w:t>4,379,433</w:t>
                        </w:r>
                      </w:p>
                    </w:tc>
                    <w:tc>
                      <w:tcPr>
                        <w:tcW w:w="1970" w:type="dxa"/>
                        <w:gridSpan w:val="2"/>
                      </w:tcPr>
                      <w:p>
                        <w:pPr>
                          <w:pStyle w:val="TableParagraph"/>
                          <w:spacing w:line="223" w:lineRule="exact" w:before="5"/>
                          <w:ind w:right="155"/>
                          <w:jc w:val="right"/>
                          <w:rPr>
                            <w:sz w:val="20"/>
                          </w:rPr>
                        </w:pPr>
                        <w:r>
                          <w:rPr>
                            <w:color w:val="231F20"/>
                            <w:w w:val="100"/>
                            <w:sz w:val="20"/>
                          </w:rPr>
                          <w:t>-</w:t>
                        </w:r>
                      </w:p>
                    </w:tc>
                  </w:tr>
                  <w:tr>
                    <w:trPr>
                      <w:trHeight w:val="356" w:hRule="atLeast"/>
                    </w:trPr>
                    <w:tc>
                      <w:tcPr>
                        <w:tcW w:w="5785" w:type="dxa"/>
                      </w:tcPr>
                      <w:p>
                        <w:pPr>
                          <w:pStyle w:val="TableParagraph"/>
                          <w:spacing w:before="5"/>
                          <w:ind w:left="301"/>
                          <w:rPr>
                            <w:sz w:val="20"/>
                          </w:rPr>
                        </w:pPr>
                        <w:r>
                          <w:rPr>
                            <w:color w:val="231F20"/>
                            <w:spacing w:val="-2"/>
                            <w:sz w:val="20"/>
                          </w:rPr>
                          <w:t>Loans</w:t>
                        </w:r>
                      </w:p>
                    </w:tc>
                    <w:tc>
                      <w:tcPr>
                        <w:tcW w:w="1601" w:type="dxa"/>
                      </w:tcPr>
                      <w:p>
                        <w:pPr>
                          <w:pStyle w:val="TableParagraph"/>
                          <w:spacing w:before="5"/>
                          <w:ind w:left="-2" w:right="107"/>
                          <w:jc w:val="right"/>
                          <w:rPr>
                            <w:sz w:val="20"/>
                          </w:rPr>
                        </w:pPr>
                        <w:r>
                          <w:rPr>
                            <w:color w:val="231F20"/>
                            <w:spacing w:val="-2"/>
                            <w:sz w:val="20"/>
                          </w:rPr>
                          <w:t>845,778</w:t>
                        </w:r>
                      </w:p>
                    </w:tc>
                    <w:tc>
                      <w:tcPr>
                        <w:tcW w:w="1970" w:type="dxa"/>
                        <w:gridSpan w:val="2"/>
                      </w:tcPr>
                      <w:p>
                        <w:pPr>
                          <w:pStyle w:val="TableParagraph"/>
                          <w:spacing w:before="5"/>
                          <w:ind w:right="154"/>
                          <w:jc w:val="right"/>
                          <w:rPr>
                            <w:sz w:val="20"/>
                          </w:rPr>
                        </w:pPr>
                        <w:r>
                          <w:rPr>
                            <w:color w:val="231F20"/>
                            <w:w w:val="100"/>
                            <w:sz w:val="20"/>
                          </w:rPr>
                          <w:t>-</w:t>
                        </w:r>
                      </w:p>
                    </w:tc>
                  </w:tr>
                  <w:tr>
                    <w:trPr>
                      <w:trHeight w:val="485" w:hRule="atLeast"/>
                    </w:trPr>
                    <w:tc>
                      <w:tcPr>
                        <w:tcW w:w="5785" w:type="dxa"/>
                      </w:tcPr>
                      <w:p>
                        <w:pPr>
                          <w:pStyle w:val="TableParagraph"/>
                          <w:spacing w:before="113"/>
                          <w:ind w:left="50"/>
                          <w:rPr>
                            <w:sz w:val="20"/>
                          </w:rPr>
                        </w:pPr>
                        <w:r>
                          <w:rPr>
                            <w:color w:val="231F20"/>
                            <w:sz w:val="20"/>
                          </w:rPr>
                          <w:t>UNRESTRICTED</w:t>
                        </w:r>
                        <w:r>
                          <w:rPr>
                            <w:color w:val="231F20"/>
                            <w:spacing w:val="-6"/>
                            <w:sz w:val="20"/>
                          </w:rPr>
                          <w:t> </w:t>
                        </w:r>
                        <w:r>
                          <w:rPr>
                            <w:color w:val="231F20"/>
                            <w:sz w:val="20"/>
                          </w:rPr>
                          <w:t>NET</w:t>
                        </w:r>
                        <w:r>
                          <w:rPr>
                            <w:color w:val="231F20"/>
                            <w:spacing w:val="-5"/>
                            <w:sz w:val="20"/>
                          </w:rPr>
                          <w:t> </w:t>
                        </w:r>
                        <w:r>
                          <w:rPr>
                            <w:color w:val="231F20"/>
                            <w:sz w:val="20"/>
                          </w:rPr>
                          <w:t>(DEFICIT)</w:t>
                        </w:r>
                        <w:r>
                          <w:rPr>
                            <w:color w:val="231F20"/>
                            <w:spacing w:val="-5"/>
                            <w:sz w:val="20"/>
                          </w:rPr>
                          <w:t> </w:t>
                        </w:r>
                        <w:r>
                          <w:rPr>
                            <w:color w:val="231F20"/>
                            <w:spacing w:val="-2"/>
                            <w:sz w:val="20"/>
                          </w:rPr>
                          <w:t>POSITION</w:t>
                        </w:r>
                      </w:p>
                    </w:tc>
                    <w:tc>
                      <w:tcPr>
                        <w:tcW w:w="1601" w:type="dxa"/>
                      </w:tcPr>
                      <w:p>
                        <w:pPr>
                          <w:pStyle w:val="TableParagraph"/>
                          <w:tabs>
                            <w:tab w:pos="423" w:val="left" w:leader="none"/>
                          </w:tabs>
                          <w:spacing w:before="113"/>
                          <w:ind w:left="-2" w:right="39"/>
                          <w:jc w:val="right"/>
                          <w:rPr>
                            <w:sz w:val="20"/>
                          </w:rPr>
                        </w:pPr>
                        <w:r>
                          <w:rPr>
                            <w:color w:val="231F20"/>
                            <w:sz w:val="20"/>
                            <w:u w:val="thick" w:color="231F20"/>
                          </w:rPr>
                          <w:tab/>
                        </w:r>
                        <w:r>
                          <w:rPr>
                            <w:color w:val="231F20"/>
                            <w:spacing w:val="-2"/>
                            <w:sz w:val="20"/>
                            <w:u w:val="thick" w:color="231F20"/>
                          </w:rPr>
                          <w:t>(94,079,803)</w:t>
                        </w:r>
                      </w:p>
                    </w:tc>
                    <w:tc>
                      <w:tcPr>
                        <w:tcW w:w="1970" w:type="dxa"/>
                        <w:gridSpan w:val="2"/>
                      </w:tcPr>
                      <w:p>
                        <w:pPr>
                          <w:pStyle w:val="TableParagraph"/>
                          <w:tabs>
                            <w:tab w:pos="810" w:val="left" w:leader="none"/>
                          </w:tabs>
                          <w:spacing w:before="113"/>
                          <w:ind w:left="317"/>
                          <w:rPr>
                            <w:sz w:val="20"/>
                          </w:rPr>
                        </w:pPr>
                        <w:r>
                          <w:rPr>
                            <w:color w:val="231F20"/>
                            <w:sz w:val="20"/>
                            <w:u w:val="thick" w:color="231F20"/>
                          </w:rPr>
                          <w:tab/>
                        </w:r>
                        <w:r>
                          <w:rPr>
                            <w:color w:val="231F20"/>
                            <w:spacing w:val="-2"/>
                            <w:sz w:val="20"/>
                            <w:u w:val="thick" w:color="231F20"/>
                          </w:rPr>
                          <w:t>20,795,790</w:t>
                        </w:r>
                        <w:r>
                          <w:rPr>
                            <w:color w:val="231F20"/>
                            <w:spacing w:val="80"/>
                            <w:sz w:val="20"/>
                            <w:u w:val="thick" w:color="231F20"/>
                          </w:rPr>
                          <w:t> </w:t>
                        </w:r>
                      </w:p>
                    </w:tc>
                  </w:tr>
                  <w:tr>
                    <w:trPr>
                      <w:trHeight w:val="415" w:hRule="atLeast"/>
                    </w:trPr>
                    <w:tc>
                      <w:tcPr>
                        <w:tcW w:w="5785" w:type="dxa"/>
                      </w:tcPr>
                      <w:p>
                        <w:pPr>
                          <w:pStyle w:val="TableParagraph"/>
                          <w:spacing w:before="135"/>
                          <w:ind w:left="50"/>
                          <w:rPr>
                            <w:sz w:val="20"/>
                          </w:rPr>
                        </w:pPr>
                        <w:r>
                          <w:rPr>
                            <w:color w:val="231F20"/>
                            <w:sz w:val="20"/>
                          </w:rPr>
                          <w:t>TOTAL</w:t>
                        </w:r>
                        <w:r>
                          <w:rPr>
                            <w:color w:val="231F20"/>
                            <w:spacing w:val="-2"/>
                            <w:sz w:val="20"/>
                          </w:rPr>
                          <w:t> </w:t>
                        </w:r>
                        <w:r>
                          <w:rPr>
                            <w:color w:val="231F20"/>
                            <w:sz w:val="20"/>
                          </w:rPr>
                          <w:t>NET</w:t>
                        </w:r>
                        <w:r>
                          <w:rPr>
                            <w:color w:val="231F20"/>
                            <w:spacing w:val="-2"/>
                            <w:sz w:val="20"/>
                          </w:rPr>
                          <w:t> POSITION</w:t>
                        </w:r>
                      </w:p>
                    </w:tc>
                    <w:tc>
                      <w:tcPr>
                        <w:tcW w:w="1601" w:type="dxa"/>
                      </w:tcPr>
                      <w:p>
                        <w:pPr>
                          <w:pStyle w:val="TableParagraph"/>
                          <w:tabs>
                            <w:tab w:pos="493" w:val="left" w:leader="none"/>
                          </w:tabs>
                          <w:spacing w:before="135"/>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92,704,335</w:t>
                        </w:r>
                        <w:r>
                          <w:rPr>
                            <w:color w:val="231F20"/>
                            <w:spacing w:val="80"/>
                            <w:sz w:val="20"/>
                            <w:u w:val="single" w:color="231F20"/>
                          </w:rPr>
                          <w:t> </w:t>
                        </w:r>
                      </w:p>
                    </w:tc>
                    <w:tc>
                      <w:tcPr>
                        <w:tcW w:w="1970" w:type="dxa"/>
                        <w:gridSpan w:val="2"/>
                      </w:tcPr>
                      <w:p>
                        <w:pPr>
                          <w:pStyle w:val="TableParagraph"/>
                          <w:tabs>
                            <w:tab w:pos="809" w:val="left" w:leader="none"/>
                          </w:tabs>
                          <w:spacing w:before="135"/>
                          <w:ind w:left="319"/>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36,637,300</w:t>
                        </w:r>
                        <w:r>
                          <w:rPr>
                            <w:color w:val="231F20"/>
                            <w:spacing w:val="80"/>
                            <w:sz w:val="20"/>
                            <w:u w:val="single" w:color="231F20"/>
                          </w:rPr>
                          <w:t> </w:t>
                        </w:r>
                      </w:p>
                    </w:tc>
                  </w:tr>
                </w:tbl>
                <w:p>
                  <w:pPr>
                    <w:pStyle w:val="BodyText"/>
                  </w:pPr>
                </w:p>
              </w:txbxContent>
            </v:textbox>
            <w10:wrap type="none"/>
          </v:shape>
        </w:pict>
      </w:r>
      <w:r>
        <w:rPr>
          <w:color w:val="231F20"/>
        </w:rPr>
        <w:t>Total current liabilities</w:t>
        <w:tab/>
      </w:r>
      <w:r>
        <w:rPr>
          <w:color w:val="231F20"/>
          <w:u w:val="single" w:color="231F20"/>
        </w:rPr>
        <w:tab/>
        <w:t>18,630,331</w:t>
      </w:r>
      <w:r>
        <w:rPr>
          <w:color w:val="231F20"/>
          <w:spacing w:val="40"/>
          <w:u w:val="single" w:color="231F20"/>
        </w:rPr>
        <w:t> </w:t>
      </w:r>
      <w:r>
        <w:rPr>
          <w:color w:val="231F20"/>
        </w:rPr>
        <w:tab/>
      </w:r>
      <w:r>
        <w:rPr>
          <w:color w:val="231F20"/>
          <w:u w:val="single" w:color="231F20"/>
        </w:rPr>
        <w:tab/>
        <w:t>1,526,412</w:t>
      </w:r>
      <w:r>
        <w:rPr>
          <w:color w:val="231F20"/>
          <w:spacing w:val="15"/>
          <w:u w:val="single" w:color="231F20"/>
        </w:rPr>
        <w:t> </w:t>
      </w:r>
      <w:r>
        <w:rPr>
          <w:color w:val="231F20"/>
          <w:spacing w:val="15"/>
        </w:rPr>
        <w:t> </w:t>
      </w:r>
      <w:r>
        <w:rPr>
          <w:color w:val="231F20"/>
        </w:rPr>
        <w:t>NONCURRENT LIABILITIES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3"/>
        </w:rPr>
      </w:pPr>
      <w:r>
        <w:rPr/>
        <w:pict>
          <v:rect style="position:absolute;margin-left:361.140991pt;margin-top:14.423877pt;width:80.040pt;height:.96008pt;mso-position-horizontal-relative:page;mso-position-vertical-relative:paragraph;z-index:-15708672;mso-wrap-distance-left:0;mso-wrap-distance-right:0" id="docshape221" filled="true" fillcolor="#231f20" stroked="false">
            <v:fill type="solid"/>
            <w10:wrap type="topAndBottom"/>
          </v:rect>
        </w:pict>
      </w:r>
      <w:r>
        <w:rPr/>
        <w:pict>
          <v:rect style="position:absolute;margin-left:457.140991pt;margin-top:14.423877pt;width:80.040pt;height:.96008pt;mso-position-horizontal-relative:page;mso-position-vertical-relative:paragraph;z-index:-15708160;mso-wrap-distance-left:0;mso-wrap-distance-right:0" id="docshape222" filled="true" fillcolor="#231f20" stroked="false">
            <v:fill type="solid"/>
            <w10:wrap type="topAndBottom"/>
          </v:rect>
        </w:pict>
      </w:r>
    </w:p>
    <w:p>
      <w:pPr>
        <w:spacing w:after="0"/>
        <w:rPr>
          <w:sz w:val="23"/>
        </w:rPr>
        <w:sectPr>
          <w:type w:val="continuous"/>
          <w:pgSz w:w="12240" w:h="15840"/>
          <w:pgMar w:header="1270" w:footer="1097" w:top="1460" w:bottom="280" w:left="0" w:right="580"/>
        </w:sectPr>
      </w:pPr>
    </w:p>
    <w:p>
      <w:pPr>
        <w:pStyle w:val="BodyText"/>
      </w:pPr>
    </w:p>
    <w:p>
      <w:pPr>
        <w:pStyle w:val="BodyText"/>
        <w:spacing w:before="6"/>
        <w:rPr>
          <w:sz w:val="19"/>
        </w:rPr>
      </w:pPr>
    </w:p>
    <w:p>
      <w:pPr>
        <w:spacing w:after="0"/>
        <w:rPr>
          <w:sz w:val="19"/>
        </w:rPr>
        <w:sectPr>
          <w:headerReference w:type="default" r:id="rId37"/>
          <w:footerReference w:type="default" r:id="rId38"/>
          <w:pgSz w:w="12240" w:h="15840"/>
          <w:pgMar w:header="994" w:footer="1097" w:top="2180" w:bottom="1280" w:left="0" w:right="580"/>
        </w:sectPr>
      </w:pPr>
    </w:p>
    <w:p>
      <w:pPr>
        <w:pStyle w:val="BodyText"/>
        <w:rPr>
          <w:sz w:val="22"/>
        </w:rPr>
      </w:pPr>
    </w:p>
    <w:p>
      <w:pPr>
        <w:pStyle w:val="BodyText"/>
        <w:spacing w:before="4"/>
        <w:rPr>
          <w:sz w:val="29"/>
        </w:rPr>
      </w:pPr>
    </w:p>
    <w:p>
      <w:pPr>
        <w:pStyle w:val="BodyText"/>
        <w:spacing w:before="1"/>
        <w:ind w:left="1488"/>
      </w:pPr>
      <w:r>
        <w:rPr>
          <w:color w:val="231F20"/>
        </w:rPr>
        <w:t>OPERATING</w:t>
      </w:r>
      <w:r>
        <w:rPr>
          <w:color w:val="231F20"/>
          <w:spacing w:val="-3"/>
        </w:rPr>
        <w:t> </w:t>
      </w:r>
      <w:r>
        <w:rPr>
          <w:color w:val="231F20"/>
          <w:spacing w:val="-2"/>
        </w:rPr>
        <w:t>REVENUES</w:t>
      </w:r>
    </w:p>
    <w:p>
      <w:pPr>
        <w:pStyle w:val="BodyText"/>
        <w:spacing w:before="19"/>
        <w:ind w:left="1628"/>
      </w:pPr>
      <w:r>
        <w:rPr>
          <w:color w:val="231F20"/>
        </w:rPr>
        <w:t>Tuition</w:t>
      </w:r>
      <w:r>
        <w:rPr>
          <w:color w:val="231F20"/>
          <w:spacing w:val="-4"/>
        </w:rPr>
        <w:t> </w:t>
      </w:r>
      <w:r>
        <w:rPr>
          <w:color w:val="231F20"/>
        </w:rPr>
        <w:t>and</w:t>
      </w:r>
      <w:r>
        <w:rPr>
          <w:color w:val="231F20"/>
          <w:spacing w:val="-3"/>
        </w:rPr>
        <w:t> </w:t>
      </w:r>
      <w:r>
        <w:rPr>
          <w:color w:val="231F20"/>
        </w:rPr>
        <w:t>fees,</w:t>
      </w:r>
      <w:r>
        <w:rPr>
          <w:color w:val="231F20"/>
          <w:spacing w:val="-3"/>
        </w:rPr>
        <w:t> </w:t>
      </w:r>
      <w:r>
        <w:rPr>
          <w:color w:val="231F20"/>
        </w:rPr>
        <w:t>net</w:t>
      </w:r>
      <w:r>
        <w:rPr>
          <w:color w:val="231F20"/>
          <w:spacing w:val="-3"/>
        </w:rPr>
        <w:t> </w:t>
      </w:r>
      <w:r>
        <w:rPr>
          <w:color w:val="231F20"/>
        </w:rPr>
        <w:t>of</w:t>
      </w:r>
      <w:r>
        <w:rPr>
          <w:color w:val="231F20"/>
          <w:spacing w:val="-3"/>
        </w:rPr>
        <w:t> </w:t>
      </w:r>
      <w:r>
        <w:rPr>
          <w:color w:val="231F20"/>
        </w:rPr>
        <w:t>discounts</w:t>
      </w:r>
      <w:r>
        <w:rPr>
          <w:color w:val="231F20"/>
          <w:spacing w:val="-3"/>
        </w:rPr>
        <w:t> </w:t>
      </w:r>
      <w:r>
        <w:rPr>
          <w:color w:val="231F20"/>
          <w:spacing w:val="-5"/>
        </w:rPr>
        <w:t>and</w:t>
      </w:r>
    </w:p>
    <w:p>
      <w:pPr>
        <w:pStyle w:val="BodyText"/>
        <w:spacing w:before="93"/>
        <w:ind w:right="933"/>
        <w:jc w:val="right"/>
      </w:pPr>
      <w:r>
        <w:rPr/>
        <w:br w:type="column"/>
      </w:r>
      <w:r>
        <w:rPr>
          <w:color w:val="231F20"/>
        </w:rPr>
        <w:t>Component</w:t>
      </w:r>
      <w:r>
        <w:rPr>
          <w:color w:val="231F20"/>
          <w:spacing w:val="-7"/>
        </w:rPr>
        <w:t> </w:t>
      </w:r>
      <w:r>
        <w:rPr>
          <w:color w:val="231F20"/>
          <w:spacing w:val="-4"/>
        </w:rPr>
        <w:t>Unit</w:t>
      </w:r>
    </w:p>
    <w:p>
      <w:pPr>
        <w:pStyle w:val="BodyText"/>
        <w:tabs>
          <w:tab w:pos="416" w:val="left" w:leader="none"/>
          <w:tab w:pos="1514" w:val="left" w:leader="none"/>
          <w:tab w:pos="1832" w:val="left" w:leader="none"/>
          <w:tab w:pos="2105" w:val="left" w:leader="none"/>
          <w:tab w:pos="3361" w:val="left" w:leader="none"/>
        </w:tabs>
        <w:spacing w:before="20"/>
        <w:ind w:right="901"/>
        <w:jc w:val="right"/>
      </w:pPr>
      <w:r>
        <w:rPr>
          <w:color w:val="231F20"/>
          <w:u w:val="single" w:color="231F20"/>
        </w:rPr>
        <w:tab/>
      </w:r>
      <w:r>
        <w:rPr>
          <w:color w:val="231F20"/>
          <w:spacing w:val="-2"/>
          <w:u w:val="single" w:color="231F20"/>
        </w:rPr>
        <w:t>Institute</w:t>
      </w:r>
      <w:r>
        <w:rPr>
          <w:color w:val="231F20"/>
          <w:u w:val="single" w:color="231F20"/>
        </w:rPr>
        <w:tab/>
      </w:r>
      <w:r>
        <w:rPr>
          <w:color w:val="231F20"/>
        </w:rPr>
        <w:tab/>
      </w:r>
      <w:r>
        <w:rPr>
          <w:color w:val="231F20"/>
          <w:u w:val="single" w:color="231F20"/>
        </w:rPr>
        <w:tab/>
      </w:r>
      <w:r>
        <w:rPr>
          <w:color w:val="231F20"/>
          <w:spacing w:val="-2"/>
          <w:u w:val="single" w:color="231F20"/>
        </w:rPr>
        <w:t>Foundation</w:t>
      </w:r>
      <w:r>
        <w:rPr>
          <w:color w:val="231F20"/>
          <w:u w:val="single" w:color="231F20"/>
        </w:rPr>
        <w:tab/>
      </w:r>
    </w:p>
    <w:p>
      <w:pPr>
        <w:spacing w:after="0"/>
        <w:jc w:val="right"/>
        <w:sectPr>
          <w:type w:val="continuous"/>
          <w:pgSz w:w="12240" w:h="15840"/>
          <w:pgMar w:header="994" w:footer="1097" w:top="1460" w:bottom="280" w:left="0" w:right="580"/>
          <w:cols w:num="2" w:equalWidth="0">
            <w:col w:w="4993" w:space="914"/>
            <w:col w:w="5753"/>
          </w:cols>
        </w:sectPr>
      </w:pPr>
    </w:p>
    <w:p>
      <w:pPr>
        <w:pStyle w:val="BodyText"/>
        <w:spacing w:before="3"/>
        <w:rPr>
          <w:sz w:val="2"/>
        </w:rPr>
      </w:pPr>
    </w:p>
    <w:tbl>
      <w:tblPr>
        <w:tblW w:w="0" w:type="auto"/>
        <w:jc w:val="left"/>
        <w:tblInd w:w="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8"/>
        <w:gridCol w:w="2382"/>
        <w:gridCol w:w="533"/>
        <w:gridCol w:w="1204"/>
      </w:tblGrid>
      <w:tr>
        <w:trPr>
          <w:trHeight w:val="235" w:hRule="atLeast"/>
        </w:trPr>
        <w:tc>
          <w:tcPr>
            <w:tcW w:w="5108" w:type="dxa"/>
          </w:tcPr>
          <w:p>
            <w:pPr>
              <w:pStyle w:val="TableParagraph"/>
              <w:spacing w:line="216" w:lineRule="exact"/>
              <w:ind w:left="190"/>
              <w:rPr>
                <w:sz w:val="20"/>
              </w:rPr>
            </w:pPr>
            <w:r>
              <w:rPr>
                <w:color w:val="231F20"/>
                <w:sz w:val="20"/>
              </w:rPr>
              <w:t>allowances</w:t>
            </w:r>
            <w:r>
              <w:rPr>
                <w:color w:val="231F20"/>
                <w:spacing w:val="-2"/>
                <w:sz w:val="20"/>
              </w:rPr>
              <w:t> </w:t>
            </w:r>
            <w:r>
              <w:rPr>
                <w:color w:val="231F20"/>
                <w:sz w:val="20"/>
              </w:rPr>
              <w:t>of</w:t>
            </w:r>
            <w:r>
              <w:rPr>
                <w:color w:val="231F20"/>
                <w:spacing w:val="-2"/>
                <w:sz w:val="20"/>
              </w:rPr>
              <w:t> $5,186,312</w:t>
            </w:r>
          </w:p>
        </w:tc>
        <w:tc>
          <w:tcPr>
            <w:tcW w:w="2382" w:type="dxa"/>
          </w:tcPr>
          <w:p>
            <w:pPr>
              <w:pStyle w:val="TableParagraph"/>
              <w:tabs>
                <w:tab w:pos="408" w:val="left" w:leader="none"/>
              </w:tabs>
              <w:spacing w:line="216" w:lineRule="exact"/>
              <w:ind w:right="265"/>
              <w:jc w:val="right"/>
              <w:rPr>
                <w:sz w:val="20"/>
              </w:rPr>
            </w:pPr>
            <w:r>
              <w:rPr>
                <w:color w:val="231F20"/>
                <w:spacing w:val="-10"/>
                <w:sz w:val="20"/>
              </w:rPr>
              <w:t>$</w:t>
            </w:r>
            <w:r>
              <w:rPr>
                <w:color w:val="231F20"/>
                <w:sz w:val="20"/>
              </w:rPr>
              <w:tab/>
            </w:r>
            <w:r>
              <w:rPr>
                <w:color w:val="231F20"/>
                <w:spacing w:val="-2"/>
                <w:sz w:val="20"/>
              </w:rPr>
              <w:t>8,838,529</w:t>
            </w:r>
          </w:p>
        </w:tc>
        <w:tc>
          <w:tcPr>
            <w:tcW w:w="533" w:type="dxa"/>
          </w:tcPr>
          <w:p>
            <w:pPr>
              <w:pStyle w:val="TableParagraph"/>
              <w:spacing w:line="216" w:lineRule="exact"/>
              <w:ind w:left="266"/>
              <w:rPr>
                <w:sz w:val="20"/>
              </w:rPr>
            </w:pPr>
            <w:r>
              <w:rPr>
                <w:color w:val="231F20"/>
                <w:w w:val="100"/>
                <w:sz w:val="20"/>
              </w:rPr>
              <w:t>$</w:t>
            </w:r>
          </w:p>
        </w:tc>
        <w:tc>
          <w:tcPr>
            <w:tcW w:w="1204" w:type="dxa"/>
          </w:tcPr>
          <w:p>
            <w:pPr>
              <w:pStyle w:val="TableParagraph"/>
              <w:spacing w:line="216" w:lineRule="exact"/>
              <w:ind w:right="153"/>
              <w:jc w:val="right"/>
              <w:rPr>
                <w:sz w:val="20"/>
              </w:rPr>
            </w:pPr>
            <w:r>
              <w:rPr>
                <w:color w:val="231F20"/>
                <w:w w:val="100"/>
                <w:sz w:val="20"/>
              </w:rPr>
              <w:t>-</w:t>
            </w:r>
          </w:p>
        </w:tc>
      </w:tr>
      <w:tr>
        <w:trPr>
          <w:trHeight w:val="249" w:hRule="atLeast"/>
        </w:trPr>
        <w:tc>
          <w:tcPr>
            <w:tcW w:w="5108" w:type="dxa"/>
          </w:tcPr>
          <w:p>
            <w:pPr>
              <w:pStyle w:val="TableParagraph"/>
              <w:spacing w:line="223" w:lineRule="exact" w:before="6"/>
              <w:ind w:left="50"/>
              <w:rPr>
                <w:sz w:val="20"/>
              </w:rPr>
            </w:pPr>
            <w:r>
              <w:rPr>
                <w:color w:val="231F20"/>
                <w:sz w:val="20"/>
              </w:rPr>
              <w:t>Federal</w:t>
            </w:r>
            <w:r>
              <w:rPr>
                <w:color w:val="231F20"/>
                <w:spacing w:val="-4"/>
                <w:sz w:val="20"/>
              </w:rPr>
              <w:t> </w:t>
            </w:r>
            <w:r>
              <w:rPr>
                <w:color w:val="231F20"/>
                <w:sz w:val="20"/>
              </w:rPr>
              <w:t>grants</w:t>
            </w:r>
            <w:r>
              <w:rPr>
                <w:color w:val="231F20"/>
                <w:spacing w:val="-2"/>
                <w:sz w:val="20"/>
              </w:rPr>
              <w:t> </w:t>
            </w:r>
            <w:r>
              <w:rPr>
                <w:color w:val="231F20"/>
                <w:sz w:val="20"/>
              </w:rPr>
              <w:t>and</w:t>
            </w:r>
            <w:r>
              <w:rPr>
                <w:color w:val="231F20"/>
                <w:spacing w:val="-1"/>
                <w:sz w:val="20"/>
              </w:rPr>
              <w:t> </w:t>
            </w:r>
            <w:r>
              <w:rPr>
                <w:color w:val="231F20"/>
                <w:spacing w:val="-2"/>
                <w:sz w:val="20"/>
              </w:rPr>
              <w:t>contracts</w:t>
            </w:r>
          </w:p>
        </w:tc>
        <w:tc>
          <w:tcPr>
            <w:tcW w:w="2382" w:type="dxa"/>
          </w:tcPr>
          <w:p>
            <w:pPr>
              <w:pStyle w:val="TableParagraph"/>
              <w:spacing w:line="223" w:lineRule="exact" w:before="6"/>
              <w:ind w:right="263"/>
              <w:jc w:val="right"/>
              <w:rPr>
                <w:sz w:val="20"/>
              </w:rPr>
            </w:pPr>
            <w:r>
              <w:rPr>
                <w:color w:val="231F20"/>
                <w:spacing w:val="-2"/>
                <w:sz w:val="20"/>
              </w:rPr>
              <w:t>60,234,275</w:t>
            </w:r>
          </w:p>
        </w:tc>
        <w:tc>
          <w:tcPr>
            <w:tcW w:w="533" w:type="dxa"/>
          </w:tcPr>
          <w:p>
            <w:pPr>
              <w:pStyle w:val="TableParagraph"/>
              <w:rPr>
                <w:rFonts w:ascii="Times New Roman"/>
                <w:sz w:val="18"/>
              </w:rPr>
            </w:pPr>
          </w:p>
        </w:tc>
        <w:tc>
          <w:tcPr>
            <w:tcW w:w="1204" w:type="dxa"/>
          </w:tcPr>
          <w:p>
            <w:pPr>
              <w:pStyle w:val="TableParagraph"/>
              <w:spacing w:line="223" w:lineRule="exact" w:before="6"/>
              <w:ind w:right="153"/>
              <w:jc w:val="right"/>
              <w:rPr>
                <w:sz w:val="20"/>
              </w:rPr>
            </w:pPr>
            <w:r>
              <w:rPr>
                <w:color w:val="231F20"/>
                <w:w w:val="100"/>
                <w:sz w:val="20"/>
              </w:rPr>
              <w:t>-</w:t>
            </w:r>
          </w:p>
        </w:tc>
      </w:tr>
      <w:tr>
        <w:trPr>
          <w:trHeight w:val="249" w:hRule="atLeast"/>
        </w:trPr>
        <w:tc>
          <w:tcPr>
            <w:tcW w:w="5108" w:type="dxa"/>
          </w:tcPr>
          <w:p>
            <w:pPr>
              <w:pStyle w:val="TableParagraph"/>
              <w:spacing w:line="223" w:lineRule="exact" w:before="6"/>
              <w:ind w:left="50"/>
              <w:rPr>
                <w:sz w:val="20"/>
              </w:rPr>
            </w:pPr>
            <w:r>
              <w:rPr>
                <w:color w:val="231F20"/>
                <w:sz w:val="20"/>
              </w:rPr>
              <w:t>State</w:t>
            </w:r>
            <w:r>
              <w:rPr>
                <w:color w:val="231F20"/>
                <w:spacing w:val="-1"/>
                <w:sz w:val="20"/>
              </w:rPr>
              <w:t> </w:t>
            </w:r>
            <w:r>
              <w:rPr>
                <w:color w:val="231F20"/>
                <w:sz w:val="20"/>
              </w:rPr>
              <w:t>and</w:t>
            </w:r>
            <w:r>
              <w:rPr>
                <w:color w:val="231F20"/>
                <w:spacing w:val="-2"/>
                <w:sz w:val="20"/>
              </w:rPr>
              <w:t> </w:t>
            </w:r>
            <w:r>
              <w:rPr>
                <w:color w:val="231F20"/>
                <w:sz w:val="20"/>
              </w:rPr>
              <w:t>local</w:t>
            </w:r>
            <w:r>
              <w:rPr>
                <w:color w:val="231F20"/>
                <w:spacing w:val="-1"/>
                <w:sz w:val="20"/>
              </w:rPr>
              <w:t> </w:t>
            </w:r>
            <w:r>
              <w:rPr>
                <w:color w:val="231F20"/>
                <w:sz w:val="20"/>
              </w:rPr>
              <w:t>grants</w:t>
            </w:r>
            <w:r>
              <w:rPr>
                <w:color w:val="231F20"/>
                <w:spacing w:val="-1"/>
                <w:sz w:val="20"/>
              </w:rPr>
              <w:t> </w:t>
            </w:r>
            <w:r>
              <w:rPr>
                <w:color w:val="231F20"/>
                <w:sz w:val="20"/>
              </w:rPr>
              <w:t>and</w:t>
            </w:r>
            <w:r>
              <w:rPr>
                <w:color w:val="231F20"/>
                <w:spacing w:val="-1"/>
                <w:sz w:val="20"/>
              </w:rPr>
              <w:t> </w:t>
            </w:r>
            <w:r>
              <w:rPr>
                <w:color w:val="231F20"/>
                <w:spacing w:val="-2"/>
                <w:sz w:val="20"/>
              </w:rPr>
              <w:t>contracts</w:t>
            </w:r>
          </w:p>
        </w:tc>
        <w:tc>
          <w:tcPr>
            <w:tcW w:w="2382" w:type="dxa"/>
          </w:tcPr>
          <w:p>
            <w:pPr>
              <w:pStyle w:val="TableParagraph"/>
              <w:spacing w:line="223" w:lineRule="exact" w:before="6"/>
              <w:ind w:right="263"/>
              <w:jc w:val="right"/>
              <w:rPr>
                <w:sz w:val="20"/>
              </w:rPr>
            </w:pPr>
            <w:r>
              <w:rPr>
                <w:color w:val="231F20"/>
                <w:spacing w:val="-2"/>
                <w:sz w:val="20"/>
              </w:rPr>
              <w:t>3,118,506</w:t>
            </w:r>
          </w:p>
        </w:tc>
        <w:tc>
          <w:tcPr>
            <w:tcW w:w="533" w:type="dxa"/>
          </w:tcPr>
          <w:p>
            <w:pPr>
              <w:pStyle w:val="TableParagraph"/>
              <w:rPr>
                <w:rFonts w:ascii="Times New Roman"/>
                <w:sz w:val="18"/>
              </w:rPr>
            </w:pPr>
          </w:p>
        </w:tc>
        <w:tc>
          <w:tcPr>
            <w:tcW w:w="1204" w:type="dxa"/>
          </w:tcPr>
          <w:p>
            <w:pPr>
              <w:pStyle w:val="TableParagraph"/>
              <w:spacing w:line="223" w:lineRule="exact" w:before="6"/>
              <w:ind w:right="153"/>
              <w:jc w:val="right"/>
              <w:rPr>
                <w:sz w:val="20"/>
              </w:rPr>
            </w:pPr>
            <w:r>
              <w:rPr>
                <w:color w:val="231F20"/>
                <w:w w:val="100"/>
                <w:sz w:val="20"/>
              </w:rPr>
              <w:t>-</w:t>
            </w:r>
          </w:p>
        </w:tc>
      </w:tr>
      <w:tr>
        <w:trPr>
          <w:trHeight w:val="248" w:hRule="atLeast"/>
        </w:trPr>
        <w:tc>
          <w:tcPr>
            <w:tcW w:w="5108" w:type="dxa"/>
          </w:tcPr>
          <w:p>
            <w:pPr>
              <w:pStyle w:val="TableParagraph"/>
              <w:spacing w:line="222" w:lineRule="exact" w:before="6"/>
              <w:ind w:left="50"/>
              <w:rPr>
                <w:sz w:val="20"/>
              </w:rPr>
            </w:pPr>
            <w:r>
              <w:rPr>
                <w:color w:val="231F20"/>
                <w:sz w:val="20"/>
              </w:rPr>
              <w:t>Private</w:t>
            </w:r>
            <w:r>
              <w:rPr>
                <w:color w:val="231F20"/>
                <w:spacing w:val="-2"/>
                <w:sz w:val="20"/>
              </w:rPr>
              <w:t> </w:t>
            </w:r>
            <w:r>
              <w:rPr>
                <w:color w:val="231F20"/>
                <w:sz w:val="20"/>
              </w:rPr>
              <w:t>grants</w:t>
            </w:r>
            <w:r>
              <w:rPr>
                <w:color w:val="231F20"/>
                <w:spacing w:val="-2"/>
                <w:sz w:val="20"/>
              </w:rPr>
              <w:t> </w:t>
            </w:r>
            <w:r>
              <w:rPr>
                <w:color w:val="231F20"/>
                <w:sz w:val="20"/>
              </w:rPr>
              <w:t>and</w:t>
            </w:r>
            <w:r>
              <w:rPr>
                <w:color w:val="231F20"/>
                <w:spacing w:val="-1"/>
                <w:sz w:val="20"/>
              </w:rPr>
              <w:t> </w:t>
            </w:r>
            <w:r>
              <w:rPr>
                <w:color w:val="231F20"/>
                <w:spacing w:val="-2"/>
                <w:sz w:val="20"/>
              </w:rPr>
              <w:t>contracts</w:t>
            </w:r>
          </w:p>
        </w:tc>
        <w:tc>
          <w:tcPr>
            <w:tcW w:w="2382" w:type="dxa"/>
          </w:tcPr>
          <w:p>
            <w:pPr>
              <w:pStyle w:val="TableParagraph"/>
              <w:spacing w:line="222" w:lineRule="exact" w:before="6"/>
              <w:ind w:right="264"/>
              <w:jc w:val="right"/>
              <w:rPr>
                <w:sz w:val="20"/>
              </w:rPr>
            </w:pPr>
            <w:r>
              <w:rPr>
                <w:color w:val="231F20"/>
                <w:spacing w:val="-2"/>
                <w:sz w:val="20"/>
              </w:rPr>
              <w:t>12,068,187</w:t>
            </w:r>
          </w:p>
        </w:tc>
        <w:tc>
          <w:tcPr>
            <w:tcW w:w="533" w:type="dxa"/>
          </w:tcPr>
          <w:p>
            <w:pPr>
              <w:pStyle w:val="TableParagraph"/>
              <w:rPr>
                <w:rFonts w:ascii="Times New Roman"/>
                <w:sz w:val="18"/>
              </w:rPr>
            </w:pPr>
          </w:p>
        </w:tc>
        <w:tc>
          <w:tcPr>
            <w:tcW w:w="1204" w:type="dxa"/>
          </w:tcPr>
          <w:p>
            <w:pPr>
              <w:pStyle w:val="TableParagraph"/>
              <w:spacing w:line="222" w:lineRule="exact" w:before="6"/>
              <w:ind w:right="153"/>
              <w:jc w:val="right"/>
              <w:rPr>
                <w:sz w:val="20"/>
              </w:rPr>
            </w:pPr>
            <w:r>
              <w:rPr>
                <w:color w:val="231F20"/>
                <w:w w:val="100"/>
                <w:sz w:val="20"/>
              </w:rPr>
              <w:t>-</w:t>
            </w:r>
          </w:p>
        </w:tc>
      </w:tr>
      <w:tr>
        <w:trPr>
          <w:trHeight w:val="248" w:hRule="atLeast"/>
        </w:trPr>
        <w:tc>
          <w:tcPr>
            <w:tcW w:w="5108" w:type="dxa"/>
          </w:tcPr>
          <w:p>
            <w:pPr>
              <w:pStyle w:val="TableParagraph"/>
              <w:spacing w:line="223" w:lineRule="exact" w:before="6"/>
              <w:ind w:left="50"/>
              <w:rPr>
                <w:sz w:val="20"/>
              </w:rPr>
            </w:pPr>
            <w:r>
              <w:rPr>
                <w:color w:val="231F20"/>
                <w:sz w:val="20"/>
              </w:rPr>
              <w:t>Other</w:t>
            </w:r>
            <w:r>
              <w:rPr>
                <w:color w:val="231F20"/>
                <w:spacing w:val="-2"/>
                <w:sz w:val="20"/>
              </w:rPr>
              <w:t> </w:t>
            </w:r>
            <w:r>
              <w:rPr>
                <w:color w:val="231F20"/>
                <w:sz w:val="20"/>
              </w:rPr>
              <w:t>grants</w:t>
            </w:r>
            <w:r>
              <w:rPr>
                <w:color w:val="231F20"/>
                <w:spacing w:val="-2"/>
                <w:sz w:val="20"/>
              </w:rPr>
              <w:t> </w:t>
            </w:r>
            <w:r>
              <w:rPr>
                <w:color w:val="231F20"/>
                <w:sz w:val="20"/>
              </w:rPr>
              <w:t>and</w:t>
            </w:r>
            <w:r>
              <w:rPr>
                <w:color w:val="231F20"/>
                <w:spacing w:val="-1"/>
                <w:sz w:val="20"/>
              </w:rPr>
              <w:t> </w:t>
            </w:r>
            <w:r>
              <w:rPr>
                <w:color w:val="231F20"/>
                <w:spacing w:val="-2"/>
                <w:sz w:val="20"/>
              </w:rPr>
              <w:t>contracts</w:t>
            </w:r>
          </w:p>
        </w:tc>
        <w:tc>
          <w:tcPr>
            <w:tcW w:w="2382" w:type="dxa"/>
          </w:tcPr>
          <w:p>
            <w:pPr>
              <w:pStyle w:val="TableParagraph"/>
              <w:spacing w:line="223" w:lineRule="exact" w:before="6"/>
              <w:ind w:right="264"/>
              <w:jc w:val="right"/>
              <w:rPr>
                <w:sz w:val="20"/>
              </w:rPr>
            </w:pPr>
            <w:r>
              <w:rPr>
                <w:color w:val="231F20"/>
                <w:spacing w:val="-2"/>
                <w:sz w:val="20"/>
              </w:rPr>
              <w:t>5,158,025</w:t>
            </w:r>
          </w:p>
        </w:tc>
        <w:tc>
          <w:tcPr>
            <w:tcW w:w="533" w:type="dxa"/>
          </w:tcPr>
          <w:p>
            <w:pPr>
              <w:pStyle w:val="TableParagraph"/>
              <w:rPr>
                <w:rFonts w:ascii="Times New Roman"/>
                <w:sz w:val="18"/>
              </w:rPr>
            </w:pPr>
          </w:p>
        </w:tc>
        <w:tc>
          <w:tcPr>
            <w:tcW w:w="1204" w:type="dxa"/>
          </w:tcPr>
          <w:p>
            <w:pPr>
              <w:pStyle w:val="TableParagraph"/>
              <w:spacing w:line="223" w:lineRule="exact" w:before="6"/>
              <w:ind w:right="153"/>
              <w:jc w:val="right"/>
              <w:rPr>
                <w:sz w:val="20"/>
              </w:rPr>
            </w:pPr>
            <w:r>
              <w:rPr>
                <w:color w:val="231F20"/>
                <w:w w:val="100"/>
                <w:sz w:val="20"/>
              </w:rPr>
              <w:t>-</w:t>
            </w:r>
          </w:p>
        </w:tc>
      </w:tr>
      <w:tr>
        <w:trPr>
          <w:trHeight w:val="249" w:hRule="atLeast"/>
        </w:trPr>
        <w:tc>
          <w:tcPr>
            <w:tcW w:w="5108" w:type="dxa"/>
          </w:tcPr>
          <w:p>
            <w:pPr>
              <w:pStyle w:val="TableParagraph"/>
              <w:spacing w:line="223" w:lineRule="exact" w:before="6"/>
              <w:ind w:left="50"/>
              <w:rPr>
                <w:sz w:val="20"/>
              </w:rPr>
            </w:pPr>
            <w:r>
              <w:rPr>
                <w:color w:val="231F20"/>
                <w:sz w:val="20"/>
              </w:rPr>
              <w:t>Sales</w:t>
            </w:r>
            <w:r>
              <w:rPr>
                <w:color w:val="231F20"/>
                <w:spacing w:val="-5"/>
                <w:sz w:val="20"/>
              </w:rPr>
              <w:t> </w:t>
            </w:r>
            <w:r>
              <w:rPr>
                <w:color w:val="231F20"/>
                <w:sz w:val="20"/>
              </w:rPr>
              <w:t>and</w:t>
            </w:r>
            <w:r>
              <w:rPr>
                <w:color w:val="231F20"/>
                <w:spacing w:val="-4"/>
                <w:sz w:val="20"/>
              </w:rPr>
              <w:t> </w:t>
            </w:r>
            <w:r>
              <w:rPr>
                <w:color w:val="231F20"/>
                <w:sz w:val="20"/>
              </w:rPr>
              <w:t>services</w:t>
            </w:r>
            <w:r>
              <w:rPr>
                <w:color w:val="231F20"/>
                <w:spacing w:val="-5"/>
                <w:sz w:val="20"/>
              </w:rPr>
              <w:t> </w:t>
            </w:r>
            <w:r>
              <w:rPr>
                <w:color w:val="231F20"/>
                <w:sz w:val="20"/>
              </w:rPr>
              <w:t>of</w:t>
            </w:r>
            <w:r>
              <w:rPr>
                <w:color w:val="231F20"/>
                <w:spacing w:val="-4"/>
                <w:sz w:val="20"/>
              </w:rPr>
              <w:t> </w:t>
            </w:r>
            <w:r>
              <w:rPr>
                <w:color w:val="231F20"/>
                <w:sz w:val="20"/>
              </w:rPr>
              <w:t>auxiliary</w:t>
            </w:r>
            <w:r>
              <w:rPr>
                <w:color w:val="231F20"/>
                <w:spacing w:val="-5"/>
                <w:sz w:val="20"/>
              </w:rPr>
              <w:t> </w:t>
            </w:r>
            <w:r>
              <w:rPr>
                <w:color w:val="231F20"/>
                <w:sz w:val="20"/>
              </w:rPr>
              <w:t>enterprises,</w:t>
            </w:r>
            <w:r>
              <w:rPr>
                <w:color w:val="231F20"/>
                <w:spacing w:val="-4"/>
                <w:sz w:val="20"/>
              </w:rPr>
              <w:t> </w:t>
            </w:r>
            <w:r>
              <w:rPr>
                <w:color w:val="231F20"/>
                <w:sz w:val="20"/>
              </w:rPr>
              <w:t>net</w:t>
            </w:r>
            <w:r>
              <w:rPr>
                <w:color w:val="231F20"/>
                <w:spacing w:val="-4"/>
                <w:sz w:val="20"/>
              </w:rPr>
              <w:t> </w:t>
            </w:r>
            <w:r>
              <w:rPr>
                <w:color w:val="231F20"/>
                <w:spacing w:val="-5"/>
                <w:sz w:val="20"/>
              </w:rPr>
              <w:t>of</w:t>
            </w:r>
          </w:p>
        </w:tc>
        <w:tc>
          <w:tcPr>
            <w:tcW w:w="2382" w:type="dxa"/>
          </w:tcPr>
          <w:p>
            <w:pPr>
              <w:pStyle w:val="TableParagraph"/>
              <w:rPr>
                <w:rFonts w:ascii="Times New Roman"/>
                <w:sz w:val="18"/>
              </w:rPr>
            </w:pPr>
          </w:p>
        </w:tc>
        <w:tc>
          <w:tcPr>
            <w:tcW w:w="533" w:type="dxa"/>
          </w:tcPr>
          <w:p>
            <w:pPr>
              <w:pStyle w:val="TableParagraph"/>
              <w:rPr>
                <w:rFonts w:ascii="Times New Roman"/>
                <w:sz w:val="18"/>
              </w:rPr>
            </w:pPr>
          </w:p>
        </w:tc>
        <w:tc>
          <w:tcPr>
            <w:tcW w:w="1204" w:type="dxa"/>
          </w:tcPr>
          <w:p>
            <w:pPr>
              <w:pStyle w:val="TableParagraph"/>
              <w:rPr>
                <w:rFonts w:ascii="Times New Roman"/>
                <w:sz w:val="18"/>
              </w:rPr>
            </w:pPr>
          </w:p>
        </w:tc>
      </w:tr>
      <w:tr>
        <w:trPr>
          <w:trHeight w:val="248" w:hRule="atLeast"/>
        </w:trPr>
        <w:tc>
          <w:tcPr>
            <w:tcW w:w="5108" w:type="dxa"/>
          </w:tcPr>
          <w:p>
            <w:pPr>
              <w:pStyle w:val="TableParagraph"/>
              <w:spacing w:line="222" w:lineRule="exact" w:before="6"/>
              <w:ind w:left="190"/>
              <w:rPr>
                <w:sz w:val="20"/>
              </w:rPr>
            </w:pPr>
            <w:r>
              <w:rPr>
                <w:color w:val="231F20"/>
                <w:sz w:val="20"/>
              </w:rPr>
              <w:t>scholarship</w:t>
            </w:r>
            <w:r>
              <w:rPr>
                <w:color w:val="231F20"/>
                <w:spacing w:val="-1"/>
                <w:sz w:val="20"/>
              </w:rPr>
              <w:t> </w:t>
            </w:r>
            <w:r>
              <w:rPr>
                <w:color w:val="231F20"/>
                <w:sz w:val="20"/>
              </w:rPr>
              <w:t>allowances</w:t>
            </w:r>
            <w:r>
              <w:rPr>
                <w:color w:val="231F20"/>
                <w:spacing w:val="-1"/>
                <w:sz w:val="20"/>
              </w:rPr>
              <w:t> </w:t>
            </w:r>
            <w:r>
              <w:rPr>
                <w:color w:val="231F20"/>
                <w:sz w:val="20"/>
              </w:rPr>
              <w:t>of</w:t>
            </w:r>
            <w:r>
              <w:rPr>
                <w:color w:val="231F20"/>
                <w:spacing w:val="-1"/>
                <w:sz w:val="20"/>
              </w:rPr>
              <w:t> </w:t>
            </w:r>
            <w:r>
              <w:rPr>
                <w:color w:val="231F20"/>
                <w:spacing w:val="-2"/>
                <w:sz w:val="20"/>
              </w:rPr>
              <w:t>$2,017,048</w:t>
            </w:r>
          </w:p>
        </w:tc>
        <w:tc>
          <w:tcPr>
            <w:tcW w:w="2382" w:type="dxa"/>
          </w:tcPr>
          <w:p>
            <w:pPr>
              <w:pStyle w:val="TableParagraph"/>
              <w:spacing w:line="222" w:lineRule="exact" w:before="6"/>
              <w:ind w:right="266"/>
              <w:jc w:val="right"/>
              <w:rPr>
                <w:sz w:val="20"/>
              </w:rPr>
            </w:pPr>
            <w:r>
              <w:rPr>
                <w:color w:val="231F20"/>
                <w:spacing w:val="-2"/>
                <w:sz w:val="20"/>
              </w:rPr>
              <w:t>4,916,553</w:t>
            </w:r>
          </w:p>
        </w:tc>
        <w:tc>
          <w:tcPr>
            <w:tcW w:w="533" w:type="dxa"/>
          </w:tcPr>
          <w:p>
            <w:pPr>
              <w:pStyle w:val="TableParagraph"/>
              <w:rPr>
                <w:rFonts w:ascii="Times New Roman"/>
                <w:sz w:val="18"/>
              </w:rPr>
            </w:pPr>
          </w:p>
        </w:tc>
        <w:tc>
          <w:tcPr>
            <w:tcW w:w="1204" w:type="dxa"/>
          </w:tcPr>
          <w:p>
            <w:pPr>
              <w:pStyle w:val="TableParagraph"/>
              <w:spacing w:line="222" w:lineRule="exact" w:before="6"/>
              <w:ind w:right="153"/>
              <w:jc w:val="right"/>
              <w:rPr>
                <w:sz w:val="20"/>
              </w:rPr>
            </w:pPr>
            <w:r>
              <w:rPr>
                <w:color w:val="231F20"/>
                <w:w w:val="100"/>
                <w:sz w:val="20"/>
              </w:rPr>
              <w:t>-</w:t>
            </w:r>
          </w:p>
        </w:tc>
      </w:tr>
      <w:tr>
        <w:trPr>
          <w:trHeight w:val="235" w:hRule="atLeast"/>
        </w:trPr>
        <w:tc>
          <w:tcPr>
            <w:tcW w:w="5108" w:type="dxa"/>
          </w:tcPr>
          <w:p>
            <w:pPr>
              <w:pStyle w:val="TableParagraph"/>
              <w:spacing w:line="210" w:lineRule="exact" w:before="6"/>
              <w:ind w:left="50"/>
              <w:rPr>
                <w:sz w:val="20"/>
              </w:rPr>
            </w:pPr>
            <w:r>
              <w:rPr>
                <w:color w:val="231F20"/>
                <w:spacing w:val="-2"/>
                <w:sz w:val="20"/>
              </w:rPr>
              <w:t>Other</w:t>
            </w:r>
          </w:p>
        </w:tc>
        <w:tc>
          <w:tcPr>
            <w:tcW w:w="2382" w:type="dxa"/>
          </w:tcPr>
          <w:p>
            <w:pPr>
              <w:pStyle w:val="TableParagraph"/>
              <w:spacing w:line="210" w:lineRule="exact" w:before="6"/>
              <w:ind w:right="262"/>
              <w:jc w:val="right"/>
              <w:rPr>
                <w:sz w:val="20"/>
              </w:rPr>
            </w:pPr>
            <w:r>
              <w:rPr>
                <w:color w:val="231F20"/>
                <w:spacing w:val="-2"/>
                <w:sz w:val="20"/>
              </w:rPr>
              <w:t>10,807,916</w:t>
            </w:r>
          </w:p>
        </w:tc>
        <w:tc>
          <w:tcPr>
            <w:tcW w:w="533" w:type="dxa"/>
          </w:tcPr>
          <w:p>
            <w:pPr>
              <w:pStyle w:val="TableParagraph"/>
              <w:rPr>
                <w:rFonts w:ascii="Times New Roman"/>
                <w:sz w:val="16"/>
              </w:rPr>
            </w:pPr>
          </w:p>
        </w:tc>
        <w:tc>
          <w:tcPr>
            <w:tcW w:w="1204" w:type="dxa"/>
          </w:tcPr>
          <w:p>
            <w:pPr>
              <w:pStyle w:val="TableParagraph"/>
              <w:spacing w:line="210" w:lineRule="exact" w:before="6"/>
              <w:ind w:right="155"/>
              <w:jc w:val="right"/>
              <w:rPr>
                <w:sz w:val="20"/>
              </w:rPr>
            </w:pPr>
            <w:r>
              <w:rPr>
                <w:color w:val="231F20"/>
                <w:spacing w:val="-2"/>
                <w:sz w:val="20"/>
              </w:rPr>
              <w:t>1,684,567</w:t>
            </w:r>
          </w:p>
        </w:tc>
      </w:tr>
      <w:tr>
        <w:trPr>
          <w:trHeight w:val="262" w:hRule="atLeast"/>
        </w:trPr>
        <w:tc>
          <w:tcPr>
            <w:tcW w:w="5108" w:type="dxa"/>
          </w:tcPr>
          <w:p>
            <w:pPr>
              <w:pStyle w:val="TableParagraph"/>
              <w:spacing w:line="223" w:lineRule="exact" w:before="19"/>
              <w:ind w:left="50"/>
              <w:rPr>
                <w:sz w:val="20"/>
              </w:rPr>
            </w:pPr>
            <w:r>
              <w:rPr>
                <w:color w:val="231F20"/>
                <w:sz w:val="20"/>
              </w:rPr>
              <w:t>Benefit</w:t>
            </w:r>
            <w:r>
              <w:rPr>
                <w:color w:val="231F20"/>
                <w:spacing w:val="-4"/>
                <w:sz w:val="20"/>
              </w:rPr>
              <w:t> </w:t>
            </w:r>
            <w:r>
              <w:rPr>
                <w:color w:val="231F20"/>
                <w:sz w:val="20"/>
              </w:rPr>
              <w:t>trust</w:t>
            </w:r>
            <w:r>
              <w:rPr>
                <w:color w:val="231F20"/>
                <w:spacing w:val="-4"/>
                <w:sz w:val="20"/>
              </w:rPr>
              <w:t> </w:t>
            </w:r>
            <w:r>
              <w:rPr>
                <w:color w:val="231F20"/>
                <w:spacing w:val="-2"/>
                <w:sz w:val="20"/>
              </w:rPr>
              <w:t>contributions</w:t>
            </w:r>
          </w:p>
        </w:tc>
        <w:tc>
          <w:tcPr>
            <w:tcW w:w="2382" w:type="dxa"/>
          </w:tcPr>
          <w:p>
            <w:pPr>
              <w:pStyle w:val="TableParagraph"/>
              <w:tabs>
                <w:tab w:pos="682" w:val="left" w:leader="none"/>
              </w:tabs>
              <w:spacing w:line="223" w:lineRule="exact" w:before="19"/>
              <w:ind w:right="156"/>
              <w:jc w:val="right"/>
              <w:rPr>
                <w:sz w:val="20"/>
              </w:rPr>
            </w:pPr>
            <w:r>
              <w:rPr>
                <w:color w:val="231F20"/>
                <w:sz w:val="20"/>
                <w:u w:val="thick" w:color="231F20"/>
              </w:rPr>
              <w:tab/>
            </w:r>
            <w:r>
              <w:rPr>
                <w:color w:val="231F20"/>
                <w:spacing w:val="-2"/>
                <w:sz w:val="20"/>
                <w:u w:val="thick" w:color="231F20"/>
              </w:rPr>
              <w:t>210,448</w:t>
            </w:r>
            <w:r>
              <w:rPr>
                <w:color w:val="231F20"/>
                <w:spacing w:val="80"/>
                <w:sz w:val="20"/>
                <w:u w:val="thick" w:color="231F20"/>
              </w:rPr>
              <w:t> </w:t>
            </w:r>
          </w:p>
        </w:tc>
        <w:tc>
          <w:tcPr>
            <w:tcW w:w="1737" w:type="dxa"/>
            <w:gridSpan w:val="2"/>
          </w:tcPr>
          <w:p>
            <w:pPr>
              <w:pStyle w:val="TableParagraph"/>
              <w:tabs>
                <w:tab w:pos="1515" w:val="left" w:leader="none"/>
              </w:tabs>
              <w:spacing w:line="223" w:lineRule="exact" w:before="19"/>
              <w:ind w:left="159"/>
              <w:rPr>
                <w:sz w:val="20"/>
              </w:rPr>
            </w:pPr>
            <w:r>
              <w:rPr>
                <w:color w:val="231F20"/>
                <w:sz w:val="20"/>
                <w:u w:val="thick" w:color="231F20"/>
              </w:rPr>
              <w:tab/>
            </w:r>
            <w:r>
              <w:rPr>
                <w:color w:val="231F20"/>
                <w:spacing w:val="-10"/>
                <w:sz w:val="20"/>
                <w:u w:val="thick" w:color="231F20"/>
              </w:rPr>
              <w:t>-</w:t>
            </w:r>
            <w:r>
              <w:rPr>
                <w:color w:val="231F20"/>
                <w:spacing w:val="80"/>
                <w:sz w:val="20"/>
                <w:u w:val="thick" w:color="231F20"/>
              </w:rPr>
              <w:t> </w:t>
            </w:r>
          </w:p>
        </w:tc>
      </w:tr>
      <w:tr>
        <w:trPr>
          <w:trHeight w:val="236" w:hRule="atLeast"/>
        </w:trPr>
        <w:tc>
          <w:tcPr>
            <w:tcW w:w="5108" w:type="dxa"/>
          </w:tcPr>
          <w:p>
            <w:pPr>
              <w:pStyle w:val="TableParagraph"/>
              <w:spacing w:line="210" w:lineRule="exact" w:before="6"/>
              <w:ind w:left="611"/>
              <w:rPr>
                <w:sz w:val="20"/>
              </w:rPr>
            </w:pPr>
            <w:r>
              <w:rPr>
                <w:color w:val="231F20"/>
                <w:sz w:val="20"/>
              </w:rPr>
              <w:t>Total</w:t>
            </w:r>
            <w:r>
              <w:rPr>
                <w:color w:val="231F20"/>
                <w:spacing w:val="-2"/>
                <w:sz w:val="20"/>
              </w:rPr>
              <w:t> </w:t>
            </w:r>
            <w:r>
              <w:rPr>
                <w:color w:val="231F20"/>
                <w:sz w:val="20"/>
              </w:rPr>
              <w:t>operating</w:t>
            </w:r>
            <w:r>
              <w:rPr>
                <w:color w:val="231F20"/>
                <w:spacing w:val="-1"/>
                <w:sz w:val="20"/>
              </w:rPr>
              <w:t> </w:t>
            </w:r>
            <w:r>
              <w:rPr>
                <w:color w:val="231F20"/>
                <w:spacing w:val="-2"/>
                <w:sz w:val="20"/>
              </w:rPr>
              <w:t>revenues</w:t>
            </w:r>
          </w:p>
        </w:tc>
        <w:tc>
          <w:tcPr>
            <w:tcW w:w="2382" w:type="dxa"/>
          </w:tcPr>
          <w:p>
            <w:pPr>
              <w:pStyle w:val="TableParagraph"/>
              <w:tabs>
                <w:tab w:pos="292" w:val="left" w:leader="none"/>
              </w:tabs>
              <w:spacing w:line="210" w:lineRule="exact" w:before="6"/>
              <w:ind w:right="156"/>
              <w:jc w:val="right"/>
              <w:rPr>
                <w:sz w:val="20"/>
              </w:rPr>
            </w:pPr>
            <w:r>
              <w:rPr>
                <w:color w:val="231F20"/>
                <w:sz w:val="20"/>
                <w:u w:val="thick" w:color="231F20"/>
              </w:rPr>
              <w:tab/>
            </w:r>
            <w:r>
              <w:rPr>
                <w:color w:val="231F20"/>
                <w:spacing w:val="-2"/>
                <w:sz w:val="20"/>
                <w:u w:val="thick" w:color="231F20"/>
              </w:rPr>
              <w:t>105,352,439</w:t>
            </w:r>
            <w:r>
              <w:rPr>
                <w:color w:val="231F20"/>
                <w:spacing w:val="80"/>
                <w:sz w:val="20"/>
                <w:u w:val="thick" w:color="231F20"/>
              </w:rPr>
              <w:t> </w:t>
            </w:r>
          </w:p>
        </w:tc>
        <w:tc>
          <w:tcPr>
            <w:tcW w:w="1737" w:type="dxa"/>
            <w:gridSpan w:val="2"/>
          </w:tcPr>
          <w:p>
            <w:pPr>
              <w:pStyle w:val="TableParagraph"/>
              <w:tabs>
                <w:tab w:pos="690" w:val="left" w:leader="none"/>
              </w:tabs>
              <w:spacing w:line="210" w:lineRule="exact" w:before="6"/>
              <w:ind w:left="159"/>
              <w:rPr>
                <w:sz w:val="20"/>
              </w:rPr>
            </w:pPr>
            <w:r>
              <w:rPr>
                <w:color w:val="231F20"/>
                <w:sz w:val="20"/>
                <w:u w:val="thick" w:color="231F20"/>
              </w:rPr>
              <w:tab/>
            </w:r>
            <w:r>
              <w:rPr>
                <w:color w:val="231F20"/>
                <w:spacing w:val="-2"/>
                <w:sz w:val="20"/>
                <w:u w:val="thick" w:color="231F20"/>
              </w:rPr>
              <w:t>1,684,567</w:t>
            </w:r>
            <w:r>
              <w:rPr>
                <w:color w:val="231F20"/>
                <w:spacing w:val="80"/>
                <w:sz w:val="20"/>
                <w:u w:val="thick" w:color="231F20"/>
              </w:rPr>
              <w:t> </w:t>
            </w:r>
          </w:p>
        </w:tc>
      </w:tr>
    </w:tbl>
    <w:p>
      <w:pPr>
        <w:pStyle w:val="BodyText"/>
        <w:spacing w:before="9"/>
        <w:rPr>
          <w:sz w:val="15"/>
        </w:rPr>
      </w:pPr>
    </w:p>
    <w:p>
      <w:pPr>
        <w:pStyle w:val="BodyText"/>
        <w:spacing w:before="94"/>
        <w:ind w:left="1487"/>
      </w:pPr>
      <w:r>
        <w:rPr>
          <w:color w:val="231F20"/>
          <w:spacing w:val="-2"/>
        </w:rPr>
        <w:t>EXPENSES</w:t>
      </w:r>
    </w:p>
    <w:p>
      <w:pPr>
        <w:pStyle w:val="BodyText"/>
        <w:spacing w:before="19" w:after="26"/>
        <w:ind w:left="1628"/>
      </w:pPr>
      <w:r>
        <w:rPr>
          <w:color w:val="231F20"/>
        </w:rPr>
        <w:t>Instruction</w:t>
      </w:r>
      <w:r>
        <w:rPr>
          <w:color w:val="231F20"/>
          <w:spacing w:val="-2"/>
        </w:rPr>
        <w:t> </w:t>
      </w:r>
      <w:r>
        <w:rPr>
          <w:color w:val="231F20"/>
        </w:rPr>
        <w:t>and</w:t>
      </w:r>
      <w:r>
        <w:rPr>
          <w:color w:val="231F20"/>
          <w:spacing w:val="-1"/>
        </w:rPr>
        <w:t> </w:t>
      </w:r>
      <w:r>
        <w:rPr>
          <w:color w:val="231F20"/>
          <w:spacing w:val="-2"/>
        </w:rPr>
        <w:t>general</w:t>
      </w:r>
    </w:p>
    <w:tbl>
      <w:tblPr>
        <w:tblW w:w="0" w:type="auto"/>
        <w:jc w:val="left"/>
        <w:tblInd w:w="1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1"/>
        <w:gridCol w:w="2551"/>
        <w:gridCol w:w="1738"/>
      </w:tblGrid>
      <w:tr>
        <w:trPr>
          <w:trHeight w:val="235" w:hRule="atLeast"/>
        </w:trPr>
        <w:tc>
          <w:tcPr>
            <w:tcW w:w="4941" w:type="dxa"/>
          </w:tcPr>
          <w:p>
            <w:pPr>
              <w:pStyle w:val="TableParagraph"/>
              <w:spacing w:line="216" w:lineRule="exact"/>
              <w:ind w:left="331"/>
              <w:rPr>
                <w:sz w:val="20"/>
              </w:rPr>
            </w:pPr>
            <w:r>
              <w:rPr>
                <w:color w:val="231F20"/>
                <w:spacing w:val="-2"/>
                <w:sz w:val="20"/>
              </w:rPr>
              <w:t>Instruction</w:t>
            </w:r>
          </w:p>
        </w:tc>
        <w:tc>
          <w:tcPr>
            <w:tcW w:w="2551" w:type="dxa"/>
          </w:tcPr>
          <w:p>
            <w:pPr>
              <w:pStyle w:val="TableParagraph"/>
              <w:spacing w:line="216" w:lineRule="exact"/>
              <w:ind w:right="263"/>
              <w:jc w:val="right"/>
              <w:rPr>
                <w:sz w:val="20"/>
              </w:rPr>
            </w:pPr>
            <w:r>
              <w:rPr>
                <w:color w:val="231F20"/>
                <w:spacing w:val="-2"/>
                <w:sz w:val="20"/>
              </w:rPr>
              <w:t>17,857,100</w:t>
            </w:r>
          </w:p>
        </w:tc>
        <w:tc>
          <w:tcPr>
            <w:tcW w:w="1738" w:type="dxa"/>
          </w:tcPr>
          <w:p>
            <w:pPr>
              <w:pStyle w:val="TableParagraph"/>
              <w:spacing w:line="216" w:lineRule="exact"/>
              <w:ind w:right="156"/>
              <w:jc w:val="right"/>
              <w:rPr>
                <w:sz w:val="20"/>
              </w:rPr>
            </w:pPr>
            <w:r>
              <w:rPr>
                <w:color w:val="231F20"/>
                <w:w w:val="100"/>
                <w:sz w:val="20"/>
              </w:rPr>
              <w:t>-</w:t>
            </w:r>
          </w:p>
        </w:tc>
      </w:tr>
      <w:tr>
        <w:trPr>
          <w:trHeight w:val="248" w:hRule="atLeast"/>
        </w:trPr>
        <w:tc>
          <w:tcPr>
            <w:tcW w:w="4941" w:type="dxa"/>
          </w:tcPr>
          <w:p>
            <w:pPr>
              <w:pStyle w:val="TableParagraph"/>
              <w:spacing w:line="223" w:lineRule="exact" w:before="6"/>
              <w:ind w:left="330"/>
              <w:rPr>
                <w:sz w:val="20"/>
              </w:rPr>
            </w:pPr>
            <w:r>
              <w:rPr>
                <w:color w:val="231F20"/>
                <w:sz w:val="20"/>
              </w:rPr>
              <w:t>Institutional</w:t>
            </w:r>
            <w:r>
              <w:rPr>
                <w:color w:val="231F20"/>
                <w:spacing w:val="-3"/>
                <w:sz w:val="20"/>
              </w:rPr>
              <w:t> </w:t>
            </w:r>
            <w:r>
              <w:rPr>
                <w:color w:val="231F20"/>
                <w:spacing w:val="-2"/>
                <w:sz w:val="20"/>
              </w:rPr>
              <w:t>support</w:t>
            </w:r>
          </w:p>
        </w:tc>
        <w:tc>
          <w:tcPr>
            <w:tcW w:w="2551" w:type="dxa"/>
          </w:tcPr>
          <w:p>
            <w:pPr>
              <w:pStyle w:val="TableParagraph"/>
              <w:spacing w:line="223" w:lineRule="exact" w:before="6"/>
              <w:ind w:right="265"/>
              <w:jc w:val="right"/>
              <w:rPr>
                <w:sz w:val="20"/>
              </w:rPr>
            </w:pPr>
            <w:r>
              <w:rPr>
                <w:color w:val="231F20"/>
                <w:spacing w:val="-2"/>
                <w:sz w:val="20"/>
              </w:rPr>
              <w:t>8,100,097</w:t>
            </w:r>
          </w:p>
        </w:tc>
        <w:tc>
          <w:tcPr>
            <w:tcW w:w="1738" w:type="dxa"/>
          </w:tcPr>
          <w:p>
            <w:pPr>
              <w:pStyle w:val="TableParagraph"/>
              <w:spacing w:line="223" w:lineRule="exact" w:before="6"/>
              <w:ind w:right="155"/>
              <w:jc w:val="right"/>
              <w:rPr>
                <w:sz w:val="20"/>
              </w:rPr>
            </w:pPr>
            <w:r>
              <w:rPr>
                <w:color w:val="231F20"/>
                <w:w w:val="100"/>
                <w:sz w:val="20"/>
              </w:rPr>
              <w:t>-</w:t>
            </w:r>
          </w:p>
        </w:tc>
      </w:tr>
      <w:tr>
        <w:trPr>
          <w:trHeight w:val="249" w:hRule="atLeast"/>
        </w:trPr>
        <w:tc>
          <w:tcPr>
            <w:tcW w:w="4941" w:type="dxa"/>
          </w:tcPr>
          <w:p>
            <w:pPr>
              <w:pStyle w:val="TableParagraph"/>
              <w:spacing w:line="223" w:lineRule="exact" w:before="6"/>
              <w:ind w:left="331"/>
              <w:rPr>
                <w:sz w:val="20"/>
              </w:rPr>
            </w:pPr>
            <w:r>
              <w:rPr>
                <w:color w:val="231F20"/>
                <w:sz w:val="20"/>
              </w:rPr>
              <w:t>Operations</w:t>
            </w:r>
            <w:r>
              <w:rPr>
                <w:color w:val="231F20"/>
                <w:spacing w:val="-3"/>
                <w:sz w:val="20"/>
              </w:rPr>
              <w:t> </w:t>
            </w:r>
            <w:r>
              <w:rPr>
                <w:color w:val="231F20"/>
                <w:sz w:val="20"/>
              </w:rPr>
              <w:t>and</w:t>
            </w:r>
            <w:r>
              <w:rPr>
                <w:color w:val="231F20"/>
                <w:spacing w:val="-2"/>
                <w:sz w:val="20"/>
              </w:rPr>
              <w:t> </w:t>
            </w:r>
            <w:r>
              <w:rPr>
                <w:color w:val="231F20"/>
                <w:sz w:val="20"/>
              </w:rPr>
              <w:t>maintenance</w:t>
            </w:r>
            <w:r>
              <w:rPr>
                <w:color w:val="231F20"/>
                <w:spacing w:val="-2"/>
                <w:sz w:val="20"/>
              </w:rPr>
              <w:t> support</w:t>
            </w:r>
          </w:p>
        </w:tc>
        <w:tc>
          <w:tcPr>
            <w:tcW w:w="2551" w:type="dxa"/>
          </w:tcPr>
          <w:p>
            <w:pPr>
              <w:pStyle w:val="TableParagraph"/>
              <w:spacing w:line="223" w:lineRule="exact" w:before="6"/>
              <w:ind w:right="268"/>
              <w:jc w:val="right"/>
              <w:rPr>
                <w:sz w:val="20"/>
              </w:rPr>
            </w:pPr>
            <w:r>
              <w:rPr>
                <w:color w:val="231F20"/>
                <w:spacing w:val="-2"/>
                <w:sz w:val="20"/>
              </w:rPr>
              <w:t>6,118,824</w:t>
            </w:r>
          </w:p>
        </w:tc>
        <w:tc>
          <w:tcPr>
            <w:tcW w:w="1738" w:type="dxa"/>
          </w:tcPr>
          <w:p>
            <w:pPr>
              <w:pStyle w:val="TableParagraph"/>
              <w:spacing w:line="223" w:lineRule="exact" w:before="6"/>
              <w:ind w:right="155"/>
              <w:jc w:val="right"/>
              <w:rPr>
                <w:sz w:val="20"/>
              </w:rPr>
            </w:pPr>
            <w:r>
              <w:rPr>
                <w:color w:val="231F20"/>
                <w:w w:val="100"/>
                <w:sz w:val="20"/>
              </w:rPr>
              <w:t>-</w:t>
            </w:r>
          </w:p>
        </w:tc>
      </w:tr>
      <w:tr>
        <w:trPr>
          <w:trHeight w:val="248" w:hRule="atLeast"/>
        </w:trPr>
        <w:tc>
          <w:tcPr>
            <w:tcW w:w="4941" w:type="dxa"/>
          </w:tcPr>
          <w:p>
            <w:pPr>
              <w:pStyle w:val="TableParagraph"/>
              <w:spacing w:line="222" w:lineRule="exact" w:before="6"/>
              <w:ind w:left="331"/>
              <w:rPr>
                <w:sz w:val="20"/>
              </w:rPr>
            </w:pPr>
            <w:r>
              <w:rPr>
                <w:color w:val="231F20"/>
                <w:sz w:val="20"/>
              </w:rPr>
              <w:t>Student</w:t>
            </w:r>
            <w:r>
              <w:rPr>
                <w:color w:val="231F20"/>
                <w:spacing w:val="-6"/>
                <w:sz w:val="20"/>
              </w:rPr>
              <w:t> </w:t>
            </w:r>
            <w:r>
              <w:rPr>
                <w:color w:val="231F20"/>
                <w:spacing w:val="-2"/>
                <w:sz w:val="20"/>
              </w:rPr>
              <w:t>services</w:t>
            </w:r>
          </w:p>
        </w:tc>
        <w:tc>
          <w:tcPr>
            <w:tcW w:w="2551" w:type="dxa"/>
          </w:tcPr>
          <w:p>
            <w:pPr>
              <w:pStyle w:val="TableParagraph"/>
              <w:spacing w:line="222" w:lineRule="exact" w:before="6"/>
              <w:ind w:right="265"/>
              <w:jc w:val="right"/>
              <w:rPr>
                <w:sz w:val="20"/>
              </w:rPr>
            </w:pPr>
            <w:r>
              <w:rPr>
                <w:color w:val="231F20"/>
                <w:spacing w:val="-2"/>
                <w:sz w:val="20"/>
              </w:rPr>
              <w:t>2,426,051</w:t>
            </w:r>
          </w:p>
        </w:tc>
        <w:tc>
          <w:tcPr>
            <w:tcW w:w="1738" w:type="dxa"/>
          </w:tcPr>
          <w:p>
            <w:pPr>
              <w:pStyle w:val="TableParagraph"/>
              <w:spacing w:line="222" w:lineRule="exact" w:before="6"/>
              <w:ind w:right="155"/>
              <w:jc w:val="right"/>
              <w:rPr>
                <w:sz w:val="20"/>
              </w:rPr>
            </w:pPr>
            <w:r>
              <w:rPr>
                <w:color w:val="231F20"/>
                <w:w w:val="100"/>
                <w:sz w:val="20"/>
              </w:rPr>
              <w:t>-</w:t>
            </w:r>
          </w:p>
        </w:tc>
      </w:tr>
      <w:tr>
        <w:trPr>
          <w:trHeight w:val="248" w:hRule="atLeast"/>
        </w:trPr>
        <w:tc>
          <w:tcPr>
            <w:tcW w:w="4941" w:type="dxa"/>
          </w:tcPr>
          <w:p>
            <w:pPr>
              <w:pStyle w:val="TableParagraph"/>
              <w:spacing w:line="223" w:lineRule="exact" w:before="6"/>
              <w:ind w:left="331"/>
              <w:rPr>
                <w:sz w:val="20"/>
              </w:rPr>
            </w:pPr>
            <w:r>
              <w:rPr>
                <w:color w:val="231F20"/>
                <w:sz w:val="20"/>
              </w:rPr>
              <w:t>Academic</w:t>
            </w:r>
            <w:r>
              <w:rPr>
                <w:color w:val="231F20"/>
                <w:spacing w:val="-3"/>
                <w:sz w:val="20"/>
              </w:rPr>
              <w:t> </w:t>
            </w:r>
            <w:r>
              <w:rPr>
                <w:color w:val="231F20"/>
                <w:spacing w:val="-2"/>
                <w:sz w:val="20"/>
              </w:rPr>
              <w:t>support</w:t>
            </w:r>
          </w:p>
        </w:tc>
        <w:tc>
          <w:tcPr>
            <w:tcW w:w="2551" w:type="dxa"/>
          </w:tcPr>
          <w:p>
            <w:pPr>
              <w:pStyle w:val="TableParagraph"/>
              <w:spacing w:line="223" w:lineRule="exact" w:before="6"/>
              <w:ind w:right="264"/>
              <w:jc w:val="right"/>
              <w:rPr>
                <w:sz w:val="20"/>
              </w:rPr>
            </w:pPr>
            <w:r>
              <w:rPr>
                <w:color w:val="231F20"/>
                <w:spacing w:val="-2"/>
                <w:sz w:val="20"/>
              </w:rPr>
              <w:t>3,967,426</w:t>
            </w:r>
          </w:p>
        </w:tc>
        <w:tc>
          <w:tcPr>
            <w:tcW w:w="1738" w:type="dxa"/>
          </w:tcPr>
          <w:p>
            <w:pPr>
              <w:pStyle w:val="TableParagraph"/>
              <w:spacing w:line="223" w:lineRule="exact" w:before="6"/>
              <w:ind w:right="155"/>
              <w:jc w:val="right"/>
              <w:rPr>
                <w:sz w:val="20"/>
              </w:rPr>
            </w:pPr>
            <w:r>
              <w:rPr>
                <w:color w:val="231F20"/>
                <w:w w:val="100"/>
                <w:sz w:val="20"/>
              </w:rPr>
              <w:t>-</w:t>
            </w:r>
          </w:p>
        </w:tc>
      </w:tr>
      <w:tr>
        <w:trPr>
          <w:trHeight w:val="249" w:hRule="atLeast"/>
        </w:trPr>
        <w:tc>
          <w:tcPr>
            <w:tcW w:w="4941" w:type="dxa"/>
          </w:tcPr>
          <w:p>
            <w:pPr>
              <w:pStyle w:val="TableParagraph"/>
              <w:spacing w:line="223" w:lineRule="exact" w:before="6"/>
              <w:ind w:left="50"/>
              <w:rPr>
                <w:sz w:val="20"/>
              </w:rPr>
            </w:pPr>
            <w:r>
              <w:rPr>
                <w:color w:val="231F20"/>
                <w:sz w:val="20"/>
              </w:rPr>
              <w:t>Other</w:t>
            </w:r>
            <w:r>
              <w:rPr>
                <w:color w:val="231F20"/>
                <w:spacing w:val="-4"/>
                <w:sz w:val="20"/>
              </w:rPr>
              <w:t> </w:t>
            </w:r>
            <w:r>
              <w:rPr>
                <w:color w:val="231F20"/>
                <w:sz w:val="20"/>
              </w:rPr>
              <w:t>sponsored</w:t>
            </w:r>
            <w:r>
              <w:rPr>
                <w:color w:val="231F20"/>
                <w:spacing w:val="-2"/>
                <w:sz w:val="20"/>
              </w:rPr>
              <w:t> activities</w:t>
            </w:r>
          </w:p>
        </w:tc>
        <w:tc>
          <w:tcPr>
            <w:tcW w:w="2551" w:type="dxa"/>
          </w:tcPr>
          <w:p>
            <w:pPr>
              <w:pStyle w:val="TableParagraph"/>
              <w:spacing w:line="223" w:lineRule="exact" w:before="6"/>
              <w:ind w:right="265"/>
              <w:jc w:val="right"/>
              <w:rPr>
                <w:sz w:val="20"/>
              </w:rPr>
            </w:pPr>
            <w:r>
              <w:rPr>
                <w:color w:val="231F20"/>
                <w:spacing w:val="-2"/>
                <w:sz w:val="20"/>
              </w:rPr>
              <w:t>46,103,296</w:t>
            </w:r>
          </w:p>
        </w:tc>
        <w:tc>
          <w:tcPr>
            <w:tcW w:w="1738" w:type="dxa"/>
          </w:tcPr>
          <w:p>
            <w:pPr>
              <w:pStyle w:val="TableParagraph"/>
              <w:spacing w:line="223" w:lineRule="exact" w:before="6"/>
              <w:ind w:right="156"/>
              <w:jc w:val="right"/>
              <w:rPr>
                <w:sz w:val="20"/>
              </w:rPr>
            </w:pPr>
            <w:r>
              <w:rPr>
                <w:color w:val="231F20"/>
                <w:w w:val="100"/>
                <w:sz w:val="20"/>
              </w:rPr>
              <w:t>-</w:t>
            </w:r>
          </w:p>
        </w:tc>
      </w:tr>
      <w:tr>
        <w:trPr>
          <w:trHeight w:val="497" w:hRule="atLeast"/>
        </w:trPr>
        <w:tc>
          <w:tcPr>
            <w:tcW w:w="4941" w:type="dxa"/>
          </w:tcPr>
          <w:p>
            <w:pPr>
              <w:pStyle w:val="TableParagraph"/>
              <w:spacing w:before="6"/>
              <w:ind w:left="50"/>
              <w:rPr>
                <w:sz w:val="20"/>
              </w:rPr>
            </w:pPr>
            <w:r>
              <w:rPr>
                <w:color w:val="231F20"/>
                <w:spacing w:val="-2"/>
                <w:sz w:val="20"/>
              </w:rPr>
              <w:t>Research</w:t>
            </w:r>
          </w:p>
          <w:p>
            <w:pPr>
              <w:pStyle w:val="TableParagraph"/>
              <w:spacing w:line="223" w:lineRule="exact" w:before="19"/>
              <w:ind w:left="50"/>
              <w:rPr>
                <w:sz w:val="20"/>
              </w:rPr>
            </w:pPr>
            <w:r>
              <w:rPr>
                <w:color w:val="231F20"/>
                <w:sz w:val="20"/>
              </w:rPr>
              <w:t>Student</w:t>
            </w:r>
            <w:r>
              <w:rPr>
                <w:color w:val="231F20"/>
                <w:spacing w:val="-6"/>
                <w:sz w:val="20"/>
              </w:rPr>
              <w:t> </w:t>
            </w:r>
            <w:r>
              <w:rPr>
                <w:color w:val="231F20"/>
                <w:sz w:val="20"/>
              </w:rPr>
              <w:t>aid</w:t>
            </w:r>
            <w:r>
              <w:rPr>
                <w:color w:val="231F20"/>
                <w:spacing w:val="-3"/>
                <w:sz w:val="20"/>
              </w:rPr>
              <w:t> </w:t>
            </w:r>
            <w:r>
              <w:rPr>
                <w:color w:val="231F20"/>
                <w:sz w:val="20"/>
              </w:rPr>
              <w:t>grants</w:t>
            </w:r>
            <w:r>
              <w:rPr>
                <w:color w:val="231F20"/>
                <w:spacing w:val="-4"/>
                <w:sz w:val="20"/>
              </w:rPr>
              <w:t> </w:t>
            </w:r>
            <w:r>
              <w:rPr>
                <w:color w:val="231F20"/>
                <w:sz w:val="20"/>
              </w:rPr>
              <w:t>and</w:t>
            </w:r>
            <w:r>
              <w:rPr>
                <w:color w:val="231F20"/>
                <w:spacing w:val="-3"/>
                <w:sz w:val="20"/>
              </w:rPr>
              <w:t> </w:t>
            </w:r>
            <w:r>
              <w:rPr>
                <w:color w:val="231F20"/>
                <w:sz w:val="20"/>
              </w:rPr>
              <w:t>stipends,</w:t>
            </w:r>
            <w:r>
              <w:rPr>
                <w:color w:val="231F20"/>
                <w:spacing w:val="-4"/>
                <w:sz w:val="20"/>
              </w:rPr>
              <w:t> </w:t>
            </w:r>
            <w:r>
              <w:rPr>
                <w:color w:val="231F20"/>
                <w:sz w:val="20"/>
              </w:rPr>
              <w:t>net</w:t>
            </w:r>
            <w:r>
              <w:rPr>
                <w:color w:val="231F20"/>
                <w:spacing w:val="-3"/>
                <w:sz w:val="20"/>
              </w:rPr>
              <w:t> </w:t>
            </w:r>
            <w:r>
              <w:rPr>
                <w:color w:val="231F20"/>
                <w:sz w:val="20"/>
              </w:rPr>
              <w:t>of</w:t>
            </w:r>
            <w:r>
              <w:rPr>
                <w:color w:val="231F20"/>
                <w:spacing w:val="-3"/>
                <w:sz w:val="20"/>
              </w:rPr>
              <w:t> </w:t>
            </w:r>
            <w:r>
              <w:rPr>
                <w:color w:val="231F20"/>
                <w:spacing w:val="-2"/>
                <w:sz w:val="20"/>
              </w:rPr>
              <w:t>tuition</w:t>
            </w:r>
          </w:p>
        </w:tc>
        <w:tc>
          <w:tcPr>
            <w:tcW w:w="2551" w:type="dxa"/>
          </w:tcPr>
          <w:p>
            <w:pPr>
              <w:pStyle w:val="TableParagraph"/>
              <w:spacing w:before="6"/>
              <w:ind w:right="265"/>
              <w:jc w:val="right"/>
              <w:rPr>
                <w:sz w:val="20"/>
              </w:rPr>
            </w:pPr>
            <w:r>
              <w:rPr>
                <w:color w:val="231F20"/>
                <w:spacing w:val="-2"/>
                <w:sz w:val="20"/>
              </w:rPr>
              <w:t>30,383,057</w:t>
            </w:r>
          </w:p>
        </w:tc>
        <w:tc>
          <w:tcPr>
            <w:tcW w:w="1738" w:type="dxa"/>
          </w:tcPr>
          <w:p>
            <w:pPr>
              <w:pStyle w:val="TableParagraph"/>
              <w:spacing w:before="6"/>
              <w:ind w:right="156"/>
              <w:jc w:val="right"/>
              <w:rPr>
                <w:sz w:val="20"/>
              </w:rPr>
            </w:pPr>
            <w:r>
              <w:rPr>
                <w:color w:val="231F20"/>
                <w:w w:val="100"/>
                <w:sz w:val="20"/>
              </w:rPr>
              <w:t>-</w:t>
            </w:r>
          </w:p>
        </w:tc>
      </w:tr>
      <w:tr>
        <w:trPr>
          <w:trHeight w:val="249" w:hRule="atLeast"/>
        </w:trPr>
        <w:tc>
          <w:tcPr>
            <w:tcW w:w="4941" w:type="dxa"/>
          </w:tcPr>
          <w:p>
            <w:pPr>
              <w:pStyle w:val="TableParagraph"/>
              <w:spacing w:line="223" w:lineRule="exact" w:before="6"/>
              <w:ind w:left="190"/>
              <w:rPr>
                <w:sz w:val="20"/>
              </w:rPr>
            </w:pPr>
            <w:r>
              <w:rPr>
                <w:color w:val="231F20"/>
                <w:sz w:val="20"/>
              </w:rPr>
              <w:t>discounts</w:t>
            </w:r>
            <w:r>
              <w:rPr>
                <w:color w:val="231F20"/>
                <w:spacing w:val="-2"/>
                <w:sz w:val="20"/>
              </w:rPr>
              <w:t> </w:t>
            </w:r>
            <w:r>
              <w:rPr>
                <w:color w:val="231F20"/>
                <w:sz w:val="20"/>
              </w:rPr>
              <w:t>and</w:t>
            </w:r>
            <w:r>
              <w:rPr>
                <w:color w:val="231F20"/>
                <w:spacing w:val="-1"/>
                <w:sz w:val="20"/>
              </w:rPr>
              <w:t> </w:t>
            </w:r>
            <w:r>
              <w:rPr>
                <w:color w:val="231F20"/>
                <w:sz w:val="20"/>
              </w:rPr>
              <w:t>allowances</w:t>
            </w:r>
            <w:r>
              <w:rPr>
                <w:color w:val="231F20"/>
                <w:spacing w:val="-2"/>
                <w:sz w:val="20"/>
              </w:rPr>
              <w:t> </w:t>
            </w:r>
            <w:r>
              <w:rPr>
                <w:color w:val="231F20"/>
                <w:sz w:val="20"/>
              </w:rPr>
              <w:t>of</w:t>
            </w:r>
            <w:r>
              <w:rPr>
                <w:color w:val="231F20"/>
                <w:spacing w:val="-2"/>
                <w:sz w:val="20"/>
              </w:rPr>
              <w:t> $5,186,312</w:t>
            </w:r>
          </w:p>
        </w:tc>
        <w:tc>
          <w:tcPr>
            <w:tcW w:w="2551" w:type="dxa"/>
          </w:tcPr>
          <w:p>
            <w:pPr>
              <w:pStyle w:val="TableParagraph"/>
              <w:spacing w:line="223" w:lineRule="exact" w:before="6"/>
              <w:ind w:right="269"/>
              <w:jc w:val="right"/>
              <w:rPr>
                <w:sz w:val="20"/>
              </w:rPr>
            </w:pPr>
            <w:r>
              <w:rPr>
                <w:color w:val="231F20"/>
                <w:spacing w:val="-2"/>
                <w:sz w:val="20"/>
              </w:rPr>
              <w:t>10,469,578</w:t>
            </w:r>
          </w:p>
        </w:tc>
        <w:tc>
          <w:tcPr>
            <w:tcW w:w="1738" w:type="dxa"/>
          </w:tcPr>
          <w:p>
            <w:pPr>
              <w:pStyle w:val="TableParagraph"/>
              <w:spacing w:line="223" w:lineRule="exact" w:before="6"/>
              <w:ind w:right="158"/>
              <w:jc w:val="right"/>
              <w:rPr>
                <w:sz w:val="20"/>
              </w:rPr>
            </w:pPr>
            <w:r>
              <w:rPr>
                <w:color w:val="231F20"/>
                <w:spacing w:val="-2"/>
                <w:sz w:val="20"/>
              </w:rPr>
              <w:t>18,000</w:t>
            </w:r>
          </w:p>
        </w:tc>
      </w:tr>
      <w:tr>
        <w:trPr>
          <w:trHeight w:val="497" w:hRule="atLeast"/>
        </w:trPr>
        <w:tc>
          <w:tcPr>
            <w:tcW w:w="4941" w:type="dxa"/>
          </w:tcPr>
          <w:p>
            <w:pPr>
              <w:pStyle w:val="TableParagraph"/>
              <w:spacing w:before="6"/>
              <w:ind w:left="50"/>
              <w:rPr>
                <w:sz w:val="20"/>
              </w:rPr>
            </w:pPr>
            <w:r>
              <w:rPr>
                <w:color w:val="231F20"/>
                <w:sz w:val="20"/>
              </w:rPr>
              <w:t>Depreciation</w:t>
            </w:r>
            <w:r>
              <w:rPr>
                <w:color w:val="231F20"/>
                <w:spacing w:val="-4"/>
                <w:sz w:val="20"/>
              </w:rPr>
              <w:t> </w:t>
            </w:r>
            <w:r>
              <w:rPr>
                <w:color w:val="231F20"/>
                <w:sz w:val="20"/>
              </w:rPr>
              <w:t>and</w:t>
            </w:r>
            <w:r>
              <w:rPr>
                <w:color w:val="231F20"/>
                <w:spacing w:val="-2"/>
                <w:sz w:val="20"/>
              </w:rPr>
              <w:t> amortization</w:t>
            </w:r>
          </w:p>
          <w:p>
            <w:pPr>
              <w:pStyle w:val="TableParagraph"/>
              <w:spacing w:line="223" w:lineRule="exact" w:before="19"/>
              <w:ind w:left="50"/>
              <w:rPr>
                <w:sz w:val="20"/>
              </w:rPr>
            </w:pPr>
            <w:r>
              <w:rPr>
                <w:color w:val="231F20"/>
                <w:sz w:val="20"/>
              </w:rPr>
              <w:t>Auxiliary</w:t>
            </w:r>
            <w:r>
              <w:rPr>
                <w:color w:val="231F20"/>
                <w:spacing w:val="-6"/>
                <w:sz w:val="20"/>
              </w:rPr>
              <w:t> </w:t>
            </w:r>
            <w:r>
              <w:rPr>
                <w:color w:val="231F20"/>
                <w:sz w:val="20"/>
              </w:rPr>
              <w:t>enterprises,</w:t>
            </w:r>
            <w:r>
              <w:rPr>
                <w:color w:val="231F20"/>
                <w:spacing w:val="-2"/>
                <w:sz w:val="20"/>
              </w:rPr>
              <w:t> </w:t>
            </w:r>
            <w:r>
              <w:rPr>
                <w:color w:val="231F20"/>
                <w:sz w:val="20"/>
              </w:rPr>
              <w:t>net</w:t>
            </w:r>
            <w:r>
              <w:rPr>
                <w:color w:val="231F20"/>
                <w:spacing w:val="-1"/>
                <w:sz w:val="20"/>
              </w:rPr>
              <w:t> </w:t>
            </w:r>
            <w:r>
              <w:rPr>
                <w:color w:val="231F20"/>
                <w:sz w:val="20"/>
              </w:rPr>
              <w:t>of</w:t>
            </w:r>
            <w:r>
              <w:rPr>
                <w:color w:val="231F20"/>
                <w:spacing w:val="-2"/>
                <w:sz w:val="20"/>
              </w:rPr>
              <w:t> </w:t>
            </w:r>
            <w:r>
              <w:rPr>
                <w:color w:val="231F20"/>
                <w:sz w:val="20"/>
              </w:rPr>
              <w:t>discounts</w:t>
            </w:r>
            <w:r>
              <w:rPr>
                <w:color w:val="231F20"/>
                <w:spacing w:val="-1"/>
                <w:sz w:val="20"/>
              </w:rPr>
              <w:t> </w:t>
            </w:r>
            <w:r>
              <w:rPr>
                <w:color w:val="231F20"/>
                <w:spacing w:val="-5"/>
                <w:sz w:val="20"/>
              </w:rPr>
              <w:t>and</w:t>
            </w:r>
          </w:p>
        </w:tc>
        <w:tc>
          <w:tcPr>
            <w:tcW w:w="2551" w:type="dxa"/>
          </w:tcPr>
          <w:p>
            <w:pPr>
              <w:pStyle w:val="TableParagraph"/>
              <w:spacing w:before="6"/>
              <w:ind w:right="265"/>
              <w:jc w:val="right"/>
              <w:rPr>
                <w:sz w:val="20"/>
              </w:rPr>
            </w:pPr>
            <w:r>
              <w:rPr>
                <w:color w:val="231F20"/>
                <w:spacing w:val="-2"/>
                <w:sz w:val="20"/>
              </w:rPr>
              <w:t>11,640,988</w:t>
            </w:r>
          </w:p>
        </w:tc>
        <w:tc>
          <w:tcPr>
            <w:tcW w:w="1738" w:type="dxa"/>
          </w:tcPr>
          <w:p>
            <w:pPr>
              <w:pStyle w:val="TableParagraph"/>
              <w:spacing w:before="6"/>
              <w:ind w:right="158"/>
              <w:jc w:val="right"/>
              <w:rPr>
                <w:sz w:val="20"/>
              </w:rPr>
            </w:pPr>
            <w:r>
              <w:rPr>
                <w:color w:val="231F20"/>
                <w:spacing w:val="-2"/>
                <w:sz w:val="20"/>
              </w:rPr>
              <w:t>65,134</w:t>
            </w:r>
          </w:p>
        </w:tc>
      </w:tr>
      <w:tr>
        <w:trPr>
          <w:trHeight w:val="249" w:hRule="atLeast"/>
        </w:trPr>
        <w:tc>
          <w:tcPr>
            <w:tcW w:w="4941" w:type="dxa"/>
          </w:tcPr>
          <w:p>
            <w:pPr>
              <w:pStyle w:val="TableParagraph"/>
              <w:spacing w:line="223" w:lineRule="exact" w:before="6"/>
              <w:ind w:left="190"/>
              <w:rPr>
                <w:sz w:val="20"/>
              </w:rPr>
            </w:pPr>
            <w:r>
              <w:rPr>
                <w:color w:val="231F20"/>
                <w:sz w:val="20"/>
              </w:rPr>
              <w:t>allowances</w:t>
            </w:r>
            <w:r>
              <w:rPr>
                <w:color w:val="231F20"/>
                <w:spacing w:val="-2"/>
                <w:sz w:val="20"/>
              </w:rPr>
              <w:t> </w:t>
            </w:r>
            <w:r>
              <w:rPr>
                <w:color w:val="231F20"/>
                <w:sz w:val="20"/>
              </w:rPr>
              <w:t>of</w:t>
            </w:r>
            <w:r>
              <w:rPr>
                <w:color w:val="231F20"/>
                <w:spacing w:val="-2"/>
                <w:sz w:val="20"/>
              </w:rPr>
              <w:t> $2,017,048</w:t>
            </w:r>
          </w:p>
        </w:tc>
        <w:tc>
          <w:tcPr>
            <w:tcW w:w="2551" w:type="dxa"/>
          </w:tcPr>
          <w:p>
            <w:pPr>
              <w:pStyle w:val="TableParagraph"/>
              <w:spacing w:line="223" w:lineRule="exact" w:before="6"/>
              <w:ind w:right="268"/>
              <w:jc w:val="right"/>
              <w:rPr>
                <w:sz w:val="20"/>
              </w:rPr>
            </w:pPr>
            <w:r>
              <w:rPr>
                <w:color w:val="231F20"/>
                <w:spacing w:val="-2"/>
                <w:sz w:val="20"/>
              </w:rPr>
              <w:t>3,833,609</w:t>
            </w:r>
          </w:p>
        </w:tc>
        <w:tc>
          <w:tcPr>
            <w:tcW w:w="1738" w:type="dxa"/>
          </w:tcPr>
          <w:p>
            <w:pPr>
              <w:pStyle w:val="TableParagraph"/>
              <w:spacing w:line="223" w:lineRule="exact" w:before="6"/>
              <w:ind w:right="156"/>
              <w:jc w:val="right"/>
              <w:rPr>
                <w:sz w:val="20"/>
              </w:rPr>
            </w:pPr>
            <w:r>
              <w:rPr>
                <w:color w:val="231F20"/>
                <w:w w:val="100"/>
                <w:sz w:val="20"/>
              </w:rPr>
              <w:t>-</w:t>
            </w:r>
          </w:p>
        </w:tc>
      </w:tr>
      <w:tr>
        <w:trPr>
          <w:trHeight w:val="248" w:hRule="atLeast"/>
        </w:trPr>
        <w:tc>
          <w:tcPr>
            <w:tcW w:w="4941" w:type="dxa"/>
          </w:tcPr>
          <w:p>
            <w:pPr>
              <w:pStyle w:val="TableParagraph"/>
              <w:spacing w:line="222" w:lineRule="exact" w:before="6"/>
              <w:ind w:left="50"/>
              <w:rPr>
                <w:sz w:val="20"/>
              </w:rPr>
            </w:pPr>
            <w:r>
              <w:rPr>
                <w:color w:val="231F20"/>
                <w:sz w:val="20"/>
              </w:rPr>
              <w:t>Change</w:t>
            </w:r>
            <w:r>
              <w:rPr>
                <w:color w:val="231F20"/>
                <w:spacing w:val="-5"/>
                <w:sz w:val="20"/>
              </w:rPr>
              <w:t> </w:t>
            </w:r>
            <w:r>
              <w:rPr>
                <w:color w:val="231F20"/>
                <w:sz w:val="20"/>
              </w:rPr>
              <w:t>in</w:t>
            </w:r>
            <w:r>
              <w:rPr>
                <w:color w:val="231F20"/>
                <w:spacing w:val="-4"/>
                <w:sz w:val="20"/>
              </w:rPr>
              <w:t> </w:t>
            </w:r>
            <w:r>
              <w:rPr>
                <w:color w:val="231F20"/>
                <w:sz w:val="20"/>
              </w:rPr>
              <w:t>value</w:t>
            </w:r>
            <w:r>
              <w:rPr>
                <w:color w:val="231F20"/>
                <w:spacing w:val="-3"/>
                <w:sz w:val="20"/>
              </w:rPr>
              <w:t> </w:t>
            </w:r>
            <w:r>
              <w:rPr>
                <w:color w:val="231F20"/>
                <w:sz w:val="20"/>
              </w:rPr>
              <w:t>of</w:t>
            </w:r>
            <w:r>
              <w:rPr>
                <w:color w:val="231F20"/>
                <w:spacing w:val="-4"/>
                <w:sz w:val="20"/>
              </w:rPr>
              <w:t> </w:t>
            </w:r>
            <w:r>
              <w:rPr>
                <w:color w:val="231F20"/>
                <w:sz w:val="20"/>
              </w:rPr>
              <w:t>pension</w:t>
            </w:r>
            <w:r>
              <w:rPr>
                <w:color w:val="231F20"/>
                <w:spacing w:val="-3"/>
                <w:sz w:val="20"/>
              </w:rPr>
              <w:t> </w:t>
            </w:r>
            <w:r>
              <w:rPr>
                <w:color w:val="231F20"/>
                <w:spacing w:val="-2"/>
                <w:sz w:val="20"/>
              </w:rPr>
              <w:t>liability</w:t>
            </w:r>
          </w:p>
        </w:tc>
        <w:tc>
          <w:tcPr>
            <w:tcW w:w="2551" w:type="dxa"/>
          </w:tcPr>
          <w:p>
            <w:pPr>
              <w:pStyle w:val="TableParagraph"/>
              <w:spacing w:line="222" w:lineRule="exact" w:before="6"/>
              <w:ind w:right="268"/>
              <w:jc w:val="right"/>
              <w:rPr>
                <w:sz w:val="20"/>
              </w:rPr>
            </w:pPr>
            <w:r>
              <w:rPr>
                <w:color w:val="231F20"/>
                <w:spacing w:val="-2"/>
                <w:sz w:val="20"/>
              </w:rPr>
              <w:t>8,512,378</w:t>
            </w:r>
          </w:p>
        </w:tc>
        <w:tc>
          <w:tcPr>
            <w:tcW w:w="1738" w:type="dxa"/>
          </w:tcPr>
          <w:p>
            <w:pPr>
              <w:pStyle w:val="TableParagraph"/>
              <w:spacing w:line="222" w:lineRule="exact" w:before="6"/>
              <w:ind w:right="155"/>
              <w:jc w:val="right"/>
              <w:rPr>
                <w:sz w:val="20"/>
              </w:rPr>
            </w:pPr>
            <w:r>
              <w:rPr>
                <w:color w:val="231F20"/>
                <w:w w:val="100"/>
                <w:sz w:val="20"/>
              </w:rPr>
              <w:t>-</w:t>
            </w:r>
          </w:p>
        </w:tc>
      </w:tr>
      <w:tr>
        <w:trPr>
          <w:trHeight w:val="248" w:hRule="atLeast"/>
        </w:trPr>
        <w:tc>
          <w:tcPr>
            <w:tcW w:w="4941" w:type="dxa"/>
          </w:tcPr>
          <w:p>
            <w:pPr>
              <w:pStyle w:val="TableParagraph"/>
              <w:spacing w:line="223" w:lineRule="exact" w:before="6"/>
              <w:ind w:left="50"/>
              <w:rPr>
                <w:sz w:val="20"/>
              </w:rPr>
            </w:pPr>
            <w:r>
              <w:rPr>
                <w:color w:val="231F20"/>
                <w:sz w:val="20"/>
              </w:rPr>
              <w:t>Other</w:t>
            </w:r>
            <w:r>
              <w:rPr>
                <w:color w:val="231F20"/>
                <w:spacing w:val="-3"/>
                <w:sz w:val="20"/>
              </w:rPr>
              <w:t> </w:t>
            </w:r>
            <w:r>
              <w:rPr>
                <w:color w:val="231F20"/>
                <w:sz w:val="20"/>
              </w:rPr>
              <w:t>postemployment</w:t>
            </w:r>
            <w:r>
              <w:rPr>
                <w:color w:val="231F20"/>
                <w:spacing w:val="-2"/>
                <w:sz w:val="20"/>
              </w:rPr>
              <w:t> </w:t>
            </w:r>
            <w:r>
              <w:rPr>
                <w:color w:val="231F20"/>
                <w:sz w:val="20"/>
              </w:rPr>
              <w:t>benefits</w:t>
            </w:r>
            <w:r>
              <w:rPr>
                <w:color w:val="231F20"/>
                <w:spacing w:val="-2"/>
                <w:sz w:val="20"/>
              </w:rPr>
              <w:t> expense</w:t>
            </w:r>
          </w:p>
        </w:tc>
        <w:tc>
          <w:tcPr>
            <w:tcW w:w="2551" w:type="dxa"/>
          </w:tcPr>
          <w:p>
            <w:pPr>
              <w:pStyle w:val="TableParagraph"/>
              <w:spacing w:line="223" w:lineRule="exact" w:before="6"/>
              <w:ind w:right="267"/>
              <w:jc w:val="right"/>
              <w:rPr>
                <w:sz w:val="20"/>
              </w:rPr>
            </w:pPr>
            <w:r>
              <w:rPr>
                <w:color w:val="231F20"/>
                <w:spacing w:val="-2"/>
                <w:sz w:val="20"/>
              </w:rPr>
              <w:t>5,506,944</w:t>
            </w:r>
          </w:p>
        </w:tc>
        <w:tc>
          <w:tcPr>
            <w:tcW w:w="1738" w:type="dxa"/>
          </w:tcPr>
          <w:p>
            <w:pPr>
              <w:pStyle w:val="TableParagraph"/>
              <w:spacing w:line="223" w:lineRule="exact" w:before="6"/>
              <w:ind w:right="155"/>
              <w:jc w:val="right"/>
              <w:rPr>
                <w:sz w:val="20"/>
              </w:rPr>
            </w:pPr>
            <w:r>
              <w:rPr>
                <w:color w:val="231F20"/>
                <w:w w:val="100"/>
                <w:sz w:val="20"/>
              </w:rPr>
              <w:t>-</w:t>
            </w:r>
          </w:p>
        </w:tc>
      </w:tr>
      <w:tr>
        <w:trPr>
          <w:trHeight w:val="249" w:hRule="atLeast"/>
        </w:trPr>
        <w:tc>
          <w:tcPr>
            <w:tcW w:w="4941" w:type="dxa"/>
          </w:tcPr>
          <w:p>
            <w:pPr>
              <w:pStyle w:val="TableParagraph"/>
              <w:spacing w:line="223" w:lineRule="exact" w:before="6"/>
              <w:ind w:left="50"/>
              <w:rPr>
                <w:sz w:val="20"/>
              </w:rPr>
            </w:pPr>
            <w:r>
              <w:rPr>
                <w:color w:val="231F20"/>
                <w:sz w:val="20"/>
              </w:rPr>
              <w:t>Other</w:t>
            </w:r>
            <w:r>
              <w:rPr>
                <w:color w:val="231F20"/>
                <w:spacing w:val="-4"/>
                <w:sz w:val="20"/>
              </w:rPr>
              <w:t> </w:t>
            </w:r>
            <w:r>
              <w:rPr>
                <w:color w:val="231F20"/>
                <w:sz w:val="20"/>
              </w:rPr>
              <w:t>operating</w:t>
            </w:r>
            <w:r>
              <w:rPr>
                <w:color w:val="231F20"/>
                <w:spacing w:val="-2"/>
                <w:sz w:val="20"/>
              </w:rPr>
              <w:t> expenses</w:t>
            </w:r>
          </w:p>
        </w:tc>
        <w:tc>
          <w:tcPr>
            <w:tcW w:w="2551" w:type="dxa"/>
          </w:tcPr>
          <w:p>
            <w:pPr>
              <w:pStyle w:val="TableParagraph"/>
              <w:spacing w:line="223" w:lineRule="exact" w:before="6"/>
              <w:ind w:right="266"/>
              <w:jc w:val="right"/>
              <w:rPr>
                <w:sz w:val="20"/>
              </w:rPr>
            </w:pPr>
            <w:r>
              <w:rPr>
                <w:color w:val="231F20"/>
                <w:spacing w:val="-2"/>
                <w:sz w:val="20"/>
              </w:rPr>
              <w:t>10,976,266</w:t>
            </w:r>
          </w:p>
        </w:tc>
        <w:tc>
          <w:tcPr>
            <w:tcW w:w="1738" w:type="dxa"/>
          </w:tcPr>
          <w:p>
            <w:pPr>
              <w:pStyle w:val="TableParagraph"/>
              <w:spacing w:line="223" w:lineRule="exact" w:before="6"/>
              <w:ind w:right="158"/>
              <w:jc w:val="right"/>
              <w:rPr>
                <w:sz w:val="20"/>
              </w:rPr>
            </w:pPr>
            <w:r>
              <w:rPr>
                <w:color w:val="231F20"/>
                <w:spacing w:val="-2"/>
                <w:sz w:val="20"/>
              </w:rPr>
              <w:t>3,074,884</w:t>
            </w:r>
          </w:p>
        </w:tc>
      </w:tr>
      <w:tr>
        <w:trPr>
          <w:trHeight w:val="248" w:hRule="atLeast"/>
        </w:trPr>
        <w:tc>
          <w:tcPr>
            <w:tcW w:w="4941" w:type="dxa"/>
          </w:tcPr>
          <w:p>
            <w:pPr>
              <w:pStyle w:val="TableParagraph"/>
              <w:spacing w:line="222" w:lineRule="exact" w:before="6"/>
              <w:ind w:left="50"/>
              <w:rPr>
                <w:sz w:val="20"/>
              </w:rPr>
            </w:pPr>
            <w:r>
              <w:rPr>
                <w:color w:val="231F20"/>
                <w:sz w:val="20"/>
              </w:rPr>
              <w:t>Benefit</w:t>
            </w:r>
            <w:r>
              <w:rPr>
                <w:color w:val="231F20"/>
                <w:spacing w:val="-4"/>
                <w:sz w:val="20"/>
              </w:rPr>
              <w:t> </w:t>
            </w:r>
            <w:r>
              <w:rPr>
                <w:color w:val="231F20"/>
                <w:sz w:val="20"/>
              </w:rPr>
              <w:t>trust</w:t>
            </w:r>
            <w:r>
              <w:rPr>
                <w:color w:val="231F20"/>
                <w:spacing w:val="-4"/>
                <w:sz w:val="20"/>
              </w:rPr>
              <w:t> </w:t>
            </w:r>
            <w:r>
              <w:rPr>
                <w:color w:val="231F20"/>
                <w:spacing w:val="-2"/>
                <w:sz w:val="20"/>
              </w:rPr>
              <w:t>expenses</w:t>
            </w:r>
          </w:p>
        </w:tc>
        <w:tc>
          <w:tcPr>
            <w:tcW w:w="2551" w:type="dxa"/>
          </w:tcPr>
          <w:p>
            <w:pPr>
              <w:pStyle w:val="TableParagraph"/>
              <w:tabs>
                <w:tab w:pos="682" w:val="left" w:leader="none"/>
              </w:tabs>
              <w:spacing w:line="222" w:lineRule="exact" w:before="6"/>
              <w:ind w:right="157"/>
              <w:jc w:val="right"/>
              <w:rPr>
                <w:sz w:val="20"/>
              </w:rPr>
            </w:pPr>
            <w:r>
              <w:rPr>
                <w:color w:val="231F20"/>
                <w:sz w:val="20"/>
                <w:u w:val="single" w:color="231F20"/>
              </w:rPr>
              <w:tab/>
            </w:r>
            <w:r>
              <w:rPr>
                <w:color w:val="231F20"/>
                <w:spacing w:val="-2"/>
                <w:sz w:val="20"/>
                <w:u w:val="single" w:color="231F20"/>
              </w:rPr>
              <w:t>582,115</w:t>
            </w:r>
            <w:r>
              <w:rPr>
                <w:color w:val="231F20"/>
                <w:spacing w:val="80"/>
                <w:sz w:val="20"/>
                <w:u w:val="single" w:color="231F20"/>
              </w:rPr>
              <w:t> </w:t>
            </w:r>
          </w:p>
        </w:tc>
        <w:tc>
          <w:tcPr>
            <w:tcW w:w="1738" w:type="dxa"/>
          </w:tcPr>
          <w:p>
            <w:pPr>
              <w:pStyle w:val="TableParagraph"/>
              <w:tabs>
                <w:tab w:pos="1355" w:val="left" w:leader="none"/>
              </w:tabs>
              <w:spacing w:line="222" w:lineRule="exact" w:before="6"/>
              <w:ind w:right="49"/>
              <w:jc w:val="right"/>
              <w:rPr>
                <w:sz w:val="20"/>
              </w:rPr>
            </w:pPr>
            <w:r>
              <w:rPr>
                <w:color w:val="231F20"/>
                <w:sz w:val="20"/>
                <w:u w:val="single" w:color="231F20"/>
              </w:rPr>
              <w:tab/>
            </w:r>
            <w:r>
              <w:rPr>
                <w:color w:val="231F20"/>
                <w:spacing w:val="-10"/>
                <w:sz w:val="20"/>
                <w:u w:val="single" w:color="231F20"/>
              </w:rPr>
              <w:t>-</w:t>
            </w:r>
            <w:r>
              <w:rPr>
                <w:color w:val="231F20"/>
                <w:spacing w:val="80"/>
                <w:sz w:val="20"/>
                <w:u w:val="single" w:color="231F20"/>
              </w:rPr>
              <w:t> </w:t>
            </w:r>
          </w:p>
        </w:tc>
      </w:tr>
      <w:tr>
        <w:trPr>
          <w:trHeight w:val="373" w:hRule="atLeast"/>
        </w:trPr>
        <w:tc>
          <w:tcPr>
            <w:tcW w:w="4941" w:type="dxa"/>
          </w:tcPr>
          <w:p>
            <w:pPr>
              <w:pStyle w:val="TableParagraph"/>
              <w:spacing w:before="6"/>
              <w:ind w:left="471"/>
              <w:rPr>
                <w:sz w:val="20"/>
              </w:rPr>
            </w:pPr>
            <w:r>
              <w:rPr>
                <w:color w:val="231F20"/>
                <w:sz w:val="20"/>
              </w:rPr>
              <w:t>Total</w:t>
            </w:r>
            <w:r>
              <w:rPr>
                <w:color w:val="231F20"/>
                <w:spacing w:val="-4"/>
                <w:sz w:val="20"/>
              </w:rPr>
              <w:t> </w:t>
            </w:r>
            <w:r>
              <w:rPr>
                <w:color w:val="231F20"/>
                <w:sz w:val="20"/>
              </w:rPr>
              <w:t>operating</w:t>
            </w:r>
            <w:r>
              <w:rPr>
                <w:color w:val="231F20"/>
                <w:spacing w:val="-1"/>
                <w:sz w:val="20"/>
              </w:rPr>
              <w:t> </w:t>
            </w:r>
            <w:r>
              <w:rPr>
                <w:color w:val="231F20"/>
                <w:spacing w:val="-2"/>
                <w:sz w:val="20"/>
              </w:rPr>
              <w:t>expenses</w:t>
            </w:r>
          </w:p>
        </w:tc>
        <w:tc>
          <w:tcPr>
            <w:tcW w:w="2551" w:type="dxa"/>
          </w:tcPr>
          <w:p>
            <w:pPr>
              <w:pStyle w:val="TableParagraph"/>
              <w:tabs>
                <w:tab w:pos="292" w:val="left" w:leader="none"/>
              </w:tabs>
              <w:spacing w:before="6"/>
              <w:ind w:right="157"/>
              <w:jc w:val="right"/>
              <w:rPr>
                <w:sz w:val="20"/>
              </w:rPr>
            </w:pPr>
            <w:r>
              <w:rPr>
                <w:color w:val="231F20"/>
                <w:sz w:val="20"/>
                <w:u w:val="single" w:color="231F20"/>
              </w:rPr>
              <w:tab/>
            </w:r>
            <w:r>
              <w:rPr>
                <w:color w:val="231F20"/>
                <w:spacing w:val="-2"/>
                <w:sz w:val="20"/>
                <w:u w:val="single" w:color="231F20"/>
              </w:rPr>
              <w:t>166,477,729</w:t>
            </w:r>
            <w:r>
              <w:rPr>
                <w:color w:val="231F20"/>
                <w:spacing w:val="80"/>
                <w:sz w:val="20"/>
                <w:u w:val="single" w:color="231F20"/>
              </w:rPr>
              <w:t> </w:t>
            </w:r>
          </w:p>
        </w:tc>
        <w:tc>
          <w:tcPr>
            <w:tcW w:w="1738" w:type="dxa"/>
          </w:tcPr>
          <w:p>
            <w:pPr>
              <w:pStyle w:val="TableParagraph"/>
              <w:tabs>
                <w:tab w:pos="530" w:val="left" w:leader="none"/>
              </w:tabs>
              <w:spacing w:before="6"/>
              <w:ind w:right="49"/>
              <w:jc w:val="right"/>
              <w:rPr>
                <w:sz w:val="20"/>
              </w:rPr>
            </w:pPr>
            <w:r>
              <w:rPr>
                <w:color w:val="231F20"/>
                <w:sz w:val="20"/>
                <w:u w:val="single" w:color="231F20"/>
              </w:rPr>
              <w:tab/>
            </w:r>
            <w:r>
              <w:rPr>
                <w:color w:val="231F20"/>
                <w:spacing w:val="-2"/>
                <w:sz w:val="20"/>
                <w:u w:val="single" w:color="231F20"/>
              </w:rPr>
              <w:t>3,158,018</w:t>
            </w:r>
            <w:r>
              <w:rPr>
                <w:color w:val="231F20"/>
                <w:spacing w:val="80"/>
                <w:sz w:val="20"/>
                <w:u w:val="single" w:color="231F20"/>
              </w:rPr>
              <w:t> </w:t>
            </w:r>
          </w:p>
        </w:tc>
      </w:tr>
      <w:tr>
        <w:trPr>
          <w:trHeight w:val="361" w:hRule="atLeast"/>
        </w:trPr>
        <w:tc>
          <w:tcPr>
            <w:tcW w:w="4941" w:type="dxa"/>
          </w:tcPr>
          <w:p>
            <w:pPr>
              <w:pStyle w:val="TableParagraph"/>
              <w:spacing w:line="210" w:lineRule="exact" w:before="131"/>
              <w:ind w:left="471"/>
              <w:rPr>
                <w:sz w:val="20"/>
              </w:rPr>
            </w:pPr>
            <w:r>
              <w:rPr>
                <w:color w:val="231F20"/>
                <w:sz w:val="20"/>
              </w:rPr>
              <w:t>Operating</w:t>
            </w:r>
            <w:r>
              <w:rPr>
                <w:color w:val="231F20"/>
                <w:spacing w:val="-1"/>
                <w:sz w:val="20"/>
              </w:rPr>
              <w:t> </w:t>
            </w:r>
            <w:r>
              <w:rPr>
                <w:color w:val="231F20"/>
                <w:spacing w:val="-4"/>
                <w:sz w:val="20"/>
              </w:rPr>
              <w:t>loss</w:t>
            </w:r>
          </w:p>
        </w:tc>
        <w:tc>
          <w:tcPr>
            <w:tcW w:w="2551" w:type="dxa"/>
          </w:tcPr>
          <w:p>
            <w:pPr>
              <w:pStyle w:val="TableParagraph"/>
              <w:spacing w:line="210" w:lineRule="exact" w:before="131"/>
              <w:ind w:right="196"/>
              <w:jc w:val="right"/>
              <w:rPr>
                <w:sz w:val="20"/>
              </w:rPr>
            </w:pPr>
            <w:r>
              <w:rPr>
                <w:color w:val="231F20"/>
                <w:spacing w:val="-2"/>
                <w:sz w:val="20"/>
              </w:rPr>
              <w:t>(61,125,290)</w:t>
            </w:r>
          </w:p>
        </w:tc>
        <w:tc>
          <w:tcPr>
            <w:tcW w:w="1738" w:type="dxa"/>
          </w:tcPr>
          <w:p>
            <w:pPr>
              <w:pStyle w:val="TableParagraph"/>
              <w:spacing w:line="210" w:lineRule="exact" w:before="131"/>
              <w:ind w:right="91"/>
              <w:jc w:val="right"/>
              <w:rPr>
                <w:sz w:val="20"/>
              </w:rPr>
            </w:pPr>
            <w:r>
              <w:rPr>
                <w:color w:val="231F20"/>
                <w:spacing w:val="-2"/>
                <w:sz w:val="20"/>
              </w:rPr>
              <w:t>(1,473,451)</w:t>
            </w:r>
          </w:p>
        </w:tc>
      </w:tr>
    </w:tbl>
    <w:p>
      <w:pPr>
        <w:spacing w:after="0" w:line="210" w:lineRule="exact"/>
        <w:jc w:val="right"/>
        <w:rPr>
          <w:sz w:val="20"/>
        </w:rPr>
        <w:sectPr>
          <w:type w:val="continuous"/>
          <w:pgSz w:w="12240" w:h="15840"/>
          <w:pgMar w:header="994" w:footer="1097" w:top="1460" w:bottom="280" w:left="0" w:right="580"/>
        </w:sectPr>
      </w:pPr>
    </w:p>
    <w:p>
      <w:pPr>
        <w:pStyle w:val="Heading3"/>
        <w:spacing w:line="1" w:lineRule="exact" w:before="0"/>
        <w:ind w:left="583"/>
      </w:pPr>
      <w:bookmarkStart w:name="_TOC_250001" w:id="2"/>
      <w:r>
        <w:rPr>
          <w:color w:val="231F20"/>
        </w:rPr>
        <w:t>Statement</w:t>
      </w:r>
      <w:r>
        <w:rPr>
          <w:color w:val="231F20"/>
          <w:spacing w:val="-2"/>
        </w:rPr>
        <w:t> </w:t>
      </w:r>
      <w:r>
        <w:rPr>
          <w:color w:val="231F20"/>
        </w:rPr>
        <w:t>of</w:t>
      </w:r>
      <w:r>
        <w:rPr>
          <w:color w:val="231F20"/>
          <w:spacing w:val="-2"/>
        </w:rPr>
        <w:t> </w:t>
      </w:r>
      <w:r>
        <w:rPr>
          <w:color w:val="231F20"/>
        </w:rPr>
        <w:t>Revenues,</w:t>
      </w:r>
      <w:r>
        <w:rPr>
          <w:color w:val="231F20"/>
          <w:spacing w:val="-2"/>
        </w:rPr>
        <w:t> </w:t>
      </w:r>
      <w:r>
        <w:rPr>
          <w:color w:val="231F20"/>
        </w:rPr>
        <w:t>Expenses,</w:t>
      </w:r>
      <w:r>
        <w:rPr>
          <w:color w:val="231F20"/>
          <w:spacing w:val="-2"/>
        </w:rPr>
        <w:t> </w:t>
      </w:r>
      <w:r>
        <w:rPr>
          <w:color w:val="231F20"/>
        </w:rPr>
        <w:t>and</w:t>
      </w:r>
      <w:r>
        <w:rPr>
          <w:color w:val="231F20"/>
          <w:spacing w:val="-2"/>
        </w:rPr>
        <w:t> </w:t>
      </w:r>
      <w:r>
        <w:rPr>
          <w:color w:val="231F20"/>
        </w:rPr>
        <w:t>Changes</w:t>
      </w:r>
      <w:r>
        <w:rPr>
          <w:color w:val="231F20"/>
          <w:spacing w:val="-2"/>
        </w:rPr>
        <w:t> </w:t>
      </w:r>
      <w:r>
        <w:rPr>
          <w:color w:val="231F20"/>
        </w:rPr>
        <w:t>in</w:t>
      </w:r>
      <w:r>
        <w:rPr>
          <w:color w:val="231F20"/>
          <w:spacing w:val="-2"/>
        </w:rPr>
        <w:t> </w:t>
      </w:r>
      <w:r>
        <w:rPr>
          <w:color w:val="231F20"/>
        </w:rPr>
        <w:t>Net</w:t>
      </w:r>
      <w:r>
        <w:rPr>
          <w:color w:val="231F20"/>
          <w:spacing w:val="-2"/>
        </w:rPr>
        <w:t> </w:t>
      </w:r>
      <w:r>
        <w:rPr>
          <w:color w:val="231F20"/>
        </w:rPr>
        <w:t>Position</w:t>
      </w:r>
      <w:r>
        <w:rPr>
          <w:color w:val="231F20"/>
          <w:spacing w:val="-2"/>
        </w:rPr>
        <w:t> </w:t>
      </w:r>
      <w:bookmarkEnd w:id="2"/>
      <w:r>
        <w:rPr>
          <w:color w:val="231F20"/>
          <w:spacing w:val="-10"/>
        </w:rPr>
        <w:t>–</w:t>
      </w:r>
    </w:p>
    <w:p>
      <w:pPr>
        <w:spacing w:before="0"/>
        <w:ind w:left="4206" w:right="3620" w:hanging="3"/>
        <w:jc w:val="center"/>
        <w:rPr>
          <w:b/>
          <w:sz w:val="24"/>
        </w:rPr>
      </w:pPr>
      <w:r>
        <w:rPr/>
        <w:pict>
          <v:rect style="position:absolute;margin-left:70.5pt;margin-top:28.475632pt;width:471.001pt;height:1.5pt;mso-position-horizontal-relative:page;mso-position-vertical-relative:paragraph;z-index:-15707136;mso-wrap-distance-left:0;mso-wrap-distance-right:0" id="docshape230" filled="true" fillcolor="#231f20" stroked="false">
            <v:fill type="solid"/>
            <w10:wrap type="topAndBottom"/>
          </v:rect>
        </w:pict>
      </w:r>
      <w:r>
        <w:rPr>
          <w:b/>
          <w:color w:val="231F20"/>
          <w:sz w:val="24"/>
        </w:rPr>
        <w:t>Proprietary Funds (continued) For</w:t>
      </w:r>
      <w:r>
        <w:rPr>
          <w:b/>
          <w:color w:val="231F20"/>
          <w:spacing w:val="-6"/>
          <w:sz w:val="24"/>
        </w:rPr>
        <w:t> </w:t>
      </w:r>
      <w:r>
        <w:rPr>
          <w:b/>
          <w:color w:val="231F20"/>
          <w:sz w:val="24"/>
        </w:rPr>
        <w:t>the</w:t>
      </w:r>
      <w:r>
        <w:rPr>
          <w:b/>
          <w:color w:val="231F20"/>
          <w:spacing w:val="-6"/>
          <w:sz w:val="24"/>
        </w:rPr>
        <w:t> </w:t>
      </w:r>
      <w:r>
        <w:rPr>
          <w:b/>
          <w:color w:val="231F20"/>
          <w:sz w:val="24"/>
        </w:rPr>
        <w:t>Year</w:t>
      </w:r>
      <w:r>
        <w:rPr>
          <w:b/>
          <w:color w:val="231F20"/>
          <w:spacing w:val="-6"/>
          <w:sz w:val="24"/>
        </w:rPr>
        <w:t> </w:t>
      </w:r>
      <w:r>
        <w:rPr>
          <w:b/>
          <w:color w:val="231F20"/>
          <w:sz w:val="24"/>
        </w:rPr>
        <w:t>Ended</w:t>
      </w:r>
      <w:r>
        <w:rPr>
          <w:b/>
          <w:color w:val="231F20"/>
          <w:spacing w:val="-6"/>
          <w:sz w:val="24"/>
        </w:rPr>
        <w:t> </w:t>
      </w:r>
      <w:r>
        <w:rPr>
          <w:b/>
          <w:color w:val="231F20"/>
          <w:sz w:val="24"/>
        </w:rPr>
        <w:t>June</w:t>
      </w:r>
      <w:r>
        <w:rPr>
          <w:b/>
          <w:color w:val="231F20"/>
          <w:spacing w:val="-6"/>
          <w:sz w:val="24"/>
        </w:rPr>
        <w:t> </w:t>
      </w:r>
      <w:r>
        <w:rPr>
          <w:b/>
          <w:color w:val="231F20"/>
          <w:sz w:val="24"/>
        </w:rPr>
        <w:t>30,</w:t>
      </w:r>
      <w:r>
        <w:rPr>
          <w:b/>
          <w:color w:val="231F20"/>
          <w:spacing w:val="-6"/>
          <w:sz w:val="24"/>
        </w:rPr>
        <w:t> </w:t>
      </w:r>
      <w:r>
        <w:rPr>
          <w:b/>
          <w:color w:val="231F20"/>
          <w:sz w:val="24"/>
        </w:rPr>
        <w:t>2022</w:t>
      </w:r>
    </w:p>
    <w:p>
      <w:pPr>
        <w:pStyle w:val="BodyText"/>
        <w:rPr>
          <w:b/>
        </w:rPr>
      </w:pPr>
    </w:p>
    <w:p>
      <w:pPr>
        <w:pStyle w:val="BodyText"/>
        <w:spacing w:before="5"/>
        <w:rPr>
          <w:b/>
          <w:sz w:val="19"/>
        </w:rPr>
      </w:pPr>
    </w:p>
    <w:p>
      <w:pPr>
        <w:spacing w:after="0"/>
        <w:rPr>
          <w:sz w:val="19"/>
        </w:rPr>
        <w:sectPr>
          <w:headerReference w:type="default" r:id="rId39"/>
          <w:footerReference w:type="default" r:id="rId40"/>
          <w:pgSz w:w="12240" w:h="15840"/>
          <w:pgMar w:header="1270" w:footer="1097" w:top="1580" w:bottom="1280" w:left="0" w:right="580"/>
        </w:sectPr>
      </w:pPr>
    </w:p>
    <w:p>
      <w:pPr>
        <w:pStyle w:val="BodyText"/>
        <w:rPr>
          <w:b/>
          <w:sz w:val="22"/>
        </w:rPr>
      </w:pPr>
    </w:p>
    <w:p>
      <w:pPr>
        <w:pStyle w:val="BodyText"/>
        <w:spacing w:before="4"/>
        <w:rPr>
          <w:b/>
          <w:sz w:val="29"/>
        </w:rPr>
      </w:pPr>
    </w:p>
    <w:p>
      <w:pPr>
        <w:pStyle w:val="BodyText"/>
        <w:spacing w:before="1"/>
        <w:ind w:left="1488"/>
      </w:pPr>
      <w:r>
        <w:rPr>
          <w:color w:val="231F20"/>
        </w:rPr>
        <w:t>NONOPERATING</w:t>
      </w:r>
      <w:r>
        <w:rPr>
          <w:color w:val="231F20"/>
          <w:spacing w:val="-12"/>
        </w:rPr>
        <w:t> </w:t>
      </w:r>
      <w:r>
        <w:rPr>
          <w:color w:val="231F20"/>
          <w:spacing w:val="-2"/>
        </w:rPr>
        <w:t>REVENUES</w:t>
      </w:r>
    </w:p>
    <w:p>
      <w:pPr>
        <w:pStyle w:val="BodyText"/>
        <w:spacing w:before="93"/>
        <w:ind w:right="933"/>
        <w:jc w:val="right"/>
      </w:pPr>
      <w:r>
        <w:rPr/>
        <w:br w:type="column"/>
      </w:r>
      <w:r>
        <w:rPr>
          <w:color w:val="231F20"/>
        </w:rPr>
        <w:t>Component</w:t>
      </w:r>
      <w:r>
        <w:rPr>
          <w:color w:val="231F20"/>
          <w:spacing w:val="-7"/>
        </w:rPr>
        <w:t> </w:t>
      </w:r>
      <w:r>
        <w:rPr>
          <w:color w:val="231F20"/>
          <w:spacing w:val="-4"/>
        </w:rPr>
        <w:t>Unit</w:t>
      </w:r>
    </w:p>
    <w:p>
      <w:pPr>
        <w:pStyle w:val="BodyText"/>
        <w:tabs>
          <w:tab w:pos="416" w:val="left" w:leader="none"/>
          <w:tab w:pos="1514" w:val="left" w:leader="none"/>
          <w:tab w:pos="1832" w:val="left" w:leader="none"/>
          <w:tab w:pos="2105" w:val="left" w:leader="none"/>
          <w:tab w:pos="3361" w:val="left" w:leader="none"/>
        </w:tabs>
        <w:spacing w:before="18"/>
        <w:ind w:right="901"/>
        <w:jc w:val="right"/>
      </w:pPr>
      <w:r>
        <w:rPr>
          <w:color w:val="231F20"/>
          <w:u w:val="thick" w:color="231F20"/>
        </w:rPr>
        <w:tab/>
      </w:r>
      <w:r>
        <w:rPr>
          <w:color w:val="231F20"/>
          <w:spacing w:val="-2"/>
          <w:u w:val="thick" w:color="231F20"/>
        </w:rPr>
        <w:t>Institute</w:t>
      </w:r>
      <w:r>
        <w:rPr>
          <w:color w:val="231F20"/>
          <w:u w:val="thick" w:color="231F20"/>
        </w:rPr>
        <w:tab/>
      </w:r>
      <w:r>
        <w:rPr>
          <w:color w:val="231F20"/>
        </w:rPr>
        <w:tab/>
      </w:r>
      <w:r>
        <w:rPr>
          <w:color w:val="231F20"/>
          <w:u w:val="thick" w:color="231F20"/>
        </w:rPr>
        <w:tab/>
      </w:r>
      <w:r>
        <w:rPr>
          <w:color w:val="231F20"/>
          <w:spacing w:val="-2"/>
          <w:u w:val="thick" w:color="231F20"/>
        </w:rPr>
        <w:t>Foundation</w:t>
      </w:r>
      <w:r>
        <w:rPr>
          <w:color w:val="231F20"/>
          <w:u w:val="thick" w:color="231F20"/>
        </w:rPr>
        <w:tab/>
      </w:r>
    </w:p>
    <w:p>
      <w:pPr>
        <w:spacing w:after="0"/>
        <w:jc w:val="right"/>
        <w:sectPr>
          <w:type w:val="continuous"/>
          <w:pgSz w:w="12240" w:h="15840"/>
          <w:pgMar w:header="1270" w:footer="1097" w:top="1460" w:bottom="280" w:left="0" w:right="580"/>
          <w:cols w:num="2" w:equalWidth="0">
            <w:col w:w="4310" w:space="1598"/>
            <w:col w:w="5752"/>
          </w:cols>
        </w:sectPr>
      </w:pPr>
    </w:p>
    <w:p>
      <w:pPr>
        <w:pStyle w:val="BodyText"/>
        <w:spacing w:before="2"/>
        <w:rPr>
          <w:sz w:val="2"/>
        </w:rPr>
      </w:pPr>
    </w:p>
    <w:tbl>
      <w:tblPr>
        <w:tblW w:w="0" w:type="auto"/>
        <w:jc w:val="left"/>
        <w:tblInd w:w="1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4"/>
        <w:gridCol w:w="3118"/>
        <w:gridCol w:w="946"/>
        <w:gridCol w:w="751"/>
      </w:tblGrid>
      <w:tr>
        <w:trPr>
          <w:trHeight w:val="235" w:hRule="atLeast"/>
        </w:trPr>
        <w:tc>
          <w:tcPr>
            <w:tcW w:w="4374" w:type="dxa"/>
          </w:tcPr>
          <w:p>
            <w:pPr>
              <w:pStyle w:val="TableParagraph"/>
              <w:spacing w:line="216" w:lineRule="exact"/>
              <w:ind w:left="50"/>
              <w:rPr>
                <w:sz w:val="20"/>
              </w:rPr>
            </w:pPr>
            <w:r>
              <w:rPr>
                <w:color w:val="231F20"/>
                <w:sz w:val="20"/>
              </w:rPr>
              <w:t>State</w:t>
            </w:r>
            <w:r>
              <w:rPr>
                <w:color w:val="231F20"/>
                <w:spacing w:val="-1"/>
                <w:sz w:val="20"/>
              </w:rPr>
              <w:t> </w:t>
            </w:r>
            <w:r>
              <w:rPr>
                <w:color w:val="231F20"/>
                <w:spacing w:val="-2"/>
                <w:sz w:val="20"/>
              </w:rPr>
              <w:t>appropriations</w:t>
            </w:r>
          </w:p>
        </w:tc>
        <w:tc>
          <w:tcPr>
            <w:tcW w:w="3118" w:type="dxa"/>
          </w:tcPr>
          <w:p>
            <w:pPr>
              <w:pStyle w:val="TableParagraph"/>
              <w:spacing w:line="216" w:lineRule="exact"/>
              <w:ind w:right="265"/>
              <w:jc w:val="right"/>
              <w:rPr>
                <w:sz w:val="20"/>
              </w:rPr>
            </w:pPr>
            <w:r>
              <w:rPr>
                <w:color w:val="231F20"/>
                <w:sz w:val="20"/>
              </w:rPr>
              <w:t>$</w:t>
            </w:r>
            <w:r>
              <w:rPr>
                <w:color w:val="231F20"/>
                <w:spacing w:val="37"/>
                <w:sz w:val="20"/>
              </w:rPr>
              <w:t>  </w:t>
            </w:r>
            <w:r>
              <w:rPr>
                <w:color w:val="231F20"/>
                <w:spacing w:val="-2"/>
                <w:sz w:val="20"/>
              </w:rPr>
              <w:t>39,893,730</w:t>
            </w:r>
          </w:p>
        </w:tc>
        <w:tc>
          <w:tcPr>
            <w:tcW w:w="946" w:type="dxa"/>
          </w:tcPr>
          <w:p>
            <w:pPr>
              <w:pStyle w:val="TableParagraph"/>
              <w:spacing w:line="216" w:lineRule="exact"/>
              <w:ind w:left="264"/>
              <w:rPr>
                <w:sz w:val="20"/>
              </w:rPr>
            </w:pPr>
            <w:r>
              <w:rPr>
                <w:color w:val="231F20"/>
                <w:w w:val="100"/>
                <w:sz w:val="20"/>
              </w:rPr>
              <w:t>$</w:t>
            </w:r>
          </w:p>
        </w:tc>
        <w:tc>
          <w:tcPr>
            <w:tcW w:w="751" w:type="dxa"/>
          </w:tcPr>
          <w:p>
            <w:pPr>
              <w:pStyle w:val="TableParagraph"/>
              <w:spacing w:line="216" w:lineRule="exact"/>
              <w:ind w:right="116"/>
              <w:jc w:val="right"/>
              <w:rPr>
                <w:sz w:val="20"/>
              </w:rPr>
            </w:pPr>
            <w:r>
              <w:rPr>
                <w:color w:val="231F20"/>
                <w:w w:val="100"/>
                <w:sz w:val="20"/>
              </w:rPr>
              <w:t>-</w:t>
            </w:r>
          </w:p>
        </w:tc>
      </w:tr>
      <w:tr>
        <w:trPr>
          <w:trHeight w:val="235" w:hRule="atLeast"/>
        </w:trPr>
        <w:tc>
          <w:tcPr>
            <w:tcW w:w="4374" w:type="dxa"/>
          </w:tcPr>
          <w:p>
            <w:pPr>
              <w:pStyle w:val="TableParagraph"/>
              <w:spacing w:line="210" w:lineRule="exact" w:before="6"/>
              <w:ind w:left="50"/>
              <w:rPr>
                <w:sz w:val="20"/>
              </w:rPr>
            </w:pPr>
            <w:r>
              <w:rPr>
                <w:color w:val="231F20"/>
                <w:spacing w:val="-2"/>
                <w:sz w:val="20"/>
              </w:rPr>
              <w:t>Gifts</w:t>
            </w:r>
          </w:p>
        </w:tc>
        <w:tc>
          <w:tcPr>
            <w:tcW w:w="3118" w:type="dxa"/>
          </w:tcPr>
          <w:p>
            <w:pPr>
              <w:pStyle w:val="TableParagraph"/>
              <w:spacing w:line="210" w:lineRule="exact" w:before="6"/>
              <w:ind w:right="265"/>
              <w:jc w:val="right"/>
              <w:rPr>
                <w:sz w:val="20"/>
              </w:rPr>
            </w:pPr>
            <w:r>
              <w:rPr>
                <w:color w:val="231F20"/>
                <w:spacing w:val="-2"/>
                <w:sz w:val="20"/>
              </w:rPr>
              <w:t>2,852,656</w:t>
            </w:r>
          </w:p>
        </w:tc>
        <w:tc>
          <w:tcPr>
            <w:tcW w:w="946" w:type="dxa"/>
          </w:tcPr>
          <w:p>
            <w:pPr>
              <w:pStyle w:val="TableParagraph"/>
              <w:rPr>
                <w:rFonts w:ascii="Times New Roman"/>
                <w:sz w:val="16"/>
              </w:rPr>
            </w:pPr>
          </w:p>
        </w:tc>
        <w:tc>
          <w:tcPr>
            <w:tcW w:w="751" w:type="dxa"/>
          </w:tcPr>
          <w:p>
            <w:pPr>
              <w:pStyle w:val="TableParagraph"/>
              <w:spacing w:line="210" w:lineRule="exact" w:before="6"/>
              <w:ind w:right="115"/>
              <w:jc w:val="right"/>
              <w:rPr>
                <w:sz w:val="20"/>
              </w:rPr>
            </w:pPr>
            <w:r>
              <w:rPr>
                <w:color w:val="231F20"/>
                <w:w w:val="100"/>
                <w:sz w:val="20"/>
              </w:rPr>
              <w:t>-</w:t>
            </w:r>
          </w:p>
        </w:tc>
      </w:tr>
      <w:tr>
        <w:trPr>
          <w:trHeight w:val="261" w:hRule="atLeast"/>
        </w:trPr>
        <w:tc>
          <w:tcPr>
            <w:tcW w:w="4374" w:type="dxa"/>
          </w:tcPr>
          <w:p>
            <w:pPr>
              <w:pStyle w:val="TableParagraph"/>
              <w:spacing w:line="223" w:lineRule="exact" w:before="18"/>
              <w:ind w:left="50"/>
              <w:rPr>
                <w:sz w:val="20"/>
              </w:rPr>
            </w:pPr>
            <w:r>
              <w:rPr>
                <w:color w:val="231F20"/>
                <w:sz w:val="20"/>
              </w:rPr>
              <w:t>Interest</w:t>
            </w:r>
            <w:r>
              <w:rPr>
                <w:color w:val="231F20"/>
                <w:spacing w:val="-6"/>
                <w:sz w:val="20"/>
              </w:rPr>
              <w:t> </w:t>
            </w:r>
            <w:r>
              <w:rPr>
                <w:color w:val="231F20"/>
                <w:sz w:val="20"/>
              </w:rPr>
              <w:t>and</w:t>
            </w:r>
            <w:r>
              <w:rPr>
                <w:color w:val="231F20"/>
                <w:spacing w:val="-5"/>
                <w:sz w:val="20"/>
              </w:rPr>
              <w:t> </w:t>
            </w:r>
            <w:r>
              <w:rPr>
                <w:color w:val="231F20"/>
                <w:sz w:val="20"/>
              </w:rPr>
              <w:t>investment</w:t>
            </w:r>
            <w:r>
              <w:rPr>
                <w:color w:val="231F20"/>
                <w:spacing w:val="-5"/>
                <w:sz w:val="20"/>
              </w:rPr>
              <w:t> </w:t>
            </w:r>
            <w:r>
              <w:rPr>
                <w:color w:val="231F20"/>
                <w:sz w:val="20"/>
              </w:rPr>
              <w:t>loss,</w:t>
            </w:r>
            <w:r>
              <w:rPr>
                <w:color w:val="231F20"/>
                <w:spacing w:val="-5"/>
                <w:sz w:val="20"/>
              </w:rPr>
              <w:t> net</w:t>
            </w:r>
          </w:p>
        </w:tc>
        <w:tc>
          <w:tcPr>
            <w:tcW w:w="3118" w:type="dxa"/>
          </w:tcPr>
          <w:p>
            <w:pPr>
              <w:pStyle w:val="TableParagraph"/>
              <w:tabs>
                <w:tab w:pos="336" w:val="left" w:leader="none"/>
              </w:tabs>
              <w:spacing w:line="223" w:lineRule="exact" w:before="18"/>
              <w:ind w:right="201"/>
              <w:jc w:val="right"/>
              <w:rPr>
                <w:sz w:val="20"/>
              </w:rPr>
            </w:pPr>
            <w:r>
              <w:rPr>
                <w:color w:val="231F20"/>
                <w:sz w:val="20"/>
                <w:u w:val="thick" w:color="231F20"/>
              </w:rPr>
              <w:tab/>
            </w:r>
            <w:r>
              <w:rPr>
                <w:color w:val="231F20"/>
                <w:spacing w:val="-2"/>
                <w:sz w:val="20"/>
                <w:u w:val="thick" w:color="231F20"/>
              </w:rPr>
              <w:t>(10,489,179)</w:t>
            </w:r>
          </w:p>
        </w:tc>
        <w:tc>
          <w:tcPr>
            <w:tcW w:w="1697" w:type="dxa"/>
            <w:gridSpan w:val="2"/>
          </w:tcPr>
          <w:p>
            <w:pPr>
              <w:pStyle w:val="TableParagraph"/>
              <w:tabs>
                <w:tab w:pos="622" w:val="left" w:leader="none"/>
              </w:tabs>
              <w:spacing w:line="223" w:lineRule="exact" w:before="18"/>
              <w:ind w:left="157"/>
              <w:rPr>
                <w:sz w:val="20"/>
              </w:rPr>
            </w:pPr>
            <w:r>
              <w:rPr>
                <w:color w:val="231F20"/>
                <w:sz w:val="20"/>
                <w:u w:val="thick" w:color="231F20"/>
              </w:rPr>
              <w:tab/>
            </w:r>
            <w:r>
              <w:rPr>
                <w:color w:val="231F20"/>
                <w:spacing w:val="-2"/>
                <w:sz w:val="20"/>
                <w:u w:val="thick" w:color="231F20"/>
              </w:rPr>
              <w:t>(2,775,826)</w:t>
            </w:r>
          </w:p>
        </w:tc>
      </w:tr>
      <w:tr>
        <w:trPr>
          <w:trHeight w:val="236" w:hRule="atLeast"/>
        </w:trPr>
        <w:tc>
          <w:tcPr>
            <w:tcW w:w="4374" w:type="dxa"/>
          </w:tcPr>
          <w:p>
            <w:pPr>
              <w:pStyle w:val="TableParagraph"/>
              <w:spacing w:line="210" w:lineRule="exact" w:before="6"/>
              <w:ind w:left="471"/>
              <w:rPr>
                <w:sz w:val="20"/>
              </w:rPr>
            </w:pPr>
            <w:r>
              <w:rPr>
                <w:color w:val="231F20"/>
                <w:sz w:val="20"/>
              </w:rPr>
              <w:t>Net</w:t>
            </w:r>
            <w:r>
              <w:rPr>
                <w:color w:val="231F20"/>
                <w:spacing w:val="-2"/>
                <w:sz w:val="20"/>
              </w:rPr>
              <w:t> </w:t>
            </w:r>
            <w:r>
              <w:rPr>
                <w:color w:val="231F20"/>
                <w:sz w:val="20"/>
              </w:rPr>
              <w:t>nonoperating</w:t>
            </w:r>
            <w:r>
              <w:rPr>
                <w:color w:val="231F20"/>
                <w:spacing w:val="-2"/>
                <w:sz w:val="20"/>
              </w:rPr>
              <w:t> revenues</w:t>
            </w:r>
          </w:p>
        </w:tc>
        <w:tc>
          <w:tcPr>
            <w:tcW w:w="3118" w:type="dxa"/>
          </w:tcPr>
          <w:p>
            <w:pPr>
              <w:pStyle w:val="TableParagraph"/>
              <w:tabs>
                <w:tab w:pos="403" w:val="left" w:leader="none"/>
              </w:tabs>
              <w:spacing w:line="210" w:lineRule="exact" w:before="6"/>
              <w:ind w:right="158"/>
              <w:jc w:val="right"/>
              <w:rPr>
                <w:sz w:val="20"/>
              </w:rPr>
            </w:pPr>
            <w:r>
              <w:rPr>
                <w:color w:val="231F20"/>
                <w:sz w:val="20"/>
                <w:u w:val="thick" w:color="231F20"/>
              </w:rPr>
              <w:tab/>
            </w:r>
            <w:r>
              <w:rPr>
                <w:color w:val="231F20"/>
                <w:spacing w:val="-2"/>
                <w:sz w:val="20"/>
                <w:u w:val="thick" w:color="231F20"/>
              </w:rPr>
              <w:t>32,257,207</w:t>
            </w:r>
            <w:r>
              <w:rPr>
                <w:color w:val="231F20"/>
                <w:spacing w:val="80"/>
                <w:sz w:val="20"/>
                <w:u w:val="thick" w:color="231F20"/>
              </w:rPr>
              <w:t> </w:t>
            </w:r>
          </w:p>
        </w:tc>
        <w:tc>
          <w:tcPr>
            <w:tcW w:w="1697" w:type="dxa"/>
            <w:gridSpan w:val="2"/>
          </w:tcPr>
          <w:p>
            <w:pPr>
              <w:pStyle w:val="TableParagraph"/>
              <w:tabs>
                <w:tab w:pos="622" w:val="left" w:leader="none"/>
              </w:tabs>
              <w:spacing w:line="210" w:lineRule="exact" w:before="6"/>
              <w:ind w:left="157"/>
              <w:rPr>
                <w:sz w:val="20"/>
              </w:rPr>
            </w:pPr>
            <w:r>
              <w:rPr>
                <w:color w:val="231F20"/>
                <w:sz w:val="20"/>
                <w:u w:val="thick" w:color="231F20"/>
              </w:rPr>
              <w:tab/>
            </w:r>
            <w:r>
              <w:rPr>
                <w:color w:val="231F20"/>
                <w:spacing w:val="-2"/>
                <w:sz w:val="20"/>
                <w:u w:val="thick" w:color="231F20"/>
              </w:rPr>
              <w:t>(2,775,826)</w:t>
            </w:r>
          </w:p>
        </w:tc>
      </w:tr>
    </w:tbl>
    <w:p>
      <w:pPr>
        <w:pStyle w:val="BodyText"/>
        <w:spacing w:before="4"/>
        <w:rPr>
          <w:sz w:val="15"/>
        </w:rPr>
      </w:pPr>
    </w:p>
    <w:p>
      <w:pPr>
        <w:pStyle w:val="BodyText"/>
        <w:tabs>
          <w:tab w:pos="7395" w:val="left" w:leader="none"/>
          <w:tab w:pos="7731" w:val="left" w:leader="none"/>
          <w:tab w:pos="9227" w:val="left" w:leader="none"/>
          <w:tab w:pos="9692" w:val="left" w:leader="none"/>
        </w:tabs>
        <w:spacing w:line="520" w:lineRule="auto" w:before="93"/>
        <w:ind w:left="1488" w:right="943" w:firstLine="561"/>
      </w:pPr>
      <w:r>
        <w:rPr/>
        <w:pict>
          <v:shape style="position:absolute;margin-left:71.914772pt;margin-top:42.314953pt;width:468.45pt;height:163.050pt;mso-position-horizontal-relative:page;mso-position-vertical-relative:paragraph;z-index:15751680" type="#_x0000_t202" id="docshape23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65"/>
                    <w:gridCol w:w="2465"/>
                    <w:gridCol w:w="1737"/>
                  </w:tblGrid>
                  <w:tr>
                    <w:trPr>
                      <w:trHeight w:val="235" w:hRule="atLeast"/>
                    </w:trPr>
                    <w:tc>
                      <w:tcPr>
                        <w:tcW w:w="5165" w:type="dxa"/>
                      </w:tcPr>
                      <w:p>
                        <w:pPr>
                          <w:pStyle w:val="TableParagraph"/>
                          <w:spacing w:line="216" w:lineRule="exact"/>
                          <w:ind w:left="190"/>
                          <w:rPr>
                            <w:sz w:val="20"/>
                          </w:rPr>
                        </w:pPr>
                        <w:r>
                          <w:rPr>
                            <w:color w:val="231F20"/>
                            <w:sz w:val="20"/>
                          </w:rPr>
                          <w:t>Other</w:t>
                        </w:r>
                        <w:r>
                          <w:rPr>
                            <w:color w:val="231F20"/>
                            <w:spacing w:val="-3"/>
                            <w:sz w:val="20"/>
                          </w:rPr>
                          <w:t> </w:t>
                        </w:r>
                        <w:r>
                          <w:rPr>
                            <w:color w:val="231F20"/>
                            <w:spacing w:val="-2"/>
                            <w:sz w:val="20"/>
                          </w:rPr>
                          <w:t>revenues</w:t>
                        </w:r>
                      </w:p>
                    </w:tc>
                    <w:tc>
                      <w:tcPr>
                        <w:tcW w:w="2465" w:type="dxa"/>
                      </w:tcPr>
                      <w:p>
                        <w:pPr>
                          <w:pStyle w:val="TableParagraph"/>
                          <w:spacing w:line="216" w:lineRule="exact"/>
                          <w:ind w:right="265"/>
                          <w:jc w:val="right"/>
                          <w:rPr>
                            <w:sz w:val="20"/>
                          </w:rPr>
                        </w:pPr>
                        <w:r>
                          <w:rPr>
                            <w:color w:val="231F20"/>
                            <w:spacing w:val="-2"/>
                            <w:sz w:val="20"/>
                          </w:rPr>
                          <w:t>10,297,277</w:t>
                        </w:r>
                      </w:p>
                    </w:tc>
                    <w:tc>
                      <w:tcPr>
                        <w:tcW w:w="1737" w:type="dxa"/>
                      </w:tcPr>
                      <w:p>
                        <w:pPr>
                          <w:pStyle w:val="TableParagraph"/>
                          <w:spacing w:line="216" w:lineRule="exact"/>
                          <w:ind w:right="155"/>
                          <w:jc w:val="right"/>
                          <w:rPr>
                            <w:sz w:val="20"/>
                          </w:rPr>
                        </w:pPr>
                        <w:r>
                          <w:rPr>
                            <w:color w:val="231F20"/>
                            <w:spacing w:val="-2"/>
                            <w:sz w:val="20"/>
                          </w:rPr>
                          <w:t>87,900</w:t>
                        </w:r>
                      </w:p>
                    </w:tc>
                  </w:tr>
                  <w:tr>
                    <w:trPr>
                      <w:trHeight w:val="249" w:hRule="atLeast"/>
                    </w:trPr>
                    <w:tc>
                      <w:tcPr>
                        <w:tcW w:w="5165" w:type="dxa"/>
                      </w:tcPr>
                      <w:p>
                        <w:pPr>
                          <w:pStyle w:val="TableParagraph"/>
                          <w:spacing w:line="223" w:lineRule="exact" w:before="6"/>
                          <w:ind w:left="189"/>
                          <w:rPr>
                            <w:sz w:val="20"/>
                          </w:rPr>
                        </w:pPr>
                        <w:r>
                          <w:rPr>
                            <w:color w:val="231F20"/>
                            <w:sz w:val="20"/>
                          </w:rPr>
                          <w:t>Additions</w:t>
                        </w:r>
                        <w:r>
                          <w:rPr>
                            <w:color w:val="231F20"/>
                            <w:spacing w:val="-7"/>
                            <w:sz w:val="20"/>
                          </w:rPr>
                          <w:t> </w:t>
                        </w:r>
                        <w:r>
                          <w:rPr>
                            <w:color w:val="231F20"/>
                            <w:sz w:val="20"/>
                          </w:rPr>
                          <w:t>to</w:t>
                        </w:r>
                        <w:r>
                          <w:rPr>
                            <w:color w:val="231F20"/>
                            <w:spacing w:val="-6"/>
                            <w:sz w:val="20"/>
                          </w:rPr>
                          <w:t> </w:t>
                        </w:r>
                        <w:r>
                          <w:rPr>
                            <w:color w:val="231F20"/>
                            <w:sz w:val="20"/>
                          </w:rPr>
                          <w:t>permanent</w:t>
                        </w:r>
                        <w:r>
                          <w:rPr>
                            <w:color w:val="231F20"/>
                            <w:spacing w:val="-6"/>
                            <w:sz w:val="20"/>
                          </w:rPr>
                          <w:t> </w:t>
                        </w:r>
                        <w:r>
                          <w:rPr>
                            <w:color w:val="231F20"/>
                            <w:spacing w:val="-2"/>
                            <w:sz w:val="20"/>
                          </w:rPr>
                          <w:t>endowments</w:t>
                        </w:r>
                      </w:p>
                    </w:tc>
                    <w:tc>
                      <w:tcPr>
                        <w:tcW w:w="2465" w:type="dxa"/>
                      </w:tcPr>
                      <w:p>
                        <w:pPr>
                          <w:pStyle w:val="TableParagraph"/>
                          <w:spacing w:line="223" w:lineRule="exact" w:before="6"/>
                          <w:ind w:right="266"/>
                          <w:jc w:val="right"/>
                          <w:rPr>
                            <w:sz w:val="20"/>
                          </w:rPr>
                        </w:pPr>
                        <w:r>
                          <w:rPr>
                            <w:color w:val="231F20"/>
                            <w:spacing w:val="-2"/>
                            <w:sz w:val="20"/>
                          </w:rPr>
                          <w:t>2,424,595</w:t>
                        </w:r>
                      </w:p>
                    </w:tc>
                    <w:tc>
                      <w:tcPr>
                        <w:tcW w:w="1737" w:type="dxa"/>
                      </w:tcPr>
                      <w:p>
                        <w:pPr>
                          <w:pStyle w:val="TableParagraph"/>
                          <w:spacing w:line="223" w:lineRule="exact" w:before="6"/>
                          <w:ind w:right="153"/>
                          <w:jc w:val="right"/>
                          <w:rPr>
                            <w:sz w:val="20"/>
                          </w:rPr>
                        </w:pPr>
                        <w:r>
                          <w:rPr>
                            <w:color w:val="231F20"/>
                            <w:w w:val="100"/>
                            <w:sz w:val="20"/>
                          </w:rPr>
                          <w:t>-</w:t>
                        </w:r>
                      </w:p>
                    </w:tc>
                  </w:tr>
                  <w:tr>
                    <w:trPr>
                      <w:trHeight w:val="249" w:hRule="atLeast"/>
                    </w:trPr>
                    <w:tc>
                      <w:tcPr>
                        <w:tcW w:w="5165" w:type="dxa"/>
                      </w:tcPr>
                      <w:p>
                        <w:pPr>
                          <w:pStyle w:val="TableParagraph"/>
                          <w:spacing w:line="223" w:lineRule="exact" w:before="6"/>
                          <w:ind w:left="189"/>
                          <w:rPr>
                            <w:sz w:val="20"/>
                          </w:rPr>
                        </w:pPr>
                        <w:r>
                          <w:rPr>
                            <w:color w:val="231F20"/>
                            <w:sz w:val="20"/>
                          </w:rPr>
                          <w:t>State</w:t>
                        </w:r>
                        <w:r>
                          <w:rPr>
                            <w:color w:val="231F20"/>
                            <w:spacing w:val="-7"/>
                            <w:sz w:val="20"/>
                          </w:rPr>
                          <w:t> </w:t>
                        </w:r>
                        <w:r>
                          <w:rPr>
                            <w:color w:val="231F20"/>
                            <w:sz w:val="20"/>
                          </w:rPr>
                          <w:t>land</w:t>
                        </w:r>
                        <w:r>
                          <w:rPr>
                            <w:color w:val="231F20"/>
                            <w:spacing w:val="-5"/>
                            <w:sz w:val="20"/>
                          </w:rPr>
                          <w:t> </w:t>
                        </w:r>
                        <w:r>
                          <w:rPr>
                            <w:color w:val="231F20"/>
                            <w:sz w:val="20"/>
                          </w:rPr>
                          <w:t>grant</w:t>
                        </w:r>
                        <w:r>
                          <w:rPr>
                            <w:color w:val="231F20"/>
                            <w:spacing w:val="-4"/>
                            <w:sz w:val="20"/>
                          </w:rPr>
                          <w:t> </w:t>
                        </w:r>
                        <w:r>
                          <w:rPr>
                            <w:color w:val="231F20"/>
                            <w:sz w:val="20"/>
                          </w:rPr>
                          <w:t>permanent</w:t>
                        </w:r>
                        <w:r>
                          <w:rPr>
                            <w:color w:val="231F20"/>
                            <w:spacing w:val="-5"/>
                            <w:sz w:val="20"/>
                          </w:rPr>
                          <w:t> </w:t>
                        </w:r>
                        <w:r>
                          <w:rPr>
                            <w:color w:val="231F20"/>
                            <w:sz w:val="20"/>
                          </w:rPr>
                          <w:t>fund</w:t>
                        </w:r>
                        <w:r>
                          <w:rPr>
                            <w:color w:val="231F20"/>
                            <w:spacing w:val="-4"/>
                            <w:sz w:val="20"/>
                          </w:rPr>
                          <w:t> </w:t>
                        </w:r>
                        <w:r>
                          <w:rPr>
                            <w:color w:val="231F20"/>
                            <w:spacing w:val="-2"/>
                            <w:sz w:val="20"/>
                          </w:rPr>
                          <w:t>income</w:t>
                        </w:r>
                      </w:p>
                    </w:tc>
                    <w:tc>
                      <w:tcPr>
                        <w:tcW w:w="2465" w:type="dxa"/>
                      </w:tcPr>
                      <w:p>
                        <w:pPr>
                          <w:pStyle w:val="TableParagraph"/>
                          <w:spacing w:line="223" w:lineRule="exact" w:before="6"/>
                          <w:ind w:right="267"/>
                          <w:jc w:val="right"/>
                          <w:rPr>
                            <w:sz w:val="20"/>
                          </w:rPr>
                        </w:pPr>
                        <w:r>
                          <w:rPr>
                            <w:color w:val="231F20"/>
                            <w:spacing w:val="-2"/>
                            <w:sz w:val="20"/>
                          </w:rPr>
                          <w:t>3,377,550</w:t>
                        </w:r>
                      </w:p>
                    </w:tc>
                    <w:tc>
                      <w:tcPr>
                        <w:tcW w:w="1737" w:type="dxa"/>
                      </w:tcPr>
                      <w:p>
                        <w:pPr>
                          <w:pStyle w:val="TableParagraph"/>
                          <w:spacing w:line="223" w:lineRule="exact" w:before="6"/>
                          <w:ind w:right="153"/>
                          <w:jc w:val="right"/>
                          <w:rPr>
                            <w:sz w:val="20"/>
                          </w:rPr>
                        </w:pPr>
                        <w:r>
                          <w:rPr>
                            <w:color w:val="231F20"/>
                            <w:w w:val="100"/>
                            <w:sz w:val="20"/>
                          </w:rPr>
                          <w:t>-</w:t>
                        </w:r>
                      </w:p>
                    </w:tc>
                  </w:tr>
                  <w:tr>
                    <w:trPr>
                      <w:trHeight w:val="248" w:hRule="atLeast"/>
                    </w:trPr>
                    <w:tc>
                      <w:tcPr>
                        <w:tcW w:w="5165" w:type="dxa"/>
                      </w:tcPr>
                      <w:p>
                        <w:pPr>
                          <w:pStyle w:val="TableParagraph"/>
                          <w:spacing w:line="223" w:lineRule="exact" w:before="6"/>
                          <w:ind w:left="190"/>
                          <w:rPr>
                            <w:sz w:val="20"/>
                          </w:rPr>
                        </w:pPr>
                        <w:r>
                          <w:rPr>
                            <w:color w:val="231F20"/>
                            <w:sz w:val="20"/>
                          </w:rPr>
                          <w:t>Capital</w:t>
                        </w:r>
                        <w:r>
                          <w:rPr>
                            <w:color w:val="231F20"/>
                            <w:spacing w:val="-5"/>
                            <w:sz w:val="20"/>
                          </w:rPr>
                          <w:t> </w:t>
                        </w:r>
                        <w:r>
                          <w:rPr>
                            <w:color w:val="231F20"/>
                            <w:sz w:val="20"/>
                          </w:rPr>
                          <w:t>gifts</w:t>
                        </w:r>
                        <w:r>
                          <w:rPr>
                            <w:color w:val="231F20"/>
                            <w:spacing w:val="-5"/>
                            <w:sz w:val="20"/>
                          </w:rPr>
                          <w:t> </w:t>
                        </w:r>
                        <w:r>
                          <w:rPr>
                            <w:color w:val="231F20"/>
                            <w:sz w:val="20"/>
                          </w:rPr>
                          <w:t>and</w:t>
                        </w:r>
                        <w:r>
                          <w:rPr>
                            <w:color w:val="231F20"/>
                            <w:spacing w:val="-4"/>
                            <w:sz w:val="20"/>
                          </w:rPr>
                          <w:t> </w:t>
                        </w:r>
                        <w:r>
                          <w:rPr>
                            <w:color w:val="231F20"/>
                            <w:spacing w:val="-2"/>
                            <w:sz w:val="20"/>
                          </w:rPr>
                          <w:t>grants</w:t>
                        </w:r>
                      </w:p>
                    </w:tc>
                    <w:tc>
                      <w:tcPr>
                        <w:tcW w:w="2465" w:type="dxa"/>
                      </w:tcPr>
                      <w:p>
                        <w:pPr>
                          <w:pStyle w:val="TableParagraph"/>
                          <w:spacing w:line="223" w:lineRule="exact" w:before="6"/>
                          <w:ind w:right="265"/>
                          <w:jc w:val="right"/>
                          <w:rPr>
                            <w:sz w:val="20"/>
                          </w:rPr>
                        </w:pPr>
                        <w:r>
                          <w:rPr>
                            <w:color w:val="231F20"/>
                            <w:spacing w:val="-2"/>
                            <w:sz w:val="20"/>
                          </w:rPr>
                          <w:t>151,068</w:t>
                        </w:r>
                      </w:p>
                    </w:tc>
                    <w:tc>
                      <w:tcPr>
                        <w:tcW w:w="1737" w:type="dxa"/>
                      </w:tcPr>
                      <w:p>
                        <w:pPr>
                          <w:pStyle w:val="TableParagraph"/>
                          <w:spacing w:line="223" w:lineRule="exact" w:before="6"/>
                          <w:ind w:right="153"/>
                          <w:jc w:val="right"/>
                          <w:rPr>
                            <w:sz w:val="20"/>
                          </w:rPr>
                        </w:pPr>
                        <w:r>
                          <w:rPr>
                            <w:color w:val="231F20"/>
                            <w:w w:val="100"/>
                            <w:sz w:val="20"/>
                          </w:rPr>
                          <w:t>-</w:t>
                        </w:r>
                      </w:p>
                    </w:tc>
                  </w:tr>
                  <w:tr>
                    <w:trPr>
                      <w:trHeight w:val="248" w:hRule="atLeast"/>
                    </w:trPr>
                    <w:tc>
                      <w:tcPr>
                        <w:tcW w:w="5165" w:type="dxa"/>
                      </w:tcPr>
                      <w:p>
                        <w:pPr>
                          <w:pStyle w:val="TableParagraph"/>
                          <w:spacing w:line="223" w:lineRule="exact" w:before="6"/>
                          <w:ind w:left="190"/>
                          <w:rPr>
                            <w:sz w:val="20"/>
                          </w:rPr>
                        </w:pPr>
                        <w:r>
                          <w:rPr>
                            <w:color w:val="231F20"/>
                            <w:sz w:val="20"/>
                          </w:rPr>
                          <w:t>Capital</w:t>
                        </w:r>
                        <w:r>
                          <w:rPr>
                            <w:color w:val="231F20"/>
                            <w:spacing w:val="-6"/>
                            <w:sz w:val="20"/>
                          </w:rPr>
                          <w:t> </w:t>
                        </w:r>
                        <w:r>
                          <w:rPr>
                            <w:color w:val="231F20"/>
                            <w:sz w:val="20"/>
                          </w:rPr>
                          <w:t>project</w:t>
                        </w:r>
                        <w:r>
                          <w:rPr>
                            <w:color w:val="231F20"/>
                            <w:spacing w:val="-6"/>
                            <w:sz w:val="20"/>
                          </w:rPr>
                          <w:t> </w:t>
                        </w:r>
                        <w:r>
                          <w:rPr>
                            <w:color w:val="231F20"/>
                            <w:sz w:val="20"/>
                          </w:rPr>
                          <w:t>appropriations</w:t>
                        </w:r>
                        <w:r>
                          <w:rPr>
                            <w:color w:val="231F20"/>
                            <w:spacing w:val="-6"/>
                            <w:sz w:val="20"/>
                          </w:rPr>
                          <w:t> </w:t>
                        </w:r>
                        <w:r>
                          <w:rPr>
                            <w:color w:val="231F20"/>
                            <w:sz w:val="20"/>
                          </w:rPr>
                          <w:t>from</w:t>
                        </w:r>
                        <w:r>
                          <w:rPr>
                            <w:color w:val="231F20"/>
                            <w:spacing w:val="-6"/>
                            <w:sz w:val="20"/>
                          </w:rPr>
                          <w:t> </w:t>
                        </w:r>
                        <w:r>
                          <w:rPr>
                            <w:color w:val="231F20"/>
                            <w:sz w:val="20"/>
                          </w:rPr>
                          <w:t>state</w:t>
                        </w:r>
                        <w:r>
                          <w:rPr>
                            <w:color w:val="231F20"/>
                            <w:spacing w:val="-6"/>
                            <w:sz w:val="20"/>
                          </w:rPr>
                          <w:t> </w:t>
                        </w:r>
                        <w:r>
                          <w:rPr>
                            <w:color w:val="231F20"/>
                            <w:spacing w:val="-2"/>
                            <w:sz w:val="20"/>
                          </w:rPr>
                          <w:t>issued</w:t>
                        </w:r>
                      </w:p>
                    </w:tc>
                    <w:tc>
                      <w:tcPr>
                        <w:tcW w:w="2465" w:type="dxa"/>
                      </w:tcPr>
                      <w:p>
                        <w:pPr>
                          <w:pStyle w:val="TableParagraph"/>
                          <w:rPr>
                            <w:rFonts w:ascii="Times New Roman"/>
                            <w:sz w:val="18"/>
                          </w:rPr>
                        </w:pPr>
                      </w:p>
                    </w:tc>
                    <w:tc>
                      <w:tcPr>
                        <w:tcW w:w="1737" w:type="dxa"/>
                      </w:tcPr>
                      <w:p>
                        <w:pPr>
                          <w:pStyle w:val="TableParagraph"/>
                          <w:rPr>
                            <w:rFonts w:ascii="Times New Roman"/>
                            <w:sz w:val="18"/>
                          </w:rPr>
                        </w:pPr>
                      </w:p>
                    </w:tc>
                  </w:tr>
                  <w:tr>
                    <w:trPr>
                      <w:trHeight w:val="249" w:hRule="atLeast"/>
                    </w:trPr>
                    <w:tc>
                      <w:tcPr>
                        <w:tcW w:w="5165" w:type="dxa"/>
                      </w:tcPr>
                      <w:p>
                        <w:pPr>
                          <w:pStyle w:val="TableParagraph"/>
                          <w:spacing w:line="223" w:lineRule="exact" w:before="6"/>
                          <w:ind w:left="330"/>
                          <w:rPr>
                            <w:sz w:val="20"/>
                          </w:rPr>
                        </w:pPr>
                        <w:r>
                          <w:rPr>
                            <w:color w:val="231F20"/>
                            <w:sz w:val="20"/>
                          </w:rPr>
                          <w:t>bonds</w:t>
                        </w:r>
                        <w:r>
                          <w:rPr>
                            <w:color w:val="231F20"/>
                            <w:spacing w:val="-2"/>
                            <w:sz w:val="20"/>
                          </w:rPr>
                          <w:t> </w:t>
                        </w:r>
                        <w:r>
                          <w:rPr>
                            <w:color w:val="231F20"/>
                            <w:sz w:val="20"/>
                          </w:rPr>
                          <w:t>and</w:t>
                        </w:r>
                        <w:r>
                          <w:rPr>
                            <w:color w:val="231F20"/>
                            <w:spacing w:val="-2"/>
                            <w:sz w:val="20"/>
                          </w:rPr>
                          <w:t> other</w:t>
                        </w:r>
                      </w:p>
                    </w:tc>
                    <w:tc>
                      <w:tcPr>
                        <w:tcW w:w="2465" w:type="dxa"/>
                      </w:tcPr>
                      <w:p>
                        <w:pPr>
                          <w:pStyle w:val="TableParagraph"/>
                          <w:tabs>
                            <w:tab w:pos="514" w:val="left" w:leader="none"/>
                          </w:tabs>
                          <w:spacing w:line="223" w:lineRule="exact" w:before="6"/>
                          <w:ind w:right="156"/>
                          <w:jc w:val="right"/>
                          <w:rPr>
                            <w:sz w:val="20"/>
                          </w:rPr>
                        </w:pPr>
                        <w:r>
                          <w:rPr>
                            <w:color w:val="231F20"/>
                            <w:sz w:val="20"/>
                            <w:u w:val="thick" w:color="231F20"/>
                          </w:rPr>
                          <w:tab/>
                        </w:r>
                        <w:r>
                          <w:rPr>
                            <w:color w:val="231F20"/>
                            <w:spacing w:val="-2"/>
                            <w:sz w:val="20"/>
                            <w:u w:val="thick" w:color="231F20"/>
                          </w:rPr>
                          <w:t>3,046,434</w:t>
                        </w:r>
                        <w:r>
                          <w:rPr>
                            <w:color w:val="231F20"/>
                            <w:spacing w:val="80"/>
                            <w:sz w:val="20"/>
                            <w:u w:val="thick" w:color="231F20"/>
                          </w:rPr>
                          <w:t> </w:t>
                        </w:r>
                      </w:p>
                    </w:tc>
                    <w:tc>
                      <w:tcPr>
                        <w:tcW w:w="1737" w:type="dxa"/>
                      </w:tcPr>
                      <w:p>
                        <w:pPr>
                          <w:pStyle w:val="TableParagraph"/>
                          <w:tabs>
                            <w:tab w:pos="1355" w:val="left" w:leader="none"/>
                          </w:tabs>
                          <w:spacing w:line="223" w:lineRule="exact" w:before="6"/>
                          <w:ind w:right="46"/>
                          <w:jc w:val="right"/>
                          <w:rPr>
                            <w:sz w:val="20"/>
                          </w:rPr>
                        </w:pPr>
                        <w:r>
                          <w:rPr>
                            <w:color w:val="231F20"/>
                            <w:sz w:val="20"/>
                            <w:u w:val="thick" w:color="231F20"/>
                          </w:rPr>
                          <w:tab/>
                        </w:r>
                        <w:r>
                          <w:rPr>
                            <w:color w:val="231F20"/>
                            <w:spacing w:val="-10"/>
                            <w:sz w:val="20"/>
                            <w:u w:val="thick" w:color="231F20"/>
                          </w:rPr>
                          <w:t>-</w:t>
                        </w:r>
                        <w:r>
                          <w:rPr>
                            <w:color w:val="231F20"/>
                            <w:spacing w:val="80"/>
                            <w:sz w:val="20"/>
                            <w:u w:val="thick" w:color="231F20"/>
                          </w:rPr>
                          <w:t> </w:t>
                        </w:r>
                      </w:p>
                    </w:tc>
                  </w:tr>
                  <w:tr>
                    <w:trPr>
                      <w:trHeight w:val="373" w:hRule="atLeast"/>
                    </w:trPr>
                    <w:tc>
                      <w:tcPr>
                        <w:tcW w:w="5165" w:type="dxa"/>
                      </w:tcPr>
                      <w:p>
                        <w:pPr>
                          <w:pStyle w:val="TableParagraph"/>
                          <w:spacing w:before="6"/>
                          <w:ind w:left="611"/>
                          <w:rPr>
                            <w:sz w:val="20"/>
                          </w:rPr>
                        </w:pPr>
                        <w:r>
                          <w:rPr>
                            <w:color w:val="231F20"/>
                            <w:sz w:val="20"/>
                          </w:rPr>
                          <w:t>Net</w:t>
                        </w:r>
                        <w:r>
                          <w:rPr>
                            <w:color w:val="231F20"/>
                            <w:spacing w:val="-5"/>
                            <w:sz w:val="20"/>
                          </w:rPr>
                          <w:t> </w:t>
                        </w:r>
                        <w:r>
                          <w:rPr>
                            <w:color w:val="231F20"/>
                            <w:sz w:val="20"/>
                          </w:rPr>
                          <w:t>other</w:t>
                        </w:r>
                        <w:r>
                          <w:rPr>
                            <w:color w:val="231F20"/>
                            <w:spacing w:val="-4"/>
                            <w:sz w:val="20"/>
                          </w:rPr>
                          <w:t> </w:t>
                        </w:r>
                        <w:r>
                          <w:rPr>
                            <w:color w:val="231F20"/>
                            <w:spacing w:val="-2"/>
                            <w:sz w:val="20"/>
                          </w:rPr>
                          <w:t>revenues</w:t>
                        </w:r>
                      </w:p>
                    </w:tc>
                    <w:tc>
                      <w:tcPr>
                        <w:tcW w:w="2465" w:type="dxa"/>
                      </w:tcPr>
                      <w:p>
                        <w:pPr>
                          <w:pStyle w:val="TableParagraph"/>
                          <w:tabs>
                            <w:tab w:pos="403" w:val="left" w:leader="none"/>
                          </w:tabs>
                          <w:spacing w:before="6"/>
                          <w:ind w:right="156"/>
                          <w:jc w:val="right"/>
                          <w:rPr>
                            <w:sz w:val="20"/>
                          </w:rPr>
                        </w:pPr>
                        <w:r>
                          <w:rPr>
                            <w:color w:val="231F20"/>
                            <w:sz w:val="20"/>
                            <w:u w:val="single" w:color="231F20"/>
                          </w:rPr>
                          <w:tab/>
                        </w:r>
                        <w:r>
                          <w:rPr>
                            <w:color w:val="231F20"/>
                            <w:spacing w:val="-2"/>
                            <w:sz w:val="20"/>
                            <w:u w:val="single" w:color="231F20"/>
                          </w:rPr>
                          <w:t>19,296,924</w:t>
                        </w:r>
                        <w:r>
                          <w:rPr>
                            <w:color w:val="231F20"/>
                            <w:spacing w:val="80"/>
                            <w:sz w:val="20"/>
                            <w:u w:val="single" w:color="231F20"/>
                          </w:rPr>
                          <w:t> </w:t>
                        </w:r>
                      </w:p>
                    </w:tc>
                    <w:tc>
                      <w:tcPr>
                        <w:tcW w:w="1737" w:type="dxa"/>
                      </w:tcPr>
                      <w:p>
                        <w:pPr>
                          <w:pStyle w:val="TableParagraph"/>
                          <w:tabs>
                            <w:tab w:pos="809" w:val="left" w:leader="none"/>
                          </w:tabs>
                          <w:spacing w:before="6"/>
                          <w:ind w:right="46"/>
                          <w:jc w:val="right"/>
                          <w:rPr>
                            <w:sz w:val="20"/>
                          </w:rPr>
                        </w:pPr>
                        <w:r>
                          <w:rPr>
                            <w:color w:val="231F20"/>
                            <w:sz w:val="20"/>
                            <w:u w:val="single" w:color="231F20"/>
                          </w:rPr>
                          <w:tab/>
                        </w:r>
                        <w:r>
                          <w:rPr>
                            <w:color w:val="231F20"/>
                            <w:spacing w:val="-2"/>
                            <w:sz w:val="20"/>
                            <w:u w:val="single" w:color="231F20"/>
                          </w:rPr>
                          <w:t>87,900</w:t>
                        </w:r>
                        <w:r>
                          <w:rPr>
                            <w:color w:val="231F20"/>
                            <w:spacing w:val="80"/>
                            <w:sz w:val="20"/>
                            <w:u w:val="single" w:color="231F20"/>
                          </w:rPr>
                          <w:t> </w:t>
                        </w:r>
                      </w:p>
                    </w:tc>
                  </w:tr>
                  <w:tr>
                    <w:trPr>
                      <w:trHeight w:val="497" w:hRule="atLeast"/>
                    </w:trPr>
                    <w:tc>
                      <w:tcPr>
                        <w:tcW w:w="5165" w:type="dxa"/>
                      </w:tcPr>
                      <w:p>
                        <w:pPr>
                          <w:pStyle w:val="TableParagraph"/>
                          <w:spacing w:before="130"/>
                          <w:ind w:left="611"/>
                          <w:rPr>
                            <w:sz w:val="20"/>
                          </w:rPr>
                        </w:pPr>
                        <w:r>
                          <w:rPr>
                            <w:color w:val="231F20"/>
                            <w:sz w:val="20"/>
                          </w:rPr>
                          <w:t>Change</w:t>
                        </w:r>
                        <w:r>
                          <w:rPr>
                            <w:color w:val="231F20"/>
                            <w:spacing w:val="-4"/>
                            <w:sz w:val="20"/>
                          </w:rPr>
                          <w:t> </w:t>
                        </w:r>
                        <w:r>
                          <w:rPr>
                            <w:color w:val="231F20"/>
                            <w:sz w:val="20"/>
                          </w:rPr>
                          <w:t>in</w:t>
                        </w:r>
                        <w:r>
                          <w:rPr>
                            <w:color w:val="231F20"/>
                            <w:spacing w:val="-4"/>
                            <w:sz w:val="20"/>
                          </w:rPr>
                          <w:t> </w:t>
                        </w:r>
                        <w:r>
                          <w:rPr>
                            <w:color w:val="231F20"/>
                            <w:sz w:val="20"/>
                          </w:rPr>
                          <w:t>net</w:t>
                        </w:r>
                        <w:r>
                          <w:rPr>
                            <w:color w:val="231F20"/>
                            <w:spacing w:val="-4"/>
                            <w:sz w:val="20"/>
                          </w:rPr>
                          <w:t> </w:t>
                        </w:r>
                        <w:r>
                          <w:rPr>
                            <w:color w:val="231F20"/>
                            <w:spacing w:val="-2"/>
                            <w:sz w:val="20"/>
                          </w:rPr>
                          <w:t>position</w:t>
                        </w:r>
                      </w:p>
                    </w:tc>
                    <w:tc>
                      <w:tcPr>
                        <w:tcW w:w="2465" w:type="dxa"/>
                      </w:tcPr>
                      <w:p>
                        <w:pPr>
                          <w:pStyle w:val="TableParagraph"/>
                          <w:spacing w:before="130"/>
                          <w:ind w:right="198"/>
                          <w:jc w:val="right"/>
                          <w:rPr>
                            <w:sz w:val="20"/>
                          </w:rPr>
                        </w:pPr>
                        <w:r>
                          <w:rPr>
                            <w:color w:val="231F20"/>
                            <w:spacing w:val="-2"/>
                            <w:sz w:val="20"/>
                          </w:rPr>
                          <w:t>(9,571,159)</w:t>
                        </w:r>
                      </w:p>
                    </w:tc>
                    <w:tc>
                      <w:tcPr>
                        <w:tcW w:w="1737" w:type="dxa"/>
                      </w:tcPr>
                      <w:p>
                        <w:pPr>
                          <w:pStyle w:val="TableParagraph"/>
                          <w:spacing w:before="130"/>
                          <w:ind w:right="88"/>
                          <w:jc w:val="right"/>
                          <w:rPr>
                            <w:sz w:val="20"/>
                          </w:rPr>
                        </w:pPr>
                        <w:r>
                          <w:rPr>
                            <w:color w:val="231F20"/>
                            <w:spacing w:val="-2"/>
                            <w:sz w:val="20"/>
                          </w:rPr>
                          <w:t>(4,161,377)</w:t>
                        </w:r>
                      </w:p>
                    </w:tc>
                  </w:tr>
                  <w:tr>
                    <w:trPr>
                      <w:trHeight w:val="501" w:hRule="atLeast"/>
                    </w:trPr>
                    <w:tc>
                      <w:tcPr>
                        <w:tcW w:w="5165" w:type="dxa"/>
                      </w:tcPr>
                      <w:p>
                        <w:pPr>
                          <w:pStyle w:val="TableParagraph"/>
                          <w:spacing w:before="130"/>
                          <w:ind w:left="50"/>
                          <w:rPr>
                            <w:sz w:val="20"/>
                          </w:rPr>
                        </w:pPr>
                        <w:r>
                          <w:rPr>
                            <w:color w:val="231F20"/>
                            <w:sz w:val="20"/>
                          </w:rPr>
                          <w:t>NET</w:t>
                        </w:r>
                        <w:r>
                          <w:rPr>
                            <w:color w:val="231F20"/>
                            <w:spacing w:val="-6"/>
                            <w:sz w:val="20"/>
                          </w:rPr>
                          <w:t> </w:t>
                        </w:r>
                        <w:r>
                          <w:rPr>
                            <w:color w:val="231F20"/>
                            <w:sz w:val="20"/>
                          </w:rPr>
                          <w:t>POSITION,</w:t>
                        </w:r>
                        <w:r>
                          <w:rPr>
                            <w:color w:val="231F20"/>
                            <w:spacing w:val="-5"/>
                            <w:sz w:val="20"/>
                          </w:rPr>
                          <w:t> </w:t>
                        </w:r>
                        <w:r>
                          <w:rPr>
                            <w:color w:val="231F20"/>
                            <w:sz w:val="20"/>
                          </w:rPr>
                          <w:t>beginning</w:t>
                        </w:r>
                        <w:r>
                          <w:rPr>
                            <w:color w:val="231F20"/>
                            <w:spacing w:val="-6"/>
                            <w:sz w:val="20"/>
                          </w:rPr>
                          <w:t> </w:t>
                        </w:r>
                        <w:r>
                          <w:rPr>
                            <w:color w:val="231F20"/>
                            <w:sz w:val="20"/>
                          </w:rPr>
                          <w:t>of</w:t>
                        </w:r>
                        <w:r>
                          <w:rPr>
                            <w:color w:val="231F20"/>
                            <w:spacing w:val="-5"/>
                            <w:sz w:val="20"/>
                          </w:rPr>
                          <w:t> </w:t>
                        </w:r>
                        <w:r>
                          <w:rPr>
                            <w:color w:val="231F20"/>
                            <w:spacing w:val="-4"/>
                            <w:sz w:val="20"/>
                          </w:rPr>
                          <w:t>year</w:t>
                        </w:r>
                      </w:p>
                    </w:tc>
                    <w:tc>
                      <w:tcPr>
                        <w:tcW w:w="2465" w:type="dxa"/>
                      </w:tcPr>
                      <w:p>
                        <w:pPr>
                          <w:pStyle w:val="TableParagraph"/>
                          <w:tabs>
                            <w:tab w:pos="293" w:val="left" w:leader="none"/>
                          </w:tabs>
                          <w:spacing w:before="130"/>
                          <w:ind w:right="156"/>
                          <w:jc w:val="right"/>
                          <w:rPr>
                            <w:sz w:val="20"/>
                          </w:rPr>
                        </w:pPr>
                        <w:r>
                          <w:rPr>
                            <w:color w:val="231F20"/>
                            <w:sz w:val="20"/>
                            <w:u w:val="single" w:color="231F20"/>
                          </w:rPr>
                          <w:tab/>
                        </w:r>
                        <w:r>
                          <w:rPr>
                            <w:color w:val="231F20"/>
                            <w:spacing w:val="-2"/>
                            <w:sz w:val="20"/>
                            <w:u w:val="single" w:color="231F20"/>
                          </w:rPr>
                          <w:t>102,275,494</w:t>
                        </w:r>
                        <w:r>
                          <w:rPr>
                            <w:color w:val="231F20"/>
                            <w:spacing w:val="80"/>
                            <w:sz w:val="20"/>
                            <w:u w:val="single" w:color="231F20"/>
                          </w:rPr>
                          <w:t> </w:t>
                        </w:r>
                      </w:p>
                    </w:tc>
                    <w:tc>
                      <w:tcPr>
                        <w:tcW w:w="1737" w:type="dxa"/>
                      </w:tcPr>
                      <w:p>
                        <w:pPr>
                          <w:pStyle w:val="TableParagraph"/>
                          <w:tabs>
                            <w:tab w:pos="420" w:val="left" w:leader="none"/>
                          </w:tabs>
                          <w:spacing w:before="130"/>
                          <w:ind w:right="46"/>
                          <w:jc w:val="right"/>
                          <w:rPr>
                            <w:sz w:val="20"/>
                          </w:rPr>
                        </w:pPr>
                        <w:r>
                          <w:rPr>
                            <w:color w:val="231F20"/>
                            <w:sz w:val="20"/>
                            <w:u w:val="single" w:color="231F20"/>
                          </w:rPr>
                          <w:tab/>
                        </w:r>
                        <w:r>
                          <w:rPr>
                            <w:color w:val="231F20"/>
                            <w:spacing w:val="-2"/>
                            <w:sz w:val="20"/>
                            <w:u w:val="single" w:color="231F20"/>
                          </w:rPr>
                          <w:t>40,798,677</w:t>
                        </w:r>
                        <w:r>
                          <w:rPr>
                            <w:color w:val="231F20"/>
                            <w:spacing w:val="80"/>
                            <w:sz w:val="20"/>
                            <w:u w:val="single" w:color="231F20"/>
                          </w:rPr>
                          <w:t> </w:t>
                        </w:r>
                      </w:p>
                    </w:tc>
                  </w:tr>
                  <w:tr>
                    <w:trPr>
                      <w:trHeight w:val="412" w:hRule="atLeast"/>
                    </w:trPr>
                    <w:tc>
                      <w:tcPr>
                        <w:tcW w:w="5165" w:type="dxa"/>
                      </w:tcPr>
                      <w:p>
                        <w:pPr>
                          <w:pStyle w:val="TableParagraph"/>
                          <w:spacing w:before="133"/>
                          <w:ind w:left="50"/>
                          <w:rPr>
                            <w:sz w:val="20"/>
                          </w:rPr>
                        </w:pPr>
                        <w:r>
                          <w:rPr>
                            <w:color w:val="231F20"/>
                            <w:sz w:val="20"/>
                          </w:rPr>
                          <w:t>NET</w:t>
                        </w:r>
                        <w:r>
                          <w:rPr>
                            <w:color w:val="231F20"/>
                            <w:spacing w:val="-4"/>
                            <w:sz w:val="20"/>
                          </w:rPr>
                          <w:t> </w:t>
                        </w:r>
                        <w:r>
                          <w:rPr>
                            <w:color w:val="231F20"/>
                            <w:sz w:val="20"/>
                          </w:rPr>
                          <w:t>POSITION,</w:t>
                        </w:r>
                        <w:r>
                          <w:rPr>
                            <w:color w:val="231F20"/>
                            <w:spacing w:val="-4"/>
                            <w:sz w:val="20"/>
                          </w:rPr>
                          <w:t> </w:t>
                        </w:r>
                        <w:r>
                          <w:rPr>
                            <w:color w:val="231F20"/>
                            <w:sz w:val="20"/>
                          </w:rPr>
                          <w:t>end</w:t>
                        </w:r>
                        <w:r>
                          <w:rPr>
                            <w:color w:val="231F20"/>
                            <w:spacing w:val="-4"/>
                            <w:sz w:val="20"/>
                          </w:rPr>
                          <w:t> </w:t>
                        </w:r>
                        <w:r>
                          <w:rPr>
                            <w:color w:val="231F20"/>
                            <w:sz w:val="20"/>
                          </w:rPr>
                          <w:t>of</w:t>
                        </w:r>
                        <w:r>
                          <w:rPr>
                            <w:color w:val="231F20"/>
                            <w:spacing w:val="-4"/>
                            <w:sz w:val="20"/>
                          </w:rPr>
                          <w:t> year</w:t>
                        </w:r>
                      </w:p>
                    </w:tc>
                    <w:tc>
                      <w:tcPr>
                        <w:tcW w:w="2465" w:type="dxa"/>
                      </w:tcPr>
                      <w:p>
                        <w:pPr>
                          <w:pStyle w:val="TableParagraph"/>
                          <w:spacing w:before="133"/>
                          <w:ind w:right="156"/>
                          <w:jc w:val="right"/>
                          <w:rPr>
                            <w:sz w:val="20"/>
                          </w:rPr>
                        </w:pPr>
                        <w:r>
                          <w:rPr>
                            <w:color w:val="231F20"/>
                            <w:spacing w:val="49"/>
                            <w:sz w:val="20"/>
                            <w:u w:val="single" w:color="231F20"/>
                          </w:rPr>
                          <w:t> </w:t>
                        </w:r>
                        <w:r>
                          <w:rPr>
                            <w:color w:val="231F20"/>
                            <w:sz w:val="20"/>
                            <w:u w:val="single" w:color="231F20"/>
                          </w:rPr>
                          <w:t>$</w:t>
                        </w:r>
                        <w:r>
                          <w:rPr>
                            <w:color w:val="231F20"/>
                            <w:spacing w:val="37"/>
                            <w:sz w:val="20"/>
                            <w:u w:val="single" w:color="231F20"/>
                          </w:rPr>
                          <w:t>  </w:t>
                        </w:r>
                        <w:r>
                          <w:rPr>
                            <w:color w:val="231F20"/>
                            <w:spacing w:val="-2"/>
                            <w:sz w:val="20"/>
                            <w:u w:val="single" w:color="231F20"/>
                          </w:rPr>
                          <w:t>92,704,335</w:t>
                        </w:r>
                        <w:r>
                          <w:rPr>
                            <w:color w:val="231F20"/>
                            <w:spacing w:val="80"/>
                            <w:sz w:val="20"/>
                            <w:u w:val="single" w:color="231F20"/>
                          </w:rPr>
                          <w:t> </w:t>
                        </w:r>
                      </w:p>
                    </w:tc>
                    <w:tc>
                      <w:tcPr>
                        <w:tcW w:w="1737" w:type="dxa"/>
                      </w:tcPr>
                      <w:p>
                        <w:pPr>
                          <w:pStyle w:val="TableParagraph"/>
                          <w:tabs>
                            <w:tab w:pos="418" w:val="left" w:leader="none"/>
                          </w:tabs>
                          <w:spacing w:before="133"/>
                          <w:ind w:right="46"/>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36,637,300</w:t>
                        </w:r>
                        <w:r>
                          <w:rPr>
                            <w:color w:val="231F20"/>
                            <w:spacing w:val="80"/>
                            <w:sz w:val="20"/>
                            <w:u w:val="single" w:color="231F20"/>
                          </w:rPr>
                          <w:t> </w:t>
                        </w:r>
                      </w:p>
                    </w:tc>
                  </w:tr>
                </w:tbl>
                <w:p>
                  <w:pPr>
                    <w:pStyle w:val="BodyText"/>
                  </w:pPr>
                </w:p>
              </w:txbxContent>
            </v:textbox>
            <w10:wrap type="none"/>
          </v:shape>
        </w:pict>
      </w:r>
      <w:r>
        <w:rPr>
          <w:color w:val="231F20"/>
        </w:rPr>
        <w:t>Loss before other revenues and expenses</w:t>
        <w:tab/>
      </w:r>
      <w:r>
        <w:rPr>
          <w:color w:val="231F20"/>
          <w:u w:val="single" w:color="231F20"/>
        </w:rPr>
        <w:tab/>
      </w:r>
      <w:r>
        <w:rPr>
          <w:color w:val="231F20"/>
          <w:spacing w:val="-2"/>
          <w:u w:val="single" w:color="231F20"/>
        </w:rPr>
        <w:t>(28,868,083)</w:t>
      </w:r>
      <w:r>
        <w:rPr>
          <w:color w:val="231F20"/>
        </w:rPr>
        <w:tab/>
      </w:r>
      <w:r>
        <w:rPr>
          <w:color w:val="231F20"/>
          <w:u w:val="single" w:color="231F20"/>
        </w:rPr>
        <w:tab/>
      </w:r>
      <w:r>
        <w:rPr>
          <w:color w:val="231F20"/>
          <w:spacing w:val="-2"/>
          <w:u w:val="single" w:color="231F20"/>
        </w:rPr>
        <w:t>(4,249,277)</w:t>
      </w:r>
      <w:r>
        <w:rPr>
          <w:color w:val="231F20"/>
          <w:spacing w:val="-2"/>
        </w:rPr>
        <w:t> </w:t>
      </w:r>
      <w:r>
        <w:rPr>
          <w:color w:val="231F20"/>
        </w:rPr>
        <w:t>OTHER REVENUES AND EXPENSES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8"/>
        </w:rPr>
      </w:pPr>
      <w:r>
        <w:rPr/>
        <w:pict>
          <v:rect style="position:absolute;margin-left:369.841003pt;margin-top:11.999121pt;width:75.66pt;height:.95999pt;mso-position-horizontal-relative:page;mso-position-vertical-relative:paragraph;z-index:-15706624;mso-wrap-distance-left:0;mso-wrap-distance-right:0" id="docshape232" filled="true" fillcolor="#231f20" stroked="false">
            <v:fill type="solid"/>
            <w10:wrap type="topAndBottom"/>
          </v:rect>
        </w:pict>
      </w:r>
      <w:r>
        <w:rPr/>
        <w:pict>
          <v:rect style="position:absolute;margin-left:461.460999pt;margin-top:11.999121pt;width:76.38pt;height:.95999pt;mso-position-horizontal-relative:page;mso-position-vertical-relative:paragraph;z-index:-15706112;mso-wrap-distance-left:0;mso-wrap-distance-right:0" id="docshape233" filled="true" fillcolor="#231f20" stroked="false">
            <v:fill type="solid"/>
            <w10:wrap type="topAndBottom"/>
          </v:rect>
        </w:pict>
      </w:r>
    </w:p>
    <w:p>
      <w:pPr>
        <w:spacing w:after="0"/>
        <w:rPr>
          <w:sz w:val="18"/>
        </w:rPr>
        <w:sectPr>
          <w:type w:val="continuous"/>
          <w:pgSz w:w="12240" w:h="15840"/>
          <w:pgMar w:header="1270" w:footer="1097" w:top="1460" w:bottom="280" w:left="0" w:right="580"/>
        </w:sectPr>
      </w:pPr>
    </w:p>
    <w:p>
      <w:pPr>
        <w:pStyle w:val="Heading3"/>
        <w:ind w:left="581"/>
      </w:pPr>
      <w:r>
        <w:rPr>
          <w:color w:val="231F20"/>
        </w:rPr>
        <w:t>Statement</w:t>
      </w:r>
      <w:r>
        <w:rPr>
          <w:color w:val="231F20"/>
          <w:spacing w:val="-3"/>
        </w:rPr>
        <w:t> </w:t>
      </w:r>
      <w:r>
        <w:rPr>
          <w:color w:val="231F20"/>
        </w:rPr>
        <w:t>of</w:t>
      </w:r>
      <w:r>
        <w:rPr>
          <w:color w:val="231F20"/>
          <w:spacing w:val="-1"/>
        </w:rPr>
        <w:t> </w:t>
      </w:r>
      <w:r>
        <w:rPr>
          <w:color w:val="231F20"/>
        </w:rPr>
        <w:t>Cash</w:t>
      </w:r>
      <w:r>
        <w:rPr>
          <w:color w:val="231F20"/>
          <w:spacing w:val="-1"/>
        </w:rPr>
        <w:t> </w:t>
      </w:r>
      <w:r>
        <w:rPr>
          <w:color w:val="231F20"/>
          <w:spacing w:val="-2"/>
        </w:rPr>
        <w:t>Flows</w:t>
      </w:r>
    </w:p>
    <w:p>
      <w:pPr>
        <w:spacing w:before="0"/>
        <w:ind w:left="582" w:right="0" w:firstLine="0"/>
        <w:jc w:val="center"/>
        <w:rPr>
          <w:b/>
          <w:sz w:val="24"/>
        </w:rPr>
      </w:pPr>
      <w:r>
        <w:rPr/>
        <w:pict>
          <v:rect style="position:absolute;margin-left:70.5pt;margin-top:14.675645pt;width:471.001pt;height:1.5pt;mso-position-horizontal-relative:page;mso-position-vertical-relative:paragraph;z-index:-15705088;mso-wrap-distance-left:0;mso-wrap-distance-right:0" id="docshape237" filled="true" fillcolor="#231f20" stroked="false">
            <v:fill type="solid"/>
            <w10:wrap type="topAndBottom"/>
          </v:rect>
        </w:pict>
      </w:r>
      <w:r>
        <w:rPr>
          <w:b/>
          <w:color w:val="231F20"/>
          <w:sz w:val="24"/>
        </w:rPr>
        <w:t>For</w:t>
      </w:r>
      <w:r>
        <w:rPr>
          <w:b/>
          <w:color w:val="231F20"/>
          <w:spacing w:val="-3"/>
          <w:sz w:val="24"/>
        </w:rPr>
        <w:t> </w:t>
      </w:r>
      <w:r>
        <w:rPr>
          <w:b/>
          <w:color w:val="231F20"/>
          <w:sz w:val="24"/>
        </w:rPr>
        <w:t>the</w:t>
      </w:r>
      <w:r>
        <w:rPr>
          <w:b/>
          <w:color w:val="231F20"/>
          <w:spacing w:val="-2"/>
          <w:sz w:val="24"/>
        </w:rPr>
        <w:t> </w:t>
      </w:r>
      <w:r>
        <w:rPr>
          <w:b/>
          <w:color w:val="231F20"/>
          <w:sz w:val="24"/>
        </w:rPr>
        <w:t>Year</w:t>
      </w:r>
      <w:r>
        <w:rPr>
          <w:b/>
          <w:color w:val="231F20"/>
          <w:spacing w:val="-2"/>
          <w:sz w:val="24"/>
        </w:rPr>
        <w:t> </w:t>
      </w:r>
      <w:r>
        <w:rPr>
          <w:b/>
          <w:color w:val="231F20"/>
          <w:sz w:val="24"/>
        </w:rPr>
        <w:t>Ended</w:t>
      </w:r>
      <w:r>
        <w:rPr>
          <w:b/>
          <w:color w:val="231F20"/>
          <w:spacing w:val="-3"/>
          <w:sz w:val="24"/>
        </w:rPr>
        <w:t> </w:t>
      </w:r>
      <w:r>
        <w:rPr>
          <w:b/>
          <w:color w:val="231F20"/>
          <w:sz w:val="24"/>
        </w:rPr>
        <w:t>June</w:t>
      </w:r>
      <w:r>
        <w:rPr>
          <w:b/>
          <w:color w:val="231F20"/>
          <w:spacing w:val="-2"/>
          <w:sz w:val="24"/>
        </w:rPr>
        <w:t> </w:t>
      </w:r>
      <w:r>
        <w:rPr>
          <w:b/>
          <w:color w:val="231F20"/>
          <w:sz w:val="24"/>
        </w:rPr>
        <w:t>30,</w:t>
      </w:r>
      <w:r>
        <w:rPr>
          <w:b/>
          <w:color w:val="231F20"/>
          <w:spacing w:val="-2"/>
          <w:sz w:val="24"/>
        </w:rPr>
        <w:t> </w:t>
      </w:r>
      <w:r>
        <w:rPr>
          <w:b/>
          <w:color w:val="231F20"/>
          <w:spacing w:val="-4"/>
          <w:sz w:val="24"/>
        </w:rPr>
        <w:t>2022</w:t>
      </w:r>
    </w:p>
    <w:p>
      <w:pPr>
        <w:pStyle w:val="BodyText"/>
        <w:rPr>
          <w:b/>
        </w:rPr>
      </w:pPr>
    </w:p>
    <w:p>
      <w:pPr>
        <w:pStyle w:val="BodyText"/>
        <w:spacing w:before="7"/>
        <w:rPr>
          <w:b/>
          <w:sz w:val="19"/>
        </w:rPr>
      </w:pPr>
    </w:p>
    <w:p>
      <w:pPr>
        <w:spacing w:before="95"/>
        <w:ind w:left="9398" w:right="0" w:firstLine="0"/>
        <w:jc w:val="left"/>
        <w:rPr>
          <w:sz w:val="17"/>
        </w:rPr>
      </w:pPr>
      <w:r>
        <w:rPr>
          <w:color w:val="231F20"/>
          <w:sz w:val="17"/>
        </w:rPr>
        <w:t>Component</w:t>
      </w:r>
      <w:r>
        <w:rPr>
          <w:color w:val="231F20"/>
          <w:spacing w:val="-5"/>
          <w:sz w:val="17"/>
        </w:rPr>
        <w:t> </w:t>
      </w:r>
      <w:r>
        <w:rPr>
          <w:color w:val="231F20"/>
          <w:spacing w:val="-4"/>
          <w:sz w:val="17"/>
        </w:rPr>
        <w:t>Unit</w:t>
      </w:r>
    </w:p>
    <w:p>
      <w:pPr>
        <w:tabs>
          <w:tab w:pos="7933" w:val="left" w:leader="none"/>
          <w:tab w:pos="8992" w:val="left" w:leader="none"/>
          <w:tab w:pos="9239" w:val="left" w:leader="none"/>
          <w:tab w:pos="9589" w:val="left" w:leader="none"/>
          <w:tab w:pos="10779" w:val="left" w:leader="none"/>
        </w:tabs>
        <w:spacing w:before="26"/>
        <w:ind w:left="7454" w:right="0" w:firstLine="0"/>
        <w:jc w:val="left"/>
        <w:rPr>
          <w:sz w:val="17"/>
        </w:rPr>
      </w:pPr>
      <w:r>
        <w:rPr>
          <w:color w:val="231F20"/>
          <w:sz w:val="17"/>
          <w:u w:val="thick" w:color="231F20"/>
        </w:rPr>
        <w:tab/>
      </w:r>
      <w:r>
        <w:rPr>
          <w:color w:val="231F20"/>
          <w:spacing w:val="-2"/>
          <w:sz w:val="17"/>
          <w:u w:val="thick" w:color="231F20"/>
        </w:rPr>
        <w:t>Institute</w:t>
      </w:r>
      <w:r>
        <w:rPr>
          <w:color w:val="231F20"/>
          <w:sz w:val="17"/>
          <w:u w:val="thick" w:color="231F20"/>
        </w:rPr>
        <w:tab/>
      </w:r>
      <w:r>
        <w:rPr>
          <w:color w:val="231F20"/>
          <w:sz w:val="17"/>
        </w:rPr>
        <w:tab/>
      </w:r>
      <w:r>
        <w:rPr>
          <w:color w:val="231F20"/>
          <w:sz w:val="17"/>
          <w:u w:val="thick" w:color="231F20"/>
        </w:rPr>
        <w:tab/>
      </w:r>
      <w:r>
        <w:rPr>
          <w:color w:val="231F20"/>
          <w:spacing w:val="-2"/>
          <w:sz w:val="17"/>
          <w:u w:val="thick" w:color="231F20"/>
        </w:rPr>
        <w:t>Foundation</w:t>
      </w:r>
      <w:r>
        <w:rPr>
          <w:color w:val="231F20"/>
          <w:sz w:val="17"/>
          <w:u w:val="thick" w:color="231F20"/>
        </w:rPr>
        <w:tab/>
      </w:r>
    </w:p>
    <w:p>
      <w:pPr>
        <w:spacing w:before="26" w:after="31"/>
        <w:ind w:left="1483" w:right="0" w:firstLine="0"/>
        <w:jc w:val="left"/>
        <w:rPr>
          <w:sz w:val="17"/>
        </w:rPr>
      </w:pPr>
      <w:r>
        <w:rPr>
          <w:color w:val="231F20"/>
          <w:sz w:val="17"/>
        </w:rPr>
        <w:t>CASH</w:t>
      </w:r>
      <w:r>
        <w:rPr>
          <w:color w:val="231F20"/>
          <w:spacing w:val="-3"/>
          <w:sz w:val="17"/>
        </w:rPr>
        <w:t> </w:t>
      </w:r>
      <w:r>
        <w:rPr>
          <w:color w:val="231F20"/>
          <w:sz w:val="17"/>
        </w:rPr>
        <w:t>FLOWS</w:t>
      </w:r>
      <w:r>
        <w:rPr>
          <w:color w:val="231F20"/>
          <w:spacing w:val="-2"/>
          <w:sz w:val="17"/>
        </w:rPr>
        <w:t> </w:t>
      </w:r>
      <w:r>
        <w:rPr>
          <w:color w:val="231F20"/>
          <w:sz w:val="17"/>
        </w:rPr>
        <w:t>FROM</w:t>
      </w:r>
      <w:r>
        <w:rPr>
          <w:color w:val="231F20"/>
          <w:spacing w:val="-3"/>
          <w:sz w:val="17"/>
        </w:rPr>
        <w:t> </w:t>
      </w:r>
      <w:r>
        <w:rPr>
          <w:color w:val="231F20"/>
          <w:sz w:val="17"/>
        </w:rPr>
        <w:t>OPERATING</w:t>
      </w:r>
      <w:r>
        <w:rPr>
          <w:color w:val="231F20"/>
          <w:spacing w:val="-3"/>
          <w:sz w:val="17"/>
        </w:rPr>
        <w:t> </w:t>
      </w:r>
      <w:r>
        <w:rPr>
          <w:color w:val="231F20"/>
          <w:spacing w:val="-2"/>
          <w:sz w:val="17"/>
        </w:rPr>
        <w:t>ACTIVITIES</w:t>
      </w:r>
    </w:p>
    <w:tbl>
      <w:tblPr>
        <w:tblW w:w="0" w:type="auto"/>
        <w:jc w:val="left"/>
        <w:tblInd w:w="1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3"/>
        <w:gridCol w:w="2978"/>
        <w:gridCol w:w="1678"/>
      </w:tblGrid>
      <w:tr>
        <w:trPr>
          <w:trHeight w:val="205" w:hRule="atLeast"/>
        </w:trPr>
        <w:tc>
          <w:tcPr>
            <w:tcW w:w="4563" w:type="dxa"/>
          </w:tcPr>
          <w:p>
            <w:pPr>
              <w:pStyle w:val="TableParagraph"/>
              <w:spacing w:line="186" w:lineRule="exact"/>
              <w:ind w:left="50"/>
              <w:rPr>
                <w:sz w:val="17"/>
              </w:rPr>
            </w:pPr>
            <w:r>
              <w:rPr>
                <w:color w:val="231F20"/>
                <w:sz w:val="17"/>
              </w:rPr>
              <w:t>Tuition</w:t>
            </w:r>
            <w:r>
              <w:rPr>
                <w:color w:val="231F20"/>
                <w:spacing w:val="-3"/>
                <w:sz w:val="17"/>
              </w:rPr>
              <w:t> </w:t>
            </w:r>
            <w:r>
              <w:rPr>
                <w:color w:val="231F20"/>
                <w:sz w:val="17"/>
              </w:rPr>
              <w:t>and </w:t>
            </w:r>
            <w:r>
              <w:rPr>
                <w:color w:val="231F20"/>
                <w:spacing w:val="-4"/>
                <w:sz w:val="17"/>
              </w:rPr>
              <w:t>fees</w:t>
            </w:r>
          </w:p>
        </w:tc>
        <w:tc>
          <w:tcPr>
            <w:tcW w:w="2978" w:type="dxa"/>
          </w:tcPr>
          <w:p>
            <w:pPr>
              <w:pStyle w:val="TableParagraph"/>
              <w:tabs>
                <w:tab w:pos="593" w:val="left" w:leader="none"/>
              </w:tabs>
              <w:spacing w:line="186" w:lineRule="exact"/>
              <w:ind w:right="213"/>
              <w:jc w:val="right"/>
              <w:rPr>
                <w:sz w:val="17"/>
              </w:rPr>
            </w:pPr>
            <w:r>
              <w:rPr>
                <w:color w:val="231F20"/>
                <w:spacing w:val="-10"/>
                <w:sz w:val="17"/>
              </w:rPr>
              <w:t>$</w:t>
            </w:r>
            <w:r>
              <w:rPr>
                <w:color w:val="231F20"/>
                <w:sz w:val="17"/>
              </w:rPr>
              <w:tab/>
            </w:r>
            <w:r>
              <w:rPr>
                <w:color w:val="231F20"/>
                <w:spacing w:val="-2"/>
                <w:sz w:val="17"/>
              </w:rPr>
              <w:t>8,723,355</w:t>
            </w:r>
          </w:p>
        </w:tc>
        <w:tc>
          <w:tcPr>
            <w:tcW w:w="1678" w:type="dxa"/>
          </w:tcPr>
          <w:p>
            <w:pPr>
              <w:pStyle w:val="TableParagraph"/>
              <w:tabs>
                <w:tab w:pos="1299" w:val="left" w:leader="none"/>
              </w:tabs>
              <w:spacing w:line="186" w:lineRule="exact"/>
              <w:ind w:right="103"/>
              <w:jc w:val="right"/>
              <w:rPr>
                <w:sz w:val="17"/>
              </w:rPr>
            </w:pPr>
            <w:r>
              <w:rPr>
                <w:color w:val="231F20"/>
                <w:spacing w:val="-10"/>
                <w:sz w:val="17"/>
              </w:rPr>
              <w:t>$</w:t>
            </w:r>
            <w:r>
              <w:rPr>
                <w:color w:val="231F20"/>
                <w:sz w:val="17"/>
              </w:rPr>
              <w:tab/>
            </w:r>
            <w:r>
              <w:rPr>
                <w:color w:val="231F20"/>
                <w:spacing w:val="-10"/>
                <w:sz w:val="17"/>
              </w:rPr>
              <w:t>-</w:t>
            </w:r>
          </w:p>
        </w:tc>
      </w:tr>
      <w:tr>
        <w:trPr>
          <w:trHeight w:val="220" w:hRule="atLeast"/>
        </w:trPr>
        <w:tc>
          <w:tcPr>
            <w:tcW w:w="4563" w:type="dxa"/>
          </w:tcPr>
          <w:p>
            <w:pPr>
              <w:pStyle w:val="TableParagraph"/>
              <w:spacing w:line="191" w:lineRule="exact" w:before="10"/>
              <w:ind w:left="50"/>
              <w:rPr>
                <w:sz w:val="17"/>
              </w:rPr>
            </w:pPr>
            <w:r>
              <w:rPr>
                <w:color w:val="231F20"/>
                <w:sz w:val="17"/>
              </w:rPr>
              <w:t>Grants</w:t>
            </w:r>
            <w:r>
              <w:rPr>
                <w:color w:val="231F20"/>
                <w:spacing w:val="-2"/>
                <w:sz w:val="17"/>
              </w:rPr>
              <w:t> </w:t>
            </w:r>
            <w:r>
              <w:rPr>
                <w:color w:val="231F20"/>
                <w:sz w:val="17"/>
              </w:rPr>
              <w:t>and</w:t>
            </w:r>
            <w:r>
              <w:rPr>
                <w:color w:val="231F20"/>
                <w:spacing w:val="-2"/>
                <w:sz w:val="17"/>
              </w:rPr>
              <w:t> contracts</w:t>
            </w:r>
          </w:p>
        </w:tc>
        <w:tc>
          <w:tcPr>
            <w:tcW w:w="2978" w:type="dxa"/>
          </w:tcPr>
          <w:p>
            <w:pPr>
              <w:pStyle w:val="TableParagraph"/>
              <w:spacing w:line="191" w:lineRule="exact" w:before="10"/>
              <w:ind w:right="213"/>
              <w:jc w:val="right"/>
              <w:rPr>
                <w:sz w:val="17"/>
              </w:rPr>
            </w:pPr>
            <w:r>
              <w:rPr>
                <w:color w:val="231F20"/>
                <w:spacing w:val="-2"/>
                <w:sz w:val="17"/>
              </w:rPr>
              <w:t>80,345,064</w:t>
            </w:r>
          </w:p>
        </w:tc>
        <w:tc>
          <w:tcPr>
            <w:tcW w:w="1678" w:type="dxa"/>
          </w:tcPr>
          <w:p>
            <w:pPr>
              <w:pStyle w:val="TableParagraph"/>
              <w:spacing w:line="191" w:lineRule="exact" w:before="10"/>
              <w:ind w:right="103"/>
              <w:jc w:val="right"/>
              <w:rPr>
                <w:sz w:val="17"/>
              </w:rPr>
            </w:pPr>
            <w:r>
              <w:rPr>
                <w:color w:val="231F20"/>
                <w:w w:val="100"/>
                <w:sz w:val="17"/>
              </w:rPr>
              <w:t>-</w:t>
            </w:r>
          </w:p>
        </w:tc>
      </w:tr>
      <w:tr>
        <w:trPr>
          <w:trHeight w:val="221" w:hRule="atLeast"/>
        </w:trPr>
        <w:tc>
          <w:tcPr>
            <w:tcW w:w="4563" w:type="dxa"/>
          </w:tcPr>
          <w:p>
            <w:pPr>
              <w:pStyle w:val="TableParagraph"/>
              <w:spacing w:line="191" w:lineRule="exact" w:before="10"/>
              <w:ind w:left="50"/>
              <w:rPr>
                <w:sz w:val="17"/>
              </w:rPr>
            </w:pPr>
            <w:r>
              <w:rPr>
                <w:color w:val="231F20"/>
                <w:sz w:val="17"/>
              </w:rPr>
              <w:t>Sales</w:t>
            </w:r>
            <w:r>
              <w:rPr>
                <w:color w:val="231F20"/>
                <w:spacing w:val="-2"/>
                <w:sz w:val="17"/>
              </w:rPr>
              <w:t> </w:t>
            </w:r>
            <w:r>
              <w:rPr>
                <w:color w:val="231F20"/>
                <w:sz w:val="17"/>
              </w:rPr>
              <w:t>and</w:t>
            </w:r>
            <w:r>
              <w:rPr>
                <w:color w:val="231F20"/>
                <w:spacing w:val="-4"/>
                <w:sz w:val="17"/>
              </w:rPr>
              <w:t> </w:t>
            </w:r>
            <w:r>
              <w:rPr>
                <w:color w:val="231F20"/>
                <w:sz w:val="17"/>
              </w:rPr>
              <w:t>services</w:t>
            </w:r>
            <w:r>
              <w:rPr>
                <w:color w:val="231F20"/>
                <w:spacing w:val="-2"/>
                <w:sz w:val="17"/>
              </w:rPr>
              <w:t> </w:t>
            </w:r>
            <w:r>
              <w:rPr>
                <w:color w:val="231F20"/>
                <w:sz w:val="17"/>
              </w:rPr>
              <w:t>of</w:t>
            </w:r>
            <w:r>
              <w:rPr>
                <w:color w:val="231F20"/>
                <w:spacing w:val="-2"/>
                <w:sz w:val="17"/>
              </w:rPr>
              <w:t> </w:t>
            </w:r>
            <w:r>
              <w:rPr>
                <w:color w:val="231F20"/>
                <w:sz w:val="17"/>
              </w:rPr>
              <w:t>auxiliary</w:t>
            </w:r>
            <w:r>
              <w:rPr>
                <w:color w:val="231F20"/>
                <w:spacing w:val="-4"/>
                <w:sz w:val="17"/>
              </w:rPr>
              <w:t> </w:t>
            </w:r>
            <w:r>
              <w:rPr>
                <w:color w:val="231F20"/>
                <w:spacing w:val="-2"/>
                <w:sz w:val="17"/>
              </w:rPr>
              <w:t>enterprises</w:t>
            </w:r>
          </w:p>
        </w:tc>
        <w:tc>
          <w:tcPr>
            <w:tcW w:w="2978" w:type="dxa"/>
          </w:tcPr>
          <w:p>
            <w:pPr>
              <w:pStyle w:val="TableParagraph"/>
              <w:spacing w:line="191" w:lineRule="exact" w:before="10"/>
              <w:ind w:right="214"/>
              <w:jc w:val="right"/>
              <w:rPr>
                <w:sz w:val="17"/>
              </w:rPr>
            </w:pPr>
            <w:r>
              <w:rPr>
                <w:color w:val="231F20"/>
                <w:spacing w:val="-2"/>
                <w:sz w:val="17"/>
              </w:rPr>
              <w:t>4,916,553</w:t>
            </w:r>
          </w:p>
        </w:tc>
        <w:tc>
          <w:tcPr>
            <w:tcW w:w="1678" w:type="dxa"/>
          </w:tcPr>
          <w:p>
            <w:pPr>
              <w:pStyle w:val="TableParagraph"/>
              <w:spacing w:line="191" w:lineRule="exact" w:before="10"/>
              <w:ind w:right="103"/>
              <w:jc w:val="right"/>
              <w:rPr>
                <w:sz w:val="17"/>
              </w:rPr>
            </w:pPr>
            <w:r>
              <w:rPr>
                <w:color w:val="231F20"/>
                <w:w w:val="100"/>
                <w:sz w:val="17"/>
              </w:rPr>
              <w:t>-</w:t>
            </w:r>
          </w:p>
        </w:tc>
      </w:tr>
      <w:tr>
        <w:trPr>
          <w:trHeight w:val="221" w:hRule="atLeast"/>
        </w:trPr>
        <w:tc>
          <w:tcPr>
            <w:tcW w:w="4563" w:type="dxa"/>
          </w:tcPr>
          <w:p>
            <w:pPr>
              <w:pStyle w:val="TableParagraph"/>
              <w:spacing w:line="191" w:lineRule="exact" w:before="10"/>
              <w:ind w:left="50"/>
              <w:rPr>
                <w:sz w:val="17"/>
              </w:rPr>
            </w:pPr>
            <w:r>
              <w:rPr>
                <w:color w:val="231F20"/>
                <w:sz w:val="17"/>
              </w:rPr>
              <w:t>Other</w:t>
            </w:r>
            <w:r>
              <w:rPr>
                <w:color w:val="231F20"/>
                <w:spacing w:val="-2"/>
                <w:sz w:val="17"/>
              </w:rPr>
              <w:t> receipts</w:t>
            </w:r>
          </w:p>
        </w:tc>
        <w:tc>
          <w:tcPr>
            <w:tcW w:w="2978" w:type="dxa"/>
          </w:tcPr>
          <w:p>
            <w:pPr>
              <w:pStyle w:val="TableParagraph"/>
              <w:spacing w:line="191" w:lineRule="exact" w:before="10"/>
              <w:ind w:right="213"/>
              <w:jc w:val="right"/>
              <w:rPr>
                <w:sz w:val="17"/>
              </w:rPr>
            </w:pPr>
            <w:r>
              <w:rPr>
                <w:color w:val="231F20"/>
                <w:spacing w:val="-2"/>
                <w:sz w:val="17"/>
              </w:rPr>
              <w:t>6,285,793</w:t>
            </w:r>
          </w:p>
        </w:tc>
        <w:tc>
          <w:tcPr>
            <w:tcW w:w="1678" w:type="dxa"/>
          </w:tcPr>
          <w:p>
            <w:pPr>
              <w:pStyle w:val="TableParagraph"/>
              <w:spacing w:line="191" w:lineRule="exact" w:before="10"/>
              <w:ind w:right="103"/>
              <w:jc w:val="right"/>
              <w:rPr>
                <w:sz w:val="17"/>
              </w:rPr>
            </w:pPr>
            <w:r>
              <w:rPr>
                <w:color w:val="231F20"/>
                <w:spacing w:val="-2"/>
                <w:sz w:val="17"/>
              </w:rPr>
              <w:t>1,634,622</w:t>
            </w:r>
          </w:p>
        </w:tc>
      </w:tr>
      <w:tr>
        <w:trPr>
          <w:trHeight w:val="220" w:hRule="atLeast"/>
        </w:trPr>
        <w:tc>
          <w:tcPr>
            <w:tcW w:w="4563" w:type="dxa"/>
          </w:tcPr>
          <w:p>
            <w:pPr>
              <w:pStyle w:val="TableParagraph"/>
              <w:spacing w:line="191" w:lineRule="exact" w:before="10"/>
              <w:ind w:left="50"/>
              <w:rPr>
                <w:sz w:val="17"/>
              </w:rPr>
            </w:pPr>
            <w:r>
              <w:rPr>
                <w:color w:val="231F20"/>
                <w:sz w:val="17"/>
              </w:rPr>
              <w:t>Payments</w:t>
            </w:r>
            <w:r>
              <w:rPr>
                <w:color w:val="231F20"/>
                <w:spacing w:val="-4"/>
                <w:sz w:val="17"/>
              </w:rPr>
              <w:t> </w:t>
            </w:r>
            <w:r>
              <w:rPr>
                <w:color w:val="231F20"/>
                <w:sz w:val="17"/>
              </w:rPr>
              <w:t>to</w:t>
            </w:r>
            <w:r>
              <w:rPr>
                <w:color w:val="231F20"/>
                <w:spacing w:val="-4"/>
                <w:sz w:val="17"/>
              </w:rPr>
              <w:t> </w:t>
            </w:r>
            <w:r>
              <w:rPr>
                <w:color w:val="231F20"/>
                <w:spacing w:val="-2"/>
                <w:sz w:val="17"/>
              </w:rPr>
              <w:t>employees</w:t>
            </w:r>
          </w:p>
        </w:tc>
        <w:tc>
          <w:tcPr>
            <w:tcW w:w="2978" w:type="dxa"/>
          </w:tcPr>
          <w:p>
            <w:pPr>
              <w:pStyle w:val="TableParagraph"/>
              <w:spacing w:line="191" w:lineRule="exact" w:before="10"/>
              <w:ind w:right="155"/>
              <w:jc w:val="right"/>
              <w:rPr>
                <w:sz w:val="17"/>
              </w:rPr>
            </w:pPr>
            <w:r>
              <w:rPr>
                <w:color w:val="231F20"/>
                <w:spacing w:val="-2"/>
                <w:sz w:val="17"/>
              </w:rPr>
              <w:t>(67,585,017)</w:t>
            </w:r>
          </w:p>
        </w:tc>
        <w:tc>
          <w:tcPr>
            <w:tcW w:w="1678" w:type="dxa"/>
          </w:tcPr>
          <w:p>
            <w:pPr>
              <w:pStyle w:val="TableParagraph"/>
              <w:spacing w:line="191" w:lineRule="exact" w:before="10"/>
              <w:ind w:right="103"/>
              <w:jc w:val="right"/>
              <w:rPr>
                <w:sz w:val="17"/>
              </w:rPr>
            </w:pPr>
            <w:r>
              <w:rPr>
                <w:color w:val="231F20"/>
                <w:w w:val="100"/>
                <w:sz w:val="17"/>
              </w:rPr>
              <w:t>-</w:t>
            </w:r>
          </w:p>
        </w:tc>
      </w:tr>
      <w:tr>
        <w:trPr>
          <w:trHeight w:val="220" w:hRule="atLeast"/>
        </w:trPr>
        <w:tc>
          <w:tcPr>
            <w:tcW w:w="4563" w:type="dxa"/>
          </w:tcPr>
          <w:p>
            <w:pPr>
              <w:pStyle w:val="TableParagraph"/>
              <w:spacing w:line="191" w:lineRule="exact" w:before="10"/>
              <w:ind w:left="50"/>
              <w:rPr>
                <w:sz w:val="17"/>
              </w:rPr>
            </w:pPr>
            <w:r>
              <w:rPr>
                <w:color w:val="231F20"/>
                <w:sz w:val="17"/>
              </w:rPr>
              <w:t>Payments</w:t>
            </w:r>
            <w:r>
              <w:rPr>
                <w:color w:val="231F20"/>
                <w:spacing w:val="-4"/>
                <w:sz w:val="17"/>
              </w:rPr>
              <w:t> </w:t>
            </w:r>
            <w:r>
              <w:rPr>
                <w:color w:val="231F20"/>
                <w:sz w:val="17"/>
              </w:rPr>
              <w:t>to</w:t>
            </w:r>
            <w:r>
              <w:rPr>
                <w:color w:val="231F20"/>
                <w:spacing w:val="-4"/>
                <w:sz w:val="17"/>
              </w:rPr>
              <w:t> </w:t>
            </w:r>
            <w:r>
              <w:rPr>
                <w:color w:val="231F20"/>
                <w:spacing w:val="-2"/>
                <w:sz w:val="17"/>
              </w:rPr>
              <w:t>suppliers</w:t>
            </w:r>
          </w:p>
        </w:tc>
        <w:tc>
          <w:tcPr>
            <w:tcW w:w="2978" w:type="dxa"/>
          </w:tcPr>
          <w:p>
            <w:pPr>
              <w:pStyle w:val="TableParagraph"/>
              <w:spacing w:line="191" w:lineRule="exact" w:before="10"/>
              <w:ind w:right="155"/>
              <w:jc w:val="right"/>
              <w:rPr>
                <w:sz w:val="17"/>
              </w:rPr>
            </w:pPr>
            <w:r>
              <w:rPr>
                <w:color w:val="231F20"/>
                <w:spacing w:val="-2"/>
                <w:sz w:val="17"/>
              </w:rPr>
              <w:t>(80,748,151)</w:t>
            </w:r>
          </w:p>
        </w:tc>
        <w:tc>
          <w:tcPr>
            <w:tcW w:w="1678" w:type="dxa"/>
          </w:tcPr>
          <w:p>
            <w:pPr>
              <w:pStyle w:val="TableParagraph"/>
              <w:spacing w:line="191" w:lineRule="exact" w:before="10"/>
              <w:ind w:right="47"/>
              <w:jc w:val="right"/>
              <w:rPr>
                <w:sz w:val="17"/>
              </w:rPr>
            </w:pPr>
            <w:r>
              <w:rPr>
                <w:color w:val="231F20"/>
                <w:spacing w:val="-2"/>
                <w:sz w:val="17"/>
              </w:rPr>
              <w:t>(281,807)</w:t>
            </w:r>
          </w:p>
        </w:tc>
      </w:tr>
      <w:tr>
        <w:trPr>
          <w:trHeight w:val="205" w:hRule="atLeast"/>
        </w:trPr>
        <w:tc>
          <w:tcPr>
            <w:tcW w:w="4563" w:type="dxa"/>
          </w:tcPr>
          <w:p>
            <w:pPr>
              <w:pStyle w:val="TableParagraph"/>
              <w:spacing w:line="176" w:lineRule="exact" w:before="10"/>
              <w:ind w:left="50"/>
              <w:rPr>
                <w:sz w:val="17"/>
              </w:rPr>
            </w:pPr>
            <w:r>
              <w:rPr>
                <w:color w:val="231F20"/>
                <w:sz w:val="17"/>
              </w:rPr>
              <w:t>Other</w:t>
            </w:r>
            <w:r>
              <w:rPr>
                <w:color w:val="231F20"/>
                <w:spacing w:val="-3"/>
                <w:sz w:val="17"/>
              </w:rPr>
              <w:t> </w:t>
            </w:r>
            <w:r>
              <w:rPr>
                <w:color w:val="231F20"/>
                <w:spacing w:val="-2"/>
                <w:sz w:val="17"/>
              </w:rPr>
              <w:t>payments</w:t>
            </w:r>
          </w:p>
        </w:tc>
        <w:tc>
          <w:tcPr>
            <w:tcW w:w="2978" w:type="dxa"/>
          </w:tcPr>
          <w:p>
            <w:pPr>
              <w:pStyle w:val="TableParagraph"/>
              <w:tabs>
                <w:tab w:pos="1389" w:val="left" w:leader="none"/>
              </w:tabs>
              <w:spacing w:line="176" w:lineRule="exact" w:before="10"/>
              <w:ind w:right="121"/>
              <w:jc w:val="right"/>
              <w:rPr>
                <w:sz w:val="17"/>
              </w:rPr>
            </w:pPr>
            <w:r>
              <w:rPr>
                <w:color w:val="231F20"/>
                <w:sz w:val="17"/>
                <w:u w:val="thick" w:color="231F20"/>
              </w:rPr>
              <w:tab/>
            </w:r>
            <w:r>
              <w:rPr>
                <w:color w:val="231F20"/>
                <w:spacing w:val="-10"/>
                <w:sz w:val="17"/>
                <w:u w:val="thick" w:color="231F20"/>
              </w:rPr>
              <w:t>-</w:t>
            </w:r>
            <w:r>
              <w:rPr>
                <w:color w:val="231F20"/>
                <w:spacing w:val="80"/>
                <w:sz w:val="17"/>
                <w:u w:val="thick" w:color="231F20"/>
              </w:rPr>
              <w:t> </w:t>
            </w:r>
          </w:p>
        </w:tc>
        <w:tc>
          <w:tcPr>
            <w:tcW w:w="1678" w:type="dxa"/>
          </w:tcPr>
          <w:p>
            <w:pPr>
              <w:pStyle w:val="TableParagraph"/>
              <w:tabs>
                <w:tab w:pos="629" w:val="left" w:leader="none"/>
              </w:tabs>
              <w:spacing w:line="176" w:lineRule="exact" w:before="10"/>
              <w:ind w:right="47"/>
              <w:jc w:val="right"/>
              <w:rPr>
                <w:sz w:val="17"/>
              </w:rPr>
            </w:pPr>
            <w:r>
              <w:rPr>
                <w:color w:val="231F20"/>
                <w:sz w:val="17"/>
                <w:u w:val="thick" w:color="231F20"/>
              </w:rPr>
              <w:tab/>
            </w:r>
            <w:r>
              <w:rPr>
                <w:color w:val="231F20"/>
                <w:spacing w:val="-2"/>
                <w:sz w:val="17"/>
                <w:u w:val="thick" w:color="231F20"/>
              </w:rPr>
              <w:t>(1,361,394)</w:t>
            </w:r>
          </w:p>
        </w:tc>
      </w:tr>
    </w:tbl>
    <w:p>
      <w:pPr>
        <w:pStyle w:val="BodyText"/>
        <w:spacing w:before="8"/>
        <w:rPr>
          <w:sz w:val="8"/>
        </w:rPr>
      </w:pPr>
    </w:p>
    <w:p>
      <w:pPr>
        <w:tabs>
          <w:tab w:pos="7987" w:val="left" w:leader="none"/>
          <w:tab w:pos="10202" w:val="left" w:leader="none"/>
        </w:tabs>
        <w:spacing w:line="520" w:lineRule="auto" w:before="95"/>
        <w:ind w:left="1483" w:right="913" w:firstLine="377"/>
        <w:jc w:val="left"/>
        <w:rPr>
          <w:sz w:val="17"/>
        </w:rPr>
      </w:pPr>
      <w:r>
        <w:rPr/>
        <w:pict>
          <v:group style="position:absolute;margin-left:372.721008pt;margin-top:15.152963pt;width:76.95pt;height:1pt;mso-position-horizontal-relative:page;mso-position-vertical-relative:paragraph;z-index:-28360704" id="docshapegroup238" coordorigin="7454,303" coordsize="1539,20">
            <v:line style="position:absolute" from="7454,304" to="8993,304" stroked="true" strokeweight=".06pt" strokecolor="#231f20">
              <v:stroke dashstyle="solid"/>
            </v:line>
            <v:rect style="position:absolute;left:7454;top:303;width:1539;height:20" id="docshape239" filled="true" fillcolor="#231f20" stroked="false">
              <v:fill type="solid"/>
            </v:rect>
            <w10:wrap type="none"/>
          </v:group>
        </w:pict>
      </w:r>
      <w:r>
        <w:rPr/>
        <w:pict>
          <v:group style="position:absolute;margin-left:462.001007pt;margin-top:15.152963pt;width:77pt;height:1pt;mso-position-horizontal-relative:page;mso-position-vertical-relative:paragraph;z-index:-28359168" id="docshapegroup240" coordorigin="9240,303" coordsize="1540,20">
            <v:line style="position:absolute" from="9240,304" to="10778,304" stroked="true" strokeweight=".06pt" strokecolor="#231f20">
              <v:stroke dashstyle="solid"/>
            </v:line>
            <v:rect style="position:absolute;left:9241;top:303;width:1539;height:20" id="docshape241" filled="true" fillcolor="#231f20" stroked="false">
              <v:fill type="solid"/>
            </v:rect>
            <w10:wrap type="none"/>
          </v:group>
        </w:pict>
      </w:r>
      <w:r>
        <w:rPr/>
        <w:pict>
          <v:shape style="position:absolute;margin-left:78.744568pt;margin-top:37.2771pt;width:462.75pt;height:31.5pt;mso-position-horizontal-relative:page;mso-position-vertical-relative:paragraph;z-index:15755776" type="#_x0000_t202" id="docshape24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20"/>
                    <w:gridCol w:w="3222"/>
                    <w:gridCol w:w="1713"/>
                  </w:tblGrid>
                  <w:tr>
                    <w:trPr>
                      <w:trHeight w:val="205" w:hRule="atLeast"/>
                    </w:trPr>
                    <w:tc>
                      <w:tcPr>
                        <w:tcW w:w="4320" w:type="dxa"/>
                      </w:tcPr>
                      <w:p>
                        <w:pPr>
                          <w:pStyle w:val="TableParagraph"/>
                          <w:spacing w:line="186" w:lineRule="exact"/>
                          <w:ind w:left="50"/>
                          <w:rPr>
                            <w:sz w:val="17"/>
                          </w:rPr>
                        </w:pPr>
                        <w:r>
                          <w:rPr>
                            <w:color w:val="231F20"/>
                            <w:sz w:val="17"/>
                          </w:rPr>
                          <w:t>State</w:t>
                        </w:r>
                        <w:r>
                          <w:rPr>
                            <w:color w:val="231F20"/>
                            <w:spacing w:val="-5"/>
                            <w:sz w:val="17"/>
                          </w:rPr>
                          <w:t> </w:t>
                        </w:r>
                        <w:r>
                          <w:rPr>
                            <w:color w:val="231F20"/>
                            <w:spacing w:val="-2"/>
                            <w:sz w:val="17"/>
                          </w:rPr>
                          <w:t>appropriations</w:t>
                        </w:r>
                      </w:p>
                    </w:tc>
                    <w:tc>
                      <w:tcPr>
                        <w:tcW w:w="3222" w:type="dxa"/>
                      </w:tcPr>
                      <w:p>
                        <w:pPr>
                          <w:pStyle w:val="TableParagraph"/>
                          <w:spacing w:line="186" w:lineRule="exact"/>
                          <w:ind w:right="214"/>
                          <w:jc w:val="right"/>
                          <w:rPr>
                            <w:sz w:val="17"/>
                          </w:rPr>
                        </w:pPr>
                        <w:r>
                          <w:rPr>
                            <w:color w:val="231F20"/>
                            <w:spacing w:val="-2"/>
                            <w:sz w:val="17"/>
                          </w:rPr>
                          <w:t>39,893,730</w:t>
                        </w:r>
                      </w:p>
                    </w:tc>
                    <w:tc>
                      <w:tcPr>
                        <w:tcW w:w="1713" w:type="dxa"/>
                      </w:tcPr>
                      <w:p>
                        <w:pPr>
                          <w:pStyle w:val="TableParagraph"/>
                          <w:spacing w:line="186" w:lineRule="exact"/>
                          <w:ind w:right="139"/>
                          <w:jc w:val="right"/>
                          <w:rPr>
                            <w:sz w:val="17"/>
                          </w:rPr>
                        </w:pPr>
                        <w:r>
                          <w:rPr>
                            <w:color w:val="231F20"/>
                            <w:w w:val="100"/>
                            <w:sz w:val="17"/>
                          </w:rPr>
                          <w:t>-</w:t>
                        </w:r>
                      </w:p>
                    </w:tc>
                  </w:tr>
                  <w:tr>
                    <w:trPr>
                      <w:trHeight w:val="220" w:hRule="atLeast"/>
                    </w:trPr>
                    <w:tc>
                      <w:tcPr>
                        <w:tcW w:w="4320" w:type="dxa"/>
                      </w:tcPr>
                      <w:p>
                        <w:pPr>
                          <w:pStyle w:val="TableParagraph"/>
                          <w:spacing w:line="191" w:lineRule="exact" w:before="10"/>
                          <w:ind w:left="50"/>
                          <w:rPr>
                            <w:sz w:val="17"/>
                          </w:rPr>
                        </w:pPr>
                        <w:r>
                          <w:rPr>
                            <w:color w:val="231F20"/>
                            <w:sz w:val="17"/>
                          </w:rPr>
                          <w:t>Gifts</w:t>
                        </w:r>
                        <w:r>
                          <w:rPr>
                            <w:color w:val="231F20"/>
                            <w:spacing w:val="-3"/>
                            <w:sz w:val="17"/>
                          </w:rPr>
                          <w:t> </w:t>
                        </w:r>
                        <w:r>
                          <w:rPr>
                            <w:color w:val="231F20"/>
                            <w:sz w:val="17"/>
                          </w:rPr>
                          <w:t>for</w:t>
                        </w:r>
                        <w:r>
                          <w:rPr>
                            <w:color w:val="231F20"/>
                            <w:spacing w:val="-4"/>
                            <w:sz w:val="17"/>
                          </w:rPr>
                          <w:t> </w:t>
                        </w:r>
                        <w:r>
                          <w:rPr>
                            <w:color w:val="231F20"/>
                            <w:sz w:val="17"/>
                          </w:rPr>
                          <w:t>other</w:t>
                        </w:r>
                        <w:r>
                          <w:rPr>
                            <w:color w:val="231F20"/>
                            <w:spacing w:val="-2"/>
                            <w:sz w:val="17"/>
                          </w:rPr>
                          <w:t> </w:t>
                        </w:r>
                        <w:r>
                          <w:rPr>
                            <w:color w:val="231F20"/>
                            <w:sz w:val="17"/>
                          </w:rPr>
                          <w:t>than</w:t>
                        </w:r>
                        <w:r>
                          <w:rPr>
                            <w:color w:val="231F20"/>
                            <w:spacing w:val="-2"/>
                            <w:sz w:val="17"/>
                          </w:rPr>
                          <w:t> </w:t>
                        </w:r>
                        <w:r>
                          <w:rPr>
                            <w:color w:val="231F20"/>
                            <w:sz w:val="17"/>
                          </w:rPr>
                          <w:t>capital</w:t>
                        </w:r>
                        <w:r>
                          <w:rPr>
                            <w:color w:val="231F20"/>
                            <w:spacing w:val="-1"/>
                            <w:sz w:val="17"/>
                          </w:rPr>
                          <w:t> </w:t>
                        </w:r>
                        <w:r>
                          <w:rPr>
                            <w:color w:val="231F20"/>
                            <w:spacing w:val="-2"/>
                            <w:sz w:val="17"/>
                          </w:rPr>
                          <w:t>purposes</w:t>
                        </w:r>
                      </w:p>
                    </w:tc>
                    <w:tc>
                      <w:tcPr>
                        <w:tcW w:w="3222" w:type="dxa"/>
                      </w:tcPr>
                      <w:p>
                        <w:pPr>
                          <w:pStyle w:val="TableParagraph"/>
                          <w:spacing w:line="191" w:lineRule="exact" w:before="10"/>
                          <w:ind w:right="214"/>
                          <w:jc w:val="right"/>
                          <w:rPr>
                            <w:sz w:val="17"/>
                          </w:rPr>
                        </w:pPr>
                        <w:r>
                          <w:rPr>
                            <w:color w:val="231F20"/>
                            <w:spacing w:val="-2"/>
                            <w:sz w:val="17"/>
                          </w:rPr>
                          <w:t>2,852,656</w:t>
                        </w:r>
                      </w:p>
                    </w:tc>
                    <w:tc>
                      <w:tcPr>
                        <w:tcW w:w="1713" w:type="dxa"/>
                      </w:tcPr>
                      <w:p>
                        <w:pPr>
                          <w:pStyle w:val="TableParagraph"/>
                          <w:spacing w:line="191" w:lineRule="exact" w:before="10"/>
                          <w:ind w:right="139"/>
                          <w:jc w:val="right"/>
                          <w:rPr>
                            <w:sz w:val="17"/>
                          </w:rPr>
                        </w:pPr>
                        <w:r>
                          <w:rPr>
                            <w:color w:val="231F20"/>
                            <w:w w:val="100"/>
                            <w:sz w:val="17"/>
                          </w:rPr>
                          <w:t>-</w:t>
                        </w:r>
                      </w:p>
                    </w:tc>
                  </w:tr>
                  <w:tr>
                    <w:trPr>
                      <w:trHeight w:val="205" w:hRule="atLeast"/>
                    </w:trPr>
                    <w:tc>
                      <w:tcPr>
                        <w:tcW w:w="4320" w:type="dxa"/>
                      </w:tcPr>
                      <w:p>
                        <w:pPr>
                          <w:pStyle w:val="TableParagraph"/>
                          <w:spacing w:line="176" w:lineRule="exact" w:before="10"/>
                          <w:ind w:left="50"/>
                          <w:rPr>
                            <w:sz w:val="17"/>
                          </w:rPr>
                        </w:pPr>
                        <w:r>
                          <w:rPr>
                            <w:color w:val="231F20"/>
                            <w:sz w:val="17"/>
                          </w:rPr>
                          <w:t>Other</w:t>
                        </w:r>
                        <w:r>
                          <w:rPr>
                            <w:color w:val="231F20"/>
                            <w:spacing w:val="-5"/>
                            <w:sz w:val="17"/>
                          </w:rPr>
                          <w:t> </w:t>
                        </w:r>
                        <w:r>
                          <w:rPr>
                            <w:color w:val="231F20"/>
                            <w:sz w:val="17"/>
                          </w:rPr>
                          <w:t>nonoperating</w:t>
                        </w:r>
                        <w:r>
                          <w:rPr>
                            <w:color w:val="231F20"/>
                            <w:spacing w:val="-4"/>
                            <w:sz w:val="17"/>
                          </w:rPr>
                          <w:t> </w:t>
                        </w:r>
                        <w:r>
                          <w:rPr>
                            <w:color w:val="231F20"/>
                            <w:spacing w:val="-2"/>
                            <w:sz w:val="17"/>
                          </w:rPr>
                          <w:t>receipts</w:t>
                        </w:r>
                      </w:p>
                    </w:tc>
                    <w:tc>
                      <w:tcPr>
                        <w:tcW w:w="3222" w:type="dxa"/>
                      </w:tcPr>
                      <w:p>
                        <w:pPr>
                          <w:pStyle w:val="TableParagraph"/>
                          <w:tabs>
                            <w:tab w:pos="684" w:val="left" w:leader="none"/>
                          </w:tabs>
                          <w:spacing w:line="176" w:lineRule="exact" w:before="10"/>
                          <w:ind w:right="122"/>
                          <w:jc w:val="right"/>
                          <w:rPr>
                            <w:sz w:val="17"/>
                          </w:rPr>
                        </w:pPr>
                        <w:r>
                          <w:rPr>
                            <w:color w:val="231F20"/>
                            <w:sz w:val="17"/>
                            <w:u w:val="single" w:color="231F20"/>
                          </w:rPr>
                          <w:tab/>
                        </w:r>
                        <w:r>
                          <w:rPr>
                            <w:color w:val="231F20"/>
                            <w:spacing w:val="-2"/>
                            <w:sz w:val="17"/>
                            <w:u w:val="single" w:color="231F20"/>
                          </w:rPr>
                          <w:t>8,652,351</w:t>
                        </w:r>
                        <w:r>
                          <w:rPr>
                            <w:color w:val="231F20"/>
                            <w:spacing w:val="80"/>
                            <w:sz w:val="17"/>
                            <w:u w:val="single" w:color="231F20"/>
                          </w:rPr>
                          <w:t> </w:t>
                        </w:r>
                      </w:p>
                    </w:tc>
                    <w:tc>
                      <w:tcPr>
                        <w:tcW w:w="1713" w:type="dxa"/>
                      </w:tcPr>
                      <w:p>
                        <w:pPr>
                          <w:pStyle w:val="TableParagraph"/>
                          <w:tabs>
                            <w:tab w:pos="1391" w:val="left" w:leader="none"/>
                          </w:tabs>
                          <w:spacing w:line="176" w:lineRule="exact" w:before="10"/>
                          <w:ind w:right="48"/>
                          <w:jc w:val="right"/>
                          <w:rPr>
                            <w:sz w:val="17"/>
                          </w:rPr>
                        </w:pPr>
                        <w:r>
                          <w:rPr>
                            <w:color w:val="231F20"/>
                            <w:sz w:val="17"/>
                            <w:u w:val="single" w:color="231F20"/>
                          </w:rPr>
                          <w:tab/>
                        </w:r>
                        <w:r>
                          <w:rPr>
                            <w:color w:val="231F20"/>
                            <w:spacing w:val="-10"/>
                            <w:sz w:val="17"/>
                            <w:u w:val="single" w:color="231F20"/>
                          </w:rPr>
                          <w:t>-</w:t>
                        </w:r>
                        <w:r>
                          <w:rPr>
                            <w:color w:val="231F20"/>
                            <w:spacing w:val="80"/>
                            <w:sz w:val="17"/>
                            <w:u w:val="single" w:color="231F20"/>
                          </w:rPr>
                          <w:t> </w:t>
                        </w:r>
                      </w:p>
                    </w:tc>
                  </w:tr>
                </w:tbl>
                <w:p>
                  <w:pPr>
                    <w:pStyle w:val="BodyText"/>
                  </w:pPr>
                </w:p>
              </w:txbxContent>
            </v:textbox>
            <w10:wrap type="none"/>
          </v:shape>
        </w:pict>
      </w:r>
      <w:r>
        <w:rPr>
          <w:color w:val="231F20"/>
          <w:sz w:val="17"/>
        </w:rPr>
        <w:t>Net cash used in operating activities</w:t>
        <w:tab/>
      </w:r>
      <w:r>
        <w:rPr>
          <w:color w:val="231F20"/>
          <w:spacing w:val="-2"/>
          <w:sz w:val="17"/>
        </w:rPr>
        <w:t>(48,062,403)</w:t>
      </w:r>
      <w:r>
        <w:rPr>
          <w:color w:val="231F20"/>
          <w:sz w:val="17"/>
        </w:rPr>
        <w:tab/>
      </w:r>
      <w:r>
        <w:rPr>
          <w:color w:val="231F20"/>
          <w:spacing w:val="-2"/>
          <w:sz w:val="17"/>
        </w:rPr>
        <w:t>(8,579) </w:t>
      </w:r>
      <w:r>
        <w:rPr>
          <w:color w:val="231F20"/>
          <w:sz w:val="17"/>
        </w:rPr>
        <w:t>CASH FLOWS FROM NONCAPITAL FINANCING ACTIVITIES</w:t>
      </w:r>
    </w:p>
    <w:p>
      <w:pPr>
        <w:pStyle w:val="BodyText"/>
        <w:rPr>
          <w:sz w:val="18"/>
        </w:rPr>
      </w:pPr>
    </w:p>
    <w:p>
      <w:pPr>
        <w:pStyle w:val="BodyText"/>
        <w:spacing w:before="10"/>
        <w:rPr>
          <w:sz w:val="16"/>
        </w:rPr>
      </w:pPr>
    </w:p>
    <w:p>
      <w:pPr>
        <w:tabs>
          <w:tab w:pos="8042" w:val="left" w:leader="none"/>
          <w:tab w:pos="10631" w:val="left" w:leader="none"/>
        </w:tabs>
        <w:spacing w:line="420" w:lineRule="atLeast" w:before="0"/>
        <w:ind w:left="1483" w:right="969" w:firstLine="377"/>
        <w:jc w:val="left"/>
        <w:rPr>
          <w:sz w:val="17"/>
        </w:rPr>
      </w:pPr>
      <w:r>
        <w:rPr/>
        <w:pict>
          <v:group style="position:absolute;margin-left:372.721008pt;margin-top:21.573225pt;width:76.95pt;height:1.05pt;mso-position-horizontal-relative:page;mso-position-vertical-relative:paragraph;z-index:-28360192" id="docshapegroup243" coordorigin="7454,431" coordsize="1539,21">
            <v:line style="position:absolute" from="7454,432" to="8993,432" stroked="true" strokeweight=".06pt" strokecolor="#231f20">
              <v:stroke dashstyle="solid"/>
            </v:line>
            <v:rect style="position:absolute;left:7454;top:433;width:1539;height:20" id="docshape244" filled="true" fillcolor="#231f20" stroked="false">
              <v:fill type="solid"/>
            </v:rect>
            <w10:wrap type="none"/>
          </v:group>
        </w:pict>
      </w:r>
      <w:r>
        <w:rPr/>
        <w:pict>
          <v:group style="position:absolute;margin-left:462.001007pt;margin-top:21.573225pt;width:77pt;height:1.05pt;mso-position-horizontal-relative:page;mso-position-vertical-relative:paragraph;z-index:-28358656" id="docshapegroup245" coordorigin="9240,431" coordsize="1540,21">
            <v:line style="position:absolute" from="9240,432" to="10778,432" stroked="true" strokeweight=".06pt" strokecolor="#231f20">
              <v:stroke dashstyle="solid"/>
            </v:line>
            <v:rect style="position:absolute;left:9241;top:433;width:1539;height:20" id="docshape246" filled="true" fillcolor="#231f20" stroked="false">
              <v:fill type="solid"/>
            </v:rect>
            <w10:wrap type="none"/>
          </v:group>
        </w:pict>
      </w:r>
      <w:r>
        <w:rPr>
          <w:color w:val="231F20"/>
          <w:sz w:val="17"/>
        </w:rPr>
        <w:t>Net cash provided by noncapital financing activities</w:t>
        <w:tab/>
      </w:r>
      <w:r>
        <w:rPr>
          <w:color w:val="231F20"/>
          <w:spacing w:val="-2"/>
          <w:sz w:val="17"/>
        </w:rPr>
        <w:t>51,398,737</w:t>
      </w:r>
      <w:r>
        <w:rPr>
          <w:color w:val="231F20"/>
          <w:sz w:val="17"/>
        </w:rPr>
        <w:tab/>
      </w:r>
      <w:r>
        <w:rPr>
          <w:color w:val="231F20"/>
          <w:spacing w:val="-10"/>
          <w:sz w:val="17"/>
        </w:rPr>
        <w:t>-</w:t>
      </w:r>
      <w:r>
        <w:rPr>
          <w:color w:val="231F20"/>
          <w:sz w:val="17"/>
        </w:rPr>
        <w:t> CASH FLOWS FROM CAPITAL AND RELATED</w:t>
      </w:r>
    </w:p>
    <w:p>
      <w:pPr>
        <w:spacing w:before="43" w:after="46"/>
        <w:ind w:left="1483" w:right="0" w:firstLine="0"/>
        <w:jc w:val="left"/>
        <w:rPr>
          <w:sz w:val="17"/>
        </w:rPr>
      </w:pPr>
      <w:r>
        <w:rPr>
          <w:color w:val="231F20"/>
          <w:sz w:val="17"/>
        </w:rPr>
        <w:t>FINANCING</w:t>
      </w:r>
      <w:r>
        <w:rPr>
          <w:color w:val="231F20"/>
          <w:spacing w:val="-4"/>
          <w:sz w:val="17"/>
        </w:rPr>
        <w:t> </w:t>
      </w:r>
      <w:r>
        <w:rPr>
          <w:color w:val="231F20"/>
          <w:spacing w:val="-2"/>
          <w:sz w:val="17"/>
        </w:rPr>
        <w:t>ACTIVITIES</w:t>
      </w:r>
    </w:p>
    <w:tbl>
      <w:tblPr>
        <w:tblW w:w="0" w:type="auto"/>
        <w:jc w:val="left"/>
        <w:tblInd w:w="1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97"/>
        <w:gridCol w:w="2145"/>
        <w:gridCol w:w="1713"/>
      </w:tblGrid>
      <w:tr>
        <w:trPr>
          <w:trHeight w:val="205" w:hRule="atLeast"/>
        </w:trPr>
        <w:tc>
          <w:tcPr>
            <w:tcW w:w="5397" w:type="dxa"/>
          </w:tcPr>
          <w:p>
            <w:pPr>
              <w:pStyle w:val="TableParagraph"/>
              <w:spacing w:line="186" w:lineRule="exact"/>
              <w:ind w:left="50"/>
              <w:rPr>
                <w:sz w:val="17"/>
              </w:rPr>
            </w:pPr>
            <w:r>
              <w:rPr>
                <w:color w:val="231F20"/>
                <w:sz w:val="17"/>
              </w:rPr>
              <w:t>Purchase</w:t>
            </w:r>
            <w:r>
              <w:rPr>
                <w:color w:val="231F20"/>
                <w:spacing w:val="-3"/>
                <w:sz w:val="17"/>
              </w:rPr>
              <w:t> </w:t>
            </w:r>
            <w:r>
              <w:rPr>
                <w:color w:val="231F20"/>
                <w:sz w:val="17"/>
              </w:rPr>
              <w:t>of</w:t>
            </w:r>
            <w:r>
              <w:rPr>
                <w:color w:val="231F20"/>
                <w:spacing w:val="-3"/>
                <w:sz w:val="17"/>
              </w:rPr>
              <w:t> </w:t>
            </w:r>
            <w:r>
              <w:rPr>
                <w:color w:val="231F20"/>
                <w:sz w:val="17"/>
              </w:rPr>
              <w:t>capital</w:t>
            </w:r>
            <w:r>
              <w:rPr>
                <w:color w:val="231F20"/>
                <w:spacing w:val="-3"/>
                <w:sz w:val="17"/>
              </w:rPr>
              <w:t> </w:t>
            </w:r>
            <w:r>
              <w:rPr>
                <w:color w:val="231F20"/>
                <w:spacing w:val="-2"/>
                <w:sz w:val="17"/>
              </w:rPr>
              <w:t>assets</w:t>
            </w:r>
          </w:p>
        </w:tc>
        <w:tc>
          <w:tcPr>
            <w:tcW w:w="2145" w:type="dxa"/>
          </w:tcPr>
          <w:p>
            <w:pPr>
              <w:pStyle w:val="TableParagraph"/>
              <w:spacing w:line="186" w:lineRule="exact"/>
              <w:ind w:right="156"/>
              <w:jc w:val="right"/>
              <w:rPr>
                <w:sz w:val="17"/>
              </w:rPr>
            </w:pPr>
            <w:r>
              <w:rPr>
                <w:color w:val="231F20"/>
                <w:spacing w:val="-2"/>
                <w:sz w:val="17"/>
              </w:rPr>
              <w:t>(9,661,461)</w:t>
            </w:r>
          </w:p>
        </w:tc>
        <w:tc>
          <w:tcPr>
            <w:tcW w:w="1713" w:type="dxa"/>
          </w:tcPr>
          <w:p>
            <w:pPr>
              <w:pStyle w:val="TableParagraph"/>
              <w:spacing w:line="186" w:lineRule="exact"/>
              <w:ind w:right="140"/>
              <w:jc w:val="right"/>
              <w:rPr>
                <w:sz w:val="17"/>
              </w:rPr>
            </w:pPr>
            <w:r>
              <w:rPr>
                <w:color w:val="231F20"/>
                <w:w w:val="100"/>
                <w:sz w:val="17"/>
              </w:rPr>
              <w:t>-</w:t>
            </w:r>
          </w:p>
        </w:tc>
      </w:tr>
      <w:tr>
        <w:trPr>
          <w:trHeight w:val="220" w:hRule="atLeast"/>
        </w:trPr>
        <w:tc>
          <w:tcPr>
            <w:tcW w:w="5397" w:type="dxa"/>
          </w:tcPr>
          <w:p>
            <w:pPr>
              <w:pStyle w:val="TableParagraph"/>
              <w:spacing w:line="191" w:lineRule="exact" w:before="10"/>
              <w:ind w:left="50"/>
              <w:rPr>
                <w:sz w:val="17"/>
              </w:rPr>
            </w:pPr>
            <w:r>
              <w:rPr>
                <w:color w:val="231F20"/>
                <w:sz w:val="17"/>
              </w:rPr>
              <w:t>Payments</w:t>
            </w:r>
            <w:r>
              <w:rPr>
                <w:color w:val="231F20"/>
                <w:spacing w:val="-4"/>
                <w:sz w:val="17"/>
              </w:rPr>
              <w:t> </w:t>
            </w:r>
            <w:r>
              <w:rPr>
                <w:color w:val="231F20"/>
                <w:sz w:val="17"/>
              </w:rPr>
              <w:t>on</w:t>
            </w:r>
            <w:r>
              <w:rPr>
                <w:color w:val="231F20"/>
                <w:spacing w:val="-3"/>
                <w:sz w:val="17"/>
              </w:rPr>
              <w:t> </w:t>
            </w:r>
            <w:r>
              <w:rPr>
                <w:color w:val="231F20"/>
                <w:spacing w:val="-2"/>
                <w:sz w:val="17"/>
              </w:rPr>
              <w:t>leases</w:t>
            </w:r>
          </w:p>
        </w:tc>
        <w:tc>
          <w:tcPr>
            <w:tcW w:w="2145" w:type="dxa"/>
          </w:tcPr>
          <w:p>
            <w:pPr>
              <w:pStyle w:val="TableParagraph"/>
              <w:spacing w:line="191" w:lineRule="exact" w:before="10"/>
              <w:ind w:right="156"/>
              <w:jc w:val="right"/>
              <w:rPr>
                <w:sz w:val="17"/>
              </w:rPr>
            </w:pPr>
            <w:r>
              <w:rPr>
                <w:color w:val="231F20"/>
                <w:spacing w:val="-2"/>
                <w:sz w:val="17"/>
              </w:rPr>
              <w:t>(568,894)</w:t>
            </w:r>
          </w:p>
        </w:tc>
        <w:tc>
          <w:tcPr>
            <w:tcW w:w="1713" w:type="dxa"/>
          </w:tcPr>
          <w:p>
            <w:pPr>
              <w:pStyle w:val="TableParagraph"/>
              <w:spacing w:line="191" w:lineRule="exact" w:before="10"/>
              <w:ind w:right="139"/>
              <w:jc w:val="right"/>
              <w:rPr>
                <w:sz w:val="17"/>
              </w:rPr>
            </w:pPr>
            <w:r>
              <w:rPr>
                <w:color w:val="231F20"/>
                <w:w w:val="100"/>
                <w:sz w:val="17"/>
              </w:rPr>
              <w:t>-</w:t>
            </w:r>
          </w:p>
        </w:tc>
      </w:tr>
      <w:tr>
        <w:trPr>
          <w:trHeight w:val="221" w:hRule="atLeast"/>
        </w:trPr>
        <w:tc>
          <w:tcPr>
            <w:tcW w:w="5397" w:type="dxa"/>
          </w:tcPr>
          <w:p>
            <w:pPr>
              <w:pStyle w:val="TableParagraph"/>
              <w:spacing w:line="191" w:lineRule="exact" w:before="10"/>
              <w:ind w:left="50"/>
              <w:rPr>
                <w:sz w:val="17"/>
              </w:rPr>
            </w:pPr>
            <w:r>
              <w:rPr>
                <w:color w:val="231F20"/>
                <w:sz w:val="17"/>
              </w:rPr>
              <w:t>Proceeds</w:t>
            </w:r>
            <w:r>
              <w:rPr>
                <w:color w:val="231F20"/>
                <w:spacing w:val="-5"/>
                <w:sz w:val="17"/>
              </w:rPr>
              <w:t> </w:t>
            </w:r>
            <w:r>
              <w:rPr>
                <w:color w:val="231F20"/>
                <w:sz w:val="17"/>
              </w:rPr>
              <w:t>from</w:t>
            </w:r>
            <w:r>
              <w:rPr>
                <w:color w:val="231F20"/>
                <w:spacing w:val="-4"/>
                <w:sz w:val="17"/>
              </w:rPr>
              <w:t> </w:t>
            </w:r>
            <w:r>
              <w:rPr>
                <w:color w:val="231F20"/>
                <w:sz w:val="17"/>
              </w:rPr>
              <w:t>issuance</w:t>
            </w:r>
            <w:r>
              <w:rPr>
                <w:color w:val="231F20"/>
                <w:spacing w:val="-2"/>
                <w:sz w:val="17"/>
              </w:rPr>
              <w:t> </w:t>
            </w:r>
            <w:r>
              <w:rPr>
                <w:color w:val="231F20"/>
                <w:sz w:val="17"/>
              </w:rPr>
              <w:t>of</w:t>
            </w:r>
            <w:r>
              <w:rPr>
                <w:color w:val="231F20"/>
                <w:spacing w:val="-4"/>
                <w:sz w:val="17"/>
              </w:rPr>
              <w:t> bonds</w:t>
            </w:r>
          </w:p>
        </w:tc>
        <w:tc>
          <w:tcPr>
            <w:tcW w:w="2145" w:type="dxa"/>
          </w:tcPr>
          <w:p>
            <w:pPr>
              <w:pStyle w:val="TableParagraph"/>
              <w:spacing w:line="191" w:lineRule="exact" w:before="10"/>
              <w:ind w:right="216"/>
              <w:jc w:val="right"/>
              <w:rPr>
                <w:sz w:val="17"/>
              </w:rPr>
            </w:pPr>
            <w:r>
              <w:rPr>
                <w:color w:val="231F20"/>
                <w:spacing w:val="-2"/>
                <w:sz w:val="17"/>
              </w:rPr>
              <w:t>8,470,000</w:t>
            </w:r>
          </w:p>
        </w:tc>
        <w:tc>
          <w:tcPr>
            <w:tcW w:w="1713" w:type="dxa"/>
          </w:tcPr>
          <w:p>
            <w:pPr>
              <w:pStyle w:val="TableParagraph"/>
              <w:spacing w:line="191" w:lineRule="exact" w:before="10"/>
              <w:ind w:right="139"/>
              <w:jc w:val="right"/>
              <w:rPr>
                <w:sz w:val="17"/>
              </w:rPr>
            </w:pPr>
            <w:r>
              <w:rPr>
                <w:color w:val="231F20"/>
                <w:w w:val="100"/>
                <w:sz w:val="17"/>
              </w:rPr>
              <w:t>-</w:t>
            </w:r>
          </w:p>
        </w:tc>
      </w:tr>
      <w:tr>
        <w:trPr>
          <w:trHeight w:val="221" w:hRule="atLeast"/>
        </w:trPr>
        <w:tc>
          <w:tcPr>
            <w:tcW w:w="5397" w:type="dxa"/>
          </w:tcPr>
          <w:p>
            <w:pPr>
              <w:pStyle w:val="TableParagraph"/>
              <w:spacing w:line="191" w:lineRule="exact" w:before="10"/>
              <w:ind w:left="50"/>
              <w:rPr>
                <w:sz w:val="17"/>
              </w:rPr>
            </w:pPr>
            <w:r>
              <w:rPr>
                <w:color w:val="231F20"/>
                <w:sz w:val="17"/>
              </w:rPr>
              <w:t>Payments</w:t>
            </w:r>
            <w:r>
              <w:rPr>
                <w:color w:val="231F20"/>
                <w:spacing w:val="-3"/>
                <w:sz w:val="17"/>
              </w:rPr>
              <w:t> </w:t>
            </w:r>
            <w:r>
              <w:rPr>
                <w:color w:val="231F20"/>
                <w:sz w:val="17"/>
              </w:rPr>
              <w:t>of</w:t>
            </w:r>
            <w:r>
              <w:rPr>
                <w:color w:val="231F20"/>
                <w:spacing w:val="-4"/>
                <w:sz w:val="17"/>
              </w:rPr>
              <w:t> </w:t>
            </w:r>
            <w:r>
              <w:rPr>
                <w:color w:val="231F20"/>
                <w:sz w:val="17"/>
              </w:rPr>
              <w:t>principal</w:t>
            </w:r>
            <w:r>
              <w:rPr>
                <w:color w:val="231F20"/>
                <w:spacing w:val="-2"/>
                <w:sz w:val="17"/>
              </w:rPr>
              <w:t> </w:t>
            </w:r>
            <w:r>
              <w:rPr>
                <w:color w:val="231F20"/>
                <w:sz w:val="17"/>
              </w:rPr>
              <w:t>on</w:t>
            </w:r>
            <w:r>
              <w:rPr>
                <w:color w:val="231F20"/>
                <w:spacing w:val="-3"/>
                <w:sz w:val="17"/>
              </w:rPr>
              <w:t> </w:t>
            </w:r>
            <w:r>
              <w:rPr>
                <w:color w:val="231F20"/>
                <w:sz w:val="17"/>
              </w:rPr>
              <w:t>bond</w:t>
            </w:r>
            <w:r>
              <w:rPr>
                <w:color w:val="231F20"/>
                <w:spacing w:val="-1"/>
                <w:sz w:val="17"/>
              </w:rPr>
              <w:t> </w:t>
            </w:r>
            <w:r>
              <w:rPr>
                <w:color w:val="231F20"/>
                <w:spacing w:val="-2"/>
                <w:sz w:val="17"/>
              </w:rPr>
              <w:t>obligations</w:t>
            </w:r>
          </w:p>
        </w:tc>
        <w:tc>
          <w:tcPr>
            <w:tcW w:w="2145" w:type="dxa"/>
          </w:tcPr>
          <w:p>
            <w:pPr>
              <w:pStyle w:val="TableParagraph"/>
              <w:spacing w:line="191" w:lineRule="exact" w:before="10"/>
              <w:ind w:right="157"/>
              <w:jc w:val="right"/>
              <w:rPr>
                <w:sz w:val="17"/>
              </w:rPr>
            </w:pPr>
            <w:r>
              <w:rPr>
                <w:color w:val="231F20"/>
                <w:spacing w:val="-2"/>
                <w:sz w:val="17"/>
              </w:rPr>
              <w:t>(10,033,427)</w:t>
            </w:r>
          </w:p>
        </w:tc>
        <w:tc>
          <w:tcPr>
            <w:tcW w:w="1713" w:type="dxa"/>
          </w:tcPr>
          <w:p>
            <w:pPr>
              <w:pStyle w:val="TableParagraph"/>
              <w:spacing w:line="191" w:lineRule="exact" w:before="10"/>
              <w:ind w:right="139"/>
              <w:jc w:val="right"/>
              <w:rPr>
                <w:sz w:val="17"/>
              </w:rPr>
            </w:pPr>
            <w:r>
              <w:rPr>
                <w:color w:val="231F20"/>
                <w:w w:val="100"/>
                <w:sz w:val="17"/>
              </w:rPr>
              <w:t>-</w:t>
            </w:r>
          </w:p>
        </w:tc>
      </w:tr>
      <w:tr>
        <w:trPr>
          <w:trHeight w:val="220" w:hRule="atLeast"/>
        </w:trPr>
        <w:tc>
          <w:tcPr>
            <w:tcW w:w="5397" w:type="dxa"/>
          </w:tcPr>
          <w:p>
            <w:pPr>
              <w:pStyle w:val="TableParagraph"/>
              <w:spacing w:line="191" w:lineRule="exact" w:before="10"/>
              <w:ind w:left="50"/>
              <w:rPr>
                <w:sz w:val="17"/>
              </w:rPr>
            </w:pPr>
            <w:r>
              <w:rPr>
                <w:color w:val="231F20"/>
                <w:sz w:val="17"/>
              </w:rPr>
              <w:t>Capital</w:t>
            </w:r>
            <w:r>
              <w:rPr>
                <w:color w:val="231F20"/>
                <w:spacing w:val="-5"/>
                <w:sz w:val="17"/>
              </w:rPr>
              <w:t> </w:t>
            </w:r>
            <w:r>
              <w:rPr>
                <w:color w:val="231F20"/>
                <w:sz w:val="17"/>
              </w:rPr>
              <w:t>project</w:t>
            </w:r>
            <w:r>
              <w:rPr>
                <w:color w:val="231F20"/>
                <w:spacing w:val="-3"/>
                <w:sz w:val="17"/>
              </w:rPr>
              <w:t> </w:t>
            </w:r>
            <w:r>
              <w:rPr>
                <w:color w:val="231F20"/>
                <w:sz w:val="17"/>
              </w:rPr>
              <w:t>appropriations</w:t>
            </w:r>
            <w:r>
              <w:rPr>
                <w:color w:val="231F20"/>
                <w:spacing w:val="-2"/>
                <w:sz w:val="17"/>
              </w:rPr>
              <w:t> </w:t>
            </w:r>
            <w:r>
              <w:rPr>
                <w:color w:val="231F20"/>
                <w:sz w:val="17"/>
              </w:rPr>
              <w:t>from</w:t>
            </w:r>
            <w:r>
              <w:rPr>
                <w:color w:val="231F20"/>
                <w:spacing w:val="-5"/>
                <w:sz w:val="17"/>
              </w:rPr>
              <w:t> </w:t>
            </w:r>
            <w:r>
              <w:rPr>
                <w:color w:val="231F20"/>
                <w:sz w:val="17"/>
              </w:rPr>
              <w:t>state</w:t>
            </w:r>
            <w:r>
              <w:rPr>
                <w:color w:val="231F20"/>
                <w:spacing w:val="-4"/>
                <w:sz w:val="17"/>
              </w:rPr>
              <w:t> </w:t>
            </w:r>
            <w:r>
              <w:rPr>
                <w:color w:val="231F20"/>
                <w:sz w:val="17"/>
              </w:rPr>
              <w:t>issued</w:t>
            </w:r>
            <w:r>
              <w:rPr>
                <w:color w:val="231F20"/>
                <w:spacing w:val="-4"/>
                <w:sz w:val="17"/>
              </w:rPr>
              <w:t> </w:t>
            </w:r>
            <w:r>
              <w:rPr>
                <w:color w:val="231F20"/>
                <w:sz w:val="17"/>
              </w:rPr>
              <w:t>bonds</w:t>
            </w:r>
            <w:r>
              <w:rPr>
                <w:color w:val="231F20"/>
                <w:spacing w:val="-2"/>
                <w:sz w:val="17"/>
              </w:rPr>
              <w:t> </w:t>
            </w:r>
            <w:r>
              <w:rPr>
                <w:color w:val="231F20"/>
                <w:sz w:val="17"/>
              </w:rPr>
              <w:t>and</w:t>
            </w:r>
            <w:r>
              <w:rPr>
                <w:color w:val="231F20"/>
                <w:spacing w:val="-2"/>
                <w:sz w:val="17"/>
              </w:rPr>
              <w:t> other</w:t>
            </w:r>
          </w:p>
        </w:tc>
        <w:tc>
          <w:tcPr>
            <w:tcW w:w="2145" w:type="dxa"/>
          </w:tcPr>
          <w:p>
            <w:pPr>
              <w:pStyle w:val="TableParagraph"/>
              <w:spacing w:line="191" w:lineRule="exact" w:before="10"/>
              <w:ind w:right="216"/>
              <w:jc w:val="right"/>
              <w:rPr>
                <w:sz w:val="17"/>
              </w:rPr>
            </w:pPr>
            <w:r>
              <w:rPr>
                <w:color w:val="231F20"/>
                <w:spacing w:val="-2"/>
                <w:sz w:val="17"/>
              </w:rPr>
              <w:t>3,046,434</w:t>
            </w:r>
          </w:p>
        </w:tc>
        <w:tc>
          <w:tcPr>
            <w:tcW w:w="1713" w:type="dxa"/>
          </w:tcPr>
          <w:p>
            <w:pPr>
              <w:pStyle w:val="TableParagraph"/>
              <w:spacing w:line="191" w:lineRule="exact" w:before="10"/>
              <w:ind w:right="139"/>
              <w:jc w:val="right"/>
              <w:rPr>
                <w:sz w:val="17"/>
              </w:rPr>
            </w:pPr>
            <w:r>
              <w:rPr>
                <w:color w:val="231F20"/>
                <w:w w:val="100"/>
                <w:sz w:val="17"/>
              </w:rPr>
              <w:t>-</w:t>
            </w:r>
          </w:p>
        </w:tc>
      </w:tr>
      <w:tr>
        <w:trPr>
          <w:trHeight w:val="205" w:hRule="atLeast"/>
        </w:trPr>
        <w:tc>
          <w:tcPr>
            <w:tcW w:w="5397" w:type="dxa"/>
          </w:tcPr>
          <w:p>
            <w:pPr>
              <w:pStyle w:val="TableParagraph"/>
              <w:spacing w:line="176" w:lineRule="exact" w:before="10"/>
              <w:ind w:left="50"/>
              <w:rPr>
                <w:sz w:val="17"/>
              </w:rPr>
            </w:pPr>
            <w:r>
              <w:rPr>
                <w:color w:val="231F20"/>
                <w:sz w:val="17"/>
              </w:rPr>
              <w:t>Capital</w:t>
            </w:r>
            <w:r>
              <w:rPr>
                <w:color w:val="231F20"/>
                <w:spacing w:val="-2"/>
                <w:sz w:val="17"/>
              </w:rPr>
              <w:t> </w:t>
            </w:r>
            <w:r>
              <w:rPr>
                <w:color w:val="231F20"/>
                <w:sz w:val="17"/>
              </w:rPr>
              <w:t>gifts</w:t>
            </w:r>
            <w:r>
              <w:rPr>
                <w:color w:val="231F20"/>
                <w:spacing w:val="-2"/>
                <w:sz w:val="17"/>
              </w:rPr>
              <w:t> </w:t>
            </w:r>
            <w:r>
              <w:rPr>
                <w:color w:val="231F20"/>
                <w:sz w:val="17"/>
              </w:rPr>
              <w:t>and</w:t>
            </w:r>
            <w:r>
              <w:rPr>
                <w:color w:val="231F20"/>
                <w:spacing w:val="-1"/>
                <w:sz w:val="17"/>
              </w:rPr>
              <w:t> </w:t>
            </w:r>
            <w:r>
              <w:rPr>
                <w:color w:val="231F20"/>
                <w:spacing w:val="-2"/>
                <w:sz w:val="17"/>
              </w:rPr>
              <w:t>grants</w:t>
            </w:r>
          </w:p>
        </w:tc>
        <w:tc>
          <w:tcPr>
            <w:tcW w:w="2145" w:type="dxa"/>
          </w:tcPr>
          <w:p>
            <w:pPr>
              <w:pStyle w:val="TableParagraph"/>
              <w:tabs>
                <w:tab w:pos="826" w:val="left" w:leader="none"/>
              </w:tabs>
              <w:spacing w:line="176" w:lineRule="exact" w:before="10"/>
              <w:ind w:right="121"/>
              <w:jc w:val="right"/>
              <w:rPr>
                <w:sz w:val="17"/>
              </w:rPr>
            </w:pPr>
            <w:r>
              <w:rPr>
                <w:color w:val="231F20"/>
                <w:sz w:val="17"/>
                <w:u w:val="single" w:color="231F20"/>
              </w:rPr>
              <w:tab/>
            </w:r>
            <w:r>
              <w:rPr>
                <w:color w:val="231F20"/>
                <w:spacing w:val="-2"/>
                <w:sz w:val="17"/>
                <w:u w:val="single" w:color="231F20"/>
              </w:rPr>
              <w:t>151,068</w:t>
            </w:r>
            <w:r>
              <w:rPr>
                <w:color w:val="231F20"/>
                <w:spacing w:val="80"/>
                <w:sz w:val="17"/>
                <w:u w:val="single" w:color="231F20"/>
              </w:rPr>
              <w:t> </w:t>
            </w:r>
          </w:p>
        </w:tc>
        <w:tc>
          <w:tcPr>
            <w:tcW w:w="1713" w:type="dxa"/>
          </w:tcPr>
          <w:p>
            <w:pPr>
              <w:pStyle w:val="TableParagraph"/>
              <w:tabs>
                <w:tab w:pos="1391" w:val="left" w:leader="none"/>
              </w:tabs>
              <w:spacing w:line="176" w:lineRule="exact" w:before="10"/>
              <w:ind w:right="48"/>
              <w:jc w:val="right"/>
              <w:rPr>
                <w:sz w:val="17"/>
              </w:rPr>
            </w:pPr>
            <w:r>
              <w:rPr>
                <w:color w:val="231F20"/>
                <w:sz w:val="17"/>
                <w:u w:val="single" w:color="231F20"/>
              </w:rPr>
              <w:tab/>
            </w:r>
            <w:r>
              <w:rPr>
                <w:color w:val="231F20"/>
                <w:spacing w:val="-10"/>
                <w:sz w:val="17"/>
                <w:u w:val="single" w:color="231F20"/>
              </w:rPr>
              <w:t>-</w:t>
            </w:r>
            <w:r>
              <w:rPr>
                <w:color w:val="231F20"/>
                <w:spacing w:val="80"/>
                <w:sz w:val="17"/>
                <w:u w:val="single" w:color="231F20"/>
              </w:rPr>
              <w:t> </w:t>
            </w:r>
          </w:p>
        </w:tc>
      </w:tr>
    </w:tbl>
    <w:p>
      <w:pPr>
        <w:pStyle w:val="BodyText"/>
        <w:spacing w:before="10"/>
        <w:rPr>
          <w:sz w:val="16"/>
        </w:rPr>
      </w:pPr>
    </w:p>
    <w:p>
      <w:pPr>
        <w:tabs>
          <w:tab w:pos="8080" w:val="left" w:leader="none"/>
          <w:tab w:pos="10631" w:val="left" w:leader="none"/>
        </w:tabs>
        <w:spacing w:line="520" w:lineRule="auto" w:before="0"/>
        <w:ind w:left="1483" w:right="969" w:firstLine="377"/>
        <w:jc w:val="left"/>
        <w:rPr>
          <w:sz w:val="17"/>
        </w:rPr>
      </w:pPr>
      <w:r>
        <w:rPr/>
        <w:pict>
          <v:group style="position:absolute;margin-left:372.721008pt;margin-top:10.35692pt;width:76.95pt;height:1.05pt;mso-position-horizontal-relative:page;mso-position-vertical-relative:paragraph;z-index:-28359680" id="docshapegroup247" coordorigin="7454,207" coordsize="1539,21">
            <v:line style="position:absolute" from="7454,208" to="8993,208" stroked="true" strokeweight=".06pt" strokecolor="#231f20">
              <v:stroke dashstyle="solid"/>
            </v:line>
            <v:rect style="position:absolute;left:7454;top:208;width:1539;height:20" id="docshape248" filled="true" fillcolor="#231f20" stroked="false">
              <v:fill type="solid"/>
            </v:rect>
            <w10:wrap type="none"/>
          </v:group>
        </w:pict>
      </w:r>
      <w:r>
        <w:rPr/>
        <w:pict>
          <v:group style="position:absolute;margin-left:462.001007pt;margin-top:10.35692pt;width:77pt;height:1.05pt;mso-position-horizontal-relative:page;mso-position-vertical-relative:paragraph;z-index:-28358144" id="docshapegroup249" coordorigin="9240,207" coordsize="1540,21">
            <v:line style="position:absolute" from="9240,208" to="10778,208" stroked="true" strokeweight=".06pt" strokecolor="#231f20">
              <v:stroke dashstyle="solid"/>
            </v:line>
            <v:rect style="position:absolute;left:9241;top:208;width:1539;height:20" id="docshape250" filled="true" fillcolor="#231f20" stroked="false">
              <v:fill type="solid"/>
            </v:rect>
            <w10:wrap type="none"/>
          </v:group>
        </w:pict>
      </w:r>
      <w:r>
        <w:rPr/>
        <w:pict>
          <v:shape style="position:absolute;margin-left:71.652466pt;margin-top:32.466522pt;width:467.35pt;height:223.85pt;mso-position-horizontal-relative:page;mso-position-vertical-relative:paragraph;z-index:15756288" type="#_x0000_t202" id="docshape25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1"/>
                    <w:gridCol w:w="1538"/>
                    <w:gridCol w:w="247"/>
                    <w:gridCol w:w="1539"/>
                  </w:tblGrid>
                  <w:tr>
                    <w:trPr>
                      <w:trHeight w:val="206" w:hRule="atLeast"/>
                    </w:trPr>
                    <w:tc>
                      <w:tcPr>
                        <w:tcW w:w="6021" w:type="dxa"/>
                      </w:tcPr>
                      <w:p>
                        <w:pPr>
                          <w:pStyle w:val="TableParagraph"/>
                          <w:spacing w:line="186" w:lineRule="exact"/>
                          <w:ind w:left="191"/>
                          <w:rPr>
                            <w:sz w:val="17"/>
                          </w:rPr>
                        </w:pPr>
                        <w:r>
                          <w:rPr>
                            <w:color w:val="231F20"/>
                            <w:sz w:val="17"/>
                          </w:rPr>
                          <w:t>Proceeds</w:t>
                        </w:r>
                        <w:r>
                          <w:rPr>
                            <w:color w:val="231F20"/>
                            <w:spacing w:val="-3"/>
                            <w:sz w:val="17"/>
                          </w:rPr>
                          <w:t> </w:t>
                        </w:r>
                        <w:r>
                          <w:rPr>
                            <w:color w:val="231F20"/>
                            <w:sz w:val="17"/>
                          </w:rPr>
                          <w:t>from</w:t>
                        </w:r>
                        <w:r>
                          <w:rPr>
                            <w:color w:val="231F20"/>
                            <w:spacing w:val="-4"/>
                            <w:sz w:val="17"/>
                          </w:rPr>
                          <w:t> </w:t>
                        </w:r>
                        <w:r>
                          <w:rPr>
                            <w:color w:val="231F20"/>
                            <w:sz w:val="17"/>
                          </w:rPr>
                          <w:t>lease</w:t>
                        </w:r>
                        <w:r>
                          <w:rPr>
                            <w:color w:val="231F20"/>
                            <w:spacing w:val="-2"/>
                            <w:sz w:val="17"/>
                          </w:rPr>
                          <w:t> payments</w:t>
                        </w:r>
                      </w:p>
                    </w:tc>
                    <w:tc>
                      <w:tcPr>
                        <w:tcW w:w="1538" w:type="dxa"/>
                      </w:tcPr>
                      <w:p>
                        <w:pPr>
                          <w:pStyle w:val="TableParagraph"/>
                          <w:spacing w:line="186" w:lineRule="exact"/>
                          <w:ind w:right="90"/>
                          <w:jc w:val="right"/>
                          <w:rPr>
                            <w:sz w:val="17"/>
                          </w:rPr>
                        </w:pPr>
                        <w:r>
                          <w:rPr>
                            <w:color w:val="231F20"/>
                            <w:spacing w:val="-2"/>
                            <w:sz w:val="17"/>
                          </w:rPr>
                          <w:t>115,209</w:t>
                        </w:r>
                      </w:p>
                    </w:tc>
                    <w:tc>
                      <w:tcPr>
                        <w:tcW w:w="247" w:type="dxa"/>
                      </w:tcPr>
                      <w:p>
                        <w:pPr>
                          <w:pStyle w:val="TableParagraph"/>
                          <w:rPr>
                            <w:rFonts w:ascii="Times New Roman"/>
                            <w:sz w:val="14"/>
                          </w:rPr>
                        </w:pPr>
                      </w:p>
                    </w:tc>
                    <w:tc>
                      <w:tcPr>
                        <w:tcW w:w="1539" w:type="dxa"/>
                      </w:tcPr>
                      <w:p>
                        <w:pPr>
                          <w:pStyle w:val="TableParagraph"/>
                          <w:spacing w:line="186" w:lineRule="exact"/>
                          <w:ind w:right="88"/>
                          <w:jc w:val="right"/>
                          <w:rPr>
                            <w:sz w:val="17"/>
                          </w:rPr>
                        </w:pPr>
                        <w:r>
                          <w:rPr>
                            <w:color w:val="231F20"/>
                            <w:spacing w:val="-2"/>
                            <w:sz w:val="17"/>
                          </w:rPr>
                          <w:t>103,812</w:t>
                        </w:r>
                      </w:p>
                    </w:tc>
                  </w:tr>
                  <w:tr>
                    <w:trPr>
                      <w:trHeight w:val="221" w:hRule="atLeast"/>
                    </w:trPr>
                    <w:tc>
                      <w:tcPr>
                        <w:tcW w:w="6021" w:type="dxa"/>
                      </w:tcPr>
                      <w:p>
                        <w:pPr>
                          <w:pStyle w:val="TableParagraph"/>
                          <w:spacing w:line="191" w:lineRule="exact" w:before="10"/>
                          <w:ind w:left="191"/>
                          <w:rPr>
                            <w:sz w:val="17"/>
                          </w:rPr>
                        </w:pPr>
                        <w:r>
                          <w:rPr>
                            <w:color w:val="231F20"/>
                            <w:sz w:val="17"/>
                          </w:rPr>
                          <w:t>Proceeds</w:t>
                        </w:r>
                        <w:r>
                          <w:rPr>
                            <w:color w:val="231F20"/>
                            <w:spacing w:val="-4"/>
                            <w:sz w:val="17"/>
                          </w:rPr>
                          <w:t> </w:t>
                        </w:r>
                        <w:r>
                          <w:rPr>
                            <w:color w:val="231F20"/>
                            <w:sz w:val="17"/>
                          </w:rPr>
                          <w:t>from</w:t>
                        </w:r>
                        <w:r>
                          <w:rPr>
                            <w:color w:val="231F20"/>
                            <w:spacing w:val="-4"/>
                            <w:sz w:val="17"/>
                          </w:rPr>
                          <w:t> </w:t>
                        </w:r>
                        <w:r>
                          <w:rPr>
                            <w:color w:val="231F20"/>
                            <w:sz w:val="17"/>
                          </w:rPr>
                          <w:t>sales</w:t>
                        </w:r>
                        <w:r>
                          <w:rPr>
                            <w:color w:val="231F20"/>
                            <w:spacing w:val="-3"/>
                            <w:sz w:val="17"/>
                          </w:rPr>
                          <w:t> </w:t>
                        </w:r>
                        <w:r>
                          <w:rPr>
                            <w:color w:val="231F20"/>
                            <w:sz w:val="17"/>
                          </w:rPr>
                          <w:t>of</w:t>
                        </w:r>
                        <w:r>
                          <w:rPr>
                            <w:color w:val="231F20"/>
                            <w:spacing w:val="-3"/>
                            <w:sz w:val="17"/>
                          </w:rPr>
                          <w:t> </w:t>
                        </w:r>
                        <w:r>
                          <w:rPr>
                            <w:color w:val="231F20"/>
                            <w:sz w:val="17"/>
                          </w:rPr>
                          <w:t>investments,</w:t>
                        </w:r>
                        <w:r>
                          <w:rPr>
                            <w:color w:val="231F20"/>
                            <w:spacing w:val="-3"/>
                            <w:sz w:val="17"/>
                          </w:rPr>
                          <w:t> </w:t>
                        </w:r>
                        <w:r>
                          <w:rPr>
                            <w:color w:val="231F20"/>
                            <w:spacing w:val="-5"/>
                            <w:sz w:val="17"/>
                          </w:rPr>
                          <w:t>net</w:t>
                        </w:r>
                      </w:p>
                    </w:tc>
                    <w:tc>
                      <w:tcPr>
                        <w:tcW w:w="1538" w:type="dxa"/>
                      </w:tcPr>
                      <w:p>
                        <w:pPr>
                          <w:pStyle w:val="TableParagraph"/>
                          <w:spacing w:line="191" w:lineRule="exact" w:before="10"/>
                          <w:ind w:right="91"/>
                          <w:jc w:val="right"/>
                          <w:rPr>
                            <w:sz w:val="17"/>
                          </w:rPr>
                        </w:pPr>
                        <w:r>
                          <w:rPr>
                            <w:color w:val="231F20"/>
                            <w:spacing w:val="-2"/>
                            <w:sz w:val="17"/>
                          </w:rPr>
                          <w:t>2,419,808</w:t>
                        </w:r>
                      </w:p>
                    </w:tc>
                    <w:tc>
                      <w:tcPr>
                        <w:tcW w:w="247" w:type="dxa"/>
                      </w:tcPr>
                      <w:p>
                        <w:pPr>
                          <w:pStyle w:val="TableParagraph"/>
                          <w:rPr>
                            <w:rFonts w:ascii="Times New Roman"/>
                            <w:sz w:val="14"/>
                          </w:rPr>
                        </w:pPr>
                      </w:p>
                    </w:tc>
                    <w:tc>
                      <w:tcPr>
                        <w:tcW w:w="1539" w:type="dxa"/>
                      </w:tcPr>
                      <w:p>
                        <w:pPr>
                          <w:pStyle w:val="TableParagraph"/>
                          <w:spacing w:line="191" w:lineRule="exact" w:before="10"/>
                          <w:ind w:right="88"/>
                          <w:jc w:val="right"/>
                          <w:rPr>
                            <w:sz w:val="17"/>
                          </w:rPr>
                        </w:pPr>
                        <w:r>
                          <w:rPr>
                            <w:color w:val="231F20"/>
                            <w:spacing w:val="-2"/>
                            <w:sz w:val="17"/>
                          </w:rPr>
                          <w:t>1,559,104</w:t>
                        </w:r>
                      </w:p>
                    </w:tc>
                  </w:tr>
                  <w:tr>
                    <w:trPr>
                      <w:trHeight w:val="220" w:hRule="atLeast"/>
                    </w:trPr>
                    <w:tc>
                      <w:tcPr>
                        <w:tcW w:w="6021" w:type="dxa"/>
                      </w:tcPr>
                      <w:p>
                        <w:pPr>
                          <w:pStyle w:val="TableParagraph"/>
                          <w:spacing w:line="191" w:lineRule="exact" w:before="10"/>
                          <w:ind w:left="191"/>
                          <w:rPr>
                            <w:sz w:val="17"/>
                          </w:rPr>
                        </w:pPr>
                        <w:r>
                          <w:rPr>
                            <w:color w:val="231F20"/>
                            <w:sz w:val="17"/>
                          </w:rPr>
                          <w:t>Investment</w:t>
                        </w:r>
                        <w:r>
                          <w:rPr>
                            <w:color w:val="231F20"/>
                            <w:spacing w:val="-6"/>
                            <w:sz w:val="17"/>
                          </w:rPr>
                          <w:t> </w:t>
                        </w:r>
                        <w:r>
                          <w:rPr>
                            <w:color w:val="231F20"/>
                            <w:spacing w:val="-2"/>
                            <w:sz w:val="17"/>
                          </w:rPr>
                          <w:t>purchases</w:t>
                        </w:r>
                      </w:p>
                    </w:tc>
                    <w:tc>
                      <w:tcPr>
                        <w:tcW w:w="1538" w:type="dxa"/>
                      </w:tcPr>
                      <w:p>
                        <w:pPr>
                          <w:pStyle w:val="TableParagraph"/>
                          <w:spacing w:line="191" w:lineRule="exact" w:before="10"/>
                          <w:ind w:right="31"/>
                          <w:jc w:val="right"/>
                          <w:rPr>
                            <w:sz w:val="17"/>
                          </w:rPr>
                        </w:pPr>
                        <w:r>
                          <w:rPr>
                            <w:color w:val="231F20"/>
                            <w:spacing w:val="-2"/>
                            <w:sz w:val="17"/>
                          </w:rPr>
                          <w:t>(2,732,779)</w:t>
                        </w:r>
                      </w:p>
                    </w:tc>
                    <w:tc>
                      <w:tcPr>
                        <w:tcW w:w="247" w:type="dxa"/>
                      </w:tcPr>
                      <w:p>
                        <w:pPr>
                          <w:pStyle w:val="TableParagraph"/>
                          <w:rPr>
                            <w:rFonts w:ascii="Times New Roman"/>
                            <w:sz w:val="14"/>
                          </w:rPr>
                        </w:pPr>
                      </w:p>
                    </w:tc>
                    <w:tc>
                      <w:tcPr>
                        <w:tcW w:w="1539" w:type="dxa"/>
                      </w:tcPr>
                      <w:p>
                        <w:pPr>
                          <w:pStyle w:val="TableParagraph"/>
                          <w:spacing w:line="191" w:lineRule="exact" w:before="10"/>
                          <w:ind w:right="31"/>
                          <w:jc w:val="right"/>
                          <w:rPr>
                            <w:sz w:val="17"/>
                          </w:rPr>
                        </w:pPr>
                        <w:r>
                          <w:rPr>
                            <w:color w:val="231F20"/>
                            <w:spacing w:val="-2"/>
                            <w:sz w:val="17"/>
                          </w:rPr>
                          <w:t>(419,489)</w:t>
                        </w:r>
                      </w:p>
                    </w:tc>
                  </w:tr>
                  <w:tr>
                    <w:trPr>
                      <w:trHeight w:val="220" w:hRule="atLeast"/>
                    </w:trPr>
                    <w:tc>
                      <w:tcPr>
                        <w:tcW w:w="6021" w:type="dxa"/>
                      </w:tcPr>
                      <w:p>
                        <w:pPr>
                          <w:pStyle w:val="TableParagraph"/>
                          <w:spacing w:line="191" w:lineRule="exact" w:before="10"/>
                          <w:ind w:left="192"/>
                          <w:rPr>
                            <w:sz w:val="17"/>
                          </w:rPr>
                        </w:pPr>
                        <w:r>
                          <w:rPr>
                            <w:color w:val="231F20"/>
                            <w:sz w:val="17"/>
                          </w:rPr>
                          <w:t>Additions</w:t>
                        </w:r>
                        <w:r>
                          <w:rPr>
                            <w:color w:val="231F20"/>
                            <w:spacing w:val="-2"/>
                            <w:sz w:val="17"/>
                          </w:rPr>
                          <w:t> </w:t>
                        </w:r>
                        <w:r>
                          <w:rPr>
                            <w:color w:val="231F20"/>
                            <w:sz w:val="17"/>
                          </w:rPr>
                          <w:t>to</w:t>
                        </w:r>
                        <w:r>
                          <w:rPr>
                            <w:color w:val="231F20"/>
                            <w:spacing w:val="-2"/>
                            <w:sz w:val="17"/>
                          </w:rPr>
                          <w:t> endowments</w:t>
                        </w:r>
                      </w:p>
                    </w:tc>
                    <w:tc>
                      <w:tcPr>
                        <w:tcW w:w="1538" w:type="dxa"/>
                      </w:tcPr>
                      <w:p>
                        <w:pPr>
                          <w:pStyle w:val="TableParagraph"/>
                          <w:spacing w:line="191" w:lineRule="exact" w:before="10"/>
                          <w:ind w:right="89"/>
                          <w:jc w:val="right"/>
                          <w:rPr>
                            <w:sz w:val="17"/>
                          </w:rPr>
                        </w:pPr>
                        <w:r>
                          <w:rPr>
                            <w:color w:val="231F20"/>
                            <w:spacing w:val="-2"/>
                            <w:sz w:val="17"/>
                          </w:rPr>
                          <w:t>2,424,595</w:t>
                        </w:r>
                      </w:p>
                    </w:tc>
                    <w:tc>
                      <w:tcPr>
                        <w:tcW w:w="247" w:type="dxa"/>
                      </w:tcPr>
                      <w:p>
                        <w:pPr>
                          <w:pStyle w:val="TableParagraph"/>
                          <w:rPr>
                            <w:rFonts w:ascii="Times New Roman"/>
                            <w:sz w:val="14"/>
                          </w:rPr>
                        </w:pPr>
                      </w:p>
                    </w:tc>
                    <w:tc>
                      <w:tcPr>
                        <w:tcW w:w="1539" w:type="dxa"/>
                      </w:tcPr>
                      <w:p>
                        <w:pPr>
                          <w:pStyle w:val="TableParagraph"/>
                          <w:spacing w:line="191" w:lineRule="exact" w:before="10"/>
                          <w:ind w:right="87"/>
                          <w:jc w:val="right"/>
                          <w:rPr>
                            <w:sz w:val="17"/>
                          </w:rPr>
                        </w:pPr>
                        <w:r>
                          <w:rPr>
                            <w:color w:val="231F20"/>
                            <w:w w:val="100"/>
                            <w:sz w:val="17"/>
                          </w:rPr>
                          <w:t>-</w:t>
                        </w:r>
                      </w:p>
                    </w:tc>
                  </w:tr>
                  <w:tr>
                    <w:trPr>
                      <w:trHeight w:val="221" w:hRule="atLeast"/>
                    </w:trPr>
                    <w:tc>
                      <w:tcPr>
                        <w:tcW w:w="6021" w:type="dxa"/>
                      </w:tcPr>
                      <w:p>
                        <w:pPr>
                          <w:pStyle w:val="TableParagraph"/>
                          <w:spacing w:line="191" w:lineRule="exact" w:before="10"/>
                          <w:ind w:left="192"/>
                          <w:rPr>
                            <w:sz w:val="17"/>
                          </w:rPr>
                        </w:pPr>
                        <w:r>
                          <w:rPr>
                            <w:color w:val="231F20"/>
                            <w:sz w:val="17"/>
                          </w:rPr>
                          <w:t>Distributions</w:t>
                        </w:r>
                        <w:r>
                          <w:rPr>
                            <w:color w:val="231F20"/>
                            <w:spacing w:val="-4"/>
                            <w:sz w:val="17"/>
                          </w:rPr>
                          <w:t> </w:t>
                        </w:r>
                        <w:r>
                          <w:rPr>
                            <w:color w:val="231F20"/>
                            <w:sz w:val="17"/>
                          </w:rPr>
                          <w:t>received</w:t>
                        </w:r>
                        <w:r>
                          <w:rPr>
                            <w:color w:val="231F20"/>
                            <w:spacing w:val="-3"/>
                            <w:sz w:val="17"/>
                          </w:rPr>
                          <w:t> </w:t>
                        </w:r>
                        <w:r>
                          <w:rPr>
                            <w:color w:val="231F20"/>
                            <w:sz w:val="17"/>
                          </w:rPr>
                          <w:t>from</w:t>
                        </w:r>
                        <w:r>
                          <w:rPr>
                            <w:color w:val="231F20"/>
                            <w:spacing w:val="-4"/>
                            <w:sz w:val="17"/>
                          </w:rPr>
                          <w:t> </w:t>
                        </w:r>
                        <w:r>
                          <w:rPr>
                            <w:color w:val="231F20"/>
                            <w:sz w:val="17"/>
                          </w:rPr>
                          <w:t>land</w:t>
                        </w:r>
                        <w:r>
                          <w:rPr>
                            <w:color w:val="231F20"/>
                            <w:spacing w:val="-2"/>
                            <w:sz w:val="17"/>
                          </w:rPr>
                          <w:t> </w:t>
                        </w:r>
                        <w:r>
                          <w:rPr>
                            <w:color w:val="231F20"/>
                            <w:sz w:val="17"/>
                          </w:rPr>
                          <w:t>grant</w:t>
                        </w:r>
                        <w:r>
                          <w:rPr>
                            <w:color w:val="231F20"/>
                            <w:spacing w:val="-5"/>
                            <w:sz w:val="17"/>
                          </w:rPr>
                          <w:t> </w:t>
                        </w:r>
                        <w:r>
                          <w:rPr>
                            <w:color w:val="231F20"/>
                            <w:sz w:val="17"/>
                          </w:rPr>
                          <w:t>permanent</w:t>
                        </w:r>
                        <w:r>
                          <w:rPr>
                            <w:color w:val="231F20"/>
                            <w:spacing w:val="-4"/>
                            <w:sz w:val="17"/>
                          </w:rPr>
                          <w:t> fund</w:t>
                        </w:r>
                      </w:p>
                    </w:tc>
                    <w:tc>
                      <w:tcPr>
                        <w:tcW w:w="1538" w:type="dxa"/>
                      </w:tcPr>
                      <w:p>
                        <w:pPr>
                          <w:pStyle w:val="TableParagraph"/>
                          <w:spacing w:line="191" w:lineRule="exact" w:before="10"/>
                          <w:ind w:right="89"/>
                          <w:jc w:val="right"/>
                          <w:rPr>
                            <w:sz w:val="17"/>
                          </w:rPr>
                        </w:pPr>
                        <w:r>
                          <w:rPr>
                            <w:color w:val="231F20"/>
                            <w:spacing w:val="-2"/>
                            <w:sz w:val="17"/>
                          </w:rPr>
                          <w:t>3,377,550</w:t>
                        </w:r>
                      </w:p>
                    </w:tc>
                    <w:tc>
                      <w:tcPr>
                        <w:tcW w:w="247" w:type="dxa"/>
                      </w:tcPr>
                      <w:p>
                        <w:pPr>
                          <w:pStyle w:val="TableParagraph"/>
                          <w:rPr>
                            <w:rFonts w:ascii="Times New Roman"/>
                            <w:sz w:val="14"/>
                          </w:rPr>
                        </w:pPr>
                      </w:p>
                    </w:tc>
                    <w:tc>
                      <w:tcPr>
                        <w:tcW w:w="1539" w:type="dxa"/>
                      </w:tcPr>
                      <w:p>
                        <w:pPr>
                          <w:pStyle w:val="TableParagraph"/>
                          <w:spacing w:line="191" w:lineRule="exact" w:before="10"/>
                          <w:ind w:right="87"/>
                          <w:jc w:val="right"/>
                          <w:rPr>
                            <w:sz w:val="17"/>
                          </w:rPr>
                        </w:pPr>
                        <w:r>
                          <w:rPr>
                            <w:color w:val="231F20"/>
                            <w:w w:val="100"/>
                            <w:sz w:val="17"/>
                          </w:rPr>
                          <w:t>-</w:t>
                        </w:r>
                      </w:p>
                    </w:tc>
                  </w:tr>
                  <w:tr>
                    <w:trPr>
                      <w:trHeight w:val="221" w:hRule="atLeast"/>
                    </w:trPr>
                    <w:tc>
                      <w:tcPr>
                        <w:tcW w:w="6021" w:type="dxa"/>
                      </w:tcPr>
                      <w:p>
                        <w:pPr>
                          <w:pStyle w:val="TableParagraph"/>
                          <w:spacing w:line="191" w:lineRule="exact" w:before="10"/>
                          <w:ind w:left="192"/>
                          <w:rPr>
                            <w:sz w:val="17"/>
                          </w:rPr>
                        </w:pPr>
                        <w:r>
                          <w:rPr>
                            <w:color w:val="231F20"/>
                            <w:sz w:val="17"/>
                          </w:rPr>
                          <w:t>Cash</w:t>
                        </w:r>
                        <w:r>
                          <w:rPr>
                            <w:color w:val="231F20"/>
                            <w:spacing w:val="-2"/>
                            <w:sz w:val="17"/>
                          </w:rPr>
                          <w:t> </w:t>
                        </w:r>
                        <w:r>
                          <w:rPr>
                            <w:color w:val="231F20"/>
                            <w:sz w:val="17"/>
                          </w:rPr>
                          <w:t>paid</w:t>
                        </w:r>
                        <w:r>
                          <w:rPr>
                            <w:color w:val="231F20"/>
                            <w:spacing w:val="-2"/>
                            <w:sz w:val="17"/>
                          </w:rPr>
                          <w:t> </w:t>
                        </w:r>
                        <w:r>
                          <w:rPr>
                            <w:color w:val="231F20"/>
                            <w:sz w:val="17"/>
                          </w:rPr>
                          <w:t>for</w:t>
                        </w:r>
                        <w:r>
                          <w:rPr>
                            <w:color w:val="231F20"/>
                            <w:spacing w:val="-1"/>
                            <w:sz w:val="17"/>
                          </w:rPr>
                          <w:t> </w:t>
                        </w:r>
                        <w:r>
                          <w:rPr>
                            <w:color w:val="231F20"/>
                            <w:spacing w:val="-2"/>
                            <w:sz w:val="17"/>
                          </w:rPr>
                          <w:t>patents</w:t>
                        </w:r>
                      </w:p>
                    </w:tc>
                    <w:tc>
                      <w:tcPr>
                        <w:tcW w:w="1538" w:type="dxa"/>
                      </w:tcPr>
                      <w:p>
                        <w:pPr>
                          <w:pStyle w:val="TableParagraph"/>
                          <w:spacing w:line="191" w:lineRule="exact" w:before="10"/>
                          <w:ind w:right="31"/>
                          <w:jc w:val="right"/>
                          <w:rPr>
                            <w:sz w:val="17"/>
                          </w:rPr>
                        </w:pPr>
                        <w:r>
                          <w:rPr>
                            <w:color w:val="231F20"/>
                            <w:spacing w:val="-2"/>
                            <w:sz w:val="17"/>
                          </w:rPr>
                          <w:t>(227,232)</w:t>
                        </w:r>
                      </w:p>
                    </w:tc>
                    <w:tc>
                      <w:tcPr>
                        <w:tcW w:w="247" w:type="dxa"/>
                      </w:tcPr>
                      <w:p>
                        <w:pPr>
                          <w:pStyle w:val="TableParagraph"/>
                          <w:rPr>
                            <w:rFonts w:ascii="Times New Roman"/>
                            <w:sz w:val="14"/>
                          </w:rPr>
                        </w:pPr>
                      </w:p>
                    </w:tc>
                    <w:tc>
                      <w:tcPr>
                        <w:tcW w:w="1539" w:type="dxa"/>
                      </w:tcPr>
                      <w:p>
                        <w:pPr>
                          <w:pStyle w:val="TableParagraph"/>
                          <w:spacing w:line="191" w:lineRule="exact" w:before="10"/>
                          <w:ind w:right="87"/>
                          <w:jc w:val="right"/>
                          <w:rPr>
                            <w:sz w:val="17"/>
                          </w:rPr>
                        </w:pPr>
                        <w:r>
                          <w:rPr>
                            <w:color w:val="231F20"/>
                            <w:w w:val="100"/>
                            <w:sz w:val="17"/>
                          </w:rPr>
                          <w:t>-</w:t>
                        </w:r>
                      </w:p>
                    </w:tc>
                  </w:tr>
                  <w:tr>
                    <w:trPr>
                      <w:trHeight w:val="302" w:hRule="atLeast"/>
                    </w:trPr>
                    <w:tc>
                      <w:tcPr>
                        <w:tcW w:w="6021" w:type="dxa"/>
                      </w:tcPr>
                      <w:p>
                        <w:pPr>
                          <w:pStyle w:val="TableParagraph"/>
                          <w:spacing w:before="10"/>
                          <w:ind w:left="191"/>
                          <w:rPr>
                            <w:sz w:val="17"/>
                          </w:rPr>
                        </w:pPr>
                        <w:r>
                          <w:rPr>
                            <w:color w:val="231F20"/>
                            <w:sz w:val="17"/>
                          </w:rPr>
                          <w:t>Interest,</w:t>
                        </w:r>
                        <w:r>
                          <w:rPr>
                            <w:color w:val="231F20"/>
                            <w:spacing w:val="-4"/>
                            <w:sz w:val="17"/>
                          </w:rPr>
                          <w:t> </w:t>
                        </w:r>
                        <w:r>
                          <w:rPr>
                            <w:color w:val="231F20"/>
                            <w:sz w:val="17"/>
                          </w:rPr>
                          <w:t>dividend,</w:t>
                        </w:r>
                        <w:r>
                          <w:rPr>
                            <w:color w:val="231F20"/>
                            <w:spacing w:val="-4"/>
                            <w:sz w:val="17"/>
                          </w:rPr>
                          <w:t> </w:t>
                        </w:r>
                        <w:r>
                          <w:rPr>
                            <w:color w:val="231F20"/>
                            <w:sz w:val="17"/>
                          </w:rPr>
                          <w:t>and</w:t>
                        </w:r>
                        <w:r>
                          <w:rPr>
                            <w:color w:val="231F20"/>
                            <w:spacing w:val="-4"/>
                            <w:sz w:val="17"/>
                          </w:rPr>
                          <w:t> </w:t>
                        </w:r>
                        <w:r>
                          <w:rPr>
                            <w:color w:val="231F20"/>
                            <w:sz w:val="17"/>
                          </w:rPr>
                          <w:t>realized</w:t>
                        </w:r>
                        <w:r>
                          <w:rPr>
                            <w:color w:val="231F20"/>
                            <w:spacing w:val="-3"/>
                            <w:sz w:val="17"/>
                          </w:rPr>
                          <w:t> </w:t>
                        </w:r>
                        <w:r>
                          <w:rPr>
                            <w:color w:val="231F20"/>
                            <w:sz w:val="17"/>
                          </w:rPr>
                          <w:t>investment</w:t>
                        </w:r>
                        <w:r>
                          <w:rPr>
                            <w:color w:val="231F20"/>
                            <w:spacing w:val="-4"/>
                            <w:sz w:val="17"/>
                          </w:rPr>
                          <w:t> </w:t>
                        </w:r>
                        <w:r>
                          <w:rPr>
                            <w:color w:val="231F20"/>
                            <w:spacing w:val="-2"/>
                            <w:sz w:val="17"/>
                          </w:rPr>
                          <w:t>income</w:t>
                        </w:r>
                      </w:p>
                    </w:tc>
                    <w:tc>
                      <w:tcPr>
                        <w:tcW w:w="1538" w:type="dxa"/>
                      </w:tcPr>
                      <w:p>
                        <w:pPr>
                          <w:pStyle w:val="TableParagraph"/>
                          <w:tabs>
                            <w:tab w:pos="684" w:val="left" w:leader="none"/>
                          </w:tabs>
                          <w:spacing w:before="10"/>
                          <w:ind w:right="-15"/>
                          <w:jc w:val="right"/>
                          <w:rPr>
                            <w:sz w:val="17"/>
                          </w:rPr>
                        </w:pPr>
                        <w:r>
                          <w:rPr>
                            <w:color w:val="231F20"/>
                            <w:sz w:val="17"/>
                            <w:u w:val="single" w:color="231F20"/>
                          </w:rPr>
                          <w:tab/>
                        </w:r>
                        <w:r>
                          <w:rPr>
                            <w:color w:val="231F20"/>
                            <w:spacing w:val="-2"/>
                            <w:sz w:val="17"/>
                            <w:u w:val="single" w:color="231F20"/>
                          </w:rPr>
                          <w:t>1,589,184</w:t>
                        </w:r>
                        <w:r>
                          <w:rPr>
                            <w:color w:val="231F20"/>
                            <w:spacing w:val="80"/>
                            <w:sz w:val="17"/>
                            <w:u w:val="single" w:color="231F20"/>
                          </w:rPr>
                          <w:t> </w:t>
                        </w:r>
                      </w:p>
                    </w:tc>
                    <w:tc>
                      <w:tcPr>
                        <w:tcW w:w="247" w:type="dxa"/>
                      </w:tcPr>
                      <w:p>
                        <w:pPr>
                          <w:pStyle w:val="TableParagraph"/>
                          <w:rPr>
                            <w:rFonts w:ascii="Times New Roman"/>
                            <w:sz w:val="16"/>
                          </w:rPr>
                        </w:pPr>
                      </w:p>
                    </w:tc>
                    <w:tc>
                      <w:tcPr>
                        <w:tcW w:w="1539" w:type="dxa"/>
                      </w:tcPr>
                      <w:p>
                        <w:pPr>
                          <w:pStyle w:val="TableParagraph"/>
                          <w:tabs>
                            <w:tab w:pos="924" w:val="left" w:leader="none"/>
                          </w:tabs>
                          <w:spacing w:before="10"/>
                          <w:ind w:right="-15"/>
                          <w:jc w:val="right"/>
                          <w:rPr>
                            <w:sz w:val="17"/>
                          </w:rPr>
                        </w:pPr>
                        <w:r>
                          <w:rPr>
                            <w:color w:val="231F20"/>
                            <w:sz w:val="17"/>
                            <w:u w:val="single" w:color="231F20"/>
                          </w:rPr>
                          <w:tab/>
                        </w:r>
                        <w:r>
                          <w:rPr>
                            <w:color w:val="231F20"/>
                            <w:spacing w:val="-2"/>
                            <w:sz w:val="17"/>
                            <w:u w:val="single" w:color="231F20"/>
                          </w:rPr>
                          <w:t>78,658</w:t>
                        </w:r>
                        <w:r>
                          <w:rPr>
                            <w:color w:val="231F20"/>
                            <w:spacing w:val="80"/>
                            <w:sz w:val="17"/>
                            <w:u w:val="single" w:color="231F20"/>
                          </w:rPr>
                          <w:t> </w:t>
                        </w:r>
                      </w:p>
                    </w:tc>
                  </w:tr>
                  <w:tr>
                    <w:trPr>
                      <w:trHeight w:val="296" w:hRule="atLeast"/>
                    </w:trPr>
                    <w:tc>
                      <w:tcPr>
                        <w:tcW w:w="6021" w:type="dxa"/>
                      </w:tcPr>
                      <w:p>
                        <w:pPr>
                          <w:pStyle w:val="TableParagraph"/>
                          <w:spacing w:line="184" w:lineRule="exact" w:before="92"/>
                          <w:ind w:left="427"/>
                          <w:rPr>
                            <w:sz w:val="17"/>
                          </w:rPr>
                        </w:pPr>
                        <w:r>
                          <w:rPr>
                            <w:color w:val="231F20"/>
                            <w:sz w:val="17"/>
                          </w:rPr>
                          <w:t>Net</w:t>
                        </w:r>
                        <w:r>
                          <w:rPr>
                            <w:color w:val="231F20"/>
                            <w:spacing w:val="-3"/>
                            <w:sz w:val="17"/>
                          </w:rPr>
                          <w:t> </w:t>
                        </w:r>
                        <w:r>
                          <w:rPr>
                            <w:color w:val="231F20"/>
                            <w:sz w:val="17"/>
                          </w:rPr>
                          <w:t>cash</w:t>
                        </w:r>
                        <w:r>
                          <w:rPr>
                            <w:color w:val="231F20"/>
                            <w:spacing w:val="-2"/>
                            <w:sz w:val="17"/>
                          </w:rPr>
                          <w:t> </w:t>
                        </w:r>
                        <w:r>
                          <w:rPr>
                            <w:color w:val="231F20"/>
                            <w:sz w:val="17"/>
                          </w:rPr>
                          <w:t>provided</w:t>
                        </w:r>
                        <w:r>
                          <w:rPr>
                            <w:color w:val="231F20"/>
                            <w:spacing w:val="-2"/>
                            <w:sz w:val="17"/>
                          </w:rPr>
                          <w:t> </w:t>
                        </w:r>
                        <w:r>
                          <w:rPr>
                            <w:color w:val="231F20"/>
                            <w:sz w:val="17"/>
                          </w:rPr>
                          <w:t>by</w:t>
                        </w:r>
                        <w:r>
                          <w:rPr>
                            <w:color w:val="231F20"/>
                            <w:spacing w:val="-4"/>
                            <w:sz w:val="17"/>
                          </w:rPr>
                          <w:t> </w:t>
                        </w:r>
                        <w:r>
                          <w:rPr>
                            <w:color w:val="231F20"/>
                            <w:sz w:val="17"/>
                          </w:rPr>
                          <w:t>investing</w:t>
                        </w:r>
                        <w:r>
                          <w:rPr>
                            <w:color w:val="231F20"/>
                            <w:spacing w:val="-2"/>
                            <w:sz w:val="17"/>
                          </w:rPr>
                          <w:t> activities</w:t>
                        </w:r>
                      </w:p>
                    </w:tc>
                    <w:tc>
                      <w:tcPr>
                        <w:tcW w:w="1538" w:type="dxa"/>
                        <w:tcBorders>
                          <w:bottom w:val="single" w:sz="12" w:space="0" w:color="231F20"/>
                        </w:tcBorders>
                      </w:tcPr>
                      <w:p>
                        <w:pPr>
                          <w:pStyle w:val="TableParagraph"/>
                          <w:spacing w:line="184" w:lineRule="exact" w:before="92"/>
                          <w:ind w:right="90"/>
                          <w:jc w:val="right"/>
                          <w:rPr>
                            <w:sz w:val="17"/>
                          </w:rPr>
                        </w:pPr>
                        <w:r>
                          <w:rPr>
                            <w:color w:val="231F20"/>
                            <w:spacing w:val="-2"/>
                            <w:sz w:val="17"/>
                          </w:rPr>
                          <w:t>6,966,335</w:t>
                        </w:r>
                      </w:p>
                    </w:tc>
                    <w:tc>
                      <w:tcPr>
                        <w:tcW w:w="247" w:type="dxa"/>
                      </w:tcPr>
                      <w:p>
                        <w:pPr>
                          <w:pStyle w:val="TableParagraph"/>
                          <w:rPr>
                            <w:rFonts w:ascii="Times New Roman"/>
                            <w:sz w:val="16"/>
                          </w:rPr>
                        </w:pPr>
                      </w:p>
                    </w:tc>
                    <w:tc>
                      <w:tcPr>
                        <w:tcW w:w="1539" w:type="dxa"/>
                        <w:tcBorders>
                          <w:bottom w:val="single" w:sz="12" w:space="0" w:color="231F20"/>
                        </w:tcBorders>
                      </w:tcPr>
                      <w:p>
                        <w:pPr>
                          <w:pStyle w:val="TableParagraph"/>
                          <w:spacing w:line="184" w:lineRule="exact" w:before="92"/>
                          <w:ind w:right="87"/>
                          <w:jc w:val="right"/>
                          <w:rPr>
                            <w:sz w:val="17"/>
                          </w:rPr>
                        </w:pPr>
                        <w:r>
                          <w:rPr>
                            <w:color w:val="231F20"/>
                            <w:spacing w:val="-2"/>
                            <w:sz w:val="17"/>
                          </w:rPr>
                          <w:t>1,322,085</w:t>
                        </w:r>
                      </w:p>
                    </w:tc>
                  </w:tr>
                  <w:tr>
                    <w:trPr>
                      <w:trHeight w:val="498" w:hRule="atLeast"/>
                    </w:trPr>
                    <w:tc>
                      <w:tcPr>
                        <w:tcW w:w="6021" w:type="dxa"/>
                      </w:tcPr>
                      <w:p>
                        <w:pPr>
                          <w:pStyle w:val="TableParagraph"/>
                          <w:spacing w:before="6"/>
                          <w:rPr>
                            <w:sz w:val="16"/>
                          </w:rPr>
                        </w:pPr>
                      </w:p>
                      <w:p>
                        <w:pPr>
                          <w:pStyle w:val="TableParagraph"/>
                          <w:spacing w:before="1"/>
                          <w:ind w:left="50"/>
                          <w:rPr>
                            <w:sz w:val="17"/>
                          </w:rPr>
                        </w:pPr>
                        <w:r>
                          <w:rPr>
                            <w:color w:val="231F20"/>
                            <w:sz w:val="17"/>
                          </w:rPr>
                          <w:t>NET</w:t>
                        </w:r>
                        <w:r>
                          <w:rPr>
                            <w:color w:val="231F20"/>
                            <w:spacing w:val="-2"/>
                            <w:sz w:val="17"/>
                          </w:rPr>
                          <w:t> </w:t>
                        </w:r>
                        <w:r>
                          <w:rPr>
                            <w:color w:val="231F20"/>
                            <w:sz w:val="17"/>
                          </w:rPr>
                          <w:t>INCREASE</w:t>
                        </w:r>
                        <w:r>
                          <w:rPr>
                            <w:color w:val="231F20"/>
                            <w:spacing w:val="-1"/>
                            <w:sz w:val="17"/>
                          </w:rPr>
                          <w:t> </w:t>
                        </w:r>
                        <w:r>
                          <w:rPr>
                            <w:color w:val="231F20"/>
                            <w:sz w:val="17"/>
                          </w:rPr>
                          <w:t>in</w:t>
                        </w:r>
                        <w:r>
                          <w:rPr>
                            <w:color w:val="231F20"/>
                            <w:spacing w:val="-2"/>
                            <w:sz w:val="17"/>
                          </w:rPr>
                          <w:t> </w:t>
                        </w:r>
                        <w:r>
                          <w:rPr>
                            <w:color w:val="231F20"/>
                            <w:sz w:val="17"/>
                          </w:rPr>
                          <w:t>cash</w:t>
                        </w:r>
                        <w:r>
                          <w:rPr>
                            <w:color w:val="231F20"/>
                            <w:spacing w:val="-1"/>
                            <w:sz w:val="17"/>
                          </w:rPr>
                          <w:t> </w:t>
                        </w:r>
                        <w:r>
                          <w:rPr>
                            <w:color w:val="231F20"/>
                            <w:sz w:val="17"/>
                          </w:rPr>
                          <w:t>and</w:t>
                        </w:r>
                        <w:r>
                          <w:rPr>
                            <w:color w:val="231F20"/>
                            <w:spacing w:val="-2"/>
                            <w:sz w:val="17"/>
                          </w:rPr>
                          <w:t> </w:t>
                        </w:r>
                        <w:r>
                          <w:rPr>
                            <w:color w:val="231F20"/>
                            <w:sz w:val="17"/>
                          </w:rPr>
                          <w:t>cash</w:t>
                        </w:r>
                        <w:r>
                          <w:rPr>
                            <w:color w:val="231F20"/>
                            <w:spacing w:val="-1"/>
                            <w:sz w:val="17"/>
                          </w:rPr>
                          <w:t> </w:t>
                        </w:r>
                        <w:r>
                          <w:rPr>
                            <w:color w:val="231F20"/>
                            <w:spacing w:val="-2"/>
                            <w:sz w:val="17"/>
                          </w:rPr>
                          <w:t>equivalents</w:t>
                        </w:r>
                      </w:p>
                    </w:tc>
                    <w:tc>
                      <w:tcPr>
                        <w:tcW w:w="1538" w:type="dxa"/>
                        <w:tcBorders>
                          <w:top w:val="single" w:sz="12" w:space="0" w:color="231F20"/>
                        </w:tcBorders>
                      </w:tcPr>
                      <w:p>
                        <w:pPr>
                          <w:pStyle w:val="TableParagraph"/>
                          <w:spacing w:before="6"/>
                          <w:rPr>
                            <w:sz w:val="16"/>
                          </w:rPr>
                        </w:pPr>
                      </w:p>
                      <w:p>
                        <w:pPr>
                          <w:pStyle w:val="TableParagraph"/>
                          <w:spacing w:before="1"/>
                          <w:ind w:right="89"/>
                          <w:jc w:val="right"/>
                          <w:rPr>
                            <w:sz w:val="17"/>
                          </w:rPr>
                        </w:pPr>
                        <w:r>
                          <w:rPr>
                            <w:color w:val="231F20"/>
                            <w:spacing w:val="-2"/>
                            <w:sz w:val="17"/>
                          </w:rPr>
                          <w:t>1,706,389</w:t>
                        </w:r>
                      </w:p>
                    </w:tc>
                    <w:tc>
                      <w:tcPr>
                        <w:tcW w:w="247" w:type="dxa"/>
                      </w:tcPr>
                      <w:p>
                        <w:pPr>
                          <w:pStyle w:val="TableParagraph"/>
                          <w:rPr>
                            <w:rFonts w:ascii="Times New Roman"/>
                            <w:sz w:val="16"/>
                          </w:rPr>
                        </w:pPr>
                      </w:p>
                    </w:tc>
                    <w:tc>
                      <w:tcPr>
                        <w:tcW w:w="1539" w:type="dxa"/>
                        <w:tcBorders>
                          <w:top w:val="single" w:sz="12" w:space="0" w:color="231F20"/>
                        </w:tcBorders>
                      </w:tcPr>
                      <w:p>
                        <w:pPr>
                          <w:pStyle w:val="TableParagraph"/>
                          <w:spacing w:before="6"/>
                          <w:rPr>
                            <w:sz w:val="16"/>
                          </w:rPr>
                        </w:pPr>
                      </w:p>
                      <w:p>
                        <w:pPr>
                          <w:pStyle w:val="TableParagraph"/>
                          <w:spacing w:before="1"/>
                          <w:ind w:right="87"/>
                          <w:jc w:val="right"/>
                          <w:rPr>
                            <w:sz w:val="17"/>
                          </w:rPr>
                        </w:pPr>
                        <w:r>
                          <w:rPr>
                            <w:color w:val="231F20"/>
                            <w:spacing w:val="-2"/>
                            <w:sz w:val="17"/>
                          </w:rPr>
                          <w:t>1,313,506</w:t>
                        </w:r>
                      </w:p>
                    </w:tc>
                  </w:tr>
                  <w:tr>
                    <w:trPr>
                      <w:trHeight w:val="419" w:hRule="atLeast"/>
                    </w:trPr>
                    <w:tc>
                      <w:tcPr>
                        <w:tcW w:w="6021" w:type="dxa"/>
                      </w:tcPr>
                      <w:p>
                        <w:pPr>
                          <w:pStyle w:val="TableParagraph"/>
                          <w:spacing w:before="107"/>
                          <w:ind w:left="50"/>
                          <w:rPr>
                            <w:sz w:val="17"/>
                          </w:rPr>
                        </w:pPr>
                        <w:r>
                          <w:rPr>
                            <w:color w:val="231F20"/>
                            <w:sz w:val="17"/>
                          </w:rPr>
                          <w:t>CASH</w:t>
                        </w:r>
                        <w:r>
                          <w:rPr>
                            <w:color w:val="231F20"/>
                            <w:spacing w:val="-2"/>
                            <w:sz w:val="17"/>
                          </w:rPr>
                          <w:t> </w:t>
                        </w:r>
                        <w:r>
                          <w:rPr>
                            <w:color w:val="231F20"/>
                            <w:sz w:val="17"/>
                          </w:rPr>
                          <w:t>AND</w:t>
                        </w:r>
                        <w:r>
                          <w:rPr>
                            <w:color w:val="231F20"/>
                            <w:spacing w:val="-1"/>
                            <w:sz w:val="17"/>
                          </w:rPr>
                          <w:t> </w:t>
                        </w:r>
                        <w:r>
                          <w:rPr>
                            <w:color w:val="231F20"/>
                            <w:sz w:val="17"/>
                          </w:rPr>
                          <w:t>CASH</w:t>
                        </w:r>
                        <w:r>
                          <w:rPr>
                            <w:color w:val="231F20"/>
                            <w:spacing w:val="-2"/>
                            <w:sz w:val="17"/>
                          </w:rPr>
                          <w:t> </w:t>
                        </w:r>
                        <w:r>
                          <w:rPr>
                            <w:color w:val="231F20"/>
                            <w:sz w:val="17"/>
                          </w:rPr>
                          <w:t>EQUIVALENTS,</w:t>
                        </w:r>
                        <w:r>
                          <w:rPr>
                            <w:color w:val="231F20"/>
                            <w:spacing w:val="-1"/>
                            <w:sz w:val="17"/>
                          </w:rPr>
                          <w:t> </w:t>
                        </w:r>
                        <w:r>
                          <w:rPr>
                            <w:color w:val="231F20"/>
                            <w:sz w:val="17"/>
                          </w:rPr>
                          <w:t>beginning</w:t>
                        </w:r>
                        <w:r>
                          <w:rPr>
                            <w:color w:val="231F20"/>
                            <w:spacing w:val="-1"/>
                            <w:sz w:val="17"/>
                          </w:rPr>
                          <w:t> </w:t>
                        </w:r>
                        <w:r>
                          <w:rPr>
                            <w:color w:val="231F20"/>
                            <w:sz w:val="17"/>
                          </w:rPr>
                          <w:t>of</w:t>
                        </w:r>
                        <w:r>
                          <w:rPr>
                            <w:color w:val="231F20"/>
                            <w:spacing w:val="-3"/>
                            <w:sz w:val="17"/>
                          </w:rPr>
                          <w:t> </w:t>
                        </w:r>
                        <w:r>
                          <w:rPr>
                            <w:color w:val="231F20"/>
                            <w:spacing w:val="-4"/>
                            <w:sz w:val="17"/>
                          </w:rPr>
                          <w:t>year</w:t>
                        </w:r>
                      </w:p>
                    </w:tc>
                    <w:tc>
                      <w:tcPr>
                        <w:tcW w:w="1538" w:type="dxa"/>
                      </w:tcPr>
                      <w:p>
                        <w:pPr>
                          <w:pStyle w:val="TableParagraph"/>
                          <w:tabs>
                            <w:tab w:pos="588" w:val="left" w:leader="none"/>
                          </w:tabs>
                          <w:spacing w:before="107"/>
                          <w:ind w:right="-15"/>
                          <w:jc w:val="right"/>
                          <w:rPr>
                            <w:sz w:val="17"/>
                          </w:rPr>
                        </w:pPr>
                        <w:r>
                          <w:rPr>
                            <w:color w:val="231F20"/>
                            <w:sz w:val="17"/>
                            <w:u w:val="thick" w:color="231F20"/>
                          </w:rPr>
                          <w:tab/>
                        </w:r>
                        <w:r>
                          <w:rPr>
                            <w:color w:val="231F20"/>
                            <w:spacing w:val="-2"/>
                            <w:sz w:val="17"/>
                            <w:u w:val="thick" w:color="231F20"/>
                          </w:rPr>
                          <w:t>34,641,831</w:t>
                        </w:r>
                        <w:r>
                          <w:rPr>
                            <w:color w:val="231F20"/>
                            <w:spacing w:val="80"/>
                            <w:sz w:val="17"/>
                            <w:u w:val="thick" w:color="231F20"/>
                          </w:rPr>
                          <w:t> </w:t>
                        </w:r>
                      </w:p>
                    </w:tc>
                    <w:tc>
                      <w:tcPr>
                        <w:tcW w:w="247" w:type="dxa"/>
                      </w:tcPr>
                      <w:p>
                        <w:pPr>
                          <w:pStyle w:val="TableParagraph"/>
                          <w:rPr>
                            <w:rFonts w:ascii="Times New Roman"/>
                            <w:sz w:val="16"/>
                          </w:rPr>
                        </w:pPr>
                      </w:p>
                    </w:tc>
                    <w:tc>
                      <w:tcPr>
                        <w:tcW w:w="1539" w:type="dxa"/>
                      </w:tcPr>
                      <w:p>
                        <w:pPr>
                          <w:pStyle w:val="TableParagraph"/>
                          <w:tabs>
                            <w:tab w:pos="828" w:val="left" w:leader="none"/>
                          </w:tabs>
                          <w:spacing w:before="107"/>
                          <w:ind w:right="-15"/>
                          <w:jc w:val="right"/>
                          <w:rPr>
                            <w:sz w:val="17"/>
                          </w:rPr>
                        </w:pPr>
                        <w:r>
                          <w:rPr>
                            <w:color w:val="231F20"/>
                            <w:sz w:val="17"/>
                            <w:u w:val="thick" w:color="231F20"/>
                          </w:rPr>
                          <w:tab/>
                        </w:r>
                        <w:r>
                          <w:rPr>
                            <w:color w:val="231F20"/>
                            <w:spacing w:val="-2"/>
                            <w:sz w:val="17"/>
                            <w:u w:val="thick" w:color="231F20"/>
                          </w:rPr>
                          <w:t>441,535</w:t>
                        </w:r>
                        <w:r>
                          <w:rPr>
                            <w:color w:val="231F20"/>
                            <w:spacing w:val="80"/>
                            <w:sz w:val="17"/>
                            <w:u w:val="thick" w:color="231F20"/>
                          </w:rPr>
                          <w:t> </w:t>
                        </w:r>
                      </w:p>
                    </w:tc>
                  </w:tr>
                  <w:tr>
                    <w:trPr>
                      <w:trHeight w:val="338" w:hRule="atLeast"/>
                    </w:trPr>
                    <w:tc>
                      <w:tcPr>
                        <w:tcW w:w="6021" w:type="dxa"/>
                      </w:tcPr>
                      <w:p>
                        <w:pPr>
                          <w:pStyle w:val="TableParagraph"/>
                          <w:spacing w:before="111"/>
                          <w:ind w:left="50"/>
                          <w:rPr>
                            <w:sz w:val="17"/>
                          </w:rPr>
                        </w:pPr>
                        <w:r>
                          <w:rPr>
                            <w:color w:val="231F20"/>
                            <w:sz w:val="17"/>
                          </w:rPr>
                          <w:t>CASH</w:t>
                        </w:r>
                        <w:r>
                          <w:rPr>
                            <w:color w:val="231F20"/>
                            <w:spacing w:val="-2"/>
                            <w:sz w:val="17"/>
                          </w:rPr>
                          <w:t> </w:t>
                        </w:r>
                        <w:r>
                          <w:rPr>
                            <w:color w:val="231F20"/>
                            <w:sz w:val="17"/>
                          </w:rPr>
                          <w:t>AND</w:t>
                        </w:r>
                        <w:r>
                          <w:rPr>
                            <w:color w:val="231F20"/>
                            <w:spacing w:val="-1"/>
                            <w:sz w:val="17"/>
                          </w:rPr>
                          <w:t> </w:t>
                        </w:r>
                        <w:r>
                          <w:rPr>
                            <w:color w:val="231F20"/>
                            <w:sz w:val="17"/>
                          </w:rPr>
                          <w:t>CASH</w:t>
                        </w:r>
                        <w:r>
                          <w:rPr>
                            <w:color w:val="231F20"/>
                            <w:spacing w:val="-2"/>
                            <w:sz w:val="17"/>
                          </w:rPr>
                          <w:t> </w:t>
                        </w:r>
                        <w:r>
                          <w:rPr>
                            <w:color w:val="231F20"/>
                            <w:sz w:val="17"/>
                          </w:rPr>
                          <w:t>EQUIVALENTS,</w:t>
                        </w:r>
                        <w:r>
                          <w:rPr>
                            <w:color w:val="231F20"/>
                            <w:spacing w:val="-1"/>
                            <w:sz w:val="17"/>
                          </w:rPr>
                          <w:t> </w:t>
                        </w:r>
                        <w:r>
                          <w:rPr>
                            <w:color w:val="231F20"/>
                            <w:sz w:val="17"/>
                          </w:rPr>
                          <w:t>end</w:t>
                        </w:r>
                        <w:r>
                          <w:rPr>
                            <w:color w:val="231F20"/>
                            <w:spacing w:val="-2"/>
                            <w:sz w:val="17"/>
                          </w:rPr>
                          <w:t> </w:t>
                        </w:r>
                        <w:r>
                          <w:rPr>
                            <w:color w:val="231F20"/>
                            <w:sz w:val="17"/>
                          </w:rPr>
                          <w:t>of</w:t>
                        </w:r>
                        <w:r>
                          <w:rPr>
                            <w:color w:val="231F20"/>
                            <w:spacing w:val="-1"/>
                            <w:sz w:val="17"/>
                          </w:rPr>
                          <w:t> </w:t>
                        </w:r>
                        <w:r>
                          <w:rPr>
                            <w:color w:val="231F20"/>
                            <w:spacing w:val="-4"/>
                            <w:sz w:val="17"/>
                          </w:rPr>
                          <w:t>year</w:t>
                        </w:r>
                      </w:p>
                    </w:tc>
                    <w:tc>
                      <w:tcPr>
                        <w:tcW w:w="1538" w:type="dxa"/>
                        <w:tcBorders>
                          <w:bottom w:val="single" w:sz="8" w:space="0" w:color="231F20"/>
                        </w:tcBorders>
                      </w:tcPr>
                      <w:p>
                        <w:pPr>
                          <w:pStyle w:val="TableParagraph"/>
                          <w:tabs>
                            <w:tab w:pos="588" w:val="left" w:leader="none"/>
                          </w:tabs>
                          <w:spacing w:before="111"/>
                          <w:ind w:right="-15"/>
                          <w:jc w:val="right"/>
                          <w:rPr>
                            <w:sz w:val="17"/>
                          </w:rPr>
                        </w:pPr>
                        <w:r>
                          <w:rPr>
                            <w:color w:val="231F20"/>
                            <w:spacing w:val="43"/>
                            <w:sz w:val="17"/>
                            <w:u w:val="single" w:color="231F20"/>
                          </w:rPr>
                          <w:t> </w:t>
                        </w:r>
                        <w:r>
                          <w:rPr>
                            <w:color w:val="231F20"/>
                            <w:spacing w:val="-10"/>
                            <w:sz w:val="17"/>
                            <w:u w:val="single" w:color="231F20"/>
                          </w:rPr>
                          <w:t>$</w:t>
                        </w:r>
                        <w:r>
                          <w:rPr>
                            <w:color w:val="231F20"/>
                            <w:sz w:val="17"/>
                            <w:u w:val="single" w:color="231F20"/>
                          </w:rPr>
                          <w:tab/>
                        </w:r>
                        <w:r>
                          <w:rPr>
                            <w:color w:val="231F20"/>
                            <w:spacing w:val="-2"/>
                            <w:sz w:val="17"/>
                            <w:u w:val="single" w:color="231F20"/>
                          </w:rPr>
                          <w:t>36,348,220</w:t>
                        </w:r>
                        <w:r>
                          <w:rPr>
                            <w:color w:val="231F20"/>
                            <w:spacing w:val="80"/>
                            <w:sz w:val="17"/>
                            <w:u w:val="single" w:color="231F20"/>
                          </w:rPr>
                          <w:t> </w:t>
                        </w:r>
                      </w:p>
                    </w:tc>
                    <w:tc>
                      <w:tcPr>
                        <w:tcW w:w="247" w:type="dxa"/>
                      </w:tcPr>
                      <w:p>
                        <w:pPr>
                          <w:pStyle w:val="TableParagraph"/>
                          <w:rPr>
                            <w:rFonts w:ascii="Times New Roman"/>
                            <w:sz w:val="16"/>
                          </w:rPr>
                        </w:pPr>
                      </w:p>
                    </w:tc>
                    <w:tc>
                      <w:tcPr>
                        <w:tcW w:w="1539" w:type="dxa"/>
                        <w:tcBorders>
                          <w:bottom w:val="single" w:sz="8" w:space="0" w:color="231F20"/>
                        </w:tcBorders>
                      </w:tcPr>
                      <w:p>
                        <w:pPr>
                          <w:pStyle w:val="TableParagraph"/>
                          <w:tabs>
                            <w:tab w:pos="684" w:val="left" w:leader="none"/>
                          </w:tabs>
                          <w:spacing w:before="111"/>
                          <w:ind w:right="-15"/>
                          <w:jc w:val="right"/>
                          <w:rPr>
                            <w:sz w:val="17"/>
                          </w:rPr>
                        </w:pPr>
                        <w:r>
                          <w:rPr>
                            <w:color w:val="231F20"/>
                            <w:spacing w:val="42"/>
                            <w:sz w:val="17"/>
                            <w:u w:val="single" w:color="231F20"/>
                          </w:rPr>
                          <w:t> </w:t>
                        </w:r>
                        <w:r>
                          <w:rPr>
                            <w:color w:val="231F20"/>
                            <w:spacing w:val="-10"/>
                            <w:sz w:val="17"/>
                            <w:u w:val="single" w:color="231F20"/>
                          </w:rPr>
                          <w:t>$</w:t>
                        </w:r>
                        <w:r>
                          <w:rPr>
                            <w:color w:val="231F20"/>
                            <w:sz w:val="17"/>
                            <w:u w:val="single" w:color="231F20"/>
                          </w:rPr>
                          <w:tab/>
                        </w:r>
                        <w:r>
                          <w:rPr>
                            <w:color w:val="231F20"/>
                            <w:spacing w:val="-2"/>
                            <w:sz w:val="17"/>
                            <w:u w:val="single" w:color="231F20"/>
                          </w:rPr>
                          <w:t>1,755,041</w:t>
                        </w:r>
                        <w:r>
                          <w:rPr>
                            <w:color w:val="231F20"/>
                            <w:spacing w:val="80"/>
                            <w:sz w:val="17"/>
                            <w:u w:val="single" w:color="231F20"/>
                          </w:rPr>
                          <w:t> </w:t>
                        </w:r>
                      </w:p>
                    </w:tc>
                  </w:tr>
                  <w:tr>
                    <w:trPr>
                      <w:trHeight w:val="361" w:hRule="atLeast"/>
                    </w:trPr>
                    <w:tc>
                      <w:tcPr>
                        <w:tcW w:w="6021" w:type="dxa"/>
                      </w:tcPr>
                      <w:p>
                        <w:pPr>
                          <w:pStyle w:val="TableParagraph"/>
                          <w:spacing w:before="145"/>
                          <w:ind w:left="50"/>
                          <w:rPr>
                            <w:sz w:val="17"/>
                          </w:rPr>
                        </w:pPr>
                        <w:r>
                          <w:rPr>
                            <w:color w:val="231F20"/>
                            <w:sz w:val="17"/>
                          </w:rPr>
                          <w:t>CASH</w:t>
                        </w:r>
                        <w:r>
                          <w:rPr>
                            <w:color w:val="231F20"/>
                            <w:spacing w:val="-1"/>
                            <w:sz w:val="17"/>
                          </w:rPr>
                          <w:t> </w:t>
                        </w:r>
                        <w:r>
                          <w:rPr>
                            <w:color w:val="231F20"/>
                            <w:sz w:val="17"/>
                          </w:rPr>
                          <w:t>AND</w:t>
                        </w:r>
                        <w:r>
                          <w:rPr>
                            <w:color w:val="231F20"/>
                            <w:spacing w:val="-1"/>
                            <w:sz w:val="17"/>
                          </w:rPr>
                          <w:t> </w:t>
                        </w:r>
                        <w:r>
                          <w:rPr>
                            <w:color w:val="231F20"/>
                            <w:sz w:val="17"/>
                          </w:rPr>
                          <w:t>CASH</w:t>
                        </w:r>
                        <w:r>
                          <w:rPr>
                            <w:color w:val="231F20"/>
                            <w:spacing w:val="-1"/>
                            <w:sz w:val="17"/>
                          </w:rPr>
                          <w:t> </w:t>
                        </w:r>
                        <w:r>
                          <w:rPr>
                            <w:color w:val="231F20"/>
                            <w:spacing w:val="-2"/>
                            <w:sz w:val="17"/>
                          </w:rPr>
                          <w:t>EQUIVALENTS</w:t>
                        </w:r>
                      </w:p>
                    </w:tc>
                    <w:tc>
                      <w:tcPr>
                        <w:tcW w:w="1538" w:type="dxa"/>
                        <w:tcBorders>
                          <w:top w:val="single" w:sz="8" w:space="0" w:color="231F20"/>
                        </w:tcBorders>
                      </w:tcPr>
                      <w:p>
                        <w:pPr>
                          <w:pStyle w:val="TableParagraph"/>
                          <w:rPr>
                            <w:rFonts w:ascii="Times New Roman"/>
                            <w:sz w:val="16"/>
                          </w:rPr>
                        </w:pPr>
                      </w:p>
                    </w:tc>
                    <w:tc>
                      <w:tcPr>
                        <w:tcW w:w="247" w:type="dxa"/>
                      </w:tcPr>
                      <w:p>
                        <w:pPr>
                          <w:pStyle w:val="TableParagraph"/>
                          <w:rPr>
                            <w:rFonts w:ascii="Times New Roman"/>
                            <w:sz w:val="16"/>
                          </w:rPr>
                        </w:pPr>
                      </w:p>
                    </w:tc>
                    <w:tc>
                      <w:tcPr>
                        <w:tcW w:w="1539" w:type="dxa"/>
                        <w:tcBorders>
                          <w:top w:val="single" w:sz="8" w:space="0" w:color="231F20"/>
                        </w:tcBorders>
                      </w:tcPr>
                      <w:p>
                        <w:pPr>
                          <w:pStyle w:val="TableParagraph"/>
                          <w:rPr>
                            <w:rFonts w:ascii="Times New Roman"/>
                            <w:sz w:val="16"/>
                          </w:rPr>
                        </w:pPr>
                      </w:p>
                    </w:tc>
                  </w:tr>
                  <w:tr>
                    <w:trPr>
                      <w:trHeight w:val="225" w:hRule="atLeast"/>
                    </w:trPr>
                    <w:tc>
                      <w:tcPr>
                        <w:tcW w:w="6021" w:type="dxa"/>
                      </w:tcPr>
                      <w:p>
                        <w:pPr>
                          <w:pStyle w:val="TableParagraph"/>
                          <w:spacing w:line="191" w:lineRule="exact" w:before="15"/>
                          <w:ind w:left="192"/>
                          <w:rPr>
                            <w:sz w:val="17"/>
                          </w:rPr>
                        </w:pPr>
                        <w:r>
                          <w:rPr>
                            <w:color w:val="231F20"/>
                            <w:spacing w:val="-2"/>
                            <w:sz w:val="17"/>
                          </w:rPr>
                          <w:t>Unrestricted</w:t>
                        </w:r>
                      </w:p>
                    </w:tc>
                    <w:tc>
                      <w:tcPr>
                        <w:tcW w:w="1538" w:type="dxa"/>
                      </w:tcPr>
                      <w:p>
                        <w:pPr>
                          <w:pStyle w:val="TableParagraph"/>
                          <w:tabs>
                            <w:tab w:pos="589" w:val="left" w:leader="none"/>
                          </w:tabs>
                          <w:spacing w:line="191" w:lineRule="exact" w:before="15"/>
                          <w:ind w:left="92"/>
                          <w:rPr>
                            <w:sz w:val="17"/>
                          </w:rPr>
                        </w:pPr>
                        <w:r>
                          <w:rPr>
                            <w:color w:val="231F20"/>
                            <w:spacing w:val="-10"/>
                            <w:sz w:val="17"/>
                          </w:rPr>
                          <w:t>$</w:t>
                        </w:r>
                        <w:r>
                          <w:rPr>
                            <w:color w:val="231F20"/>
                            <w:sz w:val="17"/>
                          </w:rPr>
                          <w:tab/>
                        </w:r>
                        <w:r>
                          <w:rPr>
                            <w:color w:val="231F20"/>
                            <w:spacing w:val="-2"/>
                            <w:sz w:val="17"/>
                          </w:rPr>
                          <w:t>36,259,048</w:t>
                        </w:r>
                      </w:p>
                    </w:tc>
                    <w:tc>
                      <w:tcPr>
                        <w:tcW w:w="247" w:type="dxa"/>
                      </w:tcPr>
                      <w:p>
                        <w:pPr>
                          <w:pStyle w:val="TableParagraph"/>
                          <w:rPr>
                            <w:rFonts w:ascii="Times New Roman"/>
                            <w:sz w:val="16"/>
                          </w:rPr>
                        </w:pPr>
                      </w:p>
                    </w:tc>
                    <w:tc>
                      <w:tcPr>
                        <w:tcW w:w="1539" w:type="dxa"/>
                      </w:tcPr>
                      <w:p>
                        <w:pPr>
                          <w:pStyle w:val="TableParagraph"/>
                          <w:tabs>
                            <w:tab w:pos="594" w:val="left" w:leader="none"/>
                          </w:tabs>
                          <w:spacing w:line="191" w:lineRule="exact" w:before="15"/>
                          <w:ind w:right="88"/>
                          <w:jc w:val="right"/>
                          <w:rPr>
                            <w:sz w:val="17"/>
                          </w:rPr>
                        </w:pPr>
                        <w:r>
                          <w:rPr>
                            <w:color w:val="231F20"/>
                            <w:spacing w:val="-10"/>
                            <w:sz w:val="17"/>
                          </w:rPr>
                          <w:t>$</w:t>
                        </w:r>
                        <w:r>
                          <w:rPr>
                            <w:color w:val="231F20"/>
                            <w:sz w:val="17"/>
                          </w:rPr>
                          <w:tab/>
                        </w:r>
                        <w:r>
                          <w:rPr>
                            <w:color w:val="231F20"/>
                            <w:spacing w:val="-2"/>
                            <w:sz w:val="17"/>
                          </w:rPr>
                          <w:t>1,755,041</w:t>
                        </w:r>
                      </w:p>
                    </w:tc>
                  </w:tr>
                  <w:tr>
                    <w:trPr>
                      <w:trHeight w:val="311" w:hRule="atLeast"/>
                    </w:trPr>
                    <w:tc>
                      <w:tcPr>
                        <w:tcW w:w="6021" w:type="dxa"/>
                      </w:tcPr>
                      <w:p>
                        <w:pPr>
                          <w:pStyle w:val="TableParagraph"/>
                          <w:spacing w:before="10"/>
                          <w:ind w:left="191"/>
                          <w:rPr>
                            <w:sz w:val="17"/>
                          </w:rPr>
                        </w:pPr>
                        <w:r>
                          <w:rPr>
                            <w:color w:val="231F20"/>
                            <w:spacing w:val="-2"/>
                            <w:sz w:val="17"/>
                          </w:rPr>
                          <w:t>Restricted</w:t>
                        </w:r>
                      </w:p>
                    </w:tc>
                    <w:tc>
                      <w:tcPr>
                        <w:tcW w:w="1538" w:type="dxa"/>
                      </w:tcPr>
                      <w:p>
                        <w:pPr>
                          <w:pStyle w:val="TableParagraph"/>
                          <w:tabs>
                            <w:tab w:pos="922" w:val="left" w:leader="none"/>
                          </w:tabs>
                          <w:spacing w:before="10"/>
                          <w:ind w:right="-15"/>
                          <w:jc w:val="right"/>
                          <w:rPr>
                            <w:sz w:val="17"/>
                          </w:rPr>
                        </w:pPr>
                        <w:r>
                          <w:rPr>
                            <w:color w:val="231F20"/>
                            <w:sz w:val="17"/>
                            <w:u w:val="single" w:color="231F20"/>
                          </w:rPr>
                          <w:tab/>
                        </w:r>
                        <w:r>
                          <w:rPr>
                            <w:color w:val="231F20"/>
                            <w:spacing w:val="-2"/>
                            <w:sz w:val="17"/>
                            <w:u w:val="single" w:color="231F20"/>
                          </w:rPr>
                          <w:t>89,172</w:t>
                        </w:r>
                        <w:r>
                          <w:rPr>
                            <w:color w:val="231F20"/>
                            <w:spacing w:val="80"/>
                            <w:sz w:val="17"/>
                            <w:u w:val="single" w:color="231F20"/>
                          </w:rPr>
                          <w:t> </w:t>
                        </w:r>
                      </w:p>
                    </w:tc>
                    <w:tc>
                      <w:tcPr>
                        <w:tcW w:w="247" w:type="dxa"/>
                      </w:tcPr>
                      <w:p>
                        <w:pPr>
                          <w:pStyle w:val="TableParagraph"/>
                          <w:rPr>
                            <w:rFonts w:ascii="Times New Roman"/>
                            <w:sz w:val="16"/>
                          </w:rPr>
                        </w:pPr>
                      </w:p>
                    </w:tc>
                    <w:tc>
                      <w:tcPr>
                        <w:tcW w:w="1539" w:type="dxa"/>
                      </w:tcPr>
                      <w:p>
                        <w:pPr>
                          <w:pStyle w:val="TableParagraph"/>
                          <w:tabs>
                            <w:tab w:pos="1391" w:val="left" w:leader="none"/>
                          </w:tabs>
                          <w:spacing w:before="10"/>
                          <w:ind w:right="-15"/>
                          <w:jc w:val="right"/>
                          <w:rPr>
                            <w:sz w:val="17"/>
                          </w:rPr>
                        </w:pPr>
                        <w:r>
                          <w:rPr>
                            <w:color w:val="231F20"/>
                            <w:sz w:val="17"/>
                            <w:u w:val="single" w:color="231F20"/>
                          </w:rPr>
                          <w:tab/>
                        </w:r>
                        <w:r>
                          <w:rPr>
                            <w:color w:val="231F20"/>
                            <w:spacing w:val="-10"/>
                            <w:sz w:val="17"/>
                            <w:u w:val="single" w:color="231F20"/>
                          </w:rPr>
                          <w:t>-</w:t>
                        </w:r>
                        <w:r>
                          <w:rPr>
                            <w:color w:val="231F20"/>
                            <w:spacing w:val="80"/>
                            <w:sz w:val="17"/>
                            <w:u w:val="single" w:color="231F20"/>
                          </w:rPr>
                          <w:t> </w:t>
                        </w:r>
                      </w:p>
                    </w:tc>
                  </w:tr>
                  <w:tr>
                    <w:trPr>
                      <w:trHeight w:val="348" w:hRule="atLeast"/>
                    </w:trPr>
                    <w:tc>
                      <w:tcPr>
                        <w:tcW w:w="6021" w:type="dxa"/>
                      </w:tcPr>
                      <w:p>
                        <w:pPr>
                          <w:pStyle w:val="TableParagraph"/>
                          <w:spacing w:before="100"/>
                          <w:ind w:left="50"/>
                          <w:rPr>
                            <w:sz w:val="17"/>
                          </w:rPr>
                        </w:pPr>
                        <w:r>
                          <w:rPr>
                            <w:color w:val="231F20"/>
                            <w:sz w:val="17"/>
                          </w:rPr>
                          <w:t>TOTAL</w:t>
                        </w:r>
                        <w:r>
                          <w:rPr>
                            <w:color w:val="231F20"/>
                            <w:spacing w:val="-2"/>
                            <w:sz w:val="17"/>
                          </w:rPr>
                          <w:t> </w:t>
                        </w:r>
                        <w:r>
                          <w:rPr>
                            <w:color w:val="231F20"/>
                            <w:sz w:val="17"/>
                          </w:rPr>
                          <w:t>CASH AND</w:t>
                        </w:r>
                        <w:r>
                          <w:rPr>
                            <w:color w:val="231F20"/>
                            <w:spacing w:val="-1"/>
                            <w:sz w:val="17"/>
                          </w:rPr>
                          <w:t> </w:t>
                        </w:r>
                        <w:r>
                          <w:rPr>
                            <w:color w:val="231F20"/>
                            <w:sz w:val="17"/>
                          </w:rPr>
                          <w:t>CASH </w:t>
                        </w:r>
                        <w:r>
                          <w:rPr>
                            <w:color w:val="231F20"/>
                            <w:spacing w:val="-2"/>
                            <w:sz w:val="17"/>
                          </w:rPr>
                          <w:t>EQUIVALENTS</w:t>
                        </w:r>
                      </w:p>
                    </w:tc>
                    <w:tc>
                      <w:tcPr>
                        <w:tcW w:w="1538" w:type="dxa"/>
                        <w:tcBorders>
                          <w:bottom w:val="single" w:sz="8" w:space="0" w:color="231F20"/>
                        </w:tcBorders>
                      </w:tcPr>
                      <w:p>
                        <w:pPr>
                          <w:pStyle w:val="TableParagraph"/>
                          <w:tabs>
                            <w:tab w:pos="588" w:val="left" w:leader="none"/>
                          </w:tabs>
                          <w:spacing w:before="121"/>
                          <w:ind w:right="-15"/>
                          <w:jc w:val="right"/>
                          <w:rPr>
                            <w:sz w:val="17"/>
                          </w:rPr>
                        </w:pPr>
                        <w:r>
                          <w:rPr>
                            <w:color w:val="231F20"/>
                            <w:spacing w:val="43"/>
                            <w:sz w:val="17"/>
                            <w:u w:val="single" w:color="231F20"/>
                          </w:rPr>
                          <w:t> </w:t>
                        </w:r>
                        <w:r>
                          <w:rPr>
                            <w:color w:val="231F20"/>
                            <w:spacing w:val="-10"/>
                            <w:sz w:val="17"/>
                            <w:u w:val="single" w:color="231F20"/>
                          </w:rPr>
                          <w:t>$</w:t>
                        </w:r>
                        <w:r>
                          <w:rPr>
                            <w:color w:val="231F20"/>
                            <w:sz w:val="17"/>
                            <w:u w:val="single" w:color="231F20"/>
                          </w:rPr>
                          <w:tab/>
                        </w:r>
                        <w:r>
                          <w:rPr>
                            <w:color w:val="231F20"/>
                            <w:spacing w:val="-2"/>
                            <w:sz w:val="17"/>
                            <w:u w:val="single" w:color="231F20"/>
                          </w:rPr>
                          <w:t>36,348,220</w:t>
                        </w:r>
                        <w:r>
                          <w:rPr>
                            <w:color w:val="231F20"/>
                            <w:spacing w:val="80"/>
                            <w:sz w:val="17"/>
                            <w:u w:val="single" w:color="231F20"/>
                          </w:rPr>
                          <w:t> </w:t>
                        </w:r>
                      </w:p>
                    </w:tc>
                    <w:tc>
                      <w:tcPr>
                        <w:tcW w:w="247" w:type="dxa"/>
                      </w:tcPr>
                      <w:p>
                        <w:pPr>
                          <w:pStyle w:val="TableParagraph"/>
                          <w:rPr>
                            <w:rFonts w:ascii="Times New Roman"/>
                            <w:sz w:val="16"/>
                          </w:rPr>
                        </w:pPr>
                      </w:p>
                    </w:tc>
                    <w:tc>
                      <w:tcPr>
                        <w:tcW w:w="1539" w:type="dxa"/>
                        <w:tcBorders>
                          <w:bottom w:val="single" w:sz="8" w:space="0" w:color="231F20"/>
                        </w:tcBorders>
                      </w:tcPr>
                      <w:p>
                        <w:pPr>
                          <w:pStyle w:val="TableParagraph"/>
                          <w:tabs>
                            <w:tab w:pos="684" w:val="left" w:leader="none"/>
                          </w:tabs>
                          <w:spacing w:before="121"/>
                          <w:ind w:right="-15"/>
                          <w:jc w:val="right"/>
                          <w:rPr>
                            <w:sz w:val="17"/>
                          </w:rPr>
                        </w:pPr>
                        <w:r>
                          <w:rPr>
                            <w:color w:val="231F20"/>
                            <w:spacing w:val="42"/>
                            <w:sz w:val="17"/>
                            <w:u w:val="single" w:color="231F20"/>
                          </w:rPr>
                          <w:t> </w:t>
                        </w:r>
                        <w:r>
                          <w:rPr>
                            <w:color w:val="231F20"/>
                            <w:spacing w:val="-10"/>
                            <w:sz w:val="17"/>
                            <w:u w:val="single" w:color="231F20"/>
                          </w:rPr>
                          <w:t>$</w:t>
                        </w:r>
                        <w:r>
                          <w:rPr>
                            <w:color w:val="231F20"/>
                            <w:sz w:val="17"/>
                            <w:u w:val="single" w:color="231F20"/>
                          </w:rPr>
                          <w:tab/>
                        </w:r>
                        <w:r>
                          <w:rPr>
                            <w:color w:val="231F20"/>
                            <w:spacing w:val="-2"/>
                            <w:sz w:val="17"/>
                            <w:u w:val="single" w:color="231F20"/>
                          </w:rPr>
                          <w:t>1,755,041</w:t>
                        </w:r>
                        <w:r>
                          <w:rPr>
                            <w:color w:val="231F20"/>
                            <w:spacing w:val="80"/>
                            <w:sz w:val="17"/>
                            <w:u w:val="single" w:color="231F20"/>
                          </w:rPr>
                          <w:t> </w:t>
                        </w:r>
                      </w:p>
                    </w:tc>
                  </w:tr>
                </w:tbl>
                <w:p>
                  <w:pPr>
                    <w:pStyle w:val="BodyText"/>
                  </w:pPr>
                </w:p>
              </w:txbxContent>
            </v:textbox>
            <w10:wrap type="none"/>
          </v:shape>
        </w:pict>
      </w:r>
      <w:r>
        <w:rPr>
          <w:color w:val="231F20"/>
          <w:sz w:val="17"/>
        </w:rPr>
        <w:t>Net cash used in capital and relating financing activities</w:t>
        <w:tab/>
      </w:r>
      <w:r>
        <w:rPr>
          <w:color w:val="231F20"/>
          <w:spacing w:val="-2"/>
          <w:sz w:val="17"/>
        </w:rPr>
        <w:t>(8,596,280)</w:t>
      </w:r>
      <w:r>
        <w:rPr>
          <w:color w:val="231F20"/>
          <w:sz w:val="17"/>
        </w:rPr>
        <w:tab/>
      </w:r>
      <w:r>
        <w:rPr>
          <w:color w:val="231F20"/>
          <w:spacing w:val="-10"/>
          <w:sz w:val="17"/>
        </w:rPr>
        <w:t>-</w:t>
      </w:r>
      <w:r>
        <w:rPr>
          <w:color w:val="231F20"/>
          <w:sz w:val="17"/>
        </w:rPr>
        <w:t> CASH FLOWS FROM INVESTING ACTIVITIES</w:t>
      </w:r>
    </w:p>
    <w:p>
      <w:pPr>
        <w:spacing w:after="0" w:line="520" w:lineRule="auto"/>
        <w:jc w:val="left"/>
        <w:rPr>
          <w:sz w:val="17"/>
        </w:rPr>
        <w:sectPr>
          <w:headerReference w:type="default" r:id="rId41"/>
          <w:footerReference w:type="default" r:id="rId42"/>
          <w:pgSz w:w="12240" w:h="15840"/>
          <w:pgMar w:header="1270" w:footer="1097" w:top="1580" w:bottom="1280" w:left="0" w:right="580"/>
        </w:sectPr>
      </w:pPr>
    </w:p>
    <w:p>
      <w:pPr>
        <w:pStyle w:val="Heading3"/>
        <w:ind w:left="4206" w:right="3096" w:hanging="200"/>
        <w:jc w:val="left"/>
      </w:pPr>
      <w:r>
        <w:rPr/>
        <w:pict>
          <v:rect style="position:absolute;margin-left:70.5pt;margin-top:28.525633pt;width:471.001pt;height:1.5pt;mso-position-horizontal-relative:page;mso-position-vertical-relative:paragraph;z-index:-15700480;mso-wrap-distance-left:0;mso-wrap-distance-right:0" id="docshape252" filled="true" fillcolor="#231f20" stroked="false">
            <v:fill type="solid"/>
            <w10:wrap type="topAndBottom"/>
          </v:rect>
        </w:pict>
      </w:r>
      <w:r>
        <w:rPr>
          <w:color w:val="231F20"/>
        </w:rPr>
        <w:t>Statement</w:t>
      </w:r>
      <w:r>
        <w:rPr>
          <w:color w:val="231F20"/>
          <w:spacing w:val="-9"/>
        </w:rPr>
        <w:t> </w:t>
      </w:r>
      <w:r>
        <w:rPr>
          <w:color w:val="231F20"/>
        </w:rPr>
        <w:t>of</w:t>
      </w:r>
      <w:r>
        <w:rPr>
          <w:color w:val="231F20"/>
          <w:spacing w:val="-9"/>
        </w:rPr>
        <w:t> </w:t>
      </w:r>
      <w:r>
        <w:rPr>
          <w:color w:val="231F20"/>
        </w:rPr>
        <w:t>Cash</w:t>
      </w:r>
      <w:r>
        <w:rPr>
          <w:color w:val="231F20"/>
          <w:spacing w:val="-9"/>
        </w:rPr>
        <w:t> </w:t>
      </w:r>
      <w:r>
        <w:rPr>
          <w:color w:val="231F20"/>
        </w:rPr>
        <w:t>Flows</w:t>
      </w:r>
      <w:r>
        <w:rPr>
          <w:color w:val="231F20"/>
          <w:spacing w:val="-9"/>
        </w:rPr>
        <w:t> </w:t>
      </w:r>
      <w:r>
        <w:rPr>
          <w:color w:val="231F20"/>
        </w:rPr>
        <w:t>(continued) For the Year Ended June 30, 2022</w:t>
      </w:r>
    </w:p>
    <w:p>
      <w:pPr>
        <w:pStyle w:val="BodyText"/>
        <w:rPr>
          <w:b/>
        </w:rPr>
      </w:pPr>
    </w:p>
    <w:p>
      <w:pPr>
        <w:pStyle w:val="BodyText"/>
        <w:spacing w:before="9"/>
        <w:rPr>
          <w:b/>
          <w:sz w:val="19"/>
        </w:rPr>
      </w:pPr>
    </w:p>
    <w:p>
      <w:pPr>
        <w:spacing w:after="0"/>
        <w:rPr>
          <w:sz w:val="19"/>
        </w:rPr>
        <w:sectPr>
          <w:pgSz w:w="12240" w:h="15840"/>
          <w:pgMar w:header="1270" w:footer="1097" w:top="1580" w:bottom="1280" w:left="0" w:right="580"/>
        </w:sectPr>
      </w:pPr>
    </w:p>
    <w:p>
      <w:pPr>
        <w:pStyle w:val="BodyText"/>
        <w:rPr>
          <w:b/>
          <w:sz w:val="18"/>
        </w:rPr>
      </w:pPr>
    </w:p>
    <w:p>
      <w:pPr>
        <w:pStyle w:val="BodyText"/>
        <w:rPr>
          <w:b/>
          <w:sz w:val="18"/>
        </w:rPr>
      </w:pPr>
    </w:p>
    <w:p>
      <w:pPr>
        <w:spacing w:line="273" w:lineRule="auto" w:before="126"/>
        <w:ind w:left="1483" w:right="0" w:firstLine="0"/>
        <w:jc w:val="left"/>
        <w:rPr>
          <w:sz w:val="17"/>
        </w:rPr>
      </w:pPr>
      <w:r>
        <w:rPr>
          <w:color w:val="231F20"/>
          <w:sz w:val="17"/>
        </w:rPr>
        <w:t>RECONCILIATION OF OPERATING LOSS TO NET CASH USED BY OPERATING ACTIVITIES</w:t>
      </w:r>
    </w:p>
    <w:p>
      <w:pPr>
        <w:spacing w:before="96"/>
        <w:ind w:left="2838" w:right="0" w:firstLine="0"/>
        <w:jc w:val="left"/>
        <w:rPr>
          <w:sz w:val="17"/>
        </w:rPr>
      </w:pPr>
      <w:r>
        <w:rPr/>
        <w:br w:type="column"/>
      </w:r>
      <w:r>
        <w:rPr>
          <w:color w:val="231F20"/>
          <w:sz w:val="17"/>
        </w:rPr>
        <w:t>Component</w:t>
      </w:r>
      <w:r>
        <w:rPr>
          <w:color w:val="231F20"/>
          <w:spacing w:val="-5"/>
          <w:sz w:val="17"/>
        </w:rPr>
        <w:t> </w:t>
      </w:r>
      <w:r>
        <w:rPr>
          <w:color w:val="231F20"/>
          <w:spacing w:val="-4"/>
          <w:sz w:val="17"/>
        </w:rPr>
        <w:t>Unit</w:t>
      </w:r>
    </w:p>
    <w:p>
      <w:pPr>
        <w:tabs>
          <w:tab w:pos="1373" w:val="left" w:leader="none"/>
          <w:tab w:pos="2433" w:val="left" w:leader="none"/>
          <w:tab w:pos="2680" w:val="left" w:leader="none"/>
          <w:tab w:pos="3029" w:val="left" w:leader="none"/>
          <w:tab w:pos="4219" w:val="left" w:leader="none"/>
        </w:tabs>
        <w:spacing w:before="26"/>
        <w:ind w:left="894" w:right="0" w:firstLine="0"/>
        <w:jc w:val="left"/>
        <w:rPr>
          <w:sz w:val="17"/>
        </w:rPr>
      </w:pPr>
      <w:r>
        <w:rPr>
          <w:color w:val="231F20"/>
          <w:sz w:val="17"/>
          <w:u w:val="thick" w:color="231F20"/>
        </w:rPr>
        <w:tab/>
      </w:r>
      <w:r>
        <w:rPr>
          <w:color w:val="231F20"/>
          <w:spacing w:val="-2"/>
          <w:sz w:val="17"/>
          <w:u w:val="thick" w:color="231F20"/>
        </w:rPr>
        <w:t>Institute</w:t>
      </w:r>
      <w:r>
        <w:rPr>
          <w:color w:val="231F20"/>
          <w:sz w:val="17"/>
          <w:u w:val="thick" w:color="231F20"/>
        </w:rPr>
        <w:tab/>
      </w:r>
      <w:r>
        <w:rPr>
          <w:color w:val="231F20"/>
          <w:sz w:val="17"/>
        </w:rPr>
        <w:tab/>
      </w:r>
      <w:r>
        <w:rPr>
          <w:color w:val="231F20"/>
          <w:sz w:val="17"/>
          <w:u w:val="thick" w:color="231F20"/>
        </w:rPr>
        <w:tab/>
      </w:r>
      <w:r>
        <w:rPr>
          <w:color w:val="231F20"/>
          <w:spacing w:val="-2"/>
          <w:sz w:val="17"/>
          <w:u w:val="thick" w:color="231F20"/>
        </w:rPr>
        <w:t>Foundation</w:t>
      </w:r>
      <w:r>
        <w:rPr>
          <w:color w:val="231F20"/>
          <w:sz w:val="17"/>
          <w:u w:val="thick" w:color="231F20"/>
        </w:rPr>
        <w:tab/>
      </w:r>
    </w:p>
    <w:p>
      <w:pPr>
        <w:spacing w:after="0"/>
        <w:jc w:val="left"/>
        <w:rPr>
          <w:sz w:val="17"/>
        </w:rPr>
        <w:sectPr>
          <w:type w:val="continuous"/>
          <w:pgSz w:w="12240" w:h="15840"/>
          <w:pgMar w:header="1270" w:footer="1097" w:top="1460" w:bottom="280" w:left="0" w:right="580"/>
          <w:cols w:num="2" w:equalWidth="0">
            <w:col w:w="6520" w:space="40"/>
            <w:col w:w="5100"/>
          </w:cols>
        </w:sectPr>
      </w:pPr>
    </w:p>
    <w:tbl>
      <w:tblPr>
        <w:tblW w:w="0" w:type="auto"/>
        <w:jc w:val="left"/>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63"/>
        <w:gridCol w:w="2320"/>
        <w:gridCol w:w="1713"/>
      </w:tblGrid>
      <w:tr>
        <w:trPr>
          <w:trHeight w:val="872" w:hRule="atLeast"/>
        </w:trPr>
        <w:tc>
          <w:tcPr>
            <w:tcW w:w="5363" w:type="dxa"/>
          </w:tcPr>
          <w:p>
            <w:pPr>
              <w:pStyle w:val="TableParagraph"/>
              <w:spacing w:line="191" w:lineRule="exact"/>
              <w:ind w:left="191"/>
              <w:rPr>
                <w:sz w:val="17"/>
              </w:rPr>
            </w:pPr>
            <w:r>
              <w:rPr>
                <w:color w:val="231F20"/>
                <w:sz w:val="17"/>
              </w:rPr>
              <w:t>Operating</w:t>
            </w:r>
            <w:r>
              <w:rPr>
                <w:color w:val="231F20"/>
                <w:spacing w:val="-6"/>
                <w:sz w:val="17"/>
              </w:rPr>
              <w:t> </w:t>
            </w:r>
            <w:r>
              <w:rPr>
                <w:color w:val="231F20"/>
                <w:spacing w:val="-4"/>
                <w:sz w:val="17"/>
              </w:rPr>
              <w:t>loss</w:t>
            </w:r>
          </w:p>
          <w:p>
            <w:pPr>
              <w:pStyle w:val="TableParagraph"/>
              <w:spacing w:line="273" w:lineRule="auto" w:before="26"/>
              <w:ind w:left="238" w:right="15" w:hanging="47"/>
              <w:rPr>
                <w:sz w:val="17"/>
              </w:rPr>
            </w:pPr>
            <w:r>
              <w:rPr>
                <w:color w:val="231F20"/>
                <w:sz w:val="17"/>
              </w:rPr>
              <w:t>Adjustments</w:t>
            </w:r>
            <w:r>
              <w:rPr>
                <w:color w:val="231F20"/>
                <w:spacing w:val="-2"/>
                <w:sz w:val="17"/>
              </w:rPr>
              <w:t> </w:t>
            </w:r>
            <w:r>
              <w:rPr>
                <w:color w:val="231F20"/>
                <w:sz w:val="17"/>
              </w:rPr>
              <w:t>to</w:t>
            </w:r>
            <w:r>
              <w:rPr>
                <w:color w:val="231F20"/>
                <w:spacing w:val="-2"/>
                <w:sz w:val="17"/>
              </w:rPr>
              <w:t> </w:t>
            </w:r>
            <w:r>
              <w:rPr>
                <w:color w:val="231F20"/>
                <w:sz w:val="17"/>
              </w:rPr>
              <w:t>reconcile</w:t>
            </w:r>
            <w:r>
              <w:rPr>
                <w:color w:val="231F20"/>
                <w:spacing w:val="-1"/>
                <w:sz w:val="17"/>
              </w:rPr>
              <w:t> </w:t>
            </w:r>
            <w:r>
              <w:rPr>
                <w:color w:val="231F20"/>
                <w:sz w:val="17"/>
              </w:rPr>
              <w:t>operating</w:t>
            </w:r>
            <w:r>
              <w:rPr>
                <w:color w:val="231F20"/>
                <w:spacing w:val="-2"/>
                <w:sz w:val="17"/>
              </w:rPr>
              <w:t> </w:t>
            </w:r>
            <w:r>
              <w:rPr>
                <w:color w:val="231F20"/>
                <w:sz w:val="17"/>
              </w:rPr>
              <w:t>loss</w:t>
            </w:r>
            <w:r>
              <w:rPr>
                <w:color w:val="231F20"/>
                <w:spacing w:val="-1"/>
                <w:sz w:val="17"/>
              </w:rPr>
              <w:t> </w:t>
            </w:r>
            <w:r>
              <w:rPr>
                <w:color w:val="231F20"/>
                <w:sz w:val="17"/>
              </w:rPr>
              <w:t>to</w:t>
            </w:r>
            <w:r>
              <w:rPr>
                <w:color w:val="231F20"/>
                <w:spacing w:val="-1"/>
                <w:sz w:val="17"/>
              </w:rPr>
              <w:t> </w:t>
            </w:r>
            <w:r>
              <w:rPr>
                <w:color w:val="231F20"/>
                <w:sz w:val="17"/>
              </w:rPr>
              <w:t>net</w:t>
            </w:r>
            <w:r>
              <w:rPr>
                <w:color w:val="231F20"/>
                <w:spacing w:val="-1"/>
                <w:sz w:val="17"/>
              </w:rPr>
              <w:t> </w:t>
            </w:r>
            <w:r>
              <w:rPr>
                <w:color w:val="231F20"/>
                <w:sz w:val="17"/>
              </w:rPr>
              <w:t>cash</w:t>
            </w:r>
            <w:r>
              <w:rPr>
                <w:color w:val="231F20"/>
                <w:spacing w:val="-1"/>
                <w:sz w:val="17"/>
              </w:rPr>
              <w:t> </w:t>
            </w:r>
            <w:r>
              <w:rPr>
                <w:color w:val="231F20"/>
                <w:sz w:val="17"/>
              </w:rPr>
              <w:t>used</w:t>
            </w:r>
            <w:r>
              <w:rPr>
                <w:color w:val="231F20"/>
                <w:spacing w:val="-1"/>
                <w:sz w:val="17"/>
              </w:rPr>
              <w:t> </w:t>
            </w:r>
            <w:r>
              <w:rPr>
                <w:color w:val="231F20"/>
                <w:sz w:val="17"/>
              </w:rPr>
              <w:t>by operating activities</w:t>
            </w:r>
          </w:p>
          <w:p>
            <w:pPr>
              <w:pStyle w:val="TableParagraph"/>
              <w:spacing w:line="189" w:lineRule="exact"/>
              <w:ind w:left="333"/>
              <w:rPr>
                <w:sz w:val="17"/>
              </w:rPr>
            </w:pPr>
            <w:r>
              <w:rPr>
                <w:color w:val="231F20"/>
                <w:sz w:val="17"/>
              </w:rPr>
              <w:t>Depreciation</w:t>
            </w:r>
            <w:r>
              <w:rPr>
                <w:color w:val="231F20"/>
                <w:spacing w:val="-4"/>
                <w:sz w:val="17"/>
              </w:rPr>
              <w:t> </w:t>
            </w:r>
            <w:r>
              <w:rPr>
                <w:color w:val="231F20"/>
                <w:sz w:val="17"/>
              </w:rPr>
              <w:t>and</w:t>
            </w:r>
            <w:r>
              <w:rPr>
                <w:color w:val="231F20"/>
                <w:spacing w:val="-4"/>
                <w:sz w:val="17"/>
              </w:rPr>
              <w:t> </w:t>
            </w:r>
            <w:r>
              <w:rPr>
                <w:color w:val="231F20"/>
                <w:sz w:val="17"/>
              </w:rPr>
              <w:t>amortization</w:t>
            </w:r>
            <w:r>
              <w:rPr>
                <w:color w:val="231F20"/>
                <w:spacing w:val="-3"/>
                <w:sz w:val="17"/>
              </w:rPr>
              <w:t> </w:t>
            </w:r>
            <w:r>
              <w:rPr>
                <w:color w:val="231F20"/>
                <w:spacing w:val="-2"/>
                <w:sz w:val="17"/>
              </w:rPr>
              <w:t>expense</w:t>
            </w:r>
          </w:p>
        </w:tc>
        <w:tc>
          <w:tcPr>
            <w:tcW w:w="2320" w:type="dxa"/>
          </w:tcPr>
          <w:p>
            <w:pPr>
              <w:pStyle w:val="TableParagraph"/>
              <w:tabs>
                <w:tab w:pos="441" w:val="left" w:leader="none"/>
              </w:tabs>
              <w:spacing w:line="191" w:lineRule="exact"/>
              <w:ind w:right="155"/>
              <w:jc w:val="right"/>
              <w:rPr>
                <w:sz w:val="17"/>
              </w:rPr>
            </w:pPr>
            <w:r>
              <w:rPr>
                <w:color w:val="231F20"/>
                <w:spacing w:val="-10"/>
                <w:sz w:val="17"/>
              </w:rPr>
              <w:t>$</w:t>
            </w:r>
            <w:r>
              <w:rPr>
                <w:color w:val="231F20"/>
                <w:sz w:val="17"/>
              </w:rPr>
              <w:tab/>
            </w:r>
            <w:r>
              <w:rPr>
                <w:color w:val="231F20"/>
                <w:spacing w:val="-2"/>
                <w:sz w:val="17"/>
              </w:rPr>
              <w:t>(61,125,290)</w:t>
            </w:r>
          </w:p>
          <w:p>
            <w:pPr>
              <w:pStyle w:val="TableParagraph"/>
              <w:rPr>
                <w:sz w:val="18"/>
              </w:rPr>
            </w:pPr>
          </w:p>
          <w:p>
            <w:pPr>
              <w:pStyle w:val="TableParagraph"/>
              <w:spacing w:before="10"/>
              <w:rPr>
                <w:sz w:val="22"/>
              </w:rPr>
            </w:pPr>
          </w:p>
          <w:p>
            <w:pPr>
              <w:pStyle w:val="TableParagraph"/>
              <w:spacing w:line="191" w:lineRule="exact"/>
              <w:ind w:right="213"/>
              <w:jc w:val="right"/>
              <w:rPr>
                <w:sz w:val="17"/>
              </w:rPr>
            </w:pPr>
            <w:r>
              <w:rPr>
                <w:color w:val="231F20"/>
                <w:spacing w:val="-2"/>
                <w:sz w:val="17"/>
              </w:rPr>
              <w:t>11,640,988</w:t>
            </w:r>
          </w:p>
        </w:tc>
        <w:tc>
          <w:tcPr>
            <w:tcW w:w="1713" w:type="dxa"/>
          </w:tcPr>
          <w:p>
            <w:pPr>
              <w:pStyle w:val="TableParagraph"/>
              <w:tabs>
                <w:tab w:pos="537" w:val="left" w:leader="none"/>
              </w:tabs>
              <w:spacing w:line="191" w:lineRule="exact"/>
              <w:ind w:right="82"/>
              <w:jc w:val="right"/>
              <w:rPr>
                <w:sz w:val="17"/>
              </w:rPr>
            </w:pPr>
            <w:r>
              <w:rPr>
                <w:color w:val="231F20"/>
                <w:spacing w:val="-10"/>
                <w:sz w:val="17"/>
              </w:rPr>
              <w:t>$</w:t>
            </w:r>
            <w:r>
              <w:rPr>
                <w:color w:val="231F20"/>
                <w:sz w:val="17"/>
              </w:rPr>
              <w:tab/>
            </w:r>
            <w:r>
              <w:rPr>
                <w:color w:val="231F20"/>
                <w:spacing w:val="-2"/>
                <w:sz w:val="17"/>
              </w:rPr>
              <w:t>(1,473,451)</w:t>
            </w:r>
          </w:p>
          <w:p>
            <w:pPr>
              <w:pStyle w:val="TableParagraph"/>
              <w:rPr>
                <w:sz w:val="18"/>
              </w:rPr>
            </w:pPr>
          </w:p>
          <w:p>
            <w:pPr>
              <w:pStyle w:val="TableParagraph"/>
              <w:spacing w:before="10"/>
              <w:rPr>
                <w:sz w:val="22"/>
              </w:rPr>
            </w:pPr>
          </w:p>
          <w:p>
            <w:pPr>
              <w:pStyle w:val="TableParagraph"/>
              <w:spacing w:line="191" w:lineRule="exact"/>
              <w:ind w:right="138"/>
              <w:jc w:val="right"/>
              <w:rPr>
                <w:sz w:val="17"/>
              </w:rPr>
            </w:pPr>
            <w:r>
              <w:rPr>
                <w:color w:val="231F20"/>
                <w:spacing w:val="-2"/>
                <w:sz w:val="17"/>
              </w:rPr>
              <w:t>65,134</w:t>
            </w:r>
          </w:p>
        </w:tc>
      </w:tr>
      <w:tr>
        <w:trPr>
          <w:trHeight w:val="221" w:hRule="atLeast"/>
        </w:trPr>
        <w:tc>
          <w:tcPr>
            <w:tcW w:w="5363" w:type="dxa"/>
          </w:tcPr>
          <w:p>
            <w:pPr>
              <w:pStyle w:val="TableParagraph"/>
              <w:spacing w:line="191" w:lineRule="exact" w:before="11"/>
              <w:ind w:left="333"/>
              <w:rPr>
                <w:sz w:val="17"/>
              </w:rPr>
            </w:pPr>
            <w:r>
              <w:rPr>
                <w:color w:val="231F20"/>
                <w:sz w:val="17"/>
              </w:rPr>
              <w:t>Donated</w:t>
            </w:r>
            <w:r>
              <w:rPr>
                <w:color w:val="231F20"/>
                <w:spacing w:val="-6"/>
                <w:sz w:val="17"/>
              </w:rPr>
              <w:t> </w:t>
            </w:r>
            <w:r>
              <w:rPr>
                <w:color w:val="231F20"/>
                <w:spacing w:val="-2"/>
                <w:sz w:val="17"/>
              </w:rPr>
              <w:t>stock</w:t>
            </w:r>
          </w:p>
        </w:tc>
        <w:tc>
          <w:tcPr>
            <w:tcW w:w="2320" w:type="dxa"/>
          </w:tcPr>
          <w:p>
            <w:pPr>
              <w:pStyle w:val="TableParagraph"/>
              <w:spacing w:line="191" w:lineRule="exact" w:before="11"/>
              <w:ind w:right="212"/>
              <w:jc w:val="right"/>
              <w:rPr>
                <w:sz w:val="17"/>
              </w:rPr>
            </w:pPr>
            <w:r>
              <w:rPr>
                <w:color w:val="231F20"/>
                <w:w w:val="100"/>
                <w:sz w:val="17"/>
              </w:rPr>
              <w:t>-</w:t>
            </w:r>
          </w:p>
        </w:tc>
        <w:tc>
          <w:tcPr>
            <w:tcW w:w="1713" w:type="dxa"/>
          </w:tcPr>
          <w:p>
            <w:pPr>
              <w:pStyle w:val="TableParagraph"/>
              <w:spacing w:line="191" w:lineRule="exact" w:before="11"/>
              <w:ind w:right="81"/>
              <w:jc w:val="right"/>
              <w:rPr>
                <w:sz w:val="17"/>
              </w:rPr>
            </w:pPr>
            <w:r>
              <w:rPr>
                <w:color w:val="231F20"/>
                <w:spacing w:val="-2"/>
                <w:sz w:val="17"/>
              </w:rPr>
              <w:t>(1,089,500)</w:t>
            </w:r>
          </w:p>
        </w:tc>
      </w:tr>
      <w:tr>
        <w:trPr>
          <w:trHeight w:val="332" w:hRule="atLeast"/>
        </w:trPr>
        <w:tc>
          <w:tcPr>
            <w:tcW w:w="5363" w:type="dxa"/>
          </w:tcPr>
          <w:p>
            <w:pPr>
              <w:pStyle w:val="TableParagraph"/>
              <w:spacing w:before="11"/>
              <w:ind w:left="333"/>
              <w:rPr>
                <w:sz w:val="17"/>
              </w:rPr>
            </w:pPr>
            <w:r>
              <w:rPr>
                <w:color w:val="231F20"/>
                <w:sz w:val="17"/>
              </w:rPr>
              <w:t>Amortization</w:t>
            </w:r>
            <w:r>
              <w:rPr>
                <w:color w:val="231F20"/>
                <w:spacing w:val="-3"/>
                <w:sz w:val="17"/>
              </w:rPr>
              <w:t> </w:t>
            </w:r>
            <w:r>
              <w:rPr>
                <w:color w:val="231F20"/>
                <w:sz w:val="17"/>
              </w:rPr>
              <w:t>of</w:t>
            </w:r>
            <w:r>
              <w:rPr>
                <w:color w:val="231F20"/>
                <w:spacing w:val="-4"/>
                <w:sz w:val="17"/>
              </w:rPr>
              <w:t> </w:t>
            </w:r>
            <w:r>
              <w:rPr>
                <w:color w:val="231F20"/>
                <w:sz w:val="17"/>
              </w:rPr>
              <w:t>bond</w:t>
            </w:r>
            <w:r>
              <w:rPr>
                <w:color w:val="231F20"/>
                <w:spacing w:val="-3"/>
                <w:sz w:val="17"/>
              </w:rPr>
              <w:t> </w:t>
            </w:r>
            <w:r>
              <w:rPr>
                <w:color w:val="231F20"/>
                <w:spacing w:val="-2"/>
                <w:sz w:val="17"/>
              </w:rPr>
              <w:t>premium</w:t>
            </w:r>
          </w:p>
        </w:tc>
        <w:tc>
          <w:tcPr>
            <w:tcW w:w="2320" w:type="dxa"/>
          </w:tcPr>
          <w:p>
            <w:pPr>
              <w:pStyle w:val="TableParagraph"/>
              <w:spacing w:before="11"/>
              <w:ind w:right="155"/>
              <w:jc w:val="right"/>
              <w:rPr>
                <w:sz w:val="17"/>
              </w:rPr>
            </w:pPr>
            <w:r>
              <w:rPr>
                <w:color w:val="231F20"/>
                <w:spacing w:val="-2"/>
                <w:sz w:val="17"/>
              </w:rPr>
              <w:t>(59,389)</w:t>
            </w:r>
          </w:p>
        </w:tc>
        <w:tc>
          <w:tcPr>
            <w:tcW w:w="1713" w:type="dxa"/>
          </w:tcPr>
          <w:p>
            <w:pPr>
              <w:pStyle w:val="TableParagraph"/>
              <w:spacing w:before="11"/>
              <w:ind w:right="137"/>
              <w:jc w:val="right"/>
              <w:rPr>
                <w:sz w:val="17"/>
              </w:rPr>
            </w:pPr>
            <w:r>
              <w:rPr>
                <w:color w:val="231F20"/>
                <w:w w:val="100"/>
                <w:sz w:val="17"/>
              </w:rPr>
              <w:t>-</w:t>
            </w:r>
          </w:p>
        </w:tc>
      </w:tr>
      <w:tr>
        <w:trPr>
          <w:trHeight w:val="554" w:hRule="atLeast"/>
        </w:trPr>
        <w:tc>
          <w:tcPr>
            <w:tcW w:w="5363" w:type="dxa"/>
          </w:tcPr>
          <w:p>
            <w:pPr>
              <w:pStyle w:val="TableParagraph"/>
              <w:spacing w:line="220" w:lineRule="atLeast" w:before="94"/>
              <w:ind w:left="475" w:right="2061" w:hanging="142"/>
              <w:rPr>
                <w:sz w:val="17"/>
              </w:rPr>
            </w:pPr>
            <w:r>
              <w:rPr>
                <w:color w:val="231F20"/>
                <w:sz w:val="17"/>
              </w:rPr>
              <w:t>Changes</w:t>
            </w:r>
            <w:r>
              <w:rPr>
                <w:color w:val="231F20"/>
                <w:spacing w:val="-4"/>
                <w:sz w:val="17"/>
              </w:rPr>
              <w:t> </w:t>
            </w:r>
            <w:r>
              <w:rPr>
                <w:color w:val="231F20"/>
                <w:sz w:val="17"/>
              </w:rPr>
              <w:t>in</w:t>
            </w:r>
            <w:r>
              <w:rPr>
                <w:color w:val="231F20"/>
                <w:spacing w:val="-4"/>
                <w:sz w:val="17"/>
              </w:rPr>
              <w:t> </w:t>
            </w:r>
            <w:r>
              <w:rPr>
                <w:color w:val="231F20"/>
                <w:sz w:val="17"/>
              </w:rPr>
              <w:t>assets</w:t>
            </w:r>
            <w:r>
              <w:rPr>
                <w:color w:val="231F20"/>
                <w:spacing w:val="-4"/>
                <w:sz w:val="17"/>
              </w:rPr>
              <w:t> </w:t>
            </w:r>
            <w:r>
              <w:rPr>
                <w:color w:val="231F20"/>
                <w:sz w:val="17"/>
              </w:rPr>
              <w:t>and</w:t>
            </w:r>
            <w:r>
              <w:rPr>
                <w:color w:val="231F20"/>
                <w:spacing w:val="-5"/>
                <w:sz w:val="17"/>
              </w:rPr>
              <w:t> </w:t>
            </w:r>
            <w:r>
              <w:rPr>
                <w:color w:val="231F20"/>
                <w:sz w:val="17"/>
              </w:rPr>
              <w:t>liabilities Student accounts receivable</w:t>
            </w:r>
          </w:p>
        </w:tc>
        <w:tc>
          <w:tcPr>
            <w:tcW w:w="2320" w:type="dxa"/>
          </w:tcPr>
          <w:p>
            <w:pPr>
              <w:pStyle w:val="TableParagraph"/>
              <w:rPr>
                <w:sz w:val="18"/>
              </w:rPr>
            </w:pPr>
          </w:p>
          <w:p>
            <w:pPr>
              <w:pStyle w:val="TableParagraph"/>
              <w:spacing w:line="191" w:lineRule="exact" w:before="136"/>
              <w:ind w:right="156"/>
              <w:jc w:val="right"/>
              <w:rPr>
                <w:sz w:val="17"/>
              </w:rPr>
            </w:pPr>
            <w:r>
              <w:rPr>
                <w:color w:val="231F20"/>
                <w:spacing w:val="-2"/>
                <w:sz w:val="17"/>
              </w:rPr>
              <w:t>(173,154)</w:t>
            </w:r>
          </w:p>
        </w:tc>
        <w:tc>
          <w:tcPr>
            <w:tcW w:w="1713" w:type="dxa"/>
          </w:tcPr>
          <w:p>
            <w:pPr>
              <w:pStyle w:val="TableParagraph"/>
              <w:rPr>
                <w:sz w:val="18"/>
              </w:rPr>
            </w:pPr>
          </w:p>
          <w:p>
            <w:pPr>
              <w:pStyle w:val="TableParagraph"/>
              <w:spacing w:line="191" w:lineRule="exact" w:before="136"/>
              <w:ind w:right="138"/>
              <w:jc w:val="right"/>
              <w:rPr>
                <w:sz w:val="17"/>
              </w:rPr>
            </w:pPr>
            <w:r>
              <w:rPr>
                <w:color w:val="231F20"/>
                <w:w w:val="100"/>
                <w:sz w:val="17"/>
              </w:rPr>
              <w:t>-</w:t>
            </w:r>
          </w:p>
        </w:tc>
      </w:tr>
      <w:tr>
        <w:trPr>
          <w:trHeight w:val="221" w:hRule="atLeast"/>
        </w:trPr>
        <w:tc>
          <w:tcPr>
            <w:tcW w:w="5363" w:type="dxa"/>
          </w:tcPr>
          <w:p>
            <w:pPr>
              <w:pStyle w:val="TableParagraph"/>
              <w:spacing w:line="191" w:lineRule="exact" w:before="11"/>
              <w:ind w:left="475"/>
              <w:rPr>
                <w:sz w:val="17"/>
              </w:rPr>
            </w:pPr>
            <w:r>
              <w:rPr>
                <w:color w:val="231F20"/>
                <w:sz w:val="17"/>
              </w:rPr>
              <w:t>Contract</w:t>
            </w:r>
            <w:r>
              <w:rPr>
                <w:color w:val="231F20"/>
                <w:spacing w:val="-4"/>
                <w:sz w:val="17"/>
              </w:rPr>
              <w:t> </w:t>
            </w:r>
            <w:r>
              <w:rPr>
                <w:color w:val="231F20"/>
                <w:sz w:val="17"/>
              </w:rPr>
              <w:t>and</w:t>
            </w:r>
            <w:r>
              <w:rPr>
                <w:color w:val="231F20"/>
                <w:spacing w:val="-1"/>
                <w:sz w:val="17"/>
              </w:rPr>
              <w:t> </w:t>
            </w:r>
            <w:r>
              <w:rPr>
                <w:color w:val="231F20"/>
                <w:sz w:val="17"/>
              </w:rPr>
              <w:t>grant</w:t>
            </w:r>
            <w:r>
              <w:rPr>
                <w:color w:val="231F20"/>
                <w:spacing w:val="-4"/>
                <w:sz w:val="17"/>
              </w:rPr>
              <w:t> </w:t>
            </w:r>
            <w:r>
              <w:rPr>
                <w:color w:val="231F20"/>
                <w:sz w:val="17"/>
              </w:rPr>
              <w:t>billed</w:t>
            </w:r>
            <w:r>
              <w:rPr>
                <w:color w:val="231F20"/>
                <w:spacing w:val="-1"/>
                <w:sz w:val="17"/>
              </w:rPr>
              <w:t> </w:t>
            </w:r>
            <w:r>
              <w:rPr>
                <w:color w:val="231F20"/>
                <w:sz w:val="17"/>
              </w:rPr>
              <w:t>and</w:t>
            </w:r>
            <w:r>
              <w:rPr>
                <w:color w:val="231F20"/>
                <w:spacing w:val="-2"/>
                <w:sz w:val="17"/>
              </w:rPr>
              <w:t> </w:t>
            </w:r>
            <w:r>
              <w:rPr>
                <w:color w:val="231F20"/>
                <w:sz w:val="17"/>
              </w:rPr>
              <w:t>unbilled</w:t>
            </w:r>
            <w:r>
              <w:rPr>
                <w:color w:val="231F20"/>
                <w:spacing w:val="-1"/>
                <w:sz w:val="17"/>
              </w:rPr>
              <w:t> </w:t>
            </w:r>
            <w:r>
              <w:rPr>
                <w:color w:val="231F20"/>
                <w:spacing w:val="-2"/>
                <w:sz w:val="17"/>
              </w:rPr>
              <w:t>receivables</w:t>
            </w:r>
          </w:p>
        </w:tc>
        <w:tc>
          <w:tcPr>
            <w:tcW w:w="2320" w:type="dxa"/>
          </w:tcPr>
          <w:p>
            <w:pPr>
              <w:pStyle w:val="TableParagraph"/>
              <w:spacing w:line="191" w:lineRule="exact" w:before="11"/>
              <w:ind w:right="156"/>
              <w:jc w:val="right"/>
              <w:rPr>
                <w:sz w:val="17"/>
              </w:rPr>
            </w:pPr>
            <w:r>
              <w:rPr>
                <w:color w:val="231F20"/>
                <w:spacing w:val="-2"/>
                <w:sz w:val="17"/>
              </w:rPr>
              <w:t>(2,538,123)</w:t>
            </w:r>
          </w:p>
        </w:tc>
        <w:tc>
          <w:tcPr>
            <w:tcW w:w="1713" w:type="dxa"/>
          </w:tcPr>
          <w:p>
            <w:pPr>
              <w:pStyle w:val="TableParagraph"/>
              <w:spacing w:line="191" w:lineRule="exact" w:before="11"/>
              <w:ind w:right="138"/>
              <w:jc w:val="right"/>
              <w:rPr>
                <w:sz w:val="17"/>
              </w:rPr>
            </w:pPr>
            <w:r>
              <w:rPr>
                <w:color w:val="231F20"/>
                <w:w w:val="100"/>
                <w:sz w:val="17"/>
              </w:rPr>
              <w:t>-</w:t>
            </w:r>
          </w:p>
        </w:tc>
      </w:tr>
      <w:tr>
        <w:trPr>
          <w:trHeight w:val="221" w:hRule="atLeast"/>
        </w:trPr>
        <w:tc>
          <w:tcPr>
            <w:tcW w:w="5363" w:type="dxa"/>
          </w:tcPr>
          <w:p>
            <w:pPr>
              <w:pStyle w:val="TableParagraph"/>
              <w:spacing w:line="191" w:lineRule="exact" w:before="11"/>
              <w:ind w:left="474"/>
              <w:rPr>
                <w:sz w:val="17"/>
              </w:rPr>
            </w:pPr>
            <w:r>
              <w:rPr>
                <w:color w:val="231F20"/>
                <w:sz w:val="17"/>
              </w:rPr>
              <w:t>Other</w:t>
            </w:r>
            <w:r>
              <w:rPr>
                <w:color w:val="231F20"/>
                <w:spacing w:val="-5"/>
                <w:sz w:val="17"/>
              </w:rPr>
              <w:t> </w:t>
            </w:r>
            <w:r>
              <w:rPr>
                <w:color w:val="231F20"/>
                <w:sz w:val="17"/>
              </w:rPr>
              <w:t>accounts</w:t>
            </w:r>
            <w:r>
              <w:rPr>
                <w:color w:val="231F20"/>
                <w:spacing w:val="-3"/>
                <w:sz w:val="17"/>
              </w:rPr>
              <w:t> </w:t>
            </w:r>
            <w:r>
              <w:rPr>
                <w:color w:val="231F20"/>
                <w:spacing w:val="-2"/>
                <w:sz w:val="17"/>
              </w:rPr>
              <w:t>receivable</w:t>
            </w:r>
          </w:p>
        </w:tc>
        <w:tc>
          <w:tcPr>
            <w:tcW w:w="2320" w:type="dxa"/>
          </w:tcPr>
          <w:p>
            <w:pPr>
              <w:pStyle w:val="TableParagraph"/>
              <w:spacing w:line="191" w:lineRule="exact" w:before="11"/>
              <w:ind w:right="155"/>
              <w:jc w:val="right"/>
              <w:rPr>
                <w:sz w:val="17"/>
              </w:rPr>
            </w:pPr>
            <w:r>
              <w:rPr>
                <w:color w:val="231F20"/>
                <w:spacing w:val="-2"/>
                <w:sz w:val="17"/>
              </w:rPr>
              <w:t>(4,422,403)</w:t>
            </w:r>
          </w:p>
        </w:tc>
        <w:tc>
          <w:tcPr>
            <w:tcW w:w="1713" w:type="dxa"/>
          </w:tcPr>
          <w:p>
            <w:pPr>
              <w:pStyle w:val="TableParagraph"/>
              <w:spacing w:line="191" w:lineRule="exact" w:before="11"/>
              <w:ind w:right="138"/>
              <w:jc w:val="right"/>
              <w:rPr>
                <w:sz w:val="17"/>
              </w:rPr>
            </w:pPr>
            <w:r>
              <w:rPr>
                <w:color w:val="231F20"/>
                <w:spacing w:val="-2"/>
                <w:sz w:val="17"/>
              </w:rPr>
              <w:t>1,038,736</w:t>
            </w:r>
          </w:p>
        </w:tc>
      </w:tr>
      <w:tr>
        <w:trPr>
          <w:trHeight w:val="221" w:hRule="atLeast"/>
        </w:trPr>
        <w:tc>
          <w:tcPr>
            <w:tcW w:w="5363" w:type="dxa"/>
          </w:tcPr>
          <w:p>
            <w:pPr>
              <w:pStyle w:val="TableParagraph"/>
              <w:spacing w:line="191" w:lineRule="exact" w:before="11"/>
              <w:ind w:left="474"/>
              <w:rPr>
                <w:sz w:val="17"/>
              </w:rPr>
            </w:pPr>
            <w:r>
              <w:rPr>
                <w:color w:val="231F20"/>
                <w:spacing w:val="-2"/>
                <w:sz w:val="17"/>
              </w:rPr>
              <w:t>Inventories</w:t>
            </w:r>
          </w:p>
        </w:tc>
        <w:tc>
          <w:tcPr>
            <w:tcW w:w="2320" w:type="dxa"/>
          </w:tcPr>
          <w:p>
            <w:pPr>
              <w:pStyle w:val="TableParagraph"/>
              <w:spacing w:line="191" w:lineRule="exact" w:before="11"/>
              <w:ind w:right="155"/>
              <w:jc w:val="right"/>
              <w:rPr>
                <w:sz w:val="17"/>
              </w:rPr>
            </w:pPr>
            <w:r>
              <w:rPr>
                <w:color w:val="231F20"/>
                <w:spacing w:val="-2"/>
                <w:sz w:val="17"/>
              </w:rPr>
              <w:t>(19,678)</w:t>
            </w:r>
          </w:p>
        </w:tc>
        <w:tc>
          <w:tcPr>
            <w:tcW w:w="1713" w:type="dxa"/>
          </w:tcPr>
          <w:p>
            <w:pPr>
              <w:pStyle w:val="TableParagraph"/>
              <w:spacing w:line="191" w:lineRule="exact" w:before="11"/>
              <w:ind w:right="137"/>
              <w:jc w:val="right"/>
              <w:rPr>
                <w:sz w:val="17"/>
              </w:rPr>
            </w:pPr>
            <w:r>
              <w:rPr>
                <w:color w:val="231F20"/>
                <w:w w:val="100"/>
                <w:sz w:val="17"/>
              </w:rPr>
              <w:t>-</w:t>
            </w:r>
          </w:p>
        </w:tc>
      </w:tr>
      <w:tr>
        <w:trPr>
          <w:trHeight w:val="221" w:hRule="atLeast"/>
        </w:trPr>
        <w:tc>
          <w:tcPr>
            <w:tcW w:w="5363" w:type="dxa"/>
          </w:tcPr>
          <w:p>
            <w:pPr>
              <w:pStyle w:val="TableParagraph"/>
              <w:spacing w:line="191" w:lineRule="exact" w:before="10"/>
              <w:ind w:left="474"/>
              <w:rPr>
                <w:sz w:val="17"/>
              </w:rPr>
            </w:pPr>
            <w:r>
              <w:rPr>
                <w:color w:val="231F20"/>
                <w:sz w:val="17"/>
              </w:rPr>
              <w:t>Other</w:t>
            </w:r>
            <w:r>
              <w:rPr>
                <w:color w:val="231F20"/>
                <w:spacing w:val="-4"/>
                <w:sz w:val="17"/>
              </w:rPr>
              <w:t> </w:t>
            </w:r>
            <w:r>
              <w:rPr>
                <w:color w:val="231F20"/>
                <w:spacing w:val="-2"/>
                <w:sz w:val="17"/>
              </w:rPr>
              <w:t>assets</w:t>
            </w:r>
          </w:p>
        </w:tc>
        <w:tc>
          <w:tcPr>
            <w:tcW w:w="2320" w:type="dxa"/>
          </w:tcPr>
          <w:p>
            <w:pPr>
              <w:pStyle w:val="TableParagraph"/>
              <w:spacing w:line="191" w:lineRule="exact" w:before="10"/>
              <w:ind w:right="155"/>
              <w:jc w:val="right"/>
              <w:rPr>
                <w:sz w:val="17"/>
              </w:rPr>
            </w:pPr>
            <w:r>
              <w:rPr>
                <w:color w:val="231F20"/>
                <w:spacing w:val="-2"/>
                <w:sz w:val="17"/>
              </w:rPr>
              <w:t>(419,229)</w:t>
            </w:r>
          </w:p>
        </w:tc>
        <w:tc>
          <w:tcPr>
            <w:tcW w:w="1713" w:type="dxa"/>
          </w:tcPr>
          <w:p>
            <w:pPr>
              <w:pStyle w:val="TableParagraph"/>
              <w:spacing w:line="191" w:lineRule="exact" w:before="10"/>
              <w:ind w:right="82"/>
              <w:jc w:val="right"/>
              <w:rPr>
                <w:sz w:val="17"/>
              </w:rPr>
            </w:pPr>
            <w:r>
              <w:rPr>
                <w:color w:val="231F20"/>
                <w:spacing w:val="-2"/>
                <w:sz w:val="17"/>
              </w:rPr>
              <w:t>(8,877)</w:t>
            </w:r>
          </w:p>
        </w:tc>
      </w:tr>
      <w:tr>
        <w:trPr>
          <w:trHeight w:val="221" w:hRule="atLeast"/>
        </w:trPr>
        <w:tc>
          <w:tcPr>
            <w:tcW w:w="5363" w:type="dxa"/>
          </w:tcPr>
          <w:p>
            <w:pPr>
              <w:pStyle w:val="TableParagraph"/>
              <w:spacing w:line="191" w:lineRule="exact" w:before="11"/>
              <w:ind w:left="474"/>
              <w:rPr>
                <w:sz w:val="17"/>
              </w:rPr>
            </w:pPr>
            <w:r>
              <w:rPr>
                <w:color w:val="231F20"/>
                <w:sz w:val="17"/>
              </w:rPr>
              <w:t>Deferred</w:t>
            </w:r>
            <w:r>
              <w:rPr>
                <w:color w:val="231F20"/>
                <w:spacing w:val="-6"/>
                <w:sz w:val="17"/>
              </w:rPr>
              <w:t> </w:t>
            </w:r>
            <w:r>
              <w:rPr>
                <w:color w:val="231F20"/>
                <w:sz w:val="17"/>
              </w:rPr>
              <w:t>outflows</w:t>
            </w:r>
            <w:r>
              <w:rPr>
                <w:color w:val="231F20"/>
                <w:spacing w:val="-3"/>
                <w:sz w:val="17"/>
              </w:rPr>
              <w:t> </w:t>
            </w:r>
            <w:r>
              <w:rPr>
                <w:color w:val="231F20"/>
                <w:sz w:val="17"/>
              </w:rPr>
              <w:t>of</w:t>
            </w:r>
            <w:r>
              <w:rPr>
                <w:color w:val="231F20"/>
                <w:spacing w:val="-3"/>
                <w:sz w:val="17"/>
              </w:rPr>
              <w:t> </w:t>
            </w:r>
            <w:r>
              <w:rPr>
                <w:color w:val="231F20"/>
                <w:spacing w:val="-2"/>
                <w:sz w:val="17"/>
              </w:rPr>
              <w:t>resources</w:t>
            </w:r>
          </w:p>
        </w:tc>
        <w:tc>
          <w:tcPr>
            <w:tcW w:w="2320" w:type="dxa"/>
          </w:tcPr>
          <w:p>
            <w:pPr>
              <w:pStyle w:val="TableParagraph"/>
              <w:spacing w:line="191" w:lineRule="exact" w:before="11"/>
              <w:ind w:right="214"/>
              <w:jc w:val="right"/>
              <w:rPr>
                <w:sz w:val="17"/>
              </w:rPr>
            </w:pPr>
            <w:r>
              <w:rPr>
                <w:color w:val="231F20"/>
                <w:spacing w:val="-2"/>
                <w:sz w:val="17"/>
              </w:rPr>
              <w:t>28,670,730</w:t>
            </w:r>
          </w:p>
        </w:tc>
        <w:tc>
          <w:tcPr>
            <w:tcW w:w="1713" w:type="dxa"/>
          </w:tcPr>
          <w:p>
            <w:pPr>
              <w:pStyle w:val="TableParagraph"/>
              <w:spacing w:line="191" w:lineRule="exact" w:before="11"/>
              <w:ind w:right="138"/>
              <w:jc w:val="right"/>
              <w:rPr>
                <w:sz w:val="17"/>
              </w:rPr>
            </w:pPr>
            <w:r>
              <w:rPr>
                <w:color w:val="231F20"/>
                <w:w w:val="100"/>
                <w:sz w:val="17"/>
              </w:rPr>
              <w:t>-</w:t>
            </w:r>
          </w:p>
        </w:tc>
      </w:tr>
      <w:tr>
        <w:trPr>
          <w:trHeight w:val="221" w:hRule="atLeast"/>
        </w:trPr>
        <w:tc>
          <w:tcPr>
            <w:tcW w:w="5363" w:type="dxa"/>
          </w:tcPr>
          <w:p>
            <w:pPr>
              <w:pStyle w:val="TableParagraph"/>
              <w:spacing w:line="191" w:lineRule="exact" w:before="11"/>
              <w:ind w:left="474"/>
              <w:rPr>
                <w:sz w:val="17"/>
              </w:rPr>
            </w:pPr>
            <w:r>
              <w:rPr>
                <w:color w:val="231F20"/>
                <w:sz w:val="17"/>
              </w:rPr>
              <w:t>Accounts</w:t>
            </w:r>
            <w:r>
              <w:rPr>
                <w:color w:val="231F20"/>
                <w:spacing w:val="-4"/>
                <w:sz w:val="17"/>
              </w:rPr>
              <w:t> </w:t>
            </w:r>
            <w:r>
              <w:rPr>
                <w:color w:val="231F20"/>
                <w:sz w:val="17"/>
              </w:rPr>
              <w:t>payable</w:t>
            </w:r>
            <w:r>
              <w:rPr>
                <w:color w:val="231F20"/>
                <w:spacing w:val="-3"/>
                <w:sz w:val="17"/>
              </w:rPr>
              <w:t> </w:t>
            </w:r>
            <w:r>
              <w:rPr>
                <w:color w:val="231F20"/>
                <w:sz w:val="17"/>
              </w:rPr>
              <w:t>and</w:t>
            </w:r>
            <w:r>
              <w:rPr>
                <w:color w:val="231F20"/>
                <w:spacing w:val="-4"/>
                <w:sz w:val="17"/>
              </w:rPr>
              <w:t> </w:t>
            </w:r>
            <w:r>
              <w:rPr>
                <w:color w:val="231F20"/>
                <w:sz w:val="17"/>
              </w:rPr>
              <w:t>accrued</w:t>
            </w:r>
            <w:r>
              <w:rPr>
                <w:color w:val="231F20"/>
                <w:spacing w:val="-3"/>
                <w:sz w:val="17"/>
              </w:rPr>
              <w:t> </w:t>
            </w:r>
            <w:r>
              <w:rPr>
                <w:color w:val="231F20"/>
                <w:spacing w:val="-2"/>
                <w:sz w:val="17"/>
              </w:rPr>
              <w:t>expenses</w:t>
            </w:r>
          </w:p>
        </w:tc>
        <w:tc>
          <w:tcPr>
            <w:tcW w:w="2320" w:type="dxa"/>
          </w:tcPr>
          <w:p>
            <w:pPr>
              <w:pStyle w:val="TableParagraph"/>
              <w:spacing w:line="191" w:lineRule="exact" w:before="11"/>
              <w:ind w:right="215"/>
              <w:jc w:val="right"/>
              <w:rPr>
                <w:sz w:val="17"/>
              </w:rPr>
            </w:pPr>
            <w:r>
              <w:rPr>
                <w:color w:val="231F20"/>
                <w:spacing w:val="-2"/>
                <w:sz w:val="17"/>
              </w:rPr>
              <w:t>1,312,582</w:t>
            </w:r>
          </w:p>
        </w:tc>
        <w:tc>
          <w:tcPr>
            <w:tcW w:w="1713" w:type="dxa"/>
          </w:tcPr>
          <w:p>
            <w:pPr>
              <w:pStyle w:val="TableParagraph"/>
              <w:spacing w:line="191" w:lineRule="exact" w:before="11"/>
              <w:ind w:right="138"/>
              <w:jc w:val="right"/>
              <w:rPr>
                <w:sz w:val="17"/>
              </w:rPr>
            </w:pPr>
            <w:r>
              <w:rPr>
                <w:color w:val="231F20"/>
                <w:spacing w:val="-2"/>
                <w:sz w:val="17"/>
              </w:rPr>
              <w:t>22,950</w:t>
            </w:r>
          </w:p>
        </w:tc>
      </w:tr>
      <w:tr>
        <w:trPr>
          <w:trHeight w:val="221" w:hRule="atLeast"/>
        </w:trPr>
        <w:tc>
          <w:tcPr>
            <w:tcW w:w="5363" w:type="dxa"/>
          </w:tcPr>
          <w:p>
            <w:pPr>
              <w:pStyle w:val="TableParagraph"/>
              <w:spacing w:line="191" w:lineRule="exact" w:before="11"/>
              <w:ind w:left="474"/>
              <w:rPr>
                <w:sz w:val="17"/>
              </w:rPr>
            </w:pPr>
            <w:r>
              <w:rPr>
                <w:color w:val="231F20"/>
                <w:sz w:val="17"/>
              </w:rPr>
              <w:t>Student</w:t>
            </w:r>
            <w:r>
              <w:rPr>
                <w:color w:val="231F20"/>
                <w:spacing w:val="-3"/>
                <w:sz w:val="17"/>
              </w:rPr>
              <w:t> </w:t>
            </w:r>
            <w:r>
              <w:rPr>
                <w:color w:val="231F20"/>
                <w:sz w:val="17"/>
              </w:rPr>
              <w:t>and</w:t>
            </w:r>
            <w:r>
              <w:rPr>
                <w:color w:val="231F20"/>
                <w:spacing w:val="-3"/>
                <w:sz w:val="17"/>
              </w:rPr>
              <w:t> </w:t>
            </w:r>
            <w:r>
              <w:rPr>
                <w:color w:val="231F20"/>
                <w:sz w:val="17"/>
              </w:rPr>
              <w:t>other</w:t>
            </w:r>
            <w:r>
              <w:rPr>
                <w:color w:val="231F20"/>
                <w:spacing w:val="-2"/>
                <w:sz w:val="17"/>
              </w:rPr>
              <w:t> deposits</w:t>
            </w:r>
          </w:p>
        </w:tc>
        <w:tc>
          <w:tcPr>
            <w:tcW w:w="2320" w:type="dxa"/>
          </w:tcPr>
          <w:p>
            <w:pPr>
              <w:pStyle w:val="TableParagraph"/>
              <w:spacing w:line="191" w:lineRule="exact" w:before="11"/>
              <w:ind w:right="213"/>
              <w:jc w:val="right"/>
              <w:rPr>
                <w:sz w:val="17"/>
              </w:rPr>
            </w:pPr>
            <w:r>
              <w:rPr>
                <w:color w:val="231F20"/>
                <w:spacing w:val="-2"/>
                <w:sz w:val="17"/>
              </w:rPr>
              <w:t>57,980</w:t>
            </w:r>
          </w:p>
        </w:tc>
        <w:tc>
          <w:tcPr>
            <w:tcW w:w="1713" w:type="dxa"/>
          </w:tcPr>
          <w:p>
            <w:pPr>
              <w:pStyle w:val="TableParagraph"/>
              <w:spacing w:line="191" w:lineRule="exact" w:before="11"/>
              <w:ind w:right="137"/>
              <w:jc w:val="right"/>
              <w:rPr>
                <w:sz w:val="17"/>
              </w:rPr>
            </w:pPr>
            <w:r>
              <w:rPr>
                <w:color w:val="231F20"/>
                <w:w w:val="100"/>
                <w:sz w:val="17"/>
              </w:rPr>
              <w:t>-</w:t>
            </w:r>
          </w:p>
        </w:tc>
      </w:tr>
      <w:tr>
        <w:trPr>
          <w:trHeight w:val="221" w:hRule="atLeast"/>
        </w:trPr>
        <w:tc>
          <w:tcPr>
            <w:tcW w:w="5363" w:type="dxa"/>
          </w:tcPr>
          <w:p>
            <w:pPr>
              <w:pStyle w:val="TableParagraph"/>
              <w:spacing w:line="191" w:lineRule="exact" w:before="11"/>
              <w:ind w:left="474"/>
              <w:rPr>
                <w:sz w:val="17"/>
              </w:rPr>
            </w:pPr>
            <w:r>
              <w:rPr>
                <w:color w:val="231F20"/>
                <w:sz w:val="17"/>
              </w:rPr>
              <w:t>Unearned</w:t>
            </w:r>
            <w:r>
              <w:rPr>
                <w:color w:val="231F20"/>
                <w:spacing w:val="-4"/>
                <w:sz w:val="17"/>
              </w:rPr>
              <w:t> </w:t>
            </w:r>
            <w:r>
              <w:rPr>
                <w:color w:val="231F20"/>
                <w:spacing w:val="-2"/>
                <w:sz w:val="17"/>
              </w:rPr>
              <w:t>revenue</w:t>
            </w:r>
          </w:p>
        </w:tc>
        <w:tc>
          <w:tcPr>
            <w:tcW w:w="2320" w:type="dxa"/>
          </w:tcPr>
          <w:p>
            <w:pPr>
              <w:pStyle w:val="TableParagraph"/>
              <w:spacing w:line="191" w:lineRule="exact" w:before="11"/>
              <w:ind w:right="214"/>
              <w:jc w:val="right"/>
              <w:rPr>
                <w:sz w:val="17"/>
              </w:rPr>
            </w:pPr>
            <w:r>
              <w:rPr>
                <w:color w:val="231F20"/>
                <w:spacing w:val="-2"/>
                <w:sz w:val="17"/>
              </w:rPr>
              <w:t>2,304,194</w:t>
            </w:r>
          </w:p>
        </w:tc>
        <w:tc>
          <w:tcPr>
            <w:tcW w:w="1713" w:type="dxa"/>
          </w:tcPr>
          <w:p>
            <w:pPr>
              <w:pStyle w:val="TableParagraph"/>
              <w:spacing w:line="191" w:lineRule="exact" w:before="11"/>
              <w:ind w:right="138"/>
              <w:jc w:val="right"/>
              <w:rPr>
                <w:sz w:val="17"/>
              </w:rPr>
            </w:pPr>
            <w:r>
              <w:rPr>
                <w:color w:val="231F20"/>
                <w:w w:val="100"/>
                <w:sz w:val="17"/>
              </w:rPr>
              <w:t>-</w:t>
            </w:r>
          </w:p>
        </w:tc>
      </w:tr>
      <w:tr>
        <w:trPr>
          <w:trHeight w:val="221" w:hRule="atLeast"/>
        </w:trPr>
        <w:tc>
          <w:tcPr>
            <w:tcW w:w="5363" w:type="dxa"/>
          </w:tcPr>
          <w:p>
            <w:pPr>
              <w:pStyle w:val="TableParagraph"/>
              <w:spacing w:line="191" w:lineRule="exact" w:before="11"/>
              <w:ind w:left="474"/>
              <w:rPr>
                <w:sz w:val="17"/>
              </w:rPr>
            </w:pPr>
            <w:r>
              <w:rPr>
                <w:color w:val="231F20"/>
                <w:sz w:val="17"/>
              </w:rPr>
              <w:t>Compensated</w:t>
            </w:r>
            <w:r>
              <w:rPr>
                <w:color w:val="231F20"/>
                <w:spacing w:val="-7"/>
                <w:sz w:val="17"/>
              </w:rPr>
              <w:t> </w:t>
            </w:r>
            <w:r>
              <w:rPr>
                <w:color w:val="231F20"/>
                <w:spacing w:val="-2"/>
                <w:sz w:val="17"/>
              </w:rPr>
              <w:t>absences</w:t>
            </w:r>
          </w:p>
        </w:tc>
        <w:tc>
          <w:tcPr>
            <w:tcW w:w="2320" w:type="dxa"/>
          </w:tcPr>
          <w:p>
            <w:pPr>
              <w:pStyle w:val="TableParagraph"/>
              <w:spacing w:line="191" w:lineRule="exact" w:before="11"/>
              <w:ind w:right="156"/>
              <w:jc w:val="right"/>
              <w:rPr>
                <w:sz w:val="17"/>
              </w:rPr>
            </w:pPr>
            <w:r>
              <w:rPr>
                <w:color w:val="231F20"/>
                <w:spacing w:val="-2"/>
                <w:sz w:val="17"/>
              </w:rPr>
              <w:t>(1,083,312)</w:t>
            </w:r>
          </w:p>
        </w:tc>
        <w:tc>
          <w:tcPr>
            <w:tcW w:w="1713" w:type="dxa"/>
          </w:tcPr>
          <w:p>
            <w:pPr>
              <w:pStyle w:val="TableParagraph"/>
              <w:spacing w:line="191" w:lineRule="exact" w:before="11"/>
              <w:ind w:right="138"/>
              <w:jc w:val="right"/>
              <w:rPr>
                <w:sz w:val="17"/>
              </w:rPr>
            </w:pPr>
            <w:r>
              <w:rPr>
                <w:color w:val="231F20"/>
                <w:w w:val="100"/>
                <w:sz w:val="17"/>
              </w:rPr>
              <w:t>-</w:t>
            </w:r>
          </w:p>
        </w:tc>
      </w:tr>
      <w:tr>
        <w:trPr>
          <w:trHeight w:val="221" w:hRule="atLeast"/>
        </w:trPr>
        <w:tc>
          <w:tcPr>
            <w:tcW w:w="5363" w:type="dxa"/>
          </w:tcPr>
          <w:p>
            <w:pPr>
              <w:pStyle w:val="TableParagraph"/>
              <w:spacing w:line="191" w:lineRule="exact" w:before="10"/>
              <w:ind w:left="474"/>
              <w:rPr>
                <w:sz w:val="17"/>
              </w:rPr>
            </w:pPr>
            <w:r>
              <w:rPr>
                <w:color w:val="231F20"/>
                <w:sz w:val="17"/>
              </w:rPr>
              <w:t>Deferred</w:t>
            </w:r>
            <w:r>
              <w:rPr>
                <w:color w:val="231F20"/>
                <w:spacing w:val="-4"/>
                <w:sz w:val="17"/>
              </w:rPr>
              <w:t> </w:t>
            </w:r>
            <w:r>
              <w:rPr>
                <w:color w:val="231F20"/>
                <w:sz w:val="17"/>
              </w:rPr>
              <w:t>inflows</w:t>
            </w:r>
            <w:r>
              <w:rPr>
                <w:color w:val="231F20"/>
                <w:spacing w:val="-3"/>
                <w:sz w:val="17"/>
              </w:rPr>
              <w:t> </w:t>
            </w:r>
            <w:r>
              <w:rPr>
                <w:color w:val="231F20"/>
                <w:sz w:val="17"/>
              </w:rPr>
              <w:t>of</w:t>
            </w:r>
            <w:r>
              <w:rPr>
                <w:color w:val="231F20"/>
                <w:spacing w:val="-3"/>
                <w:sz w:val="17"/>
              </w:rPr>
              <w:t> </w:t>
            </w:r>
            <w:r>
              <w:rPr>
                <w:color w:val="231F20"/>
                <w:spacing w:val="-2"/>
                <w:sz w:val="17"/>
              </w:rPr>
              <w:t>resources</w:t>
            </w:r>
          </w:p>
        </w:tc>
        <w:tc>
          <w:tcPr>
            <w:tcW w:w="2320" w:type="dxa"/>
          </w:tcPr>
          <w:p>
            <w:pPr>
              <w:pStyle w:val="TableParagraph"/>
              <w:spacing w:line="191" w:lineRule="exact" w:before="10"/>
              <w:ind w:right="213"/>
              <w:jc w:val="right"/>
              <w:rPr>
                <w:sz w:val="17"/>
              </w:rPr>
            </w:pPr>
            <w:r>
              <w:rPr>
                <w:color w:val="231F20"/>
                <w:spacing w:val="-2"/>
                <w:sz w:val="17"/>
              </w:rPr>
              <w:t>127,367,312</w:t>
            </w:r>
          </w:p>
        </w:tc>
        <w:tc>
          <w:tcPr>
            <w:tcW w:w="1713" w:type="dxa"/>
          </w:tcPr>
          <w:p>
            <w:pPr>
              <w:pStyle w:val="TableParagraph"/>
              <w:spacing w:line="191" w:lineRule="exact" w:before="10"/>
              <w:ind w:right="83"/>
              <w:jc w:val="right"/>
              <w:rPr>
                <w:sz w:val="17"/>
              </w:rPr>
            </w:pPr>
            <w:r>
              <w:rPr>
                <w:color w:val="231F20"/>
                <w:spacing w:val="-2"/>
                <w:sz w:val="17"/>
              </w:rPr>
              <w:t>(24,907)</w:t>
            </w:r>
          </w:p>
        </w:tc>
      </w:tr>
      <w:tr>
        <w:trPr>
          <w:trHeight w:val="221" w:hRule="atLeast"/>
        </w:trPr>
        <w:tc>
          <w:tcPr>
            <w:tcW w:w="5363" w:type="dxa"/>
          </w:tcPr>
          <w:p>
            <w:pPr>
              <w:pStyle w:val="TableParagraph"/>
              <w:spacing w:line="191" w:lineRule="exact" w:before="11"/>
              <w:ind w:left="474"/>
              <w:rPr>
                <w:sz w:val="17"/>
              </w:rPr>
            </w:pPr>
            <w:r>
              <w:rPr>
                <w:color w:val="231F20"/>
                <w:sz w:val="17"/>
              </w:rPr>
              <w:t>Net</w:t>
            </w:r>
            <w:r>
              <w:rPr>
                <w:color w:val="231F20"/>
                <w:spacing w:val="-3"/>
                <w:sz w:val="17"/>
              </w:rPr>
              <w:t> </w:t>
            </w:r>
            <w:r>
              <w:rPr>
                <w:color w:val="231F20"/>
                <w:sz w:val="17"/>
              </w:rPr>
              <w:t>pension</w:t>
            </w:r>
            <w:r>
              <w:rPr>
                <w:color w:val="231F20"/>
                <w:spacing w:val="-1"/>
                <w:sz w:val="17"/>
              </w:rPr>
              <w:t> </w:t>
            </w:r>
            <w:r>
              <w:rPr>
                <w:color w:val="231F20"/>
                <w:spacing w:val="-2"/>
                <w:sz w:val="17"/>
              </w:rPr>
              <w:t>liability</w:t>
            </w:r>
          </w:p>
        </w:tc>
        <w:tc>
          <w:tcPr>
            <w:tcW w:w="2320" w:type="dxa"/>
          </w:tcPr>
          <w:p>
            <w:pPr>
              <w:pStyle w:val="TableParagraph"/>
              <w:spacing w:line="191" w:lineRule="exact" w:before="11"/>
              <w:ind w:right="156"/>
              <w:jc w:val="right"/>
              <w:rPr>
                <w:sz w:val="17"/>
              </w:rPr>
            </w:pPr>
            <w:r>
              <w:rPr>
                <w:color w:val="231F20"/>
                <w:spacing w:val="-2"/>
                <w:sz w:val="17"/>
              </w:rPr>
              <w:t>(171,834,069)</w:t>
            </w:r>
          </w:p>
        </w:tc>
        <w:tc>
          <w:tcPr>
            <w:tcW w:w="1713" w:type="dxa"/>
          </w:tcPr>
          <w:p>
            <w:pPr>
              <w:pStyle w:val="TableParagraph"/>
              <w:spacing w:line="191" w:lineRule="exact" w:before="11"/>
              <w:ind w:right="138"/>
              <w:jc w:val="right"/>
              <w:rPr>
                <w:sz w:val="17"/>
              </w:rPr>
            </w:pPr>
            <w:r>
              <w:rPr>
                <w:color w:val="231F20"/>
                <w:w w:val="100"/>
                <w:sz w:val="17"/>
              </w:rPr>
              <w:t>-</w:t>
            </w:r>
          </w:p>
        </w:tc>
      </w:tr>
      <w:tr>
        <w:trPr>
          <w:trHeight w:val="221" w:hRule="atLeast"/>
        </w:trPr>
        <w:tc>
          <w:tcPr>
            <w:tcW w:w="5363" w:type="dxa"/>
          </w:tcPr>
          <w:p>
            <w:pPr>
              <w:pStyle w:val="TableParagraph"/>
              <w:spacing w:line="191" w:lineRule="exact" w:before="11"/>
              <w:ind w:left="474"/>
              <w:rPr>
                <w:sz w:val="17"/>
              </w:rPr>
            </w:pPr>
            <w:r>
              <w:rPr>
                <w:color w:val="231F20"/>
                <w:sz w:val="17"/>
              </w:rPr>
              <w:t>Net</w:t>
            </w:r>
            <w:r>
              <w:rPr>
                <w:color w:val="231F20"/>
                <w:spacing w:val="-2"/>
                <w:sz w:val="17"/>
              </w:rPr>
              <w:t> </w:t>
            </w:r>
            <w:r>
              <w:rPr>
                <w:color w:val="231F20"/>
                <w:sz w:val="17"/>
              </w:rPr>
              <w:t>OPEB </w:t>
            </w:r>
            <w:r>
              <w:rPr>
                <w:color w:val="231F20"/>
                <w:spacing w:val="-2"/>
                <w:sz w:val="17"/>
              </w:rPr>
              <w:t>liability</w:t>
            </w:r>
          </w:p>
        </w:tc>
        <w:tc>
          <w:tcPr>
            <w:tcW w:w="2320" w:type="dxa"/>
          </w:tcPr>
          <w:p>
            <w:pPr>
              <w:pStyle w:val="TableParagraph"/>
              <w:spacing w:line="191" w:lineRule="exact" w:before="11"/>
              <w:ind w:right="213"/>
              <w:jc w:val="right"/>
              <w:rPr>
                <w:sz w:val="17"/>
              </w:rPr>
            </w:pPr>
            <w:r>
              <w:rPr>
                <w:color w:val="231F20"/>
                <w:spacing w:val="-2"/>
                <w:sz w:val="17"/>
              </w:rPr>
              <w:t>22,258,458</w:t>
            </w:r>
          </w:p>
        </w:tc>
        <w:tc>
          <w:tcPr>
            <w:tcW w:w="1713" w:type="dxa"/>
          </w:tcPr>
          <w:p>
            <w:pPr>
              <w:pStyle w:val="TableParagraph"/>
              <w:spacing w:line="191" w:lineRule="exact" w:before="11"/>
              <w:ind w:right="138"/>
              <w:jc w:val="right"/>
              <w:rPr>
                <w:sz w:val="17"/>
              </w:rPr>
            </w:pPr>
            <w:r>
              <w:rPr>
                <w:color w:val="231F20"/>
                <w:w w:val="100"/>
                <w:sz w:val="17"/>
              </w:rPr>
              <w:t>-</w:t>
            </w:r>
          </w:p>
        </w:tc>
      </w:tr>
      <w:tr>
        <w:trPr>
          <w:trHeight w:val="325" w:hRule="atLeast"/>
        </w:trPr>
        <w:tc>
          <w:tcPr>
            <w:tcW w:w="5363" w:type="dxa"/>
          </w:tcPr>
          <w:p>
            <w:pPr>
              <w:pStyle w:val="TableParagraph"/>
              <w:spacing w:before="11"/>
              <w:ind w:left="474"/>
              <w:rPr>
                <w:sz w:val="17"/>
              </w:rPr>
            </w:pPr>
            <w:r>
              <w:rPr>
                <w:color w:val="231F20"/>
                <w:sz w:val="17"/>
              </w:rPr>
              <w:t>Other</w:t>
            </w:r>
            <w:r>
              <w:rPr>
                <w:color w:val="231F20"/>
                <w:spacing w:val="-7"/>
                <w:sz w:val="17"/>
              </w:rPr>
              <w:t> </w:t>
            </w:r>
            <w:r>
              <w:rPr>
                <w:color w:val="231F20"/>
                <w:spacing w:val="-2"/>
                <w:sz w:val="17"/>
              </w:rPr>
              <w:t>payables</w:t>
            </w:r>
          </w:p>
        </w:tc>
        <w:tc>
          <w:tcPr>
            <w:tcW w:w="2320" w:type="dxa"/>
          </w:tcPr>
          <w:p>
            <w:pPr>
              <w:pStyle w:val="TableParagraph"/>
              <w:tabs>
                <w:tab w:pos="1389" w:val="left" w:leader="none"/>
              </w:tabs>
              <w:spacing w:before="11"/>
              <w:ind w:right="121"/>
              <w:jc w:val="right"/>
              <w:rPr>
                <w:sz w:val="17"/>
              </w:rPr>
            </w:pPr>
            <w:r>
              <w:rPr>
                <w:color w:val="231F20"/>
                <w:sz w:val="17"/>
                <w:u w:val="thick" w:color="231F20"/>
              </w:rPr>
              <w:tab/>
            </w:r>
            <w:r>
              <w:rPr>
                <w:color w:val="231F20"/>
                <w:spacing w:val="-10"/>
                <w:sz w:val="17"/>
                <w:u w:val="thick" w:color="231F20"/>
              </w:rPr>
              <w:t>-</w:t>
            </w:r>
            <w:r>
              <w:rPr>
                <w:color w:val="231F20"/>
                <w:spacing w:val="80"/>
                <w:sz w:val="17"/>
                <w:u w:val="thick" w:color="231F20"/>
              </w:rPr>
              <w:t> </w:t>
            </w:r>
          </w:p>
        </w:tc>
        <w:tc>
          <w:tcPr>
            <w:tcW w:w="1713" w:type="dxa"/>
          </w:tcPr>
          <w:p>
            <w:pPr>
              <w:pStyle w:val="TableParagraph"/>
              <w:tabs>
                <w:tab w:pos="686" w:val="left" w:leader="none"/>
              </w:tabs>
              <w:spacing w:before="11"/>
              <w:ind w:right="47"/>
              <w:jc w:val="right"/>
              <w:rPr>
                <w:sz w:val="17"/>
              </w:rPr>
            </w:pPr>
            <w:r>
              <w:rPr>
                <w:color w:val="231F20"/>
                <w:sz w:val="17"/>
                <w:u w:val="thick" w:color="231F20"/>
              </w:rPr>
              <w:tab/>
            </w:r>
            <w:r>
              <w:rPr>
                <w:color w:val="231F20"/>
                <w:spacing w:val="-2"/>
                <w:sz w:val="17"/>
                <w:u w:val="thick" w:color="231F20"/>
              </w:rPr>
              <w:t>1,461,336</w:t>
            </w:r>
            <w:r>
              <w:rPr>
                <w:color w:val="231F20"/>
                <w:spacing w:val="80"/>
                <w:sz w:val="17"/>
                <w:u w:val="thick" w:color="231F20"/>
              </w:rPr>
              <w:t> </w:t>
            </w:r>
          </w:p>
        </w:tc>
      </w:tr>
      <w:tr>
        <w:trPr>
          <w:trHeight w:val="379" w:hRule="atLeast"/>
        </w:trPr>
        <w:tc>
          <w:tcPr>
            <w:tcW w:w="5363" w:type="dxa"/>
          </w:tcPr>
          <w:p>
            <w:pPr>
              <w:pStyle w:val="TableParagraph"/>
              <w:spacing w:before="114"/>
              <w:ind w:left="50"/>
              <w:rPr>
                <w:sz w:val="17"/>
              </w:rPr>
            </w:pPr>
            <w:r>
              <w:rPr>
                <w:color w:val="231F20"/>
                <w:sz w:val="17"/>
              </w:rPr>
              <w:t>NET</w:t>
            </w:r>
            <w:r>
              <w:rPr>
                <w:color w:val="231F20"/>
                <w:spacing w:val="-1"/>
                <w:sz w:val="17"/>
              </w:rPr>
              <w:t> </w:t>
            </w:r>
            <w:r>
              <w:rPr>
                <w:color w:val="231F20"/>
                <w:sz w:val="17"/>
              </w:rPr>
              <w:t>CASH</w:t>
            </w:r>
            <w:r>
              <w:rPr>
                <w:color w:val="231F20"/>
                <w:spacing w:val="-1"/>
                <w:sz w:val="17"/>
              </w:rPr>
              <w:t> </w:t>
            </w:r>
            <w:r>
              <w:rPr>
                <w:color w:val="231F20"/>
                <w:sz w:val="17"/>
              </w:rPr>
              <w:t>USED</w:t>
            </w:r>
            <w:r>
              <w:rPr>
                <w:color w:val="231F20"/>
                <w:spacing w:val="-2"/>
                <w:sz w:val="17"/>
              </w:rPr>
              <w:t> </w:t>
            </w:r>
            <w:r>
              <w:rPr>
                <w:color w:val="231F20"/>
                <w:sz w:val="17"/>
              </w:rPr>
              <w:t>IN</w:t>
            </w:r>
            <w:r>
              <w:rPr>
                <w:color w:val="231F20"/>
                <w:spacing w:val="-1"/>
                <w:sz w:val="17"/>
              </w:rPr>
              <w:t> </w:t>
            </w:r>
            <w:r>
              <w:rPr>
                <w:color w:val="231F20"/>
                <w:sz w:val="17"/>
              </w:rPr>
              <w:t>OPERATING</w:t>
            </w:r>
            <w:r>
              <w:rPr>
                <w:color w:val="231F20"/>
                <w:spacing w:val="-1"/>
                <w:sz w:val="17"/>
              </w:rPr>
              <w:t> </w:t>
            </w:r>
            <w:r>
              <w:rPr>
                <w:color w:val="231F20"/>
                <w:spacing w:val="-2"/>
                <w:sz w:val="17"/>
              </w:rPr>
              <w:t>ACTIVITIES</w:t>
            </w:r>
          </w:p>
        </w:tc>
        <w:tc>
          <w:tcPr>
            <w:tcW w:w="2320" w:type="dxa"/>
          </w:tcPr>
          <w:p>
            <w:pPr>
              <w:pStyle w:val="TableParagraph"/>
              <w:tabs>
                <w:tab w:pos="532" w:val="left" w:leader="none"/>
              </w:tabs>
              <w:spacing w:before="136"/>
              <w:ind w:right="155"/>
              <w:jc w:val="right"/>
              <w:rPr>
                <w:sz w:val="17"/>
              </w:rPr>
            </w:pPr>
            <w:r>
              <w:rPr>
                <w:color w:val="231F20"/>
                <w:spacing w:val="43"/>
                <w:sz w:val="17"/>
                <w:u w:val="single" w:color="231F20"/>
              </w:rPr>
              <w:t> </w:t>
            </w:r>
            <w:r>
              <w:rPr>
                <w:color w:val="231F20"/>
                <w:spacing w:val="-10"/>
                <w:sz w:val="17"/>
                <w:u w:val="single" w:color="231F20"/>
              </w:rPr>
              <w:t>$</w:t>
            </w:r>
            <w:r>
              <w:rPr>
                <w:color w:val="231F20"/>
                <w:sz w:val="17"/>
                <w:u w:val="single" w:color="231F20"/>
              </w:rPr>
              <w:tab/>
            </w:r>
            <w:r>
              <w:rPr>
                <w:color w:val="231F20"/>
                <w:spacing w:val="-2"/>
                <w:sz w:val="17"/>
                <w:u w:val="single" w:color="231F20"/>
              </w:rPr>
              <w:t>(48,062,403)</w:t>
            </w:r>
          </w:p>
        </w:tc>
        <w:tc>
          <w:tcPr>
            <w:tcW w:w="1713" w:type="dxa"/>
          </w:tcPr>
          <w:p>
            <w:pPr>
              <w:pStyle w:val="TableParagraph"/>
              <w:tabs>
                <w:tab w:pos="961" w:val="left" w:leader="none"/>
              </w:tabs>
              <w:spacing w:before="136"/>
              <w:ind w:right="82"/>
              <w:jc w:val="right"/>
              <w:rPr>
                <w:sz w:val="17"/>
              </w:rPr>
            </w:pPr>
            <w:r>
              <w:rPr>
                <w:color w:val="231F20"/>
                <w:spacing w:val="42"/>
                <w:sz w:val="17"/>
                <w:u w:val="single" w:color="231F20"/>
              </w:rPr>
              <w:t> </w:t>
            </w:r>
            <w:r>
              <w:rPr>
                <w:color w:val="231F20"/>
                <w:spacing w:val="-10"/>
                <w:sz w:val="17"/>
                <w:u w:val="single" w:color="231F20"/>
              </w:rPr>
              <w:t>$</w:t>
            </w:r>
            <w:r>
              <w:rPr>
                <w:color w:val="231F20"/>
                <w:sz w:val="17"/>
                <w:u w:val="single" w:color="231F20"/>
              </w:rPr>
              <w:tab/>
            </w:r>
            <w:r>
              <w:rPr>
                <w:color w:val="231F20"/>
                <w:spacing w:val="-2"/>
                <w:sz w:val="17"/>
                <w:u w:val="single" w:color="231F20"/>
              </w:rPr>
              <w:t>(8,579)</w:t>
            </w:r>
          </w:p>
        </w:tc>
      </w:tr>
    </w:tbl>
    <w:p>
      <w:pPr>
        <w:pStyle w:val="BodyText"/>
      </w:pPr>
    </w:p>
    <w:p>
      <w:pPr>
        <w:pStyle w:val="BodyText"/>
        <w:spacing w:before="11"/>
        <w:rPr>
          <w:sz w:val="18"/>
        </w:rPr>
      </w:pPr>
    </w:p>
    <w:p>
      <w:pPr>
        <w:spacing w:before="0"/>
        <w:ind w:left="1483" w:right="0" w:firstLine="0"/>
        <w:jc w:val="left"/>
        <w:rPr>
          <w:b/>
          <w:sz w:val="17"/>
        </w:rPr>
      </w:pPr>
      <w:r>
        <w:rPr/>
        <w:pict>
          <v:rect style="position:absolute;margin-left:372.721008pt;margin-top:-22.684839pt;width:76.92pt;height:.95999pt;mso-position-horizontal-relative:page;mso-position-vertical-relative:paragraph;z-index:15757312" id="docshape253" filled="true" fillcolor="#231f20" stroked="false">
            <v:fill type="solid"/>
            <w10:wrap type="none"/>
          </v:rect>
        </w:pict>
      </w:r>
      <w:r>
        <w:rPr/>
        <w:pict>
          <v:rect style="position:absolute;margin-left:462.061005pt;margin-top:-22.684839pt;width:76.92pt;height:.95999pt;mso-position-horizontal-relative:page;mso-position-vertical-relative:paragraph;z-index:15757824" id="docshape254" filled="true" fillcolor="#231f20" stroked="false">
            <v:fill type="solid"/>
            <w10:wrap type="none"/>
          </v:rect>
        </w:pict>
      </w:r>
      <w:r>
        <w:rPr>
          <w:b/>
          <w:color w:val="231F20"/>
          <w:sz w:val="17"/>
        </w:rPr>
        <w:t>Supplemental</w:t>
      </w:r>
      <w:r>
        <w:rPr>
          <w:b/>
          <w:color w:val="231F20"/>
          <w:spacing w:val="-2"/>
          <w:sz w:val="17"/>
        </w:rPr>
        <w:t> </w:t>
      </w:r>
      <w:r>
        <w:rPr>
          <w:b/>
          <w:color w:val="231F20"/>
          <w:sz w:val="17"/>
        </w:rPr>
        <w:t>Disclosure</w:t>
      </w:r>
      <w:r>
        <w:rPr>
          <w:b/>
          <w:color w:val="231F20"/>
          <w:spacing w:val="-3"/>
          <w:sz w:val="17"/>
        </w:rPr>
        <w:t> </w:t>
      </w:r>
      <w:r>
        <w:rPr>
          <w:b/>
          <w:color w:val="231F20"/>
          <w:sz w:val="17"/>
        </w:rPr>
        <w:t>of</w:t>
      </w:r>
      <w:r>
        <w:rPr>
          <w:b/>
          <w:color w:val="231F20"/>
          <w:spacing w:val="-2"/>
          <w:sz w:val="17"/>
        </w:rPr>
        <w:t> </w:t>
      </w:r>
      <w:r>
        <w:rPr>
          <w:b/>
          <w:color w:val="231F20"/>
          <w:sz w:val="17"/>
        </w:rPr>
        <w:t>Cash</w:t>
      </w:r>
      <w:r>
        <w:rPr>
          <w:b/>
          <w:color w:val="231F20"/>
          <w:spacing w:val="-2"/>
          <w:sz w:val="17"/>
        </w:rPr>
        <w:t> </w:t>
      </w:r>
      <w:r>
        <w:rPr>
          <w:b/>
          <w:color w:val="231F20"/>
          <w:sz w:val="17"/>
        </w:rPr>
        <w:t>Flow</w:t>
      </w:r>
      <w:r>
        <w:rPr>
          <w:b/>
          <w:color w:val="231F20"/>
          <w:spacing w:val="4"/>
          <w:sz w:val="17"/>
        </w:rPr>
        <w:t> </w:t>
      </w:r>
      <w:r>
        <w:rPr>
          <w:b/>
          <w:color w:val="231F20"/>
          <w:spacing w:val="-2"/>
          <w:sz w:val="17"/>
        </w:rPr>
        <w:t>Information</w:t>
      </w:r>
    </w:p>
    <w:p>
      <w:pPr>
        <w:spacing w:line="544" w:lineRule="auto" w:before="35"/>
        <w:ind w:left="1483" w:right="2665" w:firstLine="0"/>
        <w:jc w:val="left"/>
        <w:rPr>
          <w:sz w:val="17"/>
        </w:rPr>
      </w:pPr>
      <w:r>
        <w:rPr>
          <w:color w:val="231F20"/>
          <w:sz w:val="17"/>
        </w:rPr>
        <w:t>During 2022, investments held by the Institute decreased in value in the amount of $11,437,840. During 2022, investments held by</w:t>
      </w:r>
      <w:r>
        <w:rPr>
          <w:color w:val="231F20"/>
          <w:spacing w:val="-2"/>
          <w:sz w:val="17"/>
        </w:rPr>
        <w:t> </w:t>
      </w:r>
      <w:r>
        <w:rPr>
          <w:color w:val="231F20"/>
          <w:sz w:val="17"/>
        </w:rPr>
        <w:t>the Foundation decreased in value in the amount</w:t>
      </w:r>
      <w:r>
        <w:rPr>
          <w:color w:val="231F20"/>
          <w:spacing w:val="-1"/>
          <w:sz w:val="17"/>
        </w:rPr>
        <w:t> </w:t>
      </w:r>
      <w:r>
        <w:rPr>
          <w:color w:val="231F20"/>
          <w:sz w:val="17"/>
        </w:rPr>
        <w:t>of</w:t>
      </w:r>
      <w:r>
        <w:rPr>
          <w:color w:val="231F20"/>
          <w:spacing w:val="-1"/>
          <w:sz w:val="17"/>
        </w:rPr>
        <w:t> </w:t>
      </w:r>
      <w:r>
        <w:rPr>
          <w:color w:val="231F20"/>
          <w:sz w:val="17"/>
        </w:rPr>
        <w:t>$2,820,743.</w:t>
      </w:r>
    </w:p>
    <w:p>
      <w:pPr>
        <w:spacing w:after="0" w:line="544" w:lineRule="auto"/>
        <w:jc w:val="left"/>
        <w:rPr>
          <w:sz w:val="17"/>
        </w:rPr>
        <w:sectPr>
          <w:type w:val="continuous"/>
          <w:pgSz w:w="12240" w:h="15840"/>
          <w:pgMar w:header="1270" w:footer="1097" w:top="1460" w:bottom="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4"/>
        </w:rPr>
        <w:t> </w:t>
      </w:r>
      <w:r>
        <w:rPr>
          <w:color w:val="231F20"/>
        </w:rPr>
        <w:t>1</w:t>
      </w:r>
      <w:r>
        <w:rPr>
          <w:color w:val="231F20"/>
          <w:spacing w:val="-4"/>
        </w:rPr>
        <w:t> </w:t>
      </w:r>
      <w:r>
        <w:rPr>
          <w:color w:val="231F20"/>
        </w:rPr>
        <w:t>–</w:t>
      </w:r>
      <w:r>
        <w:rPr>
          <w:color w:val="231F20"/>
          <w:spacing w:val="-4"/>
        </w:rPr>
        <w:t> </w:t>
      </w:r>
      <w:r>
        <w:rPr>
          <w:color w:val="231F20"/>
        </w:rPr>
        <w:t>Description</w:t>
      </w:r>
      <w:r>
        <w:rPr>
          <w:color w:val="231F20"/>
          <w:spacing w:val="-4"/>
        </w:rPr>
        <w:t> </w:t>
      </w:r>
      <w:r>
        <w:rPr>
          <w:color w:val="231F20"/>
        </w:rPr>
        <w:t>of</w:t>
      </w:r>
      <w:r>
        <w:rPr>
          <w:color w:val="231F20"/>
          <w:spacing w:val="-4"/>
        </w:rPr>
        <w:t> </w:t>
      </w:r>
      <w:r>
        <w:rPr>
          <w:color w:val="231F20"/>
          <w:spacing w:val="-2"/>
        </w:rPr>
        <w:t>Business</w:t>
      </w:r>
    </w:p>
    <w:p>
      <w:pPr>
        <w:pStyle w:val="BodyText"/>
        <w:rPr>
          <w:b/>
          <w:sz w:val="26"/>
        </w:rPr>
      </w:pPr>
    </w:p>
    <w:p>
      <w:pPr>
        <w:spacing w:before="1"/>
        <w:ind w:left="1440" w:right="0" w:firstLine="0"/>
        <w:jc w:val="left"/>
        <w:rPr>
          <w:b/>
          <w:sz w:val="20"/>
        </w:rPr>
      </w:pPr>
      <w:r>
        <w:rPr>
          <w:b/>
          <w:color w:val="231F20"/>
          <w:spacing w:val="-2"/>
          <w:sz w:val="20"/>
        </w:rPr>
        <w:t>Organization</w:t>
      </w:r>
    </w:p>
    <w:p>
      <w:pPr>
        <w:pStyle w:val="BodyText"/>
        <w:spacing w:line="276" w:lineRule="auto" w:before="34"/>
        <w:ind w:left="1440" w:right="857"/>
      </w:pPr>
      <w:r>
        <w:rPr>
          <w:color w:val="231F20"/>
        </w:rPr>
        <w:t>The New Mexico Institute of Mining and Technology (the Institute, NMIMT, or NMT) is declared to be and is</w:t>
      </w:r>
      <w:r>
        <w:rPr>
          <w:color w:val="231F20"/>
          <w:spacing w:val="-3"/>
        </w:rPr>
        <w:t> </w:t>
      </w:r>
      <w:r>
        <w:rPr>
          <w:color w:val="231F20"/>
        </w:rPr>
        <w:t>confirmed</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state</w:t>
      </w:r>
      <w:r>
        <w:rPr>
          <w:color w:val="231F20"/>
          <w:spacing w:val="-3"/>
        </w:rPr>
        <w:t> </w:t>
      </w:r>
      <w:r>
        <w:rPr>
          <w:color w:val="231F20"/>
        </w:rPr>
        <w:t>educational</w:t>
      </w:r>
      <w:r>
        <w:rPr>
          <w:color w:val="231F20"/>
          <w:spacing w:val="-3"/>
        </w:rPr>
        <w:t> </w:t>
      </w:r>
      <w:r>
        <w:rPr>
          <w:color w:val="231F20"/>
        </w:rPr>
        <w:t>institution</w:t>
      </w:r>
      <w:r>
        <w:rPr>
          <w:color w:val="231F20"/>
          <w:spacing w:val="-3"/>
        </w:rPr>
        <w:t> </w:t>
      </w:r>
      <w:r>
        <w:rPr>
          <w:color w:val="231F20"/>
        </w:rPr>
        <w:t>by</w:t>
      </w:r>
      <w:r>
        <w:rPr>
          <w:color w:val="231F20"/>
          <w:spacing w:val="-3"/>
        </w:rPr>
        <w:t> </w:t>
      </w:r>
      <w:r>
        <w:rPr>
          <w:color w:val="231F20"/>
        </w:rPr>
        <w:t>Section</w:t>
      </w:r>
      <w:r>
        <w:rPr>
          <w:color w:val="231F20"/>
          <w:spacing w:val="-3"/>
        </w:rPr>
        <w:t> </w:t>
      </w:r>
      <w:r>
        <w:rPr>
          <w:color w:val="231F20"/>
        </w:rPr>
        <w:t>11</w:t>
      </w:r>
      <w:r>
        <w:rPr>
          <w:color w:val="231F20"/>
          <w:spacing w:val="-3"/>
        </w:rPr>
        <w:t> </w:t>
      </w:r>
      <w:r>
        <w:rPr>
          <w:color w:val="231F20"/>
        </w:rPr>
        <w:t>of</w:t>
      </w:r>
      <w:r>
        <w:rPr>
          <w:color w:val="231F20"/>
          <w:spacing w:val="-3"/>
        </w:rPr>
        <w:t> </w:t>
      </w:r>
      <w:r>
        <w:rPr>
          <w:color w:val="231F20"/>
        </w:rPr>
        <w:t>Article</w:t>
      </w:r>
      <w:r>
        <w:rPr>
          <w:color w:val="231F20"/>
          <w:spacing w:val="-3"/>
        </w:rPr>
        <w:t> </w:t>
      </w:r>
      <w:r>
        <w:rPr>
          <w:color w:val="231F20"/>
        </w:rPr>
        <w:t>XII</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Constitution</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State</w:t>
      </w:r>
      <w:r>
        <w:rPr>
          <w:color w:val="231F20"/>
          <w:spacing w:val="-3"/>
        </w:rPr>
        <w:t> </w:t>
      </w:r>
      <w:r>
        <w:rPr>
          <w:color w:val="231F20"/>
        </w:rPr>
        <w:t>of New Mexico, as amended. The Institute was founded in 1889 under the New Mexico Territorial Laws</w:t>
      </w:r>
    </w:p>
    <w:p>
      <w:pPr>
        <w:pStyle w:val="BodyText"/>
        <w:spacing w:line="230" w:lineRule="exact"/>
        <w:ind w:left="1440"/>
      </w:pPr>
      <w:r>
        <w:rPr>
          <w:color w:val="231F20"/>
        </w:rPr>
        <w:t>of</w:t>
      </w:r>
      <w:r>
        <w:rPr>
          <w:color w:val="231F20"/>
          <w:spacing w:val="-2"/>
        </w:rPr>
        <w:t> 1889.</w:t>
      </w:r>
    </w:p>
    <w:p>
      <w:pPr>
        <w:pStyle w:val="BodyText"/>
        <w:rPr>
          <w:sz w:val="26"/>
        </w:rPr>
      </w:pPr>
    </w:p>
    <w:p>
      <w:pPr>
        <w:pStyle w:val="BodyText"/>
        <w:spacing w:line="276" w:lineRule="auto"/>
        <w:ind w:left="1440" w:right="919"/>
      </w:pPr>
      <w:r>
        <w:rPr>
          <w:color w:val="231F20"/>
        </w:rPr>
        <w:t>According</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Constitution</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State</w:t>
      </w:r>
      <w:r>
        <w:rPr>
          <w:color w:val="231F20"/>
          <w:spacing w:val="-3"/>
        </w:rPr>
        <w:t> </w:t>
      </w:r>
      <w:r>
        <w:rPr>
          <w:color w:val="231F20"/>
        </w:rPr>
        <w:t>of</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the</w:t>
      </w:r>
      <w:r>
        <w:rPr>
          <w:color w:val="231F20"/>
          <w:spacing w:val="-3"/>
        </w:rPr>
        <w:t> </w:t>
      </w:r>
      <w:r>
        <w:rPr>
          <w:color w:val="231F20"/>
        </w:rPr>
        <w:t>legislature</w:t>
      </w:r>
      <w:r>
        <w:rPr>
          <w:color w:val="231F20"/>
          <w:spacing w:val="-3"/>
        </w:rPr>
        <w:t> </w:t>
      </w:r>
      <w:r>
        <w:rPr>
          <w:color w:val="231F20"/>
        </w:rPr>
        <w:t>shall</w:t>
      </w:r>
      <w:r>
        <w:rPr>
          <w:color w:val="231F20"/>
          <w:spacing w:val="-3"/>
        </w:rPr>
        <w:t> </w:t>
      </w:r>
      <w:r>
        <w:rPr>
          <w:color w:val="231F20"/>
        </w:rPr>
        <w:t>provide</w:t>
      </w:r>
      <w:r>
        <w:rPr>
          <w:color w:val="231F20"/>
          <w:spacing w:val="-3"/>
        </w:rPr>
        <w:t> </w:t>
      </w:r>
      <w:r>
        <w:rPr>
          <w:color w:val="231F20"/>
        </w:rPr>
        <w:t>for</w:t>
      </w:r>
      <w:r>
        <w:rPr>
          <w:color w:val="231F20"/>
          <w:spacing w:val="-3"/>
        </w:rPr>
        <w:t> </w:t>
      </w:r>
      <w:r>
        <w:rPr>
          <w:color w:val="231F20"/>
        </w:rPr>
        <w:t>the</w:t>
      </w:r>
      <w:r>
        <w:rPr>
          <w:color w:val="231F20"/>
          <w:spacing w:val="-4"/>
        </w:rPr>
        <w:t> </w:t>
      </w:r>
      <w:r>
        <w:rPr>
          <w:color w:val="231F20"/>
        </w:rPr>
        <w:t>control</w:t>
      </w:r>
      <w:r>
        <w:rPr>
          <w:color w:val="231F20"/>
          <w:spacing w:val="-3"/>
        </w:rPr>
        <w:t> </w:t>
      </w:r>
      <w:r>
        <w:rPr>
          <w:color w:val="231F20"/>
        </w:rPr>
        <w:t>and management by a Board of Regents consisting of five members appointed by the Governor and confirmed by the State Senate for overlapping terms of six years. Section 21-11-4 of the New Mexico Statutes Annotated, 1978 Compilation (NMSA 1978), also vests this control and management in the Board of Regents.</w:t>
      </w:r>
    </w:p>
    <w:p>
      <w:pPr>
        <w:pStyle w:val="BodyText"/>
        <w:spacing w:before="10"/>
        <w:rPr>
          <w:sz w:val="22"/>
        </w:rPr>
      </w:pPr>
    </w:p>
    <w:p>
      <w:pPr>
        <w:pStyle w:val="BodyText"/>
        <w:spacing w:line="276" w:lineRule="auto" w:before="1"/>
        <w:ind w:left="1440" w:right="1048"/>
      </w:pPr>
      <w:r>
        <w:rPr>
          <w:color w:val="231F20"/>
        </w:rPr>
        <w:t>The Institute offers both graduate and undergraduate degree programs in many fields. Major programs offered include earth sciences, physical and biological sciences, mineral engineering disciplines, mathematics,</w:t>
      </w:r>
      <w:r>
        <w:rPr>
          <w:color w:val="231F20"/>
          <w:spacing w:val="-5"/>
        </w:rPr>
        <w:t> </w:t>
      </w:r>
      <w:r>
        <w:rPr>
          <w:color w:val="231F20"/>
        </w:rPr>
        <w:t>and</w:t>
      </w:r>
      <w:r>
        <w:rPr>
          <w:color w:val="231F20"/>
          <w:spacing w:val="-4"/>
        </w:rPr>
        <w:t> </w:t>
      </w:r>
      <w:r>
        <w:rPr>
          <w:color w:val="231F20"/>
        </w:rPr>
        <w:t>computer</w:t>
      </w:r>
      <w:r>
        <w:rPr>
          <w:color w:val="231F20"/>
          <w:spacing w:val="-3"/>
        </w:rPr>
        <w:t> </w:t>
      </w:r>
      <w:r>
        <w:rPr>
          <w:color w:val="231F20"/>
        </w:rPr>
        <w:t>science.</w:t>
      </w:r>
      <w:r>
        <w:rPr>
          <w:color w:val="231F20"/>
          <w:spacing w:val="-4"/>
        </w:rPr>
        <w:t> </w:t>
      </w:r>
      <w:r>
        <w:rPr>
          <w:color w:val="231F20"/>
        </w:rPr>
        <w:t>The</w:t>
      </w:r>
      <w:r>
        <w:rPr>
          <w:color w:val="231F20"/>
          <w:spacing w:val="-4"/>
        </w:rPr>
        <w:t> </w:t>
      </w:r>
      <w:r>
        <w:rPr>
          <w:color w:val="231F20"/>
        </w:rPr>
        <w:t>Institute</w:t>
      </w:r>
      <w:r>
        <w:rPr>
          <w:color w:val="231F20"/>
          <w:spacing w:val="-4"/>
        </w:rPr>
        <w:t> </w:t>
      </w:r>
      <w:r>
        <w:rPr>
          <w:color w:val="231F20"/>
        </w:rPr>
        <w:t>is</w:t>
      </w:r>
      <w:r>
        <w:rPr>
          <w:color w:val="231F20"/>
          <w:spacing w:val="-3"/>
        </w:rPr>
        <w:t> </w:t>
      </w:r>
      <w:r>
        <w:rPr>
          <w:color w:val="231F20"/>
        </w:rPr>
        <w:t>also</w:t>
      </w:r>
      <w:r>
        <w:rPr>
          <w:color w:val="231F20"/>
          <w:spacing w:val="-4"/>
        </w:rPr>
        <w:t> </w:t>
      </w:r>
      <w:r>
        <w:rPr>
          <w:color w:val="231F20"/>
        </w:rPr>
        <w:t>involved</w:t>
      </w:r>
      <w:r>
        <w:rPr>
          <w:color w:val="231F20"/>
          <w:spacing w:val="-5"/>
        </w:rPr>
        <w:t> </w:t>
      </w:r>
      <w:r>
        <w:rPr>
          <w:color w:val="231F20"/>
        </w:rPr>
        <w:t>in</w:t>
      </w:r>
      <w:r>
        <w:rPr>
          <w:color w:val="231F20"/>
          <w:spacing w:val="-4"/>
        </w:rPr>
        <w:t> </w:t>
      </w:r>
      <w:r>
        <w:rPr>
          <w:color w:val="231F20"/>
        </w:rPr>
        <w:t>numerous</w:t>
      </w:r>
      <w:r>
        <w:rPr>
          <w:color w:val="231F20"/>
          <w:spacing w:val="-4"/>
        </w:rPr>
        <w:t> </w:t>
      </w:r>
      <w:r>
        <w:rPr>
          <w:color w:val="231F20"/>
        </w:rPr>
        <w:t>research</w:t>
      </w:r>
      <w:r>
        <w:rPr>
          <w:color w:val="231F20"/>
          <w:spacing w:val="-4"/>
        </w:rPr>
        <w:t> </w:t>
      </w:r>
      <w:r>
        <w:rPr>
          <w:color w:val="231F20"/>
        </w:rPr>
        <w:t>projects,</w:t>
      </w:r>
      <w:r>
        <w:rPr>
          <w:color w:val="231F20"/>
          <w:spacing w:val="-4"/>
        </w:rPr>
        <w:t> </w:t>
      </w:r>
      <w:r>
        <w:rPr>
          <w:color w:val="231F20"/>
        </w:rPr>
        <w:t>many of which are performed under government or private contracts.</w:t>
      </w:r>
    </w:p>
    <w:p>
      <w:pPr>
        <w:pStyle w:val="BodyText"/>
        <w:rPr>
          <w:sz w:val="22"/>
        </w:rPr>
      </w:pPr>
    </w:p>
    <w:p>
      <w:pPr>
        <w:pStyle w:val="BodyText"/>
        <w:rPr>
          <w:sz w:val="24"/>
        </w:rPr>
      </w:pPr>
    </w:p>
    <w:p>
      <w:pPr>
        <w:pStyle w:val="Heading4"/>
      </w:pPr>
      <w:r>
        <w:rPr>
          <w:color w:val="231F20"/>
        </w:rPr>
        <w:t>Note</w:t>
      </w:r>
      <w:r>
        <w:rPr>
          <w:color w:val="231F20"/>
          <w:spacing w:val="-8"/>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5"/>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5"/>
        </w:rPr>
        <w:t> </w:t>
      </w:r>
      <w:r>
        <w:rPr>
          <w:color w:val="231F20"/>
          <w:spacing w:val="-2"/>
        </w:rPr>
        <w:t>Policies</w:t>
      </w:r>
    </w:p>
    <w:p>
      <w:pPr>
        <w:pStyle w:val="BodyText"/>
        <w:rPr>
          <w:b/>
          <w:sz w:val="26"/>
        </w:rPr>
      </w:pPr>
    </w:p>
    <w:p>
      <w:pPr>
        <w:pStyle w:val="ListParagraph"/>
        <w:numPr>
          <w:ilvl w:val="0"/>
          <w:numId w:val="5"/>
        </w:numPr>
        <w:tabs>
          <w:tab w:pos="1774" w:val="left" w:leader="none"/>
        </w:tabs>
        <w:spacing w:line="240" w:lineRule="auto" w:before="0" w:after="0"/>
        <w:ind w:left="1773" w:right="0" w:hanging="334"/>
        <w:jc w:val="left"/>
        <w:rPr>
          <w:b/>
          <w:sz w:val="20"/>
        </w:rPr>
      </w:pPr>
      <w:r>
        <w:rPr>
          <w:b/>
          <w:color w:val="231F20"/>
          <w:sz w:val="20"/>
        </w:rPr>
        <w:t>Basis</w:t>
      </w:r>
      <w:r>
        <w:rPr>
          <w:b/>
          <w:color w:val="231F20"/>
          <w:spacing w:val="-2"/>
          <w:sz w:val="20"/>
        </w:rPr>
        <w:t> </w:t>
      </w:r>
      <w:r>
        <w:rPr>
          <w:b/>
          <w:color w:val="231F20"/>
          <w:sz w:val="20"/>
        </w:rPr>
        <w:t>of</w:t>
      </w:r>
      <w:r>
        <w:rPr>
          <w:b/>
          <w:color w:val="231F20"/>
          <w:spacing w:val="-3"/>
          <w:sz w:val="20"/>
        </w:rPr>
        <w:t> </w:t>
      </w:r>
      <w:r>
        <w:rPr>
          <w:b/>
          <w:color w:val="231F20"/>
          <w:spacing w:val="-2"/>
          <w:sz w:val="20"/>
        </w:rPr>
        <w:t>Presentation</w:t>
      </w:r>
    </w:p>
    <w:p>
      <w:pPr>
        <w:pStyle w:val="BodyText"/>
        <w:rPr>
          <w:b/>
          <w:sz w:val="26"/>
        </w:rPr>
      </w:pPr>
    </w:p>
    <w:p>
      <w:pPr>
        <w:pStyle w:val="BodyText"/>
        <w:spacing w:line="276" w:lineRule="auto"/>
        <w:ind w:left="1439" w:right="891"/>
      </w:pPr>
      <w:r>
        <w:rPr>
          <w:color w:val="231F20"/>
        </w:rPr>
        <w:t>The Institute and its component units present their financial statements in accordance with accounting principles generally accepted in the United States of America (US GAAP) as prescribed in applicable pronouncements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Governmental</w:t>
      </w:r>
      <w:r>
        <w:rPr>
          <w:color w:val="231F20"/>
          <w:spacing w:val="-1"/>
        </w:rPr>
        <w:t> </w:t>
      </w:r>
      <w:r>
        <w:rPr>
          <w:color w:val="231F20"/>
        </w:rPr>
        <w:t>Accounting</w:t>
      </w:r>
      <w:r>
        <w:rPr>
          <w:color w:val="231F20"/>
          <w:spacing w:val="-1"/>
        </w:rPr>
        <w:t> </w:t>
      </w:r>
      <w:r>
        <w:rPr>
          <w:color w:val="231F20"/>
        </w:rPr>
        <w:t>Standards</w:t>
      </w:r>
      <w:r>
        <w:rPr>
          <w:color w:val="231F20"/>
          <w:spacing w:val="-1"/>
        </w:rPr>
        <w:t> </w:t>
      </w:r>
      <w:r>
        <w:rPr>
          <w:color w:val="231F20"/>
        </w:rPr>
        <w:t>Board</w:t>
      </w:r>
      <w:r>
        <w:rPr>
          <w:color w:val="231F20"/>
          <w:spacing w:val="-1"/>
        </w:rPr>
        <w:t> </w:t>
      </w:r>
      <w:r>
        <w:rPr>
          <w:color w:val="231F20"/>
        </w:rPr>
        <w:t>(GASB). The</w:t>
      </w:r>
      <w:r>
        <w:rPr>
          <w:color w:val="231F20"/>
          <w:spacing w:val="-1"/>
        </w:rPr>
        <w:t> </w:t>
      </w:r>
      <w:r>
        <w:rPr>
          <w:color w:val="231F20"/>
        </w:rPr>
        <w:t>statement</w:t>
      </w:r>
      <w:r>
        <w:rPr>
          <w:color w:val="231F20"/>
          <w:spacing w:val="-1"/>
        </w:rPr>
        <w:t> </w:t>
      </w:r>
      <w:r>
        <w:rPr>
          <w:color w:val="231F20"/>
        </w:rPr>
        <w:t>presentation required by GASB Statement 35, </w:t>
      </w:r>
      <w:r>
        <w:rPr>
          <w:i/>
          <w:color w:val="231F20"/>
        </w:rPr>
        <w:t>Basic Financial Statements – and Management’s Discussion and</w:t>
      </w:r>
      <w:r>
        <w:rPr>
          <w:i/>
          <w:color w:val="231F20"/>
        </w:rPr>
        <w:t> Analysis</w:t>
      </w:r>
      <w:r>
        <w:rPr>
          <w:i/>
          <w:color w:val="231F20"/>
          <w:spacing w:val="-4"/>
        </w:rPr>
        <w:t> </w:t>
      </w:r>
      <w:r>
        <w:rPr>
          <w:i/>
          <w:color w:val="231F20"/>
        </w:rPr>
        <w:t>–</w:t>
      </w:r>
      <w:r>
        <w:rPr>
          <w:i/>
          <w:color w:val="231F20"/>
          <w:spacing w:val="-4"/>
        </w:rPr>
        <w:t> </w:t>
      </w:r>
      <w:r>
        <w:rPr>
          <w:i/>
          <w:color w:val="231F20"/>
        </w:rPr>
        <w:t>an</w:t>
      </w:r>
      <w:r>
        <w:rPr>
          <w:i/>
          <w:color w:val="231F20"/>
          <w:spacing w:val="-4"/>
        </w:rPr>
        <w:t> </w:t>
      </w:r>
      <w:r>
        <w:rPr>
          <w:i/>
          <w:color w:val="231F20"/>
        </w:rPr>
        <w:t>amendment</w:t>
      </w:r>
      <w:r>
        <w:rPr>
          <w:i/>
          <w:color w:val="231F20"/>
          <w:spacing w:val="-4"/>
        </w:rPr>
        <w:t> </w:t>
      </w:r>
      <w:r>
        <w:rPr>
          <w:i/>
          <w:color w:val="231F20"/>
        </w:rPr>
        <w:t>of</w:t>
      </w:r>
      <w:r>
        <w:rPr>
          <w:i/>
          <w:color w:val="231F20"/>
          <w:spacing w:val="-4"/>
        </w:rPr>
        <w:t> </w:t>
      </w:r>
      <w:r>
        <w:rPr>
          <w:i/>
          <w:color w:val="231F20"/>
        </w:rPr>
        <w:t>GASB</w:t>
      </w:r>
      <w:r>
        <w:rPr>
          <w:i/>
          <w:color w:val="231F20"/>
          <w:spacing w:val="-4"/>
        </w:rPr>
        <w:t> </w:t>
      </w:r>
      <w:r>
        <w:rPr>
          <w:i/>
          <w:color w:val="231F20"/>
        </w:rPr>
        <w:t>Statement</w:t>
      </w:r>
      <w:r>
        <w:rPr>
          <w:i/>
          <w:color w:val="231F20"/>
          <w:spacing w:val="-4"/>
        </w:rPr>
        <w:t> </w:t>
      </w:r>
      <w:r>
        <w:rPr>
          <w:i/>
          <w:color w:val="231F20"/>
        </w:rPr>
        <w:t>No.</w:t>
      </w:r>
      <w:r>
        <w:rPr>
          <w:i/>
          <w:color w:val="231F20"/>
          <w:spacing w:val="-4"/>
        </w:rPr>
        <w:t> </w:t>
      </w:r>
      <w:r>
        <w:rPr>
          <w:i/>
          <w:color w:val="231F20"/>
        </w:rPr>
        <w:t>34,</w:t>
      </w:r>
      <w:r>
        <w:rPr>
          <w:i/>
          <w:color w:val="231F20"/>
          <w:spacing w:val="-1"/>
        </w:rPr>
        <w:t> </w:t>
      </w:r>
      <w:r>
        <w:rPr>
          <w:color w:val="231F20"/>
        </w:rPr>
        <w:t>provides</w:t>
      </w:r>
      <w:r>
        <w:rPr>
          <w:color w:val="231F20"/>
          <w:spacing w:val="-4"/>
        </w:rPr>
        <w:t> </w:t>
      </w:r>
      <w:r>
        <w:rPr>
          <w:color w:val="231F20"/>
        </w:rPr>
        <w:t>a</w:t>
      </w:r>
      <w:r>
        <w:rPr>
          <w:color w:val="231F20"/>
          <w:spacing w:val="-5"/>
        </w:rPr>
        <w:t> </w:t>
      </w:r>
      <w:r>
        <w:rPr>
          <w:color w:val="231F20"/>
        </w:rPr>
        <w:t>comprehensive</w:t>
      </w:r>
      <w:r>
        <w:rPr>
          <w:color w:val="231F20"/>
          <w:spacing w:val="-4"/>
        </w:rPr>
        <w:t> </w:t>
      </w:r>
      <w:r>
        <w:rPr>
          <w:color w:val="231F20"/>
        </w:rPr>
        <w:t>entity-wide</w:t>
      </w:r>
      <w:r>
        <w:rPr>
          <w:color w:val="231F20"/>
          <w:spacing w:val="-5"/>
        </w:rPr>
        <w:t> </w:t>
      </w:r>
      <w:r>
        <w:rPr>
          <w:color w:val="231F20"/>
        </w:rPr>
        <w:t>perspective of</w:t>
      </w:r>
      <w:r>
        <w:rPr>
          <w:color w:val="231F20"/>
          <w:spacing w:val="-2"/>
        </w:rPr>
        <w:t> </w:t>
      </w:r>
      <w:r>
        <w:rPr>
          <w:color w:val="231F20"/>
        </w:rPr>
        <w:t>the</w:t>
      </w:r>
      <w:r>
        <w:rPr>
          <w:color w:val="231F20"/>
          <w:spacing w:val="-2"/>
        </w:rPr>
        <w:t> </w:t>
      </w:r>
      <w:r>
        <w:rPr>
          <w:color w:val="231F20"/>
        </w:rPr>
        <w:t>Institute’s</w:t>
      </w:r>
      <w:r>
        <w:rPr>
          <w:color w:val="231F20"/>
          <w:spacing w:val="-2"/>
        </w:rPr>
        <w:t> </w:t>
      </w:r>
      <w:r>
        <w:rPr>
          <w:color w:val="231F20"/>
        </w:rPr>
        <w:t>assets,</w:t>
      </w:r>
      <w:r>
        <w:rPr>
          <w:color w:val="231F20"/>
          <w:spacing w:val="-2"/>
        </w:rPr>
        <w:t> </w:t>
      </w:r>
      <w:r>
        <w:rPr>
          <w:color w:val="231F20"/>
        </w:rPr>
        <w:t>liabilities,</w:t>
      </w:r>
      <w:r>
        <w:rPr>
          <w:color w:val="231F20"/>
          <w:spacing w:val="-2"/>
        </w:rPr>
        <w:t> </w:t>
      </w:r>
      <w:r>
        <w:rPr>
          <w:color w:val="231F20"/>
        </w:rPr>
        <w:t>and</w:t>
      </w:r>
      <w:r>
        <w:rPr>
          <w:color w:val="231F20"/>
          <w:spacing w:val="-2"/>
        </w:rPr>
        <w:t> </w:t>
      </w:r>
      <w:r>
        <w:rPr>
          <w:color w:val="231F20"/>
        </w:rPr>
        <w:t>net</w:t>
      </w:r>
      <w:r>
        <w:rPr>
          <w:color w:val="231F20"/>
          <w:spacing w:val="-2"/>
        </w:rPr>
        <w:t> </w:t>
      </w:r>
      <w:r>
        <w:rPr>
          <w:color w:val="231F20"/>
        </w:rPr>
        <w:t>position,</w:t>
      </w:r>
      <w:r>
        <w:rPr>
          <w:color w:val="231F20"/>
          <w:spacing w:val="-2"/>
        </w:rPr>
        <w:t> </w:t>
      </w:r>
      <w:r>
        <w:rPr>
          <w:color w:val="231F20"/>
        </w:rPr>
        <w:t>revenues,</w:t>
      </w:r>
      <w:r>
        <w:rPr>
          <w:color w:val="231F20"/>
          <w:spacing w:val="-2"/>
        </w:rPr>
        <w:t> </w:t>
      </w:r>
      <w:r>
        <w:rPr>
          <w:color w:val="231F20"/>
        </w:rPr>
        <w:t>expenses</w:t>
      </w:r>
      <w:r>
        <w:rPr>
          <w:color w:val="231F20"/>
          <w:spacing w:val="-2"/>
        </w:rPr>
        <w:t> </w:t>
      </w:r>
      <w:r>
        <w:rPr>
          <w:color w:val="231F20"/>
        </w:rPr>
        <w:t>and</w:t>
      </w:r>
      <w:r>
        <w:rPr>
          <w:color w:val="231F20"/>
          <w:spacing w:val="-2"/>
        </w:rPr>
        <w:t> </w:t>
      </w:r>
      <w:r>
        <w:rPr>
          <w:color w:val="231F20"/>
        </w:rPr>
        <w:t>changes</w:t>
      </w:r>
      <w:r>
        <w:rPr>
          <w:color w:val="231F20"/>
          <w:spacing w:val="-2"/>
        </w:rPr>
        <w:t> </w:t>
      </w:r>
      <w:r>
        <w:rPr>
          <w:color w:val="231F20"/>
        </w:rPr>
        <w:t>in</w:t>
      </w:r>
      <w:r>
        <w:rPr>
          <w:color w:val="231F20"/>
          <w:spacing w:val="-2"/>
        </w:rPr>
        <w:t> </w:t>
      </w:r>
      <w:r>
        <w:rPr>
          <w:color w:val="231F20"/>
        </w:rPr>
        <w:t>net</w:t>
      </w:r>
      <w:r>
        <w:rPr>
          <w:color w:val="231F20"/>
          <w:spacing w:val="-2"/>
        </w:rPr>
        <w:t> </w:t>
      </w:r>
      <w:r>
        <w:rPr>
          <w:color w:val="231F20"/>
        </w:rPr>
        <w:t>position,</w:t>
      </w:r>
      <w:r>
        <w:rPr>
          <w:color w:val="231F20"/>
          <w:spacing w:val="-2"/>
        </w:rPr>
        <w:t> </w:t>
      </w:r>
      <w:r>
        <w:rPr>
          <w:color w:val="231F20"/>
        </w:rPr>
        <w:t>and cash flows.</w:t>
      </w:r>
    </w:p>
    <w:p>
      <w:pPr>
        <w:pStyle w:val="BodyText"/>
        <w:spacing w:before="11"/>
        <w:rPr>
          <w:sz w:val="22"/>
        </w:rPr>
      </w:pPr>
    </w:p>
    <w:p>
      <w:pPr>
        <w:spacing w:line="276" w:lineRule="auto" w:before="0"/>
        <w:ind w:left="1439" w:right="870" w:firstLine="0"/>
        <w:jc w:val="left"/>
        <w:rPr>
          <w:sz w:val="20"/>
        </w:rPr>
      </w:pPr>
      <w:r>
        <w:rPr>
          <w:color w:val="231F20"/>
          <w:sz w:val="20"/>
        </w:rPr>
        <w:t>GASB Statement 14, </w:t>
      </w:r>
      <w:r>
        <w:rPr>
          <w:i/>
          <w:color w:val="231F20"/>
          <w:sz w:val="20"/>
        </w:rPr>
        <w:t>The Financial Reporting Entity, </w:t>
      </w:r>
      <w:r>
        <w:rPr>
          <w:color w:val="231F20"/>
          <w:sz w:val="20"/>
        </w:rPr>
        <w:t>as amended by GASB Statement 39, </w:t>
      </w:r>
      <w:r>
        <w:rPr>
          <w:i/>
          <w:color w:val="231F20"/>
          <w:sz w:val="20"/>
        </w:rPr>
        <w:t>Determining</w:t>
      </w:r>
      <w:r>
        <w:rPr>
          <w:i/>
          <w:color w:val="231F20"/>
          <w:sz w:val="20"/>
        </w:rPr>
        <w:t> Whether Certain Organizations Are Component Units, </w:t>
      </w:r>
      <w:r>
        <w:rPr>
          <w:color w:val="231F20"/>
          <w:sz w:val="20"/>
        </w:rPr>
        <w:t>GASB Statement 61, </w:t>
      </w:r>
      <w:r>
        <w:rPr>
          <w:i/>
          <w:color w:val="231F20"/>
          <w:sz w:val="20"/>
        </w:rPr>
        <w:t>The Financial Reporting</w:t>
      </w:r>
      <w:r>
        <w:rPr>
          <w:i/>
          <w:color w:val="231F20"/>
          <w:sz w:val="20"/>
        </w:rPr>
        <w:t> Entity – Omnibus, </w:t>
      </w:r>
      <w:r>
        <w:rPr>
          <w:color w:val="231F20"/>
          <w:sz w:val="20"/>
        </w:rPr>
        <w:t>and GASB Statement 80, </w:t>
      </w:r>
      <w:r>
        <w:rPr>
          <w:i/>
          <w:color w:val="231F20"/>
          <w:sz w:val="20"/>
        </w:rPr>
        <w:t>Blending Requirements for Certain Component Units,</w:t>
      </w:r>
      <w:r>
        <w:rPr>
          <w:i/>
          <w:color w:val="231F20"/>
          <w:sz w:val="20"/>
        </w:rPr>
        <w:t> </w:t>
      </w:r>
      <w:r>
        <w:rPr>
          <w:color w:val="231F20"/>
          <w:sz w:val="20"/>
        </w:rPr>
        <w:t>provides</w:t>
      </w:r>
      <w:r>
        <w:rPr>
          <w:color w:val="231F20"/>
          <w:spacing w:val="-4"/>
          <w:sz w:val="20"/>
        </w:rPr>
        <w:t> </w:t>
      </w:r>
      <w:r>
        <w:rPr>
          <w:color w:val="231F20"/>
          <w:sz w:val="20"/>
        </w:rPr>
        <w:t>guidance</w:t>
      </w:r>
      <w:r>
        <w:rPr>
          <w:color w:val="231F20"/>
          <w:spacing w:val="-4"/>
          <w:sz w:val="20"/>
        </w:rPr>
        <w:t> </w:t>
      </w:r>
      <w:r>
        <w:rPr>
          <w:color w:val="231F20"/>
          <w:sz w:val="20"/>
        </w:rPr>
        <w:t>in</w:t>
      </w:r>
      <w:r>
        <w:rPr>
          <w:color w:val="231F20"/>
          <w:spacing w:val="-4"/>
          <w:sz w:val="20"/>
        </w:rPr>
        <w:t> </w:t>
      </w:r>
      <w:r>
        <w:rPr>
          <w:color w:val="231F20"/>
          <w:sz w:val="20"/>
        </w:rPr>
        <w:t>determining</w:t>
      </w:r>
      <w:r>
        <w:rPr>
          <w:color w:val="231F20"/>
          <w:spacing w:val="-4"/>
          <w:sz w:val="20"/>
        </w:rPr>
        <w:t> </w:t>
      </w:r>
      <w:r>
        <w:rPr>
          <w:color w:val="231F20"/>
          <w:sz w:val="20"/>
        </w:rPr>
        <w:t>whether</w:t>
      </w:r>
      <w:r>
        <w:rPr>
          <w:color w:val="231F20"/>
          <w:spacing w:val="-4"/>
          <w:sz w:val="20"/>
        </w:rPr>
        <w:t> </w:t>
      </w:r>
      <w:r>
        <w:rPr>
          <w:color w:val="231F20"/>
          <w:sz w:val="20"/>
        </w:rPr>
        <w:t>certain</w:t>
      </w:r>
      <w:r>
        <w:rPr>
          <w:color w:val="231F20"/>
          <w:spacing w:val="-4"/>
          <w:sz w:val="20"/>
        </w:rPr>
        <w:t> </w:t>
      </w:r>
      <w:r>
        <w:rPr>
          <w:color w:val="231F20"/>
          <w:sz w:val="20"/>
        </w:rPr>
        <w:t>organizations</w:t>
      </w:r>
      <w:r>
        <w:rPr>
          <w:color w:val="231F20"/>
          <w:spacing w:val="-4"/>
          <w:sz w:val="20"/>
        </w:rPr>
        <w:t> </w:t>
      </w:r>
      <w:r>
        <w:rPr>
          <w:color w:val="231F20"/>
          <w:sz w:val="20"/>
        </w:rPr>
        <w:t>are</w:t>
      </w:r>
      <w:r>
        <w:rPr>
          <w:color w:val="231F20"/>
          <w:spacing w:val="-4"/>
          <w:sz w:val="20"/>
        </w:rPr>
        <w:t> </w:t>
      </w:r>
      <w:r>
        <w:rPr>
          <w:color w:val="231F20"/>
          <w:sz w:val="20"/>
        </w:rPr>
        <w:t>component</w:t>
      </w:r>
      <w:r>
        <w:rPr>
          <w:color w:val="231F20"/>
          <w:spacing w:val="-4"/>
          <w:sz w:val="20"/>
        </w:rPr>
        <w:t> </w:t>
      </w:r>
      <w:r>
        <w:rPr>
          <w:color w:val="231F20"/>
          <w:sz w:val="20"/>
        </w:rPr>
        <w:t>units</w:t>
      </w:r>
      <w:r>
        <w:rPr>
          <w:color w:val="231F20"/>
          <w:spacing w:val="-4"/>
          <w:sz w:val="20"/>
        </w:rPr>
        <w:t> </w:t>
      </w:r>
      <w:r>
        <w:rPr>
          <w:color w:val="231F20"/>
          <w:sz w:val="20"/>
        </w:rPr>
        <w:t>and</w:t>
      </w:r>
      <w:r>
        <w:rPr>
          <w:color w:val="231F20"/>
          <w:spacing w:val="-4"/>
          <w:sz w:val="20"/>
        </w:rPr>
        <w:t> </w:t>
      </w:r>
      <w:r>
        <w:rPr>
          <w:color w:val="231F20"/>
          <w:sz w:val="20"/>
        </w:rPr>
        <w:t>the</w:t>
      </w:r>
      <w:r>
        <w:rPr>
          <w:color w:val="231F20"/>
          <w:spacing w:val="-4"/>
          <w:sz w:val="20"/>
        </w:rPr>
        <w:t> </w:t>
      </w:r>
      <w:r>
        <w:rPr>
          <w:color w:val="231F20"/>
          <w:sz w:val="20"/>
        </w:rPr>
        <w:t>presentation of these component units in the financial statements. Criteria for determining whether related organizations are component units include the following circumstances:</w:t>
      </w:r>
    </w:p>
    <w:p>
      <w:pPr>
        <w:pStyle w:val="ListParagraph"/>
        <w:numPr>
          <w:ilvl w:val="1"/>
          <w:numId w:val="5"/>
        </w:numPr>
        <w:tabs>
          <w:tab w:pos="2159" w:val="left" w:leader="none"/>
          <w:tab w:pos="2160" w:val="left" w:leader="none"/>
        </w:tabs>
        <w:spacing w:line="273" w:lineRule="auto" w:before="122" w:after="0"/>
        <w:ind w:left="2159" w:right="1248" w:hanging="361"/>
        <w:jc w:val="left"/>
        <w:rPr>
          <w:sz w:val="20"/>
        </w:rPr>
      </w:pPr>
      <w:r>
        <w:rPr>
          <w:color w:val="231F20"/>
          <w:sz w:val="20"/>
        </w:rPr>
        <w:t>Appointment</w:t>
      </w:r>
      <w:r>
        <w:rPr>
          <w:color w:val="231F20"/>
          <w:spacing w:val="-3"/>
          <w:sz w:val="20"/>
        </w:rPr>
        <w:t> </w:t>
      </w:r>
      <w:r>
        <w:rPr>
          <w:color w:val="231F20"/>
          <w:sz w:val="20"/>
        </w:rPr>
        <w:t>of</w:t>
      </w:r>
      <w:r>
        <w:rPr>
          <w:color w:val="231F20"/>
          <w:spacing w:val="-3"/>
          <w:sz w:val="20"/>
        </w:rPr>
        <w:t> </w:t>
      </w:r>
      <w:r>
        <w:rPr>
          <w:color w:val="231F20"/>
          <w:sz w:val="20"/>
        </w:rPr>
        <w:t>a</w:t>
      </w:r>
      <w:r>
        <w:rPr>
          <w:color w:val="231F20"/>
          <w:spacing w:val="-3"/>
          <w:sz w:val="20"/>
        </w:rPr>
        <w:t> </w:t>
      </w:r>
      <w:r>
        <w:rPr>
          <w:color w:val="231F20"/>
          <w:sz w:val="20"/>
        </w:rPr>
        <w:t>voting</w:t>
      </w:r>
      <w:r>
        <w:rPr>
          <w:color w:val="231F20"/>
          <w:spacing w:val="-3"/>
          <w:sz w:val="20"/>
        </w:rPr>
        <w:t> </w:t>
      </w:r>
      <w:r>
        <w:rPr>
          <w:color w:val="231F20"/>
          <w:sz w:val="20"/>
        </w:rPr>
        <w:t>majority</w:t>
      </w:r>
      <w:r>
        <w:rPr>
          <w:color w:val="231F20"/>
          <w:spacing w:val="-3"/>
          <w:sz w:val="20"/>
        </w:rPr>
        <w:t> </w:t>
      </w:r>
      <w:r>
        <w:rPr>
          <w:color w:val="231F20"/>
          <w:sz w:val="20"/>
        </w:rPr>
        <w:t>of</w:t>
      </w:r>
      <w:r>
        <w:rPr>
          <w:color w:val="231F20"/>
          <w:spacing w:val="-3"/>
          <w:sz w:val="20"/>
        </w:rPr>
        <w:t> </w:t>
      </w:r>
      <w:r>
        <w:rPr>
          <w:color w:val="231F20"/>
          <w:sz w:val="20"/>
        </w:rPr>
        <w:t>an</w:t>
      </w:r>
      <w:r>
        <w:rPr>
          <w:color w:val="231F20"/>
          <w:spacing w:val="-3"/>
          <w:sz w:val="20"/>
        </w:rPr>
        <w:t> </w:t>
      </w:r>
      <w:r>
        <w:rPr>
          <w:color w:val="231F20"/>
          <w:sz w:val="20"/>
        </w:rPr>
        <w:t>organization’s</w:t>
      </w:r>
      <w:r>
        <w:rPr>
          <w:color w:val="231F20"/>
          <w:spacing w:val="-4"/>
          <w:sz w:val="20"/>
        </w:rPr>
        <w:t> </w:t>
      </w:r>
      <w:r>
        <w:rPr>
          <w:color w:val="231F20"/>
          <w:sz w:val="20"/>
        </w:rPr>
        <w:t>governing</w:t>
      </w:r>
      <w:r>
        <w:rPr>
          <w:color w:val="231F20"/>
          <w:spacing w:val="-3"/>
          <w:sz w:val="20"/>
        </w:rPr>
        <w:t> </w:t>
      </w:r>
      <w:r>
        <w:rPr>
          <w:color w:val="231F20"/>
          <w:sz w:val="20"/>
        </w:rPr>
        <w:t>authority</w:t>
      </w:r>
      <w:r>
        <w:rPr>
          <w:color w:val="231F20"/>
          <w:spacing w:val="-3"/>
          <w:sz w:val="20"/>
        </w:rPr>
        <w:t> </w:t>
      </w:r>
      <w:r>
        <w:rPr>
          <w:color w:val="231F20"/>
          <w:sz w:val="20"/>
        </w:rPr>
        <w:t>and</w:t>
      </w:r>
      <w:r>
        <w:rPr>
          <w:color w:val="231F20"/>
          <w:spacing w:val="-3"/>
          <w:sz w:val="20"/>
        </w:rPr>
        <w:t> </w:t>
      </w:r>
      <w:r>
        <w:rPr>
          <w:color w:val="231F20"/>
          <w:sz w:val="20"/>
        </w:rPr>
        <w:t>the ability</w:t>
      </w:r>
      <w:r>
        <w:rPr>
          <w:color w:val="231F20"/>
          <w:spacing w:val="-3"/>
          <w:sz w:val="20"/>
        </w:rPr>
        <w:t> </w:t>
      </w:r>
      <w:r>
        <w:rPr>
          <w:color w:val="231F20"/>
          <w:sz w:val="20"/>
        </w:rPr>
        <w:t>of</w:t>
      </w:r>
      <w:r>
        <w:rPr>
          <w:color w:val="231F20"/>
          <w:spacing w:val="-3"/>
          <w:sz w:val="20"/>
        </w:rPr>
        <w:t> </w:t>
      </w:r>
      <w:r>
        <w:rPr>
          <w:color w:val="231F20"/>
          <w:sz w:val="20"/>
        </w:rPr>
        <w:t>the Institute to either impose its will on that organization or the potential for the organization to provide specific financial benefits to, or impose specific financial burdens on, the Institute, or;</w:t>
      </w:r>
    </w:p>
    <w:p>
      <w:pPr>
        <w:pStyle w:val="ListParagraph"/>
        <w:numPr>
          <w:ilvl w:val="1"/>
          <w:numId w:val="5"/>
        </w:numPr>
        <w:tabs>
          <w:tab w:pos="2160" w:val="left" w:leader="none"/>
          <w:tab w:pos="2161" w:val="left" w:leader="none"/>
        </w:tabs>
        <w:spacing w:line="271" w:lineRule="auto" w:before="3" w:after="0"/>
        <w:ind w:left="2159" w:right="907" w:hanging="360"/>
        <w:jc w:val="left"/>
        <w:rPr>
          <w:sz w:val="20"/>
        </w:rPr>
      </w:pPr>
      <w:r>
        <w:rPr>
          <w:color w:val="231F20"/>
          <w:sz w:val="20"/>
        </w:rPr>
        <w:t>An</w:t>
      </w:r>
      <w:r>
        <w:rPr>
          <w:color w:val="231F20"/>
          <w:spacing w:val="-3"/>
          <w:sz w:val="20"/>
        </w:rPr>
        <w:t> </w:t>
      </w:r>
      <w:r>
        <w:rPr>
          <w:color w:val="231F20"/>
          <w:sz w:val="20"/>
        </w:rPr>
        <w:t>organization</w:t>
      </w:r>
      <w:r>
        <w:rPr>
          <w:color w:val="231F20"/>
          <w:spacing w:val="-3"/>
          <w:sz w:val="20"/>
        </w:rPr>
        <w:t> </w:t>
      </w:r>
      <w:r>
        <w:rPr>
          <w:color w:val="231F20"/>
          <w:sz w:val="20"/>
        </w:rPr>
        <w:t>is</w:t>
      </w:r>
      <w:r>
        <w:rPr>
          <w:color w:val="231F20"/>
          <w:spacing w:val="-3"/>
          <w:sz w:val="20"/>
        </w:rPr>
        <w:t> </w:t>
      </w:r>
      <w:r>
        <w:rPr>
          <w:color w:val="231F20"/>
          <w:sz w:val="20"/>
        </w:rPr>
        <w:t>fiscally</w:t>
      </w:r>
      <w:r>
        <w:rPr>
          <w:color w:val="231F20"/>
          <w:spacing w:val="-3"/>
          <w:sz w:val="20"/>
        </w:rPr>
        <w:t> </w:t>
      </w:r>
      <w:r>
        <w:rPr>
          <w:color w:val="231F20"/>
          <w:sz w:val="20"/>
        </w:rPr>
        <w:t>dependent</w:t>
      </w:r>
      <w:r>
        <w:rPr>
          <w:color w:val="231F20"/>
          <w:spacing w:val="-3"/>
          <w:sz w:val="20"/>
        </w:rPr>
        <w:t> </w:t>
      </w:r>
      <w:r>
        <w:rPr>
          <w:color w:val="231F20"/>
          <w:sz w:val="20"/>
        </w:rPr>
        <w:t>on</w:t>
      </w:r>
      <w:r>
        <w:rPr>
          <w:color w:val="231F20"/>
          <w:spacing w:val="-4"/>
          <w:sz w:val="20"/>
        </w:rPr>
        <w:t> </w:t>
      </w:r>
      <w:r>
        <w:rPr>
          <w:color w:val="231F20"/>
          <w:sz w:val="20"/>
        </w:rPr>
        <w:t>the</w:t>
      </w:r>
      <w:r>
        <w:rPr>
          <w:color w:val="231F20"/>
          <w:spacing w:val="-3"/>
          <w:sz w:val="20"/>
        </w:rPr>
        <w:t> </w:t>
      </w:r>
      <w:r>
        <w:rPr>
          <w:color w:val="231F20"/>
          <w:sz w:val="20"/>
        </w:rPr>
        <w:t>Institute</w:t>
      </w:r>
      <w:r>
        <w:rPr>
          <w:color w:val="231F20"/>
          <w:spacing w:val="-3"/>
          <w:sz w:val="20"/>
        </w:rPr>
        <w:t> </w:t>
      </w:r>
      <w:r>
        <w:rPr>
          <w:color w:val="231F20"/>
          <w:sz w:val="20"/>
        </w:rPr>
        <w:t>and</w:t>
      </w:r>
      <w:r>
        <w:rPr>
          <w:color w:val="231F20"/>
          <w:spacing w:val="-3"/>
          <w:sz w:val="20"/>
        </w:rPr>
        <w:t> </w:t>
      </w:r>
      <w:r>
        <w:rPr>
          <w:color w:val="231F20"/>
          <w:sz w:val="20"/>
        </w:rPr>
        <w:t>provides</w:t>
      </w:r>
      <w:r>
        <w:rPr>
          <w:color w:val="231F20"/>
          <w:spacing w:val="-2"/>
          <w:sz w:val="20"/>
        </w:rPr>
        <w:t> </w:t>
      </w:r>
      <w:r>
        <w:rPr>
          <w:color w:val="231F20"/>
          <w:sz w:val="20"/>
        </w:rPr>
        <w:t>specific</w:t>
      </w:r>
      <w:r>
        <w:rPr>
          <w:color w:val="231F20"/>
          <w:spacing w:val="-3"/>
          <w:sz w:val="20"/>
        </w:rPr>
        <w:t> </w:t>
      </w:r>
      <w:r>
        <w:rPr>
          <w:color w:val="231F20"/>
          <w:sz w:val="20"/>
        </w:rPr>
        <w:t>financial</w:t>
      </w:r>
      <w:r>
        <w:rPr>
          <w:color w:val="231F20"/>
          <w:spacing w:val="-3"/>
          <w:sz w:val="20"/>
        </w:rPr>
        <w:t> </w:t>
      </w:r>
      <w:r>
        <w:rPr>
          <w:color w:val="231F20"/>
          <w:sz w:val="20"/>
        </w:rPr>
        <w:t>benefits</w:t>
      </w:r>
      <w:r>
        <w:rPr>
          <w:color w:val="231F20"/>
          <w:spacing w:val="-3"/>
          <w:sz w:val="20"/>
        </w:rPr>
        <w:t> </w:t>
      </w:r>
      <w:r>
        <w:rPr>
          <w:color w:val="231F20"/>
          <w:sz w:val="20"/>
        </w:rPr>
        <w:t>to,</w:t>
      </w:r>
      <w:r>
        <w:rPr>
          <w:color w:val="231F20"/>
          <w:spacing w:val="-3"/>
          <w:sz w:val="20"/>
        </w:rPr>
        <w:t> </w:t>
      </w:r>
      <w:r>
        <w:rPr>
          <w:color w:val="231F20"/>
          <w:sz w:val="20"/>
        </w:rPr>
        <w:t>or imposes specific financial burdens on, the Institute, or;</w:t>
      </w:r>
    </w:p>
    <w:p>
      <w:pPr>
        <w:spacing w:after="0" w:line="271" w:lineRule="auto"/>
        <w:jc w:val="left"/>
        <w:rPr>
          <w:sz w:val="20"/>
        </w:rPr>
        <w:sectPr>
          <w:headerReference w:type="default" r:id="rId43"/>
          <w:footerReference w:type="default" r:id="rId44"/>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spacing w:before="1"/>
        <w:rPr>
          <w:b/>
          <w:sz w:val="26"/>
        </w:rPr>
      </w:pPr>
    </w:p>
    <w:p>
      <w:pPr>
        <w:pStyle w:val="ListParagraph"/>
        <w:numPr>
          <w:ilvl w:val="1"/>
          <w:numId w:val="5"/>
        </w:numPr>
        <w:tabs>
          <w:tab w:pos="2160" w:val="left" w:leader="none"/>
          <w:tab w:pos="2161" w:val="left" w:leader="none"/>
        </w:tabs>
        <w:spacing w:line="273" w:lineRule="auto" w:before="1" w:after="0"/>
        <w:ind w:left="2159" w:right="917" w:hanging="360"/>
        <w:jc w:val="left"/>
        <w:rPr>
          <w:sz w:val="20"/>
        </w:rPr>
      </w:pPr>
      <w:r>
        <w:rPr>
          <w:color w:val="231F20"/>
          <w:sz w:val="20"/>
        </w:rPr>
        <w:t>It</w:t>
      </w:r>
      <w:r>
        <w:rPr>
          <w:color w:val="231F20"/>
          <w:spacing w:val="-3"/>
          <w:sz w:val="20"/>
        </w:rPr>
        <w:t> </w:t>
      </w:r>
      <w:r>
        <w:rPr>
          <w:color w:val="231F20"/>
          <w:sz w:val="20"/>
        </w:rPr>
        <w:t>is</w:t>
      </w:r>
      <w:r>
        <w:rPr>
          <w:color w:val="231F20"/>
          <w:spacing w:val="-3"/>
          <w:sz w:val="20"/>
        </w:rPr>
        <w:t> </w:t>
      </w:r>
      <w:r>
        <w:rPr>
          <w:color w:val="231F20"/>
          <w:sz w:val="20"/>
        </w:rPr>
        <w:t>determined</w:t>
      </w:r>
      <w:r>
        <w:rPr>
          <w:color w:val="231F20"/>
          <w:spacing w:val="-3"/>
          <w:sz w:val="20"/>
        </w:rPr>
        <w:t> </w:t>
      </w:r>
      <w:r>
        <w:rPr>
          <w:color w:val="231F20"/>
          <w:sz w:val="20"/>
        </w:rPr>
        <w:t>that</w:t>
      </w:r>
      <w:r>
        <w:rPr>
          <w:color w:val="231F20"/>
          <w:spacing w:val="-3"/>
          <w:sz w:val="20"/>
        </w:rPr>
        <w:t> </w:t>
      </w:r>
      <w:r>
        <w:rPr>
          <w:color w:val="231F20"/>
          <w:sz w:val="20"/>
        </w:rPr>
        <w:t>it</w:t>
      </w:r>
      <w:r>
        <w:rPr>
          <w:color w:val="231F20"/>
          <w:spacing w:val="-3"/>
          <w:sz w:val="20"/>
        </w:rPr>
        <w:t> </w:t>
      </w:r>
      <w:r>
        <w:rPr>
          <w:color w:val="231F20"/>
          <w:sz w:val="20"/>
        </w:rPr>
        <w:t>would</w:t>
      </w:r>
      <w:r>
        <w:rPr>
          <w:color w:val="231F20"/>
          <w:spacing w:val="-3"/>
          <w:sz w:val="20"/>
        </w:rPr>
        <w:t> </w:t>
      </w:r>
      <w:r>
        <w:rPr>
          <w:color w:val="231F20"/>
          <w:sz w:val="20"/>
        </w:rPr>
        <w:t>be</w:t>
      </w:r>
      <w:r>
        <w:rPr>
          <w:color w:val="231F20"/>
          <w:spacing w:val="-3"/>
          <w:sz w:val="20"/>
        </w:rPr>
        <w:t> </w:t>
      </w:r>
      <w:r>
        <w:rPr>
          <w:color w:val="231F20"/>
          <w:sz w:val="20"/>
        </w:rPr>
        <w:t>misleading</w:t>
      </w:r>
      <w:r>
        <w:rPr>
          <w:color w:val="231F20"/>
          <w:spacing w:val="-3"/>
          <w:sz w:val="20"/>
        </w:rPr>
        <w:t> </w:t>
      </w:r>
      <w:r>
        <w:rPr>
          <w:color w:val="231F20"/>
          <w:sz w:val="20"/>
        </w:rPr>
        <w:t>to</w:t>
      </w:r>
      <w:r>
        <w:rPr>
          <w:color w:val="231F20"/>
          <w:spacing w:val="-3"/>
          <w:sz w:val="20"/>
        </w:rPr>
        <w:t> </w:t>
      </w:r>
      <w:r>
        <w:rPr>
          <w:color w:val="231F20"/>
          <w:sz w:val="20"/>
        </w:rPr>
        <w:t>exclude</w:t>
      </w:r>
      <w:r>
        <w:rPr>
          <w:color w:val="231F20"/>
          <w:spacing w:val="-4"/>
          <w:sz w:val="20"/>
        </w:rPr>
        <w:t> </w:t>
      </w:r>
      <w:r>
        <w:rPr>
          <w:color w:val="231F20"/>
          <w:sz w:val="20"/>
        </w:rPr>
        <w:t>the</w:t>
      </w:r>
      <w:r>
        <w:rPr>
          <w:color w:val="231F20"/>
          <w:spacing w:val="-3"/>
          <w:sz w:val="20"/>
        </w:rPr>
        <w:t> </w:t>
      </w:r>
      <w:r>
        <w:rPr>
          <w:color w:val="231F20"/>
          <w:sz w:val="20"/>
        </w:rPr>
        <w:t>related</w:t>
      </w:r>
      <w:r>
        <w:rPr>
          <w:color w:val="231F20"/>
          <w:spacing w:val="-3"/>
          <w:sz w:val="20"/>
        </w:rPr>
        <w:t> </w:t>
      </w:r>
      <w:r>
        <w:rPr>
          <w:color w:val="231F20"/>
          <w:sz w:val="20"/>
        </w:rPr>
        <w:t>organization</w:t>
      </w:r>
      <w:r>
        <w:rPr>
          <w:color w:val="231F20"/>
          <w:spacing w:val="-3"/>
          <w:sz w:val="20"/>
        </w:rPr>
        <w:t> </w:t>
      </w:r>
      <w:r>
        <w:rPr>
          <w:color w:val="231F20"/>
          <w:sz w:val="20"/>
        </w:rPr>
        <w:t>from</w:t>
      </w:r>
      <w:r>
        <w:rPr>
          <w:color w:val="231F20"/>
          <w:spacing w:val="-3"/>
          <w:sz w:val="20"/>
        </w:rPr>
        <w:t> </w:t>
      </w:r>
      <w:r>
        <w:rPr>
          <w:color w:val="231F20"/>
          <w:sz w:val="20"/>
        </w:rPr>
        <w:t>the</w:t>
      </w:r>
      <w:r>
        <w:rPr>
          <w:color w:val="231F20"/>
          <w:spacing w:val="-3"/>
          <w:sz w:val="20"/>
        </w:rPr>
        <w:t> </w:t>
      </w:r>
      <w:r>
        <w:rPr>
          <w:color w:val="231F20"/>
          <w:sz w:val="20"/>
        </w:rPr>
        <w:t>Institute’s financial statements because of the nature of the entity or because the entity is closely related to or financially integrated with the Institute.</w:t>
      </w:r>
    </w:p>
    <w:p>
      <w:pPr>
        <w:pStyle w:val="BodyText"/>
        <w:rPr>
          <w:sz w:val="23"/>
        </w:rPr>
      </w:pPr>
    </w:p>
    <w:p>
      <w:pPr>
        <w:pStyle w:val="BodyText"/>
        <w:spacing w:line="276" w:lineRule="auto" w:before="1"/>
        <w:ind w:left="1439" w:right="876"/>
      </w:pPr>
      <w:r>
        <w:rPr>
          <w:color w:val="231F20"/>
        </w:rPr>
        <w:t>In evaluating how to define the Institute for financial reporting purposes, management has evaluated the Institute's potential component units. The basic, but not the only, criterion for including a potential component unit as part of the reporting entity is the governing body's ability to exercise oversight responsibility. The most significant manifestations of this ability include, but are not limited to, the</w:t>
      </w:r>
      <w:r>
        <w:rPr>
          <w:color w:val="231F20"/>
          <w:spacing w:val="40"/>
        </w:rPr>
        <w:t> </w:t>
      </w:r>
      <w:r>
        <w:rPr>
          <w:color w:val="231F20"/>
        </w:rPr>
        <w:t>selection of governing authority, the designation of management, the ability to significantly influence operations, and the accountability for fiscal matters. A second criterion used in evaluating potential component units is the scope of public service. Application of the criterion involves considering whether the activity benefits the Institute. A third criterion used to evaluate potential component units for inclusion or exclusion from the reporting entity is the existence of special financing or fiduciary relationships, regardless</w:t>
      </w:r>
      <w:r>
        <w:rPr>
          <w:color w:val="231F20"/>
          <w:spacing w:val="-3"/>
        </w:rPr>
        <w:t> </w:t>
      </w:r>
      <w:r>
        <w:rPr>
          <w:color w:val="231F20"/>
        </w:rPr>
        <w:t>of</w:t>
      </w:r>
      <w:r>
        <w:rPr>
          <w:color w:val="231F20"/>
          <w:spacing w:val="-3"/>
        </w:rPr>
        <w:t> </w:t>
      </w:r>
      <w:r>
        <w:rPr>
          <w:color w:val="231F20"/>
        </w:rPr>
        <w:t>whether</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is</w:t>
      </w:r>
      <w:r>
        <w:rPr>
          <w:color w:val="231F20"/>
          <w:spacing w:val="-2"/>
        </w:rPr>
        <w:t> </w:t>
      </w:r>
      <w:r>
        <w:rPr>
          <w:color w:val="231F20"/>
        </w:rPr>
        <w:t>able</w:t>
      </w:r>
      <w:r>
        <w:rPr>
          <w:color w:val="231F20"/>
          <w:spacing w:val="-3"/>
        </w:rPr>
        <w:t> </w:t>
      </w:r>
      <w:r>
        <w:rPr>
          <w:color w:val="231F20"/>
        </w:rPr>
        <w:t>to</w:t>
      </w:r>
      <w:r>
        <w:rPr>
          <w:color w:val="231F20"/>
          <w:spacing w:val="-3"/>
        </w:rPr>
        <w:t> </w:t>
      </w:r>
      <w:r>
        <w:rPr>
          <w:color w:val="231F20"/>
        </w:rPr>
        <w:t>exercise</w:t>
      </w:r>
      <w:r>
        <w:rPr>
          <w:color w:val="231F20"/>
          <w:spacing w:val="-4"/>
        </w:rPr>
        <w:t> </w:t>
      </w:r>
      <w:r>
        <w:rPr>
          <w:color w:val="231F20"/>
        </w:rPr>
        <w:t>oversight</w:t>
      </w:r>
      <w:r>
        <w:rPr>
          <w:color w:val="231F20"/>
          <w:spacing w:val="-3"/>
        </w:rPr>
        <w:t> </w:t>
      </w:r>
      <w:r>
        <w:rPr>
          <w:color w:val="231F20"/>
        </w:rPr>
        <w:t>responsibilities</w:t>
      </w:r>
      <w:r>
        <w:rPr>
          <w:color w:val="231F20"/>
          <w:spacing w:val="-3"/>
        </w:rPr>
        <w:t> </w:t>
      </w:r>
      <w:r>
        <w:rPr>
          <w:color w:val="231F20"/>
        </w:rPr>
        <w:t>and</w:t>
      </w:r>
      <w:r>
        <w:rPr>
          <w:color w:val="231F20"/>
          <w:spacing w:val="-3"/>
        </w:rPr>
        <w:t> </w:t>
      </w:r>
      <w:r>
        <w:rPr>
          <w:color w:val="231F20"/>
        </w:rPr>
        <w:t>Institute</w:t>
      </w:r>
      <w:r>
        <w:rPr>
          <w:color w:val="231F20"/>
          <w:spacing w:val="-3"/>
        </w:rPr>
        <w:t> </w:t>
      </w:r>
      <w:r>
        <w:rPr>
          <w:color w:val="231F20"/>
        </w:rPr>
        <w:t>being</w:t>
      </w:r>
      <w:r>
        <w:rPr>
          <w:color w:val="231F20"/>
          <w:spacing w:val="-3"/>
        </w:rPr>
        <w:t> </w:t>
      </w:r>
      <w:r>
        <w:rPr>
          <w:color w:val="231F20"/>
        </w:rPr>
        <w:t>the</w:t>
      </w:r>
      <w:r>
        <w:rPr>
          <w:color w:val="231F20"/>
          <w:spacing w:val="-3"/>
        </w:rPr>
        <w:t> </w:t>
      </w:r>
      <w:r>
        <w:rPr>
          <w:color w:val="231F20"/>
        </w:rPr>
        <w:t>sole corporate member of the component unit.</w:t>
      </w:r>
    </w:p>
    <w:p>
      <w:pPr>
        <w:pStyle w:val="BodyText"/>
        <w:spacing w:before="11"/>
        <w:rPr>
          <w:sz w:val="22"/>
        </w:rPr>
      </w:pPr>
    </w:p>
    <w:p>
      <w:pPr>
        <w:pStyle w:val="BodyText"/>
        <w:ind w:left="1440"/>
      </w:pPr>
      <w:r>
        <w:rPr>
          <w:color w:val="231F20"/>
        </w:rPr>
        <w:t>The</w:t>
      </w:r>
      <w:r>
        <w:rPr>
          <w:color w:val="231F20"/>
          <w:spacing w:val="-8"/>
        </w:rPr>
        <w:t> </w:t>
      </w:r>
      <w:r>
        <w:rPr>
          <w:color w:val="231F20"/>
        </w:rPr>
        <w:t>following</w:t>
      </w:r>
      <w:r>
        <w:rPr>
          <w:color w:val="231F20"/>
          <w:spacing w:val="-6"/>
        </w:rPr>
        <w:t> </w:t>
      </w:r>
      <w:r>
        <w:rPr>
          <w:color w:val="231F20"/>
        </w:rPr>
        <w:t>entities</w:t>
      </w:r>
      <w:r>
        <w:rPr>
          <w:color w:val="231F20"/>
          <w:spacing w:val="-5"/>
        </w:rPr>
        <w:t> </w:t>
      </w:r>
      <w:r>
        <w:rPr>
          <w:color w:val="231F20"/>
        </w:rPr>
        <w:t>are</w:t>
      </w:r>
      <w:r>
        <w:rPr>
          <w:color w:val="231F20"/>
          <w:spacing w:val="-5"/>
        </w:rPr>
        <w:t> </w:t>
      </w:r>
      <w:r>
        <w:rPr>
          <w:color w:val="231F20"/>
        </w:rPr>
        <w:t>presented</w:t>
      </w:r>
      <w:r>
        <w:rPr>
          <w:color w:val="231F20"/>
          <w:spacing w:val="-5"/>
        </w:rPr>
        <w:t> </w:t>
      </w:r>
      <w:r>
        <w:rPr>
          <w:color w:val="231F20"/>
        </w:rPr>
        <w:t>in</w:t>
      </w:r>
      <w:r>
        <w:rPr>
          <w:color w:val="231F20"/>
          <w:spacing w:val="-6"/>
        </w:rPr>
        <w:t> </w:t>
      </w:r>
      <w:r>
        <w:rPr>
          <w:color w:val="231F20"/>
        </w:rPr>
        <w:t>the</w:t>
      </w:r>
      <w:r>
        <w:rPr>
          <w:color w:val="231F20"/>
          <w:spacing w:val="-5"/>
        </w:rPr>
        <w:t> </w:t>
      </w:r>
      <w:r>
        <w:rPr>
          <w:color w:val="231F20"/>
        </w:rPr>
        <w:t>financial</w:t>
      </w:r>
      <w:r>
        <w:rPr>
          <w:color w:val="231F20"/>
          <w:spacing w:val="-5"/>
        </w:rPr>
        <w:t> </w:t>
      </w:r>
      <w:r>
        <w:rPr>
          <w:color w:val="231F20"/>
        </w:rPr>
        <w:t>statements</w:t>
      </w:r>
      <w:r>
        <w:rPr>
          <w:color w:val="231F20"/>
          <w:spacing w:val="-5"/>
        </w:rPr>
        <w:t> </w:t>
      </w:r>
      <w:r>
        <w:rPr>
          <w:color w:val="231F20"/>
        </w:rPr>
        <w:t>as</w:t>
      </w:r>
      <w:r>
        <w:rPr>
          <w:color w:val="231F20"/>
          <w:spacing w:val="-4"/>
        </w:rPr>
        <w:t> </w:t>
      </w:r>
      <w:r>
        <w:rPr>
          <w:color w:val="231F20"/>
        </w:rPr>
        <w:t>component</w:t>
      </w:r>
      <w:r>
        <w:rPr>
          <w:color w:val="231F20"/>
          <w:spacing w:val="-5"/>
        </w:rPr>
        <w:t> </w:t>
      </w:r>
      <w:r>
        <w:rPr>
          <w:color w:val="231F20"/>
          <w:spacing w:val="-2"/>
        </w:rPr>
        <w:t>units:</w:t>
      </w:r>
    </w:p>
    <w:p>
      <w:pPr>
        <w:pStyle w:val="BodyText"/>
        <w:rPr>
          <w:sz w:val="26"/>
        </w:rPr>
      </w:pPr>
    </w:p>
    <w:p>
      <w:pPr>
        <w:pStyle w:val="Heading4"/>
      </w:pPr>
      <w:r>
        <w:rPr>
          <w:color w:val="231F20"/>
        </w:rPr>
        <w:t>Discretely</w:t>
      </w:r>
      <w:r>
        <w:rPr>
          <w:color w:val="231F20"/>
          <w:spacing w:val="-10"/>
        </w:rPr>
        <w:t> </w:t>
      </w:r>
      <w:r>
        <w:rPr>
          <w:color w:val="231F20"/>
        </w:rPr>
        <w:t>Presented</w:t>
      </w:r>
      <w:r>
        <w:rPr>
          <w:color w:val="231F20"/>
          <w:spacing w:val="-9"/>
        </w:rPr>
        <w:t> </w:t>
      </w:r>
      <w:r>
        <w:rPr>
          <w:color w:val="231F20"/>
        </w:rPr>
        <w:t>Component</w:t>
      </w:r>
      <w:r>
        <w:rPr>
          <w:color w:val="231F20"/>
          <w:spacing w:val="-9"/>
        </w:rPr>
        <w:t> </w:t>
      </w:r>
      <w:r>
        <w:rPr>
          <w:color w:val="231F20"/>
          <w:spacing w:val="-4"/>
        </w:rPr>
        <w:t>Unit</w:t>
      </w:r>
    </w:p>
    <w:p>
      <w:pPr>
        <w:pStyle w:val="BodyText"/>
        <w:spacing w:line="276" w:lineRule="auto" w:before="34"/>
        <w:ind w:left="1440" w:right="1048"/>
      </w:pPr>
      <w:r>
        <w:rPr>
          <w:color w:val="231F20"/>
        </w:rPr>
        <w:t>In the financial statements, discrete presentation entails reporting component unit financial data in a column</w:t>
      </w:r>
      <w:r>
        <w:rPr>
          <w:color w:val="231F20"/>
          <w:spacing w:val="-3"/>
        </w:rPr>
        <w:t> </w:t>
      </w:r>
      <w:r>
        <w:rPr>
          <w:color w:val="231F20"/>
        </w:rPr>
        <w:t>separate</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financial</w:t>
      </w:r>
      <w:r>
        <w:rPr>
          <w:color w:val="231F20"/>
          <w:spacing w:val="-3"/>
        </w:rPr>
        <w:t> </w:t>
      </w:r>
      <w:r>
        <w:rPr>
          <w:color w:val="231F20"/>
        </w:rPr>
        <w:t>data</w:t>
      </w:r>
      <w:r>
        <w:rPr>
          <w:color w:val="231F20"/>
          <w:spacing w:val="-4"/>
        </w:rPr>
        <w:t> </w:t>
      </w:r>
      <w:r>
        <w:rPr>
          <w:color w:val="231F20"/>
        </w:rPr>
        <w:t>of</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Based</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application</w:t>
      </w:r>
      <w:r>
        <w:rPr>
          <w:color w:val="231F20"/>
          <w:spacing w:val="-3"/>
        </w:rPr>
        <w:t> </w:t>
      </w:r>
      <w:r>
        <w:rPr>
          <w:color w:val="231F20"/>
        </w:rPr>
        <w:t>of</w:t>
      </w:r>
      <w:r>
        <w:rPr>
          <w:color w:val="231F20"/>
          <w:spacing w:val="-3"/>
        </w:rPr>
        <w:t> </w:t>
      </w:r>
      <w:r>
        <w:rPr>
          <w:color w:val="231F20"/>
        </w:rPr>
        <w:t>these</w:t>
      </w:r>
      <w:r>
        <w:rPr>
          <w:color w:val="231F20"/>
          <w:spacing w:val="-3"/>
        </w:rPr>
        <w:t> </w:t>
      </w:r>
      <w:r>
        <w:rPr>
          <w:color w:val="231F20"/>
        </w:rPr>
        <w:t>criteria,</w:t>
      </w:r>
      <w:r>
        <w:rPr>
          <w:color w:val="231F20"/>
          <w:spacing w:val="-3"/>
        </w:rPr>
        <w:t> </w:t>
      </w:r>
      <w:r>
        <w:rPr>
          <w:color w:val="231F20"/>
        </w:rPr>
        <w:t>the New Mexico Tech Foundation is included in these financial statements as discretely presented component unit.</w:t>
      </w:r>
    </w:p>
    <w:p>
      <w:pPr>
        <w:pStyle w:val="BodyText"/>
        <w:rPr>
          <w:sz w:val="23"/>
        </w:rPr>
      </w:pPr>
    </w:p>
    <w:p>
      <w:pPr>
        <w:pStyle w:val="BodyText"/>
        <w:spacing w:line="276" w:lineRule="auto"/>
        <w:ind w:left="1440" w:right="891"/>
      </w:pPr>
      <w:r>
        <w:rPr>
          <w:i/>
          <w:color w:val="231F20"/>
        </w:rPr>
        <w:t>The</w:t>
      </w:r>
      <w:r>
        <w:rPr>
          <w:i/>
          <w:color w:val="231F20"/>
          <w:spacing w:val="-3"/>
        </w:rPr>
        <w:t> </w:t>
      </w:r>
      <w:r>
        <w:rPr>
          <w:i/>
          <w:color w:val="231F20"/>
        </w:rPr>
        <w:t>New</w:t>
      </w:r>
      <w:r>
        <w:rPr>
          <w:i/>
          <w:color w:val="231F20"/>
          <w:spacing w:val="-3"/>
        </w:rPr>
        <w:t> </w:t>
      </w:r>
      <w:r>
        <w:rPr>
          <w:i/>
          <w:color w:val="231F20"/>
        </w:rPr>
        <w:t>Mexico</w:t>
      </w:r>
      <w:r>
        <w:rPr>
          <w:i/>
          <w:color w:val="231F20"/>
          <w:spacing w:val="-3"/>
        </w:rPr>
        <w:t> </w:t>
      </w:r>
      <w:r>
        <w:rPr>
          <w:i/>
          <w:color w:val="231F20"/>
        </w:rPr>
        <w:t>Tech</w:t>
      </w:r>
      <w:r>
        <w:rPr>
          <w:i/>
          <w:color w:val="231F20"/>
          <w:spacing w:val="-3"/>
        </w:rPr>
        <w:t> </w:t>
      </w:r>
      <w:r>
        <w:rPr>
          <w:i/>
          <w:color w:val="231F20"/>
        </w:rPr>
        <w:t>Foundation</w:t>
      </w:r>
      <w:r>
        <w:rPr>
          <w:i/>
          <w:color w:val="231F20"/>
          <w:spacing w:val="-2"/>
        </w:rPr>
        <w:t> </w:t>
      </w:r>
      <w:r>
        <w:rPr>
          <w:color w:val="231F20"/>
        </w:rPr>
        <w:t>(the</w:t>
      </w:r>
      <w:r>
        <w:rPr>
          <w:color w:val="231F20"/>
          <w:spacing w:val="-4"/>
        </w:rPr>
        <w:t> </w:t>
      </w:r>
      <w:r>
        <w:rPr>
          <w:color w:val="231F20"/>
        </w:rPr>
        <w:t>Foundation)</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not-for-profit</w:t>
      </w:r>
      <w:r>
        <w:rPr>
          <w:color w:val="231F20"/>
          <w:spacing w:val="-3"/>
        </w:rPr>
        <w:t> </w:t>
      </w:r>
      <w:r>
        <w:rPr>
          <w:color w:val="231F20"/>
        </w:rPr>
        <w:t>corporation</w:t>
      </w:r>
      <w:r>
        <w:rPr>
          <w:color w:val="231F20"/>
          <w:spacing w:val="-4"/>
        </w:rPr>
        <w:t> </w:t>
      </w:r>
      <w:r>
        <w:rPr>
          <w:color w:val="231F20"/>
        </w:rPr>
        <w:t>located</w:t>
      </w:r>
      <w:r>
        <w:rPr>
          <w:color w:val="231F20"/>
          <w:spacing w:val="-3"/>
        </w:rPr>
        <w:t> </w:t>
      </w:r>
      <w:r>
        <w:rPr>
          <w:color w:val="231F20"/>
        </w:rPr>
        <w:t>in Socorro, New Mexico. The</w:t>
      </w:r>
      <w:r>
        <w:rPr>
          <w:color w:val="231F20"/>
          <w:spacing w:val="-1"/>
        </w:rPr>
        <w:t> </w:t>
      </w:r>
      <w:r>
        <w:rPr>
          <w:color w:val="231F20"/>
        </w:rPr>
        <w:t>Foundation is organized to solicit, receive, hold, invest, and transfer funds to the New Mexico Institute of Mining and Technology by making available funds for institutional support, scholarships, and other benefits. The Foundation has no component units.</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spacing w:before="1"/>
        <w:ind w:left="1440" w:right="0" w:firstLine="0"/>
        <w:jc w:val="left"/>
        <w:rPr>
          <w:b/>
          <w:sz w:val="20"/>
        </w:rPr>
      </w:pPr>
      <w:r>
        <w:rPr>
          <w:b/>
          <w:color w:val="231F20"/>
          <w:sz w:val="20"/>
        </w:rPr>
        <w:t>Blended</w:t>
      </w:r>
      <w:r>
        <w:rPr>
          <w:b/>
          <w:color w:val="231F20"/>
          <w:spacing w:val="-5"/>
          <w:sz w:val="20"/>
        </w:rPr>
        <w:t> </w:t>
      </w:r>
      <w:r>
        <w:rPr>
          <w:b/>
          <w:color w:val="231F20"/>
          <w:sz w:val="20"/>
        </w:rPr>
        <w:t>Component</w:t>
      </w:r>
      <w:r>
        <w:rPr>
          <w:b/>
          <w:color w:val="231F20"/>
          <w:spacing w:val="-4"/>
          <w:sz w:val="20"/>
        </w:rPr>
        <w:t> Unit</w:t>
      </w:r>
    </w:p>
    <w:p>
      <w:pPr>
        <w:pStyle w:val="BodyText"/>
        <w:spacing w:line="276" w:lineRule="auto" w:before="34"/>
        <w:ind w:left="1440" w:right="1048"/>
      </w:pPr>
      <w:r>
        <w:rPr>
          <w:color w:val="231F20"/>
        </w:rPr>
        <w:t>The inclusion of the assets, liabilities, and net income of the Foundation as a discretely presented component</w:t>
      </w:r>
      <w:r>
        <w:rPr>
          <w:color w:val="231F20"/>
          <w:spacing w:val="-3"/>
        </w:rPr>
        <w:t> </w:t>
      </w:r>
      <w:r>
        <w:rPr>
          <w:color w:val="231F20"/>
        </w:rPr>
        <w:t>unit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for</w:t>
      </w:r>
      <w:r>
        <w:rPr>
          <w:color w:val="231F20"/>
          <w:spacing w:val="-3"/>
        </w:rPr>
        <w:t> </w:t>
      </w:r>
      <w:r>
        <w:rPr>
          <w:color w:val="231F20"/>
        </w:rPr>
        <w:t>accounting</w:t>
      </w:r>
      <w:r>
        <w:rPr>
          <w:color w:val="231F20"/>
          <w:spacing w:val="-3"/>
        </w:rPr>
        <w:t> </w:t>
      </w:r>
      <w:r>
        <w:rPr>
          <w:color w:val="231F20"/>
        </w:rPr>
        <w:t>purposes</w:t>
      </w:r>
      <w:r>
        <w:rPr>
          <w:color w:val="231F20"/>
          <w:spacing w:val="-3"/>
        </w:rPr>
        <w:t> </w:t>
      </w:r>
      <w:r>
        <w:rPr>
          <w:color w:val="231F20"/>
        </w:rPr>
        <w:t>only,</w:t>
      </w:r>
      <w:r>
        <w:rPr>
          <w:color w:val="231F20"/>
          <w:spacing w:val="-3"/>
        </w:rPr>
        <w:t> </w:t>
      </w:r>
      <w:r>
        <w:rPr>
          <w:color w:val="231F20"/>
        </w:rPr>
        <w:t>has</w:t>
      </w:r>
      <w:r>
        <w:rPr>
          <w:color w:val="231F20"/>
          <w:spacing w:val="-3"/>
        </w:rPr>
        <w:t> </w:t>
      </w:r>
      <w:r>
        <w:rPr>
          <w:color w:val="231F20"/>
        </w:rPr>
        <w:t>been</w:t>
      </w:r>
      <w:r>
        <w:rPr>
          <w:color w:val="231F20"/>
          <w:spacing w:val="-3"/>
        </w:rPr>
        <w:t> </w:t>
      </w:r>
      <w:r>
        <w:rPr>
          <w:color w:val="231F20"/>
        </w:rPr>
        <w:t>directed</w:t>
      </w:r>
      <w:r>
        <w:rPr>
          <w:color w:val="231F20"/>
          <w:spacing w:val="-4"/>
        </w:rPr>
        <w:t> </w:t>
      </w:r>
      <w:r>
        <w:rPr>
          <w:color w:val="231F20"/>
        </w:rPr>
        <w:t>by</w:t>
      </w:r>
      <w:r>
        <w:rPr>
          <w:color w:val="231F20"/>
          <w:spacing w:val="-3"/>
        </w:rPr>
        <w:t> </w:t>
      </w:r>
      <w:r>
        <w:rPr>
          <w:color w:val="231F20"/>
        </w:rPr>
        <w:t>generally</w:t>
      </w:r>
      <w:r>
        <w:rPr>
          <w:color w:val="231F20"/>
          <w:spacing w:val="-4"/>
        </w:rPr>
        <w:t> </w:t>
      </w:r>
      <w:r>
        <w:rPr>
          <w:color w:val="231F20"/>
        </w:rPr>
        <w:t>accepted accounting principles as applied to governmental units. The Foundation has no obligation to provide resources and earnings to the Institute, except by action of the Foundation's Board of Trustees. The Foundation’s Board of Trustees is appointed by the Institute and is made up of five members with no employment relationship with the Institute and only one member with an employment relationship.</w:t>
      </w:r>
    </w:p>
    <w:p>
      <w:pPr>
        <w:pStyle w:val="BodyText"/>
        <w:spacing w:before="11"/>
        <w:rPr>
          <w:sz w:val="22"/>
        </w:rPr>
      </w:pPr>
    </w:p>
    <w:p>
      <w:pPr>
        <w:pStyle w:val="BodyText"/>
        <w:spacing w:line="276" w:lineRule="auto"/>
        <w:ind w:left="1440" w:right="891"/>
      </w:pPr>
      <w:r>
        <w:rPr>
          <w:i/>
          <w:color w:val="231F20"/>
        </w:rPr>
        <w:t>New Mexico Institute of Mining and Technology Employee Benefit Trust </w:t>
      </w:r>
      <w:r>
        <w:rPr>
          <w:color w:val="231F20"/>
        </w:rPr>
        <w:t>(the Trust) is a single-employer benefit plan organized as a legally formed trust that is tax exempt under section 501(c)(9) of the Internal Revenue Code. The Trust was established to provide a funding vehicle to which participants and the Institute</w:t>
      </w:r>
      <w:r>
        <w:rPr>
          <w:color w:val="231F20"/>
          <w:spacing w:val="-3"/>
        </w:rPr>
        <w:t> </w:t>
      </w:r>
      <w:r>
        <w:rPr>
          <w:color w:val="231F20"/>
        </w:rPr>
        <w:t>contribute</w:t>
      </w:r>
      <w:r>
        <w:rPr>
          <w:color w:val="231F20"/>
          <w:spacing w:val="-3"/>
        </w:rPr>
        <w:t> </w:t>
      </w:r>
      <w:r>
        <w:rPr>
          <w:color w:val="231F20"/>
        </w:rPr>
        <w:t>to</w:t>
      </w:r>
      <w:r>
        <w:rPr>
          <w:color w:val="231F20"/>
          <w:spacing w:val="-3"/>
        </w:rPr>
        <w:t> </w:t>
      </w:r>
      <w:r>
        <w:rPr>
          <w:color w:val="231F20"/>
        </w:rPr>
        <w:t>prefund,</w:t>
      </w:r>
      <w:r>
        <w:rPr>
          <w:color w:val="231F20"/>
          <w:spacing w:val="-3"/>
        </w:rPr>
        <w:t> </w:t>
      </w:r>
      <w:r>
        <w:rPr>
          <w:color w:val="231F20"/>
        </w:rPr>
        <w:t>in</w:t>
      </w:r>
      <w:r>
        <w:rPr>
          <w:color w:val="231F20"/>
          <w:spacing w:val="-3"/>
        </w:rPr>
        <w:t> </w:t>
      </w:r>
      <w:r>
        <w:rPr>
          <w:color w:val="231F20"/>
        </w:rPr>
        <w:t>part,</w:t>
      </w:r>
      <w:r>
        <w:rPr>
          <w:color w:val="231F20"/>
          <w:spacing w:val="-3"/>
        </w:rPr>
        <w:t> </w:t>
      </w:r>
      <w:r>
        <w:rPr>
          <w:color w:val="231F20"/>
        </w:rPr>
        <w:t>the</w:t>
      </w:r>
      <w:r>
        <w:rPr>
          <w:color w:val="231F20"/>
          <w:spacing w:val="-3"/>
        </w:rPr>
        <w:t> </w:t>
      </w:r>
      <w:r>
        <w:rPr>
          <w:color w:val="231F20"/>
        </w:rPr>
        <w:t>cost</w:t>
      </w:r>
      <w:r>
        <w:rPr>
          <w:color w:val="231F20"/>
          <w:spacing w:val="-3"/>
        </w:rPr>
        <w:t> </w:t>
      </w:r>
      <w:r>
        <w:rPr>
          <w:color w:val="231F20"/>
        </w:rPr>
        <w:t>of</w:t>
      </w:r>
      <w:r>
        <w:rPr>
          <w:color w:val="231F20"/>
          <w:spacing w:val="-2"/>
        </w:rPr>
        <w:t> </w:t>
      </w:r>
      <w:r>
        <w:rPr>
          <w:color w:val="231F20"/>
        </w:rPr>
        <w:t>other</w:t>
      </w:r>
      <w:r>
        <w:rPr>
          <w:color w:val="231F20"/>
          <w:spacing w:val="-3"/>
        </w:rPr>
        <w:t> </w:t>
      </w:r>
      <w:r>
        <w:rPr>
          <w:color w:val="231F20"/>
        </w:rPr>
        <w:t>postemployment</w:t>
      </w:r>
      <w:r>
        <w:rPr>
          <w:color w:val="231F20"/>
          <w:spacing w:val="-3"/>
        </w:rPr>
        <w:t> </w:t>
      </w:r>
      <w:r>
        <w:rPr>
          <w:color w:val="231F20"/>
        </w:rPr>
        <w:t>benefits</w:t>
      </w:r>
      <w:r>
        <w:rPr>
          <w:color w:val="231F20"/>
          <w:spacing w:val="-3"/>
        </w:rPr>
        <w:t> </w:t>
      </w:r>
      <w:r>
        <w:rPr>
          <w:color w:val="231F20"/>
        </w:rPr>
        <w:t>for</w:t>
      </w:r>
      <w:r>
        <w:rPr>
          <w:color w:val="231F20"/>
          <w:spacing w:val="-3"/>
        </w:rPr>
        <w:t> </w:t>
      </w:r>
      <w:r>
        <w:rPr>
          <w:color w:val="231F20"/>
        </w:rPr>
        <w:t>eligible</w:t>
      </w:r>
      <w:r>
        <w:rPr>
          <w:color w:val="231F20"/>
          <w:spacing w:val="-3"/>
        </w:rPr>
        <w:t> </w:t>
      </w:r>
      <w:r>
        <w:rPr>
          <w:color w:val="231F20"/>
        </w:rPr>
        <w:t>retirees</w:t>
      </w:r>
      <w:r>
        <w:rPr>
          <w:color w:val="231F20"/>
          <w:spacing w:val="-3"/>
        </w:rPr>
        <w:t> </w:t>
      </w:r>
      <w:r>
        <w:rPr>
          <w:color w:val="231F20"/>
        </w:rPr>
        <w:t>of</w:t>
      </w:r>
      <w:r>
        <w:rPr>
          <w:color w:val="231F20"/>
          <w:spacing w:val="-3"/>
        </w:rPr>
        <w:t> </w:t>
      </w:r>
      <w:r>
        <w:rPr>
          <w:color w:val="231F20"/>
        </w:rPr>
        <w:t>the </w:t>
      </w:r>
      <w:r>
        <w:rPr>
          <w:color w:val="231F20"/>
          <w:spacing w:val="-2"/>
        </w:rPr>
        <w:t>Institute.</w:t>
      </w:r>
    </w:p>
    <w:p>
      <w:pPr>
        <w:pStyle w:val="BodyText"/>
        <w:spacing w:before="10"/>
        <w:rPr>
          <w:sz w:val="19"/>
        </w:rPr>
      </w:pPr>
    </w:p>
    <w:p>
      <w:pPr>
        <w:pStyle w:val="BodyText"/>
        <w:spacing w:line="276" w:lineRule="auto" w:before="1"/>
        <w:ind w:left="1440" w:right="1721"/>
      </w:pPr>
      <w:r>
        <w:rPr>
          <w:color w:val="231F20"/>
        </w:rPr>
        <w:t>The Trust has been informed by legal opinion and accepted by management that the Plan is a legally-formed</w:t>
      </w:r>
      <w:r>
        <w:rPr>
          <w:color w:val="231F20"/>
          <w:spacing w:val="-4"/>
        </w:rPr>
        <w:t> </w:t>
      </w:r>
      <w:r>
        <w:rPr>
          <w:color w:val="231F20"/>
        </w:rPr>
        <w:t>independent</w:t>
      </w:r>
      <w:r>
        <w:rPr>
          <w:color w:val="231F20"/>
          <w:spacing w:val="-4"/>
        </w:rPr>
        <w:t> </w:t>
      </w:r>
      <w:r>
        <w:rPr>
          <w:color w:val="231F20"/>
        </w:rPr>
        <w:t>trust</w:t>
      </w:r>
      <w:r>
        <w:rPr>
          <w:color w:val="231F20"/>
          <w:spacing w:val="-4"/>
        </w:rPr>
        <w:t> </w:t>
      </w:r>
      <w:r>
        <w:rPr>
          <w:color w:val="231F20"/>
        </w:rPr>
        <w:t>and</w:t>
      </w:r>
      <w:r>
        <w:rPr>
          <w:color w:val="231F20"/>
          <w:spacing w:val="-4"/>
        </w:rPr>
        <w:t> </w:t>
      </w:r>
      <w:r>
        <w:rPr>
          <w:color w:val="231F20"/>
        </w:rPr>
        <w:t>is</w:t>
      </w:r>
      <w:r>
        <w:rPr>
          <w:color w:val="231F20"/>
          <w:spacing w:val="-4"/>
        </w:rPr>
        <w:t> </w:t>
      </w:r>
      <w:r>
        <w:rPr>
          <w:color w:val="231F20"/>
        </w:rPr>
        <w:t>therefore</w:t>
      </w:r>
      <w:r>
        <w:rPr>
          <w:color w:val="231F20"/>
          <w:spacing w:val="-4"/>
        </w:rPr>
        <w:t> </w:t>
      </w:r>
      <w:r>
        <w:rPr>
          <w:color w:val="231F20"/>
        </w:rPr>
        <w:t>recognized</w:t>
      </w:r>
      <w:r>
        <w:rPr>
          <w:color w:val="231F20"/>
          <w:spacing w:val="-4"/>
        </w:rPr>
        <w:t> </w:t>
      </w:r>
      <w:r>
        <w:rPr>
          <w:color w:val="231F20"/>
        </w:rPr>
        <w:t>as</w:t>
      </w:r>
      <w:r>
        <w:rPr>
          <w:color w:val="231F20"/>
          <w:spacing w:val="-3"/>
        </w:rPr>
        <w:t> </w:t>
      </w:r>
      <w:r>
        <w:rPr>
          <w:color w:val="231F20"/>
        </w:rPr>
        <w:t>a</w:t>
      </w:r>
      <w:r>
        <w:rPr>
          <w:color w:val="231F20"/>
          <w:spacing w:val="-4"/>
        </w:rPr>
        <w:t> </w:t>
      </w:r>
      <w:r>
        <w:rPr>
          <w:color w:val="231F20"/>
        </w:rPr>
        <w:t>blended</w:t>
      </w:r>
      <w:r>
        <w:rPr>
          <w:color w:val="231F20"/>
          <w:spacing w:val="-4"/>
        </w:rPr>
        <w:t> </w:t>
      </w:r>
      <w:r>
        <w:rPr>
          <w:color w:val="231F20"/>
        </w:rPr>
        <w:t>component</w:t>
      </w:r>
      <w:r>
        <w:rPr>
          <w:color w:val="231F20"/>
          <w:spacing w:val="-4"/>
        </w:rPr>
        <w:t> </w:t>
      </w:r>
      <w:r>
        <w:rPr>
          <w:color w:val="231F20"/>
        </w:rPr>
        <w:t>unit</w:t>
      </w:r>
      <w:r>
        <w:rPr>
          <w:color w:val="231F20"/>
          <w:spacing w:val="-4"/>
        </w:rPr>
        <w:t> </w:t>
      </w:r>
      <w:r>
        <w:rPr>
          <w:color w:val="231F20"/>
        </w:rPr>
        <w:t>in</w:t>
      </w:r>
      <w:r>
        <w:rPr>
          <w:color w:val="231F20"/>
          <w:spacing w:val="-4"/>
        </w:rPr>
        <w:t> </w:t>
      </w:r>
      <w:r>
        <w:rPr>
          <w:color w:val="231F20"/>
        </w:rPr>
        <w:t>the</w:t>
      </w:r>
    </w:p>
    <w:p>
      <w:pPr>
        <w:pStyle w:val="BodyText"/>
        <w:ind w:left="1440"/>
      </w:pPr>
      <w:r>
        <w:rPr>
          <w:color w:val="231F20"/>
        </w:rPr>
        <w:t>Institute’s</w:t>
      </w:r>
      <w:r>
        <w:rPr>
          <w:color w:val="231F20"/>
          <w:spacing w:val="-9"/>
        </w:rPr>
        <w:t> </w:t>
      </w:r>
      <w:r>
        <w:rPr>
          <w:color w:val="231F20"/>
        </w:rPr>
        <w:t>financial</w:t>
      </w:r>
      <w:r>
        <w:rPr>
          <w:color w:val="231F20"/>
          <w:spacing w:val="-8"/>
        </w:rPr>
        <w:t> </w:t>
      </w:r>
      <w:r>
        <w:rPr>
          <w:color w:val="231F20"/>
        </w:rPr>
        <w:t>statements.</w:t>
      </w:r>
      <w:r>
        <w:rPr>
          <w:color w:val="231F20"/>
          <w:spacing w:val="-7"/>
        </w:rPr>
        <w:t> </w:t>
      </w:r>
      <w:r>
        <w:rPr>
          <w:color w:val="231F20"/>
        </w:rPr>
        <w:t>The</w:t>
      </w:r>
      <w:r>
        <w:rPr>
          <w:color w:val="231F20"/>
          <w:spacing w:val="-6"/>
        </w:rPr>
        <w:t> </w:t>
      </w:r>
      <w:r>
        <w:rPr>
          <w:color w:val="231F20"/>
        </w:rPr>
        <w:t>Trust</w:t>
      </w:r>
      <w:r>
        <w:rPr>
          <w:color w:val="231F20"/>
          <w:spacing w:val="-7"/>
        </w:rPr>
        <w:t> </w:t>
      </w:r>
      <w:r>
        <w:rPr>
          <w:color w:val="231F20"/>
        </w:rPr>
        <w:t>accounts</w:t>
      </w:r>
      <w:r>
        <w:rPr>
          <w:color w:val="231F20"/>
          <w:spacing w:val="-7"/>
        </w:rPr>
        <w:t> </w:t>
      </w:r>
      <w:r>
        <w:rPr>
          <w:color w:val="231F20"/>
        </w:rPr>
        <w:t>are</w:t>
      </w:r>
      <w:r>
        <w:rPr>
          <w:color w:val="231F20"/>
          <w:spacing w:val="-6"/>
        </w:rPr>
        <w:t> </w:t>
      </w:r>
      <w:r>
        <w:rPr>
          <w:color w:val="231F20"/>
        </w:rPr>
        <w:t>separately</w:t>
      </w:r>
      <w:r>
        <w:rPr>
          <w:color w:val="231F20"/>
          <w:spacing w:val="-7"/>
        </w:rPr>
        <w:t> </w:t>
      </w:r>
      <w:r>
        <w:rPr>
          <w:color w:val="231F20"/>
        </w:rPr>
        <w:t>audited</w:t>
      </w:r>
      <w:r>
        <w:rPr>
          <w:color w:val="231F20"/>
          <w:spacing w:val="-7"/>
        </w:rPr>
        <w:t> </w:t>
      </w:r>
      <w:r>
        <w:rPr>
          <w:color w:val="231F20"/>
        </w:rPr>
        <w:t>as</w:t>
      </w:r>
      <w:r>
        <w:rPr>
          <w:color w:val="231F20"/>
          <w:spacing w:val="-6"/>
        </w:rPr>
        <w:t> </w:t>
      </w:r>
      <w:r>
        <w:rPr>
          <w:color w:val="231F20"/>
        </w:rPr>
        <w:t>required</w:t>
      </w:r>
      <w:r>
        <w:rPr>
          <w:color w:val="231F20"/>
          <w:spacing w:val="-7"/>
        </w:rPr>
        <w:t> </w:t>
      </w:r>
      <w:r>
        <w:rPr>
          <w:color w:val="231F20"/>
        </w:rPr>
        <w:t>under</w:t>
      </w:r>
      <w:r>
        <w:rPr>
          <w:color w:val="231F20"/>
          <w:spacing w:val="-8"/>
        </w:rPr>
        <w:t> </w:t>
      </w:r>
      <w:r>
        <w:rPr>
          <w:color w:val="231F20"/>
        </w:rPr>
        <w:t>GASB</w:t>
      </w:r>
      <w:r>
        <w:rPr>
          <w:color w:val="231F20"/>
          <w:spacing w:val="-6"/>
        </w:rPr>
        <w:t> </w:t>
      </w:r>
      <w:r>
        <w:rPr>
          <w:color w:val="231F20"/>
          <w:spacing w:val="-5"/>
        </w:rPr>
        <w:t>74,</w:t>
      </w:r>
    </w:p>
    <w:p>
      <w:pPr>
        <w:spacing w:before="35"/>
        <w:ind w:left="1440" w:right="0" w:firstLine="0"/>
        <w:jc w:val="left"/>
        <w:rPr>
          <w:i/>
          <w:sz w:val="20"/>
        </w:rPr>
      </w:pPr>
      <w:r>
        <w:rPr>
          <w:i/>
          <w:color w:val="231F20"/>
          <w:sz w:val="20"/>
        </w:rPr>
        <w:t>Financial</w:t>
      </w:r>
      <w:r>
        <w:rPr>
          <w:i/>
          <w:color w:val="231F20"/>
          <w:spacing w:val="-8"/>
          <w:sz w:val="20"/>
        </w:rPr>
        <w:t> </w:t>
      </w:r>
      <w:r>
        <w:rPr>
          <w:i/>
          <w:color w:val="231F20"/>
          <w:sz w:val="20"/>
        </w:rPr>
        <w:t>Reporting</w:t>
      </w:r>
      <w:r>
        <w:rPr>
          <w:i/>
          <w:color w:val="231F20"/>
          <w:spacing w:val="-7"/>
          <w:sz w:val="20"/>
        </w:rPr>
        <w:t> </w:t>
      </w:r>
      <w:r>
        <w:rPr>
          <w:i/>
          <w:color w:val="231F20"/>
          <w:sz w:val="20"/>
        </w:rPr>
        <w:t>for</w:t>
      </w:r>
      <w:r>
        <w:rPr>
          <w:i/>
          <w:color w:val="231F20"/>
          <w:spacing w:val="-7"/>
          <w:sz w:val="20"/>
        </w:rPr>
        <w:t> </w:t>
      </w:r>
      <w:r>
        <w:rPr>
          <w:i/>
          <w:color w:val="231F20"/>
          <w:sz w:val="20"/>
        </w:rPr>
        <w:t>Postemployment</w:t>
      </w:r>
      <w:r>
        <w:rPr>
          <w:i/>
          <w:color w:val="231F20"/>
          <w:spacing w:val="-7"/>
          <w:sz w:val="20"/>
        </w:rPr>
        <w:t> </w:t>
      </w:r>
      <w:r>
        <w:rPr>
          <w:i/>
          <w:color w:val="231F20"/>
          <w:sz w:val="20"/>
        </w:rPr>
        <w:t>Benefit</w:t>
      </w:r>
      <w:r>
        <w:rPr>
          <w:i/>
          <w:color w:val="231F20"/>
          <w:spacing w:val="-8"/>
          <w:sz w:val="20"/>
        </w:rPr>
        <w:t> </w:t>
      </w:r>
      <w:r>
        <w:rPr>
          <w:i/>
          <w:color w:val="231F20"/>
          <w:sz w:val="20"/>
        </w:rPr>
        <w:t>Plans</w:t>
      </w:r>
      <w:r>
        <w:rPr>
          <w:i/>
          <w:color w:val="231F20"/>
          <w:spacing w:val="-7"/>
          <w:sz w:val="20"/>
        </w:rPr>
        <w:t> </w:t>
      </w:r>
      <w:r>
        <w:rPr>
          <w:i/>
          <w:color w:val="231F20"/>
          <w:sz w:val="20"/>
        </w:rPr>
        <w:t>other</w:t>
      </w:r>
      <w:r>
        <w:rPr>
          <w:i/>
          <w:color w:val="231F20"/>
          <w:spacing w:val="-7"/>
          <w:sz w:val="20"/>
        </w:rPr>
        <w:t> </w:t>
      </w:r>
      <w:r>
        <w:rPr>
          <w:i/>
          <w:color w:val="231F20"/>
          <w:sz w:val="20"/>
        </w:rPr>
        <w:t>than</w:t>
      </w:r>
      <w:r>
        <w:rPr>
          <w:i/>
          <w:color w:val="231F20"/>
          <w:spacing w:val="-7"/>
          <w:sz w:val="20"/>
        </w:rPr>
        <w:t> </w:t>
      </w:r>
      <w:r>
        <w:rPr>
          <w:i/>
          <w:color w:val="231F20"/>
          <w:sz w:val="20"/>
        </w:rPr>
        <w:t>Pension</w:t>
      </w:r>
      <w:r>
        <w:rPr>
          <w:i/>
          <w:color w:val="231F20"/>
          <w:spacing w:val="-7"/>
          <w:sz w:val="20"/>
        </w:rPr>
        <w:t> </w:t>
      </w:r>
      <w:r>
        <w:rPr>
          <w:i/>
          <w:color w:val="231F20"/>
          <w:spacing w:val="-2"/>
          <w:sz w:val="20"/>
        </w:rPr>
        <w:t>Plans.</w:t>
      </w:r>
    </w:p>
    <w:p>
      <w:pPr>
        <w:pStyle w:val="BodyText"/>
        <w:spacing w:before="10"/>
        <w:rPr>
          <w:i/>
          <w:sz w:val="25"/>
        </w:rPr>
      </w:pPr>
    </w:p>
    <w:p>
      <w:pPr>
        <w:spacing w:before="0"/>
        <w:ind w:left="1440" w:right="0" w:firstLine="0"/>
        <w:jc w:val="left"/>
        <w:rPr>
          <w:sz w:val="20"/>
        </w:rPr>
      </w:pPr>
      <w:r>
        <w:rPr>
          <w:i/>
          <w:color w:val="231F20"/>
          <w:sz w:val="20"/>
        </w:rPr>
        <w:t>The</w:t>
      </w:r>
      <w:r>
        <w:rPr>
          <w:i/>
          <w:color w:val="231F20"/>
          <w:spacing w:val="-5"/>
          <w:sz w:val="20"/>
        </w:rPr>
        <w:t> </w:t>
      </w:r>
      <w:r>
        <w:rPr>
          <w:i/>
          <w:color w:val="231F20"/>
          <w:sz w:val="20"/>
        </w:rPr>
        <w:t>New</w:t>
      </w:r>
      <w:r>
        <w:rPr>
          <w:i/>
          <w:color w:val="231F20"/>
          <w:spacing w:val="-3"/>
          <w:sz w:val="20"/>
        </w:rPr>
        <w:t> </w:t>
      </w:r>
      <w:r>
        <w:rPr>
          <w:i/>
          <w:color w:val="231F20"/>
          <w:sz w:val="20"/>
        </w:rPr>
        <w:t>Mexico</w:t>
      </w:r>
      <w:r>
        <w:rPr>
          <w:i/>
          <w:color w:val="231F20"/>
          <w:spacing w:val="-3"/>
          <w:sz w:val="20"/>
        </w:rPr>
        <w:t> </w:t>
      </w:r>
      <w:r>
        <w:rPr>
          <w:i/>
          <w:color w:val="231F20"/>
          <w:sz w:val="20"/>
        </w:rPr>
        <w:t>Tech</w:t>
      </w:r>
      <w:r>
        <w:rPr>
          <w:i/>
          <w:color w:val="231F20"/>
          <w:spacing w:val="-3"/>
          <w:sz w:val="20"/>
        </w:rPr>
        <w:t> </w:t>
      </w:r>
      <w:r>
        <w:rPr>
          <w:i/>
          <w:color w:val="231F20"/>
          <w:sz w:val="20"/>
        </w:rPr>
        <w:t>University</w:t>
      </w:r>
      <w:r>
        <w:rPr>
          <w:i/>
          <w:color w:val="231F20"/>
          <w:spacing w:val="-4"/>
          <w:sz w:val="20"/>
        </w:rPr>
        <w:t> </w:t>
      </w:r>
      <w:r>
        <w:rPr>
          <w:i/>
          <w:color w:val="231F20"/>
          <w:sz w:val="20"/>
        </w:rPr>
        <w:t>Research</w:t>
      </w:r>
      <w:r>
        <w:rPr>
          <w:i/>
          <w:color w:val="231F20"/>
          <w:spacing w:val="-3"/>
          <w:sz w:val="20"/>
        </w:rPr>
        <w:t> </w:t>
      </w:r>
      <w:r>
        <w:rPr>
          <w:i/>
          <w:color w:val="231F20"/>
          <w:sz w:val="20"/>
        </w:rPr>
        <w:t>Park</w:t>
      </w:r>
      <w:r>
        <w:rPr>
          <w:i/>
          <w:color w:val="231F20"/>
          <w:spacing w:val="-2"/>
          <w:sz w:val="20"/>
        </w:rPr>
        <w:t> </w:t>
      </w:r>
      <w:r>
        <w:rPr>
          <w:i/>
          <w:color w:val="231F20"/>
          <w:sz w:val="20"/>
        </w:rPr>
        <w:t>Corporation</w:t>
      </w:r>
      <w:r>
        <w:rPr>
          <w:i/>
          <w:color w:val="231F20"/>
          <w:spacing w:val="-1"/>
          <w:sz w:val="20"/>
        </w:rPr>
        <w:t> </w:t>
      </w:r>
      <w:r>
        <w:rPr>
          <w:color w:val="231F20"/>
          <w:sz w:val="20"/>
        </w:rPr>
        <w:t>(the</w:t>
      </w:r>
      <w:r>
        <w:rPr>
          <w:color w:val="231F20"/>
          <w:spacing w:val="-4"/>
          <w:sz w:val="20"/>
        </w:rPr>
        <w:t> </w:t>
      </w:r>
      <w:r>
        <w:rPr>
          <w:color w:val="231F20"/>
          <w:sz w:val="20"/>
        </w:rPr>
        <w:t>Corporation)</w:t>
      </w:r>
      <w:r>
        <w:rPr>
          <w:color w:val="231F20"/>
          <w:spacing w:val="-3"/>
          <w:sz w:val="20"/>
        </w:rPr>
        <w:t> </w:t>
      </w:r>
      <w:r>
        <w:rPr>
          <w:color w:val="231F20"/>
          <w:sz w:val="20"/>
        </w:rPr>
        <w:t>is</w:t>
      </w:r>
      <w:r>
        <w:rPr>
          <w:color w:val="231F20"/>
          <w:spacing w:val="-3"/>
          <w:sz w:val="20"/>
        </w:rPr>
        <w:t> </w:t>
      </w:r>
      <w:r>
        <w:rPr>
          <w:color w:val="231F20"/>
          <w:sz w:val="20"/>
        </w:rPr>
        <w:t>a</w:t>
      </w:r>
      <w:r>
        <w:rPr>
          <w:color w:val="231F20"/>
          <w:spacing w:val="-3"/>
          <w:sz w:val="20"/>
        </w:rPr>
        <w:t> </w:t>
      </w:r>
      <w:r>
        <w:rPr>
          <w:color w:val="231F20"/>
          <w:sz w:val="20"/>
        </w:rPr>
        <w:t>New</w:t>
      </w:r>
      <w:r>
        <w:rPr>
          <w:color w:val="231F20"/>
          <w:spacing w:val="-2"/>
          <w:sz w:val="20"/>
        </w:rPr>
        <w:t> Mexico</w:t>
      </w:r>
    </w:p>
    <w:p>
      <w:pPr>
        <w:pStyle w:val="BodyText"/>
        <w:spacing w:line="276" w:lineRule="auto" w:before="36"/>
        <w:ind w:left="1440" w:right="1048"/>
      </w:pPr>
      <w:r>
        <w:rPr>
          <w:color w:val="231F20"/>
        </w:rPr>
        <w:t>not-for-profit corporation located in Socorro, New Mexico. The Corporation is organized to assist the Institute</w:t>
      </w:r>
      <w:r>
        <w:rPr>
          <w:color w:val="231F20"/>
          <w:spacing w:val="-5"/>
        </w:rPr>
        <w:t> </w:t>
      </w:r>
      <w:r>
        <w:rPr>
          <w:color w:val="231F20"/>
        </w:rPr>
        <w:t>by</w:t>
      </w:r>
      <w:r>
        <w:rPr>
          <w:color w:val="231F20"/>
          <w:spacing w:val="-3"/>
        </w:rPr>
        <w:t> </w:t>
      </w:r>
      <w:r>
        <w:rPr>
          <w:color w:val="231F20"/>
        </w:rPr>
        <w:t>making</w:t>
      </w:r>
      <w:r>
        <w:rPr>
          <w:color w:val="231F20"/>
          <w:spacing w:val="-3"/>
        </w:rPr>
        <w:t> </w:t>
      </w:r>
      <w:r>
        <w:rPr>
          <w:color w:val="231F20"/>
        </w:rPr>
        <w:t>available</w:t>
      </w:r>
      <w:r>
        <w:rPr>
          <w:color w:val="231F20"/>
          <w:spacing w:val="-3"/>
        </w:rPr>
        <w:t> </w:t>
      </w:r>
      <w:r>
        <w:rPr>
          <w:color w:val="231F20"/>
        </w:rPr>
        <w:t>funds</w:t>
      </w:r>
      <w:r>
        <w:rPr>
          <w:color w:val="231F20"/>
          <w:spacing w:val="-3"/>
        </w:rPr>
        <w:t> </w:t>
      </w:r>
      <w:r>
        <w:rPr>
          <w:color w:val="231F20"/>
        </w:rPr>
        <w:t>to</w:t>
      </w:r>
      <w:r>
        <w:rPr>
          <w:color w:val="231F20"/>
          <w:spacing w:val="-3"/>
        </w:rPr>
        <w:t> </w:t>
      </w:r>
      <w:r>
        <w:rPr>
          <w:color w:val="231F20"/>
        </w:rPr>
        <w:t>pursue</w:t>
      </w:r>
      <w:r>
        <w:rPr>
          <w:color w:val="231F20"/>
          <w:spacing w:val="-3"/>
        </w:rPr>
        <w:t> </w:t>
      </w:r>
      <w:r>
        <w:rPr>
          <w:color w:val="231F20"/>
        </w:rPr>
        <w:t>technology</w:t>
      </w:r>
      <w:r>
        <w:rPr>
          <w:color w:val="231F20"/>
          <w:spacing w:val="-3"/>
        </w:rPr>
        <w:t> </w:t>
      </w:r>
      <w:r>
        <w:rPr>
          <w:color w:val="231F20"/>
        </w:rPr>
        <w:t>research</w:t>
      </w:r>
      <w:r>
        <w:rPr>
          <w:color w:val="231F20"/>
          <w:spacing w:val="-3"/>
        </w:rPr>
        <w:t> </w:t>
      </w:r>
      <w:r>
        <w:rPr>
          <w:color w:val="231F20"/>
        </w:rPr>
        <w:t>and</w:t>
      </w:r>
      <w:r>
        <w:rPr>
          <w:color w:val="231F20"/>
          <w:spacing w:val="-3"/>
        </w:rPr>
        <w:t> </w:t>
      </w:r>
      <w:r>
        <w:rPr>
          <w:color w:val="231F20"/>
        </w:rPr>
        <w:t>other</w:t>
      </w:r>
      <w:r>
        <w:rPr>
          <w:color w:val="231F20"/>
          <w:spacing w:val="-3"/>
        </w:rPr>
        <w:t> </w:t>
      </w:r>
      <w:r>
        <w:rPr>
          <w:color w:val="231F20"/>
        </w:rPr>
        <w:t>programs</w:t>
      </w:r>
      <w:r>
        <w:rPr>
          <w:color w:val="231F20"/>
          <w:spacing w:val="-3"/>
        </w:rPr>
        <w:t> </w:t>
      </w:r>
      <w:r>
        <w:rPr>
          <w:color w:val="231F20"/>
        </w:rPr>
        <w:t>being</w:t>
      </w:r>
      <w:r>
        <w:rPr>
          <w:color w:val="231F20"/>
          <w:spacing w:val="-3"/>
        </w:rPr>
        <w:t> </w:t>
      </w:r>
      <w:r>
        <w:rPr>
          <w:color w:val="231F20"/>
        </w:rPr>
        <w:t>carried</w:t>
      </w:r>
      <w:r>
        <w:rPr>
          <w:color w:val="231F20"/>
          <w:spacing w:val="-3"/>
        </w:rPr>
        <w:t> </w:t>
      </w:r>
      <w:r>
        <w:rPr>
          <w:color w:val="231F20"/>
        </w:rPr>
        <w:t>out by the Institute. The Corporation has no component units. The Institute is the sole member of the Corporation and appoints the board of the Corporation, as a result determined to be a blended component unit of the Institution.</w:t>
      </w:r>
    </w:p>
    <w:p>
      <w:pPr>
        <w:pStyle w:val="BodyText"/>
        <w:spacing w:before="10"/>
        <w:rPr>
          <w:sz w:val="22"/>
        </w:rPr>
      </w:pPr>
    </w:p>
    <w:p>
      <w:pPr>
        <w:pStyle w:val="BodyText"/>
        <w:spacing w:line="276" w:lineRule="auto"/>
        <w:ind w:left="1440" w:right="1048"/>
      </w:pPr>
      <w:r>
        <w:rPr>
          <w:color w:val="231F20"/>
        </w:rPr>
        <w:t>The financial statements of the Foundation, Corporation, and Trust can be obtained directly at the Institute's</w:t>
      </w:r>
      <w:r>
        <w:rPr>
          <w:color w:val="231F20"/>
          <w:spacing w:val="-3"/>
        </w:rPr>
        <w:t> </w:t>
      </w:r>
      <w:r>
        <w:rPr>
          <w:color w:val="231F20"/>
        </w:rPr>
        <w:t>office</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address:</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Institute</w:t>
      </w:r>
      <w:r>
        <w:rPr>
          <w:color w:val="231F20"/>
          <w:spacing w:val="-3"/>
        </w:rPr>
        <w:t> </w:t>
      </w:r>
      <w:r>
        <w:rPr>
          <w:color w:val="231F20"/>
        </w:rPr>
        <w:t>of</w:t>
      </w:r>
      <w:r>
        <w:rPr>
          <w:color w:val="231F20"/>
          <w:spacing w:val="-3"/>
        </w:rPr>
        <w:t> </w:t>
      </w:r>
      <w:r>
        <w:rPr>
          <w:color w:val="231F20"/>
        </w:rPr>
        <w:t>Mining</w:t>
      </w:r>
      <w:r>
        <w:rPr>
          <w:color w:val="231F20"/>
          <w:spacing w:val="-3"/>
        </w:rPr>
        <w:t> </w:t>
      </w:r>
      <w:r>
        <w:rPr>
          <w:color w:val="231F20"/>
        </w:rPr>
        <w:t>and</w:t>
      </w:r>
      <w:r>
        <w:rPr>
          <w:color w:val="231F20"/>
          <w:spacing w:val="-3"/>
        </w:rPr>
        <w:t> </w:t>
      </w:r>
      <w:r>
        <w:rPr>
          <w:color w:val="231F20"/>
        </w:rPr>
        <w:t>Technology,</w:t>
      </w:r>
      <w:r>
        <w:rPr>
          <w:color w:val="231F20"/>
          <w:spacing w:val="-3"/>
        </w:rPr>
        <w:t> </w:t>
      </w:r>
      <w:r>
        <w:rPr>
          <w:color w:val="231F20"/>
        </w:rPr>
        <w:t>801</w:t>
      </w:r>
      <w:r>
        <w:rPr>
          <w:color w:val="231F20"/>
          <w:spacing w:val="-3"/>
        </w:rPr>
        <w:t> </w:t>
      </w:r>
      <w:r>
        <w:rPr>
          <w:color w:val="231F20"/>
        </w:rPr>
        <w:t>Leroy Place, Socorro, New Mexico 87801.</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pStyle w:val="ListParagraph"/>
        <w:numPr>
          <w:ilvl w:val="0"/>
          <w:numId w:val="5"/>
        </w:numPr>
        <w:tabs>
          <w:tab w:pos="1774" w:val="left" w:leader="none"/>
        </w:tabs>
        <w:spacing w:line="240" w:lineRule="auto" w:before="0" w:after="0"/>
        <w:ind w:left="1773" w:right="0" w:hanging="334"/>
        <w:jc w:val="left"/>
        <w:rPr>
          <w:b/>
          <w:sz w:val="20"/>
        </w:rPr>
      </w:pPr>
      <w:r>
        <w:rPr>
          <w:b/>
          <w:color w:val="231F20"/>
          <w:sz w:val="20"/>
        </w:rPr>
        <w:t>Impact</w:t>
      </w:r>
      <w:r>
        <w:rPr>
          <w:b/>
          <w:color w:val="231F20"/>
          <w:spacing w:val="-7"/>
          <w:sz w:val="20"/>
        </w:rPr>
        <w:t> </w:t>
      </w:r>
      <w:r>
        <w:rPr>
          <w:b/>
          <w:color w:val="231F20"/>
          <w:sz w:val="20"/>
        </w:rPr>
        <w:t>of</w:t>
      </w:r>
      <w:r>
        <w:rPr>
          <w:b/>
          <w:color w:val="231F20"/>
          <w:spacing w:val="-7"/>
          <w:sz w:val="20"/>
        </w:rPr>
        <w:t> </w:t>
      </w:r>
      <w:r>
        <w:rPr>
          <w:b/>
          <w:color w:val="231F20"/>
          <w:sz w:val="20"/>
        </w:rPr>
        <w:t>Recently</w:t>
      </w:r>
      <w:r>
        <w:rPr>
          <w:b/>
          <w:color w:val="231F20"/>
          <w:spacing w:val="-7"/>
          <w:sz w:val="20"/>
        </w:rPr>
        <w:t> </w:t>
      </w:r>
      <w:r>
        <w:rPr>
          <w:b/>
          <w:color w:val="231F20"/>
          <w:sz w:val="20"/>
        </w:rPr>
        <w:t>Issued</w:t>
      </w:r>
      <w:r>
        <w:rPr>
          <w:b/>
          <w:color w:val="231F20"/>
          <w:spacing w:val="-6"/>
          <w:sz w:val="20"/>
        </w:rPr>
        <w:t> </w:t>
      </w:r>
      <w:r>
        <w:rPr>
          <w:b/>
          <w:color w:val="231F20"/>
          <w:sz w:val="20"/>
        </w:rPr>
        <w:t>Accounting</w:t>
      </w:r>
      <w:r>
        <w:rPr>
          <w:b/>
          <w:color w:val="231F20"/>
          <w:spacing w:val="-6"/>
          <w:sz w:val="20"/>
        </w:rPr>
        <w:t> </w:t>
      </w:r>
      <w:r>
        <w:rPr>
          <w:b/>
          <w:color w:val="231F20"/>
          <w:spacing w:val="-2"/>
          <w:sz w:val="20"/>
        </w:rPr>
        <w:t>Standards</w:t>
      </w:r>
    </w:p>
    <w:p>
      <w:pPr>
        <w:pStyle w:val="BodyText"/>
        <w:spacing w:before="11"/>
        <w:rPr>
          <w:b/>
          <w:sz w:val="25"/>
        </w:rPr>
      </w:pPr>
    </w:p>
    <w:p>
      <w:pPr>
        <w:pStyle w:val="BodyText"/>
        <w:spacing w:line="276" w:lineRule="auto"/>
        <w:ind w:left="1440" w:right="881"/>
      </w:pPr>
      <w:r>
        <w:rPr>
          <w:color w:val="231F20"/>
        </w:rPr>
        <w:t>GASB Statement No. 87 – </w:t>
      </w:r>
      <w:r>
        <w:rPr>
          <w:i/>
          <w:color w:val="231F20"/>
        </w:rPr>
        <w:t>Leases </w:t>
      </w:r>
      <w:r>
        <w:rPr>
          <w:color w:val="231F20"/>
        </w:rPr>
        <w:t>(GASB 87), defines a lease as a contract that conveys control of the right to use another Corporation’s nonfinancial asset (e.g., buildings, land, vehicles, equipment) as specified in the contract for a period of time in an exchange or exchange-like transaction. This statement requires recognition of certain lease assets and liabilities for leases that previously were classified as operating leases and recognized as inflows of resources (revenues), or outflows of resources (expenses) based on the payment provisions of the contract. A lessee is required to recognize a lease liability, measured</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present</w:t>
      </w:r>
      <w:r>
        <w:rPr>
          <w:color w:val="231F20"/>
          <w:spacing w:val="-3"/>
        </w:rPr>
        <w:t> </w:t>
      </w:r>
      <w:r>
        <w:rPr>
          <w:color w:val="231F20"/>
        </w:rPr>
        <w:t>value</w:t>
      </w:r>
      <w:r>
        <w:rPr>
          <w:color w:val="231F20"/>
          <w:spacing w:val="-3"/>
        </w:rPr>
        <w:t> </w:t>
      </w:r>
      <w:r>
        <w:rPr>
          <w:color w:val="231F20"/>
        </w:rPr>
        <w:t>of</w:t>
      </w:r>
      <w:r>
        <w:rPr>
          <w:color w:val="231F20"/>
          <w:spacing w:val="-3"/>
        </w:rPr>
        <w:t> </w:t>
      </w:r>
      <w:r>
        <w:rPr>
          <w:color w:val="231F20"/>
        </w:rPr>
        <w:t>payments</w:t>
      </w:r>
      <w:r>
        <w:rPr>
          <w:color w:val="231F20"/>
          <w:spacing w:val="-3"/>
        </w:rPr>
        <w:t> </w:t>
      </w:r>
      <w:r>
        <w:rPr>
          <w:color w:val="231F20"/>
        </w:rPr>
        <w:t>expected</w:t>
      </w:r>
      <w:r>
        <w:rPr>
          <w:color w:val="231F20"/>
          <w:spacing w:val="-4"/>
        </w:rPr>
        <w:t> </w:t>
      </w:r>
      <w:r>
        <w:rPr>
          <w:color w:val="231F20"/>
        </w:rPr>
        <w:t>to</w:t>
      </w:r>
      <w:r>
        <w:rPr>
          <w:color w:val="231F20"/>
          <w:spacing w:val="-3"/>
        </w:rPr>
        <w:t> </w:t>
      </w:r>
      <w:r>
        <w:rPr>
          <w:color w:val="231F20"/>
        </w:rPr>
        <w:t>be</w:t>
      </w:r>
      <w:r>
        <w:rPr>
          <w:color w:val="231F20"/>
          <w:spacing w:val="-3"/>
        </w:rPr>
        <w:t> </w:t>
      </w:r>
      <w:r>
        <w:rPr>
          <w:color w:val="231F20"/>
        </w:rPr>
        <w:t>made</w:t>
      </w:r>
      <w:r>
        <w:rPr>
          <w:color w:val="231F20"/>
          <w:spacing w:val="-3"/>
        </w:rPr>
        <w:t> </w:t>
      </w:r>
      <w:r>
        <w:rPr>
          <w:color w:val="231F20"/>
        </w:rPr>
        <w:t>during</w:t>
      </w:r>
      <w:r>
        <w:rPr>
          <w:color w:val="231F20"/>
          <w:spacing w:val="-3"/>
        </w:rPr>
        <w:t> </w:t>
      </w:r>
      <w:r>
        <w:rPr>
          <w:color w:val="231F20"/>
        </w:rPr>
        <w:t>the</w:t>
      </w:r>
      <w:r>
        <w:rPr>
          <w:color w:val="231F20"/>
          <w:spacing w:val="-3"/>
        </w:rPr>
        <w:t> </w:t>
      </w:r>
      <w:r>
        <w:rPr>
          <w:color w:val="231F20"/>
        </w:rPr>
        <w:t>lease</w:t>
      </w:r>
      <w:r>
        <w:rPr>
          <w:color w:val="231F20"/>
          <w:spacing w:val="-3"/>
        </w:rPr>
        <w:t> </w:t>
      </w:r>
      <w:r>
        <w:rPr>
          <w:color w:val="231F20"/>
        </w:rPr>
        <w:t>term,</w:t>
      </w:r>
      <w:r>
        <w:rPr>
          <w:color w:val="231F20"/>
          <w:spacing w:val="-3"/>
        </w:rPr>
        <w:t> </w:t>
      </w:r>
      <w:r>
        <w:rPr>
          <w:color w:val="231F20"/>
        </w:rPr>
        <w:t>and</w:t>
      </w:r>
      <w:r>
        <w:rPr>
          <w:color w:val="231F20"/>
          <w:spacing w:val="-3"/>
        </w:rPr>
        <w:t> </w:t>
      </w:r>
      <w:r>
        <w:rPr>
          <w:color w:val="231F20"/>
        </w:rPr>
        <w:t>an</w:t>
      </w:r>
      <w:r>
        <w:rPr>
          <w:color w:val="231F20"/>
          <w:spacing w:val="-3"/>
        </w:rPr>
        <w:t> </w:t>
      </w:r>
      <w:r>
        <w:rPr>
          <w:color w:val="231F20"/>
        </w:rPr>
        <w:t>intangible right-to-use</w:t>
      </w:r>
      <w:r>
        <w:rPr>
          <w:color w:val="231F20"/>
          <w:spacing w:val="-1"/>
        </w:rPr>
        <w:t> </w:t>
      </w:r>
      <w:r>
        <w:rPr>
          <w:color w:val="231F20"/>
        </w:rPr>
        <w:t>lease</w:t>
      </w:r>
      <w:r>
        <w:rPr>
          <w:color w:val="231F20"/>
          <w:spacing w:val="-1"/>
        </w:rPr>
        <w:t> </w:t>
      </w:r>
      <w:r>
        <w:rPr>
          <w:color w:val="231F20"/>
        </w:rPr>
        <w:t>asset,</w:t>
      </w:r>
      <w:r>
        <w:rPr>
          <w:color w:val="231F20"/>
          <w:spacing w:val="-1"/>
        </w:rPr>
        <w:t> </w:t>
      </w:r>
      <w:r>
        <w:rPr>
          <w:color w:val="231F20"/>
        </w:rPr>
        <w:t>measured</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amount</w:t>
      </w:r>
      <w:r>
        <w:rPr>
          <w:color w:val="231F20"/>
          <w:spacing w:val="-1"/>
        </w:rPr>
        <w:t> </w:t>
      </w:r>
      <w:r>
        <w:rPr>
          <w:color w:val="231F20"/>
        </w:rPr>
        <w:t>of</w:t>
      </w:r>
      <w:r>
        <w:rPr>
          <w:color w:val="231F20"/>
          <w:spacing w:val="-1"/>
        </w:rPr>
        <w:t> </w:t>
      </w:r>
      <w:r>
        <w:rPr>
          <w:color w:val="231F20"/>
        </w:rPr>
        <w:t>the initial</w:t>
      </w:r>
      <w:r>
        <w:rPr>
          <w:color w:val="231F20"/>
          <w:spacing w:val="-1"/>
        </w:rPr>
        <w:t> </w:t>
      </w:r>
      <w:r>
        <w:rPr>
          <w:color w:val="231F20"/>
        </w:rPr>
        <w:t>measurement</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lease</w:t>
      </w:r>
      <w:r>
        <w:rPr>
          <w:color w:val="231F20"/>
          <w:spacing w:val="-1"/>
        </w:rPr>
        <w:t> </w:t>
      </w:r>
      <w:r>
        <w:rPr>
          <w:color w:val="231F20"/>
        </w:rPr>
        <w:t>liability,</w:t>
      </w:r>
      <w:r>
        <w:rPr>
          <w:color w:val="231F20"/>
          <w:spacing w:val="-1"/>
        </w:rPr>
        <w:t> </w:t>
      </w:r>
      <w:r>
        <w:rPr>
          <w:color w:val="231F20"/>
        </w:rPr>
        <w:t>plus</w:t>
      </w:r>
      <w:r>
        <w:rPr>
          <w:color w:val="231F20"/>
          <w:spacing w:val="-1"/>
        </w:rPr>
        <w:t> </w:t>
      </w:r>
      <w:r>
        <w:rPr>
          <w:color w:val="231F20"/>
        </w:rPr>
        <w:t>any payments made to the lessor at or before the commencement of the lease term and certain direct costs.</w:t>
      </w:r>
      <w:r>
        <w:rPr>
          <w:color w:val="231F20"/>
          <w:spacing w:val="40"/>
        </w:rPr>
        <w:t> </w:t>
      </w:r>
      <w:r>
        <w:rPr>
          <w:color w:val="231F20"/>
        </w:rPr>
        <w:t>A lessor is required to recognize a lease receivable, measured at the present value of lease payments expected to be received during the lease term, and a deferred inflow of resources, measured at the value of the lease receivable, plus any payments received at or before the commencement of the lease term that relate to future periods. This statement includes an exception for short-term leases (those with a maximum</w:t>
      </w:r>
      <w:r>
        <w:rPr>
          <w:color w:val="231F20"/>
          <w:spacing w:val="-2"/>
        </w:rPr>
        <w:t> </w:t>
      </w:r>
      <w:r>
        <w:rPr>
          <w:color w:val="231F20"/>
        </w:rPr>
        <w:t>possible</w:t>
      </w:r>
      <w:r>
        <w:rPr>
          <w:color w:val="231F20"/>
          <w:spacing w:val="-2"/>
        </w:rPr>
        <w:t> </w:t>
      </w:r>
      <w:r>
        <w:rPr>
          <w:color w:val="231F20"/>
        </w:rPr>
        <w:t>term</w:t>
      </w:r>
      <w:r>
        <w:rPr>
          <w:color w:val="231F20"/>
          <w:spacing w:val="-2"/>
        </w:rPr>
        <w:t> </w:t>
      </w:r>
      <w:r>
        <w:rPr>
          <w:color w:val="231F20"/>
        </w:rPr>
        <w:t>of</w:t>
      </w:r>
      <w:r>
        <w:rPr>
          <w:color w:val="231F20"/>
          <w:spacing w:val="-3"/>
        </w:rPr>
        <w:t> </w:t>
      </w:r>
      <w:r>
        <w:rPr>
          <w:color w:val="231F20"/>
        </w:rPr>
        <w:t>12</w:t>
      </w:r>
      <w:r>
        <w:rPr>
          <w:color w:val="231F20"/>
          <w:spacing w:val="-2"/>
        </w:rPr>
        <w:t> </w:t>
      </w:r>
      <w:r>
        <w:rPr>
          <w:color w:val="231F20"/>
        </w:rPr>
        <w:t>months</w:t>
      </w:r>
      <w:r>
        <w:rPr>
          <w:color w:val="231F20"/>
          <w:spacing w:val="-2"/>
        </w:rPr>
        <w:t> </w:t>
      </w:r>
      <w:r>
        <w:rPr>
          <w:color w:val="231F20"/>
        </w:rPr>
        <w:t>or</w:t>
      </w:r>
      <w:r>
        <w:rPr>
          <w:color w:val="231F20"/>
          <w:spacing w:val="-3"/>
        </w:rPr>
        <w:t> </w:t>
      </w:r>
      <w:r>
        <w:rPr>
          <w:color w:val="231F20"/>
        </w:rPr>
        <w:t>less),</w:t>
      </w:r>
      <w:r>
        <w:rPr>
          <w:color w:val="231F20"/>
          <w:spacing w:val="-2"/>
        </w:rPr>
        <w:t> </w:t>
      </w:r>
      <w:r>
        <w:rPr>
          <w:color w:val="231F20"/>
        </w:rPr>
        <w:t>contracts that</w:t>
      </w:r>
      <w:r>
        <w:rPr>
          <w:color w:val="231F20"/>
          <w:spacing w:val="-2"/>
        </w:rPr>
        <w:t> </w:t>
      </w:r>
      <w:r>
        <w:rPr>
          <w:color w:val="231F20"/>
        </w:rPr>
        <w:t>transfer</w:t>
      </w:r>
      <w:r>
        <w:rPr>
          <w:color w:val="231F20"/>
          <w:spacing w:val="-2"/>
        </w:rPr>
        <w:t> </w:t>
      </w:r>
      <w:r>
        <w:rPr>
          <w:color w:val="231F20"/>
        </w:rPr>
        <w:t>ownership,</w:t>
      </w:r>
      <w:r>
        <w:rPr>
          <w:color w:val="231F20"/>
          <w:spacing w:val="-3"/>
        </w:rPr>
        <w:t> </w:t>
      </w:r>
      <w:r>
        <w:rPr>
          <w:color w:val="231F20"/>
        </w:rPr>
        <w:t>leases</w:t>
      </w:r>
      <w:r>
        <w:rPr>
          <w:color w:val="231F20"/>
          <w:spacing w:val="-1"/>
        </w:rPr>
        <w:t> </w:t>
      </w:r>
      <w:r>
        <w:rPr>
          <w:color w:val="231F20"/>
        </w:rPr>
        <w:t>of</w:t>
      </w:r>
      <w:r>
        <w:rPr>
          <w:color w:val="231F20"/>
          <w:spacing w:val="-2"/>
        </w:rPr>
        <w:t> </w:t>
      </w:r>
      <w:r>
        <w:rPr>
          <w:color w:val="231F20"/>
        </w:rPr>
        <w:t>assets</w:t>
      </w:r>
      <w:r>
        <w:rPr>
          <w:color w:val="231F20"/>
          <w:spacing w:val="-2"/>
        </w:rPr>
        <w:t> </w:t>
      </w:r>
      <w:r>
        <w:rPr>
          <w:color w:val="231F20"/>
        </w:rPr>
        <w:t>that</w:t>
      </w:r>
      <w:r>
        <w:rPr>
          <w:color w:val="231F20"/>
          <w:spacing w:val="-2"/>
        </w:rPr>
        <w:t> </w:t>
      </w:r>
      <w:r>
        <w:rPr>
          <w:color w:val="231F20"/>
        </w:rPr>
        <w:t>are investments, and certain regulated leases.</w:t>
      </w:r>
    </w:p>
    <w:p>
      <w:pPr>
        <w:pStyle w:val="BodyText"/>
        <w:spacing w:before="11"/>
        <w:rPr>
          <w:sz w:val="22"/>
        </w:rPr>
      </w:pPr>
    </w:p>
    <w:p>
      <w:pPr>
        <w:pStyle w:val="BodyText"/>
        <w:spacing w:line="276" w:lineRule="auto"/>
        <w:ind w:left="1440" w:right="891"/>
      </w:pPr>
      <w:r>
        <w:rPr>
          <w:color w:val="231F20"/>
        </w:rPr>
        <w:t>The Institute adopted GASB 87 during the year ended June 30, 2022, using the retrospective approach. The Institute evaluated contracts that were formerly accounted for as operating leases to determine whether they meet the definition of a lease as defined in GASB 87. The Institute has entered into lease agreements as both the lessor and lessee, and as such has recognized the corresponding receivables, payables,</w:t>
      </w:r>
      <w:r>
        <w:rPr>
          <w:color w:val="231F20"/>
          <w:spacing w:val="-1"/>
        </w:rPr>
        <w:t> </w:t>
      </w:r>
      <w:r>
        <w:rPr>
          <w:color w:val="231F20"/>
        </w:rPr>
        <w:t>capital</w:t>
      </w:r>
      <w:r>
        <w:rPr>
          <w:color w:val="231F20"/>
          <w:spacing w:val="-1"/>
        </w:rPr>
        <w:t> </w:t>
      </w:r>
      <w:r>
        <w:rPr>
          <w:color w:val="231F20"/>
        </w:rPr>
        <w:t>assets,</w:t>
      </w:r>
      <w:r>
        <w:rPr>
          <w:color w:val="231F20"/>
          <w:spacing w:val="-1"/>
        </w:rPr>
        <w:t> </w:t>
      </w:r>
      <w:r>
        <w:rPr>
          <w:color w:val="231F20"/>
        </w:rPr>
        <w:t>and</w:t>
      </w:r>
      <w:r>
        <w:rPr>
          <w:color w:val="231F20"/>
          <w:spacing w:val="-1"/>
        </w:rPr>
        <w:t> </w:t>
      </w:r>
      <w:r>
        <w:rPr>
          <w:color w:val="231F20"/>
        </w:rPr>
        <w:t>deferred</w:t>
      </w:r>
      <w:r>
        <w:rPr>
          <w:color w:val="231F20"/>
          <w:spacing w:val="-1"/>
        </w:rPr>
        <w:t> </w:t>
      </w:r>
      <w:r>
        <w:rPr>
          <w:color w:val="231F20"/>
        </w:rPr>
        <w:t>inflows</w:t>
      </w:r>
      <w:r>
        <w:rPr>
          <w:color w:val="231F20"/>
          <w:spacing w:val="-1"/>
        </w:rPr>
        <w:t> </w:t>
      </w:r>
      <w:r>
        <w:rPr>
          <w:color w:val="231F20"/>
        </w:rPr>
        <w:t>required under</w:t>
      </w:r>
      <w:r>
        <w:rPr>
          <w:color w:val="231F20"/>
          <w:spacing w:val="-1"/>
        </w:rPr>
        <w:t> </w:t>
      </w:r>
      <w:r>
        <w:rPr>
          <w:color w:val="231F20"/>
        </w:rPr>
        <w:t>this</w:t>
      </w:r>
      <w:r>
        <w:rPr>
          <w:color w:val="231F20"/>
          <w:spacing w:val="-2"/>
        </w:rPr>
        <w:t> </w:t>
      </w:r>
      <w:r>
        <w:rPr>
          <w:color w:val="231F20"/>
        </w:rPr>
        <w:t>statement.</w:t>
      </w:r>
      <w:r>
        <w:rPr>
          <w:color w:val="231F20"/>
          <w:spacing w:val="-1"/>
        </w:rPr>
        <w:t> </w:t>
      </w:r>
      <w:r>
        <w:rPr>
          <w:color w:val="231F20"/>
        </w:rPr>
        <w:t>Implementation</w:t>
      </w:r>
      <w:r>
        <w:rPr>
          <w:color w:val="231F20"/>
          <w:spacing w:val="-1"/>
        </w:rPr>
        <w:t> </w:t>
      </w:r>
      <w:r>
        <w:rPr>
          <w:color w:val="231F20"/>
        </w:rPr>
        <w:t>of</w:t>
      </w:r>
      <w:r>
        <w:rPr>
          <w:color w:val="231F20"/>
          <w:spacing w:val="-1"/>
        </w:rPr>
        <w:t> </w:t>
      </w:r>
      <w:r>
        <w:rPr>
          <w:color w:val="231F20"/>
        </w:rPr>
        <w:t>GASB</w:t>
      </w:r>
      <w:r>
        <w:rPr>
          <w:color w:val="231F20"/>
          <w:spacing w:val="-1"/>
        </w:rPr>
        <w:t> </w:t>
      </w:r>
      <w:r>
        <w:rPr>
          <w:color w:val="231F20"/>
        </w:rPr>
        <w:t>87 impacted</w:t>
      </w:r>
      <w:r>
        <w:rPr>
          <w:color w:val="231F20"/>
          <w:spacing w:val="-4"/>
        </w:rPr>
        <w:t> </w:t>
      </w:r>
      <w:r>
        <w:rPr>
          <w:color w:val="231F20"/>
        </w:rPr>
        <w:t>previously</w:t>
      </w:r>
      <w:r>
        <w:rPr>
          <w:color w:val="231F20"/>
          <w:spacing w:val="-4"/>
        </w:rPr>
        <w:t> </w:t>
      </w:r>
      <w:r>
        <w:rPr>
          <w:color w:val="231F20"/>
        </w:rPr>
        <w:t>reported</w:t>
      </w:r>
      <w:r>
        <w:rPr>
          <w:color w:val="231F20"/>
          <w:spacing w:val="-4"/>
        </w:rPr>
        <w:t> </w:t>
      </w:r>
      <w:r>
        <w:rPr>
          <w:color w:val="231F20"/>
        </w:rPr>
        <w:t>fiscal</w:t>
      </w:r>
      <w:r>
        <w:rPr>
          <w:color w:val="231F20"/>
          <w:spacing w:val="-4"/>
        </w:rPr>
        <w:t> </w:t>
      </w:r>
      <w:r>
        <w:rPr>
          <w:color w:val="231F20"/>
        </w:rPr>
        <w:t>year</w:t>
      </w:r>
      <w:r>
        <w:rPr>
          <w:color w:val="231F20"/>
          <w:spacing w:val="-4"/>
        </w:rPr>
        <w:t> </w:t>
      </w:r>
      <w:r>
        <w:rPr>
          <w:color w:val="231F20"/>
        </w:rPr>
        <w:t>2021</w:t>
      </w:r>
      <w:r>
        <w:rPr>
          <w:color w:val="231F20"/>
          <w:spacing w:val="-4"/>
        </w:rPr>
        <w:t> </w:t>
      </w:r>
      <w:r>
        <w:rPr>
          <w:color w:val="231F20"/>
        </w:rPr>
        <w:t>balances.</w:t>
      </w:r>
      <w:r>
        <w:rPr>
          <w:color w:val="231F20"/>
          <w:spacing w:val="-2"/>
        </w:rPr>
        <w:t> </w:t>
      </w:r>
      <w:r>
        <w:rPr>
          <w:color w:val="231F20"/>
        </w:rPr>
        <w:t>A</w:t>
      </w:r>
      <w:r>
        <w:rPr>
          <w:color w:val="231F20"/>
          <w:spacing w:val="-4"/>
        </w:rPr>
        <w:t> </w:t>
      </w:r>
      <w:r>
        <w:rPr>
          <w:color w:val="231F20"/>
        </w:rPr>
        <w:t>reconciliation</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previous</w:t>
      </w:r>
      <w:r>
        <w:rPr>
          <w:color w:val="231F20"/>
          <w:spacing w:val="-3"/>
        </w:rPr>
        <w:t> </w:t>
      </w:r>
      <w:r>
        <w:rPr>
          <w:color w:val="231F20"/>
        </w:rPr>
        <w:t>balances</w:t>
      </w:r>
      <w:r>
        <w:rPr>
          <w:color w:val="231F20"/>
          <w:spacing w:val="-3"/>
        </w:rPr>
        <w:t> </w:t>
      </w:r>
      <w:r>
        <w:rPr>
          <w:color w:val="231F20"/>
        </w:rPr>
        <w:t>with</w:t>
      </w:r>
      <w:r>
        <w:rPr>
          <w:color w:val="231F20"/>
          <w:spacing w:val="-4"/>
        </w:rPr>
        <w:t> </w:t>
      </w:r>
      <w:r>
        <w:rPr>
          <w:color w:val="231F20"/>
        </w:rPr>
        <w:t>the GASB 87 adjustments are shown below:</w:t>
      </w:r>
    </w:p>
    <w:p>
      <w:pPr>
        <w:pStyle w:val="BodyText"/>
        <w:spacing w:before="3"/>
        <w:rPr>
          <w:sz w:val="25"/>
        </w:rPr>
      </w:pPr>
    </w:p>
    <w:tbl>
      <w:tblPr>
        <w:tblW w:w="0" w:type="auto"/>
        <w:jc w:val="left"/>
        <w:tblInd w:w="1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2"/>
        <w:gridCol w:w="233"/>
        <w:gridCol w:w="1389"/>
        <w:gridCol w:w="497"/>
        <w:gridCol w:w="1278"/>
        <w:gridCol w:w="386"/>
        <w:gridCol w:w="1237"/>
      </w:tblGrid>
      <w:tr>
        <w:trPr>
          <w:trHeight w:val="223" w:hRule="atLeast"/>
        </w:trPr>
        <w:tc>
          <w:tcPr>
            <w:tcW w:w="5994" w:type="dxa"/>
            <w:gridSpan w:val="3"/>
          </w:tcPr>
          <w:p>
            <w:pPr>
              <w:pStyle w:val="TableParagraph"/>
              <w:rPr>
                <w:rFonts w:ascii="Times New Roman"/>
                <w:sz w:val="14"/>
              </w:rPr>
            </w:pPr>
          </w:p>
        </w:tc>
        <w:tc>
          <w:tcPr>
            <w:tcW w:w="1775" w:type="dxa"/>
            <w:gridSpan w:val="2"/>
            <w:tcBorders>
              <w:bottom w:val="single" w:sz="8" w:space="0" w:color="231F20"/>
            </w:tcBorders>
          </w:tcPr>
          <w:p>
            <w:pPr>
              <w:pStyle w:val="TableParagraph"/>
              <w:spacing w:line="203" w:lineRule="exact"/>
              <w:ind w:left="259"/>
              <w:rPr>
                <w:sz w:val="20"/>
              </w:rPr>
            </w:pPr>
            <w:r>
              <w:rPr>
                <w:color w:val="231F20"/>
                <w:sz w:val="20"/>
              </w:rPr>
              <w:t>June</w:t>
            </w:r>
            <w:r>
              <w:rPr>
                <w:color w:val="231F20"/>
                <w:spacing w:val="-2"/>
                <w:sz w:val="20"/>
              </w:rPr>
              <w:t> </w:t>
            </w:r>
            <w:r>
              <w:rPr>
                <w:color w:val="231F20"/>
                <w:sz w:val="20"/>
              </w:rPr>
              <w:t>30, </w:t>
            </w:r>
            <w:r>
              <w:rPr>
                <w:color w:val="231F20"/>
                <w:spacing w:val="-4"/>
                <w:sz w:val="20"/>
              </w:rPr>
              <w:t>2021</w:t>
            </w:r>
          </w:p>
        </w:tc>
        <w:tc>
          <w:tcPr>
            <w:tcW w:w="1623" w:type="dxa"/>
            <w:gridSpan w:val="2"/>
            <w:tcBorders>
              <w:bottom w:val="single" w:sz="8" w:space="0" w:color="231F20"/>
            </w:tcBorders>
          </w:tcPr>
          <w:p>
            <w:pPr>
              <w:pStyle w:val="TableParagraph"/>
              <w:rPr>
                <w:rFonts w:ascii="Times New Roman"/>
                <w:sz w:val="14"/>
              </w:rPr>
            </w:pPr>
          </w:p>
        </w:tc>
      </w:tr>
      <w:tr>
        <w:trPr>
          <w:trHeight w:val="236" w:hRule="atLeast"/>
        </w:trPr>
        <w:tc>
          <w:tcPr>
            <w:tcW w:w="5994" w:type="dxa"/>
            <w:gridSpan w:val="3"/>
            <w:tcBorders>
              <w:top w:val="single" w:sz="8" w:space="0" w:color="231F20"/>
            </w:tcBorders>
          </w:tcPr>
          <w:p>
            <w:pPr>
              <w:pStyle w:val="TableParagraph"/>
              <w:spacing w:line="217" w:lineRule="exact"/>
              <w:ind w:right="531"/>
              <w:jc w:val="right"/>
              <w:rPr>
                <w:sz w:val="20"/>
              </w:rPr>
            </w:pPr>
            <w:r>
              <w:rPr>
                <w:color w:val="231F20"/>
                <w:spacing w:val="-2"/>
                <w:sz w:val="20"/>
              </w:rPr>
              <w:t>Original</w:t>
            </w:r>
          </w:p>
        </w:tc>
        <w:tc>
          <w:tcPr>
            <w:tcW w:w="1775" w:type="dxa"/>
            <w:gridSpan w:val="2"/>
            <w:tcBorders>
              <w:top w:val="single" w:sz="8" w:space="0" w:color="231F20"/>
            </w:tcBorders>
          </w:tcPr>
          <w:p>
            <w:pPr>
              <w:pStyle w:val="TableParagraph"/>
              <w:spacing w:line="217" w:lineRule="exact"/>
              <w:ind w:left="605" w:right="594"/>
              <w:jc w:val="center"/>
              <w:rPr>
                <w:sz w:val="20"/>
              </w:rPr>
            </w:pPr>
            <w:r>
              <w:rPr>
                <w:color w:val="231F20"/>
                <w:spacing w:val="-2"/>
                <w:sz w:val="20"/>
              </w:rPr>
              <w:t>Lease</w:t>
            </w:r>
          </w:p>
        </w:tc>
        <w:tc>
          <w:tcPr>
            <w:tcW w:w="1623" w:type="dxa"/>
            <w:gridSpan w:val="2"/>
            <w:tcBorders>
              <w:top w:val="single" w:sz="8" w:space="0" w:color="231F20"/>
            </w:tcBorders>
          </w:tcPr>
          <w:p>
            <w:pPr>
              <w:pStyle w:val="TableParagraph"/>
              <w:spacing w:line="217" w:lineRule="exact"/>
              <w:ind w:left="491"/>
              <w:rPr>
                <w:sz w:val="20"/>
              </w:rPr>
            </w:pPr>
            <w:r>
              <w:rPr>
                <w:color w:val="231F20"/>
                <w:spacing w:val="-2"/>
                <w:sz w:val="20"/>
              </w:rPr>
              <w:t>Restated</w:t>
            </w:r>
          </w:p>
        </w:tc>
      </w:tr>
      <w:tr>
        <w:trPr>
          <w:trHeight w:val="236" w:hRule="atLeast"/>
        </w:trPr>
        <w:tc>
          <w:tcPr>
            <w:tcW w:w="5994" w:type="dxa"/>
            <w:gridSpan w:val="3"/>
          </w:tcPr>
          <w:p>
            <w:pPr>
              <w:pStyle w:val="TableParagraph"/>
              <w:tabs>
                <w:tab w:pos="399" w:val="left" w:leader="none"/>
                <w:tab w:pos="1468" w:val="left" w:leader="none"/>
              </w:tabs>
              <w:spacing w:line="210" w:lineRule="exact" w:before="6"/>
              <w:ind w:right="151"/>
              <w:jc w:val="right"/>
              <w:rPr>
                <w:sz w:val="20"/>
              </w:rPr>
            </w:pPr>
            <w:r>
              <w:rPr>
                <w:color w:val="231F20"/>
                <w:sz w:val="20"/>
                <w:u w:val="single" w:color="231F20"/>
              </w:rPr>
              <w:tab/>
            </w:r>
            <w:r>
              <w:rPr>
                <w:color w:val="231F20"/>
                <w:spacing w:val="-2"/>
                <w:sz w:val="20"/>
                <w:u w:val="single" w:color="231F20"/>
              </w:rPr>
              <w:t>Amount</w:t>
            </w:r>
            <w:r>
              <w:rPr>
                <w:color w:val="231F20"/>
                <w:sz w:val="20"/>
                <w:u w:val="single" w:color="231F20"/>
              </w:rPr>
              <w:tab/>
            </w:r>
          </w:p>
        </w:tc>
        <w:tc>
          <w:tcPr>
            <w:tcW w:w="1775" w:type="dxa"/>
            <w:gridSpan w:val="2"/>
          </w:tcPr>
          <w:p>
            <w:pPr>
              <w:pStyle w:val="TableParagraph"/>
              <w:tabs>
                <w:tab w:pos="1620" w:val="left" w:leader="none"/>
              </w:tabs>
              <w:spacing w:line="210" w:lineRule="exact" w:before="6"/>
              <w:ind w:left="150"/>
              <w:rPr>
                <w:sz w:val="20"/>
              </w:rPr>
            </w:pPr>
            <w:r>
              <w:rPr>
                <w:color w:val="231F20"/>
                <w:spacing w:val="65"/>
                <w:sz w:val="20"/>
                <w:u w:val="single" w:color="231F20"/>
              </w:rPr>
              <w:t>  </w:t>
            </w:r>
            <w:r>
              <w:rPr>
                <w:color w:val="231F20"/>
                <w:spacing w:val="-2"/>
                <w:sz w:val="20"/>
                <w:u w:val="single" w:color="231F20"/>
              </w:rPr>
              <w:t>Adjustment</w:t>
            </w:r>
            <w:r>
              <w:rPr>
                <w:color w:val="231F20"/>
                <w:sz w:val="20"/>
                <w:u w:val="single" w:color="231F20"/>
              </w:rPr>
              <w:tab/>
            </w:r>
          </w:p>
        </w:tc>
        <w:tc>
          <w:tcPr>
            <w:tcW w:w="1623" w:type="dxa"/>
            <w:gridSpan w:val="2"/>
          </w:tcPr>
          <w:p>
            <w:pPr>
              <w:pStyle w:val="TableParagraph"/>
              <w:tabs>
                <w:tab w:pos="548" w:val="left" w:leader="none"/>
                <w:tab w:pos="1617" w:val="left" w:leader="none"/>
              </w:tabs>
              <w:spacing w:line="210" w:lineRule="exact" w:before="6"/>
              <w:ind w:left="148"/>
              <w:rPr>
                <w:sz w:val="20"/>
              </w:rPr>
            </w:pPr>
            <w:r>
              <w:rPr>
                <w:color w:val="231F20"/>
                <w:sz w:val="20"/>
                <w:u w:val="single" w:color="231F20"/>
              </w:rPr>
              <w:tab/>
            </w:r>
            <w:r>
              <w:rPr>
                <w:color w:val="231F20"/>
                <w:spacing w:val="-2"/>
                <w:sz w:val="20"/>
                <w:u w:val="single" w:color="231F20"/>
              </w:rPr>
              <w:t>Amount</w:t>
            </w:r>
            <w:r>
              <w:rPr>
                <w:color w:val="231F20"/>
                <w:sz w:val="20"/>
                <w:u w:val="single" w:color="231F20"/>
              </w:rPr>
              <w:tab/>
            </w:r>
          </w:p>
        </w:tc>
      </w:tr>
      <w:tr>
        <w:trPr>
          <w:trHeight w:val="379" w:hRule="atLeast"/>
        </w:trPr>
        <w:tc>
          <w:tcPr>
            <w:tcW w:w="4372" w:type="dxa"/>
          </w:tcPr>
          <w:p>
            <w:pPr>
              <w:pStyle w:val="TableParagraph"/>
              <w:spacing w:line="223" w:lineRule="exact" w:before="136"/>
              <w:ind w:left="50"/>
              <w:rPr>
                <w:sz w:val="20"/>
              </w:rPr>
            </w:pPr>
            <w:r>
              <w:rPr>
                <w:color w:val="231F20"/>
                <w:spacing w:val="-2"/>
                <w:sz w:val="20"/>
              </w:rPr>
              <w:t>ASSETS</w:t>
            </w:r>
          </w:p>
        </w:tc>
        <w:tc>
          <w:tcPr>
            <w:tcW w:w="233" w:type="dxa"/>
          </w:tcPr>
          <w:p>
            <w:pPr>
              <w:pStyle w:val="TableParagraph"/>
              <w:rPr>
                <w:rFonts w:ascii="Times New Roman"/>
                <w:sz w:val="20"/>
              </w:rPr>
            </w:pPr>
          </w:p>
        </w:tc>
        <w:tc>
          <w:tcPr>
            <w:tcW w:w="1389" w:type="dxa"/>
          </w:tcPr>
          <w:p>
            <w:pPr>
              <w:pStyle w:val="TableParagraph"/>
              <w:rPr>
                <w:rFonts w:ascii="Times New Roman"/>
                <w:sz w:val="20"/>
              </w:rPr>
            </w:pPr>
          </w:p>
        </w:tc>
        <w:tc>
          <w:tcPr>
            <w:tcW w:w="497" w:type="dxa"/>
          </w:tcPr>
          <w:p>
            <w:pPr>
              <w:pStyle w:val="TableParagraph"/>
              <w:rPr>
                <w:rFonts w:ascii="Times New Roman"/>
                <w:sz w:val="20"/>
              </w:rPr>
            </w:pPr>
          </w:p>
        </w:tc>
        <w:tc>
          <w:tcPr>
            <w:tcW w:w="1278" w:type="dxa"/>
          </w:tcPr>
          <w:p>
            <w:pPr>
              <w:pStyle w:val="TableParagraph"/>
              <w:rPr>
                <w:rFonts w:ascii="Times New Roman"/>
                <w:sz w:val="20"/>
              </w:rPr>
            </w:pPr>
          </w:p>
        </w:tc>
        <w:tc>
          <w:tcPr>
            <w:tcW w:w="386" w:type="dxa"/>
          </w:tcPr>
          <w:p>
            <w:pPr>
              <w:pStyle w:val="TableParagraph"/>
              <w:rPr>
                <w:rFonts w:ascii="Times New Roman"/>
                <w:sz w:val="20"/>
              </w:rPr>
            </w:pPr>
          </w:p>
        </w:tc>
        <w:tc>
          <w:tcPr>
            <w:tcW w:w="1237" w:type="dxa"/>
          </w:tcPr>
          <w:p>
            <w:pPr>
              <w:pStyle w:val="TableParagraph"/>
              <w:rPr>
                <w:rFonts w:ascii="Times New Roman"/>
                <w:sz w:val="20"/>
              </w:rPr>
            </w:pPr>
          </w:p>
        </w:tc>
      </w:tr>
      <w:tr>
        <w:trPr>
          <w:trHeight w:val="249" w:hRule="atLeast"/>
        </w:trPr>
        <w:tc>
          <w:tcPr>
            <w:tcW w:w="4372" w:type="dxa"/>
          </w:tcPr>
          <w:p>
            <w:pPr>
              <w:pStyle w:val="TableParagraph"/>
              <w:spacing w:line="223" w:lineRule="exact" w:before="6"/>
              <w:ind w:left="356"/>
              <w:rPr>
                <w:sz w:val="20"/>
              </w:rPr>
            </w:pPr>
            <w:r>
              <w:rPr>
                <w:color w:val="231F20"/>
                <w:sz w:val="20"/>
              </w:rPr>
              <w:t>Due</w:t>
            </w:r>
            <w:r>
              <w:rPr>
                <w:color w:val="231F20"/>
                <w:spacing w:val="-2"/>
                <w:sz w:val="20"/>
              </w:rPr>
              <w:t> </w:t>
            </w:r>
            <w:r>
              <w:rPr>
                <w:color w:val="231F20"/>
                <w:sz w:val="20"/>
              </w:rPr>
              <w:t>from</w:t>
            </w:r>
            <w:r>
              <w:rPr>
                <w:color w:val="231F20"/>
                <w:spacing w:val="-2"/>
                <w:sz w:val="20"/>
              </w:rPr>
              <w:t> </w:t>
            </w:r>
            <w:r>
              <w:rPr>
                <w:color w:val="231F20"/>
                <w:sz w:val="20"/>
              </w:rPr>
              <w:t>state</w:t>
            </w:r>
            <w:r>
              <w:rPr>
                <w:color w:val="231F20"/>
                <w:spacing w:val="-1"/>
                <w:sz w:val="20"/>
              </w:rPr>
              <w:t> </w:t>
            </w:r>
            <w:r>
              <w:rPr>
                <w:color w:val="231F20"/>
                <w:sz w:val="20"/>
              </w:rPr>
              <w:t>agencies</w:t>
            </w:r>
            <w:r>
              <w:rPr>
                <w:color w:val="231F20"/>
                <w:spacing w:val="-3"/>
                <w:sz w:val="20"/>
              </w:rPr>
              <w:t> </w:t>
            </w:r>
            <w:r>
              <w:rPr>
                <w:color w:val="231F20"/>
                <w:sz w:val="20"/>
              </w:rPr>
              <w:t>and</w:t>
            </w:r>
            <w:r>
              <w:rPr>
                <w:color w:val="231F20"/>
                <w:spacing w:val="-1"/>
                <w:sz w:val="20"/>
              </w:rPr>
              <w:t> </w:t>
            </w:r>
            <w:r>
              <w:rPr>
                <w:color w:val="231F20"/>
                <w:sz w:val="20"/>
              </w:rPr>
              <w:t>other</w:t>
            </w:r>
            <w:r>
              <w:rPr>
                <w:color w:val="231F20"/>
                <w:spacing w:val="-1"/>
                <w:sz w:val="20"/>
              </w:rPr>
              <w:t> </w:t>
            </w:r>
            <w:r>
              <w:rPr>
                <w:color w:val="231F20"/>
                <w:spacing w:val="-2"/>
                <w:sz w:val="20"/>
              </w:rPr>
              <w:t>accounts</w:t>
            </w:r>
          </w:p>
        </w:tc>
        <w:tc>
          <w:tcPr>
            <w:tcW w:w="233" w:type="dxa"/>
          </w:tcPr>
          <w:p>
            <w:pPr>
              <w:pStyle w:val="TableParagraph"/>
              <w:rPr>
                <w:rFonts w:ascii="Times New Roman"/>
                <w:sz w:val="18"/>
              </w:rPr>
            </w:pPr>
          </w:p>
        </w:tc>
        <w:tc>
          <w:tcPr>
            <w:tcW w:w="1389" w:type="dxa"/>
          </w:tcPr>
          <w:p>
            <w:pPr>
              <w:pStyle w:val="TableParagraph"/>
              <w:rPr>
                <w:rFonts w:ascii="Times New Roman"/>
                <w:sz w:val="18"/>
              </w:rPr>
            </w:pPr>
          </w:p>
        </w:tc>
        <w:tc>
          <w:tcPr>
            <w:tcW w:w="497" w:type="dxa"/>
          </w:tcPr>
          <w:p>
            <w:pPr>
              <w:pStyle w:val="TableParagraph"/>
              <w:rPr>
                <w:rFonts w:ascii="Times New Roman"/>
                <w:sz w:val="18"/>
              </w:rPr>
            </w:pPr>
          </w:p>
        </w:tc>
        <w:tc>
          <w:tcPr>
            <w:tcW w:w="1278" w:type="dxa"/>
          </w:tcPr>
          <w:p>
            <w:pPr>
              <w:pStyle w:val="TableParagraph"/>
              <w:rPr>
                <w:rFonts w:ascii="Times New Roman"/>
                <w:sz w:val="18"/>
              </w:rPr>
            </w:pPr>
          </w:p>
        </w:tc>
        <w:tc>
          <w:tcPr>
            <w:tcW w:w="386" w:type="dxa"/>
          </w:tcPr>
          <w:p>
            <w:pPr>
              <w:pStyle w:val="TableParagraph"/>
              <w:rPr>
                <w:rFonts w:ascii="Times New Roman"/>
                <w:sz w:val="18"/>
              </w:rPr>
            </w:pPr>
          </w:p>
        </w:tc>
        <w:tc>
          <w:tcPr>
            <w:tcW w:w="1237" w:type="dxa"/>
          </w:tcPr>
          <w:p>
            <w:pPr>
              <w:pStyle w:val="TableParagraph"/>
              <w:rPr>
                <w:rFonts w:ascii="Times New Roman"/>
                <w:sz w:val="18"/>
              </w:rPr>
            </w:pPr>
          </w:p>
        </w:tc>
      </w:tr>
      <w:tr>
        <w:trPr>
          <w:trHeight w:val="253" w:hRule="atLeast"/>
        </w:trPr>
        <w:tc>
          <w:tcPr>
            <w:tcW w:w="4372" w:type="dxa"/>
          </w:tcPr>
          <w:p>
            <w:pPr>
              <w:pStyle w:val="TableParagraph"/>
              <w:spacing w:line="228" w:lineRule="exact" w:before="6"/>
              <w:ind w:left="661"/>
              <w:rPr>
                <w:sz w:val="20"/>
              </w:rPr>
            </w:pPr>
            <w:r>
              <w:rPr>
                <w:color w:val="231F20"/>
                <w:spacing w:val="-2"/>
                <w:sz w:val="20"/>
              </w:rPr>
              <w:t>receivables</w:t>
            </w:r>
          </w:p>
        </w:tc>
        <w:tc>
          <w:tcPr>
            <w:tcW w:w="233" w:type="dxa"/>
          </w:tcPr>
          <w:p>
            <w:pPr>
              <w:pStyle w:val="TableParagraph"/>
              <w:spacing w:line="223" w:lineRule="exact" w:before="10"/>
              <w:ind w:left="105"/>
              <w:rPr>
                <w:sz w:val="20"/>
              </w:rPr>
            </w:pPr>
            <w:r>
              <w:rPr>
                <w:color w:val="231F20"/>
                <w:w w:val="100"/>
                <w:sz w:val="20"/>
              </w:rPr>
              <w:t>$</w:t>
            </w:r>
          </w:p>
        </w:tc>
        <w:tc>
          <w:tcPr>
            <w:tcW w:w="1389" w:type="dxa"/>
          </w:tcPr>
          <w:p>
            <w:pPr>
              <w:pStyle w:val="TableParagraph"/>
              <w:spacing w:line="223" w:lineRule="exact" w:before="10"/>
              <w:ind w:left="237"/>
              <w:rPr>
                <w:sz w:val="20"/>
              </w:rPr>
            </w:pPr>
            <w:r>
              <w:rPr>
                <w:color w:val="231F20"/>
                <w:spacing w:val="-2"/>
                <w:sz w:val="20"/>
              </w:rPr>
              <w:t>2,212,712</w:t>
            </w:r>
          </w:p>
        </w:tc>
        <w:tc>
          <w:tcPr>
            <w:tcW w:w="497" w:type="dxa"/>
          </w:tcPr>
          <w:p>
            <w:pPr>
              <w:pStyle w:val="TableParagraph"/>
              <w:spacing w:line="223" w:lineRule="exact" w:before="10"/>
              <w:ind w:left="255"/>
              <w:rPr>
                <w:sz w:val="20"/>
              </w:rPr>
            </w:pPr>
            <w:r>
              <w:rPr>
                <w:color w:val="231F20"/>
                <w:w w:val="100"/>
                <w:sz w:val="20"/>
              </w:rPr>
              <w:t>$</w:t>
            </w:r>
          </w:p>
        </w:tc>
        <w:tc>
          <w:tcPr>
            <w:tcW w:w="1278" w:type="dxa"/>
          </w:tcPr>
          <w:p>
            <w:pPr>
              <w:pStyle w:val="TableParagraph"/>
              <w:spacing w:line="223" w:lineRule="exact" w:before="10"/>
              <w:ind w:left="292"/>
              <w:rPr>
                <w:sz w:val="20"/>
              </w:rPr>
            </w:pPr>
            <w:r>
              <w:rPr>
                <w:color w:val="231F20"/>
                <w:spacing w:val="-2"/>
                <w:sz w:val="20"/>
              </w:rPr>
              <w:t>117,176</w:t>
            </w:r>
          </w:p>
        </w:tc>
        <w:tc>
          <w:tcPr>
            <w:tcW w:w="386" w:type="dxa"/>
          </w:tcPr>
          <w:p>
            <w:pPr>
              <w:pStyle w:val="TableParagraph"/>
              <w:spacing w:line="223" w:lineRule="exact" w:before="10"/>
              <w:ind w:left="254"/>
              <w:rPr>
                <w:sz w:val="20"/>
              </w:rPr>
            </w:pPr>
            <w:r>
              <w:rPr>
                <w:color w:val="231F20"/>
                <w:w w:val="100"/>
                <w:sz w:val="20"/>
              </w:rPr>
              <w:t>$</w:t>
            </w:r>
          </w:p>
        </w:tc>
        <w:tc>
          <w:tcPr>
            <w:tcW w:w="1237" w:type="dxa"/>
          </w:tcPr>
          <w:p>
            <w:pPr>
              <w:pStyle w:val="TableParagraph"/>
              <w:spacing w:line="223" w:lineRule="exact" w:before="10"/>
              <w:ind w:left="235"/>
              <w:rPr>
                <w:sz w:val="20"/>
              </w:rPr>
            </w:pPr>
            <w:r>
              <w:rPr>
                <w:color w:val="231F20"/>
                <w:spacing w:val="-2"/>
                <w:sz w:val="20"/>
              </w:rPr>
              <w:t>2,329,888</w:t>
            </w:r>
          </w:p>
        </w:tc>
      </w:tr>
      <w:tr>
        <w:trPr>
          <w:trHeight w:val="236" w:hRule="atLeast"/>
        </w:trPr>
        <w:tc>
          <w:tcPr>
            <w:tcW w:w="4372" w:type="dxa"/>
          </w:tcPr>
          <w:p>
            <w:pPr>
              <w:pStyle w:val="TableParagraph"/>
              <w:spacing w:line="210" w:lineRule="exact" w:before="6"/>
              <w:ind w:left="356"/>
              <w:rPr>
                <w:sz w:val="20"/>
              </w:rPr>
            </w:pPr>
            <w:r>
              <w:rPr>
                <w:color w:val="231F20"/>
                <w:sz w:val="20"/>
              </w:rPr>
              <w:t>Capital</w:t>
            </w:r>
            <w:r>
              <w:rPr>
                <w:color w:val="231F20"/>
                <w:spacing w:val="-5"/>
                <w:sz w:val="20"/>
              </w:rPr>
              <w:t> </w:t>
            </w:r>
            <w:r>
              <w:rPr>
                <w:color w:val="231F20"/>
                <w:sz w:val="20"/>
              </w:rPr>
              <w:t>assets,</w:t>
            </w:r>
            <w:r>
              <w:rPr>
                <w:color w:val="231F20"/>
                <w:spacing w:val="-5"/>
                <w:sz w:val="20"/>
              </w:rPr>
              <w:t> </w:t>
            </w:r>
            <w:r>
              <w:rPr>
                <w:color w:val="231F20"/>
                <w:sz w:val="20"/>
              </w:rPr>
              <w:t>net</w:t>
            </w:r>
            <w:r>
              <w:rPr>
                <w:color w:val="231F20"/>
                <w:spacing w:val="-5"/>
                <w:sz w:val="20"/>
              </w:rPr>
              <w:t> </w:t>
            </w:r>
            <w:r>
              <w:rPr>
                <w:color w:val="231F20"/>
                <w:sz w:val="20"/>
              </w:rPr>
              <w:t>of</w:t>
            </w:r>
            <w:r>
              <w:rPr>
                <w:color w:val="231F20"/>
                <w:spacing w:val="-4"/>
                <w:sz w:val="20"/>
              </w:rPr>
              <w:t> </w:t>
            </w:r>
            <w:r>
              <w:rPr>
                <w:color w:val="231F20"/>
                <w:spacing w:val="-2"/>
                <w:sz w:val="20"/>
              </w:rPr>
              <w:t>accumulated</w:t>
            </w:r>
          </w:p>
        </w:tc>
        <w:tc>
          <w:tcPr>
            <w:tcW w:w="233" w:type="dxa"/>
          </w:tcPr>
          <w:p>
            <w:pPr>
              <w:pStyle w:val="TableParagraph"/>
              <w:rPr>
                <w:rFonts w:ascii="Times New Roman"/>
                <w:sz w:val="16"/>
              </w:rPr>
            </w:pPr>
          </w:p>
        </w:tc>
        <w:tc>
          <w:tcPr>
            <w:tcW w:w="1389" w:type="dxa"/>
          </w:tcPr>
          <w:p>
            <w:pPr>
              <w:pStyle w:val="TableParagraph"/>
              <w:rPr>
                <w:rFonts w:ascii="Times New Roman"/>
                <w:sz w:val="16"/>
              </w:rPr>
            </w:pPr>
          </w:p>
        </w:tc>
        <w:tc>
          <w:tcPr>
            <w:tcW w:w="497" w:type="dxa"/>
          </w:tcPr>
          <w:p>
            <w:pPr>
              <w:pStyle w:val="TableParagraph"/>
              <w:rPr>
                <w:rFonts w:ascii="Times New Roman"/>
                <w:sz w:val="16"/>
              </w:rPr>
            </w:pPr>
          </w:p>
        </w:tc>
        <w:tc>
          <w:tcPr>
            <w:tcW w:w="1278" w:type="dxa"/>
          </w:tcPr>
          <w:p>
            <w:pPr>
              <w:pStyle w:val="TableParagraph"/>
              <w:rPr>
                <w:rFonts w:ascii="Times New Roman"/>
                <w:sz w:val="16"/>
              </w:rPr>
            </w:pPr>
          </w:p>
        </w:tc>
        <w:tc>
          <w:tcPr>
            <w:tcW w:w="386" w:type="dxa"/>
          </w:tcPr>
          <w:p>
            <w:pPr>
              <w:pStyle w:val="TableParagraph"/>
              <w:rPr>
                <w:rFonts w:ascii="Times New Roman"/>
                <w:sz w:val="16"/>
              </w:rPr>
            </w:pPr>
          </w:p>
        </w:tc>
        <w:tc>
          <w:tcPr>
            <w:tcW w:w="1237" w:type="dxa"/>
          </w:tcPr>
          <w:p>
            <w:pPr>
              <w:pStyle w:val="TableParagraph"/>
              <w:rPr>
                <w:rFonts w:ascii="Times New Roman"/>
                <w:sz w:val="16"/>
              </w:rPr>
            </w:pPr>
          </w:p>
        </w:tc>
      </w:tr>
      <w:tr>
        <w:trPr>
          <w:trHeight w:val="259" w:hRule="atLeast"/>
        </w:trPr>
        <w:tc>
          <w:tcPr>
            <w:tcW w:w="4372" w:type="dxa"/>
          </w:tcPr>
          <w:p>
            <w:pPr>
              <w:pStyle w:val="TableParagraph"/>
              <w:spacing w:line="221" w:lineRule="exact" w:before="18"/>
              <w:ind w:left="661"/>
              <w:rPr>
                <w:sz w:val="20"/>
              </w:rPr>
            </w:pPr>
            <w:r>
              <w:rPr>
                <w:color w:val="231F20"/>
                <w:sz w:val="20"/>
              </w:rPr>
              <w:t>depreciation</w:t>
            </w:r>
            <w:r>
              <w:rPr>
                <w:color w:val="231F20"/>
                <w:spacing w:val="-2"/>
                <w:sz w:val="20"/>
              </w:rPr>
              <w:t> </w:t>
            </w:r>
            <w:r>
              <w:rPr>
                <w:color w:val="231F20"/>
                <w:sz w:val="20"/>
              </w:rPr>
              <w:t>and</w:t>
            </w:r>
            <w:r>
              <w:rPr>
                <w:color w:val="231F20"/>
                <w:spacing w:val="-2"/>
                <w:sz w:val="20"/>
              </w:rPr>
              <w:t> amortization</w:t>
            </w:r>
          </w:p>
        </w:tc>
        <w:tc>
          <w:tcPr>
            <w:tcW w:w="1622" w:type="dxa"/>
            <w:gridSpan w:val="2"/>
          </w:tcPr>
          <w:p>
            <w:pPr>
              <w:pStyle w:val="TableParagraph"/>
              <w:spacing w:line="221" w:lineRule="exact" w:before="18"/>
              <w:ind w:left="248"/>
              <w:rPr>
                <w:sz w:val="20"/>
              </w:rPr>
            </w:pPr>
            <w:r>
              <w:rPr>
                <w:color w:val="231F20"/>
                <w:spacing w:val="-2"/>
                <w:sz w:val="20"/>
              </w:rPr>
              <w:t>156,548,122</w:t>
            </w:r>
          </w:p>
        </w:tc>
        <w:tc>
          <w:tcPr>
            <w:tcW w:w="1775" w:type="dxa"/>
            <w:gridSpan w:val="2"/>
          </w:tcPr>
          <w:p>
            <w:pPr>
              <w:pStyle w:val="TableParagraph"/>
              <w:spacing w:line="221" w:lineRule="exact" w:before="18"/>
              <w:ind w:left="622"/>
              <w:rPr>
                <w:sz w:val="20"/>
              </w:rPr>
            </w:pPr>
            <w:r>
              <w:rPr>
                <w:color w:val="231F20"/>
                <w:spacing w:val="-2"/>
                <w:sz w:val="20"/>
              </w:rPr>
              <w:t>1,453,403</w:t>
            </w:r>
          </w:p>
        </w:tc>
        <w:tc>
          <w:tcPr>
            <w:tcW w:w="1623" w:type="dxa"/>
            <w:gridSpan w:val="2"/>
          </w:tcPr>
          <w:p>
            <w:pPr>
              <w:pStyle w:val="TableParagraph"/>
              <w:spacing w:line="221" w:lineRule="exact" w:before="18"/>
              <w:ind w:left="398"/>
              <w:rPr>
                <w:sz w:val="20"/>
              </w:rPr>
            </w:pPr>
            <w:r>
              <w:rPr>
                <w:color w:val="231F20"/>
                <w:spacing w:val="-2"/>
                <w:sz w:val="20"/>
              </w:rPr>
              <w:t>158,001,525</w:t>
            </w:r>
          </w:p>
        </w:tc>
      </w:tr>
      <w:tr>
        <w:trPr>
          <w:trHeight w:val="237" w:hRule="atLeast"/>
        </w:trPr>
        <w:tc>
          <w:tcPr>
            <w:tcW w:w="4372" w:type="dxa"/>
          </w:tcPr>
          <w:p>
            <w:pPr>
              <w:pStyle w:val="TableParagraph"/>
              <w:spacing w:line="214" w:lineRule="exact" w:before="4"/>
              <w:ind w:left="356"/>
              <w:rPr>
                <w:sz w:val="20"/>
              </w:rPr>
            </w:pPr>
            <w:r>
              <w:rPr>
                <w:color w:val="231F20"/>
                <w:sz w:val="20"/>
              </w:rPr>
              <w:t>Noncurrent</w:t>
            </w:r>
            <w:r>
              <w:rPr>
                <w:color w:val="231F20"/>
                <w:spacing w:val="-2"/>
                <w:sz w:val="20"/>
              </w:rPr>
              <w:t> receivables</w:t>
            </w:r>
          </w:p>
        </w:tc>
        <w:tc>
          <w:tcPr>
            <w:tcW w:w="1622" w:type="dxa"/>
            <w:gridSpan w:val="2"/>
          </w:tcPr>
          <w:p>
            <w:pPr>
              <w:pStyle w:val="TableParagraph"/>
              <w:spacing w:line="210" w:lineRule="exact" w:before="7"/>
              <w:ind w:right="259"/>
              <w:jc w:val="right"/>
              <w:rPr>
                <w:sz w:val="20"/>
              </w:rPr>
            </w:pPr>
            <w:r>
              <w:rPr>
                <w:color w:val="231F20"/>
                <w:w w:val="100"/>
                <w:sz w:val="20"/>
              </w:rPr>
              <w:t>-</w:t>
            </w:r>
          </w:p>
        </w:tc>
        <w:tc>
          <w:tcPr>
            <w:tcW w:w="1775" w:type="dxa"/>
            <w:gridSpan w:val="2"/>
          </w:tcPr>
          <w:p>
            <w:pPr>
              <w:pStyle w:val="TableParagraph"/>
              <w:spacing w:line="210" w:lineRule="exact" w:before="7"/>
              <w:ind w:left="624"/>
              <w:rPr>
                <w:sz w:val="20"/>
              </w:rPr>
            </w:pPr>
            <w:r>
              <w:rPr>
                <w:color w:val="231F20"/>
                <w:spacing w:val="-2"/>
                <w:sz w:val="20"/>
              </w:rPr>
              <w:t>1,080,171</w:t>
            </w:r>
          </w:p>
        </w:tc>
        <w:tc>
          <w:tcPr>
            <w:tcW w:w="1623" w:type="dxa"/>
            <w:gridSpan w:val="2"/>
          </w:tcPr>
          <w:p>
            <w:pPr>
              <w:pStyle w:val="TableParagraph"/>
              <w:spacing w:line="210" w:lineRule="exact" w:before="7"/>
              <w:ind w:left="621"/>
              <w:rPr>
                <w:sz w:val="20"/>
              </w:rPr>
            </w:pPr>
            <w:r>
              <w:rPr>
                <w:color w:val="231F20"/>
                <w:spacing w:val="-2"/>
                <w:sz w:val="20"/>
              </w:rPr>
              <w:t>1,080,171</w:t>
            </w:r>
          </w:p>
        </w:tc>
      </w:tr>
      <w:tr>
        <w:trPr>
          <w:trHeight w:val="757" w:hRule="atLeast"/>
        </w:trPr>
        <w:tc>
          <w:tcPr>
            <w:tcW w:w="4372" w:type="dxa"/>
          </w:tcPr>
          <w:p>
            <w:pPr>
              <w:pStyle w:val="TableParagraph"/>
              <w:spacing w:before="10"/>
              <w:rPr>
                <w:sz w:val="22"/>
              </w:rPr>
            </w:pPr>
          </w:p>
          <w:p>
            <w:pPr>
              <w:pStyle w:val="TableParagraph"/>
              <w:ind w:left="50"/>
              <w:rPr>
                <w:sz w:val="20"/>
              </w:rPr>
            </w:pPr>
            <w:r>
              <w:rPr>
                <w:color w:val="231F20"/>
                <w:spacing w:val="-2"/>
                <w:sz w:val="20"/>
              </w:rPr>
              <w:t>LIABILITIES</w:t>
            </w:r>
          </w:p>
          <w:p>
            <w:pPr>
              <w:pStyle w:val="TableParagraph"/>
              <w:spacing w:line="225" w:lineRule="exact" w:before="20"/>
              <w:ind w:left="355"/>
              <w:rPr>
                <w:sz w:val="20"/>
              </w:rPr>
            </w:pPr>
            <w:r>
              <w:rPr>
                <w:color w:val="231F20"/>
                <w:sz w:val="20"/>
              </w:rPr>
              <w:t>Accounts</w:t>
            </w:r>
            <w:r>
              <w:rPr>
                <w:color w:val="231F20"/>
                <w:spacing w:val="-2"/>
                <w:sz w:val="20"/>
              </w:rPr>
              <w:t> </w:t>
            </w:r>
            <w:r>
              <w:rPr>
                <w:color w:val="231F20"/>
                <w:sz w:val="20"/>
              </w:rPr>
              <w:t>payable</w:t>
            </w:r>
            <w:r>
              <w:rPr>
                <w:color w:val="231F20"/>
                <w:spacing w:val="-2"/>
                <w:sz w:val="20"/>
              </w:rPr>
              <w:t> </w:t>
            </w:r>
            <w:r>
              <w:rPr>
                <w:color w:val="231F20"/>
                <w:sz w:val="20"/>
              </w:rPr>
              <w:t>and</w:t>
            </w:r>
            <w:r>
              <w:rPr>
                <w:color w:val="231F20"/>
                <w:spacing w:val="-2"/>
                <w:sz w:val="20"/>
              </w:rPr>
              <w:t> </w:t>
            </w:r>
            <w:r>
              <w:rPr>
                <w:color w:val="231F20"/>
                <w:sz w:val="20"/>
              </w:rPr>
              <w:t>accrued</w:t>
            </w:r>
            <w:r>
              <w:rPr>
                <w:color w:val="231F20"/>
                <w:spacing w:val="-1"/>
                <w:sz w:val="20"/>
              </w:rPr>
              <w:t> </w:t>
            </w:r>
            <w:r>
              <w:rPr>
                <w:color w:val="231F20"/>
                <w:spacing w:val="-2"/>
                <w:sz w:val="20"/>
              </w:rPr>
              <w:t>liabilities</w:t>
            </w:r>
          </w:p>
        </w:tc>
        <w:tc>
          <w:tcPr>
            <w:tcW w:w="1622" w:type="dxa"/>
            <w:gridSpan w:val="2"/>
          </w:tcPr>
          <w:p>
            <w:pPr>
              <w:pStyle w:val="TableParagraph"/>
              <w:rPr>
                <w:sz w:val="22"/>
              </w:rPr>
            </w:pPr>
          </w:p>
          <w:p>
            <w:pPr>
              <w:pStyle w:val="TableParagraph"/>
              <w:rPr>
                <w:sz w:val="23"/>
              </w:rPr>
            </w:pPr>
          </w:p>
          <w:p>
            <w:pPr>
              <w:pStyle w:val="TableParagraph"/>
              <w:spacing w:line="220" w:lineRule="exact"/>
              <w:ind w:left="470"/>
              <w:rPr>
                <w:sz w:val="20"/>
              </w:rPr>
            </w:pPr>
            <w:r>
              <w:rPr>
                <w:color w:val="231F20"/>
                <w:spacing w:val="-2"/>
                <w:sz w:val="20"/>
              </w:rPr>
              <w:t>7,792,601</w:t>
            </w:r>
          </w:p>
        </w:tc>
        <w:tc>
          <w:tcPr>
            <w:tcW w:w="1775" w:type="dxa"/>
            <w:gridSpan w:val="2"/>
          </w:tcPr>
          <w:p>
            <w:pPr>
              <w:pStyle w:val="TableParagraph"/>
              <w:rPr>
                <w:sz w:val="22"/>
              </w:rPr>
            </w:pPr>
          </w:p>
          <w:p>
            <w:pPr>
              <w:pStyle w:val="TableParagraph"/>
              <w:rPr>
                <w:sz w:val="23"/>
              </w:rPr>
            </w:pPr>
          </w:p>
          <w:p>
            <w:pPr>
              <w:pStyle w:val="TableParagraph"/>
              <w:spacing w:line="220" w:lineRule="exact"/>
              <w:ind w:left="789"/>
              <w:rPr>
                <w:sz w:val="20"/>
              </w:rPr>
            </w:pPr>
            <w:r>
              <w:rPr>
                <w:color w:val="231F20"/>
                <w:spacing w:val="-2"/>
                <w:sz w:val="20"/>
              </w:rPr>
              <w:t>610,746</w:t>
            </w:r>
          </w:p>
        </w:tc>
        <w:tc>
          <w:tcPr>
            <w:tcW w:w="1623" w:type="dxa"/>
            <w:gridSpan w:val="2"/>
          </w:tcPr>
          <w:p>
            <w:pPr>
              <w:pStyle w:val="TableParagraph"/>
              <w:rPr>
                <w:sz w:val="22"/>
              </w:rPr>
            </w:pPr>
          </w:p>
          <w:p>
            <w:pPr>
              <w:pStyle w:val="TableParagraph"/>
              <w:rPr>
                <w:sz w:val="23"/>
              </w:rPr>
            </w:pPr>
          </w:p>
          <w:p>
            <w:pPr>
              <w:pStyle w:val="TableParagraph"/>
              <w:spacing w:line="220" w:lineRule="exact"/>
              <w:ind w:left="621"/>
              <w:rPr>
                <w:sz w:val="20"/>
              </w:rPr>
            </w:pPr>
            <w:r>
              <w:rPr>
                <w:color w:val="231F20"/>
                <w:spacing w:val="-2"/>
                <w:sz w:val="20"/>
              </w:rPr>
              <w:t>8,403,347</w:t>
            </w:r>
          </w:p>
        </w:tc>
      </w:tr>
      <w:tr>
        <w:trPr>
          <w:trHeight w:val="373" w:hRule="atLeast"/>
        </w:trPr>
        <w:tc>
          <w:tcPr>
            <w:tcW w:w="4372" w:type="dxa"/>
          </w:tcPr>
          <w:p>
            <w:pPr>
              <w:pStyle w:val="TableParagraph"/>
              <w:spacing w:before="3"/>
              <w:ind w:left="356"/>
              <w:rPr>
                <w:sz w:val="20"/>
              </w:rPr>
            </w:pPr>
            <w:r>
              <w:rPr>
                <w:color w:val="231F20"/>
                <w:sz w:val="20"/>
              </w:rPr>
              <w:t>Other</w:t>
            </w:r>
            <w:r>
              <w:rPr>
                <w:color w:val="231F20"/>
                <w:spacing w:val="-6"/>
                <w:sz w:val="20"/>
              </w:rPr>
              <w:t> </w:t>
            </w:r>
            <w:r>
              <w:rPr>
                <w:color w:val="231F20"/>
                <w:sz w:val="20"/>
              </w:rPr>
              <w:t>noncurrent</w:t>
            </w:r>
            <w:r>
              <w:rPr>
                <w:color w:val="231F20"/>
                <w:spacing w:val="-6"/>
                <w:sz w:val="20"/>
              </w:rPr>
              <w:t> </w:t>
            </w:r>
            <w:r>
              <w:rPr>
                <w:color w:val="231F20"/>
                <w:spacing w:val="-2"/>
                <w:sz w:val="20"/>
              </w:rPr>
              <w:t>liabilities</w:t>
            </w:r>
          </w:p>
        </w:tc>
        <w:tc>
          <w:tcPr>
            <w:tcW w:w="1622" w:type="dxa"/>
            <w:gridSpan w:val="2"/>
          </w:tcPr>
          <w:p>
            <w:pPr>
              <w:pStyle w:val="TableParagraph"/>
              <w:spacing w:before="8"/>
              <w:ind w:left="470"/>
              <w:rPr>
                <w:sz w:val="20"/>
              </w:rPr>
            </w:pPr>
            <w:r>
              <w:rPr>
                <w:color w:val="231F20"/>
                <w:spacing w:val="-2"/>
                <w:sz w:val="20"/>
              </w:rPr>
              <w:t>5,434,223</w:t>
            </w:r>
          </w:p>
        </w:tc>
        <w:tc>
          <w:tcPr>
            <w:tcW w:w="1775" w:type="dxa"/>
            <w:gridSpan w:val="2"/>
          </w:tcPr>
          <w:p>
            <w:pPr>
              <w:pStyle w:val="TableParagraph"/>
              <w:spacing w:before="8"/>
              <w:ind w:left="789"/>
              <w:rPr>
                <w:sz w:val="20"/>
              </w:rPr>
            </w:pPr>
            <w:r>
              <w:rPr>
                <w:color w:val="231F20"/>
                <w:spacing w:val="-2"/>
                <w:sz w:val="20"/>
              </w:rPr>
              <w:t>971,506</w:t>
            </w:r>
          </w:p>
        </w:tc>
        <w:tc>
          <w:tcPr>
            <w:tcW w:w="1623" w:type="dxa"/>
            <w:gridSpan w:val="2"/>
          </w:tcPr>
          <w:p>
            <w:pPr>
              <w:pStyle w:val="TableParagraph"/>
              <w:spacing w:before="8"/>
              <w:ind w:left="622"/>
              <w:rPr>
                <w:sz w:val="20"/>
              </w:rPr>
            </w:pPr>
            <w:r>
              <w:rPr>
                <w:color w:val="231F20"/>
                <w:spacing w:val="-2"/>
                <w:sz w:val="20"/>
              </w:rPr>
              <w:t>6,405,729</w:t>
            </w:r>
          </w:p>
        </w:tc>
      </w:tr>
      <w:tr>
        <w:trPr>
          <w:trHeight w:val="497" w:hRule="atLeast"/>
        </w:trPr>
        <w:tc>
          <w:tcPr>
            <w:tcW w:w="4372" w:type="dxa"/>
          </w:tcPr>
          <w:p>
            <w:pPr>
              <w:pStyle w:val="TableParagraph"/>
              <w:spacing w:before="128"/>
              <w:ind w:left="50"/>
              <w:rPr>
                <w:sz w:val="20"/>
              </w:rPr>
            </w:pPr>
            <w:r>
              <w:rPr>
                <w:color w:val="231F20"/>
                <w:sz w:val="20"/>
              </w:rPr>
              <w:t>DEFERRED</w:t>
            </w:r>
            <w:r>
              <w:rPr>
                <w:color w:val="231F20"/>
                <w:spacing w:val="-2"/>
                <w:sz w:val="20"/>
              </w:rPr>
              <w:t> </w:t>
            </w:r>
            <w:r>
              <w:rPr>
                <w:color w:val="231F20"/>
                <w:sz w:val="20"/>
              </w:rPr>
              <w:t>INFLOWS</w:t>
            </w:r>
            <w:r>
              <w:rPr>
                <w:color w:val="231F20"/>
                <w:spacing w:val="-2"/>
                <w:sz w:val="20"/>
              </w:rPr>
              <w:t> </w:t>
            </w:r>
            <w:r>
              <w:rPr>
                <w:color w:val="231F20"/>
                <w:sz w:val="20"/>
              </w:rPr>
              <w:t>OF</w:t>
            </w:r>
            <w:r>
              <w:rPr>
                <w:color w:val="231F20"/>
                <w:spacing w:val="-2"/>
                <w:sz w:val="20"/>
              </w:rPr>
              <w:t> RESOURCES</w:t>
            </w:r>
          </w:p>
        </w:tc>
        <w:tc>
          <w:tcPr>
            <w:tcW w:w="1622" w:type="dxa"/>
            <w:gridSpan w:val="2"/>
          </w:tcPr>
          <w:p>
            <w:pPr>
              <w:pStyle w:val="TableParagraph"/>
              <w:spacing w:before="133"/>
              <w:ind w:left="470"/>
              <w:rPr>
                <w:sz w:val="20"/>
              </w:rPr>
            </w:pPr>
            <w:r>
              <w:rPr>
                <w:color w:val="231F20"/>
                <w:spacing w:val="-2"/>
                <w:sz w:val="20"/>
              </w:rPr>
              <w:t>7,805,581</w:t>
            </w:r>
          </w:p>
        </w:tc>
        <w:tc>
          <w:tcPr>
            <w:tcW w:w="1775" w:type="dxa"/>
            <w:gridSpan w:val="2"/>
          </w:tcPr>
          <w:p>
            <w:pPr>
              <w:pStyle w:val="TableParagraph"/>
              <w:spacing w:before="133"/>
              <w:ind w:left="623"/>
              <w:rPr>
                <w:sz w:val="20"/>
              </w:rPr>
            </w:pPr>
            <w:r>
              <w:rPr>
                <w:color w:val="231F20"/>
                <w:spacing w:val="-2"/>
                <w:sz w:val="20"/>
              </w:rPr>
              <w:t>1,182,662</w:t>
            </w:r>
          </w:p>
        </w:tc>
        <w:tc>
          <w:tcPr>
            <w:tcW w:w="1623" w:type="dxa"/>
            <w:gridSpan w:val="2"/>
          </w:tcPr>
          <w:p>
            <w:pPr>
              <w:pStyle w:val="TableParagraph"/>
              <w:spacing w:before="133"/>
              <w:ind w:left="621"/>
              <w:rPr>
                <w:sz w:val="20"/>
              </w:rPr>
            </w:pPr>
            <w:r>
              <w:rPr>
                <w:color w:val="231F20"/>
                <w:spacing w:val="-2"/>
                <w:sz w:val="20"/>
              </w:rPr>
              <w:t>8,988,243</w:t>
            </w:r>
          </w:p>
        </w:tc>
      </w:tr>
      <w:tr>
        <w:trPr>
          <w:trHeight w:val="363" w:hRule="atLeast"/>
        </w:trPr>
        <w:tc>
          <w:tcPr>
            <w:tcW w:w="4372" w:type="dxa"/>
          </w:tcPr>
          <w:p>
            <w:pPr>
              <w:pStyle w:val="TableParagraph"/>
              <w:spacing w:line="215" w:lineRule="exact" w:before="128"/>
              <w:ind w:left="50"/>
              <w:rPr>
                <w:sz w:val="20"/>
              </w:rPr>
            </w:pPr>
            <w:r>
              <w:rPr>
                <w:color w:val="231F20"/>
                <w:sz w:val="20"/>
              </w:rPr>
              <w:t>NET</w:t>
            </w:r>
            <w:r>
              <w:rPr>
                <w:color w:val="231F20"/>
                <w:spacing w:val="-5"/>
                <w:sz w:val="20"/>
              </w:rPr>
              <w:t> </w:t>
            </w:r>
            <w:r>
              <w:rPr>
                <w:color w:val="231F20"/>
                <w:spacing w:val="-2"/>
                <w:sz w:val="20"/>
              </w:rPr>
              <w:t>POSITION</w:t>
            </w:r>
          </w:p>
        </w:tc>
        <w:tc>
          <w:tcPr>
            <w:tcW w:w="1622" w:type="dxa"/>
            <w:gridSpan w:val="2"/>
          </w:tcPr>
          <w:p>
            <w:pPr>
              <w:pStyle w:val="TableParagraph"/>
              <w:spacing w:line="210" w:lineRule="exact" w:before="133"/>
              <w:ind w:left="248"/>
              <w:rPr>
                <w:sz w:val="20"/>
              </w:rPr>
            </w:pPr>
            <w:r>
              <w:rPr>
                <w:color w:val="231F20"/>
                <w:spacing w:val="-2"/>
                <w:sz w:val="20"/>
              </w:rPr>
              <w:t>102,389,658</w:t>
            </w:r>
          </w:p>
        </w:tc>
        <w:tc>
          <w:tcPr>
            <w:tcW w:w="1775" w:type="dxa"/>
            <w:gridSpan w:val="2"/>
          </w:tcPr>
          <w:p>
            <w:pPr>
              <w:pStyle w:val="TableParagraph"/>
              <w:spacing w:line="210" w:lineRule="exact" w:before="133"/>
              <w:ind w:left="722"/>
              <w:rPr>
                <w:sz w:val="20"/>
              </w:rPr>
            </w:pPr>
            <w:r>
              <w:rPr>
                <w:color w:val="231F20"/>
                <w:spacing w:val="-2"/>
                <w:sz w:val="20"/>
              </w:rPr>
              <w:t>(114,164)</w:t>
            </w:r>
          </w:p>
        </w:tc>
        <w:tc>
          <w:tcPr>
            <w:tcW w:w="1623" w:type="dxa"/>
            <w:gridSpan w:val="2"/>
          </w:tcPr>
          <w:p>
            <w:pPr>
              <w:pStyle w:val="TableParagraph"/>
              <w:spacing w:line="210" w:lineRule="exact" w:before="133"/>
              <w:ind w:left="398"/>
              <w:rPr>
                <w:sz w:val="20"/>
              </w:rPr>
            </w:pPr>
            <w:r>
              <w:rPr>
                <w:color w:val="231F20"/>
                <w:spacing w:val="-2"/>
                <w:sz w:val="20"/>
              </w:rPr>
              <w:t>102,275,494</w:t>
            </w:r>
          </w:p>
        </w:tc>
      </w:tr>
    </w:tbl>
    <w:p>
      <w:pPr>
        <w:spacing w:after="0" w:line="210" w:lineRule="exact"/>
        <w:rPr>
          <w:sz w:val="20"/>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pStyle w:val="ListParagraph"/>
        <w:numPr>
          <w:ilvl w:val="0"/>
          <w:numId w:val="5"/>
        </w:numPr>
        <w:tabs>
          <w:tab w:pos="1774" w:val="left" w:leader="none"/>
        </w:tabs>
        <w:spacing w:line="240" w:lineRule="auto" w:before="0" w:after="0"/>
        <w:ind w:left="1773" w:right="0" w:hanging="334"/>
        <w:jc w:val="left"/>
        <w:rPr>
          <w:b/>
          <w:sz w:val="20"/>
        </w:rPr>
      </w:pPr>
      <w:r>
        <w:rPr>
          <w:b/>
          <w:color w:val="231F20"/>
          <w:sz w:val="20"/>
        </w:rPr>
        <w:t>Basis</w:t>
      </w:r>
      <w:r>
        <w:rPr>
          <w:b/>
          <w:color w:val="231F20"/>
          <w:spacing w:val="-2"/>
          <w:sz w:val="20"/>
        </w:rPr>
        <w:t> </w:t>
      </w:r>
      <w:r>
        <w:rPr>
          <w:b/>
          <w:color w:val="231F20"/>
          <w:sz w:val="20"/>
        </w:rPr>
        <w:t>of</w:t>
      </w:r>
      <w:r>
        <w:rPr>
          <w:b/>
          <w:color w:val="231F20"/>
          <w:spacing w:val="-3"/>
          <w:sz w:val="20"/>
        </w:rPr>
        <w:t> </w:t>
      </w:r>
      <w:r>
        <w:rPr>
          <w:b/>
          <w:color w:val="231F20"/>
          <w:spacing w:val="-2"/>
          <w:sz w:val="20"/>
        </w:rPr>
        <w:t>Accounting</w:t>
      </w:r>
    </w:p>
    <w:p>
      <w:pPr>
        <w:pStyle w:val="BodyText"/>
        <w:spacing w:before="11"/>
        <w:rPr>
          <w:b/>
          <w:sz w:val="25"/>
        </w:rPr>
      </w:pPr>
    </w:p>
    <w:p>
      <w:pPr>
        <w:pStyle w:val="BodyText"/>
        <w:spacing w:line="276" w:lineRule="auto"/>
        <w:ind w:left="1440" w:right="891"/>
      </w:pPr>
      <w:r>
        <w:rPr>
          <w:color w:val="231F20"/>
        </w:rPr>
        <w:t>For financial reporting purposes, the Institute is considered a special-purpose government engaged only in</w:t>
      </w:r>
      <w:r>
        <w:rPr>
          <w:color w:val="231F20"/>
          <w:spacing w:val="-3"/>
        </w:rPr>
        <w:t> </w:t>
      </w:r>
      <w:r>
        <w:rPr>
          <w:color w:val="231F20"/>
        </w:rPr>
        <w:t>business-type</w:t>
      </w:r>
      <w:r>
        <w:rPr>
          <w:color w:val="231F20"/>
          <w:spacing w:val="-3"/>
        </w:rPr>
        <w:t> </w:t>
      </w:r>
      <w:r>
        <w:rPr>
          <w:color w:val="231F20"/>
        </w:rPr>
        <w:t>activities</w:t>
      </w:r>
      <w:r>
        <w:rPr>
          <w:color w:val="231F20"/>
          <w:spacing w:val="-3"/>
        </w:rPr>
        <w:t> </w:t>
      </w:r>
      <w:r>
        <w:rPr>
          <w:color w:val="231F20"/>
        </w:rPr>
        <w:t>in</w:t>
      </w:r>
      <w:r>
        <w:rPr>
          <w:color w:val="231F20"/>
          <w:spacing w:val="-3"/>
        </w:rPr>
        <w:t> </w:t>
      </w:r>
      <w:r>
        <w:rPr>
          <w:color w:val="231F20"/>
        </w:rPr>
        <w:t>conformity</w:t>
      </w:r>
      <w:r>
        <w:rPr>
          <w:color w:val="231F20"/>
          <w:spacing w:val="-4"/>
        </w:rPr>
        <w:t> </w:t>
      </w:r>
      <w:r>
        <w:rPr>
          <w:color w:val="231F20"/>
        </w:rPr>
        <w:t>with</w:t>
      </w:r>
      <w:r>
        <w:rPr>
          <w:color w:val="231F20"/>
          <w:spacing w:val="-3"/>
        </w:rPr>
        <w:t> </w:t>
      </w:r>
      <w:r>
        <w:rPr>
          <w:color w:val="231F20"/>
        </w:rPr>
        <w:t>accounting</w:t>
      </w:r>
      <w:r>
        <w:rPr>
          <w:color w:val="231F20"/>
          <w:spacing w:val="-3"/>
        </w:rPr>
        <w:t> </w:t>
      </w:r>
      <w:r>
        <w:rPr>
          <w:color w:val="231F20"/>
        </w:rPr>
        <w:t>principles</w:t>
      </w:r>
      <w:r>
        <w:rPr>
          <w:color w:val="231F20"/>
          <w:spacing w:val="-4"/>
        </w:rPr>
        <w:t> </w:t>
      </w:r>
      <w:r>
        <w:rPr>
          <w:color w:val="231F20"/>
        </w:rPr>
        <w:t>generally</w:t>
      </w:r>
      <w:r>
        <w:rPr>
          <w:color w:val="231F20"/>
          <w:spacing w:val="-3"/>
        </w:rPr>
        <w:t> </w:t>
      </w:r>
      <w:r>
        <w:rPr>
          <w:color w:val="231F20"/>
        </w:rPr>
        <w:t>accepted</w:t>
      </w:r>
      <w:r>
        <w:rPr>
          <w:color w:val="231F20"/>
          <w:spacing w:val="-3"/>
        </w:rPr>
        <w:t> </w:t>
      </w:r>
      <w:r>
        <w:rPr>
          <w:color w:val="231F20"/>
        </w:rPr>
        <w:t>in</w:t>
      </w:r>
      <w:r>
        <w:rPr>
          <w:color w:val="231F20"/>
          <w:spacing w:val="-3"/>
        </w:rPr>
        <w:t> </w:t>
      </w:r>
      <w:r>
        <w:rPr>
          <w:color w:val="231F20"/>
        </w:rPr>
        <w:t>the</w:t>
      </w:r>
      <w:r>
        <w:rPr>
          <w:color w:val="231F20"/>
          <w:spacing w:val="-4"/>
        </w:rPr>
        <w:t> </w:t>
      </w:r>
      <w:r>
        <w:rPr>
          <w:color w:val="231F20"/>
        </w:rPr>
        <w:t>United</w:t>
      </w:r>
      <w:r>
        <w:rPr>
          <w:color w:val="231F20"/>
          <w:spacing w:val="-3"/>
        </w:rPr>
        <w:t> </w:t>
      </w:r>
      <w:r>
        <w:rPr>
          <w:color w:val="231F20"/>
        </w:rPr>
        <w:t>States of America. Accordingly, the Institute’s primary institution financial statements have been presented in a single column using the economic resources measurement focus and the accrual basis of accounting.</w:t>
      </w:r>
    </w:p>
    <w:p>
      <w:pPr>
        <w:pStyle w:val="BodyText"/>
        <w:spacing w:line="276" w:lineRule="auto"/>
        <w:ind w:left="1440" w:right="1048"/>
      </w:pPr>
      <w:r>
        <w:rPr>
          <w:color w:val="231F20"/>
        </w:rPr>
        <w:t>Under</w:t>
      </w:r>
      <w:r>
        <w:rPr>
          <w:color w:val="231F20"/>
          <w:spacing w:val="-3"/>
        </w:rPr>
        <w:t> </w:t>
      </w:r>
      <w:r>
        <w:rPr>
          <w:color w:val="231F20"/>
        </w:rPr>
        <w:t>the</w:t>
      </w:r>
      <w:r>
        <w:rPr>
          <w:color w:val="231F20"/>
          <w:spacing w:val="-3"/>
        </w:rPr>
        <w:t> </w:t>
      </w:r>
      <w:r>
        <w:rPr>
          <w:color w:val="231F20"/>
        </w:rPr>
        <w:t>accrual</w:t>
      </w:r>
      <w:r>
        <w:rPr>
          <w:color w:val="231F20"/>
          <w:spacing w:val="-3"/>
        </w:rPr>
        <w:t> </w:t>
      </w:r>
      <w:r>
        <w:rPr>
          <w:color w:val="231F20"/>
        </w:rPr>
        <w:t>basis,</w:t>
      </w:r>
      <w:r>
        <w:rPr>
          <w:color w:val="231F20"/>
          <w:spacing w:val="-3"/>
        </w:rPr>
        <w:t> </w:t>
      </w:r>
      <w:r>
        <w:rPr>
          <w:color w:val="231F20"/>
        </w:rPr>
        <w:t>revenues</w:t>
      </w:r>
      <w:r>
        <w:rPr>
          <w:color w:val="231F20"/>
          <w:spacing w:val="-3"/>
        </w:rPr>
        <w:t> </w:t>
      </w:r>
      <w:r>
        <w:rPr>
          <w:color w:val="231F20"/>
        </w:rPr>
        <w:t>are</w:t>
      </w:r>
      <w:r>
        <w:rPr>
          <w:color w:val="231F20"/>
          <w:spacing w:val="-3"/>
        </w:rPr>
        <w:t> </w:t>
      </w:r>
      <w:r>
        <w:rPr>
          <w:color w:val="231F20"/>
        </w:rPr>
        <w:t>recognized</w:t>
      </w:r>
      <w:r>
        <w:rPr>
          <w:color w:val="231F20"/>
          <w:spacing w:val="-4"/>
        </w:rPr>
        <w:t> </w:t>
      </w:r>
      <w:r>
        <w:rPr>
          <w:color w:val="231F20"/>
        </w:rPr>
        <w:t>when</w:t>
      </w:r>
      <w:r>
        <w:rPr>
          <w:color w:val="231F20"/>
          <w:spacing w:val="-3"/>
        </w:rPr>
        <w:t> </w:t>
      </w:r>
      <w:r>
        <w:rPr>
          <w:color w:val="231F20"/>
        </w:rPr>
        <w:t>earned,</w:t>
      </w:r>
      <w:r>
        <w:rPr>
          <w:color w:val="231F20"/>
          <w:spacing w:val="-3"/>
        </w:rPr>
        <w:t> </w:t>
      </w:r>
      <w:r>
        <w:rPr>
          <w:color w:val="231F20"/>
        </w:rPr>
        <w:t>and</w:t>
      </w:r>
      <w:r>
        <w:rPr>
          <w:color w:val="231F20"/>
          <w:spacing w:val="-3"/>
        </w:rPr>
        <w:t> </w:t>
      </w:r>
      <w:r>
        <w:rPr>
          <w:color w:val="231F20"/>
        </w:rPr>
        <w:t>expenses</w:t>
      </w:r>
      <w:r>
        <w:rPr>
          <w:color w:val="231F20"/>
          <w:spacing w:val="-4"/>
        </w:rPr>
        <w:t> </w:t>
      </w:r>
      <w:r>
        <w:rPr>
          <w:color w:val="231F20"/>
        </w:rPr>
        <w:t>are</w:t>
      </w:r>
      <w:r>
        <w:rPr>
          <w:color w:val="231F20"/>
          <w:spacing w:val="-3"/>
        </w:rPr>
        <w:t> </w:t>
      </w:r>
      <w:r>
        <w:rPr>
          <w:color w:val="231F20"/>
        </w:rPr>
        <w:t>recorded</w:t>
      </w:r>
      <w:r>
        <w:rPr>
          <w:color w:val="231F20"/>
          <w:spacing w:val="-4"/>
        </w:rPr>
        <w:t> </w:t>
      </w:r>
      <w:r>
        <w:rPr>
          <w:color w:val="231F20"/>
        </w:rPr>
        <w:t>when</w:t>
      </w:r>
      <w:r>
        <w:rPr>
          <w:color w:val="231F20"/>
          <w:spacing w:val="-3"/>
        </w:rPr>
        <w:t> </w:t>
      </w:r>
      <w:r>
        <w:rPr>
          <w:color w:val="231F20"/>
        </w:rPr>
        <w:t>an obligation has been incurred. All significant intra-entity transactions have been eliminated.</w:t>
      </w:r>
    </w:p>
    <w:p>
      <w:pPr>
        <w:pStyle w:val="BodyText"/>
        <w:spacing w:before="11"/>
        <w:rPr>
          <w:sz w:val="22"/>
        </w:rPr>
      </w:pPr>
    </w:p>
    <w:p>
      <w:pPr>
        <w:pStyle w:val="BodyText"/>
        <w:spacing w:line="276" w:lineRule="auto"/>
        <w:ind w:left="1440" w:right="891"/>
      </w:pPr>
      <w:r>
        <w:rPr>
          <w:color w:val="231F20"/>
        </w:rPr>
        <w:t>The accompanying financial statements have been prepared in accordance with accounting principles generally</w:t>
      </w:r>
      <w:r>
        <w:rPr>
          <w:color w:val="231F20"/>
          <w:spacing w:val="-3"/>
        </w:rPr>
        <w:t> </w:t>
      </w:r>
      <w:r>
        <w:rPr>
          <w:color w:val="231F20"/>
        </w:rPr>
        <w:t>accepted</w:t>
      </w:r>
      <w:r>
        <w:rPr>
          <w:color w:val="231F20"/>
          <w:spacing w:val="-3"/>
        </w:rPr>
        <w:t> </w:t>
      </w:r>
      <w:r>
        <w:rPr>
          <w:color w:val="231F20"/>
        </w:rPr>
        <w:t>in</w:t>
      </w:r>
      <w:r>
        <w:rPr>
          <w:color w:val="231F20"/>
          <w:spacing w:val="-3"/>
        </w:rPr>
        <w:t> </w:t>
      </w:r>
      <w:r>
        <w:rPr>
          <w:color w:val="231F20"/>
        </w:rPr>
        <w:t>the</w:t>
      </w:r>
      <w:r>
        <w:rPr>
          <w:color w:val="231F20"/>
          <w:spacing w:val="-4"/>
        </w:rPr>
        <w:t> </w:t>
      </w:r>
      <w:r>
        <w:rPr>
          <w:color w:val="231F20"/>
        </w:rPr>
        <w:t>United</w:t>
      </w:r>
      <w:r>
        <w:rPr>
          <w:color w:val="231F20"/>
          <w:spacing w:val="-3"/>
        </w:rPr>
        <w:t> </w:t>
      </w:r>
      <w:r>
        <w:rPr>
          <w:color w:val="231F20"/>
        </w:rPr>
        <w:t>States</w:t>
      </w:r>
      <w:r>
        <w:rPr>
          <w:color w:val="231F20"/>
          <w:spacing w:val="-3"/>
        </w:rPr>
        <w:t> </w:t>
      </w:r>
      <w:r>
        <w:rPr>
          <w:color w:val="231F20"/>
        </w:rPr>
        <w:t>of</w:t>
      </w:r>
      <w:r>
        <w:rPr>
          <w:color w:val="231F20"/>
          <w:spacing w:val="-3"/>
        </w:rPr>
        <w:t> </w:t>
      </w:r>
      <w:r>
        <w:rPr>
          <w:color w:val="231F20"/>
        </w:rPr>
        <w:t>America</w:t>
      </w:r>
      <w:r>
        <w:rPr>
          <w:color w:val="231F20"/>
          <w:spacing w:val="-3"/>
        </w:rPr>
        <w:t> </w:t>
      </w:r>
      <w:r>
        <w:rPr>
          <w:color w:val="231F20"/>
        </w:rPr>
        <w:t>(GAAP)</w:t>
      </w:r>
      <w:r>
        <w:rPr>
          <w:color w:val="231F20"/>
          <w:spacing w:val="-3"/>
        </w:rPr>
        <w:t> </w:t>
      </w:r>
      <w:r>
        <w:rPr>
          <w:color w:val="231F20"/>
        </w:rPr>
        <w:t>as</w:t>
      </w:r>
      <w:r>
        <w:rPr>
          <w:color w:val="231F20"/>
          <w:spacing w:val="-3"/>
        </w:rPr>
        <w:t> </w:t>
      </w:r>
      <w:r>
        <w:rPr>
          <w:color w:val="231F20"/>
        </w:rPr>
        <w:t>prescribed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Government</w:t>
      </w:r>
      <w:r>
        <w:rPr>
          <w:color w:val="231F20"/>
          <w:spacing w:val="-3"/>
        </w:rPr>
        <w:t> </w:t>
      </w:r>
      <w:r>
        <w:rPr>
          <w:color w:val="231F20"/>
        </w:rPr>
        <w:t>Accounting Standards Board (GASB) and the Higher Education Department’s Financial Reporting for Public Institutions in New Mexico.</w:t>
      </w:r>
    </w:p>
    <w:p>
      <w:pPr>
        <w:pStyle w:val="BodyText"/>
        <w:rPr>
          <w:sz w:val="23"/>
        </w:rPr>
      </w:pPr>
    </w:p>
    <w:p>
      <w:pPr>
        <w:pStyle w:val="BodyText"/>
        <w:spacing w:line="276" w:lineRule="auto"/>
        <w:ind w:left="1440" w:right="891"/>
      </w:pPr>
      <w:r>
        <w:rPr>
          <w:color w:val="231F20"/>
        </w:rPr>
        <w:t>For</w:t>
      </w:r>
      <w:r>
        <w:rPr>
          <w:color w:val="231F20"/>
          <w:spacing w:val="-3"/>
        </w:rPr>
        <w:t> </w:t>
      </w:r>
      <w:r>
        <w:rPr>
          <w:color w:val="231F20"/>
        </w:rPr>
        <w:t>the</w:t>
      </w:r>
      <w:r>
        <w:rPr>
          <w:color w:val="231F20"/>
          <w:spacing w:val="-3"/>
        </w:rPr>
        <w:t> </w:t>
      </w:r>
      <w:r>
        <w:rPr>
          <w:color w:val="231F20"/>
        </w:rPr>
        <w:t>Trust,</w:t>
      </w:r>
      <w:r>
        <w:rPr>
          <w:color w:val="231F20"/>
          <w:spacing w:val="-4"/>
        </w:rPr>
        <w:t> </w:t>
      </w:r>
      <w:r>
        <w:rPr>
          <w:color w:val="231F20"/>
        </w:rPr>
        <w:t>plan</w:t>
      </w:r>
      <w:r>
        <w:rPr>
          <w:color w:val="231F20"/>
          <w:spacing w:val="-3"/>
        </w:rPr>
        <w:t> </w:t>
      </w:r>
      <w:r>
        <w:rPr>
          <w:color w:val="231F20"/>
        </w:rPr>
        <w:t>member</w:t>
      </w:r>
      <w:r>
        <w:rPr>
          <w:color w:val="231F20"/>
          <w:spacing w:val="-3"/>
        </w:rPr>
        <w:t> </w:t>
      </w:r>
      <w:r>
        <w:rPr>
          <w:color w:val="231F20"/>
        </w:rPr>
        <w:t>contributions</w:t>
      </w:r>
      <w:r>
        <w:rPr>
          <w:color w:val="231F20"/>
          <w:spacing w:val="-3"/>
        </w:rPr>
        <w:t> </w:t>
      </w:r>
      <w:r>
        <w:rPr>
          <w:color w:val="231F20"/>
        </w:rPr>
        <w:t>are</w:t>
      </w:r>
      <w:r>
        <w:rPr>
          <w:color w:val="231F20"/>
          <w:spacing w:val="-3"/>
        </w:rPr>
        <w:t> </w:t>
      </w:r>
      <w:r>
        <w:rPr>
          <w:color w:val="231F20"/>
        </w:rPr>
        <w:t>recognized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period</w:t>
      </w:r>
      <w:r>
        <w:rPr>
          <w:color w:val="231F20"/>
          <w:spacing w:val="-3"/>
        </w:rPr>
        <w:t> </w:t>
      </w:r>
      <w:r>
        <w:rPr>
          <w:color w:val="231F20"/>
        </w:rPr>
        <w:t>in</w:t>
      </w:r>
      <w:r>
        <w:rPr>
          <w:color w:val="231F20"/>
          <w:spacing w:val="-3"/>
        </w:rPr>
        <w:t> </w:t>
      </w:r>
      <w:r>
        <w:rPr>
          <w:color w:val="231F20"/>
        </w:rPr>
        <w:t>which</w:t>
      </w:r>
      <w:r>
        <w:rPr>
          <w:color w:val="231F20"/>
          <w:spacing w:val="-3"/>
        </w:rPr>
        <w:t> </w:t>
      </w:r>
      <w:r>
        <w:rPr>
          <w:color w:val="231F20"/>
        </w:rPr>
        <w:t>the</w:t>
      </w:r>
      <w:r>
        <w:rPr>
          <w:color w:val="231F20"/>
          <w:spacing w:val="-3"/>
        </w:rPr>
        <w:t> </w:t>
      </w:r>
      <w:r>
        <w:rPr>
          <w:color w:val="231F20"/>
        </w:rPr>
        <w:t>contributions</w:t>
      </w:r>
      <w:r>
        <w:rPr>
          <w:color w:val="231F20"/>
          <w:spacing w:val="-3"/>
        </w:rPr>
        <w:t> </w:t>
      </w:r>
      <w:r>
        <w:rPr>
          <w:color w:val="231F20"/>
        </w:rPr>
        <w:t>are</w:t>
      </w:r>
      <w:r>
        <w:rPr>
          <w:color w:val="231F20"/>
          <w:spacing w:val="-3"/>
        </w:rPr>
        <w:t> </w:t>
      </w:r>
      <w:r>
        <w:rPr>
          <w:color w:val="231F20"/>
        </w:rPr>
        <w:t>due. Employer contributions to each plan are recognized when due and the employer has made a formal commitment to provide the contributions. Benefits and refunds are recognized when due and payable in accordance with the terms of each plan.</w:t>
      </w:r>
    </w:p>
    <w:p>
      <w:pPr>
        <w:pStyle w:val="Heading4"/>
        <w:numPr>
          <w:ilvl w:val="0"/>
          <w:numId w:val="5"/>
        </w:numPr>
        <w:tabs>
          <w:tab w:pos="1774" w:val="left" w:leader="none"/>
        </w:tabs>
        <w:spacing w:line="530" w:lineRule="exact" w:before="28" w:after="0"/>
        <w:ind w:left="1440" w:right="6895" w:firstLine="0"/>
        <w:jc w:val="left"/>
      </w:pPr>
      <w:r>
        <w:rPr>
          <w:color w:val="231F20"/>
        </w:rPr>
        <w:t>Significant</w:t>
      </w:r>
      <w:r>
        <w:rPr>
          <w:color w:val="231F20"/>
          <w:spacing w:val="-14"/>
        </w:rPr>
        <w:t> </w:t>
      </w:r>
      <w:r>
        <w:rPr>
          <w:color w:val="231F20"/>
        </w:rPr>
        <w:t>Accounting</w:t>
      </w:r>
      <w:r>
        <w:rPr>
          <w:color w:val="231F20"/>
          <w:spacing w:val="-14"/>
        </w:rPr>
        <w:t> </w:t>
      </w:r>
      <w:r>
        <w:rPr>
          <w:color w:val="231F20"/>
        </w:rPr>
        <w:t>Policies </w:t>
      </w:r>
      <w:r>
        <w:rPr>
          <w:color w:val="231F20"/>
          <w:spacing w:val="-2"/>
        </w:rPr>
        <w:t>Estimates</w:t>
      </w:r>
    </w:p>
    <w:p>
      <w:pPr>
        <w:pStyle w:val="BodyText"/>
        <w:spacing w:line="199" w:lineRule="exact"/>
        <w:ind w:left="1440"/>
      </w:pPr>
      <w:r>
        <w:rPr>
          <w:color w:val="231F20"/>
        </w:rPr>
        <w:t>The</w:t>
      </w:r>
      <w:r>
        <w:rPr>
          <w:color w:val="231F20"/>
          <w:spacing w:val="-9"/>
        </w:rPr>
        <w:t> </w:t>
      </w:r>
      <w:r>
        <w:rPr>
          <w:color w:val="231F20"/>
        </w:rPr>
        <w:t>preparation</w:t>
      </w:r>
      <w:r>
        <w:rPr>
          <w:color w:val="231F20"/>
          <w:spacing w:val="-6"/>
        </w:rPr>
        <w:t> </w:t>
      </w:r>
      <w:r>
        <w:rPr>
          <w:color w:val="231F20"/>
        </w:rPr>
        <w:t>of</w:t>
      </w:r>
      <w:r>
        <w:rPr>
          <w:color w:val="231F20"/>
          <w:spacing w:val="-7"/>
        </w:rPr>
        <w:t> </w:t>
      </w:r>
      <w:r>
        <w:rPr>
          <w:color w:val="231F20"/>
        </w:rPr>
        <w:t>financial</w:t>
      </w:r>
      <w:r>
        <w:rPr>
          <w:color w:val="231F20"/>
          <w:spacing w:val="-6"/>
        </w:rPr>
        <w:t> </w:t>
      </w:r>
      <w:r>
        <w:rPr>
          <w:color w:val="231F20"/>
        </w:rPr>
        <w:t>statements</w:t>
      </w:r>
      <w:r>
        <w:rPr>
          <w:color w:val="231F20"/>
          <w:spacing w:val="-6"/>
        </w:rPr>
        <w:t> </w:t>
      </w:r>
      <w:r>
        <w:rPr>
          <w:color w:val="231F20"/>
        </w:rPr>
        <w:t>in</w:t>
      </w:r>
      <w:r>
        <w:rPr>
          <w:color w:val="231F20"/>
          <w:spacing w:val="-7"/>
        </w:rPr>
        <w:t> </w:t>
      </w:r>
      <w:r>
        <w:rPr>
          <w:color w:val="231F20"/>
        </w:rPr>
        <w:t>conformity</w:t>
      </w:r>
      <w:r>
        <w:rPr>
          <w:color w:val="231F20"/>
          <w:spacing w:val="-5"/>
        </w:rPr>
        <w:t> </w:t>
      </w:r>
      <w:r>
        <w:rPr>
          <w:color w:val="231F20"/>
        </w:rPr>
        <w:t>with</w:t>
      </w:r>
      <w:r>
        <w:rPr>
          <w:color w:val="231F20"/>
          <w:spacing w:val="-7"/>
        </w:rPr>
        <w:t> </w:t>
      </w:r>
      <w:r>
        <w:rPr>
          <w:color w:val="231F20"/>
        </w:rPr>
        <w:t>GAAP</w:t>
      </w:r>
      <w:r>
        <w:rPr>
          <w:color w:val="231F20"/>
          <w:spacing w:val="-6"/>
        </w:rPr>
        <w:t> </w:t>
      </w:r>
      <w:r>
        <w:rPr>
          <w:color w:val="231F20"/>
        </w:rPr>
        <w:t>requires</w:t>
      </w:r>
      <w:r>
        <w:rPr>
          <w:color w:val="231F20"/>
          <w:spacing w:val="-6"/>
        </w:rPr>
        <w:t> </w:t>
      </w:r>
      <w:r>
        <w:rPr>
          <w:color w:val="231F20"/>
        </w:rPr>
        <w:t>management</w:t>
      </w:r>
      <w:r>
        <w:rPr>
          <w:color w:val="231F20"/>
          <w:spacing w:val="-7"/>
        </w:rPr>
        <w:t> </w:t>
      </w:r>
      <w:r>
        <w:rPr>
          <w:color w:val="231F20"/>
        </w:rPr>
        <w:t>to</w:t>
      </w:r>
      <w:r>
        <w:rPr>
          <w:color w:val="231F20"/>
          <w:spacing w:val="-6"/>
        </w:rPr>
        <w:t> </w:t>
      </w:r>
      <w:r>
        <w:rPr>
          <w:color w:val="231F20"/>
        </w:rPr>
        <w:t>make</w:t>
      </w:r>
      <w:r>
        <w:rPr>
          <w:color w:val="231F20"/>
          <w:spacing w:val="-6"/>
        </w:rPr>
        <w:t> </w:t>
      </w:r>
      <w:r>
        <w:rPr>
          <w:color w:val="231F20"/>
          <w:spacing w:val="-2"/>
        </w:rPr>
        <w:t>estimates</w:t>
      </w:r>
    </w:p>
    <w:p>
      <w:pPr>
        <w:pStyle w:val="BodyText"/>
        <w:spacing w:line="276" w:lineRule="auto" w:before="35"/>
        <w:ind w:left="1440" w:right="1048"/>
      </w:pPr>
      <w:r>
        <w:rPr>
          <w:color w:val="231F20"/>
        </w:rPr>
        <w:t>and assumptions that affect the reported amount of assets and liabilities and disclosure of contingent assets</w:t>
      </w:r>
      <w:r>
        <w:rPr>
          <w:color w:val="231F20"/>
          <w:spacing w:val="-3"/>
        </w:rPr>
        <w:t> </w:t>
      </w:r>
      <w:r>
        <w:rPr>
          <w:color w:val="231F20"/>
        </w:rPr>
        <w:t>and</w:t>
      </w:r>
      <w:r>
        <w:rPr>
          <w:color w:val="231F20"/>
          <w:spacing w:val="-3"/>
        </w:rPr>
        <w:t> </w:t>
      </w:r>
      <w:r>
        <w:rPr>
          <w:color w:val="231F20"/>
        </w:rPr>
        <w:t>liabilities</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date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financial</w:t>
      </w:r>
      <w:r>
        <w:rPr>
          <w:color w:val="231F20"/>
          <w:spacing w:val="-3"/>
        </w:rPr>
        <w:t> </w:t>
      </w:r>
      <w:r>
        <w:rPr>
          <w:color w:val="231F20"/>
        </w:rPr>
        <w:t>statements</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reported</w:t>
      </w:r>
      <w:r>
        <w:rPr>
          <w:color w:val="231F20"/>
          <w:spacing w:val="-3"/>
        </w:rPr>
        <w:t> </w:t>
      </w:r>
      <w:r>
        <w:rPr>
          <w:color w:val="231F20"/>
        </w:rPr>
        <w:t>amounts</w:t>
      </w:r>
      <w:r>
        <w:rPr>
          <w:color w:val="231F20"/>
          <w:spacing w:val="-3"/>
        </w:rPr>
        <w:t> </w:t>
      </w:r>
      <w:r>
        <w:rPr>
          <w:color w:val="231F20"/>
        </w:rPr>
        <w:t>of</w:t>
      </w:r>
      <w:r>
        <w:rPr>
          <w:color w:val="231F20"/>
          <w:spacing w:val="-3"/>
        </w:rPr>
        <w:t> </w:t>
      </w:r>
      <w:r>
        <w:rPr>
          <w:color w:val="231F20"/>
        </w:rPr>
        <w:t>revenues</w:t>
      </w:r>
      <w:r>
        <w:rPr>
          <w:color w:val="231F20"/>
          <w:spacing w:val="-3"/>
        </w:rPr>
        <w:t> </w:t>
      </w:r>
      <w:r>
        <w:rPr>
          <w:color w:val="231F20"/>
        </w:rPr>
        <w:t>and expenditures during the reporting period. Actual results could differ from those estimates. Significant estimates used in preparing these financial statements include the following:</w:t>
      </w:r>
    </w:p>
    <w:p>
      <w:pPr>
        <w:pStyle w:val="BodyText"/>
        <w:spacing w:before="11"/>
        <w:rPr>
          <w:sz w:val="22"/>
        </w:rPr>
      </w:pPr>
    </w:p>
    <w:p>
      <w:pPr>
        <w:pStyle w:val="ListParagraph"/>
        <w:numPr>
          <w:ilvl w:val="0"/>
          <w:numId w:val="6"/>
        </w:numPr>
        <w:tabs>
          <w:tab w:pos="2161" w:val="left" w:leader="none"/>
        </w:tabs>
        <w:spacing w:line="240" w:lineRule="auto" w:before="0" w:after="0"/>
        <w:ind w:left="2160" w:right="0" w:hanging="361"/>
        <w:jc w:val="left"/>
        <w:rPr>
          <w:sz w:val="20"/>
        </w:rPr>
      </w:pPr>
      <w:r>
        <w:rPr>
          <w:color w:val="231F20"/>
          <w:sz w:val="20"/>
        </w:rPr>
        <w:t>Net</w:t>
      </w:r>
      <w:r>
        <w:rPr>
          <w:color w:val="231F20"/>
          <w:spacing w:val="-5"/>
          <w:sz w:val="20"/>
        </w:rPr>
        <w:t> </w:t>
      </w:r>
      <w:r>
        <w:rPr>
          <w:color w:val="231F20"/>
          <w:sz w:val="20"/>
        </w:rPr>
        <w:t>pension</w:t>
      </w:r>
      <w:r>
        <w:rPr>
          <w:color w:val="231F20"/>
          <w:spacing w:val="-5"/>
          <w:sz w:val="20"/>
        </w:rPr>
        <w:t> </w:t>
      </w:r>
      <w:r>
        <w:rPr>
          <w:color w:val="231F20"/>
          <w:spacing w:val="-2"/>
          <w:sz w:val="20"/>
        </w:rPr>
        <w:t>liability</w:t>
      </w:r>
    </w:p>
    <w:p>
      <w:pPr>
        <w:pStyle w:val="ListParagraph"/>
        <w:numPr>
          <w:ilvl w:val="0"/>
          <w:numId w:val="6"/>
        </w:numPr>
        <w:tabs>
          <w:tab w:pos="2161" w:val="left" w:leader="none"/>
        </w:tabs>
        <w:spacing w:line="240" w:lineRule="auto" w:before="34" w:after="0"/>
        <w:ind w:left="2160" w:right="0" w:hanging="361"/>
        <w:jc w:val="left"/>
        <w:rPr>
          <w:sz w:val="20"/>
        </w:rPr>
      </w:pPr>
      <w:r>
        <w:rPr>
          <w:color w:val="231F20"/>
          <w:sz w:val="20"/>
        </w:rPr>
        <w:t>Net</w:t>
      </w:r>
      <w:r>
        <w:rPr>
          <w:color w:val="231F20"/>
          <w:spacing w:val="-8"/>
          <w:sz w:val="20"/>
        </w:rPr>
        <w:t> </w:t>
      </w:r>
      <w:r>
        <w:rPr>
          <w:color w:val="231F20"/>
          <w:sz w:val="20"/>
        </w:rPr>
        <w:t>other</w:t>
      </w:r>
      <w:r>
        <w:rPr>
          <w:color w:val="231F20"/>
          <w:spacing w:val="-7"/>
          <w:sz w:val="20"/>
        </w:rPr>
        <w:t> </w:t>
      </w:r>
      <w:r>
        <w:rPr>
          <w:color w:val="231F20"/>
          <w:sz w:val="20"/>
        </w:rPr>
        <w:t>postemployment</w:t>
      </w:r>
      <w:r>
        <w:rPr>
          <w:color w:val="231F20"/>
          <w:spacing w:val="-9"/>
          <w:sz w:val="20"/>
        </w:rPr>
        <w:t> </w:t>
      </w:r>
      <w:r>
        <w:rPr>
          <w:color w:val="231F20"/>
          <w:sz w:val="20"/>
        </w:rPr>
        <w:t>benefits</w:t>
      </w:r>
      <w:r>
        <w:rPr>
          <w:color w:val="231F20"/>
          <w:spacing w:val="-7"/>
          <w:sz w:val="20"/>
        </w:rPr>
        <w:t> </w:t>
      </w:r>
      <w:r>
        <w:rPr>
          <w:color w:val="231F20"/>
          <w:sz w:val="20"/>
        </w:rPr>
        <w:t>(OPEB)</w:t>
      </w:r>
      <w:r>
        <w:rPr>
          <w:color w:val="231F20"/>
          <w:spacing w:val="-7"/>
          <w:sz w:val="20"/>
        </w:rPr>
        <w:t> </w:t>
      </w:r>
      <w:r>
        <w:rPr>
          <w:color w:val="231F20"/>
          <w:spacing w:val="-2"/>
          <w:sz w:val="20"/>
        </w:rPr>
        <w:t>obligation</w:t>
      </w:r>
    </w:p>
    <w:p>
      <w:pPr>
        <w:pStyle w:val="ListParagraph"/>
        <w:numPr>
          <w:ilvl w:val="0"/>
          <w:numId w:val="6"/>
        </w:numPr>
        <w:tabs>
          <w:tab w:pos="2161" w:val="left" w:leader="none"/>
        </w:tabs>
        <w:spacing w:line="240" w:lineRule="auto" w:before="34" w:after="0"/>
        <w:ind w:left="2160" w:right="0" w:hanging="361"/>
        <w:jc w:val="left"/>
        <w:rPr>
          <w:sz w:val="20"/>
        </w:rPr>
      </w:pPr>
      <w:r>
        <w:rPr>
          <w:color w:val="231F20"/>
          <w:sz w:val="20"/>
        </w:rPr>
        <w:t>Unfunded</w:t>
      </w:r>
      <w:r>
        <w:rPr>
          <w:color w:val="231F20"/>
          <w:spacing w:val="-9"/>
          <w:sz w:val="20"/>
        </w:rPr>
        <w:t> </w:t>
      </w:r>
      <w:r>
        <w:rPr>
          <w:color w:val="231F20"/>
          <w:sz w:val="20"/>
        </w:rPr>
        <w:t>accrued</w:t>
      </w:r>
      <w:r>
        <w:rPr>
          <w:color w:val="231F20"/>
          <w:spacing w:val="-8"/>
          <w:sz w:val="20"/>
        </w:rPr>
        <w:t> </w:t>
      </w:r>
      <w:r>
        <w:rPr>
          <w:color w:val="231F20"/>
          <w:sz w:val="20"/>
        </w:rPr>
        <w:t>actuarial</w:t>
      </w:r>
      <w:r>
        <w:rPr>
          <w:color w:val="231F20"/>
          <w:spacing w:val="-9"/>
          <w:sz w:val="20"/>
        </w:rPr>
        <w:t> </w:t>
      </w:r>
      <w:r>
        <w:rPr>
          <w:color w:val="231F20"/>
          <w:sz w:val="20"/>
        </w:rPr>
        <w:t>liability</w:t>
      </w:r>
      <w:r>
        <w:rPr>
          <w:color w:val="231F20"/>
          <w:spacing w:val="-8"/>
          <w:sz w:val="20"/>
        </w:rPr>
        <w:t> </w:t>
      </w:r>
      <w:r>
        <w:rPr>
          <w:color w:val="231F20"/>
          <w:sz w:val="20"/>
        </w:rPr>
        <w:t>(UAAL)</w:t>
      </w:r>
      <w:r>
        <w:rPr>
          <w:color w:val="231F20"/>
          <w:spacing w:val="-9"/>
          <w:sz w:val="20"/>
        </w:rPr>
        <w:t> </w:t>
      </w:r>
      <w:r>
        <w:rPr>
          <w:color w:val="231F20"/>
          <w:sz w:val="20"/>
        </w:rPr>
        <w:t>for</w:t>
      </w:r>
      <w:r>
        <w:rPr>
          <w:color w:val="231F20"/>
          <w:spacing w:val="-8"/>
          <w:sz w:val="20"/>
        </w:rPr>
        <w:t> </w:t>
      </w:r>
      <w:r>
        <w:rPr>
          <w:color w:val="231F20"/>
          <w:sz w:val="20"/>
        </w:rPr>
        <w:t>postemployment</w:t>
      </w:r>
      <w:r>
        <w:rPr>
          <w:color w:val="231F20"/>
          <w:spacing w:val="-8"/>
          <w:sz w:val="20"/>
        </w:rPr>
        <w:t> </w:t>
      </w:r>
      <w:r>
        <w:rPr>
          <w:color w:val="231F20"/>
          <w:spacing w:val="-2"/>
          <w:sz w:val="20"/>
        </w:rPr>
        <w:t>benefits</w:t>
      </w:r>
    </w:p>
    <w:p>
      <w:pPr>
        <w:pStyle w:val="ListParagraph"/>
        <w:numPr>
          <w:ilvl w:val="0"/>
          <w:numId w:val="6"/>
        </w:numPr>
        <w:tabs>
          <w:tab w:pos="2160" w:val="left" w:leader="none"/>
        </w:tabs>
        <w:spacing w:line="240" w:lineRule="auto" w:before="35" w:after="0"/>
        <w:ind w:left="2159" w:right="0" w:hanging="360"/>
        <w:jc w:val="left"/>
        <w:rPr>
          <w:sz w:val="20"/>
        </w:rPr>
      </w:pPr>
      <w:r>
        <w:rPr>
          <w:color w:val="231F20"/>
          <w:spacing w:val="-2"/>
          <w:sz w:val="20"/>
        </w:rPr>
        <w:t>Depreciation</w:t>
      </w:r>
    </w:p>
    <w:p>
      <w:pPr>
        <w:pStyle w:val="ListParagraph"/>
        <w:numPr>
          <w:ilvl w:val="0"/>
          <w:numId w:val="6"/>
        </w:numPr>
        <w:tabs>
          <w:tab w:pos="2161" w:val="left" w:leader="none"/>
        </w:tabs>
        <w:spacing w:line="240" w:lineRule="auto" w:before="34" w:after="0"/>
        <w:ind w:left="2160" w:right="0" w:hanging="361"/>
        <w:jc w:val="left"/>
        <w:rPr>
          <w:sz w:val="20"/>
        </w:rPr>
      </w:pPr>
      <w:r>
        <w:rPr>
          <w:color w:val="231F20"/>
          <w:sz w:val="20"/>
        </w:rPr>
        <w:t>Tuition</w:t>
      </w:r>
      <w:r>
        <w:rPr>
          <w:color w:val="231F20"/>
          <w:spacing w:val="-5"/>
          <w:sz w:val="20"/>
        </w:rPr>
        <w:t> </w:t>
      </w:r>
      <w:r>
        <w:rPr>
          <w:color w:val="231F20"/>
          <w:sz w:val="20"/>
        </w:rPr>
        <w:t>discounts</w:t>
      </w:r>
      <w:r>
        <w:rPr>
          <w:color w:val="231F20"/>
          <w:spacing w:val="-5"/>
          <w:sz w:val="20"/>
        </w:rPr>
        <w:t> </w:t>
      </w:r>
      <w:r>
        <w:rPr>
          <w:color w:val="231F20"/>
          <w:sz w:val="20"/>
        </w:rPr>
        <w:t>and</w:t>
      </w:r>
      <w:r>
        <w:rPr>
          <w:color w:val="231F20"/>
          <w:spacing w:val="-5"/>
          <w:sz w:val="20"/>
        </w:rPr>
        <w:t> </w:t>
      </w:r>
      <w:r>
        <w:rPr>
          <w:color w:val="231F20"/>
          <w:spacing w:val="-2"/>
          <w:sz w:val="20"/>
        </w:rPr>
        <w:t>allowances</w:t>
      </w:r>
    </w:p>
    <w:p>
      <w:pPr>
        <w:pStyle w:val="ListParagraph"/>
        <w:numPr>
          <w:ilvl w:val="0"/>
          <w:numId w:val="6"/>
        </w:numPr>
        <w:tabs>
          <w:tab w:pos="2160" w:val="left" w:leader="none"/>
          <w:tab w:pos="2161" w:val="left" w:leader="none"/>
        </w:tabs>
        <w:spacing w:line="240" w:lineRule="auto" w:before="35" w:after="0"/>
        <w:ind w:left="2160" w:right="0" w:hanging="361"/>
        <w:jc w:val="left"/>
        <w:rPr>
          <w:sz w:val="20"/>
        </w:rPr>
      </w:pPr>
      <w:r>
        <w:rPr>
          <w:color w:val="231F20"/>
          <w:sz w:val="20"/>
        </w:rPr>
        <w:t>Environmental</w:t>
      </w:r>
      <w:r>
        <w:rPr>
          <w:color w:val="231F20"/>
          <w:spacing w:val="-7"/>
          <w:sz w:val="20"/>
        </w:rPr>
        <w:t> </w:t>
      </w:r>
      <w:r>
        <w:rPr>
          <w:color w:val="231F20"/>
          <w:sz w:val="20"/>
        </w:rPr>
        <w:t>cleanup</w:t>
      </w:r>
      <w:r>
        <w:rPr>
          <w:color w:val="231F20"/>
          <w:spacing w:val="-6"/>
          <w:sz w:val="20"/>
        </w:rPr>
        <w:t> </w:t>
      </w:r>
      <w:r>
        <w:rPr>
          <w:color w:val="231F20"/>
          <w:sz w:val="20"/>
        </w:rPr>
        <w:t>liability</w:t>
      </w:r>
      <w:r>
        <w:rPr>
          <w:color w:val="231F20"/>
          <w:spacing w:val="-6"/>
          <w:sz w:val="20"/>
        </w:rPr>
        <w:t> </w:t>
      </w:r>
      <w:r>
        <w:rPr>
          <w:color w:val="231F20"/>
          <w:spacing w:val="-2"/>
          <w:sz w:val="20"/>
        </w:rPr>
        <w:t>reserves</w:t>
      </w:r>
    </w:p>
    <w:p>
      <w:pPr>
        <w:pStyle w:val="ListParagraph"/>
        <w:numPr>
          <w:ilvl w:val="0"/>
          <w:numId w:val="6"/>
        </w:numPr>
        <w:tabs>
          <w:tab w:pos="2161" w:val="left" w:leader="none"/>
        </w:tabs>
        <w:spacing w:line="240" w:lineRule="auto" w:before="34" w:after="0"/>
        <w:ind w:left="2160" w:right="0" w:hanging="361"/>
        <w:jc w:val="left"/>
        <w:rPr>
          <w:sz w:val="20"/>
        </w:rPr>
      </w:pPr>
      <w:r>
        <w:rPr>
          <w:color w:val="231F20"/>
          <w:sz w:val="20"/>
        </w:rPr>
        <w:t>Incurred</w:t>
      </w:r>
      <w:r>
        <w:rPr>
          <w:color w:val="231F20"/>
          <w:spacing w:val="-6"/>
          <w:sz w:val="20"/>
        </w:rPr>
        <w:t> </w:t>
      </w:r>
      <w:r>
        <w:rPr>
          <w:color w:val="231F20"/>
          <w:sz w:val="20"/>
        </w:rPr>
        <w:t>cost</w:t>
      </w:r>
      <w:r>
        <w:rPr>
          <w:color w:val="231F20"/>
          <w:spacing w:val="-6"/>
          <w:sz w:val="20"/>
        </w:rPr>
        <w:t> </w:t>
      </w:r>
      <w:r>
        <w:rPr>
          <w:color w:val="231F20"/>
          <w:sz w:val="20"/>
        </w:rPr>
        <w:t>rate</w:t>
      </w:r>
      <w:r>
        <w:rPr>
          <w:color w:val="231F20"/>
          <w:spacing w:val="-6"/>
          <w:sz w:val="20"/>
        </w:rPr>
        <w:t> </w:t>
      </w:r>
      <w:r>
        <w:rPr>
          <w:color w:val="231F20"/>
          <w:sz w:val="20"/>
        </w:rPr>
        <w:t>audit</w:t>
      </w:r>
      <w:r>
        <w:rPr>
          <w:color w:val="231F20"/>
          <w:spacing w:val="-5"/>
          <w:sz w:val="20"/>
        </w:rPr>
        <w:t> </w:t>
      </w:r>
      <w:r>
        <w:rPr>
          <w:color w:val="231F20"/>
          <w:spacing w:val="-2"/>
          <w:sz w:val="20"/>
        </w:rPr>
        <w:t>adjustments</w:t>
      </w:r>
    </w:p>
    <w:p>
      <w:pPr>
        <w:pStyle w:val="ListParagraph"/>
        <w:numPr>
          <w:ilvl w:val="0"/>
          <w:numId w:val="6"/>
        </w:numPr>
        <w:tabs>
          <w:tab w:pos="2161" w:val="left" w:leader="none"/>
        </w:tabs>
        <w:spacing w:line="240" w:lineRule="auto" w:before="34" w:after="0"/>
        <w:ind w:left="2160" w:right="0" w:hanging="361"/>
        <w:jc w:val="left"/>
        <w:rPr>
          <w:sz w:val="20"/>
        </w:rPr>
      </w:pPr>
      <w:r>
        <w:rPr>
          <w:color w:val="231F20"/>
          <w:sz w:val="20"/>
        </w:rPr>
        <w:t>Fair</w:t>
      </w:r>
      <w:r>
        <w:rPr>
          <w:color w:val="231F20"/>
          <w:spacing w:val="-6"/>
          <w:sz w:val="20"/>
        </w:rPr>
        <w:t> </w:t>
      </w:r>
      <w:r>
        <w:rPr>
          <w:color w:val="231F20"/>
          <w:sz w:val="20"/>
        </w:rPr>
        <w:t>value</w:t>
      </w:r>
      <w:r>
        <w:rPr>
          <w:color w:val="231F20"/>
          <w:spacing w:val="-6"/>
          <w:sz w:val="20"/>
        </w:rPr>
        <w:t> </w:t>
      </w:r>
      <w:r>
        <w:rPr>
          <w:color w:val="231F20"/>
          <w:sz w:val="20"/>
        </w:rPr>
        <w:t>measurements</w:t>
      </w:r>
      <w:r>
        <w:rPr>
          <w:color w:val="231F20"/>
          <w:spacing w:val="-6"/>
          <w:sz w:val="20"/>
        </w:rPr>
        <w:t> </w:t>
      </w:r>
      <w:r>
        <w:rPr>
          <w:color w:val="231F20"/>
          <w:sz w:val="20"/>
        </w:rPr>
        <w:t>on</w:t>
      </w:r>
      <w:r>
        <w:rPr>
          <w:color w:val="231F20"/>
          <w:spacing w:val="-5"/>
          <w:sz w:val="20"/>
        </w:rPr>
        <w:t> </w:t>
      </w:r>
      <w:r>
        <w:rPr>
          <w:color w:val="231F20"/>
          <w:spacing w:val="-2"/>
          <w:sz w:val="20"/>
        </w:rPr>
        <w:t>investments</w:t>
      </w:r>
    </w:p>
    <w:p>
      <w:pPr>
        <w:spacing w:after="0" w:line="240" w:lineRule="auto"/>
        <w:jc w:val="left"/>
        <w:rPr>
          <w:sz w:val="20"/>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spacing w:before="0"/>
        <w:ind w:left="1440" w:right="0" w:firstLine="0"/>
        <w:jc w:val="left"/>
        <w:rPr>
          <w:b/>
          <w:sz w:val="20"/>
        </w:rPr>
      </w:pPr>
      <w:r>
        <w:rPr>
          <w:b/>
          <w:color w:val="231F20"/>
          <w:sz w:val="20"/>
        </w:rPr>
        <w:t>Budgetary</w:t>
      </w:r>
      <w:r>
        <w:rPr>
          <w:b/>
          <w:color w:val="231F20"/>
          <w:spacing w:val="-7"/>
          <w:sz w:val="20"/>
        </w:rPr>
        <w:t> </w:t>
      </w:r>
      <w:r>
        <w:rPr>
          <w:b/>
          <w:color w:val="231F20"/>
          <w:sz w:val="20"/>
        </w:rPr>
        <w:t>Basis</w:t>
      </w:r>
      <w:r>
        <w:rPr>
          <w:b/>
          <w:color w:val="231F20"/>
          <w:spacing w:val="-6"/>
          <w:sz w:val="20"/>
        </w:rPr>
        <w:t> </w:t>
      </w:r>
      <w:r>
        <w:rPr>
          <w:b/>
          <w:color w:val="231F20"/>
          <w:sz w:val="20"/>
        </w:rPr>
        <w:t>and</w:t>
      </w:r>
      <w:r>
        <w:rPr>
          <w:b/>
          <w:color w:val="231F20"/>
          <w:spacing w:val="-6"/>
          <w:sz w:val="20"/>
        </w:rPr>
        <w:t> </w:t>
      </w:r>
      <w:r>
        <w:rPr>
          <w:b/>
          <w:color w:val="231F20"/>
          <w:spacing w:val="-2"/>
          <w:sz w:val="20"/>
        </w:rPr>
        <w:t>Control</w:t>
      </w:r>
    </w:p>
    <w:p>
      <w:pPr>
        <w:pStyle w:val="BodyText"/>
        <w:spacing w:line="276" w:lineRule="auto" w:before="34"/>
        <w:ind w:left="1440" w:right="1048"/>
      </w:pPr>
      <w:r>
        <w:rPr>
          <w:color w:val="231F20"/>
        </w:rPr>
        <w:t>The Institute follows the requirements established by the New Mexico Higher Education Department (HED)</w:t>
      </w:r>
      <w:r>
        <w:rPr>
          <w:color w:val="231F20"/>
          <w:spacing w:val="-1"/>
        </w:rPr>
        <w:t> </w:t>
      </w:r>
      <w:r>
        <w:rPr>
          <w:color w:val="231F20"/>
        </w:rPr>
        <w:t>in</w:t>
      </w:r>
      <w:r>
        <w:rPr>
          <w:color w:val="231F20"/>
          <w:spacing w:val="-1"/>
        </w:rPr>
        <w:t> </w:t>
      </w:r>
      <w:r>
        <w:rPr>
          <w:color w:val="231F20"/>
        </w:rPr>
        <w:t>formulating</w:t>
      </w:r>
      <w:r>
        <w:rPr>
          <w:color w:val="231F20"/>
          <w:spacing w:val="-1"/>
        </w:rPr>
        <w:t> </w:t>
      </w:r>
      <w:r>
        <w:rPr>
          <w:color w:val="231F20"/>
        </w:rPr>
        <w:t>its</w:t>
      </w:r>
      <w:r>
        <w:rPr>
          <w:color w:val="231F20"/>
          <w:spacing w:val="-1"/>
        </w:rPr>
        <w:t> </w:t>
      </w:r>
      <w:r>
        <w:rPr>
          <w:color w:val="231F20"/>
        </w:rPr>
        <w:t>budgets</w:t>
      </w:r>
      <w:r>
        <w:rPr>
          <w:color w:val="231F20"/>
          <w:spacing w:val="-1"/>
        </w:rPr>
        <w:t> </w:t>
      </w:r>
      <w:r>
        <w:rPr>
          <w:color w:val="231F20"/>
        </w:rPr>
        <w:t>and</w:t>
      </w:r>
      <w:r>
        <w:rPr>
          <w:color w:val="231F20"/>
          <w:spacing w:val="-1"/>
        </w:rPr>
        <w:t> </w:t>
      </w:r>
      <w:r>
        <w:rPr>
          <w:color w:val="231F20"/>
        </w:rPr>
        <w:t>in</w:t>
      </w:r>
      <w:r>
        <w:rPr>
          <w:color w:val="231F20"/>
          <w:spacing w:val="-2"/>
        </w:rPr>
        <w:t> </w:t>
      </w:r>
      <w:r>
        <w:rPr>
          <w:color w:val="231F20"/>
        </w:rPr>
        <w:t>exercising</w:t>
      </w:r>
      <w:r>
        <w:rPr>
          <w:color w:val="231F20"/>
          <w:spacing w:val="-1"/>
        </w:rPr>
        <w:t> </w:t>
      </w:r>
      <w:r>
        <w:rPr>
          <w:color w:val="231F20"/>
        </w:rPr>
        <w:t>budgetary</w:t>
      </w:r>
      <w:r>
        <w:rPr>
          <w:color w:val="231F20"/>
          <w:spacing w:val="-1"/>
        </w:rPr>
        <w:t> </w:t>
      </w:r>
      <w:r>
        <w:rPr>
          <w:color w:val="231F20"/>
        </w:rPr>
        <w:t>control.</w:t>
      </w:r>
      <w:r>
        <w:rPr>
          <w:color w:val="231F20"/>
          <w:spacing w:val="-1"/>
        </w:rPr>
        <w:t> </w:t>
      </w:r>
      <w:r>
        <w:rPr>
          <w:color w:val="231F20"/>
        </w:rPr>
        <w:t>It</w:t>
      </w:r>
      <w:r>
        <w:rPr>
          <w:color w:val="231F20"/>
          <w:spacing w:val="-1"/>
        </w:rPr>
        <w:t> </w:t>
      </w:r>
      <w:r>
        <w:rPr>
          <w:color w:val="231F20"/>
        </w:rPr>
        <w:t>is</w:t>
      </w:r>
      <w:r>
        <w:rPr>
          <w:color w:val="231F20"/>
          <w:spacing w:val="-1"/>
        </w:rPr>
        <w:t> </w:t>
      </w:r>
      <w:r>
        <w:rPr>
          <w:color w:val="231F20"/>
        </w:rPr>
        <w:t>through</w:t>
      </w:r>
      <w:r>
        <w:rPr>
          <w:color w:val="231F20"/>
          <w:spacing w:val="-1"/>
        </w:rPr>
        <w:t> </w:t>
      </w:r>
      <w:r>
        <w:rPr>
          <w:color w:val="231F20"/>
        </w:rPr>
        <w:t>the</w:t>
      </w:r>
      <w:r>
        <w:rPr>
          <w:color w:val="231F20"/>
          <w:spacing w:val="-1"/>
        </w:rPr>
        <w:t> </w:t>
      </w:r>
      <w:r>
        <w:rPr>
          <w:color w:val="231F20"/>
        </w:rPr>
        <w:t>HED’s</w:t>
      </w:r>
      <w:r>
        <w:rPr>
          <w:color w:val="231F20"/>
          <w:spacing w:val="-1"/>
        </w:rPr>
        <w:t> </w:t>
      </w:r>
      <w:r>
        <w:rPr>
          <w:color w:val="231F20"/>
        </w:rPr>
        <w:t>policy</w:t>
      </w:r>
      <w:r>
        <w:rPr>
          <w:color w:val="231F20"/>
          <w:spacing w:val="-1"/>
        </w:rPr>
        <w:t> </w:t>
      </w:r>
      <w:r>
        <w:rPr>
          <w:color w:val="231F20"/>
        </w:rPr>
        <w:t>that, when an appropriation has been made to the Institute, its Board of Regents can, in general, adopt an operating</w:t>
      </w:r>
      <w:r>
        <w:rPr>
          <w:color w:val="231F20"/>
          <w:spacing w:val="-3"/>
        </w:rPr>
        <w:t> </w:t>
      </w:r>
      <w:r>
        <w:rPr>
          <w:color w:val="231F20"/>
        </w:rPr>
        <w:t>budget</w:t>
      </w:r>
      <w:r>
        <w:rPr>
          <w:color w:val="231F20"/>
          <w:spacing w:val="-3"/>
        </w:rPr>
        <w:t> </w:t>
      </w:r>
      <w:r>
        <w:rPr>
          <w:color w:val="231F20"/>
        </w:rPr>
        <w:t>within</w:t>
      </w:r>
      <w:r>
        <w:rPr>
          <w:color w:val="231F20"/>
          <w:spacing w:val="-3"/>
        </w:rPr>
        <w:t> </w:t>
      </w:r>
      <w:r>
        <w:rPr>
          <w:color w:val="231F20"/>
        </w:rPr>
        <w:t>the</w:t>
      </w:r>
      <w:r>
        <w:rPr>
          <w:color w:val="231F20"/>
          <w:spacing w:val="-4"/>
        </w:rPr>
        <w:t> </w:t>
      </w:r>
      <w:r>
        <w:rPr>
          <w:color w:val="231F20"/>
        </w:rPr>
        <w:t>limits</w:t>
      </w:r>
      <w:r>
        <w:rPr>
          <w:color w:val="231F20"/>
          <w:spacing w:val="-3"/>
        </w:rPr>
        <w:t> </w:t>
      </w:r>
      <w:r>
        <w:rPr>
          <w:color w:val="231F20"/>
        </w:rPr>
        <w:t>of</w:t>
      </w:r>
      <w:r>
        <w:rPr>
          <w:color w:val="231F20"/>
          <w:spacing w:val="-3"/>
        </w:rPr>
        <w:t> </w:t>
      </w:r>
      <w:r>
        <w:rPr>
          <w:color w:val="231F20"/>
        </w:rPr>
        <w:t>available</w:t>
      </w:r>
      <w:r>
        <w:rPr>
          <w:color w:val="231F20"/>
          <w:spacing w:val="-3"/>
        </w:rPr>
        <w:t> </w:t>
      </w:r>
      <w:r>
        <w:rPr>
          <w:color w:val="231F20"/>
        </w:rPr>
        <w:t>income.</w:t>
      </w:r>
      <w:r>
        <w:rPr>
          <w:color w:val="231F20"/>
          <w:spacing w:val="-4"/>
        </w:rPr>
        <w:t> </w:t>
      </w:r>
      <w:r>
        <w:rPr>
          <w:color w:val="231F20"/>
        </w:rPr>
        <w:t>Operating</w:t>
      </w:r>
      <w:r>
        <w:rPr>
          <w:color w:val="231F20"/>
          <w:spacing w:val="-3"/>
        </w:rPr>
        <w:t> </w:t>
      </w:r>
      <w:r>
        <w:rPr>
          <w:color w:val="231F20"/>
        </w:rPr>
        <w:t>budgets</w:t>
      </w:r>
      <w:r>
        <w:rPr>
          <w:color w:val="231F20"/>
          <w:spacing w:val="-3"/>
        </w:rPr>
        <w:t> </w:t>
      </w:r>
      <w:r>
        <w:rPr>
          <w:color w:val="231F20"/>
        </w:rPr>
        <w:t>are</w:t>
      </w:r>
      <w:r>
        <w:rPr>
          <w:color w:val="231F20"/>
          <w:spacing w:val="-3"/>
        </w:rPr>
        <w:t> </w:t>
      </w:r>
      <w:r>
        <w:rPr>
          <w:color w:val="231F20"/>
        </w:rPr>
        <w:t>approved</w:t>
      </w:r>
      <w:r>
        <w:rPr>
          <w:color w:val="231F20"/>
          <w:spacing w:val="-3"/>
        </w:rPr>
        <w:t> </w:t>
      </w:r>
      <w:r>
        <w:rPr>
          <w:color w:val="231F20"/>
        </w:rPr>
        <w:t>via</w:t>
      </w:r>
      <w:r>
        <w:rPr>
          <w:color w:val="231F20"/>
          <w:spacing w:val="-3"/>
        </w:rPr>
        <w:t> </w:t>
      </w:r>
      <w:r>
        <w:rPr>
          <w:color w:val="231F20"/>
        </w:rPr>
        <w:t>the</w:t>
      </w:r>
      <w:r>
        <w:rPr>
          <w:color w:val="231F20"/>
          <w:spacing w:val="-3"/>
        </w:rPr>
        <w:t> </w:t>
      </w:r>
      <w:r>
        <w:rPr>
          <w:color w:val="231F20"/>
        </w:rPr>
        <w:t>following </w:t>
      </w:r>
      <w:r>
        <w:rPr>
          <w:color w:val="231F20"/>
          <w:spacing w:val="-2"/>
        </w:rPr>
        <w:t>procedures:</w:t>
      </w:r>
    </w:p>
    <w:p>
      <w:pPr>
        <w:pStyle w:val="BodyText"/>
        <w:spacing w:before="11"/>
        <w:rPr>
          <w:sz w:val="22"/>
        </w:rPr>
      </w:pPr>
    </w:p>
    <w:p>
      <w:pPr>
        <w:pStyle w:val="ListParagraph"/>
        <w:numPr>
          <w:ilvl w:val="0"/>
          <w:numId w:val="7"/>
        </w:numPr>
        <w:tabs>
          <w:tab w:pos="2161" w:val="left" w:leader="none"/>
        </w:tabs>
        <w:spacing w:line="276" w:lineRule="auto" w:before="0" w:after="0"/>
        <w:ind w:left="2160" w:right="1066" w:hanging="361"/>
        <w:jc w:val="left"/>
        <w:rPr>
          <w:sz w:val="20"/>
        </w:rPr>
      </w:pPr>
      <w:r>
        <w:rPr>
          <w:color w:val="231F20"/>
          <w:sz w:val="20"/>
        </w:rPr>
        <w:t>The</w:t>
      </w:r>
      <w:r>
        <w:rPr>
          <w:color w:val="231F20"/>
          <w:spacing w:val="-3"/>
          <w:sz w:val="20"/>
        </w:rPr>
        <w:t> </w:t>
      </w:r>
      <w:r>
        <w:rPr>
          <w:color w:val="231F20"/>
          <w:sz w:val="20"/>
        </w:rPr>
        <w:t>institution</w:t>
      </w:r>
      <w:r>
        <w:rPr>
          <w:color w:val="231F20"/>
          <w:spacing w:val="-3"/>
          <w:sz w:val="20"/>
        </w:rPr>
        <w:t> </w:t>
      </w:r>
      <w:r>
        <w:rPr>
          <w:color w:val="231F20"/>
          <w:sz w:val="20"/>
        </w:rPr>
        <w:t>will</w:t>
      </w:r>
      <w:r>
        <w:rPr>
          <w:color w:val="231F20"/>
          <w:spacing w:val="-3"/>
          <w:sz w:val="20"/>
        </w:rPr>
        <w:t> </w:t>
      </w:r>
      <w:r>
        <w:rPr>
          <w:color w:val="231F20"/>
          <w:sz w:val="20"/>
        </w:rPr>
        <w:t>submit</w:t>
      </w:r>
      <w:r>
        <w:rPr>
          <w:color w:val="231F20"/>
          <w:spacing w:val="-3"/>
          <w:sz w:val="20"/>
        </w:rPr>
        <w:t> </w:t>
      </w:r>
      <w:r>
        <w:rPr>
          <w:color w:val="231F20"/>
          <w:sz w:val="20"/>
        </w:rPr>
        <w:t>an</w:t>
      </w:r>
      <w:r>
        <w:rPr>
          <w:color w:val="231F20"/>
          <w:spacing w:val="-3"/>
          <w:sz w:val="20"/>
        </w:rPr>
        <w:t> </w:t>
      </w:r>
      <w:r>
        <w:rPr>
          <w:color w:val="231F20"/>
          <w:sz w:val="20"/>
        </w:rPr>
        <w:t>original</w:t>
      </w:r>
      <w:r>
        <w:rPr>
          <w:color w:val="231F20"/>
          <w:spacing w:val="-3"/>
          <w:sz w:val="20"/>
        </w:rPr>
        <w:t> </w:t>
      </w:r>
      <w:r>
        <w:rPr>
          <w:color w:val="231F20"/>
          <w:sz w:val="20"/>
        </w:rPr>
        <w:t>copy</w:t>
      </w:r>
      <w:r>
        <w:rPr>
          <w:color w:val="231F20"/>
          <w:spacing w:val="-3"/>
          <w:sz w:val="20"/>
        </w:rPr>
        <w:t> </w:t>
      </w:r>
      <w:r>
        <w:rPr>
          <w:color w:val="231F20"/>
          <w:sz w:val="20"/>
        </w:rPr>
        <w:t>that</w:t>
      </w:r>
      <w:r>
        <w:rPr>
          <w:color w:val="231F20"/>
          <w:spacing w:val="-3"/>
          <w:sz w:val="20"/>
        </w:rPr>
        <w:t> </w:t>
      </w:r>
      <w:r>
        <w:rPr>
          <w:color w:val="231F20"/>
          <w:sz w:val="20"/>
        </w:rPr>
        <w:t>has</w:t>
      </w:r>
      <w:r>
        <w:rPr>
          <w:color w:val="231F20"/>
          <w:spacing w:val="-3"/>
          <w:sz w:val="20"/>
        </w:rPr>
        <w:t> </w:t>
      </w:r>
      <w:r>
        <w:rPr>
          <w:color w:val="231F20"/>
          <w:sz w:val="20"/>
        </w:rPr>
        <w:t>been</w:t>
      </w:r>
      <w:r>
        <w:rPr>
          <w:color w:val="231F20"/>
          <w:spacing w:val="-3"/>
          <w:sz w:val="20"/>
        </w:rPr>
        <w:t> </w:t>
      </w:r>
      <w:r>
        <w:rPr>
          <w:color w:val="231F20"/>
          <w:sz w:val="20"/>
        </w:rPr>
        <w:t>approved</w:t>
      </w:r>
      <w:r>
        <w:rPr>
          <w:color w:val="231F20"/>
          <w:spacing w:val="-4"/>
          <w:sz w:val="20"/>
        </w:rPr>
        <w:t> </w:t>
      </w:r>
      <w:r>
        <w:rPr>
          <w:color w:val="231F20"/>
          <w:sz w:val="20"/>
        </w:rPr>
        <w:t>by</w:t>
      </w:r>
      <w:r>
        <w:rPr>
          <w:color w:val="231F20"/>
          <w:spacing w:val="-3"/>
          <w:sz w:val="20"/>
        </w:rPr>
        <w:t> </w:t>
      </w:r>
      <w:r>
        <w:rPr>
          <w:color w:val="231F20"/>
          <w:sz w:val="20"/>
        </w:rPr>
        <w:t>the</w:t>
      </w:r>
      <w:r>
        <w:rPr>
          <w:color w:val="231F20"/>
          <w:spacing w:val="-3"/>
          <w:sz w:val="20"/>
        </w:rPr>
        <w:t> </w:t>
      </w:r>
      <w:r>
        <w:rPr>
          <w:color w:val="231F20"/>
          <w:sz w:val="20"/>
        </w:rPr>
        <w:t>Institution’s</w:t>
      </w:r>
      <w:r>
        <w:rPr>
          <w:color w:val="231F20"/>
          <w:spacing w:val="-3"/>
          <w:sz w:val="20"/>
        </w:rPr>
        <w:t> </w:t>
      </w:r>
      <w:r>
        <w:rPr>
          <w:color w:val="231F20"/>
          <w:sz w:val="20"/>
        </w:rPr>
        <w:t>regents</w:t>
      </w:r>
      <w:r>
        <w:rPr>
          <w:color w:val="231F20"/>
          <w:spacing w:val="-3"/>
          <w:sz w:val="20"/>
        </w:rPr>
        <w:t> </w:t>
      </w:r>
      <w:r>
        <w:rPr>
          <w:color w:val="231F20"/>
          <w:sz w:val="20"/>
        </w:rPr>
        <w:t>to the HED’s office by May 1st.</w:t>
      </w:r>
    </w:p>
    <w:p>
      <w:pPr>
        <w:pStyle w:val="ListParagraph"/>
        <w:numPr>
          <w:ilvl w:val="0"/>
          <w:numId w:val="7"/>
        </w:numPr>
        <w:tabs>
          <w:tab w:pos="2161" w:val="left" w:leader="none"/>
        </w:tabs>
        <w:spacing w:line="240" w:lineRule="auto" w:before="0" w:after="0"/>
        <w:ind w:left="2160" w:right="0" w:hanging="361"/>
        <w:jc w:val="left"/>
        <w:rPr>
          <w:sz w:val="20"/>
        </w:rPr>
      </w:pPr>
      <w:r>
        <w:rPr>
          <w:color w:val="231F20"/>
          <w:sz w:val="20"/>
        </w:rPr>
        <w:t>The</w:t>
      </w:r>
      <w:r>
        <w:rPr>
          <w:color w:val="231F20"/>
          <w:spacing w:val="-3"/>
          <w:sz w:val="20"/>
        </w:rPr>
        <w:t> </w:t>
      </w:r>
      <w:r>
        <w:rPr>
          <w:color w:val="231F20"/>
          <w:sz w:val="20"/>
        </w:rPr>
        <w:t>HED</w:t>
      </w:r>
      <w:r>
        <w:rPr>
          <w:color w:val="231F20"/>
          <w:spacing w:val="-2"/>
          <w:sz w:val="20"/>
        </w:rPr>
        <w:t> </w:t>
      </w:r>
      <w:r>
        <w:rPr>
          <w:color w:val="231F20"/>
          <w:sz w:val="20"/>
        </w:rPr>
        <w:t>meets</w:t>
      </w:r>
      <w:r>
        <w:rPr>
          <w:color w:val="231F20"/>
          <w:spacing w:val="-2"/>
          <w:sz w:val="20"/>
        </w:rPr>
        <w:t> </w:t>
      </w:r>
      <w:r>
        <w:rPr>
          <w:color w:val="231F20"/>
          <w:sz w:val="20"/>
        </w:rPr>
        <w:t>in</w:t>
      </w:r>
      <w:r>
        <w:rPr>
          <w:color w:val="231F20"/>
          <w:spacing w:val="-3"/>
          <w:sz w:val="20"/>
        </w:rPr>
        <w:t> </w:t>
      </w:r>
      <w:r>
        <w:rPr>
          <w:color w:val="231F20"/>
          <w:sz w:val="20"/>
        </w:rPr>
        <w:t>June</w:t>
      </w:r>
      <w:r>
        <w:rPr>
          <w:color w:val="231F20"/>
          <w:spacing w:val="-2"/>
          <w:sz w:val="20"/>
        </w:rPr>
        <w:t> </w:t>
      </w:r>
      <w:r>
        <w:rPr>
          <w:color w:val="231F20"/>
          <w:sz w:val="20"/>
        </w:rPr>
        <w:t>and</w:t>
      </w:r>
      <w:r>
        <w:rPr>
          <w:color w:val="231F20"/>
          <w:spacing w:val="-2"/>
          <w:sz w:val="20"/>
        </w:rPr>
        <w:t> </w:t>
      </w:r>
      <w:r>
        <w:rPr>
          <w:color w:val="231F20"/>
          <w:sz w:val="20"/>
        </w:rPr>
        <w:t>acts</w:t>
      </w:r>
      <w:r>
        <w:rPr>
          <w:color w:val="231F20"/>
          <w:spacing w:val="-1"/>
          <w:sz w:val="20"/>
        </w:rPr>
        <w:t> </w:t>
      </w:r>
      <w:r>
        <w:rPr>
          <w:color w:val="231F20"/>
          <w:sz w:val="20"/>
        </w:rPr>
        <w:t>on</w:t>
      </w:r>
      <w:r>
        <w:rPr>
          <w:color w:val="231F20"/>
          <w:spacing w:val="-3"/>
          <w:sz w:val="20"/>
        </w:rPr>
        <w:t> </w:t>
      </w:r>
      <w:r>
        <w:rPr>
          <w:color w:val="231F20"/>
          <w:sz w:val="20"/>
        </w:rPr>
        <w:t>approval</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budgets.</w:t>
      </w:r>
    </w:p>
    <w:p>
      <w:pPr>
        <w:pStyle w:val="ListParagraph"/>
        <w:numPr>
          <w:ilvl w:val="0"/>
          <w:numId w:val="7"/>
        </w:numPr>
        <w:tabs>
          <w:tab w:pos="2161" w:val="left" w:leader="none"/>
        </w:tabs>
        <w:spacing w:line="276" w:lineRule="auto" w:before="34" w:after="0"/>
        <w:ind w:left="2160" w:right="997" w:hanging="360"/>
        <w:jc w:val="left"/>
        <w:rPr>
          <w:sz w:val="20"/>
        </w:rPr>
      </w:pPr>
      <w:r>
        <w:rPr>
          <w:color w:val="231F20"/>
          <w:sz w:val="20"/>
        </w:rPr>
        <w:t>The</w:t>
      </w:r>
      <w:r>
        <w:rPr>
          <w:color w:val="231F20"/>
          <w:spacing w:val="-3"/>
          <w:sz w:val="20"/>
        </w:rPr>
        <w:t> </w:t>
      </w:r>
      <w:r>
        <w:rPr>
          <w:color w:val="231F20"/>
          <w:sz w:val="20"/>
        </w:rPr>
        <w:t>budgets,</w:t>
      </w:r>
      <w:r>
        <w:rPr>
          <w:color w:val="231F20"/>
          <w:spacing w:val="-4"/>
          <w:sz w:val="20"/>
        </w:rPr>
        <w:t> </w:t>
      </w:r>
      <w:r>
        <w:rPr>
          <w:color w:val="231F20"/>
          <w:sz w:val="20"/>
        </w:rPr>
        <w:t>as</w:t>
      </w:r>
      <w:r>
        <w:rPr>
          <w:color w:val="231F20"/>
          <w:spacing w:val="-3"/>
          <w:sz w:val="20"/>
        </w:rPr>
        <w:t> </w:t>
      </w:r>
      <w:r>
        <w:rPr>
          <w:color w:val="231F20"/>
          <w:sz w:val="20"/>
        </w:rPr>
        <w:t>approved</w:t>
      </w:r>
      <w:r>
        <w:rPr>
          <w:color w:val="231F20"/>
          <w:spacing w:val="-3"/>
          <w:sz w:val="20"/>
        </w:rPr>
        <w:t> </w:t>
      </w:r>
      <w:r>
        <w:rPr>
          <w:color w:val="231F20"/>
          <w:sz w:val="20"/>
        </w:rPr>
        <w:t>by</w:t>
      </w:r>
      <w:r>
        <w:rPr>
          <w:color w:val="231F20"/>
          <w:spacing w:val="-3"/>
          <w:sz w:val="20"/>
        </w:rPr>
        <w:t> </w:t>
      </w:r>
      <w:r>
        <w:rPr>
          <w:color w:val="231F20"/>
          <w:sz w:val="20"/>
        </w:rPr>
        <w:t>the</w:t>
      </w:r>
      <w:r>
        <w:rPr>
          <w:color w:val="231F20"/>
          <w:spacing w:val="-3"/>
          <w:sz w:val="20"/>
        </w:rPr>
        <w:t> </w:t>
      </w:r>
      <w:r>
        <w:rPr>
          <w:color w:val="231F20"/>
          <w:sz w:val="20"/>
        </w:rPr>
        <w:t>HED,</w:t>
      </w:r>
      <w:r>
        <w:rPr>
          <w:color w:val="231F20"/>
          <w:spacing w:val="-3"/>
          <w:sz w:val="20"/>
        </w:rPr>
        <w:t> </w:t>
      </w:r>
      <w:r>
        <w:rPr>
          <w:color w:val="231F20"/>
          <w:sz w:val="20"/>
        </w:rPr>
        <w:t>are</w:t>
      </w:r>
      <w:r>
        <w:rPr>
          <w:color w:val="231F20"/>
          <w:spacing w:val="-3"/>
          <w:sz w:val="20"/>
        </w:rPr>
        <w:t> </w:t>
      </w:r>
      <w:r>
        <w:rPr>
          <w:color w:val="231F20"/>
          <w:sz w:val="20"/>
        </w:rPr>
        <w:t>transmitted</w:t>
      </w:r>
      <w:r>
        <w:rPr>
          <w:color w:val="231F20"/>
          <w:spacing w:val="-3"/>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z w:val="20"/>
        </w:rPr>
        <w:t>Budget</w:t>
      </w:r>
      <w:r>
        <w:rPr>
          <w:color w:val="231F20"/>
          <w:spacing w:val="-3"/>
          <w:sz w:val="20"/>
        </w:rPr>
        <w:t> </w:t>
      </w:r>
      <w:r>
        <w:rPr>
          <w:color w:val="231F20"/>
          <w:sz w:val="20"/>
        </w:rPr>
        <w:t>Division</w:t>
      </w:r>
      <w:r>
        <w:rPr>
          <w:color w:val="231F20"/>
          <w:spacing w:val="-3"/>
          <w:sz w:val="20"/>
        </w:rPr>
        <w:t> </w:t>
      </w:r>
      <w:r>
        <w:rPr>
          <w:color w:val="231F20"/>
          <w:sz w:val="20"/>
        </w:rPr>
        <w:t>of</w:t>
      </w:r>
      <w:r>
        <w:rPr>
          <w:color w:val="231F20"/>
          <w:spacing w:val="-4"/>
          <w:sz w:val="20"/>
        </w:rPr>
        <w:t> </w:t>
      </w:r>
      <w:r>
        <w:rPr>
          <w:color w:val="231F20"/>
          <w:sz w:val="20"/>
        </w:rPr>
        <w:t>the</w:t>
      </w:r>
      <w:r>
        <w:rPr>
          <w:color w:val="231F20"/>
          <w:spacing w:val="-3"/>
          <w:sz w:val="20"/>
        </w:rPr>
        <w:t> </w:t>
      </w:r>
      <w:r>
        <w:rPr>
          <w:color w:val="231F20"/>
          <w:sz w:val="20"/>
        </w:rPr>
        <w:t>Department of Finance and Administration for official approval prior to July 1.</w:t>
      </w:r>
    </w:p>
    <w:p>
      <w:pPr>
        <w:pStyle w:val="BodyText"/>
        <w:spacing w:before="1"/>
        <w:rPr>
          <w:sz w:val="23"/>
        </w:rPr>
      </w:pPr>
    </w:p>
    <w:p>
      <w:pPr>
        <w:pStyle w:val="BodyText"/>
        <w:spacing w:line="276" w:lineRule="auto"/>
        <w:ind w:left="1440" w:right="1048"/>
      </w:pPr>
      <w:r>
        <w:rPr>
          <w:color w:val="231F20"/>
        </w:rPr>
        <w:t>Unexpended</w:t>
      </w:r>
      <w:r>
        <w:rPr>
          <w:color w:val="231F20"/>
          <w:spacing w:val="-4"/>
        </w:rPr>
        <w:t> </w:t>
      </w:r>
      <w:r>
        <w:rPr>
          <w:color w:val="231F20"/>
        </w:rPr>
        <w:t>state</w:t>
      </w:r>
      <w:r>
        <w:rPr>
          <w:color w:val="231F20"/>
          <w:spacing w:val="-3"/>
        </w:rPr>
        <w:t> </w:t>
      </w:r>
      <w:r>
        <w:rPr>
          <w:color w:val="231F20"/>
        </w:rPr>
        <w:t>appropriations</w:t>
      </w:r>
      <w:r>
        <w:rPr>
          <w:color w:val="231F20"/>
          <w:spacing w:val="-3"/>
        </w:rPr>
        <w:t> </w:t>
      </w:r>
      <w:r>
        <w:rPr>
          <w:color w:val="231F20"/>
        </w:rPr>
        <w:t>do</w:t>
      </w:r>
      <w:r>
        <w:rPr>
          <w:color w:val="231F20"/>
          <w:spacing w:val="-3"/>
        </w:rPr>
        <w:t> </w:t>
      </w:r>
      <w:r>
        <w:rPr>
          <w:color w:val="231F20"/>
        </w:rPr>
        <w:t>not</w:t>
      </w:r>
      <w:r>
        <w:rPr>
          <w:color w:val="231F20"/>
          <w:spacing w:val="-3"/>
        </w:rPr>
        <w:t> </w:t>
      </w:r>
      <w:r>
        <w:rPr>
          <w:color w:val="231F20"/>
        </w:rPr>
        <w:t>revert</w:t>
      </w:r>
      <w:r>
        <w:rPr>
          <w:color w:val="231F20"/>
          <w:spacing w:val="-3"/>
        </w:rPr>
        <w:t> </w:t>
      </w:r>
      <w:r>
        <w:rPr>
          <w:color w:val="231F20"/>
        </w:rPr>
        <w:t>to</w:t>
      </w:r>
      <w:r>
        <w:rPr>
          <w:color w:val="231F20"/>
          <w:spacing w:val="-3"/>
        </w:rPr>
        <w:t> </w:t>
      </w:r>
      <w:r>
        <w:rPr>
          <w:color w:val="231F20"/>
        </w:rPr>
        <w:t>the State</w:t>
      </w:r>
      <w:r>
        <w:rPr>
          <w:color w:val="231F20"/>
          <w:spacing w:val="-3"/>
        </w:rPr>
        <w:t> </w:t>
      </w:r>
      <w:r>
        <w:rPr>
          <w:color w:val="231F20"/>
        </w:rPr>
        <w:t>of</w:t>
      </w:r>
      <w:r>
        <w:rPr>
          <w:color w:val="231F20"/>
          <w:spacing w:val="-3"/>
        </w:rPr>
        <w:t> </w:t>
      </w:r>
      <w:r>
        <w:rPr>
          <w:color w:val="231F20"/>
        </w:rPr>
        <w:t>New</w:t>
      </w:r>
      <w:r>
        <w:rPr>
          <w:color w:val="231F20"/>
          <w:spacing w:val="-4"/>
        </w:rPr>
        <w:t> </w:t>
      </w:r>
      <w:r>
        <w:rPr>
          <w:color w:val="231F20"/>
        </w:rPr>
        <w:t>Mexico</w:t>
      </w:r>
      <w:r>
        <w:rPr>
          <w:color w:val="231F20"/>
          <w:spacing w:val="-3"/>
        </w:rPr>
        <w:t> </w:t>
      </w:r>
      <w:r>
        <w:rPr>
          <w:color w:val="231F20"/>
        </w:rPr>
        <w:t>at</w:t>
      </w:r>
      <w:r>
        <w:rPr>
          <w:color w:val="231F20"/>
          <w:spacing w:val="-3"/>
        </w:rPr>
        <w:t> </w:t>
      </w:r>
      <w:r>
        <w:rPr>
          <w:color w:val="231F20"/>
        </w:rPr>
        <w:t>the</w:t>
      </w:r>
      <w:r>
        <w:rPr>
          <w:color w:val="231F20"/>
          <w:spacing w:val="-4"/>
        </w:rPr>
        <w:t> </w:t>
      </w:r>
      <w:r>
        <w:rPr>
          <w:color w:val="231F20"/>
        </w:rPr>
        <w:t>end</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fiscal</w:t>
      </w:r>
      <w:r>
        <w:rPr>
          <w:color w:val="231F20"/>
          <w:spacing w:val="-3"/>
        </w:rPr>
        <w:t> </w:t>
      </w:r>
      <w:r>
        <w:rPr>
          <w:color w:val="231F20"/>
        </w:rPr>
        <w:t>year, and are available for use by the Institute in subsequent years, per the General Appropriation Act.</w:t>
      </w:r>
    </w:p>
    <w:p>
      <w:pPr>
        <w:pStyle w:val="BodyText"/>
        <w:spacing w:before="11"/>
        <w:rPr>
          <w:sz w:val="22"/>
        </w:rPr>
      </w:pPr>
    </w:p>
    <w:p>
      <w:pPr>
        <w:pStyle w:val="BodyText"/>
        <w:spacing w:line="276" w:lineRule="auto"/>
        <w:ind w:left="1440" w:right="926"/>
      </w:pPr>
      <w:r>
        <w:rPr>
          <w:color w:val="231F20"/>
        </w:rPr>
        <w:t>Under Title 5 of the New Mexico Administrative Code, Chapter 3, part 4, paragraph 10 – </w:t>
      </w:r>
      <w:r>
        <w:rPr>
          <w:i/>
          <w:color w:val="231F20"/>
        </w:rPr>
        <w:t>Items of</w:t>
      </w:r>
      <w:r>
        <w:rPr>
          <w:i/>
          <w:color w:val="231F20"/>
        </w:rPr>
        <w:t> Budgetary Control </w:t>
      </w:r>
      <w:r>
        <w:rPr>
          <w:color w:val="231F20"/>
        </w:rPr>
        <w:t>– total expenditures or transfers may not exceed the amount shown in the approved budget.</w:t>
      </w:r>
      <w:r>
        <w:rPr>
          <w:color w:val="231F20"/>
          <w:spacing w:val="-3"/>
        </w:rPr>
        <w:t> </w:t>
      </w:r>
      <w:r>
        <w:rPr>
          <w:color w:val="231F20"/>
        </w:rPr>
        <w:t>Expenditures</w:t>
      </w:r>
      <w:r>
        <w:rPr>
          <w:color w:val="231F20"/>
          <w:spacing w:val="-3"/>
        </w:rPr>
        <w:t> </w:t>
      </w:r>
      <w:r>
        <w:rPr>
          <w:color w:val="231F20"/>
        </w:rPr>
        <w:t>used</w:t>
      </w:r>
      <w:r>
        <w:rPr>
          <w:color w:val="231F20"/>
          <w:spacing w:val="-4"/>
        </w:rPr>
        <w:t> </w:t>
      </w:r>
      <w:r>
        <w:rPr>
          <w:color w:val="231F20"/>
        </w:rPr>
        <w:t>as</w:t>
      </w:r>
      <w:r>
        <w:rPr>
          <w:color w:val="231F20"/>
          <w:spacing w:val="-3"/>
        </w:rPr>
        <w:t> </w:t>
      </w:r>
      <w:r>
        <w:rPr>
          <w:color w:val="231F20"/>
        </w:rPr>
        <w:t>the</w:t>
      </w:r>
      <w:r>
        <w:rPr>
          <w:color w:val="231F20"/>
          <w:spacing w:val="-3"/>
        </w:rPr>
        <w:t> </w:t>
      </w:r>
      <w:r>
        <w:rPr>
          <w:color w:val="231F20"/>
        </w:rPr>
        <w:t>items</w:t>
      </w:r>
      <w:r>
        <w:rPr>
          <w:color w:val="231F20"/>
          <w:spacing w:val="-4"/>
        </w:rPr>
        <w:t> </w:t>
      </w:r>
      <w:r>
        <w:rPr>
          <w:color w:val="231F20"/>
        </w:rPr>
        <w:t>of</w:t>
      </w:r>
      <w:r>
        <w:rPr>
          <w:color w:val="231F20"/>
          <w:spacing w:val="-3"/>
        </w:rPr>
        <w:t> </w:t>
      </w:r>
      <w:r>
        <w:rPr>
          <w:color w:val="231F20"/>
        </w:rPr>
        <w:t>budgetary</w:t>
      </w:r>
      <w:r>
        <w:rPr>
          <w:color w:val="231F20"/>
          <w:spacing w:val="-4"/>
        </w:rPr>
        <w:t> </w:t>
      </w:r>
      <w:r>
        <w:rPr>
          <w:color w:val="231F20"/>
        </w:rPr>
        <w:t>basis</w:t>
      </w:r>
      <w:r>
        <w:rPr>
          <w:color w:val="231F20"/>
          <w:spacing w:val="-2"/>
        </w:rPr>
        <w:t> </w:t>
      </w:r>
      <w:r>
        <w:rPr>
          <w:color w:val="231F20"/>
        </w:rPr>
        <w:t>are</w:t>
      </w:r>
      <w:r>
        <w:rPr>
          <w:color w:val="231F20"/>
          <w:spacing w:val="-3"/>
        </w:rPr>
        <w:t> </w:t>
      </w:r>
      <w:r>
        <w:rPr>
          <w:color w:val="231F20"/>
        </w:rPr>
        <w:t>as</w:t>
      </w:r>
      <w:r>
        <w:rPr>
          <w:color w:val="231F20"/>
          <w:spacing w:val="-3"/>
        </w:rPr>
        <w:t> </w:t>
      </w:r>
      <w:r>
        <w:rPr>
          <w:color w:val="231F20"/>
        </w:rPr>
        <w:t>follows:</w:t>
      </w:r>
      <w:r>
        <w:rPr>
          <w:color w:val="231F20"/>
          <w:spacing w:val="-3"/>
        </w:rPr>
        <w:t> </w:t>
      </w:r>
      <w:r>
        <w:rPr>
          <w:color w:val="231F20"/>
        </w:rPr>
        <w:t>(1)</w:t>
      </w:r>
      <w:r>
        <w:rPr>
          <w:color w:val="231F20"/>
          <w:spacing w:val="-3"/>
        </w:rPr>
        <w:t> </w:t>
      </w:r>
      <w:r>
        <w:rPr>
          <w:color w:val="231F20"/>
        </w:rPr>
        <w:t>unrestricted</w:t>
      </w:r>
      <w:r>
        <w:rPr>
          <w:color w:val="231F20"/>
          <w:spacing w:val="-3"/>
        </w:rPr>
        <w:t> </w:t>
      </w:r>
      <w:r>
        <w:rPr>
          <w:color w:val="231F20"/>
        </w:rPr>
        <w:t>and</w:t>
      </w:r>
      <w:r>
        <w:rPr>
          <w:color w:val="231F20"/>
          <w:spacing w:val="-4"/>
        </w:rPr>
        <w:t> </w:t>
      </w:r>
      <w:r>
        <w:rPr>
          <w:color w:val="231F20"/>
        </w:rPr>
        <w:t>restricted expenditures are considered separately; (2) total expenditures in instruction and general; (3) total expenditures of each budget function in current funds other than instruction and general; (4) within the plant funds budget, the items of budgetary control are major projects, library bonds, equipment bonds, minor capital outlay, renewals and replacements, and debt service; and (5) each individual item of transfer between funds and/or functions.</w:t>
      </w:r>
    </w:p>
    <w:p>
      <w:pPr>
        <w:pStyle w:val="BodyText"/>
        <w:spacing w:before="10"/>
        <w:rPr>
          <w:sz w:val="22"/>
        </w:rPr>
      </w:pPr>
    </w:p>
    <w:p>
      <w:pPr>
        <w:pStyle w:val="BodyText"/>
        <w:spacing w:line="276" w:lineRule="auto"/>
        <w:ind w:left="1440" w:right="891"/>
      </w:pPr>
      <w:r>
        <w:rPr>
          <w:color w:val="231F20"/>
        </w:rPr>
        <w:t>Budget</w:t>
      </w:r>
      <w:r>
        <w:rPr>
          <w:color w:val="231F20"/>
          <w:spacing w:val="-3"/>
        </w:rPr>
        <w:t> </w:t>
      </w:r>
      <w:r>
        <w:rPr>
          <w:color w:val="231F20"/>
        </w:rPr>
        <w:t>revisions</w:t>
      </w:r>
      <w:r>
        <w:rPr>
          <w:color w:val="231F20"/>
          <w:spacing w:val="-3"/>
        </w:rPr>
        <w:t> </w:t>
      </w:r>
      <w:r>
        <w:rPr>
          <w:color w:val="231F20"/>
        </w:rPr>
        <w:t>must</w:t>
      </w:r>
      <w:r>
        <w:rPr>
          <w:color w:val="231F20"/>
          <w:spacing w:val="-3"/>
        </w:rPr>
        <w:t> </w:t>
      </w:r>
      <w:r>
        <w:rPr>
          <w:color w:val="231F20"/>
        </w:rPr>
        <w:t>be</w:t>
      </w:r>
      <w:r>
        <w:rPr>
          <w:color w:val="231F20"/>
          <w:spacing w:val="-4"/>
        </w:rPr>
        <w:t> </w:t>
      </w:r>
      <w:r>
        <w:rPr>
          <w:color w:val="231F20"/>
        </w:rPr>
        <w:t>approved</w:t>
      </w:r>
      <w:r>
        <w:rPr>
          <w:color w:val="231F20"/>
          <w:spacing w:val="-3"/>
        </w:rPr>
        <w:t> </w:t>
      </w:r>
      <w:r>
        <w:rPr>
          <w:color w:val="231F20"/>
        </w:rPr>
        <w:t>by</w:t>
      </w:r>
      <w:r>
        <w:rPr>
          <w:color w:val="231F20"/>
          <w:spacing w:val="-2"/>
        </w:rPr>
        <w:t> </w:t>
      </w:r>
      <w:r>
        <w:rPr>
          <w:color w:val="231F20"/>
        </w:rPr>
        <w:t>the</w:t>
      </w:r>
      <w:r>
        <w:rPr>
          <w:color w:val="231F20"/>
          <w:spacing w:val="-3"/>
        </w:rPr>
        <w:t> </w:t>
      </w:r>
      <w:r>
        <w:rPr>
          <w:color w:val="231F20"/>
        </w:rPr>
        <w:t>executive</w:t>
      </w:r>
      <w:r>
        <w:rPr>
          <w:color w:val="231F20"/>
          <w:spacing w:val="-4"/>
        </w:rPr>
        <w:t> </w:t>
      </w:r>
      <w:r>
        <w:rPr>
          <w:color w:val="231F20"/>
        </w:rPr>
        <w:t>secretary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Department</w:t>
      </w:r>
      <w:r>
        <w:rPr>
          <w:color w:val="231F20"/>
          <w:spacing w:val="-3"/>
        </w:rPr>
        <w:t> </w:t>
      </w:r>
      <w:r>
        <w:rPr>
          <w:color w:val="231F20"/>
        </w:rPr>
        <w:t>of</w:t>
      </w:r>
      <w:r>
        <w:rPr>
          <w:color w:val="231F20"/>
          <w:spacing w:val="-3"/>
        </w:rPr>
        <w:t> </w:t>
      </w:r>
      <w:r>
        <w:rPr>
          <w:color w:val="231F20"/>
        </w:rPr>
        <w:t>Higher Education and then by the Budget Division of the Department of Finance and Administration.</w:t>
      </w:r>
    </w:p>
    <w:p>
      <w:pPr>
        <w:pStyle w:val="BodyText"/>
        <w:spacing w:before="1"/>
        <w:rPr>
          <w:sz w:val="23"/>
        </w:rPr>
      </w:pPr>
    </w:p>
    <w:p>
      <w:pPr>
        <w:pStyle w:val="Heading4"/>
      </w:pPr>
      <w:r>
        <w:rPr>
          <w:color w:val="231F20"/>
        </w:rPr>
        <w:t>Cash</w:t>
      </w:r>
      <w:r>
        <w:rPr>
          <w:color w:val="231F20"/>
          <w:spacing w:val="-5"/>
        </w:rPr>
        <w:t> </w:t>
      </w:r>
      <w:r>
        <w:rPr>
          <w:color w:val="231F20"/>
        </w:rPr>
        <w:t>and</w:t>
      </w:r>
      <w:r>
        <w:rPr>
          <w:color w:val="231F20"/>
          <w:spacing w:val="-4"/>
        </w:rPr>
        <w:t> </w:t>
      </w:r>
      <w:r>
        <w:rPr>
          <w:color w:val="231F20"/>
        </w:rPr>
        <w:t>Cash</w:t>
      </w:r>
      <w:r>
        <w:rPr>
          <w:color w:val="231F20"/>
          <w:spacing w:val="-4"/>
        </w:rPr>
        <w:t> </w:t>
      </w:r>
      <w:r>
        <w:rPr>
          <w:color w:val="231F20"/>
          <w:spacing w:val="-2"/>
        </w:rPr>
        <w:t>Equivalents</w:t>
      </w:r>
    </w:p>
    <w:p>
      <w:pPr>
        <w:pStyle w:val="BodyText"/>
        <w:spacing w:line="276" w:lineRule="auto" w:before="34"/>
        <w:ind w:left="1440" w:right="913"/>
        <w:rPr>
          <w:i/>
        </w:rPr>
      </w:pPr>
      <w:r>
        <w:rPr>
          <w:color w:val="231F20"/>
        </w:rPr>
        <w:t>Cash and cash equivalents consist of cash on hand and current investments, which are defined as investments that are readily convertible to cash or reach their original maturity date within three months. Cash restricted by grants and collected for auxiliary projects is included in cash and cash equivalents. The Institute accounts for its investments at fair value in accordance with GASB Statement No. 79, </w:t>
      </w:r>
      <w:r>
        <w:rPr>
          <w:i/>
          <w:color w:val="231F20"/>
        </w:rPr>
        <w:t>Certain</w:t>
      </w:r>
      <w:r>
        <w:rPr>
          <w:i/>
          <w:color w:val="231F20"/>
          <w:spacing w:val="-3"/>
        </w:rPr>
        <w:t> </w:t>
      </w:r>
      <w:r>
        <w:rPr>
          <w:i/>
          <w:color w:val="231F20"/>
        </w:rPr>
        <w:t>External</w:t>
      </w:r>
      <w:r>
        <w:rPr>
          <w:i/>
          <w:color w:val="231F20"/>
          <w:spacing w:val="-3"/>
        </w:rPr>
        <w:t> </w:t>
      </w:r>
      <w:r>
        <w:rPr>
          <w:i/>
          <w:color w:val="231F20"/>
        </w:rPr>
        <w:t>Investment</w:t>
      </w:r>
      <w:r>
        <w:rPr>
          <w:i/>
          <w:color w:val="231F20"/>
          <w:spacing w:val="-3"/>
        </w:rPr>
        <w:t> </w:t>
      </w:r>
      <w:r>
        <w:rPr>
          <w:i/>
          <w:color w:val="231F20"/>
        </w:rPr>
        <w:t>Pools</w:t>
      </w:r>
      <w:r>
        <w:rPr>
          <w:i/>
          <w:color w:val="231F20"/>
          <w:spacing w:val="-3"/>
        </w:rPr>
        <w:t> </w:t>
      </w:r>
      <w:r>
        <w:rPr>
          <w:i/>
          <w:color w:val="231F20"/>
        </w:rPr>
        <w:t>and</w:t>
      </w:r>
      <w:r>
        <w:rPr>
          <w:i/>
          <w:color w:val="231F20"/>
          <w:spacing w:val="-4"/>
        </w:rPr>
        <w:t> </w:t>
      </w:r>
      <w:r>
        <w:rPr>
          <w:i/>
          <w:color w:val="231F20"/>
        </w:rPr>
        <w:t>Pool</w:t>
      </w:r>
      <w:r>
        <w:rPr>
          <w:i/>
          <w:color w:val="231F20"/>
          <w:spacing w:val="-3"/>
        </w:rPr>
        <w:t> </w:t>
      </w:r>
      <w:r>
        <w:rPr>
          <w:i/>
          <w:color w:val="231F20"/>
        </w:rPr>
        <w:t>Participants</w:t>
      </w:r>
      <w:r>
        <w:rPr>
          <w:i/>
          <w:color w:val="231F20"/>
          <w:spacing w:val="-1"/>
        </w:rPr>
        <w:t> </w:t>
      </w:r>
      <w:r>
        <w:rPr>
          <w:color w:val="231F20"/>
        </w:rPr>
        <w:t>and</w:t>
      </w:r>
      <w:r>
        <w:rPr>
          <w:color w:val="231F20"/>
          <w:spacing w:val="-3"/>
        </w:rPr>
        <w:t> </w:t>
      </w:r>
      <w:r>
        <w:rPr>
          <w:color w:val="231F20"/>
        </w:rPr>
        <w:t>GASB</w:t>
      </w:r>
      <w:r>
        <w:rPr>
          <w:color w:val="231F20"/>
          <w:spacing w:val="-3"/>
        </w:rPr>
        <w:t> </w:t>
      </w:r>
      <w:r>
        <w:rPr>
          <w:color w:val="231F20"/>
        </w:rPr>
        <w:t>No.</w:t>
      </w:r>
      <w:r>
        <w:rPr>
          <w:color w:val="231F20"/>
          <w:spacing w:val="-3"/>
        </w:rPr>
        <w:t> </w:t>
      </w:r>
      <w:r>
        <w:rPr>
          <w:color w:val="231F20"/>
        </w:rPr>
        <w:t>72,</w:t>
      </w:r>
      <w:r>
        <w:rPr>
          <w:color w:val="231F20"/>
          <w:spacing w:val="-2"/>
        </w:rPr>
        <w:t> </w:t>
      </w:r>
      <w:r>
        <w:rPr>
          <w:i/>
          <w:color w:val="231F20"/>
        </w:rPr>
        <w:t>Fair</w:t>
      </w:r>
      <w:r>
        <w:rPr>
          <w:i/>
          <w:color w:val="231F20"/>
          <w:spacing w:val="-3"/>
        </w:rPr>
        <w:t> </w:t>
      </w:r>
      <w:r>
        <w:rPr>
          <w:i/>
          <w:color w:val="231F20"/>
        </w:rPr>
        <w:t>Value</w:t>
      </w:r>
      <w:r>
        <w:rPr>
          <w:i/>
          <w:color w:val="231F20"/>
          <w:spacing w:val="-3"/>
        </w:rPr>
        <w:t> </w:t>
      </w:r>
      <w:r>
        <w:rPr>
          <w:i/>
          <w:color w:val="231F20"/>
        </w:rPr>
        <w:t>Measurement</w:t>
      </w:r>
      <w:r>
        <w:rPr>
          <w:i/>
          <w:color w:val="231F20"/>
          <w:spacing w:val="-3"/>
        </w:rPr>
        <w:t> </w:t>
      </w:r>
      <w:r>
        <w:rPr>
          <w:i/>
          <w:color w:val="231F20"/>
        </w:rPr>
        <w:t>and</w:t>
      </w:r>
      <w:r>
        <w:rPr>
          <w:i/>
          <w:color w:val="231F20"/>
        </w:rPr>
        <w:t> </w:t>
      </w:r>
      <w:r>
        <w:rPr>
          <w:i/>
          <w:color w:val="231F20"/>
          <w:spacing w:val="-2"/>
        </w:rPr>
        <w:t>Application.</w:t>
      </w:r>
    </w:p>
    <w:p>
      <w:pPr>
        <w:pStyle w:val="BodyText"/>
        <w:spacing w:before="11"/>
        <w:rPr>
          <w:i/>
          <w:sz w:val="22"/>
        </w:rPr>
      </w:pPr>
    </w:p>
    <w:p>
      <w:pPr>
        <w:pStyle w:val="Heading4"/>
      </w:pPr>
      <w:r>
        <w:rPr>
          <w:color w:val="231F20"/>
        </w:rPr>
        <w:t>Restricted</w:t>
      </w:r>
      <w:r>
        <w:rPr>
          <w:color w:val="231F20"/>
          <w:spacing w:val="-6"/>
        </w:rPr>
        <w:t> </w:t>
      </w:r>
      <w:r>
        <w:rPr>
          <w:color w:val="231F20"/>
        </w:rPr>
        <w:t>Cash</w:t>
      </w:r>
      <w:r>
        <w:rPr>
          <w:color w:val="231F20"/>
          <w:spacing w:val="-5"/>
        </w:rPr>
        <w:t> </w:t>
      </w:r>
      <w:r>
        <w:rPr>
          <w:color w:val="231F20"/>
        </w:rPr>
        <w:t>and</w:t>
      </w:r>
      <w:r>
        <w:rPr>
          <w:color w:val="231F20"/>
          <w:spacing w:val="-6"/>
        </w:rPr>
        <w:t> </w:t>
      </w:r>
      <w:r>
        <w:rPr>
          <w:color w:val="231F20"/>
        </w:rPr>
        <w:t>Cash</w:t>
      </w:r>
      <w:r>
        <w:rPr>
          <w:color w:val="231F20"/>
          <w:spacing w:val="-5"/>
        </w:rPr>
        <w:t> </w:t>
      </w:r>
      <w:r>
        <w:rPr>
          <w:color w:val="231F20"/>
          <w:spacing w:val="-2"/>
        </w:rPr>
        <w:t>Equivalents</w:t>
      </w:r>
    </w:p>
    <w:p>
      <w:pPr>
        <w:pStyle w:val="BodyText"/>
        <w:spacing w:line="276" w:lineRule="auto" w:before="34"/>
        <w:ind w:left="1440" w:right="1505"/>
      </w:pPr>
      <w:r>
        <w:rPr>
          <w:color w:val="231F20"/>
        </w:rPr>
        <w:t>This</w:t>
      </w:r>
      <w:r>
        <w:rPr>
          <w:color w:val="231F20"/>
          <w:spacing w:val="-4"/>
        </w:rPr>
        <w:t> </w:t>
      </w:r>
      <w:r>
        <w:rPr>
          <w:color w:val="231F20"/>
        </w:rPr>
        <w:t>cash</w:t>
      </w:r>
      <w:r>
        <w:rPr>
          <w:color w:val="231F20"/>
          <w:spacing w:val="-3"/>
        </w:rPr>
        <w:t> </w:t>
      </w:r>
      <w:r>
        <w:rPr>
          <w:color w:val="231F20"/>
        </w:rPr>
        <w:t>constitutes</w:t>
      </w:r>
      <w:r>
        <w:rPr>
          <w:color w:val="231F20"/>
          <w:spacing w:val="-4"/>
        </w:rPr>
        <w:t> </w:t>
      </w:r>
      <w:r>
        <w:rPr>
          <w:color w:val="231F20"/>
        </w:rPr>
        <w:t>resources</w:t>
      </w:r>
      <w:r>
        <w:rPr>
          <w:color w:val="231F20"/>
          <w:spacing w:val="-3"/>
        </w:rPr>
        <w:t> </w:t>
      </w:r>
      <w:r>
        <w:rPr>
          <w:color w:val="231F20"/>
        </w:rPr>
        <w:t>that</w:t>
      </w:r>
      <w:r>
        <w:rPr>
          <w:color w:val="231F20"/>
          <w:spacing w:val="-3"/>
        </w:rPr>
        <w:t> </w:t>
      </w:r>
      <w:r>
        <w:rPr>
          <w:color w:val="231F20"/>
        </w:rPr>
        <w:t>the</w:t>
      </w:r>
      <w:r>
        <w:rPr>
          <w:color w:val="231F20"/>
          <w:spacing w:val="-4"/>
        </w:rPr>
        <w:t> </w:t>
      </w:r>
      <w:r>
        <w:rPr>
          <w:color w:val="231F20"/>
        </w:rPr>
        <w:t>Institute</w:t>
      </w:r>
      <w:r>
        <w:rPr>
          <w:color w:val="231F20"/>
          <w:spacing w:val="-3"/>
        </w:rPr>
        <w:t> </w:t>
      </w:r>
      <w:r>
        <w:rPr>
          <w:color w:val="231F20"/>
        </w:rPr>
        <w:t>is</w:t>
      </w:r>
      <w:r>
        <w:rPr>
          <w:color w:val="231F20"/>
          <w:spacing w:val="-3"/>
        </w:rPr>
        <w:t> </w:t>
      </w:r>
      <w:r>
        <w:rPr>
          <w:color w:val="231F20"/>
        </w:rPr>
        <w:t>legally</w:t>
      </w:r>
      <w:r>
        <w:rPr>
          <w:color w:val="231F20"/>
          <w:spacing w:val="-3"/>
        </w:rPr>
        <w:t> </w:t>
      </w:r>
      <w:r>
        <w:rPr>
          <w:color w:val="231F20"/>
        </w:rPr>
        <w:t>or</w:t>
      </w:r>
      <w:r>
        <w:rPr>
          <w:color w:val="231F20"/>
          <w:spacing w:val="-2"/>
        </w:rPr>
        <w:t> </w:t>
      </w:r>
      <w:r>
        <w:rPr>
          <w:color w:val="231F20"/>
        </w:rPr>
        <w:t>contractually</w:t>
      </w:r>
      <w:r>
        <w:rPr>
          <w:color w:val="231F20"/>
          <w:spacing w:val="-3"/>
        </w:rPr>
        <w:t> </w:t>
      </w:r>
      <w:r>
        <w:rPr>
          <w:color w:val="231F20"/>
        </w:rPr>
        <w:t>obligated</w:t>
      </w:r>
      <w:r>
        <w:rPr>
          <w:color w:val="231F20"/>
          <w:spacing w:val="-3"/>
        </w:rPr>
        <w:t> </w:t>
      </w:r>
      <w:r>
        <w:rPr>
          <w:color w:val="231F20"/>
        </w:rPr>
        <w:t>to</w:t>
      </w:r>
      <w:r>
        <w:rPr>
          <w:color w:val="231F20"/>
          <w:spacing w:val="-3"/>
        </w:rPr>
        <w:t> </w:t>
      </w:r>
      <w:r>
        <w:rPr>
          <w:color w:val="231F20"/>
        </w:rPr>
        <w:t>spend</w:t>
      </w:r>
      <w:r>
        <w:rPr>
          <w:color w:val="231F20"/>
          <w:spacing w:val="-4"/>
        </w:rPr>
        <w:t> </w:t>
      </w:r>
      <w:r>
        <w:rPr>
          <w:color w:val="231F20"/>
        </w:rPr>
        <w:t>in accordance with imposed restrictions by third parties.</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spacing w:before="1"/>
        <w:ind w:left="1440" w:right="0" w:firstLine="0"/>
        <w:jc w:val="left"/>
        <w:rPr>
          <w:b/>
          <w:sz w:val="20"/>
        </w:rPr>
      </w:pPr>
      <w:r>
        <w:rPr>
          <w:b/>
          <w:color w:val="231F20"/>
          <w:spacing w:val="-2"/>
          <w:sz w:val="20"/>
        </w:rPr>
        <w:t>Investments</w:t>
      </w:r>
    </w:p>
    <w:p>
      <w:pPr>
        <w:pStyle w:val="BodyText"/>
        <w:spacing w:line="276" w:lineRule="auto" w:before="34"/>
        <w:ind w:left="1440" w:right="891"/>
      </w:pPr>
      <w:r>
        <w:rPr>
          <w:color w:val="231F20"/>
        </w:rPr>
        <w:t>Investments</w:t>
      </w:r>
      <w:r>
        <w:rPr>
          <w:color w:val="231F20"/>
          <w:spacing w:val="-3"/>
        </w:rPr>
        <w:t> </w:t>
      </w:r>
      <w:r>
        <w:rPr>
          <w:color w:val="231F20"/>
        </w:rPr>
        <w:t>are</w:t>
      </w:r>
      <w:r>
        <w:rPr>
          <w:color w:val="231F20"/>
          <w:spacing w:val="-3"/>
        </w:rPr>
        <w:t> </w:t>
      </w:r>
      <w:r>
        <w:rPr>
          <w:color w:val="231F20"/>
        </w:rPr>
        <w:t>made</w:t>
      </w:r>
      <w:r>
        <w:rPr>
          <w:color w:val="231F20"/>
          <w:spacing w:val="-3"/>
        </w:rPr>
        <w:t> </w:t>
      </w:r>
      <w:r>
        <w:rPr>
          <w:color w:val="231F20"/>
        </w:rPr>
        <w:t>in</w:t>
      </w:r>
      <w:r>
        <w:rPr>
          <w:color w:val="231F20"/>
          <w:spacing w:val="-3"/>
        </w:rPr>
        <w:t> </w:t>
      </w:r>
      <w:r>
        <w:rPr>
          <w:color w:val="231F20"/>
        </w:rPr>
        <w:t>accordance</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Constitution</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State</w:t>
      </w:r>
      <w:r>
        <w:rPr>
          <w:color w:val="231F20"/>
          <w:spacing w:val="-3"/>
        </w:rPr>
        <w:t> </w:t>
      </w:r>
      <w:r>
        <w:rPr>
          <w:color w:val="231F20"/>
        </w:rPr>
        <w:t>of</w:t>
      </w:r>
      <w:r>
        <w:rPr>
          <w:color w:val="231F20"/>
          <w:spacing w:val="-3"/>
        </w:rPr>
        <w:t> </w:t>
      </w:r>
      <w:r>
        <w:rPr>
          <w:color w:val="231F20"/>
        </w:rPr>
        <w:t>New</w:t>
      </w:r>
      <w:r>
        <w:rPr>
          <w:color w:val="231F20"/>
          <w:spacing w:val="-4"/>
        </w:rPr>
        <w:t> </w:t>
      </w:r>
      <w:r>
        <w:rPr>
          <w:color w:val="231F20"/>
        </w:rPr>
        <w:t>Mexico</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policies</w:t>
      </w:r>
      <w:r>
        <w:rPr>
          <w:color w:val="231F20"/>
          <w:spacing w:val="-3"/>
        </w:rPr>
        <w:t> </w:t>
      </w:r>
      <w:r>
        <w:rPr>
          <w:color w:val="231F20"/>
        </w:rPr>
        <w:t>of the</w:t>
      </w:r>
      <w:r>
        <w:rPr>
          <w:color w:val="231F20"/>
          <w:spacing w:val="-1"/>
        </w:rPr>
        <w:t> </w:t>
      </w:r>
      <w:r>
        <w:rPr>
          <w:color w:val="231F20"/>
        </w:rPr>
        <w:t>Board</w:t>
      </w:r>
      <w:r>
        <w:rPr>
          <w:color w:val="231F20"/>
          <w:spacing w:val="-1"/>
        </w:rPr>
        <w:t> </w:t>
      </w:r>
      <w:r>
        <w:rPr>
          <w:color w:val="231F20"/>
        </w:rPr>
        <w:t>of</w:t>
      </w:r>
      <w:r>
        <w:rPr>
          <w:color w:val="231F20"/>
          <w:spacing w:val="-2"/>
        </w:rPr>
        <w:t> </w:t>
      </w:r>
      <w:r>
        <w:rPr>
          <w:color w:val="231F20"/>
        </w:rPr>
        <w:t>Regents.</w:t>
      </w:r>
      <w:r>
        <w:rPr>
          <w:color w:val="231F20"/>
          <w:spacing w:val="-1"/>
        </w:rPr>
        <w:t> </w:t>
      </w:r>
      <w:r>
        <w:rPr>
          <w:color w:val="231F20"/>
        </w:rPr>
        <w:t>The</w:t>
      </w:r>
      <w:r>
        <w:rPr>
          <w:color w:val="231F20"/>
          <w:spacing w:val="-1"/>
        </w:rPr>
        <w:t> </w:t>
      </w:r>
      <w:r>
        <w:rPr>
          <w:color w:val="231F20"/>
        </w:rPr>
        <w:t>investment</w:t>
      </w:r>
      <w:r>
        <w:rPr>
          <w:color w:val="231F20"/>
          <w:spacing w:val="-1"/>
        </w:rPr>
        <w:t> </w:t>
      </w:r>
      <w:r>
        <w:rPr>
          <w:color w:val="231F20"/>
        </w:rPr>
        <w:t>policy</w:t>
      </w:r>
      <w:r>
        <w:rPr>
          <w:color w:val="231F20"/>
          <w:spacing w:val="-1"/>
        </w:rPr>
        <w:t> </w:t>
      </w:r>
      <w:r>
        <w:rPr>
          <w:color w:val="231F20"/>
        </w:rPr>
        <w:t>has</w:t>
      </w:r>
      <w:r>
        <w:rPr>
          <w:color w:val="231F20"/>
          <w:spacing w:val="-1"/>
        </w:rPr>
        <w:t> </w:t>
      </w:r>
      <w:r>
        <w:rPr>
          <w:color w:val="231F20"/>
        </w:rPr>
        <w:t>incorporated</w:t>
      </w:r>
      <w:r>
        <w:rPr>
          <w:color w:val="231F20"/>
          <w:spacing w:val="-1"/>
        </w:rPr>
        <w:t> </w:t>
      </w:r>
      <w:r>
        <w:rPr>
          <w:color w:val="231F20"/>
        </w:rPr>
        <w:t>the</w:t>
      </w:r>
      <w:r>
        <w:rPr>
          <w:color w:val="231F20"/>
          <w:spacing w:val="-2"/>
        </w:rPr>
        <w:t> </w:t>
      </w:r>
      <w:r>
        <w:rPr>
          <w:color w:val="231F20"/>
        </w:rPr>
        <w:t>provisions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State</w:t>
      </w:r>
      <w:r>
        <w:rPr>
          <w:color w:val="231F20"/>
          <w:spacing w:val="-1"/>
        </w:rPr>
        <w:t> </w:t>
      </w:r>
      <w:r>
        <w:rPr>
          <w:color w:val="231F20"/>
        </w:rPr>
        <w:t>of</w:t>
      </w:r>
      <w:r>
        <w:rPr>
          <w:color w:val="231F20"/>
          <w:spacing w:val="-1"/>
        </w:rPr>
        <w:t> </w:t>
      </w:r>
      <w:r>
        <w:rPr>
          <w:color w:val="231F20"/>
        </w:rPr>
        <w:t>New</w:t>
      </w:r>
      <w:r>
        <w:rPr>
          <w:color w:val="231F20"/>
          <w:spacing w:val="-1"/>
        </w:rPr>
        <w:t> </w:t>
      </w:r>
      <w:r>
        <w:rPr>
          <w:color w:val="231F20"/>
        </w:rPr>
        <w:t>Mexico Uniform Prudent Management of Institutional Funds Act (Chapter 46, Article 9A NMSA 1978) in accounting for net appreciation/depreciation of endowments. The Institute accounts for its investment portfolio at fair value on June 30 of each fiscal year.</w:t>
      </w:r>
    </w:p>
    <w:p>
      <w:pPr>
        <w:pStyle w:val="BodyText"/>
        <w:spacing w:before="10"/>
        <w:rPr>
          <w:sz w:val="22"/>
        </w:rPr>
      </w:pPr>
    </w:p>
    <w:p>
      <w:pPr>
        <w:pStyle w:val="BodyText"/>
        <w:spacing w:line="276" w:lineRule="auto"/>
        <w:ind w:left="1440" w:right="891"/>
      </w:pPr>
      <w:r>
        <w:rPr>
          <w:color w:val="231F20"/>
        </w:rPr>
        <w:t>Stocks, bonds, real estate held for sale or investment, and similar investments are generally reported at fair</w:t>
      </w:r>
      <w:r>
        <w:rPr>
          <w:color w:val="231F20"/>
          <w:spacing w:val="-1"/>
        </w:rPr>
        <w:t> </w:t>
      </w:r>
      <w:r>
        <w:rPr>
          <w:color w:val="231F20"/>
        </w:rPr>
        <w:t>value.</w:t>
      </w:r>
      <w:r>
        <w:rPr>
          <w:color w:val="231F20"/>
          <w:spacing w:val="-1"/>
        </w:rPr>
        <w:t> </w:t>
      </w:r>
      <w:r>
        <w:rPr>
          <w:color w:val="231F20"/>
        </w:rPr>
        <w:t>The</w:t>
      </w:r>
      <w:r>
        <w:rPr>
          <w:color w:val="231F20"/>
          <w:spacing w:val="-1"/>
        </w:rPr>
        <w:t> </w:t>
      </w:r>
      <w:r>
        <w:rPr>
          <w:color w:val="231F20"/>
        </w:rPr>
        <w:t>basis of</w:t>
      </w:r>
      <w:r>
        <w:rPr>
          <w:color w:val="231F20"/>
          <w:spacing w:val="-1"/>
        </w:rPr>
        <w:t> </w:t>
      </w:r>
      <w:r>
        <w:rPr>
          <w:color w:val="231F20"/>
        </w:rPr>
        <w:t>determining</w:t>
      </w:r>
      <w:r>
        <w:rPr>
          <w:color w:val="231F20"/>
          <w:spacing w:val="-1"/>
        </w:rPr>
        <w:t> </w:t>
      </w:r>
      <w:r>
        <w:rPr>
          <w:color w:val="231F20"/>
        </w:rPr>
        <w:t>the</w:t>
      </w:r>
      <w:r>
        <w:rPr>
          <w:color w:val="231F20"/>
          <w:spacing w:val="-1"/>
        </w:rPr>
        <w:t> </w:t>
      </w:r>
      <w:r>
        <w:rPr>
          <w:color w:val="231F20"/>
        </w:rPr>
        <w:t>fair</w:t>
      </w:r>
      <w:r>
        <w:rPr>
          <w:color w:val="231F20"/>
          <w:spacing w:val="-1"/>
        </w:rPr>
        <w:t> </w:t>
      </w:r>
      <w:r>
        <w:rPr>
          <w:color w:val="231F20"/>
        </w:rPr>
        <w:t>value</w:t>
      </w:r>
      <w:r>
        <w:rPr>
          <w:color w:val="231F20"/>
          <w:spacing w:val="-1"/>
        </w:rPr>
        <w:t> </w:t>
      </w:r>
      <w:r>
        <w:rPr>
          <w:color w:val="231F20"/>
        </w:rPr>
        <w:t>of</w:t>
      </w:r>
      <w:r>
        <w:rPr>
          <w:color w:val="231F20"/>
          <w:spacing w:val="-1"/>
        </w:rPr>
        <w:t> </w:t>
      </w:r>
      <w:r>
        <w:rPr>
          <w:color w:val="231F20"/>
        </w:rPr>
        <w:t>investments</w:t>
      </w:r>
      <w:r>
        <w:rPr>
          <w:color w:val="231F20"/>
          <w:spacing w:val="-1"/>
        </w:rPr>
        <w:t> </w:t>
      </w:r>
      <w:r>
        <w:rPr>
          <w:color w:val="231F20"/>
        </w:rPr>
        <w:t>is</w:t>
      </w:r>
      <w:r>
        <w:rPr>
          <w:color w:val="231F20"/>
          <w:spacing w:val="-1"/>
        </w:rPr>
        <w:t> </w:t>
      </w:r>
      <w:r>
        <w:rPr>
          <w:color w:val="231F20"/>
        </w:rPr>
        <w:t>the</w:t>
      </w:r>
      <w:r>
        <w:rPr>
          <w:color w:val="231F20"/>
          <w:spacing w:val="-1"/>
        </w:rPr>
        <w:t> </w:t>
      </w:r>
      <w:r>
        <w:rPr>
          <w:color w:val="231F20"/>
        </w:rPr>
        <w:t>readily</w:t>
      </w:r>
      <w:r>
        <w:rPr>
          <w:color w:val="231F20"/>
          <w:spacing w:val="-1"/>
        </w:rPr>
        <w:t> </w:t>
      </w:r>
      <w:r>
        <w:rPr>
          <w:color w:val="231F20"/>
        </w:rPr>
        <w:t>determinable</w:t>
      </w:r>
      <w:r>
        <w:rPr>
          <w:color w:val="231F20"/>
          <w:spacing w:val="-2"/>
        </w:rPr>
        <w:t> </w:t>
      </w:r>
      <w:r>
        <w:rPr>
          <w:color w:val="231F20"/>
        </w:rPr>
        <w:t>sales</w:t>
      </w:r>
      <w:r>
        <w:rPr>
          <w:color w:val="231F20"/>
          <w:spacing w:val="-1"/>
        </w:rPr>
        <w:t> </w:t>
      </w:r>
      <w:r>
        <w:rPr>
          <w:color w:val="231F20"/>
        </w:rPr>
        <w:t>price</w:t>
      </w:r>
      <w:r>
        <w:rPr>
          <w:color w:val="231F20"/>
          <w:spacing w:val="-1"/>
        </w:rPr>
        <w:t> </w:t>
      </w:r>
      <w:r>
        <w:rPr>
          <w:color w:val="231F20"/>
        </w:rPr>
        <w:t>or current</w:t>
      </w:r>
      <w:r>
        <w:rPr>
          <w:color w:val="231F20"/>
          <w:spacing w:val="-4"/>
        </w:rPr>
        <w:t> </w:t>
      </w:r>
      <w:r>
        <w:rPr>
          <w:color w:val="231F20"/>
        </w:rPr>
        <w:t>exchange</w:t>
      </w:r>
      <w:r>
        <w:rPr>
          <w:color w:val="231F20"/>
          <w:spacing w:val="-4"/>
        </w:rPr>
        <w:t> </w:t>
      </w:r>
      <w:r>
        <w:rPr>
          <w:color w:val="231F20"/>
        </w:rPr>
        <w:t>rate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investments</w:t>
      </w:r>
      <w:r>
        <w:rPr>
          <w:color w:val="231F20"/>
          <w:spacing w:val="-4"/>
        </w:rPr>
        <w:t> </w:t>
      </w:r>
      <w:r>
        <w:rPr>
          <w:color w:val="231F20"/>
        </w:rPr>
        <w:t>based</w:t>
      </w:r>
      <w:r>
        <w:rPr>
          <w:color w:val="231F20"/>
          <w:spacing w:val="-4"/>
        </w:rPr>
        <w:t> </w:t>
      </w:r>
      <w:r>
        <w:rPr>
          <w:color w:val="231F20"/>
        </w:rPr>
        <w:t>on</w:t>
      </w:r>
      <w:r>
        <w:rPr>
          <w:color w:val="231F20"/>
          <w:spacing w:val="-4"/>
        </w:rPr>
        <w:t> </w:t>
      </w:r>
      <w:r>
        <w:rPr>
          <w:color w:val="231F20"/>
        </w:rPr>
        <w:t>prices</w:t>
      </w:r>
      <w:r>
        <w:rPr>
          <w:color w:val="231F20"/>
          <w:spacing w:val="-4"/>
        </w:rPr>
        <w:t> </w:t>
      </w:r>
      <w:r>
        <w:rPr>
          <w:color w:val="231F20"/>
        </w:rPr>
        <w:t>or</w:t>
      </w:r>
      <w:r>
        <w:rPr>
          <w:color w:val="231F20"/>
          <w:spacing w:val="-4"/>
        </w:rPr>
        <w:t> </w:t>
      </w:r>
      <w:r>
        <w:rPr>
          <w:color w:val="231F20"/>
        </w:rPr>
        <w:t>quotations</w:t>
      </w:r>
      <w:r>
        <w:rPr>
          <w:color w:val="231F20"/>
          <w:spacing w:val="-4"/>
        </w:rPr>
        <w:t> </w:t>
      </w:r>
      <w:r>
        <w:rPr>
          <w:color w:val="231F20"/>
        </w:rPr>
        <w:t>from</w:t>
      </w:r>
      <w:r>
        <w:rPr>
          <w:color w:val="231F20"/>
          <w:spacing w:val="-4"/>
        </w:rPr>
        <w:t> </w:t>
      </w:r>
      <w:r>
        <w:rPr>
          <w:color w:val="231F20"/>
        </w:rPr>
        <w:t>over-the-counter</w:t>
      </w:r>
      <w:r>
        <w:rPr>
          <w:color w:val="231F20"/>
          <w:spacing w:val="-4"/>
        </w:rPr>
        <w:t> </w:t>
      </w:r>
      <w:r>
        <w:rPr>
          <w:color w:val="231F20"/>
        </w:rPr>
        <w:t>markets.</w:t>
      </w:r>
      <w:r>
        <w:rPr>
          <w:color w:val="231F20"/>
          <w:spacing w:val="-4"/>
        </w:rPr>
        <w:t> </w:t>
      </w:r>
      <w:r>
        <w:rPr>
          <w:color w:val="231F20"/>
        </w:rPr>
        <w:t>In the case of pooled funds or mutual funds, the fair value is determined as the number of units held in the fund multiplied by the price per unit share as publicly quoted. The income from the Institute's interest in the Land Grant Permanent Fund, which interests are managed by the New Mexico State Investment Council, is distributed monthly to the Institute.</w:t>
      </w:r>
    </w:p>
    <w:p>
      <w:pPr>
        <w:pStyle w:val="BodyText"/>
        <w:rPr>
          <w:sz w:val="23"/>
        </w:rPr>
      </w:pPr>
    </w:p>
    <w:p>
      <w:pPr>
        <w:pStyle w:val="Heading4"/>
      </w:pPr>
      <w:r>
        <w:rPr>
          <w:color w:val="231F20"/>
          <w:spacing w:val="-2"/>
        </w:rPr>
        <w:t>Endowments</w:t>
      </w:r>
    </w:p>
    <w:p>
      <w:pPr>
        <w:pStyle w:val="BodyText"/>
        <w:spacing w:line="276" w:lineRule="auto" w:before="35"/>
        <w:ind w:left="1440" w:right="857"/>
      </w:pPr>
      <w:r>
        <w:rPr>
          <w:color w:val="231F20"/>
        </w:rPr>
        <w:t>The Institute accounts for its endowed investment portfolio at fair value on June 30 of each fiscal year. Additions to endowments are reported each year based on the fair value of the investments. The investments are managed on a total return basis with 4.5% of the average five-year market value being made available for expenditure, and the remaining returns retained in the funds to compensate for inflationary growth. State statute 46-9-6 NMSA 1978 provides the Institution with the authority to use the net appreciation of restricted endowments as established by the donor. An institution may appropriate for expenditures or accumulate as much as it determines prudent for the uses, benefits, purposes, and duration of the endowment. Each institution sets the amounts and/or percentage of net appreciation on endowment investments that are authorized for expenditure in its spending plan. In the case of reserve, allocated,</w:t>
      </w:r>
      <w:r>
        <w:rPr>
          <w:color w:val="231F20"/>
          <w:spacing w:val="-3"/>
        </w:rPr>
        <w:t> </w:t>
      </w:r>
      <w:r>
        <w:rPr>
          <w:color w:val="231F20"/>
        </w:rPr>
        <w:t>and</w:t>
      </w:r>
      <w:r>
        <w:rPr>
          <w:color w:val="231F20"/>
          <w:spacing w:val="-3"/>
        </w:rPr>
        <w:t> </w:t>
      </w:r>
      <w:r>
        <w:rPr>
          <w:color w:val="231F20"/>
        </w:rPr>
        <w:t>agency</w:t>
      </w:r>
      <w:r>
        <w:rPr>
          <w:color w:val="231F20"/>
          <w:spacing w:val="-3"/>
        </w:rPr>
        <w:t> </w:t>
      </w:r>
      <w:r>
        <w:rPr>
          <w:color w:val="231F20"/>
        </w:rPr>
        <w:t>funds,</w:t>
      </w:r>
      <w:r>
        <w:rPr>
          <w:color w:val="231F20"/>
          <w:spacing w:val="-3"/>
        </w:rPr>
        <w:t> </w:t>
      </w:r>
      <w:r>
        <w:rPr>
          <w:color w:val="231F20"/>
        </w:rPr>
        <w:t>the</w:t>
      </w:r>
      <w:r>
        <w:rPr>
          <w:color w:val="231F20"/>
          <w:spacing w:val="-3"/>
        </w:rPr>
        <w:t> </w:t>
      </w:r>
      <w:r>
        <w:rPr>
          <w:color w:val="231F20"/>
        </w:rPr>
        <w:t>total</w:t>
      </w:r>
      <w:r>
        <w:rPr>
          <w:color w:val="231F20"/>
          <w:spacing w:val="-3"/>
        </w:rPr>
        <w:t> </w:t>
      </w:r>
      <w:r>
        <w:rPr>
          <w:color w:val="231F20"/>
        </w:rPr>
        <w:t>returns</w:t>
      </w:r>
      <w:r>
        <w:rPr>
          <w:color w:val="231F20"/>
          <w:spacing w:val="-3"/>
        </w:rPr>
        <w:t> </w:t>
      </w:r>
      <w:r>
        <w:rPr>
          <w:color w:val="231F20"/>
        </w:rPr>
        <w:t>will</w:t>
      </w:r>
      <w:r>
        <w:rPr>
          <w:color w:val="231F20"/>
          <w:spacing w:val="-3"/>
        </w:rPr>
        <w:t> </w:t>
      </w:r>
      <w:r>
        <w:rPr>
          <w:color w:val="231F20"/>
        </w:rPr>
        <w:t>remain</w:t>
      </w:r>
      <w:r>
        <w:rPr>
          <w:color w:val="231F20"/>
          <w:spacing w:val="-3"/>
        </w:rPr>
        <w:t> </w:t>
      </w:r>
      <w:r>
        <w:rPr>
          <w:color w:val="231F20"/>
        </w:rPr>
        <w:t>with</w:t>
      </w:r>
      <w:r>
        <w:rPr>
          <w:color w:val="231F20"/>
          <w:spacing w:val="-3"/>
        </w:rPr>
        <w:t> </w:t>
      </w:r>
      <w:r>
        <w:rPr>
          <w:color w:val="231F20"/>
        </w:rPr>
        <w:t>the</w:t>
      </w:r>
      <w:r>
        <w:rPr>
          <w:color w:val="231F20"/>
          <w:spacing w:val="-4"/>
        </w:rPr>
        <w:t> </w:t>
      </w:r>
      <w:r>
        <w:rPr>
          <w:color w:val="231F20"/>
        </w:rPr>
        <w:t>funds</w:t>
      </w:r>
      <w:r>
        <w:rPr>
          <w:color w:val="231F20"/>
          <w:spacing w:val="-3"/>
        </w:rPr>
        <w:t> </w:t>
      </w:r>
      <w:r>
        <w:rPr>
          <w:color w:val="231F20"/>
        </w:rPr>
        <w:t>until</w:t>
      </w:r>
      <w:r>
        <w:rPr>
          <w:color w:val="231F20"/>
          <w:spacing w:val="-3"/>
        </w:rPr>
        <w:t> </w:t>
      </w:r>
      <w:r>
        <w:rPr>
          <w:color w:val="231F20"/>
        </w:rPr>
        <w:t>these</w:t>
      </w:r>
      <w:r>
        <w:rPr>
          <w:color w:val="231F20"/>
          <w:spacing w:val="-3"/>
        </w:rPr>
        <w:t> </w:t>
      </w:r>
      <w:r>
        <w:rPr>
          <w:color w:val="231F20"/>
        </w:rPr>
        <w:t>funds</w:t>
      </w:r>
      <w:r>
        <w:rPr>
          <w:color w:val="231F20"/>
          <w:spacing w:val="-3"/>
        </w:rPr>
        <w:t> </w:t>
      </w:r>
      <w:r>
        <w:rPr>
          <w:color w:val="231F20"/>
        </w:rPr>
        <w:t>are</w:t>
      </w:r>
      <w:r>
        <w:rPr>
          <w:color w:val="231F20"/>
          <w:spacing w:val="-4"/>
        </w:rPr>
        <w:t> </w:t>
      </w:r>
      <w:r>
        <w:rPr>
          <w:color w:val="231F20"/>
        </w:rPr>
        <w:t>authorized</w:t>
      </w:r>
      <w:r>
        <w:rPr>
          <w:color w:val="231F20"/>
          <w:spacing w:val="-3"/>
        </w:rPr>
        <w:t> </w:t>
      </w:r>
      <w:r>
        <w:rPr>
          <w:color w:val="231F20"/>
        </w:rPr>
        <w:t>to be expended for the purposes for which they were established.</w:t>
      </w:r>
    </w:p>
    <w:p>
      <w:pPr>
        <w:pStyle w:val="BodyText"/>
        <w:spacing w:before="11"/>
        <w:rPr>
          <w:sz w:val="22"/>
        </w:rPr>
      </w:pPr>
    </w:p>
    <w:p>
      <w:pPr>
        <w:pStyle w:val="Heading4"/>
      </w:pPr>
      <w:r>
        <w:rPr>
          <w:color w:val="231F20"/>
        </w:rPr>
        <w:t>Accounts</w:t>
      </w:r>
      <w:r>
        <w:rPr>
          <w:color w:val="231F20"/>
          <w:spacing w:val="-6"/>
        </w:rPr>
        <w:t> </w:t>
      </w:r>
      <w:r>
        <w:rPr>
          <w:color w:val="231F20"/>
          <w:spacing w:val="-2"/>
        </w:rPr>
        <w:t>Receivable</w:t>
      </w:r>
    </w:p>
    <w:p>
      <w:pPr>
        <w:pStyle w:val="BodyText"/>
        <w:spacing w:line="276" w:lineRule="auto" w:before="34"/>
        <w:ind w:left="1440" w:right="891"/>
      </w:pPr>
      <w:r>
        <w:rPr>
          <w:color w:val="231F20"/>
        </w:rPr>
        <w:t>The Institute records student tuition and fees and student accounts receivable at rates established at the time a student registers for classes. Accounts receivable also include amounts due from the Federal government, state and local governments, or private sources, in connection with reimbursement of allowable</w:t>
      </w:r>
      <w:r>
        <w:rPr>
          <w:color w:val="231F20"/>
          <w:spacing w:val="-1"/>
        </w:rPr>
        <w:t> </w:t>
      </w:r>
      <w:r>
        <w:rPr>
          <w:color w:val="231F20"/>
        </w:rPr>
        <w:t>expenditures</w:t>
      </w:r>
      <w:r>
        <w:rPr>
          <w:color w:val="231F20"/>
          <w:spacing w:val="-1"/>
        </w:rPr>
        <w:t> </w:t>
      </w:r>
      <w:r>
        <w:rPr>
          <w:color w:val="231F20"/>
        </w:rPr>
        <w:t>made</w:t>
      </w:r>
      <w:r>
        <w:rPr>
          <w:color w:val="231F20"/>
          <w:spacing w:val="-1"/>
        </w:rPr>
        <w:t> </w:t>
      </w:r>
      <w:r>
        <w:rPr>
          <w:color w:val="231F20"/>
        </w:rPr>
        <w:t>pursuant</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Institute's</w:t>
      </w:r>
      <w:r>
        <w:rPr>
          <w:color w:val="231F20"/>
          <w:spacing w:val="-1"/>
        </w:rPr>
        <w:t> </w:t>
      </w:r>
      <w:r>
        <w:rPr>
          <w:color w:val="231F20"/>
        </w:rPr>
        <w:t>grants</w:t>
      </w:r>
      <w:r>
        <w:rPr>
          <w:color w:val="231F20"/>
          <w:spacing w:val="-1"/>
        </w:rPr>
        <w:t> </w:t>
      </w:r>
      <w:r>
        <w:rPr>
          <w:color w:val="231F20"/>
        </w:rPr>
        <w:t>and</w:t>
      </w:r>
      <w:r>
        <w:rPr>
          <w:color w:val="231F20"/>
          <w:spacing w:val="-2"/>
        </w:rPr>
        <w:t> </w:t>
      </w:r>
      <w:r>
        <w:rPr>
          <w:color w:val="231F20"/>
        </w:rPr>
        <w:t>contracts.</w:t>
      </w:r>
      <w:r>
        <w:rPr>
          <w:color w:val="231F20"/>
          <w:spacing w:val="-1"/>
        </w:rPr>
        <w:t> </w:t>
      </w:r>
      <w:r>
        <w:rPr>
          <w:color w:val="231F20"/>
        </w:rPr>
        <w:t>A</w:t>
      </w:r>
      <w:r>
        <w:rPr>
          <w:color w:val="231F20"/>
          <w:spacing w:val="-1"/>
        </w:rPr>
        <w:t> </w:t>
      </w:r>
      <w:r>
        <w:rPr>
          <w:color w:val="231F20"/>
        </w:rPr>
        <w:t>provision</w:t>
      </w:r>
      <w:r>
        <w:rPr>
          <w:color w:val="231F20"/>
          <w:spacing w:val="-1"/>
        </w:rPr>
        <w:t> </w:t>
      </w:r>
      <w:r>
        <w:rPr>
          <w:color w:val="231F20"/>
        </w:rPr>
        <w:t>for</w:t>
      </w:r>
      <w:r>
        <w:rPr>
          <w:color w:val="231F20"/>
          <w:spacing w:val="-1"/>
        </w:rPr>
        <w:t> </w:t>
      </w:r>
      <w:r>
        <w:rPr>
          <w:color w:val="231F20"/>
        </w:rPr>
        <w:t>uncollectible student</w:t>
      </w:r>
      <w:r>
        <w:rPr>
          <w:color w:val="231F20"/>
          <w:spacing w:val="-4"/>
        </w:rPr>
        <w:t> </w:t>
      </w:r>
      <w:r>
        <w:rPr>
          <w:color w:val="231F20"/>
        </w:rPr>
        <w:t>accounts</w:t>
      </w:r>
      <w:r>
        <w:rPr>
          <w:color w:val="231F20"/>
          <w:spacing w:val="-4"/>
        </w:rPr>
        <w:t> </w:t>
      </w:r>
      <w:r>
        <w:rPr>
          <w:color w:val="231F20"/>
        </w:rPr>
        <w:t>is</w:t>
      </w:r>
      <w:r>
        <w:rPr>
          <w:color w:val="231F20"/>
          <w:spacing w:val="-5"/>
        </w:rPr>
        <w:t> </w:t>
      </w:r>
      <w:r>
        <w:rPr>
          <w:color w:val="231F20"/>
        </w:rPr>
        <w:t>recorded</w:t>
      </w:r>
      <w:r>
        <w:rPr>
          <w:color w:val="231F20"/>
          <w:spacing w:val="-4"/>
        </w:rPr>
        <w:t> </w:t>
      </w:r>
      <w:r>
        <w:rPr>
          <w:color w:val="231F20"/>
        </w:rPr>
        <w:t>to</w:t>
      </w:r>
      <w:r>
        <w:rPr>
          <w:color w:val="231F20"/>
          <w:spacing w:val="-4"/>
        </w:rPr>
        <w:t> </w:t>
      </w:r>
      <w:r>
        <w:rPr>
          <w:color w:val="231F20"/>
        </w:rPr>
        <w:t>maintain</w:t>
      </w:r>
      <w:r>
        <w:rPr>
          <w:color w:val="231F20"/>
          <w:spacing w:val="-4"/>
        </w:rPr>
        <w:t> </w:t>
      </w:r>
      <w:r>
        <w:rPr>
          <w:color w:val="231F20"/>
        </w:rPr>
        <w:t>an</w:t>
      </w:r>
      <w:r>
        <w:rPr>
          <w:color w:val="231F20"/>
          <w:spacing w:val="-4"/>
        </w:rPr>
        <w:t> </w:t>
      </w:r>
      <w:r>
        <w:rPr>
          <w:color w:val="231F20"/>
        </w:rPr>
        <w:t>adequate</w:t>
      </w:r>
      <w:r>
        <w:rPr>
          <w:color w:val="231F20"/>
          <w:spacing w:val="-4"/>
        </w:rPr>
        <w:t> </w:t>
      </w:r>
      <w:r>
        <w:rPr>
          <w:color w:val="231F20"/>
        </w:rPr>
        <w:t>allowance</w:t>
      </w:r>
      <w:r>
        <w:rPr>
          <w:color w:val="231F20"/>
          <w:spacing w:val="-4"/>
        </w:rPr>
        <w:t> </w:t>
      </w:r>
      <w:r>
        <w:rPr>
          <w:color w:val="231F20"/>
        </w:rPr>
        <w:t>for</w:t>
      </w:r>
      <w:r>
        <w:rPr>
          <w:color w:val="231F20"/>
          <w:spacing w:val="-4"/>
        </w:rPr>
        <w:t> </w:t>
      </w:r>
      <w:r>
        <w:rPr>
          <w:color w:val="231F20"/>
        </w:rPr>
        <w:t>anticipated</w:t>
      </w:r>
      <w:r>
        <w:rPr>
          <w:color w:val="231F20"/>
          <w:spacing w:val="-5"/>
        </w:rPr>
        <w:t> </w:t>
      </w:r>
      <w:r>
        <w:rPr>
          <w:color w:val="231F20"/>
        </w:rPr>
        <w:t>losses.</w:t>
      </w:r>
      <w:r>
        <w:rPr>
          <w:color w:val="231F20"/>
          <w:spacing w:val="-4"/>
        </w:rPr>
        <w:t> </w:t>
      </w:r>
      <w:r>
        <w:rPr>
          <w:color w:val="231F20"/>
        </w:rPr>
        <w:t>The</w:t>
      </w:r>
      <w:r>
        <w:rPr>
          <w:color w:val="231F20"/>
          <w:spacing w:val="-4"/>
        </w:rPr>
        <w:t> </w:t>
      </w:r>
      <w:r>
        <w:rPr>
          <w:color w:val="231F20"/>
        </w:rPr>
        <w:t>allowance</w:t>
      </w:r>
      <w:r>
        <w:rPr>
          <w:color w:val="231F20"/>
          <w:spacing w:val="-4"/>
        </w:rPr>
        <w:t> </w:t>
      </w:r>
      <w:r>
        <w:rPr>
          <w:color w:val="231F20"/>
        </w:rPr>
        <w:t>for doubtful</w:t>
      </w:r>
      <w:r>
        <w:rPr>
          <w:color w:val="231F20"/>
          <w:spacing w:val="-1"/>
        </w:rPr>
        <w:t> </w:t>
      </w:r>
      <w:r>
        <w:rPr>
          <w:color w:val="231F20"/>
        </w:rPr>
        <w:t>accounts</w:t>
      </w:r>
      <w:r>
        <w:rPr>
          <w:color w:val="231F20"/>
          <w:spacing w:val="-1"/>
        </w:rPr>
        <w:t> </w:t>
      </w:r>
      <w:r>
        <w:rPr>
          <w:color w:val="231F20"/>
        </w:rPr>
        <w:t>includes</w:t>
      </w:r>
      <w:r>
        <w:rPr>
          <w:color w:val="231F20"/>
          <w:spacing w:val="-2"/>
        </w:rPr>
        <w:t> </w:t>
      </w:r>
      <w:r>
        <w:rPr>
          <w:color w:val="231F20"/>
        </w:rPr>
        <w:t>consideration</w:t>
      </w:r>
      <w:r>
        <w:rPr>
          <w:color w:val="231F20"/>
          <w:spacing w:val="-2"/>
        </w:rPr>
        <w:t> </w:t>
      </w:r>
      <w:r>
        <w:rPr>
          <w:color w:val="231F20"/>
        </w:rPr>
        <w:t>for</w:t>
      </w:r>
      <w:r>
        <w:rPr>
          <w:color w:val="231F20"/>
          <w:spacing w:val="-1"/>
        </w:rPr>
        <w:t> </w:t>
      </w:r>
      <w:r>
        <w:rPr>
          <w:color w:val="231F20"/>
        </w:rPr>
        <w:t>the</w:t>
      </w:r>
      <w:r>
        <w:rPr>
          <w:color w:val="231F20"/>
          <w:spacing w:val="-1"/>
        </w:rPr>
        <w:t> </w:t>
      </w:r>
      <w:r>
        <w:rPr>
          <w:color w:val="231F20"/>
        </w:rPr>
        <w:t>credit risk</w:t>
      </w:r>
      <w:r>
        <w:rPr>
          <w:color w:val="231F20"/>
          <w:spacing w:val="-1"/>
        </w:rPr>
        <w:t> </w:t>
      </w:r>
      <w:r>
        <w:rPr>
          <w:color w:val="231F20"/>
        </w:rPr>
        <w:t>associated</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various</w:t>
      </w:r>
      <w:r>
        <w:rPr>
          <w:color w:val="231F20"/>
          <w:spacing w:val="-1"/>
        </w:rPr>
        <w:t> </w:t>
      </w:r>
      <w:r>
        <w:rPr>
          <w:color w:val="231F20"/>
        </w:rPr>
        <w:t>receivables.</w:t>
      </w:r>
      <w:r>
        <w:rPr>
          <w:color w:val="231F20"/>
          <w:spacing w:val="-1"/>
        </w:rPr>
        <w:t> </w:t>
      </w:r>
      <w:r>
        <w:rPr>
          <w:color w:val="231F20"/>
        </w:rPr>
        <w:t>There were no accounts receivable due from the Federal, state and local governments or private sources deemed to be uncollectible.</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spacing w:before="1"/>
        <w:ind w:left="1440" w:right="0" w:firstLine="0"/>
        <w:jc w:val="left"/>
        <w:rPr>
          <w:b/>
          <w:sz w:val="20"/>
        </w:rPr>
      </w:pPr>
      <w:r>
        <w:rPr>
          <w:b/>
          <w:color w:val="231F20"/>
          <w:sz w:val="20"/>
        </w:rPr>
        <w:t>Other</w:t>
      </w:r>
      <w:r>
        <w:rPr>
          <w:b/>
          <w:color w:val="231F20"/>
          <w:spacing w:val="-5"/>
          <w:sz w:val="20"/>
        </w:rPr>
        <w:t> </w:t>
      </w:r>
      <w:r>
        <w:rPr>
          <w:b/>
          <w:color w:val="231F20"/>
          <w:spacing w:val="-2"/>
          <w:sz w:val="20"/>
        </w:rPr>
        <w:t>Receivables</w:t>
      </w:r>
    </w:p>
    <w:p>
      <w:pPr>
        <w:pStyle w:val="BodyText"/>
        <w:spacing w:line="276" w:lineRule="auto" w:before="34"/>
        <w:ind w:left="1440" w:right="1048"/>
      </w:pPr>
      <w:r>
        <w:rPr>
          <w:color w:val="231F20"/>
        </w:rPr>
        <w:t>Other receivables consist of amounts due under various agreements not related to grants or contracts and</w:t>
      </w:r>
      <w:r>
        <w:rPr>
          <w:color w:val="231F20"/>
          <w:spacing w:val="-3"/>
        </w:rPr>
        <w:t> </w:t>
      </w:r>
      <w:r>
        <w:rPr>
          <w:color w:val="231F20"/>
        </w:rPr>
        <w:t>amounts</w:t>
      </w:r>
      <w:r>
        <w:rPr>
          <w:color w:val="231F20"/>
          <w:spacing w:val="-4"/>
        </w:rPr>
        <w:t> </w:t>
      </w:r>
      <w:r>
        <w:rPr>
          <w:color w:val="231F20"/>
        </w:rPr>
        <w:t>due</w:t>
      </w:r>
      <w:r>
        <w:rPr>
          <w:color w:val="231F20"/>
          <w:spacing w:val="-3"/>
        </w:rPr>
        <w:t> </w:t>
      </w:r>
      <w:r>
        <w:rPr>
          <w:color w:val="231F20"/>
        </w:rPr>
        <w:t>from</w:t>
      </w:r>
      <w:r>
        <w:rPr>
          <w:color w:val="231F20"/>
          <w:spacing w:val="-4"/>
        </w:rPr>
        <w:t> </w:t>
      </w:r>
      <w:r>
        <w:rPr>
          <w:color w:val="231F20"/>
        </w:rPr>
        <w:t>component</w:t>
      </w:r>
      <w:r>
        <w:rPr>
          <w:color w:val="231F20"/>
          <w:spacing w:val="-3"/>
        </w:rPr>
        <w:t> </w:t>
      </w:r>
      <w:r>
        <w:rPr>
          <w:color w:val="231F20"/>
        </w:rPr>
        <w:t>units.</w:t>
      </w:r>
      <w:r>
        <w:rPr>
          <w:color w:val="231F20"/>
          <w:spacing w:val="-3"/>
        </w:rPr>
        <w:t> </w:t>
      </w:r>
      <w:r>
        <w:rPr>
          <w:color w:val="231F20"/>
        </w:rPr>
        <w:t>Management</w:t>
      </w:r>
      <w:r>
        <w:rPr>
          <w:color w:val="231F20"/>
          <w:spacing w:val="-3"/>
        </w:rPr>
        <w:t> </w:t>
      </w:r>
      <w:r>
        <w:rPr>
          <w:color w:val="231F20"/>
        </w:rPr>
        <w:t>reviews</w:t>
      </w:r>
      <w:r>
        <w:rPr>
          <w:color w:val="231F20"/>
          <w:spacing w:val="-3"/>
        </w:rPr>
        <w:t> </w:t>
      </w:r>
      <w:r>
        <w:rPr>
          <w:color w:val="231F20"/>
        </w:rPr>
        <w:t>the</w:t>
      </w:r>
      <w:r>
        <w:rPr>
          <w:color w:val="231F20"/>
          <w:spacing w:val="-3"/>
        </w:rPr>
        <w:t> </w:t>
      </w:r>
      <w:r>
        <w:rPr>
          <w:color w:val="231F20"/>
        </w:rPr>
        <w:t>collectability</w:t>
      </w:r>
      <w:r>
        <w:rPr>
          <w:color w:val="231F20"/>
          <w:spacing w:val="-3"/>
        </w:rPr>
        <w:t> </w:t>
      </w:r>
      <w:r>
        <w:rPr>
          <w:color w:val="231F20"/>
        </w:rPr>
        <w:t>of</w:t>
      </w:r>
      <w:r>
        <w:rPr>
          <w:color w:val="231F20"/>
          <w:spacing w:val="-4"/>
        </w:rPr>
        <w:t> </w:t>
      </w:r>
      <w:r>
        <w:rPr>
          <w:color w:val="231F20"/>
        </w:rPr>
        <w:t>its</w:t>
      </w:r>
      <w:r>
        <w:rPr>
          <w:color w:val="231F20"/>
          <w:spacing w:val="-3"/>
        </w:rPr>
        <w:t> </w:t>
      </w:r>
      <w:r>
        <w:rPr>
          <w:color w:val="231F20"/>
        </w:rPr>
        <w:t>receivables</w:t>
      </w:r>
      <w:r>
        <w:rPr>
          <w:color w:val="231F20"/>
          <w:spacing w:val="-3"/>
        </w:rPr>
        <w:t> </w:t>
      </w:r>
      <w:r>
        <w:rPr>
          <w:color w:val="231F20"/>
        </w:rPr>
        <w:t>and,</w:t>
      </w:r>
      <w:r>
        <w:rPr>
          <w:color w:val="231F20"/>
          <w:spacing w:val="-3"/>
        </w:rPr>
        <w:t> </w:t>
      </w:r>
      <w:r>
        <w:rPr>
          <w:color w:val="231F20"/>
        </w:rPr>
        <w:t>if necessary,</w:t>
      </w:r>
      <w:r>
        <w:rPr>
          <w:color w:val="231F20"/>
          <w:spacing w:val="-2"/>
        </w:rPr>
        <w:t> </w:t>
      </w:r>
      <w:r>
        <w:rPr>
          <w:color w:val="231F20"/>
        </w:rPr>
        <w:t>records</w:t>
      </w:r>
      <w:r>
        <w:rPr>
          <w:color w:val="231F20"/>
          <w:spacing w:val="-2"/>
        </w:rPr>
        <w:t> </w:t>
      </w:r>
      <w:r>
        <w:rPr>
          <w:color w:val="231F20"/>
        </w:rPr>
        <w:t>an</w:t>
      </w:r>
      <w:r>
        <w:rPr>
          <w:color w:val="231F20"/>
          <w:spacing w:val="-2"/>
        </w:rPr>
        <w:t> </w:t>
      </w:r>
      <w:r>
        <w:rPr>
          <w:color w:val="231F20"/>
        </w:rPr>
        <w:t>allowance</w:t>
      </w:r>
      <w:r>
        <w:rPr>
          <w:color w:val="231F20"/>
          <w:spacing w:val="-2"/>
        </w:rPr>
        <w:t> </w:t>
      </w:r>
      <w:r>
        <w:rPr>
          <w:color w:val="231F20"/>
        </w:rPr>
        <w:t>for</w:t>
      </w:r>
      <w:r>
        <w:rPr>
          <w:color w:val="231F20"/>
          <w:spacing w:val="-2"/>
        </w:rPr>
        <w:t> </w:t>
      </w:r>
      <w:r>
        <w:rPr>
          <w:color w:val="231F20"/>
        </w:rPr>
        <w:t>its</w:t>
      </w:r>
      <w:r>
        <w:rPr>
          <w:color w:val="231F20"/>
          <w:spacing w:val="-3"/>
        </w:rPr>
        <w:t> </w:t>
      </w:r>
      <w:r>
        <w:rPr>
          <w:color w:val="231F20"/>
        </w:rPr>
        <w:t>estimate</w:t>
      </w:r>
      <w:r>
        <w:rPr>
          <w:color w:val="231F20"/>
          <w:spacing w:val="-2"/>
        </w:rPr>
        <w:t> </w:t>
      </w:r>
      <w:r>
        <w:rPr>
          <w:color w:val="231F20"/>
        </w:rPr>
        <w:t>of</w:t>
      </w:r>
      <w:r>
        <w:rPr>
          <w:color w:val="231F20"/>
          <w:spacing w:val="-1"/>
        </w:rPr>
        <w:t> </w:t>
      </w:r>
      <w:r>
        <w:rPr>
          <w:color w:val="231F20"/>
        </w:rPr>
        <w:t>uncollectible</w:t>
      </w:r>
      <w:r>
        <w:rPr>
          <w:color w:val="231F20"/>
          <w:spacing w:val="-2"/>
        </w:rPr>
        <w:t> </w:t>
      </w:r>
      <w:r>
        <w:rPr>
          <w:color w:val="231F20"/>
        </w:rPr>
        <w:t>accounts.</w:t>
      </w:r>
      <w:r>
        <w:rPr>
          <w:color w:val="231F20"/>
          <w:spacing w:val="-2"/>
        </w:rPr>
        <w:t> </w:t>
      </w:r>
      <w:r>
        <w:rPr>
          <w:color w:val="231F20"/>
        </w:rPr>
        <w:t>Bad</w:t>
      </w:r>
      <w:r>
        <w:rPr>
          <w:color w:val="231F20"/>
          <w:spacing w:val="-2"/>
        </w:rPr>
        <w:t> </w:t>
      </w:r>
      <w:r>
        <w:rPr>
          <w:color w:val="231F20"/>
        </w:rPr>
        <w:t>debt</w:t>
      </w:r>
      <w:r>
        <w:rPr>
          <w:color w:val="231F20"/>
          <w:spacing w:val="-2"/>
        </w:rPr>
        <w:t> </w:t>
      </w:r>
      <w:r>
        <w:rPr>
          <w:color w:val="231F20"/>
        </w:rPr>
        <w:t>history</w:t>
      </w:r>
      <w:r>
        <w:rPr>
          <w:color w:val="231F20"/>
          <w:spacing w:val="-2"/>
        </w:rPr>
        <w:t> </w:t>
      </w:r>
      <w:r>
        <w:rPr>
          <w:color w:val="231F20"/>
        </w:rPr>
        <w:t>and</w:t>
      </w:r>
      <w:r>
        <w:rPr>
          <w:color w:val="231F20"/>
          <w:spacing w:val="-2"/>
        </w:rPr>
        <w:t> </w:t>
      </w:r>
      <w:r>
        <w:rPr>
          <w:color w:val="231F20"/>
        </w:rPr>
        <w:t>current facts and circumstances are their primary bases for this estimate. When an account is deemed uncollectible, it is charged off against the allowance. In the opinion of management, there was no allowance necessary at year-end.</w:t>
      </w:r>
    </w:p>
    <w:p>
      <w:pPr>
        <w:pStyle w:val="BodyText"/>
        <w:spacing w:before="11"/>
        <w:rPr>
          <w:sz w:val="22"/>
        </w:rPr>
      </w:pPr>
    </w:p>
    <w:p>
      <w:pPr>
        <w:pStyle w:val="Heading4"/>
      </w:pPr>
      <w:r>
        <w:rPr>
          <w:color w:val="231F20"/>
          <w:spacing w:val="-2"/>
        </w:rPr>
        <w:t>Inventories</w:t>
      </w:r>
    </w:p>
    <w:p>
      <w:pPr>
        <w:pStyle w:val="BodyText"/>
        <w:spacing w:line="276" w:lineRule="auto" w:before="34"/>
        <w:ind w:left="1440" w:right="1048"/>
      </w:pPr>
      <w:r>
        <w:rPr>
          <w:color w:val="231F20"/>
        </w:rPr>
        <w:t>Inventories</w:t>
      </w:r>
      <w:r>
        <w:rPr>
          <w:color w:val="231F20"/>
          <w:spacing w:val="-3"/>
        </w:rPr>
        <w:t> </w:t>
      </w:r>
      <w:r>
        <w:rPr>
          <w:color w:val="231F20"/>
        </w:rPr>
        <w:t>of</w:t>
      </w:r>
      <w:r>
        <w:rPr>
          <w:color w:val="231F20"/>
          <w:spacing w:val="-3"/>
        </w:rPr>
        <w:t> </w:t>
      </w:r>
      <w:r>
        <w:rPr>
          <w:color w:val="231F20"/>
        </w:rPr>
        <w:t>supplies</w:t>
      </w:r>
      <w:r>
        <w:rPr>
          <w:color w:val="231F20"/>
          <w:spacing w:val="-3"/>
        </w:rPr>
        <w:t> </w:t>
      </w:r>
      <w:r>
        <w:rPr>
          <w:color w:val="231F20"/>
        </w:rPr>
        <w:t>and</w:t>
      </w:r>
      <w:r>
        <w:rPr>
          <w:color w:val="231F20"/>
          <w:spacing w:val="-4"/>
        </w:rPr>
        <w:t> </w:t>
      </w:r>
      <w:r>
        <w:rPr>
          <w:color w:val="231F20"/>
        </w:rPr>
        <w:t>materials</w:t>
      </w:r>
      <w:r>
        <w:rPr>
          <w:color w:val="231F20"/>
          <w:spacing w:val="-3"/>
        </w:rPr>
        <w:t> </w:t>
      </w:r>
      <w:r>
        <w:rPr>
          <w:color w:val="231F20"/>
        </w:rPr>
        <w:t>held</w:t>
      </w:r>
      <w:r>
        <w:rPr>
          <w:color w:val="231F20"/>
          <w:spacing w:val="-3"/>
        </w:rPr>
        <w:t> </w:t>
      </w:r>
      <w:r>
        <w:rPr>
          <w:color w:val="231F20"/>
        </w:rPr>
        <w:t>for</w:t>
      </w:r>
      <w:r>
        <w:rPr>
          <w:color w:val="231F20"/>
          <w:spacing w:val="-3"/>
        </w:rPr>
        <w:t> </w:t>
      </w:r>
      <w:r>
        <w:rPr>
          <w:color w:val="231F20"/>
        </w:rPr>
        <w:t>sale</w:t>
      </w:r>
      <w:r>
        <w:rPr>
          <w:color w:val="231F20"/>
          <w:spacing w:val="-3"/>
        </w:rPr>
        <w:t> </w:t>
      </w:r>
      <w:r>
        <w:rPr>
          <w:color w:val="231F20"/>
        </w:rPr>
        <w:t>or</w:t>
      </w:r>
      <w:r>
        <w:rPr>
          <w:color w:val="231F20"/>
          <w:spacing w:val="-2"/>
        </w:rPr>
        <w:t> </w:t>
      </w:r>
      <w:r>
        <w:rPr>
          <w:color w:val="231F20"/>
        </w:rPr>
        <w:t>use</w:t>
      </w:r>
      <w:r>
        <w:rPr>
          <w:color w:val="231F20"/>
          <w:spacing w:val="-3"/>
        </w:rPr>
        <w:t> </w:t>
      </w:r>
      <w:r>
        <w:rPr>
          <w:color w:val="231F20"/>
        </w:rPr>
        <w:t>are</w:t>
      </w:r>
      <w:r>
        <w:rPr>
          <w:color w:val="231F20"/>
          <w:spacing w:val="-3"/>
        </w:rPr>
        <w:t> </w:t>
      </w:r>
      <w:r>
        <w:rPr>
          <w:color w:val="231F20"/>
        </w:rPr>
        <w:t>stated</w:t>
      </w:r>
      <w:r>
        <w:rPr>
          <w:color w:val="231F20"/>
          <w:spacing w:val="-4"/>
        </w:rPr>
        <w:t> </w:t>
      </w:r>
      <w:r>
        <w:rPr>
          <w:color w:val="231F20"/>
        </w:rPr>
        <w:t>substantially</w:t>
      </w:r>
      <w:r>
        <w:rPr>
          <w:color w:val="231F20"/>
          <w:spacing w:val="-4"/>
        </w:rPr>
        <w:t> </w:t>
      </w:r>
      <w:r>
        <w:rPr>
          <w:color w:val="231F20"/>
        </w:rPr>
        <w:t>at</w:t>
      </w:r>
      <w:r>
        <w:rPr>
          <w:color w:val="231F20"/>
          <w:spacing w:val="-3"/>
        </w:rPr>
        <w:t> </w:t>
      </w:r>
      <w:r>
        <w:rPr>
          <w:color w:val="231F20"/>
        </w:rPr>
        <w:t>average</w:t>
      </w:r>
      <w:r>
        <w:rPr>
          <w:color w:val="231F20"/>
          <w:spacing w:val="-4"/>
        </w:rPr>
        <w:t> </w:t>
      </w:r>
      <w:r>
        <w:rPr>
          <w:color w:val="231F20"/>
        </w:rPr>
        <w:t>weighted cost. Golf course inventory is stated at cost.</w:t>
      </w:r>
    </w:p>
    <w:p>
      <w:pPr>
        <w:pStyle w:val="BodyText"/>
        <w:rPr>
          <w:sz w:val="23"/>
        </w:rPr>
      </w:pPr>
    </w:p>
    <w:p>
      <w:pPr>
        <w:pStyle w:val="Heading4"/>
      </w:pPr>
      <w:r>
        <w:rPr>
          <w:color w:val="231F20"/>
        </w:rPr>
        <w:t>Income</w:t>
      </w:r>
      <w:r>
        <w:rPr>
          <w:color w:val="231F20"/>
          <w:spacing w:val="-1"/>
        </w:rPr>
        <w:t> </w:t>
      </w:r>
      <w:r>
        <w:rPr>
          <w:color w:val="231F20"/>
          <w:spacing w:val="-2"/>
        </w:rPr>
        <w:t>Taxes</w:t>
      </w:r>
    </w:p>
    <w:p>
      <w:pPr>
        <w:pStyle w:val="BodyText"/>
        <w:spacing w:line="276" w:lineRule="auto" w:before="35"/>
        <w:ind w:left="1440" w:right="1048"/>
      </w:pPr>
      <w:r>
        <w:rPr>
          <w:color w:val="231F20"/>
        </w:rPr>
        <w:t>The Institute, as an instrumentality of the State of New Mexico, is exempt from federal income taxes under</w:t>
      </w:r>
      <w:r>
        <w:rPr>
          <w:color w:val="231F20"/>
          <w:spacing w:val="-3"/>
        </w:rPr>
        <w:t> </w:t>
      </w:r>
      <w:r>
        <w:rPr>
          <w:color w:val="231F20"/>
        </w:rPr>
        <w:t>Section</w:t>
      </w:r>
      <w:r>
        <w:rPr>
          <w:color w:val="231F20"/>
          <w:spacing w:val="-3"/>
        </w:rPr>
        <w:t> </w:t>
      </w:r>
      <w:r>
        <w:rPr>
          <w:color w:val="231F20"/>
        </w:rPr>
        <w:t>115</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Internal</w:t>
      </w:r>
      <w:r>
        <w:rPr>
          <w:color w:val="231F20"/>
          <w:spacing w:val="-4"/>
        </w:rPr>
        <w:t> </w:t>
      </w:r>
      <w:r>
        <w:rPr>
          <w:color w:val="231F20"/>
        </w:rPr>
        <w:t>Revenue</w:t>
      </w:r>
      <w:r>
        <w:rPr>
          <w:color w:val="231F20"/>
          <w:spacing w:val="-3"/>
        </w:rPr>
        <w:t> </w:t>
      </w:r>
      <w:r>
        <w:rPr>
          <w:color w:val="231F20"/>
        </w:rPr>
        <w:t>Code.</w:t>
      </w:r>
      <w:r>
        <w:rPr>
          <w:color w:val="231F20"/>
          <w:spacing w:val="-3"/>
        </w:rPr>
        <w:t> </w:t>
      </w:r>
      <w:r>
        <w:rPr>
          <w:color w:val="231F20"/>
        </w:rPr>
        <w:t>Contributions</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are</w:t>
      </w:r>
      <w:r>
        <w:rPr>
          <w:color w:val="231F20"/>
          <w:spacing w:val="-3"/>
        </w:rPr>
        <w:t> </w:t>
      </w:r>
      <w:r>
        <w:rPr>
          <w:color w:val="231F20"/>
        </w:rPr>
        <w:t>deductible</w:t>
      </w:r>
      <w:r>
        <w:rPr>
          <w:color w:val="231F20"/>
          <w:spacing w:val="-3"/>
        </w:rPr>
        <w:t> </w:t>
      </w:r>
      <w:r>
        <w:rPr>
          <w:color w:val="231F20"/>
        </w:rPr>
        <w:t>by</w:t>
      </w:r>
      <w:r>
        <w:rPr>
          <w:color w:val="231F20"/>
          <w:spacing w:val="-3"/>
        </w:rPr>
        <w:t> </w:t>
      </w:r>
      <w:r>
        <w:rPr>
          <w:color w:val="231F20"/>
        </w:rPr>
        <w:t>donors as provided under Section 170 of the Internal Revenue Code. The Foundation and Research Park Corporation are both exempt from taxes under Section 501(c)(3) of the Internal Revenue Code and the Employee Benefit Trust is</w:t>
      </w:r>
      <w:r>
        <w:rPr>
          <w:color w:val="231F20"/>
          <w:spacing w:val="-1"/>
        </w:rPr>
        <w:t> </w:t>
      </w:r>
      <w:r>
        <w:rPr>
          <w:color w:val="231F20"/>
        </w:rPr>
        <w:t>exempt from taxes under Section 501(c)(9) of the Internal Revenue</w:t>
      </w:r>
      <w:r>
        <w:rPr>
          <w:color w:val="231F20"/>
          <w:spacing w:val="-1"/>
        </w:rPr>
        <w:t> </w:t>
      </w:r>
      <w:r>
        <w:rPr>
          <w:color w:val="231F20"/>
        </w:rPr>
        <w:t>Code for normal activities not unrelated to their exempt purpose.</w:t>
      </w:r>
    </w:p>
    <w:p>
      <w:pPr>
        <w:pStyle w:val="BodyText"/>
        <w:spacing w:before="10"/>
        <w:rPr>
          <w:sz w:val="22"/>
        </w:rPr>
      </w:pPr>
    </w:p>
    <w:p>
      <w:pPr>
        <w:pStyle w:val="Heading4"/>
      </w:pPr>
      <w:r>
        <w:rPr>
          <w:color w:val="231F20"/>
        </w:rPr>
        <w:t>Other</w:t>
      </w:r>
      <w:r>
        <w:rPr>
          <w:color w:val="231F20"/>
          <w:spacing w:val="-5"/>
        </w:rPr>
        <w:t> </w:t>
      </w:r>
      <w:r>
        <w:rPr>
          <w:color w:val="231F20"/>
          <w:spacing w:val="-2"/>
        </w:rPr>
        <w:t>Assets</w:t>
      </w:r>
    </w:p>
    <w:p>
      <w:pPr>
        <w:pStyle w:val="BodyText"/>
        <w:spacing w:before="35"/>
        <w:ind w:left="1440"/>
      </w:pPr>
      <w:r>
        <w:rPr>
          <w:color w:val="231F20"/>
        </w:rPr>
        <w:t>Other</w:t>
      </w:r>
      <w:r>
        <w:rPr>
          <w:color w:val="231F20"/>
          <w:spacing w:val="-7"/>
        </w:rPr>
        <w:t> </w:t>
      </w:r>
      <w:r>
        <w:rPr>
          <w:color w:val="231F20"/>
        </w:rPr>
        <w:t>assets</w:t>
      </w:r>
      <w:r>
        <w:rPr>
          <w:color w:val="231F20"/>
          <w:spacing w:val="-6"/>
        </w:rPr>
        <w:t> </w:t>
      </w:r>
      <w:r>
        <w:rPr>
          <w:color w:val="231F20"/>
        </w:rPr>
        <w:t>primarily</w:t>
      </w:r>
      <w:r>
        <w:rPr>
          <w:color w:val="231F20"/>
          <w:spacing w:val="-6"/>
        </w:rPr>
        <w:t> </w:t>
      </w:r>
      <w:r>
        <w:rPr>
          <w:color w:val="231F20"/>
        </w:rPr>
        <w:t>consist</w:t>
      </w:r>
      <w:r>
        <w:rPr>
          <w:color w:val="231F20"/>
          <w:spacing w:val="-5"/>
        </w:rPr>
        <w:t> </w:t>
      </w:r>
      <w:r>
        <w:rPr>
          <w:color w:val="231F20"/>
        </w:rPr>
        <w:t>of</w:t>
      </w:r>
      <w:r>
        <w:rPr>
          <w:color w:val="231F20"/>
          <w:spacing w:val="-5"/>
        </w:rPr>
        <w:t> </w:t>
      </w:r>
      <w:r>
        <w:rPr>
          <w:color w:val="231F20"/>
        </w:rPr>
        <w:t>student</w:t>
      </w:r>
      <w:r>
        <w:rPr>
          <w:color w:val="231F20"/>
          <w:spacing w:val="-4"/>
        </w:rPr>
        <w:t> </w:t>
      </w:r>
      <w:r>
        <w:rPr>
          <w:color w:val="231F20"/>
        </w:rPr>
        <w:t>loans</w:t>
      </w:r>
      <w:r>
        <w:rPr>
          <w:color w:val="231F20"/>
          <w:spacing w:val="-5"/>
        </w:rPr>
        <w:t> </w:t>
      </w:r>
      <w:r>
        <w:rPr>
          <w:color w:val="231F20"/>
        </w:rPr>
        <w:t>outstanding</w:t>
      </w:r>
      <w:r>
        <w:rPr>
          <w:color w:val="231F20"/>
          <w:spacing w:val="-5"/>
        </w:rPr>
        <w:t> </w:t>
      </w:r>
      <w:r>
        <w:rPr>
          <w:color w:val="231F20"/>
        </w:rPr>
        <w:t>under</w:t>
      </w:r>
      <w:r>
        <w:rPr>
          <w:color w:val="231F20"/>
          <w:spacing w:val="-5"/>
        </w:rPr>
        <w:t> </w:t>
      </w:r>
      <w:r>
        <w:rPr>
          <w:color w:val="231F20"/>
        </w:rPr>
        <w:t>the</w:t>
      </w:r>
      <w:r>
        <w:rPr>
          <w:color w:val="231F20"/>
          <w:spacing w:val="-5"/>
        </w:rPr>
        <w:t> </w:t>
      </w:r>
      <w:r>
        <w:rPr>
          <w:color w:val="231F20"/>
        </w:rPr>
        <w:t>federal</w:t>
      </w:r>
      <w:r>
        <w:rPr>
          <w:color w:val="231F20"/>
          <w:spacing w:val="-5"/>
        </w:rPr>
        <w:t> </w:t>
      </w:r>
      <w:r>
        <w:rPr>
          <w:color w:val="231F20"/>
        </w:rPr>
        <w:t>Perkins</w:t>
      </w:r>
      <w:r>
        <w:rPr>
          <w:color w:val="231F20"/>
          <w:spacing w:val="-5"/>
        </w:rPr>
        <w:t> </w:t>
      </w:r>
      <w:r>
        <w:rPr>
          <w:color w:val="231F20"/>
        </w:rPr>
        <w:t>loan</w:t>
      </w:r>
      <w:r>
        <w:rPr>
          <w:color w:val="231F20"/>
          <w:spacing w:val="-4"/>
        </w:rPr>
        <w:t> </w:t>
      </w:r>
      <w:r>
        <w:rPr>
          <w:color w:val="231F20"/>
          <w:spacing w:val="-2"/>
        </w:rPr>
        <w:t>program.</w:t>
      </w:r>
    </w:p>
    <w:p>
      <w:pPr>
        <w:pStyle w:val="BodyText"/>
        <w:rPr>
          <w:sz w:val="26"/>
        </w:rPr>
      </w:pPr>
    </w:p>
    <w:p>
      <w:pPr>
        <w:pStyle w:val="Heading4"/>
        <w:spacing w:before="1"/>
      </w:pPr>
      <w:r>
        <w:rPr>
          <w:color w:val="231F20"/>
        </w:rPr>
        <w:t>Noncurrent</w:t>
      </w:r>
      <w:r>
        <w:rPr>
          <w:color w:val="231F20"/>
          <w:spacing w:val="-8"/>
        </w:rPr>
        <w:t> </w:t>
      </w:r>
      <w:r>
        <w:rPr>
          <w:color w:val="231F20"/>
        </w:rPr>
        <w:t>Cash</w:t>
      </w:r>
      <w:r>
        <w:rPr>
          <w:color w:val="231F20"/>
          <w:spacing w:val="-6"/>
        </w:rPr>
        <w:t> </w:t>
      </w:r>
      <w:r>
        <w:rPr>
          <w:color w:val="231F20"/>
        </w:rPr>
        <w:t>and</w:t>
      </w:r>
      <w:r>
        <w:rPr>
          <w:color w:val="231F20"/>
          <w:spacing w:val="-6"/>
        </w:rPr>
        <w:t> </w:t>
      </w:r>
      <w:r>
        <w:rPr>
          <w:color w:val="231F20"/>
          <w:spacing w:val="-2"/>
        </w:rPr>
        <w:t>Investments</w:t>
      </w:r>
    </w:p>
    <w:p>
      <w:pPr>
        <w:pStyle w:val="BodyText"/>
        <w:spacing w:line="276" w:lineRule="auto" w:before="34"/>
        <w:ind w:left="1440" w:right="891"/>
      </w:pPr>
      <w:r>
        <w:rPr>
          <w:color w:val="231F20"/>
        </w:rPr>
        <w:t>Cash and investments that are externally restricted to make debt service payments, maintain sinking or reserve</w:t>
      </w:r>
      <w:r>
        <w:rPr>
          <w:color w:val="231F20"/>
          <w:spacing w:val="-3"/>
        </w:rPr>
        <w:t> </w:t>
      </w:r>
      <w:r>
        <w:rPr>
          <w:color w:val="231F20"/>
        </w:rPr>
        <w:t>funds,</w:t>
      </w:r>
      <w:r>
        <w:rPr>
          <w:color w:val="231F20"/>
          <w:spacing w:val="-3"/>
        </w:rPr>
        <w:t> </w:t>
      </w:r>
      <w:r>
        <w:rPr>
          <w:color w:val="231F20"/>
        </w:rPr>
        <w:t>or</w:t>
      </w:r>
      <w:r>
        <w:rPr>
          <w:color w:val="231F20"/>
          <w:spacing w:val="-3"/>
        </w:rPr>
        <w:t> </w:t>
      </w:r>
      <w:r>
        <w:rPr>
          <w:color w:val="231F20"/>
        </w:rPr>
        <w:t>to</w:t>
      </w:r>
      <w:r>
        <w:rPr>
          <w:color w:val="231F20"/>
          <w:spacing w:val="-3"/>
        </w:rPr>
        <w:t> </w:t>
      </w:r>
      <w:r>
        <w:rPr>
          <w:color w:val="231F20"/>
        </w:rPr>
        <w:t>purchase</w:t>
      </w:r>
      <w:r>
        <w:rPr>
          <w:color w:val="231F20"/>
          <w:spacing w:val="-3"/>
        </w:rPr>
        <w:t> </w:t>
      </w:r>
      <w:r>
        <w:rPr>
          <w:color w:val="231F20"/>
        </w:rPr>
        <w:t>or</w:t>
      </w:r>
      <w:r>
        <w:rPr>
          <w:color w:val="231F20"/>
          <w:spacing w:val="-4"/>
        </w:rPr>
        <w:t> </w:t>
      </w:r>
      <w:r>
        <w:rPr>
          <w:color w:val="231F20"/>
        </w:rPr>
        <w:t>construct</w:t>
      </w:r>
      <w:r>
        <w:rPr>
          <w:color w:val="231F20"/>
          <w:spacing w:val="-3"/>
        </w:rPr>
        <w:t> </w:t>
      </w:r>
      <w:r>
        <w:rPr>
          <w:color w:val="231F20"/>
        </w:rPr>
        <w:t>capital</w:t>
      </w:r>
      <w:r>
        <w:rPr>
          <w:color w:val="231F20"/>
          <w:spacing w:val="-3"/>
        </w:rPr>
        <w:t> </w:t>
      </w:r>
      <w:r>
        <w:rPr>
          <w:color w:val="231F20"/>
        </w:rPr>
        <w:t>or</w:t>
      </w:r>
      <w:r>
        <w:rPr>
          <w:color w:val="231F20"/>
          <w:spacing w:val="-3"/>
        </w:rPr>
        <w:t> </w:t>
      </w:r>
      <w:r>
        <w:rPr>
          <w:color w:val="231F20"/>
        </w:rPr>
        <w:t>other</w:t>
      </w:r>
      <w:r>
        <w:rPr>
          <w:color w:val="231F20"/>
          <w:spacing w:val="-3"/>
        </w:rPr>
        <w:t> </w:t>
      </w:r>
      <w:r>
        <w:rPr>
          <w:color w:val="231F20"/>
        </w:rPr>
        <w:t>noncurrent</w:t>
      </w:r>
      <w:r>
        <w:rPr>
          <w:color w:val="231F20"/>
          <w:spacing w:val="-3"/>
        </w:rPr>
        <w:t> </w:t>
      </w:r>
      <w:r>
        <w:rPr>
          <w:color w:val="231F20"/>
        </w:rPr>
        <w:t>assets,</w:t>
      </w:r>
      <w:r>
        <w:rPr>
          <w:color w:val="231F20"/>
          <w:spacing w:val="-3"/>
        </w:rPr>
        <w:t> </w:t>
      </w:r>
      <w:r>
        <w:rPr>
          <w:color w:val="231F20"/>
        </w:rPr>
        <w:t>are</w:t>
      </w:r>
      <w:r>
        <w:rPr>
          <w:color w:val="231F20"/>
          <w:spacing w:val="-4"/>
        </w:rPr>
        <w:t> </w:t>
      </w:r>
      <w:r>
        <w:rPr>
          <w:color w:val="231F20"/>
        </w:rPr>
        <w:t>classified</w:t>
      </w:r>
      <w:r>
        <w:rPr>
          <w:color w:val="231F20"/>
          <w:spacing w:val="-3"/>
        </w:rPr>
        <w:t> </w:t>
      </w:r>
      <w:r>
        <w:rPr>
          <w:color w:val="231F20"/>
        </w:rPr>
        <w:t>as</w:t>
      </w:r>
      <w:r>
        <w:rPr>
          <w:color w:val="231F20"/>
          <w:spacing w:val="-3"/>
        </w:rPr>
        <w:t> </w:t>
      </w:r>
      <w:r>
        <w:rPr>
          <w:color w:val="231F20"/>
        </w:rPr>
        <w:t>noncurrent assets in the statement of net position.</w:t>
      </w:r>
    </w:p>
    <w:p>
      <w:pPr>
        <w:pStyle w:val="BodyText"/>
        <w:rPr>
          <w:sz w:val="23"/>
        </w:rPr>
      </w:pPr>
    </w:p>
    <w:p>
      <w:pPr>
        <w:pStyle w:val="Heading4"/>
      </w:pPr>
      <w:r>
        <w:rPr>
          <w:color w:val="231F20"/>
        </w:rPr>
        <w:t>Capital</w:t>
      </w:r>
      <w:r>
        <w:rPr>
          <w:color w:val="231F20"/>
          <w:spacing w:val="-7"/>
        </w:rPr>
        <w:t> </w:t>
      </w:r>
      <w:r>
        <w:rPr>
          <w:color w:val="231F20"/>
          <w:spacing w:val="-2"/>
        </w:rPr>
        <w:t>Assets</w:t>
      </w:r>
    </w:p>
    <w:p>
      <w:pPr>
        <w:pStyle w:val="BodyText"/>
        <w:spacing w:line="276" w:lineRule="auto" w:before="34"/>
        <w:ind w:left="1439" w:right="895"/>
      </w:pPr>
      <w:r>
        <w:rPr>
          <w:color w:val="231F20"/>
        </w:rPr>
        <w:t>Capital assets purchased or acquired at a value of $5,000 or greater are capitalized per Section 12-6-10 NMSA 1978. All capital assets are valued at historical cost or estimated historical cost if actual history is not available. Donated assets, or those contributed by other governmental entities, are valued at their estimated</w:t>
      </w:r>
      <w:r>
        <w:rPr>
          <w:color w:val="231F20"/>
          <w:spacing w:val="-3"/>
        </w:rPr>
        <w:t> </w:t>
      </w:r>
      <w:r>
        <w:rPr>
          <w:color w:val="231F20"/>
        </w:rPr>
        <w:t>fair</w:t>
      </w:r>
      <w:r>
        <w:rPr>
          <w:color w:val="231F20"/>
          <w:spacing w:val="-4"/>
        </w:rPr>
        <w:t> </w:t>
      </w:r>
      <w:r>
        <w:rPr>
          <w:color w:val="231F20"/>
        </w:rPr>
        <w:t>value</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date</w:t>
      </w:r>
      <w:r>
        <w:rPr>
          <w:color w:val="231F20"/>
          <w:spacing w:val="-3"/>
        </w:rPr>
        <w:t> </w:t>
      </w:r>
      <w:r>
        <w:rPr>
          <w:color w:val="231F20"/>
        </w:rPr>
        <w:t>donated.</w:t>
      </w:r>
      <w:r>
        <w:rPr>
          <w:color w:val="231F20"/>
          <w:spacing w:val="-4"/>
        </w:rPr>
        <w:t> </w:t>
      </w:r>
      <w:r>
        <w:rPr>
          <w:color w:val="231F20"/>
        </w:rPr>
        <w:t>Renovations</w:t>
      </w:r>
      <w:r>
        <w:rPr>
          <w:color w:val="231F20"/>
          <w:spacing w:val="-4"/>
        </w:rPr>
        <w:t> </w:t>
      </w:r>
      <w:r>
        <w:rPr>
          <w:color w:val="231F20"/>
        </w:rPr>
        <w:t>to</w:t>
      </w:r>
      <w:r>
        <w:rPr>
          <w:color w:val="231F20"/>
          <w:spacing w:val="-3"/>
        </w:rPr>
        <w:t> </w:t>
      </w:r>
      <w:r>
        <w:rPr>
          <w:color w:val="231F20"/>
        </w:rPr>
        <w:t>buildings,</w:t>
      </w:r>
      <w:r>
        <w:rPr>
          <w:color w:val="231F20"/>
          <w:spacing w:val="-3"/>
        </w:rPr>
        <w:t> </w:t>
      </w:r>
      <w:r>
        <w:rPr>
          <w:color w:val="231F20"/>
        </w:rPr>
        <w:t>infrastructure,</w:t>
      </w:r>
      <w:r>
        <w:rPr>
          <w:color w:val="231F20"/>
          <w:spacing w:val="-4"/>
        </w:rPr>
        <w:t> </w:t>
      </w:r>
      <w:r>
        <w:rPr>
          <w:color w:val="231F20"/>
        </w:rPr>
        <w:t>and</w:t>
      </w:r>
      <w:r>
        <w:rPr>
          <w:color w:val="231F20"/>
          <w:spacing w:val="-3"/>
        </w:rPr>
        <w:t> </w:t>
      </w:r>
      <w:r>
        <w:rPr>
          <w:color w:val="231F20"/>
        </w:rPr>
        <w:t>land</w:t>
      </w:r>
      <w:r>
        <w:rPr>
          <w:color w:val="231F20"/>
          <w:spacing w:val="-3"/>
        </w:rPr>
        <w:t> </w:t>
      </w:r>
      <w:r>
        <w:rPr>
          <w:color w:val="231F20"/>
        </w:rPr>
        <w:t>improvements that significantly increase the value or extend the useful life of the structure are capitalized in the year in which the project was considered completed. The Institute does not capitalize historical treasures or works of art as they are immaterial. Other costs incurred for repairs and maintenance are expensed as </w:t>
      </w:r>
      <w:r>
        <w:rPr>
          <w:color w:val="231F20"/>
          <w:spacing w:val="-2"/>
        </w:rPr>
        <w:t>incurred.</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pStyle w:val="BodyText"/>
        <w:spacing w:line="276" w:lineRule="auto"/>
        <w:ind w:left="1440" w:right="1505"/>
      </w:pPr>
      <w:r>
        <w:rPr>
          <w:color w:val="231F20"/>
        </w:rPr>
        <w:t>Depreciation</w:t>
      </w:r>
      <w:r>
        <w:rPr>
          <w:color w:val="231F20"/>
          <w:spacing w:val="-12"/>
        </w:rPr>
        <w:t> </w:t>
      </w:r>
      <w:r>
        <w:rPr>
          <w:color w:val="231F20"/>
        </w:rPr>
        <w:t>on</w:t>
      </w:r>
      <w:r>
        <w:rPr>
          <w:color w:val="231F20"/>
          <w:spacing w:val="-10"/>
        </w:rPr>
        <w:t> </w:t>
      </w:r>
      <w:r>
        <w:rPr>
          <w:color w:val="231F20"/>
        </w:rPr>
        <w:t>all</w:t>
      </w:r>
      <w:r>
        <w:rPr>
          <w:color w:val="231F20"/>
          <w:spacing w:val="-10"/>
        </w:rPr>
        <w:t> </w:t>
      </w:r>
      <w:r>
        <w:rPr>
          <w:color w:val="231F20"/>
        </w:rPr>
        <w:t>assets</w:t>
      </w:r>
      <w:r>
        <w:rPr>
          <w:color w:val="231F20"/>
          <w:spacing w:val="-10"/>
        </w:rPr>
        <w:t> </w:t>
      </w:r>
      <w:r>
        <w:rPr>
          <w:color w:val="231F20"/>
        </w:rPr>
        <w:t>is</w:t>
      </w:r>
      <w:r>
        <w:rPr>
          <w:color w:val="231F20"/>
          <w:spacing w:val="-10"/>
        </w:rPr>
        <w:t> </w:t>
      </w:r>
      <w:r>
        <w:rPr>
          <w:color w:val="231F20"/>
        </w:rPr>
        <w:t>calculated</w:t>
      </w:r>
      <w:r>
        <w:rPr>
          <w:color w:val="231F20"/>
          <w:spacing w:val="-10"/>
        </w:rPr>
        <w:t> </w:t>
      </w:r>
      <w:r>
        <w:rPr>
          <w:color w:val="231F20"/>
        </w:rPr>
        <w:t>on</w:t>
      </w:r>
      <w:r>
        <w:rPr>
          <w:color w:val="231F20"/>
          <w:spacing w:val="-10"/>
        </w:rPr>
        <w:t> </w:t>
      </w:r>
      <w:r>
        <w:rPr>
          <w:color w:val="231F20"/>
        </w:rPr>
        <w:t>the</w:t>
      </w:r>
      <w:r>
        <w:rPr>
          <w:color w:val="231F20"/>
          <w:spacing w:val="-11"/>
        </w:rPr>
        <w:t> </w:t>
      </w:r>
      <w:r>
        <w:rPr>
          <w:color w:val="231F20"/>
        </w:rPr>
        <w:t>straight-line</w:t>
      </w:r>
      <w:r>
        <w:rPr>
          <w:color w:val="231F20"/>
          <w:spacing w:val="-10"/>
        </w:rPr>
        <w:t> </w:t>
      </w:r>
      <w:r>
        <w:rPr>
          <w:color w:val="231F20"/>
        </w:rPr>
        <w:t>basis</w:t>
      </w:r>
      <w:r>
        <w:rPr>
          <w:color w:val="231F20"/>
          <w:spacing w:val="-10"/>
        </w:rPr>
        <w:t> </w:t>
      </w:r>
      <w:r>
        <w:rPr>
          <w:color w:val="231F20"/>
        </w:rPr>
        <w:t>over</w:t>
      </w:r>
      <w:r>
        <w:rPr>
          <w:color w:val="231F20"/>
          <w:spacing w:val="-10"/>
        </w:rPr>
        <w:t> </w:t>
      </w:r>
      <w:r>
        <w:rPr>
          <w:color w:val="231F20"/>
        </w:rPr>
        <w:t>estimated</w:t>
      </w:r>
      <w:r>
        <w:rPr>
          <w:color w:val="231F20"/>
          <w:spacing w:val="-10"/>
        </w:rPr>
        <w:t> </w:t>
      </w:r>
      <w:r>
        <w:rPr>
          <w:color w:val="231F20"/>
        </w:rPr>
        <w:t>useful</w:t>
      </w:r>
      <w:r>
        <w:rPr>
          <w:color w:val="231F20"/>
          <w:spacing w:val="-10"/>
        </w:rPr>
        <w:t> </w:t>
      </w:r>
      <w:r>
        <w:rPr>
          <w:color w:val="231F20"/>
        </w:rPr>
        <w:t>lives</w:t>
      </w:r>
      <w:r>
        <w:rPr>
          <w:color w:val="231F20"/>
          <w:spacing w:val="-10"/>
        </w:rPr>
        <w:t> </w:t>
      </w:r>
      <w:r>
        <w:rPr>
          <w:color w:val="231F20"/>
        </w:rPr>
        <w:t>with</w:t>
      </w:r>
      <w:r>
        <w:rPr>
          <w:color w:val="231F20"/>
          <w:spacing w:val="-1"/>
        </w:rPr>
        <w:t> </w:t>
      </w:r>
      <w:r>
        <w:rPr>
          <w:color w:val="231F20"/>
        </w:rPr>
        <w:t>no salvage</w:t>
      </w:r>
      <w:r>
        <w:rPr>
          <w:color w:val="231F20"/>
          <w:spacing w:val="-9"/>
        </w:rPr>
        <w:t> </w:t>
      </w:r>
      <w:r>
        <w:rPr>
          <w:color w:val="231F20"/>
        </w:rPr>
        <w:t>value.</w:t>
      </w:r>
      <w:r>
        <w:rPr>
          <w:color w:val="231F20"/>
          <w:spacing w:val="-6"/>
        </w:rPr>
        <w:t> </w:t>
      </w:r>
      <w:r>
        <w:rPr>
          <w:color w:val="231F20"/>
        </w:rPr>
        <w:t>Estimated</w:t>
      </w:r>
      <w:r>
        <w:rPr>
          <w:color w:val="231F20"/>
          <w:spacing w:val="-7"/>
        </w:rPr>
        <w:t> </w:t>
      </w:r>
      <w:r>
        <w:rPr>
          <w:color w:val="231F20"/>
        </w:rPr>
        <w:t>useful</w:t>
      </w:r>
      <w:r>
        <w:rPr>
          <w:color w:val="231F20"/>
          <w:spacing w:val="-6"/>
        </w:rPr>
        <w:t> </w:t>
      </w:r>
      <w:r>
        <w:rPr>
          <w:color w:val="231F20"/>
        </w:rPr>
        <w:t>lives</w:t>
      </w:r>
      <w:r>
        <w:rPr>
          <w:color w:val="231F20"/>
          <w:spacing w:val="-7"/>
        </w:rPr>
        <w:t> </w:t>
      </w:r>
      <w:r>
        <w:rPr>
          <w:color w:val="231F20"/>
        </w:rPr>
        <w:t>and</w:t>
      </w:r>
      <w:r>
        <w:rPr>
          <w:color w:val="231F20"/>
          <w:spacing w:val="-6"/>
        </w:rPr>
        <w:t> </w:t>
      </w:r>
      <w:r>
        <w:rPr>
          <w:color w:val="231F20"/>
        </w:rPr>
        <w:t>capitalization</w:t>
      </w:r>
      <w:r>
        <w:rPr>
          <w:color w:val="231F20"/>
          <w:spacing w:val="-7"/>
        </w:rPr>
        <w:t> </w:t>
      </w:r>
      <w:r>
        <w:rPr>
          <w:color w:val="231F20"/>
        </w:rPr>
        <w:t>thresholds</w:t>
      </w:r>
      <w:r>
        <w:rPr>
          <w:color w:val="231F20"/>
          <w:spacing w:val="-7"/>
        </w:rPr>
        <w:t> </w:t>
      </w:r>
      <w:r>
        <w:rPr>
          <w:color w:val="231F20"/>
        </w:rPr>
        <w:t>of</w:t>
      </w:r>
      <w:r>
        <w:rPr>
          <w:color w:val="231F20"/>
          <w:spacing w:val="-7"/>
        </w:rPr>
        <w:t> </w:t>
      </w:r>
      <w:r>
        <w:rPr>
          <w:color w:val="231F20"/>
        </w:rPr>
        <w:t>capital</w:t>
      </w:r>
      <w:r>
        <w:rPr>
          <w:color w:val="231F20"/>
          <w:spacing w:val="-6"/>
        </w:rPr>
        <w:t> </w:t>
      </w:r>
      <w:r>
        <w:rPr>
          <w:color w:val="231F20"/>
        </w:rPr>
        <w:t>assets</w:t>
      </w:r>
      <w:r>
        <w:rPr>
          <w:color w:val="231F20"/>
          <w:spacing w:val="-7"/>
        </w:rPr>
        <w:t> </w:t>
      </w:r>
      <w:r>
        <w:rPr>
          <w:color w:val="231F20"/>
        </w:rPr>
        <w:t>are</w:t>
      </w:r>
      <w:r>
        <w:rPr>
          <w:color w:val="231F20"/>
          <w:spacing w:val="-7"/>
        </w:rPr>
        <w:t> </w:t>
      </w:r>
      <w:r>
        <w:rPr>
          <w:color w:val="231F20"/>
        </w:rPr>
        <w:t>as</w:t>
      </w:r>
      <w:r>
        <w:rPr>
          <w:color w:val="231F20"/>
          <w:spacing w:val="-6"/>
        </w:rPr>
        <w:t> </w:t>
      </w:r>
      <w:r>
        <w:rPr>
          <w:color w:val="231F20"/>
          <w:spacing w:val="-2"/>
        </w:rPr>
        <w:t>follows:</w:t>
      </w:r>
    </w:p>
    <w:p>
      <w:pPr>
        <w:pStyle w:val="BodyText"/>
        <w:spacing w:before="1"/>
        <w:rPr>
          <w:sz w:val="25"/>
        </w:rPr>
      </w:pPr>
    </w:p>
    <w:tbl>
      <w:tblPr>
        <w:tblW w:w="0" w:type="auto"/>
        <w:jc w:val="left"/>
        <w:tblInd w:w="1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55"/>
        <w:gridCol w:w="3773"/>
        <w:gridCol w:w="2472"/>
      </w:tblGrid>
      <w:tr>
        <w:trPr>
          <w:trHeight w:val="259" w:hRule="atLeast"/>
        </w:trPr>
        <w:tc>
          <w:tcPr>
            <w:tcW w:w="3155" w:type="dxa"/>
          </w:tcPr>
          <w:p>
            <w:pPr>
              <w:pStyle w:val="TableParagraph"/>
              <w:rPr>
                <w:rFonts w:ascii="Times New Roman"/>
                <w:sz w:val="18"/>
              </w:rPr>
            </w:pPr>
          </w:p>
        </w:tc>
        <w:tc>
          <w:tcPr>
            <w:tcW w:w="3773" w:type="dxa"/>
          </w:tcPr>
          <w:p>
            <w:pPr>
              <w:pStyle w:val="TableParagraph"/>
              <w:spacing w:line="217" w:lineRule="exact"/>
              <w:ind w:left="527"/>
              <w:jc w:val="center"/>
              <w:rPr>
                <w:sz w:val="19"/>
              </w:rPr>
            </w:pPr>
            <w:r>
              <w:rPr>
                <w:color w:val="231F20"/>
                <w:spacing w:val="43"/>
                <w:w w:val="105"/>
                <w:sz w:val="19"/>
                <w:u w:val="single" w:color="231F20"/>
              </w:rPr>
              <w:t>  </w:t>
            </w:r>
            <w:r>
              <w:rPr>
                <w:color w:val="231F20"/>
                <w:w w:val="105"/>
                <w:sz w:val="19"/>
                <w:u w:val="single" w:color="231F20"/>
              </w:rPr>
              <w:t>Life (in</w:t>
            </w:r>
            <w:r>
              <w:rPr>
                <w:color w:val="231F20"/>
                <w:spacing w:val="-2"/>
                <w:w w:val="105"/>
                <w:sz w:val="19"/>
                <w:u w:val="single" w:color="231F20"/>
              </w:rPr>
              <w:t> years)</w:t>
            </w:r>
            <w:r>
              <w:rPr>
                <w:color w:val="231F20"/>
                <w:spacing w:val="40"/>
                <w:w w:val="105"/>
                <w:sz w:val="19"/>
                <w:u w:val="single" w:color="231F20"/>
              </w:rPr>
              <w:t> </w:t>
            </w:r>
          </w:p>
        </w:tc>
        <w:tc>
          <w:tcPr>
            <w:tcW w:w="2472" w:type="dxa"/>
          </w:tcPr>
          <w:p>
            <w:pPr>
              <w:pStyle w:val="TableParagraph"/>
              <w:tabs>
                <w:tab w:pos="1189" w:val="left" w:leader="none"/>
                <w:tab w:pos="2422" w:val="left" w:leader="none"/>
              </w:tabs>
              <w:spacing w:line="217" w:lineRule="exact"/>
              <w:ind w:left="825"/>
              <w:rPr>
                <w:sz w:val="19"/>
              </w:rPr>
            </w:pPr>
            <w:r>
              <w:rPr>
                <w:color w:val="231F20"/>
                <w:sz w:val="19"/>
                <w:u w:val="single" w:color="231F20"/>
              </w:rPr>
              <w:tab/>
            </w:r>
            <w:r>
              <w:rPr>
                <w:color w:val="231F20"/>
                <w:spacing w:val="-2"/>
                <w:w w:val="105"/>
                <w:sz w:val="19"/>
                <w:u w:val="single" w:color="231F20"/>
              </w:rPr>
              <w:t>Threshold</w:t>
            </w:r>
            <w:r>
              <w:rPr>
                <w:color w:val="231F20"/>
                <w:sz w:val="19"/>
                <w:u w:val="single" w:color="231F20"/>
              </w:rPr>
              <w:tab/>
            </w:r>
          </w:p>
        </w:tc>
      </w:tr>
      <w:tr>
        <w:trPr>
          <w:trHeight w:val="274" w:hRule="atLeast"/>
        </w:trPr>
        <w:tc>
          <w:tcPr>
            <w:tcW w:w="3155" w:type="dxa"/>
          </w:tcPr>
          <w:p>
            <w:pPr>
              <w:pStyle w:val="TableParagraph"/>
              <w:spacing w:line="214" w:lineRule="exact" w:before="40"/>
              <w:ind w:left="50"/>
              <w:rPr>
                <w:sz w:val="19"/>
              </w:rPr>
            </w:pPr>
            <w:r>
              <w:rPr>
                <w:color w:val="231F20"/>
                <w:w w:val="105"/>
                <w:sz w:val="19"/>
              </w:rPr>
              <w:t>Land</w:t>
            </w:r>
            <w:r>
              <w:rPr>
                <w:color w:val="231F20"/>
                <w:spacing w:val="-3"/>
                <w:w w:val="105"/>
                <w:sz w:val="19"/>
              </w:rPr>
              <w:t> </w:t>
            </w:r>
            <w:r>
              <w:rPr>
                <w:color w:val="231F20"/>
                <w:spacing w:val="-2"/>
                <w:w w:val="105"/>
                <w:sz w:val="19"/>
              </w:rPr>
              <w:t>improvements</w:t>
            </w:r>
          </w:p>
        </w:tc>
        <w:tc>
          <w:tcPr>
            <w:tcW w:w="3773" w:type="dxa"/>
          </w:tcPr>
          <w:p>
            <w:pPr>
              <w:pStyle w:val="TableParagraph"/>
              <w:spacing w:line="214" w:lineRule="exact" w:before="40"/>
              <w:ind w:left="543"/>
              <w:jc w:val="center"/>
              <w:rPr>
                <w:sz w:val="19"/>
              </w:rPr>
            </w:pPr>
            <w:r>
              <w:rPr>
                <w:color w:val="231F20"/>
                <w:spacing w:val="-5"/>
                <w:w w:val="105"/>
                <w:sz w:val="19"/>
              </w:rPr>
              <w:t>30</w:t>
            </w:r>
          </w:p>
        </w:tc>
        <w:tc>
          <w:tcPr>
            <w:tcW w:w="2472" w:type="dxa"/>
          </w:tcPr>
          <w:p>
            <w:pPr>
              <w:pStyle w:val="TableParagraph"/>
              <w:tabs>
                <w:tab w:pos="1592" w:val="left" w:leader="none"/>
              </w:tabs>
              <w:spacing w:line="214" w:lineRule="exact" w:before="40"/>
              <w:ind w:left="931"/>
              <w:rPr>
                <w:sz w:val="19"/>
              </w:rPr>
            </w:pPr>
            <w:r>
              <w:rPr>
                <w:color w:val="231F20"/>
                <w:spacing w:val="-10"/>
                <w:w w:val="105"/>
                <w:sz w:val="19"/>
              </w:rPr>
              <w:t>$</w:t>
            </w:r>
            <w:r>
              <w:rPr>
                <w:color w:val="231F20"/>
                <w:sz w:val="19"/>
              </w:rPr>
              <w:tab/>
            </w:r>
            <w:r>
              <w:rPr>
                <w:color w:val="231F20"/>
                <w:spacing w:val="-2"/>
                <w:w w:val="105"/>
                <w:sz w:val="19"/>
              </w:rPr>
              <w:t>100,000</w:t>
            </w:r>
          </w:p>
        </w:tc>
      </w:tr>
      <w:tr>
        <w:trPr>
          <w:trHeight w:val="245" w:hRule="atLeast"/>
        </w:trPr>
        <w:tc>
          <w:tcPr>
            <w:tcW w:w="3155" w:type="dxa"/>
          </w:tcPr>
          <w:p>
            <w:pPr>
              <w:pStyle w:val="TableParagraph"/>
              <w:spacing w:line="212" w:lineRule="exact" w:before="13"/>
              <w:ind w:left="50"/>
              <w:rPr>
                <w:sz w:val="19"/>
              </w:rPr>
            </w:pPr>
            <w:r>
              <w:rPr>
                <w:color w:val="231F20"/>
                <w:spacing w:val="-2"/>
                <w:w w:val="105"/>
                <w:sz w:val="19"/>
              </w:rPr>
              <w:t>Building</w:t>
            </w:r>
          </w:p>
        </w:tc>
        <w:tc>
          <w:tcPr>
            <w:tcW w:w="3773" w:type="dxa"/>
          </w:tcPr>
          <w:p>
            <w:pPr>
              <w:pStyle w:val="TableParagraph"/>
              <w:spacing w:line="212" w:lineRule="exact" w:before="13"/>
              <w:ind w:left="545"/>
              <w:jc w:val="center"/>
              <w:rPr>
                <w:sz w:val="19"/>
              </w:rPr>
            </w:pPr>
            <w:r>
              <w:rPr>
                <w:color w:val="231F20"/>
                <w:spacing w:val="-5"/>
                <w:w w:val="105"/>
                <w:sz w:val="19"/>
              </w:rPr>
              <w:t>30</w:t>
            </w:r>
          </w:p>
        </w:tc>
        <w:tc>
          <w:tcPr>
            <w:tcW w:w="2472" w:type="dxa"/>
          </w:tcPr>
          <w:p>
            <w:pPr>
              <w:pStyle w:val="TableParagraph"/>
              <w:tabs>
                <w:tab w:pos="1593" w:val="left" w:leader="none"/>
              </w:tabs>
              <w:spacing w:line="212" w:lineRule="exact" w:before="13"/>
              <w:ind w:left="931"/>
              <w:rPr>
                <w:sz w:val="19"/>
              </w:rPr>
            </w:pPr>
            <w:r>
              <w:rPr>
                <w:color w:val="231F20"/>
                <w:spacing w:val="-10"/>
                <w:w w:val="105"/>
                <w:sz w:val="19"/>
              </w:rPr>
              <w:t>$</w:t>
            </w:r>
            <w:r>
              <w:rPr>
                <w:color w:val="231F20"/>
                <w:sz w:val="19"/>
              </w:rPr>
              <w:tab/>
            </w:r>
            <w:r>
              <w:rPr>
                <w:color w:val="231F20"/>
                <w:spacing w:val="-2"/>
                <w:w w:val="105"/>
                <w:sz w:val="19"/>
              </w:rPr>
              <w:t>100,000</w:t>
            </w:r>
          </w:p>
        </w:tc>
      </w:tr>
      <w:tr>
        <w:trPr>
          <w:trHeight w:val="243" w:hRule="atLeast"/>
        </w:trPr>
        <w:tc>
          <w:tcPr>
            <w:tcW w:w="3155" w:type="dxa"/>
          </w:tcPr>
          <w:p>
            <w:pPr>
              <w:pStyle w:val="TableParagraph"/>
              <w:spacing w:line="212" w:lineRule="exact" w:before="11"/>
              <w:ind w:left="50"/>
              <w:rPr>
                <w:sz w:val="19"/>
              </w:rPr>
            </w:pPr>
            <w:r>
              <w:rPr>
                <w:color w:val="231F20"/>
                <w:spacing w:val="-2"/>
                <w:w w:val="105"/>
                <w:sz w:val="19"/>
              </w:rPr>
              <w:t>Infrastructure</w:t>
            </w:r>
          </w:p>
        </w:tc>
        <w:tc>
          <w:tcPr>
            <w:tcW w:w="3773" w:type="dxa"/>
          </w:tcPr>
          <w:p>
            <w:pPr>
              <w:pStyle w:val="TableParagraph"/>
              <w:spacing w:line="212" w:lineRule="exact" w:before="11"/>
              <w:ind w:left="547"/>
              <w:jc w:val="center"/>
              <w:rPr>
                <w:sz w:val="19"/>
              </w:rPr>
            </w:pPr>
            <w:r>
              <w:rPr>
                <w:color w:val="231F20"/>
                <w:spacing w:val="-5"/>
                <w:w w:val="105"/>
                <w:sz w:val="19"/>
              </w:rPr>
              <w:t>30</w:t>
            </w:r>
          </w:p>
        </w:tc>
        <w:tc>
          <w:tcPr>
            <w:tcW w:w="2472" w:type="dxa"/>
          </w:tcPr>
          <w:p>
            <w:pPr>
              <w:pStyle w:val="TableParagraph"/>
              <w:tabs>
                <w:tab w:pos="1594" w:val="left" w:leader="none"/>
              </w:tabs>
              <w:spacing w:line="212" w:lineRule="exact" w:before="11"/>
              <w:ind w:left="931"/>
              <w:rPr>
                <w:sz w:val="19"/>
              </w:rPr>
            </w:pPr>
            <w:r>
              <w:rPr>
                <w:color w:val="231F20"/>
                <w:spacing w:val="-10"/>
                <w:w w:val="105"/>
                <w:sz w:val="19"/>
              </w:rPr>
              <w:t>$</w:t>
            </w:r>
            <w:r>
              <w:rPr>
                <w:color w:val="231F20"/>
                <w:sz w:val="19"/>
              </w:rPr>
              <w:tab/>
            </w:r>
            <w:r>
              <w:rPr>
                <w:color w:val="231F20"/>
                <w:spacing w:val="-2"/>
                <w:w w:val="105"/>
                <w:sz w:val="19"/>
              </w:rPr>
              <w:t>100,000</w:t>
            </w:r>
          </w:p>
        </w:tc>
      </w:tr>
      <w:tr>
        <w:trPr>
          <w:trHeight w:val="243" w:hRule="atLeast"/>
        </w:trPr>
        <w:tc>
          <w:tcPr>
            <w:tcW w:w="3155" w:type="dxa"/>
          </w:tcPr>
          <w:p>
            <w:pPr>
              <w:pStyle w:val="TableParagraph"/>
              <w:spacing w:line="212" w:lineRule="exact" w:before="10"/>
              <w:ind w:left="50"/>
              <w:rPr>
                <w:sz w:val="19"/>
              </w:rPr>
            </w:pPr>
            <w:r>
              <w:rPr>
                <w:color w:val="231F20"/>
                <w:spacing w:val="-2"/>
                <w:w w:val="105"/>
                <w:sz w:val="19"/>
              </w:rPr>
              <w:t>Computers</w:t>
            </w:r>
          </w:p>
        </w:tc>
        <w:tc>
          <w:tcPr>
            <w:tcW w:w="3773" w:type="dxa"/>
          </w:tcPr>
          <w:p>
            <w:pPr>
              <w:pStyle w:val="TableParagraph"/>
              <w:spacing w:line="212" w:lineRule="exact" w:before="10"/>
              <w:ind w:left="543"/>
              <w:jc w:val="center"/>
              <w:rPr>
                <w:sz w:val="19"/>
              </w:rPr>
            </w:pPr>
            <w:r>
              <w:rPr>
                <w:color w:val="231F20"/>
                <w:w w:val="105"/>
                <w:sz w:val="19"/>
              </w:rPr>
              <w:t>3</w:t>
            </w:r>
          </w:p>
        </w:tc>
        <w:tc>
          <w:tcPr>
            <w:tcW w:w="2472" w:type="dxa"/>
          </w:tcPr>
          <w:p>
            <w:pPr>
              <w:pStyle w:val="TableParagraph"/>
              <w:tabs>
                <w:tab w:pos="1816" w:val="left" w:leader="none"/>
              </w:tabs>
              <w:spacing w:line="212" w:lineRule="exact" w:before="10"/>
              <w:ind w:left="931"/>
              <w:rPr>
                <w:sz w:val="19"/>
              </w:rPr>
            </w:pPr>
            <w:r>
              <w:rPr>
                <w:color w:val="231F20"/>
                <w:spacing w:val="-10"/>
                <w:w w:val="105"/>
                <w:sz w:val="19"/>
              </w:rPr>
              <w:t>$</w:t>
            </w:r>
            <w:r>
              <w:rPr>
                <w:color w:val="231F20"/>
                <w:sz w:val="19"/>
              </w:rPr>
              <w:tab/>
            </w:r>
            <w:r>
              <w:rPr>
                <w:color w:val="231F20"/>
                <w:spacing w:val="-2"/>
                <w:w w:val="105"/>
                <w:sz w:val="19"/>
              </w:rPr>
              <w:t>5,000</w:t>
            </w:r>
          </w:p>
        </w:tc>
      </w:tr>
      <w:tr>
        <w:trPr>
          <w:trHeight w:val="243" w:hRule="atLeast"/>
        </w:trPr>
        <w:tc>
          <w:tcPr>
            <w:tcW w:w="3155" w:type="dxa"/>
          </w:tcPr>
          <w:p>
            <w:pPr>
              <w:pStyle w:val="TableParagraph"/>
              <w:spacing w:line="212" w:lineRule="exact" w:before="11"/>
              <w:ind w:left="50"/>
              <w:rPr>
                <w:sz w:val="19"/>
              </w:rPr>
            </w:pPr>
            <w:r>
              <w:rPr>
                <w:color w:val="231F20"/>
                <w:spacing w:val="-2"/>
                <w:w w:val="105"/>
                <w:sz w:val="19"/>
              </w:rPr>
              <w:t>Equipment</w:t>
            </w:r>
          </w:p>
        </w:tc>
        <w:tc>
          <w:tcPr>
            <w:tcW w:w="3773" w:type="dxa"/>
          </w:tcPr>
          <w:p>
            <w:pPr>
              <w:pStyle w:val="TableParagraph"/>
              <w:spacing w:line="212" w:lineRule="exact" w:before="11"/>
              <w:ind w:left="542"/>
              <w:jc w:val="center"/>
              <w:rPr>
                <w:sz w:val="19"/>
              </w:rPr>
            </w:pPr>
            <w:r>
              <w:rPr>
                <w:color w:val="231F20"/>
                <w:w w:val="105"/>
                <w:sz w:val="19"/>
              </w:rPr>
              <w:t>5</w:t>
            </w:r>
          </w:p>
        </w:tc>
        <w:tc>
          <w:tcPr>
            <w:tcW w:w="2472" w:type="dxa"/>
          </w:tcPr>
          <w:p>
            <w:pPr>
              <w:pStyle w:val="TableParagraph"/>
              <w:tabs>
                <w:tab w:pos="1816" w:val="left" w:leader="none"/>
              </w:tabs>
              <w:spacing w:line="212" w:lineRule="exact" w:before="11"/>
              <w:ind w:left="930"/>
              <w:rPr>
                <w:sz w:val="19"/>
              </w:rPr>
            </w:pPr>
            <w:r>
              <w:rPr>
                <w:color w:val="231F20"/>
                <w:spacing w:val="-10"/>
                <w:w w:val="105"/>
                <w:sz w:val="19"/>
              </w:rPr>
              <w:t>$</w:t>
            </w:r>
            <w:r>
              <w:rPr>
                <w:color w:val="231F20"/>
                <w:sz w:val="19"/>
              </w:rPr>
              <w:tab/>
            </w:r>
            <w:r>
              <w:rPr>
                <w:color w:val="231F20"/>
                <w:spacing w:val="-2"/>
                <w:w w:val="105"/>
                <w:sz w:val="19"/>
              </w:rPr>
              <w:t>5,000</w:t>
            </w:r>
          </w:p>
        </w:tc>
      </w:tr>
      <w:tr>
        <w:trPr>
          <w:trHeight w:val="243" w:hRule="atLeast"/>
        </w:trPr>
        <w:tc>
          <w:tcPr>
            <w:tcW w:w="3155" w:type="dxa"/>
          </w:tcPr>
          <w:p>
            <w:pPr>
              <w:pStyle w:val="TableParagraph"/>
              <w:spacing w:line="212" w:lineRule="exact" w:before="10"/>
              <w:ind w:left="50"/>
              <w:rPr>
                <w:sz w:val="19"/>
              </w:rPr>
            </w:pPr>
            <w:r>
              <w:rPr>
                <w:color w:val="231F20"/>
                <w:spacing w:val="-2"/>
                <w:w w:val="105"/>
                <w:sz w:val="19"/>
              </w:rPr>
              <w:t>Vehicles</w:t>
            </w:r>
          </w:p>
        </w:tc>
        <w:tc>
          <w:tcPr>
            <w:tcW w:w="3773" w:type="dxa"/>
          </w:tcPr>
          <w:p>
            <w:pPr>
              <w:pStyle w:val="TableParagraph"/>
              <w:spacing w:line="212" w:lineRule="exact" w:before="10"/>
              <w:ind w:left="543"/>
              <w:jc w:val="center"/>
              <w:rPr>
                <w:sz w:val="19"/>
              </w:rPr>
            </w:pPr>
            <w:r>
              <w:rPr>
                <w:color w:val="231F20"/>
                <w:w w:val="105"/>
                <w:sz w:val="19"/>
              </w:rPr>
              <w:t>7</w:t>
            </w:r>
          </w:p>
        </w:tc>
        <w:tc>
          <w:tcPr>
            <w:tcW w:w="2472" w:type="dxa"/>
          </w:tcPr>
          <w:p>
            <w:pPr>
              <w:pStyle w:val="TableParagraph"/>
              <w:tabs>
                <w:tab w:pos="1816" w:val="left" w:leader="none"/>
              </w:tabs>
              <w:spacing w:line="212" w:lineRule="exact" w:before="10"/>
              <w:ind w:left="930"/>
              <w:rPr>
                <w:sz w:val="19"/>
              </w:rPr>
            </w:pPr>
            <w:r>
              <w:rPr>
                <w:color w:val="231F20"/>
                <w:spacing w:val="-10"/>
                <w:w w:val="105"/>
                <w:sz w:val="19"/>
              </w:rPr>
              <w:t>$</w:t>
            </w:r>
            <w:r>
              <w:rPr>
                <w:color w:val="231F20"/>
                <w:sz w:val="19"/>
              </w:rPr>
              <w:tab/>
            </w:r>
            <w:r>
              <w:rPr>
                <w:color w:val="231F20"/>
                <w:spacing w:val="-2"/>
                <w:w w:val="105"/>
                <w:sz w:val="19"/>
              </w:rPr>
              <w:t>5,000</w:t>
            </w:r>
          </w:p>
        </w:tc>
      </w:tr>
      <w:tr>
        <w:trPr>
          <w:trHeight w:val="243" w:hRule="atLeast"/>
        </w:trPr>
        <w:tc>
          <w:tcPr>
            <w:tcW w:w="3155" w:type="dxa"/>
          </w:tcPr>
          <w:p>
            <w:pPr>
              <w:pStyle w:val="TableParagraph"/>
              <w:spacing w:line="212" w:lineRule="exact" w:before="11"/>
              <w:ind w:left="50"/>
              <w:rPr>
                <w:sz w:val="19"/>
              </w:rPr>
            </w:pPr>
            <w:r>
              <w:rPr>
                <w:color w:val="231F20"/>
                <w:w w:val="105"/>
                <w:sz w:val="19"/>
              </w:rPr>
              <w:t>Heavy</w:t>
            </w:r>
            <w:r>
              <w:rPr>
                <w:color w:val="231F20"/>
                <w:spacing w:val="-2"/>
                <w:w w:val="105"/>
                <w:sz w:val="19"/>
              </w:rPr>
              <w:t> equipment</w:t>
            </w:r>
          </w:p>
        </w:tc>
        <w:tc>
          <w:tcPr>
            <w:tcW w:w="3773" w:type="dxa"/>
          </w:tcPr>
          <w:p>
            <w:pPr>
              <w:pStyle w:val="TableParagraph"/>
              <w:spacing w:line="212" w:lineRule="exact" w:before="11"/>
              <w:ind w:left="542"/>
              <w:jc w:val="center"/>
              <w:rPr>
                <w:sz w:val="19"/>
              </w:rPr>
            </w:pPr>
            <w:r>
              <w:rPr>
                <w:color w:val="231F20"/>
                <w:spacing w:val="-5"/>
                <w:w w:val="105"/>
                <w:sz w:val="19"/>
              </w:rPr>
              <w:t>12</w:t>
            </w:r>
          </w:p>
        </w:tc>
        <w:tc>
          <w:tcPr>
            <w:tcW w:w="2472" w:type="dxa"/>
          </w:tcPr>
          <w:p>
            <w:pPr>
              <w:pStyle w:val="TableParagraph"/>
              <w:tabs>
                <w:tab w:pos="1815" w:val="left" w:leader="none"/>
              </w:tabs>
              <w:spacing w:line="212" w:lineRule="exact" w:before="11"/>
              <w:ind w:left="930"/>
              <w:rPr>
                <w:sz w:val="19"/>
              </w:rPr>
            </w:pPr>
            <w:r>
              <w:rPr>
                <w:color w:val="231F20"/>
                <w:spacing w:val="-10"/>
                <w:w w:val="105"/>
                <w:sz w:val="19"/>
              </w:rPr>
              <w:t>$</w:t>
            </w:r>
            <w:r>
              <w:rPr>
                <w:color w:val="231F20"/>
                <w:sz w:val="19"/>
              </w:rPr>
              <w:tab/>
            </w:r>
            <w:r>
              <w:rPr>
                <w:color w:val="231F20"/>
                <w:spacing w:val="-2"/>
                <w:w w:val="105"/>
                <w:sz w:val="19"/>
              </w:rPr>
              <w:t>5,000</w:t>
            </w:r>
          </w:p>
        </w:tc>
      </w:tr>
      <w:tr>
        <w:trPr>
          <w:trHeight w:val="243" w:hRule="atLeast"/>
        </w:trPr>
        <w:tc>
          <w:tcPr>
            <w:tcW w:w="3155" w:type="dxa"/>
          </w:tcPr>
          <w:p>
            <w:pPr>
              <w:pStyle w:val="TableParagraph"/>
              <w:spacing w:line="212" w:lineRule="exact" w:before="10"/>
              <w:ind w:left="50"/>
              <w:rPr>
                <w:sz w:val="19"/>
              </w:rPr>
            </w:pPr>
            <w:r>
              <w:rPr>
                <w:color w:val="231F20"/>
                <w:w w:val="105"/>
                <w:sz w:val="19"/>
              </w:rPr>
              <w:t>Library</w:t>
            </w:r>
            <w:r>
              <w:rPr>
                <w:color w:val="231F20"/>
                <w:spacing w:val="-3"/>
                <w:w w:val="105"/>
                <w:sz w:val="19"/>
              </w:rPr>
              <w:t> </w:t>
            </w:r>
            <w:r>
              <w:rPr>
                <w:color w:val="231F20"/>
                <w:spacing w:val="-4"/>
                <w:w w:val="105"/>
                <w:sz w:val="19"/>
              </w:rPr>
              <w:t>books</w:t>
            </w:r>
          </w:p>
        </w:tc>
        <w:tc>
          <w:tcPr>
            <w:tcW w:w="3773" w:type="dxa"/>
          </w:tcPr>
          <w:p>
            <w:pPr>
              <w:pStyle w:val="TableParagraph"/>
              <w:spacing w:line="212" w:lineRule="exact" w:before="10"/>
              <w:ind w:left="540"/>
              <w:jc w:val="center"/>
              <w:rPr>
                <w:sz w:val="19"/>
              </w:rPr>
            </w:pPr>
            <w:r>
              <w:rPr>
                <w:color w:val="231F20"/>
                <w:spacing w:val="-5"/>
                <w:w w:val="105"/>
                <w:sz w:val="19"/>
              </w:rPr>
              <w:t>10</w:t>
            </w:r>
          </w:p>
        </w:tc>
        <w:tc>
          <w:tcPr>
            <w:tcW w:w="2472" w:type="dxa"/>
          </w:tcPr>
          <w:p>
            <w:pPr>
              <w:pStyle w:val="TableParagraph"/>
              <w:spacing w:line="212" w:lineRule="exact" w:before="10"/>
              <w:ind w:right="155"/>
              <w:jc w:val="right"/>
              <w:rPr>
                <w:sz w:val="19"/>
              </w:rPr>
            </w:pPr>
            <w:r>
              <w:rPr>
                <w:color w:val="231F20"/>
                <w:spacing w:val="-5"/>
                <w:w w:val="105"/>
                <w:sz w:val="19"/>
              </w:rPr>
              <w:t>All</w:t>
            </w:r>
          </w:p>
        </w:tc>
      </w:tr>
      <w:tr>
        <w:trPr>
          <w:trHeight w:val="243" w:hRule="atLeast"/>
        </w:trPr>
        <w:tc>
          <w:tcPr>
            <w:tcW w:w="3155" w:type="dxa"/>
          </w:tcPr>
          <w:p>
            <w:pPr>
              <w:pStyle w:val="TableParagraph"/>
              <w:spacing w:line="212" w:lineRule="exact" w:before="11"/>
              <w:ind w:left="50"/>
              <w:rPr>
                <w:sz w:val="19"/>
              </w:rPr>
            </w:pPr>
            <w:r>
              <w:rPr>
                <w:color w:val="231F20"/>
                <w:w w:val="105"/>
                <w:sz w:val="19"/>
              </w:rPr>
              <w:t>Software</w:t>
            </w:r>
            <w:r>
              <w:rPr>
                <w:color w:val="231F20"/>
                <w:spacing w:val="-2"/>
                <w:w w:val="105"/>
                <w:sz w:val="19"/>
              </w:rPr>
              <w:t> </w:t>
            </w:r>
            <w:r>
              <w:rPr>
                <w:color w:val="231F20"/>
                <w:w w:val="105"/>
                <w:sz w:val="19"/>
              </w:rPr>
              <w:t>-</w:t>
            </w:r>
            <w:r>
              <w:rPr>
                <w:color w:val="231F20"/>
                <w:spacing w:val="-1"/>
                <w:w w:val="105"/>
                <w:sz w:val="19"/>
              </w:rPr>
              <w:t> </w:t>
            </w:r>
            <w:r>
              <w:rPr>
                <w:color w:val="231F20"/>
                <w:spacing w:val="-4"/>
                <w:w w:val="105"/>
                <w:sz w:val="19"/>
              </w:rPr>
              <w:t>minor</w:t>
            </w:r>
          </w:p>
        </w:tc>
        <w:tc>
          <w:tcPr>
            <w:tcW w:w="3773" w:type="dxa"/>
          </w:tcPr>
          <w:p>
            <w:pPr>
              <w:pStyle w:val="TableParagraph"/>
              <w:spacing w:line="212" w:lineRule="exact" w:before="11"/>
              <w:ind w:left="543"/>
              <w:jc w:val="center"/>
              <w:rPr>
                <w:sz w:val="19"/>
              </w:rPr>
            </w:pPr>
            <w:r>
              <w:rPr>
                <w:color w:val="231F20"/>
                <w:w w:val="105"/>
                <w:sz w:val="19"/>
              </w:rPr>
              <w:t>5</w:t>
            </w:r>
          </w:p>
        </w:tc>
        <w:tc>
          <w:tcPr>
            <w:tcW w:w="2472" w:type="dxa"/>
          </w:tcPr>
          <w:p>
            <w:pPr>
              <w:pStyle w:val="TableParagraph"/>
              <w:tabs>
                <w:tab w:pos="1816" w:val="left" w:leader="none"/>
              </w:tabs>
              <w:spacing w:line="212" w:lineRule="exact" w:before="11"/>
              <w:ind w:left="930"/>
              <w:rPr>
                <w:sz w:val="19"/>
              </w:rPr>
            </w:pPr>
            <w:r>
              <w:rPr>
                <w:color w:val="231F20"/>
                <w:spacing w:val="-10"/>
                <w:w w:val="105"/>
                <w:sz w:val="19"/>
              </w:rPr>
              <w:t>$</w:t>
            </w:r>
            <w:r>
              <w:rPr>
                <w:color w:val="231F20"/>
                <w:sz w:val="19"/>
              </w:rPr>
              <w:tab/>
            </w:r>
            <w:r>
              <w:rPr>
                <w:color w:val="231F20"/>
                <w:spacing w:val="-2"/>
                <w:w w:val="105"/>
                <w:sz w:val="19"/>
              </w:rPr>
              <w:t>5,000</w:t>
            </w:r>
          </w:p>
        </w:tc>
      </w:tr>
      <w:tr>
        <w:trPr>
          <w:trHeight w:val="230" w:hRule="atLeast"/>
        </w:trPr>
        <w:tc>
          <w:tcPr>
            <w:tcW w:w="3155" w:type="dxa"/>
          </w:tcPr>
          <w:p>
            <w:pPr>
              <w:pStyle w:val="TableParagraph"/>
              <w:spacing w:line="200" w:lineRule="exact" w:before="10"/>
              <w:ind w:left="50"/>
              <w:rPr>
                <w:sz w:val="19"/>
              </w:rPr>
            </w:pPr>
            <w:r>
              <w:rPr>
                <w:color w:val="231F20"/>
                <w:w w:val="105"/>
                <w:sz w:val="19"/>
              </w:rPr>
              <w:t>Software</w:t>
            </w:r>
            <w:r>
              <w:rPr>
                <w:color w:val="231F20"/>
                <w:spacing w:val="-2"/>
                <w:w w:val="105"/>
                <w:sz w:val="19"/>
              </w:rPr>
              <w:t> </w:t>
            </w:r>
            <w:r>
              <w:rPr>
                <w:color w:val="231F20"/>
                <w:w w:val="105"/>
                <w:sz w:val="19"/>
              </w:rPr>
              <w:t>-</w:t>
            </w:r>
            <w:r>
              <w:rPr>
                <w:color w:val="231F20"/>
                <w:spacing w:val="-1"/>
                <w:w w:val="105"/>
                <w:sz w:val="19"/>
              </w:rPr>
              <w:t> </w:t>
            </w:r>
            <w:r>
              <w:rPr>
                <w:color w:val="231F20"/>
                <w:spacing w:val="-4"/>
                <w:w w:val="105"/>
                <w:sz w:val="19"/>
              </w:rPr>
              <w:t>major</w:t>
            </w:r>
          </w:p>
        </w:tc>
        <w:tc>
          <w:tcPr>
            <w:tcW w:w="3773" w:type="dxa"/>
          </w:tcPr>
          <w:p>
            <w:pPr>
              <w:pStyle w:val="TableParagraph"/>
              <w:spacing w:line="200" w:lineRule="exact" w:before="10"/>
              <w:ind w:left="544"/>
              <w:jc w:val="center"/>
              <w:rPr>
                <w:sz w:val="19"/>
              </w:rPr>
            </w:pPr>
            <w:r>
              <w:rPr>
                <w:color w:val="231F20"/>
                <w:spacing w:val="-5"/>
                <w:w w:val="105"/>
                <w:sz w:val="19"/>
              </w:rPr>
              <w:t>10</w:t>
            </w:r>
          </w:p>
        </w:tc>
        <w:tc>
          <w:tcPr>
            <w:tcW w:w="2472" w:type="dxa"/>
          </w:tcPr>
          <w:p>
            <w:pPr>
              <w:pStyle w:val="TableParagraph"/>
              <w:tabs>
                <w:tab w:pos="1704" w:val="left" w:leader="none"/>
              </w:tabs>
              <w:spacing w:line="200" w:lineRule="exact" w:before="10"/>
              <w:ind w:left="930"/>
              <w:rPr>
                <w:sz w:val="19"/>
              </w:rPr>
            </w:pPr>
            <w:r>
              <w:rPr>
                <w:color w:val="231F20"/>
                <w:spacing w:val="-10"/>
                <w:w w:val="105"/>
                <w:sz w:val="19"/>
              </w:rPr>
              <w:t>$</w:t>
            </w:r>
            <w:r>
              <w:rPr>
                <w:color w:val="231F20"/>
                <w:sz w:val="19"/>
              </w:rPr>
              <w:tab/>
            </w:r>
            <w:r>
              <w:rPr>
                <w:color w:val="231F20"/>
                <w:spacing w:val="-2"/>
                <w:w w:val="105"/>
                <w:sz w:val="19"/>
              </w:rPr>
              <w:t>50,000</w:t>
            </w:r>
          </w:p>
        </w:tc>
      </w:tr>
    </w:tbl>
    <w:p>
      <w:pPr>
        <w:pStyle w:val="BodyText"/>
        <w:spacing w:before="1"/>
        <w:rPr>
          <w:sz w:val="26"/>
        </w:rPr>
      </w:pPr>
    </w:p>
    <w:p>
      <w:pPr>
        <w:pStyle w:val="Heading4"/>
        <w:ind w:left="1439"/>
      </w:pPr>
      <w:r>
        <w:rPr>
          <w:color w:val="231F20"/>
        </w:rPr>
        <w:t>Compensated</w:t>
      </w:r>
      <w:r>
        <w:rPr>
          <w:color w:val="231F20"/>
          <w:spacing w:val="-7"/>
        </w:rPr>
        <w:t> </w:t>
      </w:r>
      <w:r>
        <w:rPr>
          <w:color w:val="231F20"/>
          <w:spacing w:val="-2"/>
        </w:rPr>
        <w:t>Absences</w:t>
      </w:r>
    </w:p>
    <w:p>
      <w:pPr>
        <w:pStyle w:val="BodyText"/>
        <w:spacing w:line="276" w:lineRule="auto" w:before="34"/>
        <w:ind w:left="1439" w:right="891"/>
      </w:pPr>
      <w:r>
        <w:rPr>
          <w:color w:val="231F20"/>
        </w:rPr>
        <w:t>The Institute accounts for the accumulated vacation leave on the accrual basis. Accrued vacation up to 240 hours for employees with 10 years of service and 336 hours thereafter is recorded at 100% of the employee’s</w:t>
      </w:r>
      <w:r>
        <w:rPr>
          <w:color w:val="231F20"/>
          <w:spacing w:val="-3"/>
        </w:rPr>
        <w:t> </w:t>
      </w:r>
      <w:r>
        <w:rPr>
          <w:color w:val="231F20"/>
        </w:rPr>
        <w:t>hourly</w:t>
      </w:r>
      <w:r>
        <w:rPr>
          <w:color w:val="231F20"/>
          <w:spacing w:val="-2"/>
        </w:rPr>
        <w:t> </w:t>
      </w:r>
      <w:r>
        <w:rPr>
          <w:color w:val="231F20"/>
        </w:rPr>
        <w:t>wage.</w:t>
      </w:r>
      <w:r>
        <w:rPr>
          <w:color w:val="231F20"/>
          <w:spacing w:val="-3"/>
        </w:rPr>
        <w:t> </w:t>
      </w:r>
      <w:r>
        <w:rPr>
          <w:color w:val="231F20"/>
        </w:rPr>
        <w:t>Compensatory</w:t>
      </w:r>
      <w:r>
        <w:rPr>
          <w:color w:val="231F20"/>
          <w:spacing w:val="-3"/>
        </w:rPr>
        <w:t> </w:t>
      </w:r>
      <w:r>
        <w:rPr>
          <w:color w:val="231F20"/>
        </w:rPr>
        <w:t>time</w:t>
      </w:r>
      <w:r>
        <w:rPr>
          <w:color w:val="231F20"/>
          <w:spacing w:val="-3"/>
        </w:rPr>
        <w:t> </w:t>
      </w:r>
      <w:r>
        <w:rPr>
          <w:color w:val="231F20"/>
        </w:rPr>
        <w:t>is</w:t>
      </w:r>
      <w:r>
        <w:rPr>
          <w:color w:val="231F20"/>
          <w:spacing w:val="-3"/>
        </w:rPr>
        <w:t> </w:t>
      </w:r>
      <w:r>
        <w:rPr>
          <w:color w:val="231F20"/>
        </w:rPr>
        <w:t>accrued</w:t>
      </w:r>
      <w:r>
        <w:rPr>
          <w:color w:val="231F20"/>
          <w:spacing w:val="-3"/>
        </w:rPr>
        <w:t> </w:t>
      </w:r>
      <w:r>
        <w:rPr>
          <w:color w:val="231F20"/>
        </w:rPr>
        <w:t>at</w:t>
      </w:r>
      <w:r>
        <w:rPr>
          <w:color w:val="231F20"/>
          <w:spacing w:val="-3"/>
        </w:rPr>
        <w:t> </w:t>
      </w:r>
      <w:r>
        <w:rPr>
          <w:color w:val="231F20"/>
        </w:rPr>
        <w:t>a</w:t>
      </w:r>
      <w:r>
        <w:rPr>
          <w:color w:val="231F20"/>
          <w:spacing w:val="-3"/>
        </w:rPr>
        <w:t> </w:t>
      </w:r>
      <w:r>
        <w:rPr>
          <w:color w:val="231F20"/>
        </w:rPr>
        <w:t>rate</w:t>
      </w:r>
      <w:r>
        <w:rPr>
          <w:color w:val="231F20"/>
          <w:spacing w:val="-3"/>
        </w:rPr>
        <w:t> </w:t>
      </w:r>
      <w:r>
        <w:rPr>
          <w:color w:val="231F20"/>
        </w:rPr>
        <w:t>of</w:t>
      </w:r>
      <w:r>
        <w:rPr>
          <w:color w:val="231F20"/>
          <w:spacing w:val="-3"/>
        </w:rPr>
        <w:t> </w:t>
      </w:r>
      <w:r>
        <w:rPr>
          <w:color w:val="231F20"/>
        </w:rPr>
        <w:t>one</w:t>
      </w:r>
      <w:r>
        <w:rPr>
          <w:color w:val="231F20"/>
          <w:spacing w:val="-3"/>
        </w:rPr>
        <w:t> </w:t>
      </w:r>
      <w:r>
        <w:rPr>
          <w:color w:val="231F20"/>
        </w:rPr>
        <w:t>and</w:t>
      </w:r>
      <w:r>
        <w:rPr>
          <w:color w:val="231F20"/>
          <w:spacing w:val="-3"/>
        </w:rPr>
        <w:t> </w:t>
      </w:r>
      <w:r>
        <w:rPr>
          <w:color w:val="231F20"/>
        </w:rPr>
        <w:t>one-half</w:t>
      </w:r>
      <w:r>
        <w:rPr>
          <w:color w:val="231F20"/>
          <w:spacing w:val="-3"/>
        </w:rPr>
        <w:t> </w:t>
      </w:r>
      <w:r>
        <w:rPr>
          <w:color w:val="231F20"/>
        </w:rPr>
        <w:t>hours</w:t>
      </w:r>
      <w:r>
        <w:rPr>
          <w:color w:val="231F20"/>
          <w:spacing w:val="-3"/>
        </w:rPr>
        <w:t> </w:t>
      </w:r>
      <w:r>
        <w:rPr>
          <w:color w:val="231F20"/>
        </w:rPr>
        <w:t>for</w:t>
      </w:r>
      <w:r>
        <w:rPr>
          <w:color w:val="231F20"/>
          <w:spacing w:val="-3"/>
        </w:rPr>
        <w:t> </w:t>
      </w:r>
      <w:r>
        <w:rPr>
          <w:color w:val="231F20"/>
        </w:rPr>
        <w:t>each</w:t>
      </w:r>
      <w:r>
        <w:rPr>
          <w:color w:val="231F20"/>
          <w:spacing w:val="-3"/>
        </w:rPr>
        <w:t> </w:t>
      </w:r>
      <w:r>
        <w:rPr>
          <w:color w:val="231F20"/>
        </w:rPr>
        <w:t>hour of employment for which overtime compensation is required for those employees covered by the Fair Labor</w:t>
      </w:r>
      <w:r>
        <w:rPr>
          <w:color w:val="231F20"/>
          <w:spacing w:val="-4"/>
        </w:rPr>
        <w:t> </w:t>
      </w:r>
      <w:r>
        <w:rPr>
          <w:color w:val="231F20"/>
        </w:rPr>
        <w:t>Standards</w:t>
      </w:r>
      <w:r>
        <w:rPr>
          <w:color w:val="231F20"/>
          <w:spacing w:val="-4"/>
        </w:rPr>
        <w:t> </w:t>
      </w:r>
      <w:r>
        <w:rPr>
          <w:color w:val="231F20"/>
        </w:rPr>
        <w:t>Act</w:t>
      </w:r>
      <w:r>
        <w:rPr>
          <w:color w:val="231F20"/>
          <w:spacing w:val="-4"/>
        </w:rPr>
        <w:t> </w:t>
      </w:r>
      <w:r>
        <w:rPr>
          <w:color w:val="231F20"/>
        </w:rPr>
        <w:t>(FLSA).</w:t>
      </w:r>
      <w:r>
        <w:rPr>
          <w:color w:val="231F20"/>
          <w:spacing w:val="-4"/>
        </w:rPr>
        <w:t> </w:t>
      </w:r>
      <w:r>
        <w:rPr>
          <w:color w:val="231F20"/>
        </w:rPr>
        <w:t>Employees</w:t>
      </w:r>
      <w:r>
        <w:rPr>
          <w:color w:val="231F20"/>
          <w:spacing w:val="-3"/>
        </w:rPr>
        <w:t> </w:t>
      </w:r>
      <w:r>
        <w:rPr>
          <w:color w:val="231F20"/>
        </w:rPr>
        <w:t>exempt</w:t>
      </w:r>
      <w:r>
        <w:rPr>
          <w:color w:val="231F20"/>
          <w:spacing w:val="-4"/>
        </w:rPr>
        <w:t> </w:t>
      </w:r>
      <w:r>
        <w:rPr>
          <w:color w:val="231F20"/>
        </w:rPr>
        <w:t>from</w:t>
      </w:r>
      <w:r>
        <w:rPr>
          <w:color w:val="231F20"/>
          <w:spacing w:val="-4"/>
        </w:rPr>
        <w:t> </w:t>
      </w:r>
      <w:r>
        <w:rPr>
          <w:color w:val="231F20"/>
        </w:rPr>
        <w:t>coverage</w:t>
      </w:r>
      <w:r>
        <w:rPr>
          <w:color w:val="231F20"/>
          <w:spacing w:val="-4"/>
        </w:rPr>
        <w:t> </w:t>
      </w:r>
      <w:r>
        <w:rPr>
          <w:color w:val="231F20"/>
        </w:rPr>
        <w:t>by</w:t>
      </w:r>
      <w:r>
        <w:rPr>
          <w:color w:val="231F20"/>
          <w:spacing w:val="-3"/>
        </w:rPr>
        <w:t> </w:t>
      </w:r>
      <w:r>
        <w:rPr>
          <w:color w:val="231F20"/>
        </w:rPr>
        <w:t>FLSA</w:t>
      </w:r>
      <w:r>
        <w:rPr>
          <w:color w:val="231F20"/>
          <w:spacing w:val="-4"/>
        </w:rPr>
        <w:t> </w:t>
      </w:r>
      <w:r>
        <w:rPr>
          <w:color w:val="231F20"/>
        </w:rPr>
        <w:t>earn</w:t>
      </w:r>
      <w:r>
        <w:rPr>
          <w:color w:val="231F20"/>
          <w:spacing w:val="-4"/>
        </w:rPr>
        <w:t> </w:t>
      </w:r>
      <w:r>
        <w:rPr>
          <w:color w:val="231F20"/>
        </w:rPr>
        <w:t>one</w:t>
      </w:r>
      <w:r>
        <w:rPr>
          <w:color w:val="231F20"/>
          <w:spacing w:val="-4"/>
        </w:rPr>
        <w:t> </w:t>
      </w:r>
      <w:r>
        <w:rPr>
          <w:color w:val="231F20"/>
        </w:rPr>
        <w:t>hour</w:t>
      </w:r>
      <w:r>
        <w:rPr>
          <w:color w:val="231F20"/>
          <w:spacing w:val="-4"/>
        </w:rPr>
        <w:t> </w:t>
      </w:r>
      <w:r>
        <w:rPr>
          <w:color w:val="231F20"/>
        </w:rPr>
        <w:t>of</w:t>
      </w:r>
      <w:r>
        <w:rPr>
          <w:color w:val="231F20"/>
          <w:spacing w:val="-4"/>
        </w:rPr>
        <w:t> </w:t>
      </w:r>
      <w:r>
        <w:rPr>
          <w:color w:val="231F20"/>
        </w:rPr>
        <w:t>compensatory time for each overtime hour.</w:t>
      </w:r>
    </w:p>
    <w:p>
      <w:pPr>
        <w:pStyle w:val="BodyText"/>
        <w:rPr>
          <w:sz w:val="23"/>
        </w:rPr>
      </w:pPr>
    </w:p>
    <w:p>
      <w:pPr>
        <w:pStyle w:val="Heading4"/>
        <w:ind w:left="1439"/>
      </w:pPr>
      <w:r>
        <w:rPr>
          <w:color w:val="231F20"/>
        </w:rPr>
        <w:t>Unearned</w:t>
      </w:r>
      <w:r>
        <w:rPr>
          <w:color w:val="231F20"/>
          <w:spacing w:val="-10"/>
        </w:rPr>
        <w:t> </w:t>
      </w:r>
      <w:r>
        <w:rPr>
          <w:color w:val="231F20"/>
          <w:spacing w:val="-2"/>
        </w:rPr>
        <w:t>Revenue</w:t>
      </w:r>
    </w:p>
    <w:p>
      <w:pPr>
        <w:pStyle w:val="BodyText"/>
        <w:spacing w:line="276" w:lineRule="auto" w:before="34"/>
        <w:ind w:left="1439" w:right="1048"/>
      </w:pPr>
      <w:r>
        <w:rPr>
          <w:color w:val="231F20"/>
        </w:rPr>
        <w:t>Revenue for each academic session is reported within the fiscal year during which the session is completed.</w:t>
      </w:r>
      <w:r>
        <w:rPr>
          <w:color w:val="231F20"/>
          <w:spacing w:val="-3"/>
        </w:rPr>
        <w:t> </w:t>
      </w:r>
      <w:r>
        <w:rPr>
          <w:color w:val="231F20"/>
        </w:rPr>
        <w:t>Revenues</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summer</w:t>
      </w:r>
      <w:r>
        <w:rPr>
          <w:color w:val="231F20"/>
          <w:spacing w:val="-4"/>
        </w:rPr>
        <w:t> </w:t>
      </w:r>
      <w:r>
        <w:rPr>
          <w:color w:val="231F20"/>
        </w:rPr>
        <w:t>session</w:t>
      </w:r>
      <w:r>
        <w:rPr>
          <w:color w:val="231F20"/>
          <w:spacing w:val="-4"/>
        </w:rPr>
        <w:t> </w:t>
      </w:r>
      <w:r>
        <w:rPr>
          <w:color w:val="231F20"/>
        </w:rPr>
        <w:t>starting</w:t>
      </w:r>
      <w:r>
        <w:rPr>
          <w:color w:val="231F20"/>
          <w:spacing w:val="-3"/>
        </w:rPr>
        <w:t> </w:t>
      </w:r>
      <w:r>
        <w:rPr>
          <w:color w:val="231F20"/>
        </w:rPr>
        <w:t>in</w:t>
      </w:r>
      <w:r>
        <w:rPr>
          <w:color w:val="231F20"/>
          <w:spacing w:val="-3"/>
        </w:rPr>
        <w:t> </w:t>
      </w:r>
      <w:r>
        <w:rPr>
          <w:color w:val="231F20"/>
        </w:rPr>
        <w:t>May</w:t>
      </w:r>
      <w:r>
        <w:rPr>
          <w:color w:val="231F20"/>
          <w:spacing w:val="-3"/>
        </w:rPr>
        <w:t> </w:t>
      </w:r>
      <w:r>
        <w:rPr>
          <w:color w:val="231F20"/>
        </w:rPr>
        <w:t>2022</w:t>
      </w:r>
      <w:r>
        <w:rPr>
          <w:color w:val="231F20"/>
          <w:spacing w:val="-3"/>
        </w:rPr>
        <w:t> </w:t>
      </w:r>
      <w:r>
        <w:rPr>
          <w:color w:val="231F20"/>
        </w:rPr>
        <w:t>are</w:t>
      </w:r>
      <w:r>
        <w:rPr>
          <w:color w:val="231F20"/>
          <w:spacing w:val="-3"/>
        </w:rPr>
        <w:t> </w:t>
      </w:r>
      <w:r>
        <w:rPr>
          <w:color w:val="231F20"/>
        </w:rPr>
        <w:t>shown</w:t>
      </w:r>
      <w:r>
        <w:rPr>
          <w:color w:val="231F20"/>
          <w:spacing w:val="-4"/>
        </w:rPr>
        <w:t> </w:t>
      </w:r>
      <w:r>
        <w:rPr>
          <w:color w:val="231F20"/>
        </w:rPr>
        <w:t>as</w:t>
      </w:r>
      <w:r>
        <w:rPr>
          <w:color w:val="231F20"/>
          <w:spacing w:val="-3"/>
        </w:rPr>
        <w:t> </w:t>
      </w:r>
      <w:r>
        <w:rPr>
          <w:color w:val="231F20"/>
        </w:rPr>
        <w:t>unearned</w:t>
      </w:r>
      <w:r>
        <w:rPr>
          <w:color w:val="231F20"/>
          <w:spacing w:val="-4"/>
        </w:rPr>
        <w:t> </w:t>
      </w:r>
      <w:r>
        <w:rPr>
          <w:color w:val="231F20"/>
        </w:rPr>
        <w:t>revenue</w:t>
      </w:r>
      <w:r>
        <w:rPr>
          <w:color w:val="231F20"/>
          <w:spacing w:val="-3"/>
        </w:rPr>
        <w:t> </w:t>
      </w:r>
      <w:r>
        <w:rPr>
          <w:color w:val="231F20"/>
        </w:rPr>
        <w:t>in the accompanying financial statements since the session was not completed at June 30, 2022.</w:t>
      </w:r>
    </w:p>
    <w:p>
      <w:pPr>
        <w:pStyle w:val="BodyText"/>
        <w:rPr>
          <w:sz w:val="23"/>
        </w:rPr>
      </w:pPr>
    </w:p>
    <w:p>
      <w:pPr>
        <w:pStyle w:val="Heading4"/>
        <w:ind w:left="1439"/>
      </w:pPr>
      <w:r>
        <w:rPr>
          <w:color w:val="231F20"/>
        </w:rPr>
        <w:t>Noncurrent</w:t>
      </w:r>
      <w:r>
        <w:rPr>
          <w:color w:val="231F20"/>
          <w:spacing w:val="-11"/>
        </w:rPr>
        <w:t> </w:t>
      </w:r>
      <w:r>
        <w:rPr>
          <w:color w:val="231F20"/>
          <w:spacing w:val="-2"/>
        </w:rPr>
        <w:t>Liabilities</w:t>
      </w:r>
    </w:p>
    <w:p>
      <w:pPr>
        <w:pStyle w:val="BodyText"/>
        <w:spacing w:line="276" w:lineRule="auto" w:before="34"/>
        <w:ind w:left="1439" w:right="891"/>
      </w:pPr>
      <w:r>
        <w:rPr>
          <w:color w:val="231F20"/>
        </w:rPr>
        <w:t>Noncurrent</w:t>
      </w:r>
      <w:r>
        <w:rPr>
          <w:color w:val="231F20"/>
          <w:spacing w:val="-4"/>
        </w:rPr>
        <w:t> </w:t>
      </w:r>
      <w:r>
        <w:rPr>
          <w:color w:val="231F20"/>
        </w:rPr>
        <w:t>liabilities</w:t>
      </w:r>
      <w:r>
        <w:rPr>
          <w:color w:val="231F20"/>
          <w:spacing w:val="-4"/>
        </w:rPr>
        <w:t> </w:t>
      </w:r>
      <w:r>
        <w:rPr>
          <w:color w:val="231F20"/>
        </w:rPr>
        <w:t>include</w:t>
      </w:r>
      <w:r>
        <w:rPr>
          <w:color w:val="231F20"/>
          <w:spacing w:val="-4"/>
        </w:rPr>
        <w:t> </w:t>
      </w:r>
      <w:r>
        <w:rPr>
          <w:color w:val="231F20"/>
        </w:rPr>
        <w:t>(1)</w:t>
      </w:r>
      <w:r>
        <w:rPr>
          <w:color w:val="231F20"/>
          <w:spacing w:val="-4"/>
        </w:rPr>
        <w:t> </w:t>
      </w:r>
      <w:r>
        <w:rPr>
          <w:color w:val="231F20"/>
        </w:rPr>
        <w:t>principal</w:t>
      </w:r>
      <w:r>
        <w:rPr>
          <w:color w:val="231F20"/>
          <w:spacing w:val="-4"/>
        </w:rPr>
        <w:t> </w:t>
      </w:r>
      <w:r>
        <w:rPr>
          <w:color w:val="231F20"/>
        </w:rPr>
        <w:t>amounts</w:t>
      </w:r>
      <w:r>
        <w:rPr>
          <w:color w:val="231F20"/>
          <w:spacing w:val="-4"/>
        </w:rPr>
        <w:t> </w:t>
      </w:r>
      <w:r>
        <w:rPr>
          <w:color w:val="231F20"/>
        </w:rPr>
        <w:t>of</w:t>
      </w:r>
      <w:r>
        <w:rPr>
          <w:color w:val="231F20"/>
          <w:spacing w:val="-4"/>
        </w:rPr>
        <w:t> </w:t>
      </w:r>
      <w:r>
        <w:rPr>
          <w:color w:val="231F20"/>
        </w:rPr>
        <w:t>revenue</w:t>
      </w:r>
      <w:r>
        <w:rPr>
          <w:color w:val="231F20"/>
          <w:spacing w:val="-4"/>
        </w:rPr>
        <w:t> </w:t>
      </w:r>
      <w:r>
        <w:rPr>
          <w:color w:val="231F20"/>
        </w:rPr>
        <w:t>bonds</w:t>
      </w:r>
      <w:r>
        <w:rPr>
          <w:color w:val="231F20"/>
          <w:spacing w:val="-4"/>
        </w:rPr>
        <w:t> </w:t>
      </w:r>
      <w:r>
        <w:rPr>
          <w:color w:val="231F20"/>
        </w:rPr>
        <w:t>payable,</w:t>
      </w:r>
      <w:r>
        <w:rPr>
          <w:color w:val="231F20"/>
          <w:spacing w:val="-4"/>
        </w:rPr>
        <w:t> </w:t>
      </w:r>
      <w:r>
        <w:rPr>
          <w:color w:val="231F20"/>
        </w:rPr>
        <w:t>notes</w:t>
      </w:r>
      <w:r>
        <w:rPr>
          <w:color w:val="231F20"/>
          <w:spacing w:val="-4"/>
        </w:rPr>
        <w:t> </w:t>
      </w:r>
      <w:r>
        <w:rPr>
          <w:color w:val="231F20"/>
        </w:rPr>
        <w:t>payable,</w:t>
      </w:r>
      <w:r>
        <w:rPr>
          <w:color w:val="231F20"/>
          <w:spacing w:val="-5"/>
        </w:rPr>
        <w:t> </w:t>
      </w:r>
      <w:r>
        <w:rPr>
          <w:color w:val="231F20"/>
        </w:rPr>
        <w:t>and</w:t>
      </w:r>
      <w:r>
        <w:rPr>
          <w:color w:val="231F20"/>
          <w:spacing w:val="-4"/>
        </w:rPr>
        <w:t> </w:t>
      </w:r>
      <w:r>
        <w:rPr>
          <w:color w:val="231F20"/>
        </w:rPr>
        <w:t>capital lease obligations with contractual maturities greater than one year; (2) estimated amounts for accrued compensated absences and other liabilities that will not be paid within the next fiscal year; and (3) other liabilities that, although payable within one year, are to be paid from funds that are classified as noncurrent assets.</w:t>
      </w:r>
    </w:p>
    <w:p>
      <w:pPr>
        <w:pStyle w:val="BodyText"/>
        <w:rPr>
          <w:sz w:val="23"/>
        </w:rPr>
      </w:pPr>
    </w:p>
    <w:p>
      <w:pPr>
        <w:pStyle w:val="Heading4"/>
        <w:ind w:left="1439"/>
      </w:pPr>
      <w:r>
        <w:rPr>
          <w:color w:val="231F20"/>
        </w:rPr>
        <w:t>Deferred</w:t>
      </w:r>
      <w:r>
        <w:rPr>
          <w:color w:val="231F20"/>
          <w:spacing w:val="-4"/>
        </w:rPr>
        <w:t> </w:t>
      </w:r>
      <w:r>
        <w:rPr>
          <w:color w:val="231F20"/>
        </w:rPr>
        <w:t>Outflows</w:t>
      </w:r>
      <w:r>
        <w:rPr>
          <w:color w:val="231F20"/>
          <w:spacing w:val="-4"/>
        </w:rPr>
        <w:t> </w:t>
      </w:r>
      <w:r>
        <w:rPr>
          <w:color w:val="231F20"/>
        </w:rPr>
        <w:t>of</w:t>
      </w:r>
      <w:r>
        <w:rPr>
          <w:color w:val="231F20"/>
          <w:spacing w:val="-4"/>
        </w:rPr>
        <w:t> </w:t>
      </w:r>
      <w:r>
        <w:rPr>
          <w:color w:val="231F20"/>
          <w:spacing w:val="-2"/>
        </w:rPr>
        <w:t>Resources</w:t>
      </w:r>
    </w:p>
    <w:p>
      <w:pPr>
        <w:pStyle w:val="BodyText"/>
        <w:spacing w:line="276" w:lineRule="auto" w:before="34"/>
        <w:ind w:left="1439" w:right="891"/>
      </w:pPr>
      <w:r>
        <w:rPr>
          <w:color w:val="231F20"/>
        </w:rPr>
        <w:t>Deferred</w:t>
      </w:r>
      <w:r>
        <w:rPr>
          <w:color w:val="231F20"/>
          <w:spacing w:val="-3"/>
        </w:rPr>
        <w:t> </w:t>
      </w:r>
      <w:r>
        <w:rPr>
          <w:color w:val="231F20"/>
        </w:rPr>
        <w:t>outflows</w:t>
      </w:r>
      <w:r>
        <w:rPr>
          <w:color w:val="231F20"/>
          <w:spacing w:val="-3"/>
        </w:rPr>
        <w:t> </w:t>
      </w:r>
      <w:r>
        <w:rPr>
          <w:color w:val="231F20"/>
        </w:rPr>
        <w:t>of</w:t>
      </w:r>
      <w:r>
        <w:rPr>
          <w:color w:val="231F20"/>
          <w:spacing w:val="-3"/>
        </w:rPr>
        <w:t> </w:t>
      </w:r>
      <w:r>
        <w:rPr>
          <w:color w:val="231F20"/>
        </w:rPr>
        <w:t>resources</w:t>
      </w:r>
      <w:r>
        <w:rPr>
          <w:color w:val="231F20"/>
          <w:spacing w:val="-3"/>
        </w:rPr>
        <w:t> </w:t>
      </w:r>
      <w:r>
        <w:rPr>
          <w:color w:val="231F20"/>
        </w:rPr>
        <w:t>represent</w:t>
      </w:r>
      <w:r>
        <w:rPr>
          <w:color w:val="231F20"/>
          <w:spacing w:val="-3"/>
        </w:rPr>
        <w:t> </w:t>
      </w:r>
      <w:r>
        <w:rPr>
          <w:color w:val="231F20"/>
        </w:rPr>
        <w:t>the</w:t>
      </w:r>
      <w:r>
        <w:rPr>
          <w:color w:val="231F20"/>
          <w:spacing w:val="-3"/>
        </w:rPr>
        <w:t> </w:t>
      </w:r>
      <w:r>
        <w:rPr>
          <w:color w:val="231F20"/>
        </w:rPr>
        <w:t>consumption</w:t>
      </w:r>
      <w:r>
        <w:rPr>
          <w:color w:val="231F20"/>
          <w:spacing w:val="-3"/>
        </w:rPr>
        <w:t> </w:t>
      </w:r>
      <w:r>
        <w:rPr>
          <w:color w:val="231F20"/>
        </w:rPr>
        <w:t>of</w:t>
      </w:r>
      <w:r>
        <w:rPr>
          <w:color w:val="231F20"/>
          <w:spacing w:val="-3"/>
        </w:rPr>
        <w:t> </w:t>
      </w:r>
      <w:r>
        <w:rPr>
          <w:color w:val="231F20"/>
        </w:rPr>
        <w:t>net</w:t>
      </w:r>
      <w:r>
        <w:rPr>
          <w:color w:val="231F20"/>
          <w:spacing w:val="-3"/>
        </w:rPr>
        <w:t> </w:t>
      </w:r>
      <w:r>
        <w:rPr>
          <w:color w:val="231F20"/>
        </w:rPr>
        <w:t>assets</w:t>
      </w:r>
      <w:r>
        <w:rPr>
          <w:color w:val="231F20"/>
          <w:spacing w:val="-3"/>
        </w:rPr>
        <w:t> </w:t>
      </w:r>
      <w:r>
        <w:rPr>
          <w:color w:val="231F20"/>
        </w:rPr>
        <w:t>by</w:t>
      </w:r>
      <w:r>
        <w:rPr>
          <w:color w:val="231F20"/>
          <w:spacing w:val="-2"/>
        </w:rPr>
        <w:t> </w:t>
      </w:r>
      <w:r>
        <w:rPr>
          <w:color w:val="231F20"/>
        </w:rPr>
        <w:t>the</w:t>
      </w:r>
      <w:r>
        <w:rPr>
          <w:color w:val="231F20"/>
          <w:spacing w:val="-3"/>
        </w:rPr>
        <w:t> </w:t>
      </w:r>
      <w:r>
        <w:rPr>
          <w:color w:val="231F20"/>
        </w:rPr>
        <w:t>Institute</w:t>
      </w:r>
      <w:r>
        <w:rPr>
          <w:color w:val="231F20"/>
          <w:spacing w:val="-3"/>
        </w:rPr>
        <w:t> </w:t>
      </w:r>
      <w:r>
        <w:rPr>
          <w:color w:val="231F20"/>
        </w:rPr>
        <w:t>in</w:t>
      </w:r>
      <w:r>
        <w:rPr>
          <w:color w:val="231F20"/>
          <w:spacing w:val="-3"/>
        </w:rPr>
        <w:t> </w:t>
      </w:r>
      <w:r>
        <w:rPr>
          <w:color w:val="231F20"/>
        </w:rPr>
        <w:t>one</w:t>
      </w:r>
      <w:r>
        <w:rPr>
          <w:color w:val="231F20"/>
          <w:spacing w:val="-4"/>
        </w:rPr>
        <w:t> </w:t>
      </w:r>
      <w:r>
        <w:rPr>
          <w:color w:val="231F20"/>
        </w:rPr>
        <w:t>period</w:t>
      </w:r>
      <w:r>
        <w:rPr>
          <w:color w:val="231F20"/>
          <w:spacing w:val="-3"/>
        </w:rPr>
        <w:t> </w:t>
      </w:r>
      <w:r>
        <w:rPr>
          <w:color w:val="231F20"/>
        </w:rPr>
        <w:t>that is applicable to future periods.</w:t>
      </w:r>
    </w:p>
    <w:p>
      <w:pPr>
        <w:pStyle w:val="BodyText"/>
        <w:rPr>
          <w:sz w:val="23"/>
        </w:rPr>
      </w:pPr>
    </w:p>
    <w:p>
      <w:pPr>
        <w:pStyle w:val="Heading4"/>
        <w:ind w:left="1439"/>
      </w:pPr>
      <w:r>
        <w:rPr>
          <w:color w:val="231F20"/>
        </w:rPr>
        <w:t>Deferred</w:t>
      </w:r>
      <w:r>
        <w:rPr>
          <w:color w:val="231F20"/>
          <w:spacing w:val="-2"/>
        </w:rPr>
        <w:t> </w:t>
      </w:r>
      <w:r>
        <w:rPr>
          <w:color w:val="231F20"/>
        </w:rPr>
        <w:t>Inflows</w:t>
      </w:r>
      <w:r>
        <w:rPr>
          <w:color w:val="231F20"/>
          <w:spacing w:val="-2"/>
        </w:rPr>
        <w:t> </w:t>
      </w:r>
      <w:r>
        <w:rPr>
          <w:color w:val="231F20"/>
        </w:rPr>
        <w:t>of</w:t>
      </w:r>
      <w:r>
        <w:rPr>
          <w:color w:val="231F20"/>
          <w:spacing w:val="-2"/>
        </w:rPr>
        <w:t> Resources</w:t>
      </w:r>
    </w:p>
    <w:p>
      <w:pPr>
        <w:pStyle w:val="BodyText"/>
        <w:spacing w:line="276" w:lineRule="auto" w:before="35"/>
        <w:ind w:left="1439" w:right="1048"/>
      </w:pPr>
      <w:r>
        <w:rPr>
          <w:color w:val="231F20"/>
        </w:rPr>
        <w:t>Deferred</w:t>
      </w:r>
      <w:r>
        <w:rPr>
          <w:color w:val="231F20"/>
          <w:spacing w:val="-3"/>
        </w:rPr>
        <w:t> </w:t>
      </w:r>
      <w:r>
        <w:rPr>
          <w:color w:val="231F20"/>
        </w:rPr>
        <w:t>inflows</w:t>
      </w:r>
      <w:r>
        <w:rPr>
          <w:color w:val="231F20"/>
          <w:spacing w:val="-3"/>
        </w:rPr>
        <w:t> </w:t>
      </w:r>
      <w:r>
        <w:rPr>
          <w:color w:val="231F20"/>
        </w:rPr>
        <w:t>of</w:t>
      </w:r>
      <w:r>
        <w:rPr>
          <w:color w:val="231F20"/>
          <w:spacing w:val="-3"/>
        </w:rPr>
        <w:t> </w:t>
      </w:r>
      <w:r>
        <w:rPr>
          <w:color w:val="231F20"/>
        </w:rPr>
        <w:t>resources</w:t>
      </w:r>
      <w:r>
        <w:rPr>
          <w:color w:val="231F20"/>
          <w:spacing w:val="-3"/>
        </w:rPr>
        <w:t> </w:t>
      </w:r>
      <w:r>
        <w:rPr>
          <w:color w:val="231F20"/>
        </w:rPr>
        <w:t>represent</w:t>
      </w:r>
      <w:r>
        <w:rPr>
          <w:color w:val="231F20"/>
          <w:spacing w:val="-3"/>
        </w:rPr>
        <w:t> </w:t>
      </w:r>
      <w:r>
        <w:rPr>
          <w:color w:val="231F20"/>
        </w:rPr>
        <w:t>the</w:t>
      </w:r>
      <w:r>
        <w:rPr>
          <w:color w:val="231F20"/>
          <w:spacing w:val="-3"/>
        </w:rPr>
        <w:t> </w:t>
      </w:r>
      <w:r>
        <w:rPr>
          <w:color w:val="231F20"/>
        </w:rPr>
        <w:t>acquisition</w:t>
      </w:r>
      <w:r>
        <w:rPr>
          <w:color w:val="231F20"/>
          <w:spacing w:val="-4"/>
        </w:rPr>
        <w:t> </w:t>
      </w:r>
      <w:r>
        <w:rPr>
          <w:color w:val="231F20"/>
        </w:rPr>
        <w:t>of</w:t>
      </w:r>
      <w:r>
        <w:rPr>
          <w:color w:val="231F20"/>
          <w:spacing w:val="-3"/>
        </w:rPr>
        <w:t> </w:t>
      </w:r>
      <w:r>
        <w:rPr>
          <w:color w:val="231F20"/>
        </w:rPr>
        <w:t>net</w:t>
      </w:r>
      <w:r>
        <w:rPr>
          <w:color w:val="231F20"/>
          <w:spacing w:val="-3"/>
        </w:rPr>
        <w:t> </w:t>
      </w:r>
      <w:r>
        <w:rPr>
          <w:color w:val="231F20"/>
        </w:rPr>
        <w:t>assets</w:t>
      </w:r>
      <w:r>
        <w:rPr>
          <w:color w:val="231F20"/>
          <w:spacing w:val="-2"/>
        </w:rPr>
        <w:t> </w:t>
      </w:r>
      <w:r>
        <w:rPr>
          <w:color w:val="231F20"/>
        </w:rPr>
        <w:t>in</w:t>
      </w:r>
      <w:r>
        <w:rPr>
          <w:color w:val="231F20"/>
          <w:spacing w:val="-3"/>
        </w:rPr>
        <w:t> </w:t>
      </w:r>
      <w:r>
        <w:rPr>
          <w:color w:val="231F20"/>
        </w:rPr>
        <w:t>one</w:t>
      </w:r>
      <w:r>
        <w:rPr>
          <w:color w:val="231F20"/>
          <w:spacing w:val="-3"/>
        </w:rPr>
        <w:t> </w:t>
      </w:r>
      <w:r>
        <w:rPr>
          <w:color w:val="231F20"/>
        </w:rPr>
        <w:t>period</w:t>
      </w:r>
      <w:r>
        <w:rPr>
          <w:color w:val="231F20"/>
          <w:spacing w:val="-4"/>
        </w:rPr>
        <w:t> </w:t>
      </w:r>
      <w:r>
        <w:rPr>
          <w:color w:val="231F20"/>
        </w:rPr>
        <w:t>that</w:t>
      </w:r>
      <w:r>
        <w:rPr>
          <w:color w:val="231F20"/>
          <w:spacing w:val="-3"/>
        </w:rPr>
        <w:t> </w:t>
      </w:r>
      <w:r>
        <w:rPr>
          <w:color w:val="231F20"/>
        </w:rPr>
        <w:t>is</w:t>
      </w:r>
      <w:r>
        <w:rPr>
          <w:color w:val="231F20"/>
          <w:spacing w:val="-3"/>
        </w:rPr>
        <w:t> </w:t>
      </w:r>
      <w:r>
        <w:rPr>
          <w:color w:val="231F20"/>
        </w:rPr>
        <w:t>applicable</w:t>
      </w:r>
      <w:r>
        <w:rPr>
          <w:color w:val="231F20"/>
          <w:spacing w:val="-3"/>
        </w:rPr>
        <w:t> </w:t>
      </w:r>
      <w:r>
        <w:rPr>
          <w:color w:val="231F20"/>
        </w:rPr>
        <w:t>to future periods.</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spacing w:before="1"/>
        <w:ind w:left="1440" w:right="0" w:firstLine="0"/>
        <w:jc w:val="left"/>
        <w:rPr>
          <w:b/>
          <w:sz w:val="20"/>
        </w:rPr>
      </w:pPr>
      <w:r>
        <w:rPr>
          <w:b/>
          <w:color w:val="231F20"/>
          <w:spacing w:val="-2"/>
          <w:sz w:val="20"/>
        </w:rPr>
        <w:t>Pensions</w:t>
      </w:r>
    </w:p>
    <w:p>
      <w:pPr>
        <w:pStyle w:val="BodyText"/>
        <w:spacing w:line="276" w:lineRule="auto" w:before="34"/>
        <w:ind w:left="1440" w:right="857"/>
      </w:pPr>
      <w:r>
        <w:rPr>
          <w:color w:val="231F20"/>
        </w:rPr>
        <w:t>For</w:t>
      </w:r>
      <w:r>
        <w:rPr>
          <w:color w:val="231F20"/>
          <w:spacing w:val="-3"/>
        </w:rPr>
        <w:t> </w:t>
      </w:r>
      <w:r>
        <w:rPr>
          <w:color w:val="231F20"/>
        </w:rPr>
        <w:t>purposes</w:t>
      </w:r>
      <w:r>
        <w:rPr>
          <w:color w:val="231F20"/>
          <w:spacing w:val="-3"/>
        </w:rPr>
        <w:t> </w:t>
      </w:r>
      <w:r>
        <w:rPr>
          <w:color w:val="231F20"/>
        </w:rPr>
        <w:t>of</w:t>
      </w:r>
      <w:r>
        <w:rPr>
          <w:color w:val="231F20"/>
          <w:spacing w:val="-3"/>
        </w:rPr>
        <w:t> </w:t>
      </w:r>
      <w:r>
        <w:rPr>
          <w:color w:val="231F20"/>
        </w:rPr>
        <w:t>measuring</w:t>
      </w:r>
      <w:r>
        <w:rPr>
          <w:color w:val="231F20"/>
          <w:spacing w:val="-4"/>
        </w:rPr>
        <w:t> </w:t>
      </w:r>
      <w:r>
        <w:rPr>
          <w:color w:val="231F20"/>
        </w:rPr>
        <w:t>the</w:t>
      </w:r>
      <w:r>
        <w:rPr>
          <w:color w:val="231F20"/>
          <w:spacing w:val="-3"/>
        </w:rPr>
        <w:t> </w:t>
      </w:r>
      <w:r>
        <w:rPr>
          <w:color w:val="231F20"/>
        </w:rPr>
        <w:t>net</w:t>
      </w:r>
      <w:r>
        <w:rPr>
          <w:color w:val="231F20"/>
          <w:spacing w:val="-3"/>
        </w:rPr>
        <w:t> </w:t>
      </w:r>
      <w:r>
        <w:rPr>
          <w:color w:val="231F20"/>
        </w:rPr>
        <w:t>pension</w:t>
      </w:r>
      <w:r>
        <w:rPr>
          <w:color w:val="231F20"/>
          <w:spacing w:val="-3"/>
        </w:rPr>
        <w:t> </w:t>
      </w:r>
      <w:r>
        <w:rPr>
          <w:color w:val="231F20"/>
        </w:rPr>
        <w:t>liability,</w:t>
      </w:r>
      <w:r>
        <w:rPr>
          <w:color w:val="231F20"/>
          <w:spacing w:val="-3"/>
        </w:rPr>
        <w:t> </w:t>
      </w:r>
      <w:r>
        <w:rPr>
          <w:color w:val="231F20"/>
        </w:rPr>
        <w:t>deferred</w:t>
      </w:r>
      <w:r>
        <w:rPr>
          <w:color w:val="231F20"/>
          <w:spacing w:val="-3"/>
        </w:rPr>
        <w:t> </w:t>
      </w:r>
      <w:r>
        <w:rPr>
          <w:color w:val="231F20"/>
        </w:rPr>
        <w:t>outflows</w:t>
      </w:r>
      <w:r>
        <w:rPr>
          <w:color w:val="231F20"/>
          <w:spacing w:val="-3"/>
        </w:rPr>
        <w:t> </w:t>
      </w:r>
      <w:r>
        <w:rPr>
          <w:color w:val="231F20"/>
        </w:rPr>
        <w:t>of</w:t>
      </w:r>
      <w:r>
        <w:rPr>
          <w:color w:val="231F20"/>
          <w:spacing w:val="-3"/>
        </w:rPr>
        <w:t> </w:t>
      </w:r>
      <w:r>
        <w:rPr>
          <w:color w:val="231F20"/>
        </w:rPr>
        <w:t>resources</w:t>
      </w:r>
      <w:r>
        <w:rPr>
          <w:color w:val="231F20"/>
          <w:spacing w:val="-3"/>
        </w:rPr>
        <w:t> </w:t>
      </w:r>
      <w:r>
        <w:rPr>
          <w:color w:val="231F20"/>
        </w:rPr>
        <w:t>and</w:t>
      </w:r>
      <w:r>
        <w:rPr>
          <w:color w:val="231F20"/>
          <w:spacing w:val="-3"/>
        </w:rPr>
        <w:t> </w:t>
      </w:r>
      <w:r>
        <w:rPr>
          <w:color w:val="231F20"/>
        </w:rPr>
        <w:t>deferred</w:t>
      </w:r>
      <w:r>
        <w:rPr>
          <w:color w:val="231F20"/>
          <w:spacing w:val="-3"/>
        </w:rPr>
        <w:t> </w:t>
      </w:r>
      <w:r>
        <w:rPr>
          <w:color w:val="231F20"/>
        </w:rPr>
        <w:t>inflows</w:t>
      </w:r>
      <w:r>
        <w:rPr>
          <w:color w:val="231F20"/>
          <w:spacing w:val="-3"/>
        </w:rPr>
        <w:t> </w:t>
      </w:r>
      <w:r>
        <w:rPr>
          <w:color w:val="231F20"/>
        </w:rPr>
        <w:t>of resources related to pensions, and pension expense, information about the fiduciary net position of the Educational Retirement Plan (ERP) and additions to/deductions from ERP’s fiduciary net position have been determined on the same basis as they are reported by ERP, on the economic resources measurement focus and accrual basis of accounting. For this purpose, benefit payments (including refunds of employee contributions) are recognized when due and payable in accordance with the benefit terms. Investments are reported at fair value.</w:t>
      </w:r>
    </w:p>
    <w:p>
      <w:pPr>
        <w:pStyle w:val="BodyText"/>
        <w:spacing w:before="10"/>
        <w:rPr>
          <w:sz w:val="22"/>
        </w:rPr>
      </w:pPr>
    </w:p>
    <w:p>
      <w:pPr>
        <w:pStyle w:val="Heading4"/>
      </w:pPr>
      <w:r>
        <w:rPr>
          <w:color w:val="231F20"/>
        </w:rPr>
        <w:t>Postemployment</w:t>
      </w:r>
      <w:r>
        <w:rPr>
          <w:color w:val="231F20"/>
          <w:spacing w:val="-7"/>
        </w:rPr>
        <w:t> </w:t>
      </w:r>
      <w:r>
        <w:rPr>
          <w:color w:val="231F20"/>
        </w:rPr>
        <w:t>Benefits</w:t>
      </w:r>
      <w:r>
        <w:rPr>
          <w:color w:val="231F20"/>
          <w:spacing w:val="-7"/>
        </w:rPr>
        <w:t> </w:t>
      </w:r>
      <w:r>
        <w:rPr>
          <w:color w:val="231F20"/>
        </w:rPr>
        <w:t>Other</w:t>
      </w:r>
      <w:r>
        <w:rPr>
          <w:color w:val="231F20"/>
          <w:spacing w:val="-7"/>
        </w:rPr>
        <w:t> </w:t>
      </w:r>
      <w:r>
        <w:rPr>
          <w:color w:val="231F20"/>
        </w:rPr>
        <w:t>Than</w:t>
      </w:r>
      <w:r>
        <w:rPr>
          <w:color w:val="231F20"/>
          <w:spacing w:val="-7"/>
        </w:rPr>
        <w:t> </w:t>
      </w:r>
      <w:r>
        <w:rPr>
          <w:color w:val="231F20"/>
        </w:rPr>
        <w:t>Pensions</w:t>
      </w:r>
      <w:r>
        <w:rPr>
          <w:color w:val="231F20"/>
          <w:spacing w:val="-6"/>
        </w:rPr>
        <w:t> </w:t>
      </w:r>
      <w:r>
        <w:rPr>
          <w:color w:val="231F20"/>
          <w:spacing w:val="-2"/>
        </w:rPr>
        <w:t>(OPEB)</w:t>
      </w:r>
    </w:p>
    <w:p>
      <w:pPr>
        <w:pStyle w:val="BodyText"/>
        <w:spacing w:line="276" w:lineRule="auto" w:before="34"/>
        <w:ind w:left="1440" w:right="919"/>
      </w:pPr>
      <w:r>
        <w:rPr>
          <w:color w:val="231F20"/>
        </w:rPr>
        <w:t>For purpose of measuring the net OPEB liability, deferred outflows of resources and deferred inflows of resources related to OPEB, and OPEB expense, information about the fiduciary net position of the Trust and</w:t>
      </w:r>
      <w:r>
        <w:rPr>
          <w:color w:val="231F20"/>
          <w:spacing w:val="-3"/>
        </w:rPr>
        <w:t> </w:t>
      </w:r>
      <w:r>
        <w:rPr>
          <w:color w:val="231F20"/>
        </w:rPr>
        <w:t>addition</w:t>
      </w:r>
      <w:r>
        <w:rPr>
          <w:color w:val="231F20"/>
          <w:spacing w:val="-3"/>
        </w:rPr>
        <w:t> </w:t>
      </w:r>
      <w:r>
        <w:rPr>
          <w:color w:val="231F20"/>
        </w:rPr>
        <w:t>to/deduction</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Trust’s</w:t>
      </w:r>
      <w:r>
        <w:rPr>
          <w:color w:val="231F20"/>
          <w:spacing w:val="-3"/>
        </w:rPr>
        <w:t> </w:t>
      </w:r>
      <w:r>
        <w:rPr>
          <w:color w:val="231F20"/>
        </w:rPr>
        <w:t>fiduciary</w:t>
      </w:r>
      <w:r>
        <w:rPr>
          <w:color w:val="231F20"/>
          <w:spacing w:val="-3"/>
        </w:rPr>
        <w:t> </w:t>
      </w:r>
      <w:r>
        <w:rPr>
          <w:color w:val="231F20"/>
        </w:rPr>
        <w:t>net</w:t>
      </w:r>
      <w:r>
        <w:rPr>
          <w:color w:val="231F20"/>
          <w:spacing w:val="-3"/>
        </w:rPr>
        <w:t> </w:t>
      </w:r>
      <w:r>
        <w:rPr>
          <w:color w:val="231F20"/>
        </w:rPr>
        <w:t>position</w:t>
      </w:r>
      <w:r>
        <w:rPr>
          <w:color w:val="231F20"/>
          <w:spacing w:val="-3"/>
        </w:rPr>
        <w:t> </w:t>
      </w:r>
      <w:r>
        <w:rPr>
          <w:color w:val="231F20"/>
        </w:rPr>
        <w:t>have</w:t>
      </w:r>
      <w:r>
        <w:rPr>
          <w:color w:val="231F20"/>
          <w:spacing w:val="-3"/>
        </w:rPr>
        <w:t> </w:t>
      </w:r>
      <w:r>
        <w:rPr>
          <w:color w:val="231F20"/>
        </w:rPr>
        <w:t>been</w:t>
      </w:r>
      <w:r>
        <w:rPr>
          <w:color w:val="231F20"/>
          <w:spacing w:val="-3"/>
        </w:rPr>
        <w:t> </w:t>
      </w:r>
      <w:r>
        <w:rPr>
          <w:color w:val="231F20"/>
        </w:rPr>
        <w:t>determined</w:t>
      </w:r>
      <w:r>
        <w:rPr>
          <w:color w:val="231F20"/>
          <w:spacing w:val="-3"/>
        </w:rPr>
        <w:t> </w:t>
      </w:r>
      <w:r>
        <w:rPr>
          <w:color w:val="231F20"/>
        </w:rPr>
        <w:t>on</w:t>
      </w:r>
      <w:r>
        <w:rPr>
          <w:color w:val="231F20"/>
          <w:spacing w:val="-3"/>
        </w:rPr>
        <w:t> </w:t>
      </w:r>
      <w:r>
        <w:rPr>
          <w:color w:val="231F20"/>
        </w:rPr>
        <w:t>the</w:t>
      </w:r>
      <w:r>
        <w:rPr>
          <w:color w:val="231F20"/>
          <w:spacing w:val="-4"/>
        </w:rPr>
        <w:t> </w:t>
      </w:r>
      <w:r>
        <w:rPr>
          <w:color w:val="231F20"/>
        </w:rPr>
        <w:t>same</w:t>
      </w:r>
      <w:r>
        <w:rPr>
          <w:color w:val="231F20"/>
          <w:spacing w:val="-3"/>
        </w:rPr>
        <w:t> </w:t>
      </w:r>
      <w:r>
        <w:rPr>
          <w:color w:val="231F20"/>
        </w:rPr>
        <w:t>basis as</w:t>
      </w:r>
      <w:r>
        <w:rPr>
          <w:color w:val="231F20"/>
          <w:spacing w:val="-2"/>
        </w:rPr>
        <w:t> </w:t>
      </w:r>
      <w:r>
        <w:rPr>
          <w:color w:val="231F20"/>
        </w:rPr>
        <w:t>they</w:t>
      </w:r>
      <w:r>
        <w:rPr>
          <w:color w:val="231F20"/>
          <w:spacing w:val="-1"/>
        </w:rPr>
        <w:t> </w:t>
      </w:r>
      <w:r>
        <w:rPr>
          <w:color w:val="231F20"/>
        </w:rPr>
        <w:t>are</w:t>
      </w:r>
      <w:r>
        <w:rPr>
          <w:color w:val="231F20"/>
          <w:spacing w:val="-3"/>
        </w:rPr>
        <w:t> </w:t>
      </w:r>
      <w:r>
        <w:rPr>
          <w:color w:val="231F20"/>
        </w:rPr>
        <w:t>reported</w:t>
      </w:r>
      <w:r>
        <w:rPr>
          <w:color w:val="231F20"/>
          <w:spacing w:val="-2"/>
        </w:rPr>
        <w:t> </w:t>
      </w:r>
      <w:r>
        <w:rPr>
          <w:color w:val="231F20"/>
        </w:rPr>
        <w:t>by</w:t>
      </w:r>
      <w:r>
        <w:rPr>
          <w:color w:val="231F20"/>
          <w:spacing w:val="-1"/>
        </w:rPr>
        <w:t> </w:t>
      </w:r>
      <w:r>
        <w:rPr>
          <w:color w:val="231F20"/>
        </w:rPr>
        <w:t>the</w:t>
      </w:r>
      <w:r>
        <w:rPr>
          <w:color w:val="231F20"/>
          <w:spacing w:val="-3"/>
        </w:rPr>
        <w:t> </w:t>
      </w:r>
      <w:r>
        <w:rPr>
          <w:color w:val="231F20"/>
        </w:rPr>
        <w:t>Trust.</w:t>
      </w:r>
      <w:r>
        <w:rPr>
          <w:color w:val="231F20"/>
          <w:spacing w:val="-2"/>
        </w:rPr>
        <w:t> </w:t>
      </w:r>
      <w:r>
        <w:rPr>
          <w:color w:val="231F20"/>
        </w:rPr>
        <w:t>For</w:t>
      </w:r>
      <w:r>
        <w:rPr>
          <w:color w:val="231F20"/>
          <w:spacing w:val="-2"/>
        </w:rPr>
        <w:t> </w:t>
      </w:r>
      <w:r>
        <w:rPr>
          <w:color w:val="231F20"/>
        </w:rPr>
        <w:t>this</w:t>
      </w:r>
      <w:r>
        <w:rPr>
          <w:color w:val="231F20"/>
          <w:spacing w:val="-2"/>
        </w:rPr>
        <w:t> </w:t>
      </w:r>
      <w:r>
        <w:rPr>
          <w:color w:val="231F20"/>
        </w:rPr>
        <w:t>purpose,</w:t>
      </w:r>
      <w:r>
        <w:rPr>
          <w:color w:val="231F20"/>
          <w:spacing w:val="-2"/>
        </w:rPr>
        <w:t> </w:t>
      </w:r>
      <w:r>
        <w:rPr>
          <w:color w:val="231F20"/>
        </w:rPr>
        <w:t>the</w:t>
      </w:r>
      <w:r>
        <w:rPr>
          <w:color w:val="231F20"/>
          <w:spacing w:val="-2"/>
        </w:rPr>
        <w:t> </w:t>
      </w:r>
      <w:r>
        <w:rPr>
          <w:color w:val="231F20"/>
        </w:rPr>
        <w:t>Trust</w:t>
      </w:r>
      <w:r>
        <w:rPr>
          <w:color w:val="231F20"/>
          <w:spacing w:val="-2"/>
        </w:rPr>
        <w:t> </w:t>
      </w:r>
      <w:r>
        <w:rPr>
          <w:color w:val="231F20"/>
        </w:rPr>
        <w:t>recognizes</w:t>
      </w:r>
      <w:r>
        <w:rPr>
          <w:color w:val="231F20"/>
          <w:spacing w:val="-1"/>
        </w:rPr>
        <w:t> </w:t>
      </w:r>
      <w:r>
        <w:rPr>
          <w:color w:val="231F20"/>
        </w:rPr>
        <w:t>benefit</w:t>
      </w:r>
      <w:r>
        <w:rPr>
          <w:color w:val="231F20"/>
          <w:spacing w:val="-2"/>
        </w:rPr>
        <w:t> </w:t>
      </w:r>
      <w:r>
        <w:rPr>
          <w:color w:val="231F20"/>
        </w:rPr>
        <w:t>payments</w:t>
      </w:r>
      <w:r>
        <w:rPr>
          <w:color w:val="231F20"/>
          <w:spacing w:val="-3"/>
        </w:rPr>
        <w:t> </w:t>
      </w:r>
      <w:r>
        <w:rPr>
          <w:color w:val="231F20"/>
        </w:rPr>
        <w:t>when</w:t>
      </w:r>
      <w:r>
        <w:rPr>
          <w:color w:val="231F20"/>
          <w:spacing w:val="-2"/>
        </w:rPr>
        <w:t> </w:t>
      </w:r>
      <w:r>
        <w:rPr>
          <w:color w:val="231F20"/>
        </w:rPr>
        <w:t>due</w:t>
      </w:r>
      <w:r>
        <w:rPr>
          <w:color w:val="231F20"/>
          <w:spacing w:val="-2"/>
        </w:rPr>
        <w:t> </w:t>
      </w:r>
      <w:r>
        <w:rPr>
          <w:color w:val="231F20"/>
        </w:rPr>
        <w:t>and payable in accordance with the benefit terms. Investments are reported at fair value, except for money market investments and participating interest-earning investment contracts that have a maturity at the time of purchase of one year or less, which are reported at cost.</w:t>
      </w:r>
    </w:p>
    <w:p>
      <w:pPr>
        <w:pStyle w:val="BodyText"/>
        <w:spacing w:before="1"/>
        <w:rPr>
          <w:sz w:val="23"/>
        </w:rPr>
      </w:pPr>
    </w:p>
    <w:p>
      <w:pPr>
        <w:pStyle w:val="Heading4"/>
      </w:pPr>
      <w:r>
        <w:rPr>
          <w:color w:val="231F20"/>
        </w:rPr>
        <w:t>Net</w:t>
      </w:r>
      <w:r>
        <w:rPr>
          <w:color w:val="231F20"/>
          <w:spacing w:val="-5"/>
        </w:rPr>
        <w:t> </w:t>
      </w:r>
      <w:r>
        <w:rPr>
          <w:color w:val="231F20"/>
          <w:spacing w:val="-2"/>
        </w:rPr>
        <w:t>Position</w:t>
      </w:r>
    </w:p>
    <w:p>
      <w:pPr>
        <w:pStyle w:val="BodyText"/>
        <w:spacing w:before="34"/>
        <w:ind w:left="1440"/>
      </w:pPr>
      <w:r>
        <w:rPr>
          <w:color w:val="231F20"/>
        </w:rPr>
        <w:t>The</w:t>
      </w:r>
      <w:r>
        <w:rPr>
          <w:color w:val="231F20"/>
          <w:spacing w:val="-7"/>
        </w:rPr>
        <w:t> </w:t>
      </w:r>
      <w:r>
        <w:rPr>
          <w:color w:val="231F20"/>
        </w:rPr>
        <w:t>Institute's</w:t>
      </w:r>
      <w:r>
        <w:rPr>
          <w:color w:val="231F20"/>
          <w:spacing w:val="-4"/>
        </w:rPr>
        <w:t> </w:t>
      </w:r>
      <w:r>
        <w:rPr>
          <w:color w:val="231F20"/>
        </w:rPr>
        <w:t>net</w:t>
      </w:r>
      <w:r>
        <w:rPr>
          <w:color w:val="231F20"/>
          <w:spacing w:val="-5"/>
        </w:rPr>
        <w:t> </w:t>
      </w:r>
      <w:r>
        <w:rPr>
          <w:color w:val="231F20"/>
        </w:rPr>
        <w:t>position</w:t>
      </w:r>
      <w:r>
        <w:rPr>
          <w:color w:val="231F20"/>
          <w:spacing w:val="-5"/>
        </w:rPr>
        <w:t> </w:t>
      </w:r>
      <w:r>
        <w:rPr>
          <w:color w:val="231F20"/>
        </w:rPr>
        <w:t>is</w:t>
      </w:r>
      <w:r>
        <w:rPr>
          <w:color w:val="231F20"/>
          <w:spacing w:val="-5"/>
        </w:rPr>
        <w:t> </w:t>
      </w:r>
      <w:r>
        <w:rPr>
          <w:color w:val="231F20"/>
        </w:rPr>
        <w:t>classified</w:t>
      </w:r>
      <w:r>
        <w:rPr>
          <w:color w:val="231F20"/>
          <w:spacing w:val="-4"/>
        </w:rPr>
        <w:t> </w:t>
      </w:r>
      <w:r>
        <w:rPr>
          <w:color w:val="231F20"/>
        </w:rPr>
        <w:t>as</w:t>
      </w:r>
      <w:r>
        <w:rPr>
          <w:color w:val="231F20"/>
          <w:spacing w:val="-4"/>
        </w:rPr>
        <w:t> </w:t>
      </w:r>
      <w:r>
        <w:rPr>
          <w:color w:val="231F20"/>
          <w:spacing w:val="-2"/>
        </w:rPr>
        <w:t>follows:</w:t>
      </w:r>
    </w:p>
    <w:p>
      <w:pPr>
        <w:pStyle w:val="BodyText"/>
        <w:rPr>
          <w:sz w:val="26"/>
        </w:rPr>
      </w:pPr>
    </w:p>
    <w:p>
      <w:pPr>
        <w:pStyle w:val="BodyText"/>
        <w:spacing w:line="276" w:lineRule="auto"/>
        <w:ind w:left="2160" w:right="857"/>
      </w:pPr>
      <w:r>
        <w:rPr>
          <w:i/>
          <w:color w:val="231F20"/>
        </w:rPr>
        <w:t>Net Investment in Capital Assets </w:t>
      </w:r>
      <w:r>
        <w:rPr>
          <w:color w:val="231F20"/>
        </w:rPr>
        <w:t>– Net investment in capital assets represents the Institute's capital assets, less related accumulated depreciation and debt attributable to the acquisition, construction, or improvement of these assets. To the extent debt has been incurred, but not yet expended</w:t>
      </w:r>
      <w:r>
        <w:rPr>
          <w:color w:val="231F20"/>
          <w:spacing w:val="-3"/>
        </w:rPr>
        <w:t> </w:t>
      </w:r>
      <w:r>
        <w:rPr>
          <w:color w:val="231F20"/>
        </w:rPr>
        <w:t>for</w:t>
      </w:r>
      <w:r>
        <w:rPr>
          <w:color w:val="231F20"/>
          <w:spacing w:val="-4"/>
        </w:rPr>
        <w:t> </w:t>
      </w:r>
      <w:r>
        <w:rPr>
          <w:color w:val="231F20"/>
        </w:rPr>
        <w:t>capital</w:t>
      </w:r>
      <w:r>
        <w:rPr>
          <w:color w:val="231F20"/>
          <w:spacing w:val="-3"/>
        </w:rPr>
        <w:t> </w:t>
      </w:r>
      <w:r>
        <w:rPr>
          <w:color w:val="231F20"/>
        </w:rPr>
        <w:t>assets,</w:t>
      </w:r>
      <w:r>
        <w:rPr>
          <w:color w:val="231F20"/>
          <w:spacing w:val="-3"/>
        </w:rPr>
        <w:t> </w:t>
      </w:r>
      <w:r>
        <w:rPr>
          <w:color w:val="231F20"/>
        </w:rPr>
        <w:t>such</w:t>
      </w:r>
      <w:r>
        <w:rPr>
          <w:color w:val="231F20"/>
          <w:spacing w:val="-3"/>
        </w:rPr>
        <w:t> </w:t>
      </w:r>
      <w:r>
        <w:rPr>
          <w:color w:val="231F20"/>
        </w:rPr>
        <w:t>amounts</w:t>
      </w:r>
      <w:r>
        <w:rPr>
          <w:color w:val="231F20"/>
          <w:spacing w:val="-3"/>
        </w:rPr>
        <w:t> </w:t>
      </w:r>
      <w:r>
        <w:rPr>
          <w:color w:val="231F20"/>
        </w:rPr>
        <w:t>are</w:t>
      </w:r>
      <w:r>
        <w:rPr>
          <w:color w:val="231F20"/>
          <w:spacing w:val="-3"/>
        </w:rPr>
        <w:t> </w:t>
      </w:r>
      <w:r>
        <w:rPr>
          <w:color w:val="231F20"/>
        </w:rPr>
        <w:t>not</w:t>
      </w:r>
      <w:r>
        <w:rPr>
          <w:color w:val="231F20"/>
          <w:spacing w:val="-3"/>
        </w:rPr>
        <w:t> </w:t>
      </w:r>
      <w:r>
        <w:rPr>
          <w:color w:val="231F20"/>
        </w:rPr>
        <w:t>included</w:t>
      </w:r>
      <w:r>
        <w:rPr>
          <w:color w:val="231F20"/>
          <w:spacing w:val="-3"/>
        </w:rPr>
        <w:t> </w:t>
      </w:r>
      <w:r>
        <w:rPr>
          <w:color w:val="231F20"/>
        </w:rPr>
        <w:t>as</w:t>
      </w:r>
      <w:r>
        <w:rPr>
          <w:color w:val="231F20"/>
          <w:spacing w:val="-2"/>
        </w:rPr>
        <w:t> </w:t>
      </w:r>
      <w:r>
        <w:rPr>
          <w:color w:val="231F20"/>
        </w:rPr>
        <w:t>a</w:t>
      </w:r>
      <w:r>
        <w:rPr>
          <w:color w:val="231F20"/>
          <w:spacing w:val="-3"/>
        </w:rPr>
        <w:t> </w:t>
      </w:r>
      <w:r>
        <w:rPr>
          <w:color w:val="231F20"/>
        </w:rPr>
        <w:t>component</w:t>
      </w:r>
      <w:r>
        <w:rPr>
          <w:color w:val="231F20"/>
          <w:spacing w:val="-3"/>
        </w:rPr>
        <w:t> </w:t>
      </w:r>
      <w:r>
        <w:rPr>
          <w:color w:val="231F20"/>
        </w:rPr>
        <w:t>of</w:t>
      </w:r>
      <w:r>
        <w:rPr>
          <w:color w:val="231F20"/>
          <w:spacing w:val="-3"/>
        </w:rPr>
        <w:t> </w:t>
      </w:r>
      <w:r>
        <w:rPr>
          <w:color w:val="231F20"/>
        </w:rPr>
        <w:t>invested</w:t>
      </w:r>
      <w:r>
        <w:rPr>
          <w:color w:val="231F20"/>
          <w:spacing w:val="-3"/>
        </w:rPr>
        <w:t> </w:t>
      </w:r>
      <w:r>
        <w:rPr>
          <w:color w:val="231F20"/>
        </w:rPr>
        <w:t>in</w:t>
      </w:r>
      <w:r>
        <w:rPr>
          <w:color w:val="231F20"/>
          <w:spacing w:val="-3"/>
        </w:rPr>
        <w:t> </w:t>
      </w:r>
      <w:r>
        <w:rPr>
          <w:color w:val="231F20"/>
        </w:rPr>
        <w:t>capital assets, net of related debt. The Institute has outstanding bond obligations of $18,880,266 for purposes of constructing a dormitory, an educational building and energy efficient improvements on the facilities.</w:t>
      </w:r>
    </w:p>
    <w:p>
      <w:pPr>
        <w:pStyle w:val="BodyText"/>
        <w:spacing w:line="276" w:lineRule="auto" w:before="120"/>
        <w:ind w:left="2160" w:right="891"/>
      </w:pPr>
      <w:r>
        <w:rPr>
          <w:i/>
          <w:color w:val="231F20"/>
        </w:rPr>
        <w:t>Restricted Net Position</w:t>
      </w:r>
      <w:r>
        <w:rPr>
          <w:color w:val="231F20"/>
        </w:rPr>
        <w:t>-</w:t>
      </w:r>
      <w:r>
        <w:rPr>
          <w:i/>
          <w:color w:val="231F20"/>
        </w:rPr>
        <w:t>Nonexpendable </w:t>
      </w:r>
      <w:r>
        <w:rPr>
          <w:color w:val="231F20"/>
        </w:rPr>
        <w:t>– Nonexpendable restricted net position consists of endowment</w:t>
      </w:r>
      <w:r>
        <w:rPr>
          <w:color w:val="231F20"/>
          <w:spacing w:val="-3"/>
        </w:rPr>
        <w:t> </w:t>
      </w:r>
      <w:r>
        <w:rPr>
          <w:color w:val="231F20"/>
        </w:rPr>
        <w:t>and</w:t>
      </w:r>
      <w:r>
        <w:rPr>
          <w:color w:val="231F20"/>
          <w:spacing w:val="-3"/>
        </w:rPr>
        <w:t> </w:t>
      </w:r>
      <w:r>
        <w:rPr>
          <w:color w:val="231F20"/>
        </w:rPr>
        <w:t>similar</w:t>
      </w:r>
      <w:r>
        <w:rPr>
          <w:color w:val="231F20"/>
          <w:spacing w:val="-3"/>
        </w:rPr>
        <w:t> </w:t>
      </w:r>
      <w:r>
        <w:rPr>
          <w:color w:val="231F20"/>
        </w:rPr>
        <w:t>type</w:t>
      </w:r>
      <w:r>
        <w:rPr>
          <w:color w:val="231F20"/>
          <w:spacing w:val="-3"/>
        </w:rPr>
        <w:t> </w:t>
      </w:r>
      <w:r>
        <w:rPr>
          <w:color w:val="231F20"/>
        </w:rPr>
        <w:t>funds</w:t>
      </w:r>
      <w:r>
        <w:rPr>
          <w:color w:val="231F20"/>
          <w:spacing w:val="-3"/>
        </w:rPr>
        <w:t> </w:t>
      </w:r>
      <w:r>
        <w:rPr>
          <w:color w:val="231F20"/>
        </w:rPr>
        <w:t>in</w:t>
      </w:r>
      <w:r>
        <w:rPr>
          <w:color w:val="231F20"/>
          <w:spacing w:val="-4"/>
        </w:rPr>
        <w:t> </w:t>
      </w:r>
      <w:r>
        <w:rPr>
          <w:color w:val="231F20"/>
        </w:rPr>
        <w:t>which</w:t>
      </w:r>
      <w:r>
        <w:rPr>
          <w:color w:val="231F20"/>
          <w:spacing w:val="-3"/>
        </w:rPr>
        <w:t> </w:t>
      </w:r>
      <w:r>
        <w:rPr>
          <w:color w:val="231F20"/>
        </w:rPr>
        <w:t>donors</w:t>
      </w:r>
      <w:r>
        <w:rPr>
          <w:color w:val="231F20"/>
          <w:spacing w:val="-3"/>
        </w:rPr>
        <w:t> </w:t>
      </w:r>
      <w:r>
        <w:rPr>
          <w:color w:val="231F20"/>
        </w:rPr>
        <w:t>or other</w:t>
      </w:r>
      <w:r>
        <w:rPr>
          <w:color w:val="231F20"/>
          <w:spacing w:val="-3"/>
        </w:rPr>
        <w:t> </w:t>
      </w:r>
      <w:r>
        <w:rPr>
          <w:color w:val="231F20"/>
        </w:rPr>
        <w:t>outside</w:t>
      </w:r>
      <w:r>
        <w:rPr>
          <w:color w:val="231F20"/>
          <w:spacing w:val="-4"/>
        </w:rPr>
        <w:t> </w:t>
      </w:r>
      <w:r>
        <w:rPr>
          <w:color w:val="231F20"/>
        </w:rPr>
        <w:t>sources</w:t>
      </w:r>
      <w:r>
        <w:rPr>
          <w:color w:val="231F20"/>
          <w:spacing w:val="-3"/>
        </w:rPr>
        <w:t> </w:t>
      </w:r>
      <w:r>
        <w:rPr>
          <w:color w:val="231F20"/>
        </w:rPr>
        <w:t>have</w:t>
      </w:r>
      <w:r>
        <w:rPr>
          <w:color w:val="231F20"/>
          <w:spacing w:val="-4"/>
        </w:rPr>
        <w:t> </w:t>
      </w:r>
      <w:r>
        <w:rPr>
          <w:color w:val="231F20"/>
        </w:rPr>
        <w:t>stipulated,</w:t>
      </w:r>
      <w:r>
        <w:rPr>
          <w:color w:val="231F20"/>
          <w:spacing w:val="-3"/>
        </w:rPr>
        <w:t> </w:t>
      </w:r>
      <w:r>
        <w:rPr>
          <w:color w:val="231F20"/>
        </w:rPr>
        <w:t>as</w:t>
      </w:r>
      <w:r>
        <w:rPr>
          <w:color w:val="231F20"/>
          <w:spacing w:val="-2"/>
        </w:rPr>
        <w:t> </w:t>
      </w:r>
      <w:r>
        <w:rPr>
          <w:color w:val="231F20"/>
        </w:rPr>
        <w:t>a condition of the gift instrument, that the principal is to be maintained inviolate and in perpetuity, and invested for the purpose of producing present and future income, which may either be expended or added to principal.</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pStyle w:val="BodyText"/>
        <w:spacing w:line="276" w:lineRule="auto"/>
        <w:ind w:left="2160" w:right="895"/>
      </w:pPr>
      <w:r>
        <w:rPr>
          <w:i/>
          <w:color w:val="231F20"/>
        </w:rPr>
        <w:t>Restricted Net Position-Expendable </w:t>
      </w:r>
      <w:r>
        <w:rPr>
          <w:color w:val="231F20"/>
        </w:rPr>
        <w:t>– Expendable restricted net position includes resources which the Institute is obligated to spend in accordance with restrictions imposed by external parties. Restrictions imposed on asset use can be imposed by creditors (such as through debt covenants), grantors, contributors, laws or regulations of other governments, or imposed by law through constitutional provisions or enabling legislation, which includes a legally enforceable requirement</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resources</w:t>
      </w:r>
      <w:r>
        <w:rPr>
          <w:color w:val="231F20"/>
          <w:spacing w:val="-3"/>
        </w:rPr>
        <w:t> </w:t>
      </w:r>
      <w:r>
        <w:rPr>
          <w:color w:val="231F20"/>
        </w:rPr>
        <w:t>be</w:t>
      </w:r>
      <w:r>
        <w:rPr>
          <w:color w:val="231F20"/>
          <w:spacing w:val="-3"/>
        </w:rPr>
        <w:t> </w:t>
      </w:r>
      <w:r>
        <w:rPr>
          <w:color w:val="231F20"/>
        </w:rPr>
        <w:t>used</w:t>
      </w:r>
      <w:r>
        <w:rPr>
          <w:color w:val="231F20"/>
          <w:spacing w:val="-3"/>
        </w:rPr>
        <w:t> </w:t>
      </w:r>
      <w:r>
        <w:rPr>
          <w:color w:val="231F20"/>
        </w:rPr>
        <w:t>only</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specific</w:t>
      </w:r>
      <w:r>
        <w:rPr>
          <w:color w:val="231F20"/>
          <w:spacing w:val="-2"/>
        </w:rPr>
        <w:t> </w:t>
      </w:r>
      <w:r>
        <w:rPr>
          <w:color w:val="231F20"/>
        </w:rPr>
        <w:t>purposes</w:t>
      </w:r>
      <w:r>
        <w:rPr>
          <w:color w:val="231F20"/>
          <w:spacing w:val="-3"/>
        </w:rPr>
        <w:t> </w:t>
      </w:r>
      <w:r>
        <w:rPr>
          <w:color w:val="231F20"/>
        </w:rPr>
        <w:t>stipulated</w:t>
      </w:r>
      <w:r>
        <w:rPr>
          <w:color w:val="231F20"/>
          <w:spacing w:val="-4"/>
        </w:rPr>
        <w:t> </w:t>
      </w:r>
      <w:r>
        <w:rPr>
          <w:color w:val="231F20"/>
        </w:rPr>
        <w:t>in</w:t>
      </w:r>
      <w:r>
        <w:rPr>
          <w:color w:val="231F20"/>
          <w:spacing w:val="-3"/>
        </w:rPr>
        <w:t> </w:t>
      </w:r>
      <w:r>
        <w:rPr>
          <w:color w:val="231F20"/>
        </w:rPr>
        <w:t>the</w:t>
      </w:r>
      <w:r>
        <w:rPr>
          <w:color w:val="231F20"/>
          <w:spacing w:val="-3"/>
        </w:rPr>
        <w:t> </w:t>
      </w:r>
      <w:r>
        <w:rPr>
          <w:color w:val="231F20"/>
        </w:rPr>
        <w:t>legislation. Legal enforceability means that a government can be compelled by an external party to use resources created by enabling legislation only for purposes specified by the legislation.</w:t>
      </w:r>
    </w:p>
    <w:p>
      <w:pPr>
        <w:pStyle w:val="BodyText"/>
        <w:spacing w:line="276" w:lineRule="auto" w:before="120"/>
        <w:ind w:left="2160" w:right="891"/>
      </w:pPr>
      <w:r>
        <w:rPr>
          <w:i/>
          <w:color w:val="231F20"/>
        </w:rPr>
        <w:t>Unrestricted Net Position </w:t>
      </w:r>
      <w:r>
        <w:rPr>
          <w:color w:val="231F20"/>
        </w:rPr>
        <w:t>– Unrestricted net position represents resources derived from student tuition and fees, state appropriations, sales and services of educational departments, auxiliary enterprises, other exchange transactions and unrestricted grants. These resources are used for transactions</w:t>
      </w:r>
      <w:r>
        <w:rPr>
          <w:color w:val="231F20"/>
          <w:spacing w:val="-1"/>
        </w:rPr>
        <w:t> </w:t>
      </w:r>
      <w:r>
        <w:rPr>
          <w:color w:val="231F20"/>
        </w:rPr>
        <w:t>relating to the educational and general operations of the Institute, and may be used at the discretion of the governing board to meet current expenses for any purpose. These resources</w:t>
      </w:r>
      <w:r>
        <w:rPr>
          <w:color w:val="231F20"/>
          <w:spacing w:val="-5"/>
        </w:rPr>
        <w:t> </w:t>
      </w:r>
      <w:r>
        <w:rPr>
          <w:color w:val="231F20"/>
        </w:rPr>
        <w:t>also</w:t>
      </w:r>
      <w:r>
        <w:rPr>
          <w:color w:val="231F20"/>
          <w:spacing w:val="-5"/>
        </w:rPr>
        <w:t> </w:t>
      </w:r>
      <w:r>
        <w:rPr>
          <w:color w:val="231F20"/>
        </w:rPr>
        <w:t>include</w:t>
      </w:r>
      <w:r>
        <w:rPr>
          <w:color w:val="231F20"/>
          <w:spacing w:val="-5"/>
        </w:rPr>
        <w:t> </w:t>
      </w:r>
      <w:r>
        <w:rPr>
          <w:color w:val="231F20"/>
        </w:rPr>
        <w:t>auxiliary</w:t>
      </w:r>
      <w:r>
        <w:rPr>
          <w:color w:val="231F20"/>
          <w:spacing w:val="-5"/>
        </w:rPr>
        <w:t> </w:t>
      </w:r>
      <w:r>
        <w:rPr>
          <w:color w:val="231F20"/>
        </w:rPr>
        <w:t>enterprises,</w:t>
      </w:r>
      <w:r>
        <w:rPr>
          <w:color w:val="231F20"/>
          <w:spacing w:val="-5"/>
        </w:rPr>
        <w:t> </w:t>
      </w:r>
      <w:r>
        <w:rPr>
          <w:color w:val="231F20"/>
        </w:rPr>
        <w:t>which</w:t>
      </w:r>
      <w:r>
        <w:rPr>
          <w:color w:val="231F20"/>
          <w:spacing w:val="-5"/>
        </w:rPr>
        <w:t> </w:t>
      </w:r>
      <w:r>
        <w:rPr>
          <w:color w:val="231F20"/>
        </w:rPr>
        <w:t>are</w:t>
      </w:r>
      <w:r>
        <w:rPr>
          <w:color w:val="231F20"/>
          <w:spacing w:val="-6"/>
        </w:rPr>
        <w:t> </w:t>
      </w:r>
      <w:r>
        <w:rPr>
          <w:color w:val="231F20"/>
        </w:rPr>
        <w:t>substantially</w:t>
      </w:r>
      <w:r>
        <w:rPr>
          <w:color w:val="231F20"/>
          <w:spacing w:val="-5"/>
        </w:rPr>
        <w:t> </w:t>
      </w:r>
      <w:r>
        <w:rPr>
          <w:color w:val="231F20"/>
        </w:rPr>
        <w:t>self-supporting</w:t>
      </w:r>
      <w:r>
        <w:rPr>
          <w:color w:val="231F20"/>
          <w:spacing w:val="-5"/>
        </w:rPr>
        <w:t> </w:t>
      </w:r>
      <w:r>
        <w:rPr>
          <w:color w:val="231F20"/>
        </w:rPr>
        <w:t>activities</w:t>
      </w:r>
      <w:r>
        <w:rPr>
          <w:color w:val="231F20"/>
          <w:spacing w:val="-4"/>
        </w:rPr>
        <w:t> </w:t>
      </w:r>
      <w:r>
        <w:rPr>
          <w:color w:val="231F20"/>
        </w:rPr>
        <w:t>that provide services for students, faculty, and staff.</w:t>
      </w:r>
    </w:p>
    <w:p>
      <w:pPr>
        <w:pStyle w:val="BodyText"/>
        <w:spacing w:before="10"/>
        <w:rPr>
          <w:sz w:val="22"/>
        </w:rPr>
      </w:pPr>
    </w:p>
    <w:p>
      <w:pPr>
        <w:pStyle w:val="BodyText"/>
        <w:spacing w:line="276" w:lineRule="auto"/>
        <w:ind w:left="1439" w:right="1505"/>
      </w:pPr>
      <w:r>
        <w:rPr>
          <w:color w:val="231F20"/>
        </w:rPr>
        <w:t>When</w:t>
      </w:r>
      <w:r>
        <w:rPr>
          <w:color w:val="231F20"/>
          <w:spacing w:val="-3"/>
        </w:rPr>
        <w:t> </w:t>
      </w:r>
      <w:r>
        <w:rPr>
          <w:color w:val="231F20"/>
        </w:rPr>
        <w:t>an</w:t>
      </w:r>
      <w:r>
        <w:rPr>
          <w:color w:val="231F20"/>
          <w:spacing w:val="-3"/>
        </w:rPr>
        <w:t> </w:t>
      </w:r>
      <w:r>
        <w:rPr>
          <w:color w:val="231F20"/>
        </w:rPr>
        <w:t>expense</w:t>
      </w:r>
      <w:r>
        <w:rPr>
          <w:color w:val="231F20"/>
          <w:spacing w:val="-3"/>
        </w:rPr>
        <w:t> </w:t>
      </w:r>
      <w:r>
        <w:rPr>
          <w:color w:val="231F20"/>
        </w:rPr>
        <w:t>is</w:t>
      </w:r>
      <w:r>
        <w:rPr>
          <w:color w:val="231F20"/>
          <w:spacing w:val="-3"/>
        </w:rPr>
        <w:t> </w:t>
      </w:r>
      <w:r>
        <w:rPr>
          <w:color w:val="231F20"/>
        </w:rPr>
        <w:t>incurred</w:t>
      </w:r>
      <w:r>
        <w:rPr>
          <w:color w:val="231F20"/>
          <w:spacing w:val="-3"/>
        </w:rPr>
        <w:t> </w:t>
      </w:r>
      <w:r>
        <w:rPr>
          <w:color w:val="231F20"/>
        </w:rPr>
        <w:t>that</w:t>
      </w:r>
      <w:r>
        <w:rPr>
          <w:color w:val="231F20"/>
          <w:spacing w:val="-3"/>
        </w:rPr>
        <w:t> </w:t>
      </w:r>
      <w:r>
        <w:rPr>
          <w:color w:val="231F20"/>
        </w:rPr>
        <w:t>can</w:t>
      </w:r>
      <w:r>
        <w:rPr>
          <w:color w:val="231F20"/>
          <w:spacing w:val="-3"/>
        </w:rPr>
        <w:t> </w:t>
      </w:r>
      <w:r>
        <w:rPr>
          <w:color w:val="231F20"/>
        </w:rPr>
        <w:t>be</w:t>
      </w:r>
      <w:r>
        <w:rPr>
          <w:color w:val="231F20"/>
          <w:spacing w:val="-3"/>
        </w:rPr>
        <w:t> </w:t>
      </w:r>
      <w:r>
        <w:rPr>
          <w:color w:val="231F20"/>
        </w:rPr>
        <w:t>paid</w:t>
      </w:r>
      <w:r>
        <w:rPr>
          <w:color w:val="231F20"/>
          <w:spacing w:val="-3"/>
        </w:rPr>
        <w:t> </w:t>
      </w:r>
      <w:r>
        <w:rPr>
          <w:color w:val="231F20"/>
        </w:rPr>
        <w:t>using</w:t>
      </w:r>
      <w:r>
        <w:rPr>
          <w:color w:val="231F20"/>
          <w:spacing w:val="-3"/>
        </w:rPr>
        <w:t> </w:t>
      </w:r>
      <w:r>
        <w:rPr>
          <w:color w:val="231F20"/>
        </w:rPr>
        <w:t>either</w:t>
      </w:r>
      <w:r>
        <w:rPr>
          <w:color w:val="231F20"/>
          <w:spacing w:val="-3"/>
        </w:rPr>
        <w:t> </w:t>
      </w:r>
      <w:r>
        <w:rPr>
          <w:color w:val="231F20"/>
        </w:rPr>
        <w:t>restricted</w:t>
      </w:r>
      <w:r>
        <w:rPr>
          <w:color w:val="231F20"/>
          <w:spacing w:val="-3"/>
        </w:rPr>
        <w:t> </w:t>
      </w:r>
      <w:r>
        <w:rPr>
          <w:color w:val="231F20"/>
        </w:rPr>
        <w:t>or</w:t>
      </w:r>
      <w:r>
        <w:rPr>
          <w:color w:val="231F20"/>
          <w:spacing w:val="-3"/>
        </w:rPr>
        <w:t> </w:t>
      </w:r>
      <w:r>
        <w:rPr>
          <w:color w:val="231F20"/>
        </w:rPr>
        <w:t>unrestricted</w:t>
      </w:r>
      <w:r>
        <w:rPr>
          <w:color w:val="231F20"/>
          <w:spacing w:val="-3"/>
        </w:rPr>
        <w:t> </w:t>
      </w:r>
      <w:r>
        <w:rPr>
          <w:color w:val="231F20"/>
        </w:rPr>
        <w:t>resources,</w:t>
      </w:r>
      <w:r>
        <w:rPr>
          <w:color w:val="231F20"/>
          <w:spacing w:val="-3"/>
        </w:rPr>
        <w:t> </w:t>
      </w:r>
      <w:r>
        <w:rPr>
          <w:color w:val="231F20"/>
        </w:rPr>
        <w:t>the Institute's policy is to first apply restricted, and then unrestricted resources.</w:t>
      </w:r>
    </w:p>
    <w:p>
      <w:pPr>
        <w:pStyle w:val="BodyText"/>
        <w:rPr>
          <w:sz w:val="23"/>
        </w:rPr>
      </w:pPr>
    </w:p>
    <w:p>
      <w:pPr>
        <w:pStyle w:val="BodyText"/>
        <w:spacing w:line="276" w:lineRule="auto"/>
        <w:ind w:left="1439" w:right="1048"/>
      </w:pPr>
      <w:r>
        <w:rPr>
          <w:color w:val="231F20"/>
        </w:rPr>
        <w:t>Deferred</w:t>
      </w:r>
      <w:r>
        <w:rPr>
          <w:color w:val="231F20"/>
          <w:spacing w:val="-4"/>
        </w:rPr>
        <w:t> </w:t>
      </w:r>
      <w:r>
        <w:rPr>
          <w:color w:val="231F20"/>
        </w:rPr>
        <w:t>outflows</w:t>
      </w:r>
      <w:r>
        <w:rPr>
          <w:color w:val="231F20"/>
          <w:spacing w:val="-4"/>
        </w:rPr>
        <w:t> </w:t>
      </w:r>
      <w:r>
        <w:rPr>
          <w:color w:val="231F20"/>
        </w:rPr>
        <w:t>of</w:t>
      </w:r>
      <w:r>
        <w:rPr>
          <w:color w:val="231F20"/>
          <w:spacing w:val="-4"/>
        </w:rPr>
        <w:t> </w:t>
      </w:r>
      <w:r>
        <w:rPr>
          <w:color w:val="231F20"/>
        </w:rPr>
        <w:t>resources</w:t>
      </w:r>
      <w:r>
        <w:rPr>
          <w:color w:val="231F20"/>
          <w:spacing w:val="-4"/>
        </w:rPr>
        <w:t> </w:t>
      </w:r>
      <w:r>
        <w:rPr>
          <w:color w:val="231F20"/>
        </w:rPr>
        <w:t>consumed</w:t>
      </w:r>
      <w:r>
        <w:rPr>
          <w:color w:val="231F20"/>
          <w:spacing w:val="-4"/>
        </w:rPr>
        <w:t> </w:t>
      </w:r>
      <w:r>
        <w:rPr>
          <w:color w:val="231F20"/>
        </w:rPr>
        <w:t>and</w:t>
      </w:r>
      <w:r>
        <w:rPr>
          <w:color w:val="231F20"/>
          <w:spacing w:val="-4"/>
        </w:rPr>
        <w:t> </w:t>
      </w:r>
      <w:r>
        <w:rPr>
          <w:color w:val="231F20"/>
        </w:rPr>
        <w:t>deferred</w:t>
      </w:r>
      <w:r>
        <w:rPr>
          <w:color w:val="231F20"/>
          <w:spacing w:val="-4"/>
        </w:rPr>
        <w:t> </w:t>
      </w:r>
      <w:r>
        <w:rPr>
          <w:color w:val="231F20"/>
        </w:rPr>
        <w:t>inflows</w:t>
      </w:r>
      <w:r>
        <w:rPr>
          <w:color w:val="231F20"/>
          <w:spacing w:val="-4"/>
        </w:rPr>
        <w:t> </w:t>
      </w:r>
      <w:r>
        <w:rPr>
          <w:color w:val="231F20"/>
        </w:rPr>
        <w:t>of</w:t>
      </w:r>
      <w:r>
        <w:rPr>
          <w:color w:val="231F20"/>
          <w:spacing w:val="-4"/>
        </w:rPr>
        <w:t> </w:t>
      </w:r>
      <w:r>
        <w:rPr>
          <w:color w:val="231F20"/>
        </w:rPr>
        <w:t>resources</w:t>
      </w:r>
      <w:r>
        <w:rPr>
          <w:color w:val="231F20"/>
          <w:spacing w:val="-4"/>
        </w:rPr>
        <w:t> </w:t>
      </w:r>
      <w:r>
        <w:rPr>
          <w:color w:val="231F20"/>
        </w:rPr>
        <w:t>received</w:t>
      </w:r>
      <w:r>
        <w:rPr>
          <w:color w:val="231F20"/>
          <w:spacing w:val="-4"/>
        </w:rPr>
        <w:t> </w:t>
      </w:r>
      <w:r>
        <w:rPr>
          <w:color w:val="231F20"/>
        </w:rPr>
        <w:t>and</w:t>
      </w:r>
      <w:r>
        <w:rPr>
          <w:color w:val="231F20"/>
          <w:spacing w:val="-4"/>
        </w:rPr>
        <w:t> </w:t>
      </w:r>
      <w:r>
        <w:rPr>
          <w:color w:val="231F20"/>
        </w:rPr>
        <w:t>available</w:t>
      </w:r>
      <w:r>
        <w:rPr>
          <w:color w:val="231F20"/>
          <w:spacing w:val="-4"/>
        </w:rPr>
        <w:t> </w:t>
      </w:r>
      <w:r>
        <w:rPr>
          <w:color w:val="231F20"/>
        </w:rPr>
        <w:t>are included in the statement of net position.</w:t>
      </w:r>
    </w:p>
    <w:p>
      <w:pPr>
        <w:pStyle w:val="BodyText"/>
        <w:spacing w:before="11"/>
        <w:rPr>
          <w:sz w:val="22"/>
        </w:rPr>
      </w:pPr>
    </w:p>
    <w:p>
      <w:pPr>
        <w:pStyle w:val="BodyText"/>
        <w:ind w:left="1439"/>
      </w:pPr>
      <w:r>
        <w:rPr>
          <w:color w:val="231F20"/>
        </w:rPr>
        <w:t>There</w:t>
      </w:r>
      <w:r>
        <w:rPr>
          <w:color w:val="231F20"/>
          <w:spacing w:val="-7"/>
        </w:rPr>
        <w:t> </w:t>
      </w:r>
      <w:r>
        <w:rPr>
          <w:color w:val="231F20"/>
        </w:rPr>
        <w:t>were</w:t>
      </w:r>
      <w:r>
        <w:rPr>
          <w:color w:val="231F20"/>
          <w:spacing w:val="-5"/>
        </w:rPr>
        <w:t> </w:t>
      </w:r>
      <w:r>
        <w:rPr>
          <w:color w:val="231F20"/>
        </w:rPr>
        <w:t>deferred</w:t>
      </w:r>
      <w:r>
        <w:rPr>
          <w:color w:val="231F20"/>
          <w:spacing w:val="-5"/>
        </w:rPr>
        <w:t> </w:t>
      </w:r>
      <w:r>
        <w:rPr>
          <w:color w:val="231F20"/>
        </w:rPr>
        <w:t>outflows</w:t>
      </w:r>
      <w:r>
        <w:rPr>
          <w:color w:val="231F20"/>
          <w:spacing w:val="-5"/>
        </w:rPr>
        <w:t> </w:t>
      </w:r>
      <w:r>
        <w:rPr>
          <w:color w:val="231F20"/>
        </w:rPr>
        <w:t>and</w:t>
      </w:r>
      <w:r>
        <w:rPr>
          <w:color w:val="231F20"/>
          <w:spacing w:val="-5"/>
        </w:rPr>
        <w:t> </w:t>
      </w:r>
      <w:r>
        <w:rPr>
          <w:color w:val="231F20"/>
        </w:rPr>
        <w:t>inflows</w:t>
      </w:r>
      <w:r>
        <w:rPr>
          <w:color w:val="231F20"/>
          <w:spacing w:val="-5"/>
        </w:rPr>
        <w:t> </w:t>
      </w:r>
      <w:r>
        <w:rPr>
          <w:color w:val="231F20"/>
        </w:rPr>
        <w:t>of</w:t>
      </w:r>
      <w:r>
        <w:rPr>
          <w:color w:val="231F20"/>
          <w:spacing w:val="-5"/>
        </w:rPr>
        <w:t> </w:t>
      </w:r>
      <w:r>
        <w:rPr>
          <w:color w:val="231F20"/>
        </w:rPr>
        <w:t>resources</w:t>
      </w:r>
      <w:r>
        <w:rPr>
          <w:color w:val="231F20"/>
          <w:spacing w:val="-5"/>
        </w:rPr>
        <w:t> </w:t>
      </w:r>
      <w:r>
        <w:rPr>
          <w:color w:val="231F20"/>
        </w:rPr>
        <w:t>to</w:t>
      </w:r>
      <w:r>
        <w:rPr>
          <w:color w:val="231F20"/>
          <w:spacing w:val="-5"/>
        </w:rPr>
        <w:t> </w:t>
      </w:r>
      <w:r>
        <w:rPr>
          <w:color w:val="231F20"/>
        </w:rPr>
        <w:t>separately</w:t>
      </w:r>
      <w:r>
        <w:rPr>
          <w:color w:val="231F20"/>
          <w:spacing w:val="-5"/>
        </w:rPr>
        <w:t> </w:t>
      </w:r>
      <w:r>
        <w:rPr>
          <w:color w:val="231F20"/>
        </w:rPr>
        <w:t>report</w:t>
      </w:r>
      <w:r>
        <w:rPr>
          <w:color w:val="231F20"/>
          <w:spacing w:val="-5"/>
        </w:rPr>
        <w:t> </w:t>
      </w:r>
      <w:r>
        <w:rPr>
          <w:color w:val="231F20"/>
        </w:rPr>
        <w:t>at</w:t>
      </w:r>
      <w:r>
        <w:rPr>
          <w:color w:val="231F20"/>
          <w:spacing w:val="-5"/>
        </w:rPr>
        <w:t> </w:t>
      </w:r>
      <w:r>
        <w:rPr>
          <w:color w:val="231F20"/>
        </w:rPr>
        <w:t>June</w:t>
      </w:r>
      <w:r>
        <w:rPr>
          <w:color w:val="231F20"/>
          <w:spacing w:val="-4"/>
        </w:rPr>
        <w:t> </w:t>
      </w:r>
      <w:r>
        <w:rPr>
          <w:color w:val="231F20"/>
        </w:rPr>
        <w:t>30,</w:t>
      </w:r>
      <w:r>
        <w:rPr>
          <w:color w:val="231F20"/>
          <w:spacing w:val="-5"/>
        </w:rPr>
        <w:t> </w:t>
      </w:r>
      <w:r>
        <w:rPr>
          <w:color w:val="231F20"/>
          <w:spacing w:val="-2"/>
        </w:rPr>
        <w:t>2022.</w:t>
      </w:r>
    </w:p>
    <w:p>
      <w:pPr>
        <w:spacing w:after="0"/>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spacing w:before="0"/>
        <w:ind w:left="1440" w:right="0" w:firstLine="0"/>
        <w:jc w:val="left"/>
        <w:rPr>
          <w:b/>
          <w:sz w:val="20"/>
        </w:rPr>
      </w:pPr>
      <w:r>
        <w:rPr>
          <w:b/>
          <w:color w:val="231F20"/>
          <w:sz w:val="20"/>
        </w:rPr>
        <w:t>Revenues</w:t>
      </w:r>
      <w:r>
        <w:rPr>
          <w:b/>
          <w:color w:val="231F20"/>
          <w:spacing w:val="-4"/>
          <w:sz w:val="20"/>
        </w:rPr>
        <w:t> </w:t>
      </w:r>
      <w:r>
        <w:rPr>
          <w:b/>
          <w:color w:val="231F20"/>
          <w:sz w:val="20"/>
        </w:rPr>
        <w:t>and</w:t>
      </w:r>
      <w:r>
        <w:rPr>
          <w:b/>
          <w:color w:val="231F20"/>
          <w:spacing w:val="-4"/>
          <w:sz w:val="20"/>
        </w:rPr>
        <w:t> </w:t>
      </w:r>
      <w:r>
        <w:rPr>
          <w:b/>
          <w:color w:val="231F20"/>
          <w:sz w:val="20"/>
        </w:rPr>
        <w:t>Revenue</w:t>
      </w:r>
      <w:r>
        <w:rPr>
          <w:b/>
          <w:color w:val="231F20"/>
          <w:spacing w:val="-4"/>
          <w:sz w:val="20"/>
        </w:rPr>
        <w:t> </w:t>
      </w:r>
      <w:r>
        <w:rPr>
          <w:b/>
          <w:color w:val="231F20"/>
          <w:spacing w:val="-2"/>
          <w:sz w:val="20"/>
        </w:rPr>
        <w:t>Recognition</w:t>
      </w:r>
    </w:p>
    <w:p>
      <w:pPr>
        <w:pStyle w:val="BodyText"/>
        <w:spacing w:line="276" w:lineRule="auto" w:before="34"/>
        <w:ind w:left="1440" w:right="1048"/>
      </w:pPr>
      <w:r>
        <w:rPr>
          <w:color w:val="231F20"/>
        </w:rPr>
        <w:t>The</w:t>
      </w:r>
      <w:r>
        <w:rPr>
          <w:color w:val="231F20"/>
          <w:spacing w:val="-3"/>
        </w:rPr>
        <w:t> </w:t>
      </w:r>
      <w:r>
        <w:rPr>
          <w:color w:val="231F20"/>
        </w:rPr>
        <w:t>Institute</w:t>
      </w:r>
      <w:r>
        <w:rPr>
          <w:color w:val="231F20"/>
          <w:spacing w:val="-4"/>
        </w:rPr>
        <w:t> </w:t>
      </w:r>
      <w:r>
        <w:rPr>
          <w:color w:val="231F20"/>
        </w:rPr>
        <w:t>has</w:t>
      </w:r>
      <w:r>
        <w:rPr>
          <w:color w:val="231F20"/>
          <w:spacing w:val="-4"/>
        </w:rPr>
        <w:t> </w:t>
      </w:r>
      <w:r>
        <w:rPr>
          <w:color w:val="231F20"/>
        </w:rPr>
        <w:t>classified</w:t>
      </w:r>
      <w:r>
        <w:rPr>
          <w:color w:val="231F20"/>
          <w:spacing w:val="-4"/>
        </w:rPr>
        <w:t> </w:t>
      </w:r>
      <w:r>
        <w:rPr>
          <w:color w:val="231F20"/>
        </w:rPr>
        <w:t>its</w:t>
      </w:r>
      <w:r>
        <w:rPr>
          <w:color w:val="231F20"/>
          <w:spacing w:val="-3"/>
        </w:rPr>
        <w:t> </w:t>
      </w:r>
      <w:r>
        <w:rPr>
          <w:color w:val="231F20"/>
        </w:rPr>
        <w:t>revenues</w:t>
      </w:r>
      <w:r>
        <w:rPr>
          <w:color w:val="231F20"/>
          <w:spacing w:val="-4"/>
        </w:rPr>
        <w:t> </w:t>
      </w:r>
      <w:r>
        <w:rPr>
          <w:color w:val="231F20"/>
        </w:rPr>
        <w:t>as</w:t>
      </w:r>
      <w:r>
        <w:rPr>
          <w:color w:val="231F20"/>
          <w:spacing w:val="-3"/>
        </w:rPr>
        <w:t> </w:t>
      </w:r>
      <w:r>
        <w:rPr>
          <w:color w:val="231F20"/>
        </w:rPr>
        <w:t>either</w:t>
      </w:r>
      <w:r>
        <w:rPr>
          <w:color w:val="231F20"/>
          <w:spacing w:val="-3"/>
        </w:rPr>
        <w:t> </w:t>
      </w:r>
      <w:r>
        <w:rPr>
          <w:color w:val="231F20"/>
        </w:rPr>
        <w:t>operating</w:t>
      </w:r>
      <w:r>
        <w:rPr>
          <w:color w:val="231F20"/>
          <w:spacing w:val="-3"/>
        </w:rPr>
        <w:t> </w:t>
      </w:r>
      <w:r>
        <w:rPr>
          <w:color w:val="231F20"/>
        </w:rPr>
        <w:t>or</w:t>
      </w:r>
      <w:r>
        <w:rPr>
          <w:color w:val="231F20"/>
          <w:spacing w:val="-3"/>
        </w:rPr>
        <w:t> </w:t>
      </w:r>
      <w:r>
        <w:rPr>
          <w:color w:val="231F20"/>
        </w:rPr>
        <w:t>non-operating</w:t>
      </w:r>
      <w:r>
        <w:rPr>
          <w:color w:val="231F20"/>
          <w:spacing w:val="-3"/>
        </w:rPr>
        <w:t> </w:t>
      </w:r>
      <w:r>
        <w:rPr>
          <w:color w:val="231F20"/>
        </w:rPr>
        <w:t>revenues</w:t>
      </w:r>
      <w:r>
        <w:rPr>
          <w:color w:val="231F20"/>
          <w:spacing w:val="-3"/>
        </w:rPr>
        <w:t> </w:t>
      </w:r>
      <w:r>
        <w:rPr>
          <w:color w:val="231F20"/>
        </w:rPr>
        <w:t>according</w:t>
      </w:r>
      <w:r>
        <w:rPr>
          <w:color w:val="231F20"/>
          <w:spacing w:val="-3"/>
        </w:rPr>
        <w:t> </w:t>
      </w:r>
      <w:r>
        <w:rPr>
          <w:color w:val="231F20"/>
        </w:rPr>
        <w:t>to</w:t>
      </w:r>
      <w:r>
        <w:rPr>
          <w:color w:val="231F20"/>
          <w:spacing w:val="-3"/>
        </w:rPr>
        <w:t> </w:t>
      </w:r>
      <w:r>
        <w:rPr>
          <w:color w:val="231F20"/>
        </w:rPr>
        <w:t>the following criteria:</w:t>
      </w:r>
    </w:p>
    <w:p>
      <w:pPr>
        <w:pStyle w:val="BodyText"/>
        <w:rPr>
          <w:sz w:val="23"/>
        </w:rPr>
      </w:pPr>
    </w:p>
    <w:p>
      <w:pPr>
        <w:pStyle w:val="BodyText"/>
        <w:spacing w:line="276" w:lineRule="auto"/>
        <w:ind w:left="2160" w:right="1048"/>
      </w:pPr>
      <w:r>
        <w:rPr>
          <w:i/>
          <w:color w:val="231F20"/>
        </w:rPr>
        <w:t>Operating Revenues </w:t>
      </w:r>
      <w:r>
        <w:rPr>
          <w:color w:val="231F20"/>
        </w:rPr>
        <w:t>– Operating revenues include activities that have the characteristics of exchange transactions, such as (1) student tuition and fees, net of scholarship discounts and allowances,</w:t>
      </w:r>
      <w:r>
        <w:rPr>
          <w:color w:val="231F20"/>
          <w:spacing w:val="-4"/>
        </w:rPr>
        <w:t> </w:t>
      </w:r>
      <w:r>
        <w:rPr>
          <w:color w:val="231F20"/>
        </w:rPr>
        <w:t>(2)</w:t>
      </w:r>
      <w:r>
        <w:rPr>
          <w:color w:val="231F20"/>
          <w:spacing w:val="-4"/>
        </w:rPr>
        <w:t> </w:t>
      </w:r>
      <w:r>
        <w:rPr>
          <w:color w:val="231F20"/>
        </w:rPr>
        <w:t>most</w:t>
      </w:r>
      <w:r>
        <w:rPr>
          <w:color w:val="231F20"/>
          <w:spacing w:val="-4"/>
        </w:rPr>
        <w:t> </w:t>
      </w:r>
      <w:r>
        <w:rPr>
          <w:color w:val="231F20"/>
        </w:rPr>
        <w:t>federal,</w:t>
      </w:r>
      <w:r>
        <w:rPr>
          <w:color w:val="231F20"/>
          <w:spacing w:val="-4"/>
        </w:rPr>
        <w:t> </w:t>
      </w:r>
      <w:r>
        <w:rPr>
          <w:color w:val="231F20"/>
        </w:rPr>
        <w:t>state</w:t>
      </w:r>
      <w:r>
        <w:rPr>
          <w:color w:val="231F20"/>
          <w:spacing w:val="-4"/>
        </w:rPr>
        <w:t> </w:t>
      </w:r>
      <w:r>
        <w:rPr>
          <w:color w:val="231F20"/>
        </w:rPr>
        <w:t>and</w:t>
      </w:r>
      <w:r>
        <w:rPr>
          <w:color w:val="231F20"/>
          <w:spacing w:val="-4"/>
        </w:rPr>
        <w:t> </w:t>
      </w:r>
      <w:r>
        <w:rPr>
          <w:color w:val="231F20"/>
        </w:rPr>
        <w:t>local</w:t>
      </w:r>
      <w:r>
        <w:rPr>
          <w:color w:val="231F20"/>
          <w:spacing w:val="-4"/>
        </w:rPr>
        <w:t> </w:t>
      </w:r>
      <w:r>
        <w:rPr>
          <w:color w:val="231F20"/>
        </w:rPr>
        <w:t>grants</w:t>
      </w:r>
      <w:r>
        <w:rPr>
          <w:color w:val="231F20"/>
          <w:spacing w:val="-4"/>
        </w:rPr>
        <w:t> </w:t>
      </w:r>
      <w:r>
        <w:rPr>
          <w:color w:val="231F20"/>
        </w:rPr>
        <w:t>and</w:t>
      </w:r>
      <w:r>
        <w:rPr>
          <w:color w:val="231F20"/>
          <w:spacing w:val="-4"/>
        </w:rPr>
        <w:t> </w:t>
      </w:r>
      <w:r>
        <w:rPr>
          <w:color w:val="231F20"/>
        </w:rPr>
        <w:t>contracts,</w:t>
      </w:r>
      <w:r>
        <w:rPr>
          <w:color w:val="231F20"/>
          <w:spacing w:val="-5"/>
        </w:rPr>
        <w:t> </w:t>
      </w:r>
      <w:r>
        <w:rPr>
          <w:color w:val="231F20"/>
        </w:rPr>
        <w:t>and</w:t>
      </w:r>
      <w:r>
        <w:rPr>
          <w:color w:val="231F20"/>
          <w:spacing w:val="-4"/>
        </w:rPr>
        <w:t> </w:t>
      </w:r>
      <w:r>
        <w:rPr>
          <w:color w:val="231F20"/>
        </w:rPr>
        <w:t>Federal</w:t>
      </w:r>
      <w:r>
        <w:rPr>
          <w:color w:val="231F20"/>
          <w:spacing w:val="-4"/>
        </w:rPr>
        <w:t> </w:t>
      </w:r>
      <w:r>
        <w:rPr>
          <w:color w:val="231F20"/>
        </w:rPr>
        <w:t>appropriations, and (3) interest on institutional student loans.</w:t>
      </w:r>
    </w:p>
    <w:p>
      <w:pPr>
        <w:pStyle w:val="BodyText"/>
        <w:spacing w:before="11"/>
        <w:rPr>
          <w:sz w:val="22"/>
        </w:rPr>
      </w:pPr>
    </w:p>
    <w:p>
      <w:pPr>
        <w:spacing w:line="276" w:lineRule="auto" w:before="0"/>
        <w:ind w:left="2160" w:right="874" w:firstLine="0"/>
        <w:jc w:val="left"/>
        <w:rPr>
          <w:sz w:val="20"/>
        </w:rPr>
      </w:pPr>
      <w:r>
        <w:rPr>
          <w:i/>
          <w:color w:val="231F20"/>
          <w:sz w:val="20"/>
        </w:rPr>
        <w:t>Non-Operating Revenues </w:t>
      </w:r>
      <w:r>
        <w:rPr>
          <w:color w:val="231F20"/>
          <w:sz w:val="20"/>
        </w:rPr>
        <w:t>– Non-operating revenues include activities that have the characteristics of non-exchange transactions, such as gifts and contributions, state</w:t>
      </w:r>
      <w:r>
        <w:rPr>
          <w:color w:val="231F20"/>
          <w:sz w:val="20"/>
        </w:rPr>
        <w:t> appropriations,</w:t>
      </w:r>
      <w:r>
        <w:rPr>
          <w:color w:val="231F20"/>
          <w:spacing w:val="-4"/>
          <w:sz w:val="20"/>
        </w:rPr>
        <w:t> </w:t>
      </w:r>
      <w:r>
        <w:rPr>
          <w:color w:val="231F20"/>
          <w:sz w:val="20"/>
        </w:rPr>
        <w:t>investment</w:t>
      </w:r>
      <w:r>
        <w:rPr>
          <w:color w:val="231F20"/>
          <w:spacing w:val="-5"/>
          <w:sz w:val="20"/>
        </w:rPr>
        <w:t> </w:t>
      </w:r>
      <w:r>
        <w:rPr>
          <w:color w:val="231F20"/>
          <w:sz w:val="20"/>
        </w:rPr>
        <w:t>income,</w:t>
      </w:r>
      <w:r>
        <w:rPr>
          <w:color w:val="231F20"/>
          <w:spacing w:val="-4"/>
          <w:sz w:val="20"/>
        </w:rPr>
        <w:t> </w:t>
      </w:r>
      <w:r>
        <w:rPr>
          <w:color w:val="231F20"/>
          <w:sz w:val="20"/>
        </w:rPr>
        <w:t>bond</w:t>
      </w:r>
      <w:r>
        <w:rPr>
          <w:color w:val="231F20"/>
          <w:spacing w:val="-4"/>
          <w:sz w:val="20"/>
        </w:rPr>
        <w:t> </w:t>
      </w:r>
      <w:r>
        <w:rPr>
          <w:color w:val="231F20"/>
          <w:sz w:val="20"/>
        </w:rPr>
        <w:t>proceeds</w:t>
      </w:r>
      <w:r>
        <w:rPr>
          <w:color w:val="231F20"/>
          <w:spacing w:val="-3"/>
          <w:sz w:val="20"/>
        </w:rPr>
        <w:t> </w:t>
      </w:r>
      <w:r>
        <w:rPr>
          <w:color w:val="231F20"/>
          <w:sz w:val="20"/>
        </w:rPr>
        <w:t>appropriations</w:t>
      </w:r>
      <w:r>
        <w:rPr>
          <w:color w:val="231F20"/>
          <w:spacing w:val="-5"/>
          <w:sz w:val="20"/>
        </w:rPr>
        <w:t> </w:t>
      </w:r>
      <w:r>
        <w:rPr>
          <w:color w:val="231F20"/>
          <w:sz w:val="20"/>
        </w:rPr>
        <w:t>and</w:t>
      </w:r>
      <w:r>
        <w:rPr>
          <w:color w:val="231F20"/>
          <w:spacing w:val="-4"/>
          <w:sz w:val="20"/>
        </w:rPr>
        <w:t> </w:t>
      </w:r>
      <w:r>
        <w:rPr>
          <w:color w:val="231F20"/>
          <w:sz w:val="20"/>
        </w:rPr>
        <w:t>other</w:t>
      </w:r>
      <w:r>
        <w:rPr>
          <w:color w:val="231F20"/>
          <w:spacing w:val="-4"/>
          <w:sz w:val="20"/>
        </w:rPr>
        <w:t> </w:t>
      </w:r>
      <w:r>
        <w:rPr>
          <w:color w:val="231F20"/>
          <w:sz w:val="20"/>
        </w:rPr>
        <w:t>revenue</w:t>
      </w:r>
      <w:r>
        <w:rPr>
          <w:color w:val="231F20"/>
          <w:spacing w:val="-5"/>
          <w:sz w:val="20"/>
        </w:rPr>
        <w:t> </w:t>
      </w:r>
      <w:r>
        <w:rPr>
          <w:color w:val="231F20"/>
          <w:sz w:val="20"/>
        </w:rPr>
        <w:t>sources</w:t>
      </w:r>
      <w:r>
        <w:rPr>
          <w:color w:val="231F20"/>
          <w:spacing w:val="-4"/>
          <w:sz w:val="20"/>
        </w:rPr>
        <w:t> </w:t>
      </w:r>
      <w:r>
        <w:rPr>
          <w:color w:val="231F20"/>
          <w:sz w:val="20"/>
        </w:rPr>
        <w:t>that are defined as non-operating revenues by GASB Statement No. 9, </w:t>
      </w:r>
      <w:r>
        <w:rPr>
          <w:i/>
          <w:color w:val="231F20"/>
          <w:sz w:val="20"/>
        </w:rPr>
        <w:t>Reporting Cash Flows</w:t>
      </w:r>
      <w:r>
        <w:rPr>
          <w:i/>
          <w:color w:val="231F20"/>
          <w:sz w:val="20"/>
        </w:rPr>
        <w:t> Proprietary and Nonexpendable Trust Funds and Governmental Entities that use Proprietary Fund Accounting</w:t>
      </w:r>
      <w:r>
        <w:rPr>
          <w:color w:val="231F20"/>
          <w:sz w:val="20"/>
        </w:rPr>
        <w:t>, and GASB Statement No. 33, </w:t>
      </w:r>
      <w:r>
        <w:rPr>
          <w:i/>
          <w:color w:val="231F20"/>
          <w:sz w:val="20"/>
        </w:rPr>
        <w:t>Accounting and Financial Reporting for</w:t>
      </w:r>
      <w:r>
        <w:rPr>
          <w:i/>
          <w:color w:val="231F20"/>
          <w:sz w:val="20"/>
        </w:rPr>
        <w:t> Nonexchange Transactions. </w:t>
      </w:r>
      <w:r>
        <w:rPr>
          <w:color w:val="231F20"/>
          <w:sz w:val="20"/>
        </w:rPr>
        <w:t>Appropriations are recognized in the year they are appropriated, regardless of when actually received. Gifts are recognized when all eligibility requirements have been met. Interest and investment income is recognized in the period when it is earned.</w:t>
      </w:r>
    </w:p>
    <w:p>
      <w:pPr>
        <w:pStyle w:val="BodyText"/>
        <w:spacing w:before="11"/>
        <w:rPr>
          <w:sz w:val="22"/>
        </w:rPr>
      </w:pPr>
    </w:p>
    <w:p>
      <w:pPr>
        <w:pStyle w:val="BodyText"/>
        <w:spacing w:line="276" w:lineRule="auto"/>
        <w:ind w:left="1439" w:right="891"/>
      </w:pPr>
      <w:r>
        <w:rPr>
          <w:color w:val="231F20"/>
        </w:rPr>
        <w:t>The</w:t>
      </w:r>
      <w:r>
        <w:rPr>
          <w:color w:val="231F20"/>
          <w:spacing w:val="-3"/>
        </w:rPr>
        <w:t> </w:t>
      </w:r>
      <w:r>
        <w:rPr>
          <w:color w:val="231F20"/>
        </w:rPr>
        <w:t>Institute</w:t>
      </w:r>
      <w:r>
        <w:rPr>
          <w:color w:val="231F20"/>
          <w:spacing w:val="-4"/>
        </w:rPr>
        <w:t> </w:t>
      </w:r>
      <w:r>
        <w:rPr>
          <w:color w:val="231F20"/>
        </w:rPr>
        <w:t>engages</w:t>
      </w:r>
      <w:r>
        <w:rPr>
          <w:color w:val="231F20"/>
          <w:spacing w:val="-3"/>
        </w:rPr>
        <w:t> </w:t>
      </w:r>
      <w:r>
        <w:rPr>
          <w:color w:val="231F20"/>
        </w:rPr>
        <w:t>in</w:t>
      </w:r>
      <w:r>
        <w:rPr>
          <w:color w:val="231F20"/>
          <w:spacing w:val="-3"/>
        </w:rPr>
        <w:t> </w:t>
      </w:r>
      <w:r>
        <w:rPr>
          <w:color w:val="231F20"/>
        </w:rPr>
        <w:t>federal</w:t>
      </w:r>
      <w:r>
        <w:rPr>
          <w:color w:val="231F20"/>
          <w:spacing w:val="-3"/>
        </w:rPr>
        <w:t> </w:t>
      </w:r>
      <w:r>
        <w:rPr>
          <w:color w:val="231F20"/>
        </w:rPr>
        <w:t>grant,</w:t>
      </w:r>
      <w:r>
        <w:rPr>
          <w:color w:val="231F20"/>
          <w:spacing w:val="-3"/>
        </w:rPr>
        <w:t> </w:t>
      </w:r>
      <w:r>
        <w:rPr>
          <w:color w:val="231F20"/>
        </w:rPr>
        <w:t>contract,</w:t>
      </w:r>
      <w:r>
        <w:rPr>
          <w:color w:val="231F20"/>
          <w:spacing w:val="-3"/>
        </w:rPr>
        <w:t> </w:t>
      </w:r>
      <w:r>
        <w:rPr>
          <w:color w:val="231F20"/>
        </w:rPr>
        <w:t>and</w:t>
      </w:r>
      <w:r>
        <w:rPr>
          <w:color w:val="231F20"/>
          <w:spacing w:val="-3"/>
        </w:rPr>
        <w:t> </w:t>
      </w:r>
      <w:r>
        <w:rPr>
          <w:color w:val="231F20"/>
        </w:rPr>
        <w:t>cooperative</w:t>
      </w:r>
      <w:r>
        <w:rPr>
          <w:color w:val="231F20"/>
          <w:spacing w:val="-3"/>
        </w:rPr>
        <w:t> </w:t>
      </w:r>
      <w:r>
        <w:rPr>
          <w:color w:val="231F20"/>
        </w:rPr>
        <w:t>agreement</w:t>
      </w:r>
      <w:r>
        <w:rPr>
          <w:color w:val="231F20"/>
          <w:spacing w:val="-3"/>
        </w:rPr>
        <w:t> </w:t>
      </w:r>
      <w:r>
        <w:rPr>
          <w:color w:val="231F20"/>
        </w:rPr>
        <w:t>programs</w:t>
      </w:r>
      <w:r>
        <w:rPr>
          <w:color w:val="231F20"/>
          <w:spacing w:val="-3"/>
        </w:rPr>
        <w:t> </w:t>
      </w:r>
      <w:r>
        <w:rPr>
          <w:color w:val="231F20"/>
        </w:rPr>
        <w:t>commonly</w:t>
      </w:r>
      <w:r>
        <w:rPr>
          <w:color w:val="231F20"/>
          <w:spacing w:val="-3"/>
        </w:rPr>
        <w:t> </w:t>
      </w:r>
      <w:r>
        <w:rPr>
          <w:color w:val="231F20"/>
        </w:rPr>
        <w:t>referred to as </w:t>
      </w:r>
      <w:r>
        <w:rPr>
          <w:i/>
          <w:color w:val="231F20"/>
        </w:rPr>
        <w:t>reimbursement type </w:t>
      </w:r>
      <w:r>
        <w:rPr>
          <w:color w:val="231F20"/>
        </w:rPr>
        <w:t>programs. These programs require that the recipient (the Institute) must incur allowable costs as defined by the agreement types in order to draw down funds against the particular project. This is the principal eligibility requirement for the recognition of the revenue. Contract and grant revenues are recognized when the underlying exchange transaction has occurred, that is when all eligibility requirements have been met. Upon incurring an allowable cost, the Institute simultaneously recognizes a receivable and revenue in the amount of the expenditures incurred. All other eligibility requirements or grants, as applicable, must also be satisfied.</w:t>
      </w:r>
    </w:p>
    <w:p>
      <w:pPr>
        <w:pStyle w:val="BodyText"/>
        <w:rPr>
          <w:sz w:val="23"/>
        </w:rPr>
      </w:pPr>
    </w:p>
    <w:p>
      <w:pPr>
        <w:pStyle w:val="BodyText"/>
        <w:spacing w:line="276" w:lineRule="auto"/>
        <w:ind w:left="1439" w:right="1173"/>
        <w:jc w:val="both"/>
      </w:pPr>
      <w:r>
        <w:rPr>
          <w:color w:val="231F20"/>
        </w:rPr>
        <w:t>The</w:t>
      </w:r>
      <w:r>
        <w:rPr>
          <w:color w:val="231F20"/>
          <w:spacing w:val="-2"/>
        </w:rPr>
        <w:t> </w:t>
      </w:r>
      <w:r>
        <w:rPr>
          <w:color w:val="231F20"/>
        </w:rPr>
        <w:t>Institute</w:t>
      </w:r>
      <w:r>
        <w:rPr>
          <w:color w:val="231F20"/>
          <w:spacing w:val="-2"/>
        </w:rPr>
        <w:t> </w:t>
      </w:r>
      <w:r>
        <w:rPr>
          <w:color w:val="231F20"/>
        </w:rPr>
        <w:t>received</w:t>
      </w:r>
      <w:r>
        <w:rPr>
          <w:color w:val="231F20"/>
          <w:spacing w:val="-2"/>
        </w:rPr>
        <w:t> </w:t>
      </w:r>
      <w:r>
        <w:rPr>
          <w:color w:val="231F20"/>
        </w:rPr>
        <w:t>an</w:t>
      </w:r>
      <w:r>
        <w:rPr>
          <w:color w:val="231F20"/>
          <w:spacing w:val="-2"/>
        </w:rPr>
        <w:t> </w:t>
      </w:r>
      <w:r>
        <w:rPr>
          <w:color w:val="231F20"/>
        </w:rPr>
        <w:t>annual</w:t>
      </w:r>
      <w:r>
        <w:rPr>
          <w:color w:val="231F20"/>
          <w:spacing w:val="-3"/>
        </w:rPr>
        <w:t> </w:t>
      </w:r>
      <w:r>
        <w:rPr>
          <w:color w:val="231F20"/>
        </w:rPr>
        <w:t>state</w:t>
      </w:r>
      <w:r>
        <w:rPr>
          <w:color w:val="231F20"/>
          <w:spacing w:val="-2"/>
        </w:rPr>
        <w:t> </w:t>
      </w:r>
      <w:r>
        <w:rPr>
          <w:color w:val="231F20"/>
        </w:rPr>
        <w:t>General</w:t>
      </w:r>
      <w:r>
        <w:rPr>
          <w:color w:val="231F20"/>
          <w:spacing w:val="-2"/>
        </w:rPr>
        <w:t> </w:t>
      </w:r>
      <w:r>
        <w:rPr>
          <w:color w:val="231F20"/>
        </w:rPr>
        <w:t>Fund appropriation</w:t>
      </w:r>
      <w:r>
        <w:rPr>
          <w:color w:val="231F20"/>
          <w:spacing w:val="-3"/>
        </w:rPr>
        <w:t> </w:t>
      </w:r>
      <w:r>
        <w:rPr>
          <w:color w:val="231F20"/>
        </w:rPr>
        <w:t>of</w:t>
      </w:r>
      <w:r>
        <w:rPr>
          <w:color w:val="231F20"/>
          <w:spacing w:val="-2"/>
        </w:rPr>
        <w:t> </w:t>
      </w:r>
      <w:r>
        <w:rPr>
          <w:color w:val="231F20"/>
        </w:rPr>
        <w:t>$39,893,730</w:t>
      </w:r>
      <w:r>
        <w:rPr>
          <w:color w:val="231F20"/>
          <w:spacing w:val="-2"/>
        </w:rPr>
        <w:t> </w:t>
      </w:r>
      <w:r>
        <w:rPr>
          <w:color w:val="231F20"/>
        </w:rPr>
        <w:t>for</w:t>
      </w:r>
      <w:r>
        <w:rPr>
          <w:color w:val="231F20"/>
          <w:spacing w:val="-2"/>
        </w:rPr>
        <w:t> </w:t>
      </w:r>
      <w:r>
        <w:rPr>
          <w:color w:val="231F20"/>
        </w:rPr>
        <w:t>fiscal</w:t>
      </w:r>
      <w:r>
        <w:rPr>
          <w:color w:val="231F20"/>
          <w:spacing w:val="-2"/>
        </w:rPr>
        <w:t> </w:t>
      </w:r>
      <w:r>
        <w:rPr>
          <w:color w:val="231F20"/>
        </w:rPr>
        <w:t>year</w:t>
      </w:r>
      <w:r>
        <w:rPr>
          <w:color w:val="231F20"/>
          <w:spacing w:val="-2"/>
        </w:rPr>
        <w:t> </w:t>
      </w:r>
      <w:r>
        <w:rPr>
          <w:color w:val="231F20"/>
        </w:rPr>
        <w:t>2022, under</w:t>
      </w:r>
      <w:r>
        <w:rPr>
          <w:color w:val="231F20"/>
          <w:spacing w:val="-4"/>
        </w:rPr>
        <w:t> </w:t>
      </w:r>
      <w:r>
        <w:rPr>
          <w:color w:val="231F20"/>
        </w:rPr>
        <w:t>the</w:t>
      </w:r>
      <w:r>
        <w:rPr>
          <w:color w:val="231F20"/>
          <w:spacing w:val="-4"/>
        </w:rPr>
        <w:t> </w:t>
      </w:r>
      <w:r>
        <w:rPr>
          <w:color w:val="231F20"/>
        </w:rPr>
        <w:t>General</w:t>
      </w:r>
      <w:r>
        <w:rPr>
          <w:color w:val="231F20"/>
          <w:spacing w:val="-4"/>
        </w:rPr>
        <w:t> </w:t>
      </w:r>
      <w:r>
        <w:rPr>
          <w:color w:val="231F20"/>
        </w:rPr>
        <w:t>Appropriation</w:t>
      </w:r>
      <w:r>
        <w:rPr>
          <w:color w:val="231F20"/>
          <w:spacing w:val="-4"/>
        </w:rPr>
        <w:t> </w:t>
      </w:r>
      <w:r>
        <w:rPr>
          <w:color w:val="231F20"/>
        </w:rPr>
        <w:t>Act</w:t>
      </w:r>
      <w:r>
        <w:rPr>
          <w:color w:val="231F20"/>
          <w:spacing w:val="-4"/>
        </w:rPr>
        <w:t> </w:t>
      </w:r>
      <w:r>
        <w:rPr>
          <w:color w:val="231F20"/>
        </w:rPr>
        <w:t>of</w:t>
      </w:r>
      <w:r>
        <w:rPr>
          <w:color w:val="231F20"/>
          <w:spacing w:val="-4"/>
        </w:rPr>
        <w:t> </w:t>
      </w:r>
      <w:r>
        <w:rPr>
          <w:color w:val="231F20"/>
        </w:rPr>
        <w:t>2016</w:t>
      </w:r>
      <w:r>
        <w:rPr>
          <w:color w:val="231F20"/>
          <w:spacing w:val="-4"/>
        </w:rPr>
        <w:t> </w:t>
      </w:r>
      <w:r>
        <w:rPr>
          <w:color w:val="231F20"/>
        </w:rPr>
        <w:t>as</w:t>
      </w:r>
      <w:r>
        <w:rPr>
          <w:color w:val="231F20"/>
          <w:spacing w:val="-3"/>
        </w:rPr>
        <w:t> </w:t>
      </w:r>
      <w:r>
        <w:rPr>
          <w:color w:val="231F20"/>
        </w:rPr>
        <w:t>amended</w:t>
      </w:r>
      <w:r>
        <w:rPr>
          <w:color w:val="231F20"/>
          <w:spacing w:val="-4"/>
        </w:rPr>
        <w:t> </w:t>
      </w:r>
      <w:r>
        <w:rPr>
          <w:color w:val="231F20"/>
        </w:rPr>
        <w:t>by</w:t>
      </w:r>
      <w:r>
        <w:rPr>
          <w:color w:val="231F20"/>
          <w:spacing w:val="-3"/>
        </w:rPr>
        <w:t> </w:t>
      </w:r>
      <w:r>
        <w:rPr>
          <w:color w:val="231F20"/>
        </w:rPr>
        <w:t>subsequent</w:t>
      </w:r>
      <w:r>
        <w:rPr>
          <w:color w:val="231F20"/>
          <w:spacing w:val="-4"/>
        </w:rPr>
        <w:t> </w:t>
      </w:r>
      <w:r>
        <w:rPr>
          <w:color w:val="231F20"/>
        </w:rPr>
        <w:t>bills.</w:t>
      </w:r>
      <w:r>
        <w:rPr>
          <w:color w:val="231F20"/>
          <w:spacing w:val="-4"/>
        </w:rPr>
        <w:t> </w:t>
      </w:r>
      <w:r>
        <w:rPr>
          <w:color w:val="231F20"/>
        </w:rPr>
        <w:t>In</w:t>
      </w:r>
      <w:r>
        <w:rPr>
          <w:color w:val="231F20"/>
          <w:spacing w:val="-4"/>
        </w:rPr>
        <w:t> </w:t>
      </w:r>
      <w:r>
        <w:rPr>
          <w:color w:val="231F20"/>
        </w:rPr>
        <w:t>general,</w:t>
      </w:r>
      <w:r>
        <w:rPr>
          <w:color w:val="231F20"/>
          <w:spacing w:val="-4"/>
        </w:rPr>
        <w:t> </w:t>
      </w:r>
      <w:r>
        <w:rPr>
          <w:color w:val="231F20"/>
        </w:rPr>
        <w:t>unexpended state appropriations to the Institute do not revert at the end of each fiscal year (NMSA 1978 6-4-2).</w:t>
      </w:r>
    </w:p>
    <w:p>
      <w:pPr>
        <w:pStyle w:val="BodyText"/>
        <w:spacing w:before="6"/>
        <w:rPr>
          <w:sz w:val="18"/>
        </w:rPr>
      </w:pPr>
    </w:p>
    <w:p>
      <w:pPr>
        <w:pStyle w:val="BodyText"/>
        <w:spacing w:line="276" w:lineRule="auto"/>
        <w:ind w:left="1440" w:right="1048"/>
      </w:pPr>
      <w:r>
        <w:rPr>
          <w:color w:val="231F20"/>
        </w:rPr>
        <w:t>The Institute periodically receives severance tax and general obligation bond appropriations for capital asset</w:t>
      </w:r>
      <w:r>
        <w:rPr>
          <w:color w:val="231F20"/>
          <w:spacing w:val="-3"/>
        </w:rPr>
        <w:t> </w:t>
      </w:r>
      <w:r>
        <w:rPr>
          <w:color w:val="231F20"/>
        </w:rPr>
        <w:t>projects</w:t>
      </w:r>
      <w:r>
        <w:rPr>
          <w:color w:val="231F20"/>
          <w:spacing w:val="-2"/>
        </w:rPr>
        <w:t> </w:t>
      </w:r>
      <w:r>
        <w:rPr>
          <w:color w:val="231F20"/>
        </w:rPr>
        <w:t>on</w:t>
      </w:r>
      <w:r>
        <w:rPr>
          <w:color w:val="231F20"/>
          <w:spacing w:val="-3"/>
        </w:rPr>
        <w:t> </w:t>
      </w:r>
      <w:r>
        <w:rPr>
          <w:color w:val="231F20"/>
        </w:rPr>
        <w:t>the</w:t>
      </w:r>
      <w:r>
        <w:rPr>
          <w:color w:val="231F20"/>
          <w:spacing w:val="-3"/>
        </w:rPr>
        <w:t> </w:t>
      </w:r>
      <w:r>
        <w:rPr>
          <w:color w:val="231F20"/>
        </w:rPr>
        <w:t>campus.</w:t>
      </w:r>
      <w:r>
        <w:rPr>
          <w:color w:val="231F20"/>
          <w:spacing w:val="-3"/>
        </w:rPr>
        <w:t> </w:t>
      </w:r>
      <w:r>
        <w:rPr>
          <w:color w:val="231F20"/>
        </w:rPr>
        <w:t>Bond</w:t>
      </w:r>
      <w:r>
        <w:rPr>
          <w:color w:val="231F20"/>
          <w:spacing w:val="-4"/>
        </w:rPr>
        <w:t> </w:t>
      </w:r>
      <w:r>
        <w:rPr>
          <w:color w:val="231F20"/>
        </w:rPr>
        <w:t>revenue</w:t>
      </w:r>
      <w:r>
        <w:rPr>
          <w:color w:val="231F20"/>
          <w:spacing w:val="-3"/>
        </w:rPr>
        <w:t> </w:t>
      </w:r>
      <w:r>
        <w:rPr>
          <w:color w:val="231F20"/>
        </w:rPr>
        <w:t>from</w:t>
      </w:r>
      <w:r>
        <w:rPr>
          <w:color w:val="231F20"/>
          <w:spacing w:val="-3"/>
        </w:rPr>
        <w:t> </w:t>
      </w:r>
      <w:r>
        <w:rPr>
          <w:color w:val="231F20"/>
        </w:rPr>
        <w:t>these</w:t>
      </w:r>
      <w:r>
        <w:rPr>
          <w:color w:val="231F20"/>
          <w:spacing w:val="-3"/>
        </w:rPr>
        <w:t> </w:t>
      </w:r>
      <w:r>
        <w:rPr>
          <w:color w:val="231F20"/>
        </w:rPr>
        <w:t>appropriations</w:t>
      </w:r>
      <w:r>
        <w:rPr>
          <w:color w:val="231F20"/>
          <w:spacing w:val="-3"/>
        </w:rPr>
        <w:t> </w:t>
      </w:r>
      <w:r>
        <w:rPr>
          <w:color w:val="231F20"/>
        </w:rPr>
        <w:t>is</w:t>
      </w:r>
      <w:r>
        <w:rPr>
          <w:color w:val="231F20"/>
          <w:spacing w:val="-4"/>
        </w:rPr>
        <w:t> </w:t>
      </w:r>
      <w:r>
        <w:rPr>
          <w:color w:val="231F20"/>
        </w:rPr>
        <w:t>recorded</w:t>
      </w:r>
      <w:r>
        <w:rPr>
          <w:color w:val="231F20"/>
          <w:spacing w:val="-3"/>
        </w:rPr>
        <w:t> </w:t>
      </w:r>
      <w:r>
        <w:rPr>
          <w:color w:val="231F20"/>
        </w:rPr>
        <w:t>only</w:t>
      </w:r>
      <w:r>
        <w:rPr>
          <w:color w:val="231F20"/>
          <w:spacing w:val="-3"/>
        </w:rPr>
        <w:t> </w:t>
      </w:r>
      <w:r>
        <w:rPr>
          <w:color w:val="231F20"/>
        </w:rPr>
        <w:t>when</w:t>
      </w:r>
      <w:r>
        <w:rPr>
          <w:color w:val="231F20"/>
          <w:spacing w:val="-3"/>
        </w:rPr>
        <w:t> </w:t>
      </w:r>
      <w:r>
        <w:rPr>
          <w:color w:val="231F20"/>
        </w:rPr>
        <w:t>eligibility requirements have been met. The eligibility requirements for capital projects financed by bonds are satisfied when all required documentation to support a drawdown of a bond fund is submitted and approved by the Board of Finance. See Supplementary Schedule 7 for details of current year bond activity and amounts remaining.</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pStyle w:val="BodyText"/>
        <w:spacing w:line="276" w:lineRule="auto" w:before="1"/>
        <w:ind w:left="1440" w:right="891"/>
      </w:pPr>
      <w:r>
        <w:rPr>
          <w:color w:val="231F20"/>
        </w:rPr>
        <w:t>The</w:t>
      </w:r>
      <w:r>
        <w:rPr>
          <w:color w:val="231F20"/>
          <w:spacing w:val="-3"/>
        </w:rPr>
        <w:t> </w:t>
      </w:r>
      <w:r>
        <w:rPr>
          <w:color w:val="231F20"/>
        </w:rPr>
        <w:t>Institute</w:t>
      </w:r>
      <w:r>
        <w:rPr>
          <w:color w:val="231F20"/>
          <w:spacing w:val="-3"/>
        </w:rPr>
        <w:t> </w:t>
      </w:r>
      <w:r>
        <w:rPr>
          <w:color w:val="231F20"/>
        </w:rPr>
        <w:t>is</w:t>
      </w:r>
      <w:r>
        <w:rPr>
          <w:color w:val="231F20"/>
          <w:spacing w:val="-2"/>
        </w:rPr>
        <w:t> </w:t>
      </w:r>
      <w:r>
        <w:rPr>
          <w:color w:val="231F20"/>
        </w:rPr>
        <w:t>a</w:t>
      </w:r>
      <w:r>
        <w:rPr>
          <w:color w:val="231F20"/>
          <w:spacing w:val="-3"/>
        </w:rPr>
        <w:t> </w:t>
      </w:r>
      <w:r>
        <w:rPr>
          <w:color w:val="231F20"/>
        </w:rPr>
        <w:t>beneficiary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Ferguson</w:t>
      </w:r>
      <w:r>
        <w:rPr>
          <w:color w:val="231F20"/>
          <w:spacing w:val="-3"/>
        </w:rPr>
        <w:t> </w:t>
      </w:r>
      <w:r>
        <w:rPr>
          <w:color w:val="231F20"/>
        </w:rPr>
        <w:t>legislation</w:t>
      </w:r>
      <w:r>
        <w:rPr>
          <w:color w:val="231F20"/>
          <w:spacing w:val="-3"/>
        </w:rPr>
        <w:t> </w:t>
      </w:r>
      <w:r>
        <w:rPr>
          <w:color w:val="231F20"/>
        </w:rPr>
        <w:t>(1898)</w:t>
      </w:r>
      <w:r>
        <w:rPr>
          <w:color w:val="231F20"/>
          <w:spacing w:val="-2"/>
        </w:rPr>
        <w:t> </w:t>
      </w:r>
      <w:r>
        <w:rPr>
          <w:color w:val="231F20"/>
        </w:rPr>
        <w:t>whereby</w:t>
      </w:r>
      <w:r>
        <w:rPr>
          <w:color w:val="231F20"/>
          <w:spacing w:val="-3"/>
        </w:rPr>
        <w:t> </w:t>
      </w:r>
      <w:r>
        <w:rPr>
          <w:color w:val="231F20"/>
        </w:rPr>
        <w:t>lands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State</w:t>
      </w:r>
      <w:r>
        <w:rPr>
          <w:color w:val="231F20"/>
          <w:spacing w:val="-3"/>
        </w:rPr>
        <w:t> </w:t>
      </w:r>
      <w:r>
        <w:rPr>
          <w:color w:val="231F20"/>
        </w:rPr>
        <w:t>of</w:t>
      </w:r>
      <w:r>
        <w:rPr>
          <w:color w:val="231F20"/>
          <w:spacing w:val="-2"/>
        </w:rPr>
        <w:t> </w:t>
      </w:r>
      <w:r>
        <w:rPr>
          <w:color w:val="231F20"/>
        </w:rPr>
        <w:t>New</w:t>
      </w:r>
      <w:r>
        <w:rPr>
          <w:color w:val="231F20"/>
          <w:spacing w:val="-3"/>
        </w:rPr>
        <w:t> </w:t>
      </w:r>
      <w:r>
        <w:rPr>
          <w:color w:val="231F20"/>
        </w:rPr>
        <w:t>Mexico were allocated to the benefit of state educational institutions including income derived therefrom.</w:t>
      </w:r>
    </w:p>
    <w:p>
      <w:pPr>
        <w:pStyle w:val="BodyText"/>
        <w:spacing w:line="276" w:lineRule="auto"/>
        <w:ind w:left="1440" w:right="891"/>
      </w:pPr>
      <w:r>
        <w:rPr>
          <w:color w:val="231F20"/>
        </w:rPr>
        <w:t>NMSA 1978 19-1-17 is the enabling legislation to allocate specific lands to educational institutions including</w:t>
      </w:r>
      <w:r>
        <w:rPr>
          <w:color w:val="231F20"/>
          <w:spacing w:val="-3"/>
        </w:rPr>
        <w:t> </w:t>
      </w:r>
      <w:r>
        <w:rPr>
          <w:color w:val="231F20"/>
        </w:rPr>
        <w:t>the</w:t>
      </w:r>
      <w:r>
        <w:rPr>
          <w:color w:val="231F20"/>
          <w:spacing w:val="-4"/>
        </w:rPr>
        <w:t> </w:t>
      </w:r>
      <w:r>
        <w:rPr>
          <w:color w:val="231F20"/>
        </w:rPr>
        <w:t>Institute.</w:t>
      </w:r>
      <w:r>
        <w:rPr>
          <w:color w:val="231F20"/>
          <w:spacing w:val="-3"/>
        </w:rPr>
        <w:t> </w:t>
      </w:r>
      <w:r>
        <w:rPr>
          <w:color w:val="231F20"/>
        </w:rPr>
        <w:t>Currently</w:t>
      </w:r>
      <w:r>
        <w:rPr>
          <w:color w:val="231F20"/>
          <w:spacing w:val="-3"/>
        </w:rPr>
        <w:t> </w:t>
      </w:r>
      <w:r>
        <w:rPr>
          <w:color w:val="231F20"/>
        </w:rPr>
        <w:t>oil</w:t>
      </w:r>
      <w:r>
        <w:rPr>
          <w:color w:val="231F20"/>
          <w:spacing w:val="-3"/>
        </w:rPr>
        <w:t> </w:t>
      </w:r>
      <w:r>
        <w:rPr>
          <w:color w:val="231F20"/>
        </w:rPr>
        <w:t>and</w:t>
      </w:r>
      <w:r>
        <w:rPr>
          <w:color w:val="231F20"/>
          <w:spacing w:val="-3"/>
        </w:rPr>
        <w:t> </w:t>
      </w:r>
      <w:r>
        <w:rPr>
          <w:color w:val="231F20"/>
        </w:rPr>
        <w:t>gas</w:t>
      </w:r>
      <w:r>
        <w:rPr>
          <w:color w:val="231F20"/>
          <w:spacing w:val="-3"/>
        </w:rPr>
        <w:t> </w:t>
      </w:r>
      <w:r>
        <w:rPr>
          <w:color w:val="231F20"/>
        </w:rPr>
        <w:t>royalties,</w:t>
      </w:r>
      <w:r>
        <w:rPr>
          <w:color w:val="231F20"/>
          <w:spacing w:val="-3"/>
        </w:rPr>
        <w:t> </w:t>
      </w:r>
      <w:r>
        <w:rPr>
          <w:color w:val="231F20"/>
        </w:rPr>
        <w:t>coal</w:t>
      </w:r>
      <w:r>
        <w:rPr>
          <w:color w:val="231F20"/>
          <w:spacing w:val="-3"/>
        </w:rPr>
        <w:t> </w:t>
      </w:r>
      <w:r>
        <w:rPr>
          <w:color w:val="231F20"/>
        </w:rPr>
        <w:t>royalties,</w:t>
      </w:r>
      <w:r>
        <w:rPr>
          <w:color w:val="231F20"/>
          <w:spacing w:val="-3"/>
        </w:rPr>
        <w:t> </w:t>
      </w:r>
      <w:r>
        <w:rPr>
          <w:color w:val="231F20"/>
        </w:rPr>
        <w:t>and</w:t>
      </w:r>
      <w:r>
        <w:rPr>
          <w:color w:val="231F20"/>
          <w:spacing w:val="-3"/>
        </w:rPr>
        <w:t> </w:t>
      </w:r>
      <w:r>
        <w:rPr>
          <w:color w:val="231F20"/>
        </w:rPr>
        <w:t>grazing</w:t>
      </w:r>
      <w:r>
        <w:rPr>
          <w:color w:val="231F20"/>
          <w:spacing w:val="-4"/>
        </w:rPr>
        <w:t> </w:t>
      </w:r>
      <w:r>
        <w:rPr>
          <w:color w:val="231F20"/>
        </w:rPr>
        <w:t>fees</w:t>
      </w:r>
      <w:r>
        <w:rPr>
          <w:color w:val="231F20"/>
          <w:spacing w:val="-3"/>
        </w:rPr>
        <w:t> </w:t>
      </w:r>
      <w:r>
        <w:rPr>
          <w:color w:val="231F20"/>
        </w:rPr>
        <w:t>produce</w:t>
      </w:r>
      <w:r>
        <w:rPr>
          <w:color w:val="231F20"/>
          <w:spacing w:val="-4"/>
        </w:rPr>
        <w:t> </w:t>
      </w:r>
      <w:r>
        <w:rPr>
          <w:color w:val="231F20"/>
        </w:rPr>
        <w:t>investment income</w:t>
      </w:r>
      <w:r>
        <w:rPr>
          <w:color w:val="231F20"/>
          <w:spacing w:val="-2"/>
        </w:rPr>
        <w:t> </w:t>
      </w:r>
      <w:r>
        <w:rPr>
          <w:color w:val="231F20"/>
        </w:rPr>
        <w:t>which</w:t>
      </w:r>
      <w:r>
        <w:rPr>
          <w:color w:val="231F20"/>
          <w:spacing w:val="-3"/>
        </w:rPr>
        <w:t> </w:t>
      </w:r>
      <w:r>
        <w:rPr>
          <w:color w:val="231F20"/>
        </w:rPr>
        <w:t>is</w:t>
      </w:r>
      <w:r>
        <w:rPr>
          <w:color w:val="231F20"/>
          <w:spacing w:val="-2"/>
        </w:rPr>
        <w:t> </w:t>
      </w:r>
      <w:r>
        <w:rPr>
          <w:color w:val="231F20"/>
        </w:rPr>
        <w:t>distributed</w:t>
      </w:r>
      <w:r>
        <w:rPr>
          <w:color w:val="231F20"/>
          <w:spacing w:val="-3"/>
        </w:rPr>
        <w:t> </w:t>
      </w:r>
      <w:r>
        <w:rPr>
          <w:color w:val="231F20"/>
        </w:rPr>
        <w:t>monthly</w:t>
      </w:r>
      <w:r>
        <w:rPr>
          <w:color w:val="231F20"/>
          <w:spacing w:val="-2"/>
        </w:rPr>
        <w:t> </w:t>
      </w:r>
      <w:r>
        <w:rPr>
          <w:color w:val="231F20"/>
        </w:rPr>
        <w:t>to</w:t>
      </w:r>
      <w:r>
        <w:rPr>
          <w:color w:val="231F20"/>
          <w:spacing w:val="-2"/>
        </w:rPr>
        <w:t> </w:t>
      </w:r>
      <w:r>
        <w:rPr>
          <w:color w:val="231F20"/>
        </w:rPr>
        <w:t>beneficiaries based</w:t>
      </w:r>
      <w:r>
        <w:rPr>
          <w:color w:val="231F20"/>
          <w:spacing w:val="-2"/>
        </w:rPr>
        <w:t> </w:t>
      </w:r>
      <w:r>
        <w:rPr>
          <w:color w:val="231F20"/>
        </w:rPr>
        <w:t>on</w:t>
      </w:r>
      <w:r>
        <w:rPr>
          <w:color w:val="231F20"/>
          <w:spacing w:val="-2"/>
        </w:rPr>
        <w:t> </w:t>
      </w:r>
      <w:r>
        <w:rPr>
          <w:color w:val="231F20"/>
        </w:rPr>
        <w:t>their</w:t>
      </w:r>
      <w:r>
        <w:rPr>
          <w:color w:val="231F20"/>
          <w:spacing w:val="-3"/>
        </w:rPr>
        <w:t> </w:t>
      </w:r>
      <w:r>
        <w:rPr>
          <w:color w:val="231F20"/>
        </w:rPr>
        <w:t>allocated</w:t>
      </w:r>
      <w:r>
        <w:rPr>
          <w:color w:val="231F20"/>
          <w:spacing w:val="-2"/>
        </w:rPr>
        <w:t> </w:t>
      </w:r>
      <w:r>
        <w:rPr>
          <w:color w:val="231F20"/>
        </w:rPr>
        <w:t>lands</w:t>
      </w:r>
      <w:r>
        <w:rPr>
          <w:color w:val="231F20"/>
          <w:spacing w:val="-2"/>
        </w:rPr>
        <w:t> </w:t>
      </w:r>
      <w:r>
        <w:rPr>
          <w:color w:val="231F20"/>
        </w:rPr>
        <w:t>and</w:t>
      </w:r>
      <w:r>
        <w:rPr>
          <w:color w:val="231F20"/>
          <w:spacing w:val="-2"/>
        </w:rPr>
        <w:t> </w:t>
      </w:r>
      <w:r>
        <w:rPr>
          <w:color w:val="231F20"/>
        </w:rPr>
        <w:t>is</w:t>
      </w:r>
      <w:r>
        <w:rPr>
          <w:color w:val="231F20"/>
          <w:spacing w:val="-2"/>
        </w:rPr>
        <w:t> </w:t>
      </w:r>
      <w:r>
        <w:rPr>
          <w:color w:val="231F20"/>
        </w:rPr>
        <w:t>shown</w:t>
      </w:r>
      <w:r>
        <w:rPr>
          <w:color w:val="231F20"/>
          <w:spacing w:val="-2"/>
        </w:rPr>
        <w:t> </w:t>
      </w:r>
      <w:r>
        <w:rPr>
          <w:color w:val="231F20"/>
        </w:rPr>
        <w:t>as</w:t>
      </w:r>
      <w:r>
        <w:rPr>
          <w:color w:val="231F20"/>
          <w:spacing w:val="-1"/>
        </w:rPr>
        <w:t> </w:t>
      </w:r>
      <w:r>
        <w:rPr>
          <w:color w:val="231F20"/>
        </w:rPr>
        <w:t>State Land Grant Permanent Fund Income in the Statement of Revenues Expenses and Changes in Net </w:t>
      </w:r>
      <w:r>
        <w:rPr>
          <w:color w:val="231F20"/>
          <w:spacing w:val="-2"/>
        </w:rPr>
        <w:t>Position.</w:t>
      </w:r>
    </w:p>
    <w:p>
      <w:pPr>
        <w:pStyle w:val="BodyText"/>
        <w:spacing w:before="11"/>
        <w:rPr>
          <w:sz w:val="22"/>
        </w:rPr>
      </w:pPr>
    </w:p>
    <w:p>
      <w:pPr>
        <w:pStyle w:val="Heading4"/>
      </w:pPr>
      <w:r>
        <w:rPr>
          <w:color w:val="231F20"/>
        </w:rPr>
        <w:t>Classification</w:t>
      </w:r>
      <w:r>
        <w:rPr>
          <w:color w:val="231F20"/>
          <w:spacing w:val="-8"/>
        </w:rPr>
        <w:t> </w:t>
      </w:r>
      <w:r>
        <w:rPr>
          <w:color w:val="231F20"/>
        </w:rPr>
        <w:t>of</w:t>
      </w:r>
      <w:r>
        <w:rPr>
          <w:color w:val="231F20"/>
          <w:spacing w:val="-8"/>
        </w:rPr>
        <w:t> </w:t>
      </w:r>
      <w:r>
        <w:rPr>
          <w:color w:val="231F20"/>
          <w:spacing w:val="-2"/>
        </w:rPr>
        <w:t>Expenses</w:t>
      </w:r>
    </w:p>
    <w:p>
      <w:pPr>
        <w:pStyle w:val="BodyText"/>
        <w:spacing w:line="276" w:lineRule="auto" w:before="34"/>
        <w:ind w:left="1439" w:right="1048"/>
      </w:pPr>
      <w:r>
        <w:rPr>
          <w:color w:val="231F20"/>
        </w:rPr>
        <w:t>The</w:t>
      </w:r>
      <w:r>
        <w:rPr>
          <w:color w:val="231F20"/>
          <w:spacing w:val="-3"/>
        </w:rPr>
        <w:t> </w:t>
      </w:r>
      <w:r>
        <w:rPr>
          <w:color w:val="231F20"/>
        </w:rPr>
        <w:t>Institute</w:t>
      </w:r>
      <w:r>
        <w:rPr>
          <w:color w:val="231F20"/>
          <w:spacing w:val="-4"/>
        </w:rPr>
        <w:t> </w:t>
      </w:r>
      <w:r>
        <w:rPr>
          <w:color w:val="231F20"/>
        </w:rPr>
        <w:t>has</w:t>
      </w:r>
      <w:r>
        <w:rPr>
          <w:color w:val="231F20"/>
          <w:spacing w:val="-4"/>
        </w:rPr>
        <w:t> </w:t>
      </w:r>
      <w:r>
        <w:rPr>
          <w:color w:val="231F20"/>
        </w:rPr>
        <w:t>classified</w:t>
      </w:r>
      <w:r>
        <w:rPr>
          <w:color w:val="231F20"/>
          <w:spacing w:val="-4"/>
        </w:rPr>
        <w:t> </w:t>
      </w:r>
      <w:r>
        <w:rPr>
          <w:color w:val="231F20"/>
        </w:rPr>
        <w:t>its</w:t>
      </w:r>
      <w:r>
        <w:rPr>
          <w:color w:val="231F20"/>
          <w:spacing w:val="-3"/>
        </w:rPr>
        <w:t> </w:t>
      </w:r>
      <w:r>
        <w:rPr>
          <w:color w:val="231F20"/>
        </w:rPr>
        <w:t>expenses</w:t>
      </w:r>
      <w:r>
        <w:rPr>
          <w:color w:val="231F20"/>
          <w:spacing w:val="-4"/>
        </w:rPr>
        <w:t> </w:t>
      </w:r>
      <w:r>
        <w:rPr>
          <w:color w:val="231F20"/>
        </w:rPr>
        <w:t>as</w:t>
      </w:r>
      <w:r>
        <w:rPr>
          <w:color w:val="231F20"/>
          <w:spacing w:val="-3"/>
        </w:rPr>
        <w:t> </w:t>
      </w:r>
      <w:r>
        <w:rPr>
          <w:color w:val="231F20"/>
        </w:rPr>
        <w:t>either</w:t>
      </w:r>
      <w:r>
        <w:rPr>
          <w:color w:val="231F20"/>
          <w:spacing w:val="-2"/>
        </w:rPr>
        <w:t> </w:t>
      </w:r>
      <w:r>
        <w:rPr>
          <w:color w:val="231F20"/>
        </w:rPr>
        <w:t>operating</w:t>
      </w:r>
      <w:r>
        <w:rPr>
          <w:color w:val="231F20"/>
          <w:spacing w:val="-3"/>
        </w:rPr>
        <w:t> </w:t>
      </w:r>
      <w:r>
        <w:rPr>
          <w:color w:val="231F20"/>
        </w:rPr>
        <w:t>or</w:t>
      </w:r>
      <w:r>
        <w:rPr>
          <w:color w:val="231F20"/>
          <w:spacing w:val="-3"/>
        </w:rPr>
        <w:t> </w:t>
      </w:r>
      <w:r>
        <w:rPr>
          <w:color w:val="231F20"/>
        </w:rPr>
        <w:t>non-operating</w:t>
      </w:r>
      <w:r>
        <w:rPr>
          <w:color w:val="231F20"/>
          <w:spacing w:val="-3"/>
        </w:rPr>
        <w:t> </w:t>
      </w:r>
      <w:r>
        <w:rPr>
          <w:color w:val="231F20"/>
        </w:rPr>
        <w:t>expenses</w:t>
      </w:r>
      <w:r>
        <w:rPr>
          <w:color w:val="231F20"/>
          <w:spacing w:val="-3"/>
        </w:rPr>
        <w:t> </w:t>
      </w:r>
      <w:r>
        <w:rPr>
          <w:color w:val="231F20"/>
        </w:rPr>
        <w:t>according</w:t>
      </w:r>
      <w:r>
        <w:rPr>
          <w:color w:val="231F20"/>
          <w:spacing w:val="-3"/>
        </w:rPr>
        <w:t> </w:t>
      </w:r>
      <w:r>
        <w:rPr>
          <w:color w:val="231F20"/>
        </w:rPr>
        <w:t>to</w:t>
      </w:r>
      <w:r>
        <w:rPr>
          <w:color w:val="231F20"/>
          <w:spacing w:val="-3"/>
        </w:rPr>
        <w:t> </w:t>
      </w:r>
      <w:r>
        <w:rPr>
          <w:color w:val="231F20"/>
        </w:rPr>
        <w:t>the following criteria:</w:t>
      </w:r>
    </w:p>
    <w:p>
      <w:pPr>
        <w:pStyle w:val="BodyText"/>
        <w:spacing w:before="4"/>
        <w:rPr>
          <w:sz w:val="18"/>
        </w:rPr>
      </w:pPr>
    </w:p>
    <w:p>
      <w:pPr>
        <w:pStyle w:val="BodyText"/>
        <w:spacing w:line="276" w:lineRule="auto"/>
        <w:ind w:left="2159" w:right="1048"/>
      </w:pPr>
      <w:r>
        <w:rPr>
          <w:i/>
          <w:color w:val="231F20"/>
        </w:rPr>
        <w:t>Operating</w:t>
      </w:r>
      <w:r>
        <w:rPr>
          <w:i/>
          <w:color w:val="231F20"/>
          <w:spacing w:val="-4"/>
        </w:rPr>
        <w:t> </w:t>
      </w:r>
      <w:r>
        <w:rPr>
          <w:i/>
          <w:color w:val="231F20"/>
        </w:rPr>
        <w:t>Expenses</w:t>
      </w:r>
      <w:r>
        <w:rPr>
          <w:i/>
          <w:color w:val="231F20"/>
          <w:spacing w:val="-4"/>
        </w:rPr>
        <w:t> </w:t>
      </w:r>
      <w:r>
        <w:rPr>
          <w:color w:val="231F20"/>
        </w:rPr>
        <w:t>–</w:t>
      </w:r>
      <w:r>
        <w:rPr>
          <w:color w:val="231F20"/>
          <w:spacing w:val="-4"/>
        </w:rPr>
        <w:t> </w:t>
      </w:r>
      <w:r>
        <w:rPr>
          <w:color w:val="231F20"/>
        </w:rPr>
        <w:t>Operating</w:t>
      </w:r>
      <w:r>
        <w:rPr>
          <w:color w:val="231F20"/>
          <w:spacing w:val="-4"/>
        </w:rPr>
        <w:t> </w:t>
      </w:r>
      <w:r>
        <w:rPr>
          <w:color w:val="231F20"/>
        </w:rPr>
        <w:t>expenses</w:t>
      </w:r>
      <w:r>
        <w:rPr>
          <w:color w:val="231F20"/>
          <w:spacing w:val="-3"/>
        </w:rPr>
        <w:t> </w:t>
      </w:r>
      <w:r>
        <w:rPr>
          <w:color w:val="231F20"/>
        </w:rPr>
        <w:t>include</w:t>
      </w:r>
      <w:r>
        <w:rPr>
          <w:color w:val="231F20"/>
          <w:spacing w:val="-4"/>
        </w:rPr>
        <w:t> </w:t>
      </w:r>
      <w:r>
        <w:rPr>
          <w:color w:val="231F20"/>
        </w:rPr>
        <w:t>activities</w:t>
      </w:r>
      <w:r>
        <w:rPr>
          <w:color w:val="231F20"/>
          <w:spacing w:val="-3"/>
        </w:rPr>
        <w:t> </w:t>
      </w:r>
      <w:r>
        <w:rPr>
          <w:color w:val="231F20"/>
        </w:rPr>
        <w:t>that</w:t>
      </w:r>
      <w:r>
        <w:rPr>
          <w:color w:val="231F20"/>
          <w:spacing w:val="-4"/>
        </w:rPr>
        <w:t> </w:t>
      </w:r>
      <w:r>
        <w:rPr>
          <w:color w:val="231F20"/>
        </w:rPr>
        <w:t>have</w:t>
      </w:r>
      <w:r>
        <w:rPr>
          <w:color w:val="231F20"/>
          <w:spacing w:val="-4"/>
        </w:rPr>
        <w:t> </w:t>
      </w:r>
      <w:r>
        <w:rPr>
          <w:color w:val="231F20"/>
        </w:rPr>
        <w:t>the</w:t>
      </w:r>
      <w:r>
        <w:rPr>
          <w:color w:val="231F20"/>
          <w:spacing w:val="-5"/>
        </w:rPr>
        <w:t> </w:t>
      </w:r>
      <w:r>
        <w:rPr>
          <w:color w:val="231F20"/>
        </w:rPr>
        <w:t>characteristics</w:t>
      </w:r>
      <w:r>
        <w:rPr>
          <w:color w:val="231F20"/>
          <w:spacing w:val="-4"/>
        </w:rPr>
        <w:t> </w:t>
      </w:r>
      <w:r>
        <w:rPr>
          <w:color w:val="231F20"/>
        </w:rPr>
        <w:t>of exchange transactions, such as (1) employee salaries, benefits, and related expenses;</w:t>
      </w:r>
    </w:p>
    <w:p>
      <w:pPr>
        <w:pStyle w:val="BodyText"/>
        <w:spacing w:line="276" w:lineRule="auto" w:before="1"/>
        <w:ind w:left="2159" w:right="919"/>
      </w:pPr>
      <w:r>
        <w:rPr>
          <w:color w:val="231F20"/>
        </w:rPr>
        <w:t>(2)</w:t>
      </w:r>
      <w:r>
        <w:rPr>
          <w:color w:val="231F20"/>
          <w:spacing w:val="-4"/>
        </w:rPr>
        <w:t> </w:t>
      </w:r>
      <w:r>
        <w:rPr>
          <w:color w:val="231F20"/>
        </w:rPr>
        <w:t>utilities,</w:t>
      </w:r>
      <w:r>
        <w:rPr>
          <w:color w:val="231F20"/>
          <w:spacing w:val="-4"/>
        </w:rPr>
        <w:t> </w:t>
      </w:r>
      <w:r>
        <w:rPr>
          <w:color w:val="231F20"/>
        </w:rPr>
        <w:t>supplies,</w:t>
      </w:r>
      <w:r>
        <w:rPr>
          <w:color w:val="231F20"/>
          <w:spacing w:val="-4"/>
        </w:rPr>
        <w:t> </w:t>
      </w:r>
      <w:r>
        <w:rPr>
          <w:color w:val="231F20"/>
        </w:rPr>
        <w:t>and</w:t>
      </w:r>
      <w:r>
        <w:rPr>
          <w:color w:val="231F20"/>
          <w:spacing w:val="-5"/>
        </w:rPr>
        <w:t> </w:t>
      </w:r>
      <w:r>
        <w:rPr>
          <w:color w:val="231F20"/>
        </w:rPr>
        <w:t>other</w:t>
      </w:r>
      <w:r>
        <w:rPr>
          <w:color w:val="231F20"/>
          <w:spacing w:val="-4"/>
        </w:rPr>
        <w:t> </w:t>
      </w:r>
      <w:r>
        <w:rPr>
          <w:color w:val="231F20"/>
        </w:rPr>
        <w:t>services;</w:t>
      </w:r>
      <w:r>
        <w:rPr>
          <w:color w:val="231F20"/>
          <w:spacing w:val="-4"/>
        </w:rPr>
        <w:t> </w:t>
      </w:r>
      <w:r>
        <w:rPr>
          <w:color w:val="231F20"/>
        </w:rPr>
        <w:t>(3)</w:t>
      </w:r>
      <w:r>
        <w:rPr>
          <w:color w:val="231F20"/>
          <w:spacing w:val="-4"/>
        </w:rPr>
        <w:t> </w:t>
      </w:r>
      <w:r>
        <w:rPr>
          <w:color w:val="231F20"/>
        </w:rPr>
        <w:t>professional</w:t>
      </w:r>
      <w:r>
        <w:rPr>
          <w:color w:val="231F20"/>
          <w:spacing w:val="-4"/>
        </w:rPr>
        <w:t> </w:t>
      </w:r>
      <w:r>
        <w:rPr>
          <w:color w:val="231F20"/>
        </w:rPr>
        <w:t>fees;</w:t>
      </w:r>
      <w:r>
        <w:rPr>
          <w:color w:val="231F20"/>
          <w:spacing w:val="-4"/>
        </w:rPr>
        <w:t> </w:t>
      </w:r>
      <w:r>
        <w:rPr>
          <w:color w:val="231F20"/>
        </w:rPr>
        <w:t>(4)</w:t>
      </w:r>
      <w:r>
        <w:rPr>
          <w:color w:val="231F20"/>
          <w:spacing w:val="-5"/>
        </w:rPr>
        <w:t> </w:t>
      </w:r>
      <w:r>
        <w:rPr>
          <w:color w:val="231F20"/>
        </w:rPr>
        <w:t>depreciation</w:t>
      </w:r>
      <w:r>
        <w:rPr>
          <w:color w:val="231F20"/>
          <w:spacing w:val="-5"/>
        </w:rPr>
        <w:t> </w:t>
      </w:r>
      <w:r>
        <w:rPr>
          <w:color w:val="231F20"/>
        </w:rPr>
        <w:t>expenses</w:t>
      </w:r>
      <w:r>
        <w:rPr>
          <w:color w:val="231F20"/>
          <w:spacing w:val="-3"/>
        </w:rPr>
        <w:t> </w:t>
      </w:r>
      <w:r>
        <w:rPr>
          <w:color w:val="231F20"/>
        </w:rPr>
        <w:t>related to Institute property, plant, and equipment, (5) pension and other postemployment benefit costs, and (6) all other cash flows from transactions that do not result from transactions defined as capital and related financing, noncapital financing.</w:t>
      </w:r>
    </w:p>
    <w:p>
      <w:pPr>
        <w:pStyle w:val="BodyText"/>
        <w:spacing w:before="4"/>
        <w:rPr>
          <w:sz w:val="18"/>
        </w:rPr>
      </w:pPr>
    </w:p>
    <w:p>
      <w:pPr>
        <w:spacing w:line="276" w:lineRule="auto" w:before="0"/>
        <w:ind w:left="2159" w:right="1048" w:firstLine="0"/>
        <w:jc w:val="left"/>
        <w:rPr>
          <w:sz w:val="20"/>
        </w:rPr>
      </w:pPr>
      <w:r>
        <w:rPr>
          <w:i/>
          <w:color w:val="231F20"/>
          <w:sz w:val="20"/>
        </w:rPr>
        <w:t>Non-Operating Expenses </w:t>
      </w:r>
      <w:r>
        <w:rPr>
          <w:color w:val="231F20"/>
          <w:sz w:val="20"/>
        </w:rPr>
        <w:t>– Non-operating expenses include activities that have the characteristics of non-exchange transactions that are consistently applied as non- operating expenses</w:t>
      </w:r>
      <w:r>
        <w:rPr>
          <w:color w:val="231F20"/>
          <w:spacing w:val="-4"/>
          <w:sz w:val="20"/>
        </w:rPr>
        <w:t> </w:t>
      </w:r>
      <w:r>
        <w:rPr>
          <w:color w:val="231F20"/>
          <w:sz w:val="20"/>
        </w:rPr>
        <w:t>by</w:t>
      </w:r>
      <w:r>
        <w:rPr>
          <w:color w:val="231F20"/>
          <w:spacing w:val="-5"/>
          <w:sz w:val="20"/>
        </w:rPr>
        <w:t> </w:t>
      </w:r>
      <w:r>
        <w:rPr>
          <w:color w:val="231F20"/>
          <w:sz w:val="20"/>
        </w:rPr>
        <w:t>GASB</w:t>
      </w:r>
      <w:r>
        <w:rPr>
          <w:color w:val="231F20"/>
          <w:spacing w:val="-4"/>
          <w:sz w:val="20"/>
        </w:rPr>
        <w:t> </w:t>
      </w:r>
      <w:r>
        <w:rPr>
          <w:color w:val="231F20"/>
          <w:sz w:val="20"/>
        </w:rPr>
        <w:t>Statement</w:t>
      </w:r>
      <w:r>
        <w:rPr>
          <w:color w:val="231F20"/>
          <w:spacing w:val="-4"/>
          <w:sz w:val="20"/>
        </w:rPr>
        <w:t> </w:t>
      </w:r>
      <w:r>
        <w:rPr>
          <w:color w:val="231F20"/>
          <w:sz w:val="20"/>
        </w:rPr>
        <w:t>No.</w:t>
      </w:r>
      <w:r>
        <w:rPr>
          <w:color w:val="231F20"/>
          <w:spacing w:val="-4"/>
          <w:sz w:val="20"/>
        </w:rPr>
        <w:t> </w:t>
      </w:r>
      <w:r>
        <w:rPr>
          <w:color w:val="231F20"/>
          <w:sz w:val="20"/>
        </w:rPr>
        <w:t>9,</w:t>
      </w:r>
      <w:r>
        <w:rPr>
          <w:color w:val="231F20"/>
          <w:spacing w:val="-1"/>
          <w:sz w:val="20"/>
        </w:rPr>
        <w:t> </w:t>
      </w:r>
      <w:r>
        <w:rPr>
          <w:i/>
          <w:color w:val="231F20"/>
          <w:sz w:val="20"/>
        </w:rPr>
        <w:t>Reporting</w:t>
      </w:r>
      <w:r>
        <w:rPr>
          <w:i/>
          <w:color w:val="231F20"/>
          <w:spacing w:val="-5"/>
          <w:sz w:val="20"/>
        </w:rPr>
        <w:t> </w:t>
      </w:r>
      <w:r>
        <w:rPr>
          <w:i/>
          <w:color w:val="231F20"/>
          <w:sz w:val="20"/>
        </w:rPr>
        <w:t>Cash</w:t>
      </w:r>
      <w:r>
        <w:rPr>
          <w:i/>
          <w:color w:val="231F20"/>
          <w:spacing w:val="-4"/>
          <w:sz w:val="20"/>
        </w:rPr>
        <w:t> </w:t>
      </w:r>
      <w:r>
        <w:rPr>
          <w:i/>
          <w:color w:val="231F20"/>
          <w:sz w:val="20"/>
        </w:rPr>
        <w:t>Flows</w:t>
      </w:r>
      <w:r>
        <w:rPr>
          <w:i/>
          <w:color w:val="231F20"/>
          <w:spacing w:val="-4"/>
          <w:sz w:val="20"/>
        </w:rPr>
        <w:t> </w:t>
      </w:r>
      <w:r>
        <w:rPr>
          <w:i/>
          <w:color w:val="231F20"/>
          <w:sz w:val="20"/>
        </w:rPr>
        <w:t>of</w:t>
      </w:r>
      <w:r>
        <w:rPr>
          <w:i/>
          <w:color w:val="231F20"/>
          <w:spacing w:val="-4"/>
          <w:sz w:val="20"/>
        </w:rPr>
        <w:t> </w:t>
      </w:r>
      <w:r>
        <w:rPr>
          <w:i/>
          <w:color w:val="231F20"/>
          <w:sz w:val="20"/>
        </w:rPr>
        <w:t>Proprietary</w:t>
      </w:r>
      <w:r>
        <w:rPr>
          <w:i/>
          <w:color w:val="231F20"/>
          <w:spacing w:val="-4"/>
          <w:sz w:val="20"/>
        </w:rPr>
        <w:t> </w:t>
      </w:r>
      <w:r>
        <w:rPr>
          <w:i/>
          <w:color w:val="231F20"/>
          <w:sz w:val="20"/>
        </w:rPr>
        <w:t>and</w:t>
      </w:r>
      <w:r>
        <w:rPr>
          <w:i/>
          <w:color w:val="231F20"/>
          <w:spacing w:val="-4"/>
          <w:sz w:val="20"/>
        </w:rPr>
        <w:t> </w:t>
      </w:r>
      <w:r>
        <w:rPr>
          <w:i/>
          <w:color w:val="231F20"/>
          <w:sz w:val="20"/>
        </w:rPr>
        <w:t>Nonexpendable</w:t>
      </w:r>
      <w:r>
        <w:rPr>
          <w:i/>
          <w:color w:val="231F20"/>
          <w:sz w:val="20"/>
        </w:rPr>
        <w:t> Trust Funds and Governmental Entities that use Proprietary Fund Accounting</w:t>
      </w:r>
      <w:r>
        <w:rPr>
          <w:color w:val="231F20"/>
          <w:sz w:val="20"/>
        </w:rPr>
        <w:t>, and</w:t>
      </w:r>
    </w:p>
    <w:p>
      <w:pPr>
        <w:spacing w:line="276" w:lineRule="auto" w:before="1"/>
        <w:ind w:left="2160" w:right="1048" w:firstLine="0"/>
        <w:jc w:val="left"/>
        <w:rPr>
          <w:i/>
          <w:sz w:val="20"/>
        </w:rPr>
      </w:pPr>
      <w:r>
        <w:rPr>
          <w:color w:val="231F20"/>
          <w:sz w:val="20"/>
        </w:rPr>
        <w:t>GASB</w:t>
      </w:r>
      <w:r>
        <w:rPr>
          <w:color w:val="231F20"/>
          <w:spacing w:val="-4"/>
          <w:sz w:val="20"/>
        </w:rPr>
        <w:t> </w:t>
      </w:r>
      <w:r>
        <w:rPr>
          <w:color w:val="231F20"/>
          <w:sz w:val="20"/>
        </w:rPr>
        <w:t>Statement</w:t>
      </w:r>
      <w:r>
        <w:rPr>
          <w:color w:val="231F20"/>
          <w:spacing w:val="-4"/>
          <w:sz w:val="20"/>
        </w:rPr>
        <w:t> </w:t>
      </w:r>
      <w:r>
        <w:rPr>
          <w:color w:val="231F20"/>
          <w:sz w:val="20"/>
        </w:rPr>
        <w:t>No.</w:t>
      </w:r>
      <w:r>
        <w:rPr>
          <w:color w:val="231F20"/>
          <w:spacing w:val="-4"/>
          <w:sz w:val="20"/>
        </w:rPr>
        <w:t> </w:t>
      </w:r>
      <w:r>
        <w:rPr>
          <w:color w:val="231F20"/>
          <w:sz w:val="20"/>
        </w:rPr>
        <w:t>34,</w:t>
      </w:r>
      <w:r>
        <w:rPr>
          <w:color w:val="231F20"/>
          <w:spacing w:val="-4"/>
          <w:sz w:val="20"/>
        </w:rPr>
        <w:t> </w:t>
      </w:r>
      <w:r>
        <w:rPr>
          <w:i/>
          <w:color w:val="231F20"/>
          <w:sz w:val="20"/>
        </w:rPr>
        <w:t>Basic</w:t>
      </w:r>
      <w:r>
        <w:rPr>
          <w:i/>
          <w:color w:val="231F20"/>
          <w:spacing w:val="-4"/>
          <w:sz w:val="20"/>
        </w:rPr>
        <w:t> </w:t>
      </w:r>
      <w:r>
        <w:rPr>
          <w:i/>
          <w:color w:val="231F20"/>
          <w:sz w:val="20"/>
        </w:rPr>
        <w:t>Financial</w:t>
      </w:r>
      <w:r>
        <w:rPr>
          <w:i/>
          <w:color w:val="231F20"/>
          <w:spacing w:val="-4"/>
          <w:sz w:val="20"/>
        </w:rPr>
        <w:t> </w:t>
      </w:r>
      <w:r>
        <w:rPr>
          <w:i/>
          <w:color w:val="231F20"/>
          <w:sz w:val="20"/>
        </w:rPr>
        <w:t>Statements</w:t>
      </w:r>
      <w:r>
        <w:rPr>
          <w:i/>
          <w:color w:val="231F20"/>
          <w:spacing w:val="-4"/>
          <w:sz w:val="20"/>
        </w:rPr>
        <w:t> </w:t>
      </w:r>
      <w:r>
        <w:rPr>
          <w:i/>
          <w:color w:val="231F20"/>
          <w:sz w:val="20"/>
        </w:rPr>
        <w:t>–</w:t>
      </w:r>
      <w:r>
        <w:rPr>
          <w:i/>
          <w:color w:val="231F20"/>
          <w:spacing w:val="-4"/>
          <w:sz w:val="20"/>
        </w:rPr>
        <w:t> </w:t>
      </w:r>
      <w:r>
        <w:rPr>
          <w:i/>
          <w:color w:val="231F20"/>
          <w:sz w:val="20"/>
        </w:rPr>
        <w:t>and</w:t>
      </w:r>
      <w:r>
        <w:rPr>
          <w:i/>
          <w:color w:val="231F20"/>
          <w:spacing w:val="-4"/>
          <w:sz w:val="20"/>
        </w:rPr>
        <w:t> </w:t>
      </w:r>
      <w:r>
        <w:rPr>
          <w:i/>
          <w:color w:val="231F20"/>
          <w:sz w:val="20"/>
        </w:rPr>
        <w:t>Management’s</w:t>
      </w:r>
      <w:r>
        <w:rPr>
          <w:i/>
          <w:color w:val="231F20"/>
          <w:spacing w:val="-5"/>
          <w:sz w:val="20"/>
        </w:rPr>
        <w:t> </w:t>
      </w:r>
      <w:r>
        <w:rPr>
          <w:i/>
          <w:color w:val="231F20"/>
          <w:sz w:val="20"/>
        </w:rPr>
        <w:t>Discussion</w:t>
      </w:r>
      <w:r>
        <w:rPr>
          <w:i/>
          <w:color w:val="231F20"/>
          <w:spacing w:val="-4"/>
          <w:sz w:val="20"/>
        </w:rPr>
        <w:t> </w:t>
      </w:r>
      <w:r>
        <w:rPr>
          <w:i/>
          <w:color w:val="231F20"/>
          <w:sz w:val="20"/>
        </w:rPr>
        <w:t>and</w:t>
      </w:r>
      <w:r>
        <w:rPr>
          <w:i/>
          <w:color w:val="231F20"/>
          <w:sz w:val="20"/>
        </w:rPr>
        <w:t> Analysis – for State and Local Governments.</w:t>
      </w:r>
    </w:p>
    <w:p>
      <w:pPr>
        <w:pStyle w:val="BodyText"/>
        <w:spacing w:before="11"/>
        <w:rPr>
          <w:i/>
          <w:sz w:val="22"/>
        </w:rPr>
      </w:pPr>
    </w:p>
    <w:p>
      <w:pPr>
        <w:pStyle w:val="Heading4"/>
      </w:pPr>
      <w:r>
        <w:rPr>
          <w:color w:val="231F20"/>
        </w:rPr>
        <w:t>Recently</w:t>
      </w:r>
      <w:r>
        <w:rPr>
          <w:color w:val="231F20"/>
          <w:spacing w:val="-9"/>
        </w:rPr>
        <w:t> </w:t>
      </w:r>
      <w:r>
        <w:rPr>
          <w:color w:val="231F20"/>
        </w:rPr>
        <w:t>Issued</w:t>
      </w:r>
      <w:r>
        <w:rPr>
          <w:color w:val="231F20"/>
          <w:spacing w:val="-8"/>
        </w:rPr>
        <w:t> </w:t>
      </w:r>
      <w:r>
        <w:rPr>
          <w:color w:val="231F20"/>
        </w:rPr>
        <w:t>Accounting</w:t>
      </w:r>
      <w:r>
        <w:rPr>
          <w:color w:val="231F20"/>
          <w:spacing w:val="-8"/>
        </w:rPr>
        <w:t> </w:t>
      </w:r>
      <w:r>
        <w:rPr>
          <w:color w:val="231F20"/>
          <w:spacing w:val="-2"/>
        </w:rPr>
        <w:t>Standards</w:t>
      </w:r>
    </w:p>
    <w:p>
      <w:pPr>
        <w:pStyle w:val="BodyText"/>
        <w:spacing w:line="276" w:lineRule="auto" w:before="34"/>
        <w:ind w:left="1440" w:right="1505"/>
      </w:pPr>
      <w:r>
        <w:rPr>
          <w:color w:val="231F20"/>
        </w:rPr>
        <w:t>GASB</w:t>
      </w:r>
      <w:r>
        <w:rPr>
          <w:color w:val="231F20"/>
          <w:spacing w:val="-3"/>
        </w:rPr>
        <w:t> </w:t>
      </w:r>
      <w:r>
        <w:rPr>
          <w:color w:val="231F20"/>
        </w:rPr>
        <w:t>Statement</w:t>
      </w:r>
      <w:r>
        <w:rPr>
          <w:color w:val="231F20"/>
          <w:spacing w:val="-3"/>
        </w:rPr>
        <w:t> </w:t>
      </w:r>
      <w:r>
        <w:rPr>
          <w:color w:val="231F20"/>
        </w:rPr>
        <w:t>No.</w:t>
      </w:r>
      <w:r>
        <w:rPr>
          <w:color w:val="231F20"/>
          <w:spacing w:val="-3"/>
        </w:rPr>
        <w:t> </w:t>
      </w:r>
      <w:r>
        <w:rPr>
          <w:color w:val="231F20"/>
        </w:rPr>
        <w:t>91</w:t>
      </w:r>
      <w:r>
        <w:rPr>
          <w:color w:val="231F20"/>
          <w:spacing w:val="-4"/>
        </w:rPr>
        <w:t> </w:t>
      </w:r>
      <w:r>
        <w:rPr>
          <w:color w:val="231F20"/>
        </w:rPr>
        <w:t>–</w:t>
      </w:r>
      <w:r>
        <w:rPr>
          <w:color w:val="231F20"/>
          <w:spacing w:val="-2"/>
        </w:rPr>
        <w:t> </w:t>
      </w:r>
      <w:r>
        <w:rPr>
          <w:i/>
          <w:color w:val="231F20"/>
        </w:rPr>
        <w:t>Conduit</w:t>
      </w:r>
      <w:r>
        <w:rPr>
          <w:i/>
          <w:color w:val="231F20"/>
          <w:spacing w:val="-3"/>
        </w:rPr>
        <w:t> </w:t>
      </w:r>
      <w:r>
        <w:rPr>
          <w:i/>
          <w:color w:val="231F20"/>
        </w:rPr>
        <w:t>Debt</w:t>
      </w:r>
      <w:r>
        <w:rPr>
          <w:i/>
          <w:color w:val="231F20"/>
          <w:spacing w:val="-3"/>
        </w:rPr>
        <w:t> </w:t>
      </w:r>
      <w:r>
        <w:rPr>
          <w:i/>
          <w:color w:val="231F20"/>
        </w:rPr>
        <w:t>Obligations.</w:t>
      </w:r>
      <w:r>
        <w:rPr>
          <w:i/>
          <w:color w:val="231F20"/>
          <w:spacing w:val="-1"/>
        </w:rPr>
        <w:t> </w:t>
      </w:r>
      <w:r>
        <w:rPr>
          <w:color w:val="231F20"/>
        </w:rPr>
        <w:t>This</w:t>
      </w:r>
      <w:r>
        <w:rPr>
          <w:color w:val="231F20"/>
          <w:spacing w:val="-3"/>
        </w:rPr>
        <w:t> </w:t>
      </w:r>
      <w:r>
        <w:rPr>
          <w:color w:val="231F20"/>
        </w:rPr>
        <w:t>Statement</w:t>
      </w:r>
      <w:r>
        <w:rPr>
          <w:color w:val="231F20"/>
          <w:spacing w:val="-3"/>
        </w:rPr>
        <w:t> </w:t>
      </w:r>
      <w:r>
        <w:rPr>
          <w:color w:val="231F20"/>
        </w:rPr>
        <w:t>provides</w:t>
      </w:r>
      <w:r>
        <w:rPr>
          <w:color w:val="231F20"/>
          <w:spacing w:val="-4"/>
        </w:rPr>
        <w:t> </w:t>
      </w:r>
      <w:r>
        <w:rPr>
          <w:color w:val="231F20"/>
        </w:rPr>
        <w:t>a</w:t>
      </w:r>
      <w:r>
        <w:rPr>
          <w:color w:val="231F20"/>
          <w:spacing w:val="-3"/>
        </w:rPr>
        <w:t> </w:t>
      </w:r>
      <w:r>
        <w:rPr>
          <w:color w:val="231F20"/>
        </w:rPr>
        <w:t>single</w:t>
      </w:r>
      <w:r>
        <w:rPr>
          <w:color w:val="231F20"/>
          <w:spacing w:val="-3"/>
        </w:rPr>
        <w:t> </w:t>
      </w:r>
      <w:r>
        <w:rPr>
          <w:color w:val="231F20"/>
        </w:rPr>
        <w:t>method</w:t>
      </w:r>
      <w:r>
        <w:rPr>
          <w:color w:val="231F20"/>
          <w:spacing w:val="-3"/>
        </w:rPr>
        <w:t> </w:t>
      </w:r>
      <w:r>
        <w:rPr>
          <w:color w:val="231F20"/>
        </w:rPr>
        <w:t>of reporting conduit debt obligations by issuer and eliminates diversity in practice associated with</w:t>
      </w:r>
    </w:p>
    <w:p>
      <w:pPr>
        <w:pStyle w:val="BodyText"/>
        <w:ind w:left="1439"/>
      </w:pPr>
      <w:r>
        <w:rPr>
          <w:color w:val="231F20"/>
        </w:rPr>
        <w:t>(1)</w:t>
      </w:r>
      <w:r>
        <w:rPr>
          <w:color w:val="231F20"/>
          <w:spacing w:val="-10"/>
        </w:rPr>
        <w:t> </w:t>
      </w:r>
      <w:r>
        <w:rPr>
          <w:color w:val="231F20"/>
        </w:rPr>
        <w:t>commitments</w:t>
      </w:r>
      <w:r>
        <w:rPr>
          <w:color w:val="231F20"/>
          <w:spacing w:val="-7"/>
        </w:rPr>
        <w:t> </w:t>
      </w:r>
      <w:r>
        <w:rPr>
          <w:color w:val="231F20"/>
        </w:rPr>
        <w:t>extended</w:t>
      </w:r>
      <w:r>
        <w:rPr>
          <w:color w:val="231F20"/>
          <w:spacing w:val="-7"/>
        </w:rPr>
        <w:t> </w:t>
      </w:r>
      <w:r>
        <w:rPr>
          <w:color w:val="231F20"/>
        </w:rPr>
        <w:t>by</w:t>
      </w:r>
      <w:r>
        <w:rPr>
          <w:color w:val="231F20"/>
          <w:spacing w:val="-7"/>
        </w:rPr>
        <w:t> </w:t>
      </w:r>
      <w:r>
        <w:rPr>
          <w:color w:val="231F20"/>
        </w:rPr>
        <w:t>issuers,</w:t>
      </w:r>
      <w:r>
        <w:rPr>
          <w:color w:val="231F20"/>
          <w:spacing w:val="-7"/>
        </w:rPr>
        <w:t> </w:t>
      </w:r>
      <w:r>
        <w:rPr>
          <w:color w:val="231F20"/>
        </w:rPr>
        <w:t>(2)</w:t>
      </w:r>
      <w:r>
        <w:rPr>
          <w:color w:val="231F20"/>
          <w:spacing w:val="-7"/>
        </w:rPr>
        <w:t> </w:t>
      </w:r>
      <w:r>
        <w:rPr>
          <w:color w:val="231F20"/>
        </w:rPr>
        <w:t>arrangements</w:t>
      </w:r>
      <w:r>
        <w:rPr>
          <w:color w:val="231F20"/>
          <w:spacing w:val="-7"/>
        </w:rPr>
        <w:t> </w:t>
      </w:r>
      <w:r>
        <w:rPr>
          <w:color w:val="231F20"/>
        </w:rPr>
        <w:t>associated</w:t>
      </w:r>
      <w:r>
        <w:rPr>
          <w:color w:val="231F20"/>
          <w:spacing w:val="-8"/>
        </w:rPr>
        <w:t> </w:t>
      </w:r>
      <w:r>
        <w:rPr>
          <w:color w:val="231F20"/>
        </w:rPr>
        <w:t>with</w:t>
      </w:r>
      <w:r>
        <w:rPr>
          <w:color w:val="231F20"/>
          <w:spacing w:val="-7"/>
        </w:rPr>
        <w:t> </w:t>
      </w:r>
      <w:r>
        <w:rPr>
          <w:color w:val="231F20"/>
        </w:rPr>
        <w:t>conduit</w:t>
      </w:r>
      <w:r>
        <w:rPr>
          <w:color w:val="231F20"/>
          <w:spacing w:val="-7"/>
        </w:rPr>
        <w:t> </w:t>
      </w:r>
      <w:r>
        <w:rPr>
          <w:color w:val="231F20"/>
        </w:rPr>
        <w:t>debt</w:t>
      </w:r>
      <w:r>
        <w:rPr>
          <w:color w:val="231F20"/>
          <w:spacing w:val="-7"/>
        </w:rPr>
        <w:t> </w:t>
      </w:r>
      <w:r>
        <w:rPr>
          <w:color w:val="231F20"/>
        </w:rPr>
        <w:t>obligations,</w:t>
      </w:r>
      <w:r>
        <w:rPr>
          <w:color w:val="231F20"/>
          <w:spacing w:val="-6"/>
        </w:rPr>
        <w:t> </w:t>
      </w:r>
      <w:r>
        <w:rPr>
          <w:color w:val="231F20"/>
          <w:spacing w:val="-5"/>
        </w:rPr>
        <w:t>and</w:t>
      </w:r>
    </w:p>
    <w:p>
      <w:pPr>
        <w:pStyle w:val="BodyText"/>
        <w:spacing w:line="276" w:lineRule="auto" w:before="34"/>
        <w:ind w:left="1439" w:right="1104"/>
      </w:pPr>
      <w:r>
        <w:rPr>
          <w:color w:val="231F20"/>
        </w:rPr>
        <w:t>(3)</w:t>
      </w:r>
      <w:r>
        <w:rPr>
          <w:color w:val="231F20"/>
          <w:spacing w:val="-4"/>
        </w:rPr>
        <w:t> </w:t>
      </w:r>
      <w:r>
        <w:rPr>
          <w:color w:val="231F20"/>
        </w:rPr>
        <w:t>related</w:t>
      </w:r>
      <w:r>
        <w:rPr>
          <w:color w:val="231F20"/>
          <w:spacing w:val="-3"/>
        </w:rPr>
        <w:t> </w:t>
      </w:r>
      <w:r>
        <w:rPr>
          <w:color w:val="231F20"/>
        </w:rPr>
        <w:t>note</w:t>
      </w:r>
      <w:r>
        <w:rPr>
          <w:color w:val="231F20"/>
          <w:spacing w:val="-3"/>
        </w:rPr>
        <w:t> </w:t>
      </w:r>
      <w:r>
        <w:rPr>
          <w:color w:val="231F20"/>
        </w:rPr>
        <w:t>disclosures.</w:t>
      </w:r>
      <w:r>
        <w:rPr>
          <w:color w:val="231F20"/>
          <w:spacing w:val="-3"/>
        </w:rPr>
        <w:t> </w:t>
      </w:r>
      <w:r>
        <w:rPr>
          <w:color w:val="231F20"/>
        </w:rPr>
        <w:t>This</w:t>
      </w:r>
      <w:r>
        <w:rPr>
          <w:color w:val="231F20"/>
          <w:spacing w:val="-3"/>
        </w:rPr>
        <w:t> </w:t>
      </w:r>
      <w:r>
        <w:rPr>
          <w:color w:val="231F20"/>
        </w:rPr>
        <w:t>Statement</w:t>
      </w:r>
      <w:r>
        <w:rPr>
          <w:color w:val="231F20"/>
          <w:spacing w:val="-3"/>
        </w:rPr>
        <w:t> </w:t>
      </w:r>
      <w:r>
        <w:rPr>
          <w:color w:val="231F20"/>
        </w:rPr>
        <w:t>achieves</w:t>
      </w:r>
      <w:r>
        <w:rPr>
          <w:color w:val="231F20"/>
          <w:spacing w:val="-4"/>
        </w:rPr>
        <w:t> </w:t>
      </w:r>
      <w:r>
        <w:rPr>
          <w:color w:val="231F20"/>
        </w:rPr>
        <w:t>those</w:t>
      </w:r>
      <w:r>
        <w:rPr>
          <w:color w:val="231F20"/>
          <w:spacing w:val="-3"/>
        </w:rPr>
        <w:t> </w:t>
      </w:r>
      <w:r>
        <w:rPr>
          <w:color w:val="231F20"/>
        </w:rPr>
        <w:t>objective</w:t>
      </w:r>
      <w:r>
        <w:rPr>
          <w:color w:val="231F20"/>
          <w:spacing w:val="-3"/>
        </w:rPr>
        <w:t> </w:t>
      </w:r>
      <w:r>
        <w:rPr>
          <w:color w:val="231F20"/>
        </w:rPr>
        <w:t>by</w:t>
      </w:r>
      <w:r>
        <w:rPr>
          <w:color w:val="231F20"/>
          <w:spacing w:val="-3"/>
        </w:rPr>
        <w:t> </w:t>
      </w:r>
      <w:r>
        <w:rPr>
          <w:color w:val="231F20"/>
        </w:rPr>
        <w:t>clarifying</w:t>
      </w:r>
      <w:r>
        <w:rPr>
          <w:color w:val="231F20"/>
          <w:spacing w:val="-4"/>
        </w:rPr>
        <w:t> </w:t>
      </w:r>
      <w:r>
        <w:rPr>
          <w:color w:val="231F20"/>
        </w:rPr>
        <w:t>the</w:t>
      </w:r>
      <w:r>
        <w:rPr>
          <w:color w:val="231F20"/>
          <w:spacing w:val="-3"/>
        </w:rPr>
        <w:t> </w:t>
      </w:r>
      <w:r>
        <w:rPr>
          <w:color w:val="231F20"/>
        </w:rPr>
        <w:t>existing</w:t>
      </w:r>
      <w:r>
        <w:rPr>
          <w:color w:val="231F20"/>
          <w:spacing w:val="-3"/>
        </w:rPr>
        <w:t> </w:t>
      </w:r>
      <w:r>
        <w:rPr>
          <w:color w:val="231F20"/>
        </w:rPr>
        <w:t>definition of a conduit debt obligation; establishing that a conduit debt obligation is not a liability of the issuer; establishing standards for accounting and financial reporting of additional commitments and voluntary commitments extended by issuers and arrangements associated with conduit debt obligations; and improving required note disclosures. GASB Statement is effective for periods beginning after</w:t>
      </w:r>
      <w:r>
        <w:rPr>
          <w:color w:val="231F20"/>
          <w:spacing w:val="40"/>
        </w:rPr>
        <w:t> </w:t>
      </w:r>
      <w:r>
        <w:rPr>
          <w:color w:val="231F20"/>
        </w:rPr>
        <w:t>December 15, 2021 (fiscal year 2023), and earlier application is encouraged. The Institute is currently evaluating the impact GASB Statement 91 will have on its financial statements.</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9"/>
        </w:rPr>
        <w:t> </w:t>
      </w:r>
      <w:r>
        <w:rPr>
          <w:color w:val="231F20"/>
        </w:rPr>
        <w:t>2</w:t>
      </w:r>
      <w:r>
        <w:rPr>
          <w:color w:val="231F20"/>
          <w:spacing w:val="-6"/>
        </w:rPr>
        <w:t> </w:t>
      </w:r>
      <w:r>
        <w:rPr>
          <w:color w:val="231F20"/>
        </w:rPr>
        <w:t>–</w:t>
      </w:r>
      <w:r>
        <w:rPr>
          <w:color w:val="231F20"/>
          <w:spacing w:val="-6"/>
        </w:rPr>
        <w:t> </w:t>
      </w:r>
      <w:r>
        <w:rPr>
          <w:color w:val="231F20"/>
        </w:rPr>
        <w:t>Basis</w:t>
      </w:r>
      <w:r>
        <w:rPr>
          <w:color w:val="231F20"/>
          <w:spacing w:val="-6"/>
        </w:rPr>
        <w:t> </w:t>
      </w:r>
      <w:r>
        <w:rPr>
          <w:color w:val="231F20"/>
        </w:rPr>
        <w:t>of</w:t>
      </w:r>
      <w:r>
        <w:rPr>
          <w:color w:val="231F20"/>
          <w:spacing w:val="-6"/>
        </w:rPr>
        <w:t> </w:t>
      </w:r>
      <w:r>
        <w:rPr>
          <w:color w:val="231F20"/>
        </w:rPr>
        <w:t>Presentation</w:t>
      </w:r>
      <w:r>
        <w:rPr>
          <w:color w:val="231F20"/>
          <w:spacing w:val="-6"/>
        </w:rPr>
        <w:t> </w:t>
      </w:r>
      <w:r>
        <w:rPr>
          <w:color w:val="231F20"/>
        </w:rPr>
        <w:t>and</w:t>
      </w:r>
      <w:r>
        <w:rPr>
          <w:color w:val="231F20"/>
          <w:spacing w:val="-6"/>
        </w:rPr>
        <w:t> </w:t>
      </w:r>
      <w:r>
        <w:rPr>
          <w:color w:val="231F20"/>
        </w:rPr>
        <w:t>Summary</w:t>
      </w:r>
      <w:r>
        <w:rPr>
          <w:color w:val="231F20"/>
          <w:spacing w:val="-6"/>
        </w:rPr>
        <w:t> </w:t>
      </w:r>
      <w:r>
        <w:rPr>
          <w:color w:val="231F20"/>
        </w:rPr>
        <w:t>of</w:t>
      </w:r>
      <w:r>
        <w:rPr>
          <w:color w:val="231F20"/>
          <w:spacing w:val="-5"/>
        </w:rPr>
        <w:t> </w:t>
      </w:r>
      <w:r>
        <w:rPr>
          <w:color w:val="231F20"/>
        </w:rPr>
        <w:t>Significant</w:t>
      </w:r>
      <w:r>
        <w:rPr>
          <w:color w:val="231F20"/>
          <w:spacing w:val="-6"/>
        </w:rPr>
        <w:t> </w:t>
      </w:r>
      <w:r>
        <w:rPr>
          <w:color w:val="231F20"/>
        </w:rPr>
        <w:t>Accounting</w:t>
      </w:r>
      <w:r>
        <w:rPr>
          <w:color w:val="231F20"/>
          <w:spacing w:val="-6"/>
        </w:rPr>
        <w:t> </w:t>
      </w:r>
      <w:r>
        <w:rPr>
          <w:color w:val="231F20"/>
        </w:rPr>
        <w:t>Policies</w:t>
      </w:r>
      <w:r>
        <w:rPr>
          <w:color w:val="231F20"/>
          <w:spacing w:val="-6"/>
        </w:rPr>
        <w:t> </w:t>
      </w:r>
      <w:r>
        <w:rPr>
          <w:color w:val="231F20"/>
          <w:spacing w:val="-2"/>
        </w:rPr>
        <w:t>(continued)</w:t>
      </w:r>
    </w:p>
    <w:p>
      <w:pPr>
        <w:pStyle w:val="BodyText"/>
        <w:rPr>
          <w:b/>
          <w:sz w:val="26"/>
        </w:rPr>
      </w:pPr>
    </w:p>
    <w:p>
      <w:pPr>
        <w:pStyle w:val="BodyText"/>
        <w:spacing w:line="276" w:lineRule="auto"/>
        <w:ind w:left="1439" w:right="940"/>
      </w:pPr>
      <w:r>
        <w:rPr>
          <w:color w:val="231F20"/>
        </w:rPr>
        <w:t>GASB Statement No. 94 – </w:t>
      </w:r>
      <w:r>
        <w:rPr>
          <w:i/>
          <w:color w:val="231F20"/>
        </w:rPr>
        <w:t>Public-Private and Public-Public Partnerships and Availability Payment</w:t>
      </w:r>
      <w:r>
        <w:rPr>
          <w:i/>
          <w:color w:val="231F20"/>
        </w:rPr>
        <w:t> Arrangements</w:t>
      </w:r>
      <w:r>
        <w:rPr>
          <w:color w:val="231F20"/>
        </w:rPr>
        <w:t>. The primary objective of this Statement is to improve financial reporting by addressing issues related to public-private and public-public partnership agreements (PPPs). As used in this Statement, a PPP is an arrangement in which a government (the transferor) contracts with an operator</w:t>
      </w:r>
      <w:r>
        <w:rPr>
          <w:color w:val="231F20"/>
          <w:spacing w:val="40"/>
        </w:rPr>
        <w:t> </w:t>
      </w:r>
      <w:r>
        <w:rPr>
          <w:color w:val="231F20"/>
        </w:rPr>
        <w:t>(a</w:t>
      </w:r>
      <w:r>
        <w:rPr>
          <w:color w:val="231F20"/>
          <w:spacing w:val="-3"/>
        </w:rPr>
        <w:t> </w:t>
      </w:r>
      <w:r>
        <w:rPr>
          <w:color w:val="231F20"/>
        </w:rPr>
        <w:t>governmental</w:t>
      </w:r>
      <w:r>
        <w:rPr>
          <w:color w:val="231F20"/>
          <w:spacing w:val="-3"/>
        </w:rPr>
        <w:t> </w:t>
      </w:r>
      <w:r>
        <w:rPr>
          <w:color w:val="231F20"/>
        </w:rPr>
        <w:t>or</w:t>
      </w:r>
      <w:r>
        <w:rPr>
          <w:color w:val="231F20"/>
          <w:spacing w:val="-3"/>
        </w:rPr>
        <w:t> </w:t>
      </w:r>
      <w:r>
        <w:rPr>
          <w:color w:val="231F20"/>
        </w:rPr>
        <w:t>nongovernmental</w:t>
      </w:r>
      <w:r>
        <w:rPr>
          <w:color w:val="231F20"/>
          <w:spacing w:val="-3"/>
        </w:rPr>
        <w:t> </w:t>
      </w:r>
      <w:r>
        <w:rPr>
          <w:color w:val="231F20"/>
        </w:rPr>
        <w:t>entity)</w:t>
      </w:r>
      <w:r>
        <w:rPr>
          <w:color w:val="231F20"/>
          <w:spacing w:val="-3"/>
        </w:rPr>
        <w:t> </w:t>
      </w:r>
      <w:r>
        <w:rPr>
          <w:color w:val="231F20"/>
        </w:rPr>
        <w:t>to</w:t>
      </w:r>
      <w:r>
        <w:rPr>
          <w:color w:val="231F20"/>
          <w:spacing w:val="-3"/>
        </w:rPr>
        <w:t> </w:t>
      </w:r>
      <w:r>
        <w:rPr>
          <w:color w:val="231F20"/>
        </w:rPr>
        <w:t>provide</w:t>
      </w:r>
      <w:r>
        <w:rPr>
          <w:color w:val="231F20"/>
          <w:spacing w:val="-1"/>
        </w:rPr>
        <w:t> </w:t>
      </w:r>
      <w:r>
        <w:rPr>
          <w:color w:val="231F20"/>
        </w:rPr>
        <w:t>public</w:t>
      </w:r>
      <w:r>
        <w:rPr>
          <w:color w:val="231F20"/>
          <w:spacing w:val="-3"/>
        </w:rPr>
        <w:t> </w:t>
      </w:r>
      <w:r>
        <w:rPr>
          <w:color w:val="231F20"/>
        </w:rPr>
        <w:t>services</w:t>
      </w:r>
      <w:r>
        <w:rPr>
          <w:color w:val="231F20"/>
          <w:spacing w:val="-3"/>
        </w:rPr>
        <w:t> </w:t>
      </w:r>
      <w:r>
        <w:rPr>
          <w:color w:val="231F20"/>
        </w:rPr>
        <w:t>by</w:t>
      </w:r>
      <w:r>
        <w:rPr>
          <w:color w:val="231F20"/>
          <w:spacing w:val="-2"/>
        </w:rPr>
        <w:t> </w:t>
      </w:r>
      <w:r>
        <w:rPr>
          <w:color w:val="231F20"/>
        </w:rPr>
        <w:t>conveying</w:t>
      </w:r>
      <w:r>
        <w:rPr>
          <w:color w:val="231F20"/>
          <w:spacing w:val="-3"/>
        </w:rPr>
        <w:t> </w:t>
      </w:r>
      <w:r>
        <w:rPr>
          <w:color w:val="231F20"/>
        </w:rPr>
        <w:t>control</w:t>
      </w:r>
      <w:r>
        <w:rPr>
          <w:color w:val="231F20"/>
          <w:spacing w:val="-4"/>
        </w:rPr>
        <w:t> </w:t>
      </w:r>
      <w:r>
        <w:rPr>
          <w:color w:val="231F20"/>
        </w:rPr>
        <w:t>of</w:t>
      </w:r>
      <w:r>
        <w:rPr>
          <w:color w:val="231F20"/>
          <w:spacing w:val="-3"/>
        </w:rPr>
        <w:t> </w:t>
      </w:r>
      <w:r>
        <w:rPr>
          <w:color w:val="231F20"/>
        </w:rPr>
        <w:t>the</w:t>
      </w:r>
      <w:r>
        <w:rPr>
          <w:color w:val="231F20"/>
          <w:spacing w:val="-3"/>
        </w:rPr>
        <w:t> </w:t>
      </w:r>
      <w:r>
        <w:rPr>
          <w:color w:val="231F20"/>
        </w:rPr>
        <w:t>right</w:t>
      </w:r>
      <w:r>
        <w:rPr>
          <w:color w:val="231F20"/>
          <w:spacing w:val="-3"/>
        </w:rPr>
        <w:t> </w:t>
      </w:r>
      <w:r>
        <w:rPr>
          <w:color w:val="231F20"/>
        </w:rPr>
        <w:t>to operate or use a nonfinancial asset, such as infrastructure or other capital asset (the underlying PPP asset), for a period of time in an exchange-like transaction. This Statement also provides guidance for accounting and financial reporting for availability payment arrangements (APAs). As defined by this Statement, an APA is an arrangement in which a government compensates an operator for services that</w:t>
      </w:r>
    </w:p>
    <w:p>
      <w:pPr>
        <w:pStyle w:val="BodyText"/>
        <w:spacing w:line="276" w:lineRule="auto"/>
        <w:ind w:left="1439" w:right="891"/>
      </w:pPr>
      <w:r>
        <w:rPr>
          <w:color w:val="231F20"/>
        </w:rPr>
        <w:t>may</w:t>
      </w:r>
      <w:r>
        <w:rPr>
          <w:color w:val="231F20"/>
          <w:spacing w:val="-4"/>
        </w:rPr>
        <w:t> </w:t>
      </w:r>
      <w:r>
        <w:rPr>
          <w:color w:val="231F20"/>
        </w:rPr>
        <w:t>include</w:t>
      </w:r>
      <w:r>
        <w:rPr>
          <w:color w:val="231F20"/>
          <w:spacing w:val="-4"/>
        </w:rPr>
        <w:t> </w:t>
      </w:r>
      <w:r>
        <w:rPr>
          <w:color w:val="231F20"/>
        </w:rPr>
        <w:t>designing,</w:t>
      </w:r>
      <w:r>
        <w:rPr>
          <w:color w:val="231F20"/>
          <w:spacing w:val="-5"/>
        </w:rPr>
        <w:t> </w:t>
      </w:r>
      <w:r>
        <w:rPr>
          <w:color w:val="231F20"/>
        </w:rPr>
        <w:t>constructing,</w:t>
      </w:r>
      <w:r>
        <w:rPr>
          <w:color w:val="231F20"/>
          <w:spacing w:val="-4"/>
        </w:rPr>
        <w:t> </w:t>
      </w:r>
      <w:r>
        <w:rPr>
          <w:color w:val="231F20"/>
        </w:rPr>
        <w:t>financing,</w:t>
      </w:r>
      <w:r>
        <w:rPr>
          <w:color w:val="231F20"/>
          <w:spacing w:val="-4"/>
        </w:rPr>
        <w:t> </w:t>
      </w:r>
      <w:r>
        <w:rPr>
          <w:color w:val="231F20"/>
        </w:rPr>
        <w:t>maintaining,</w:t>
      </w:r>
      <w:r>
        <w:rPr>
          <w:color w:val="231F20"/>
          <w:spacing w:val="-4"/>
        </w:rPr>
        <w:t> </w:t>
      </w:r>
      <w:r>
        <w:rPr>
          <w:color w:val="231F20"/>
        </w:rPr>
        <w:t>or</w:t>
      </w:r>
      <w:r>
        <w:rPr>
          <w:color w:val="231F20"/>
          <w:spacing w:val="-4"/>
        </w:rPr>
        <w:t> </w:t>
      </w:r>
      <w:r>
        <w:rPr>
          <w:color w:val="231F20"/>
        </w:rPr>
        <w:t>operating</w:t>
      </w:r>
      <w:r>
        <w:rPr>
          <w:color w:val="231F20"/>
          <w:spacing w:val="-4"/>
        </w:rPr>
        <w:t> </w:t>
      </w:r>
      <w:r>
        <w:rPr>
          <w:color w:val="231F20"/>
        </w:rPr>
        <w:t>an</w:t>
      </w:r>
      <w:r>
        <w:rPr>
          <w:color w:val="231F20"/>
          <w:spacing w:val="-4"/>
        </w:rPr>
        <w:t> </w:t>
      </w:r>
      <w:r>
        <w:rPr>
          <w:color w:val="231F20"/>
        </w:rPr>
        <w:t>underlying</w:t>
      </w:r>
      <w:r>
        <w:rPr>
          <w:color w:val="231F20"/>
          <w:spacing w:val="-4"/>
        </w:rPr>
        <w:t> </w:t>
      </w:r>
      <w:r>
        <w:rPr>
          <w:color w:val="231F20"/>
        </w:rPr>
        <w:t>nonfinancial</w:t>
      </w:r>
      <w:r>
        <w:rPr>
          <w:color w:val="231F20"/>
          <w:spacing w:val="-4"/>
        </w:rPr>
        <w:t> </w:t>
      </w:r>
      <w:r>
        <w:rPr>
          <w:color w:val="231F20"/>
        </w:rPr>
        <w:t>asset for a period of time in an exchange or exchange-like transaction. GASB Statement 94 is effective for periods beginning after June 15, 2022 (fiscal year 2023), and earlier application is encouraged. The Institute is currently evaluating the impact GASB Statement 94 will have on its financial statements.</w:t>
      </w:r>
    </w:p>
    <w:p>
      <w:pPr>
        <w:pStyle w:val="BodyText"/>
        <w:spacing w:before="10"/>
        <w:rPr>
          <w:sz w:val="22"/>
        </w:rPr>
      </w:pPr>
    </w:p>
    <w:p>
      <w:pPr>
        <w:pStyle w:val="BodyText"/>
        <w:spacing w:line="276" w:lineRule="auto"/>
        <w:ind w:left="1439" w:right="1048"/>
      </w:pPr>
      <w:r>
        <w:rPr>
          <w:color w:val="231F20"/>
        </w:rPr>
        <w:t>GASB</w:t>
      </w:r>
      <w:r>
        <w:rPr>
          <w:color w:val="231F20"/>
          <w:spacing w:val="-4"/>
        </w:rPr>
        <w:t> </w:t>
      </w:r>
      <w:r>
        <w:rPr>
          <w:color w:val="231F20"/>
        </w:rPr>
        <w:t>Statement</w:t>
      </w:r>
      <w:r>
        <w:rPr>
          <w:color w:val="231F20"/>
          <w:spacing w:val="-4"/>
        </w:rPr>
        <w:t> </w:t>
      </w:r>
      <w:r>
        <w:rPr>
          <w:color w:val="231F20"/>
        </w:rPr>
        <w:t>No.</w:t>
      </w:r>
      <w:r>
        <w:rPr>
          <w:color w:val="231F20"/>
          <w:spacing w:val="-4"/>
        </w:rPr>
        <w:t> </w:t>
      </w:r>
      <w:r>
        <w:rPr>
          <w:color w:val="231F20"/>
        </w:rPr>
        <w:t>96</w:t>
      </w:r>
      <w:r>
        <w:rPr>
          <w:color w:val="231F20"/>
          <w:spacing w:val="-5"/>
        </w:rPr>
        <w:t> </w:t>
      </w:r>
      <w:r>
        <w:rPr>
          <w:color w:val="231F20"/>
        </w:rPr>
        <w:t>–</w:t>
      </w:r>
      <w:r>
        <w:rPr>
          <w:color w:val="231F20"/>
          <w:spacing w:val="-3"/>
        </w:rPr>
        <w:t> </w:t>
      </w:r>
      <w:r>
        <w:rPr>
          <w:i/>
          <w:color w:val="231F20"/>
        </w:rPr>
        <w:t>Subscription-based</w:t>
      </w:r>
      <w:r>
        <w:rPr>
          <w:i/>
          <w:color w:val="231F20"/>
          <w:spacing w:val="-4"/>
        </w:rPr>
        <w:t> </w:t>
      </w:r>
      <w:r>
        <w:rPr>
          <w:i/>
          <w:color w:val="231F20"/>
        </w:rPr>
        <w:t>Information</w:t>
      </w:r>
      <w:r>
        <w:rPr>
          <w:i/>
          <w:color w:val="231F20"/>
          <w:spacing w:val="-4"/>
        </w:rPr>
        <w:t> </w:t>
      </w:r>
      <w:r>
        <w:rPr>
          <w:i/>
          <w:color w:val="231F20"/>
        </w:rPr>
        <w:t>Technology</w:t>
      </w:r>
      <w:r>
        <w:rPr>
          <w:i/>
          <w:color w:val="231F20"/>
          <w:spacing w:val="-4"/>
        </w:rPr>
        <w:t> </w:t>
      </w:r>
      <w:r>
        <w:rPr>
          <w:i/>
          <w:color w:val="231F20"/>
        </w:rPr>
        <w:t>Arrangements</w:t>
      </w:r>
      <w:r>
        <w:rPr>
          <w:color w:val="231F20"/>
        </w:rPr>
        <w:t>.</w:t>
      </w:r>
      <w:r>
        <w:rPr>
          <w:color w:val="231F20"/>
          <w:spacing w:val="-4"/>
        </w:rPr>
        <w:t> </w:t>
      </w:r>
      <w:r>
        <w:rPr>
          <w:color w:val="231F20"/>
        </w:rPr>
        <w:t>This</w:t>
      </w:r>
      <w:r>
        <w:rPr>
          <w:color w:val="231F20"/>
          <w:spacing w:val="-4"/>
        </w:rPr>
        <w:t> </w:t>
      </w:r>
      <w:r>
        <w:rPr>
          <w:color w:val="231F20"/>
        </w:rPr>
        <w:t>Statement provides guidance on the accounting and financial reporting for subscription-based information technology arrangements (SBITAs) for government end users. This Statement (1) defines a SBITA;</w:t>
      </w:r>
    </w:p>
    <w:p>
      <w:pPr>
        <w:pStyle w:val="BodyText"/>
        <w:spacing w:line="276" w:lineRule="auto"/>
        <w:ind w:left="1439" w:right="919"/>
      </w:pPr>
      <w:r>
        <w:rPr>
          <w:color w:val="231F20"/>
        </w:rPr>
        <w:t>(2) establishes that a SBITA results in a right-to-use subscription asset—an intangible asset—and a corresponding subscription liability; (3) provides the capitalization criteria for outlays other than subscription payments, including implementation costs of a SBITA; and (4) requires note disclosures regarding a SBITA. To the extent relevant, the standards for SBITAs are based on the standards established in Statement No. 87, Leases, as amended. A SBITA is defined as a contract that conveys control</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right</w:t>
      </w:r>
      <w:r>
        <w:rPr>
          <w:color w:val="231F20"/>
          <w:spacing w:val="-1"/>
        </w:rPr>
        <w:t> </w:t>
      </w:r>
      <w:r>
        <w:rPr>
          <w:color w:val="231F20"/>
        </w:rPr>
        <w:t>to</w:t>
      </w:r>
      <w:r>
        <w:rPr>
          <w:color w:val="231F20"/>
          <w:spacing w:val="-1"/>
        </w:rPr>
        <w:t> </w:t>
      </w:r>
      <w:r>
        <w:rPr>
          <w:color w:val="231F20"/>
        </w:rPr>
        <w:t>use</w:t>
      </w:r>
      <w:r>
        <w:rPr>
          <w:color w:val="231F20"/>
          <w:spacing w:val="-1"/>
        </w:rPr>
        <w:t> </w:t>
      </w:r>
      <w:r>
        <w:rPr>
          <w:color w:val="231F20"/>
        </w:rPr>
        <w:t>another</w:t>
      </w:r>
      <w:r>
        <w:rPr>
          <w:color w:val="231F20"/>
          <w:spacing w:val="-1"/>
        </w:rPr>
        <w:t> </w:t>
      </w:r>
      <w:r>
        <w:rPr>
          <w:color w:val="231F20"/>
        </w:rPr>
        <w:t>party’s</w:t>
      </w:r>
      <w:r>
        <w:rPr>
          <w:color w:val="231F20"/>
          <w:spacing w:val="-1"/>
        </w:rPr>
        <w:t> </w:t>
      </w:r>
      <w:r>
        <w:rPr>
          <w:color w:val="231F20"/>
        </w:rPr>
        <w:t>(a</w:t>
      </w:r>
      <w:r>
        <w:rPr>
          <w:color w:val="231F20"/>
          <w:spacing w:val="-1"/>
        </w:rPr>
        <w:t> </w:t>
      </w:r>
      <w:r>
        <w:rPr>
          <w:color w:val="231F20"/>
        </w:rPr>
        <w:t>SBITA vendor’s)</w:t>
      </w:r>
      <w:r>
        <w:rPr>
          <w:color w:val="231F20"/>
          <w:spacing w:val="-1"/>
        </w:rPr>
        <w:t> </w:t>
      </w:r>
      <w:r>
        <w:rPr>
          <w:color w:val="231F20"/>
        </w:rPr>
        <w:t>information</w:t>
      </w:r>
      <w:r>
        <w:rPr>
          <w:color w:val="231F20"/>
          <w:spacing w:val="-1"/>
        </w:rPr>
        <w:t> </w:t>
      </w:r>
      <w:r>
        <w:rPr>
          <w:color w:val="231F20"/>
        </w:rPr>
        <w:t>technology</w:t>
      </w:r>
      <w:r>
        <w:rPr>
          <w:color w:val="231F20"/>
          <w:spacing w:val="-1"/>
        </w:rPr>
        <w:t> </w:t>
      </w:r>
      <w:r>
        <w:rPr>
          <w:color w:val="231F20"/>
        </w:rPr>
        <w:t>(IT) software,</w:t>
      </w:r>
      <w:r>
        <w:rPr>
          <w:color w:val="231F20"/>
          <w:spacing w:val="-1"/>
        </w:rPr>
        <w:t> </w:t>
      </w:r>
      <w:r>
        <w:rPr>
          <w:color w:val="231F20"/>
        </w:rPr>
        <w:t>alone or</w:t>
      </w:r>
      <w:r>
        <w:rPr>
          <w:color w:val="231F20"/>
          <w:spacing w:val="-3"/>
        </w:rPr>
        <w:t> </w:t>
      </w:r>
      <w:r>
        <w:rPr>
          <w:color w:val="231F20"/>
        </w:rPr>
        <w:t>in</w:t>
      </w:r>
      <w:r>
        <w:rPr>
          <w:color w:val="231F20"/>
          <w:spacing w:val="-3"/>
        </w:rPr>
        <w:t> </w:t>
      </w:r>
      <w:r>
        <w:rPr>
          <w:color w:val="231F20"/>
        </w:rPr>
        <w:t>combination</w:t>
      </w:r>
      <w:r>
        <w:rPr>
          <w:color w:val="231F20"/>
          <w:spacing w:val="-3"/>
        </w:rPr>
        <w:t> </w:t>
      </w:r>
      <w:r>
        <w:rPr>
          <w:color w:val="231F20"/>
        </w:rPr>
        <w:t>with</w:t>
      </w:r>
      <w:r>
        <w:rPr>
          <w:color w:val="231F20"/>
          <w:spacing w:val="-3"/>
        </w:rPr>
        <w:t> </w:t>
      </w:r>
      <w:r>
        <w:rPr>
          <w:color w:val="231F20"/>
        </w:rPr>
        <w:t>tangible</w:t>
      </w:r>
      <w:r>
        <w:rPr>
          <w:color w:val="231F20"/>
          <w:spacing w:val="-3"/>
        </w:rPr>
        <w:t> </w:t>
      </w:r>
      <w:r>
        <w:rPr>
          <w:color w:val="231F20"/>
        </w:rPr>
        <w:t>capital</w:t>
      </w:r>
      <w:r>
        <w:rPr>
          <w:color w:val="231F20"/>
          <w:spacing w:val="-3"/>
        </w:rPr>
        <w:t> </w:t>
      </w:r>
      <w:r>
        <w:rPr>
          <w:color w:val="231F20"/>
        </w:rPr>
        <w:t>assets</w:t>
      </w:r>
      <w:r>
        <w:rPr>
          <w:color w:val="231F20"/>
          <w:spacing w:val="-4"/>
        </w:rPr>
        <w:t> </w:t>
      </w:r>
      <w:r>
        <w:rPr>
          <w:color w:val="231F20"/>
        </w:rPr>
        <w:t>(the</w:t>
      </w:r>
      <w:r>
        <w:rPr>
          <w:color w:val="231F20"/>
          <w:spacing w:val="-3"/>
        </w:rPr>
        <w:t> </w:t>
      </w:r>
      <w:r>
        <w:rPr>
          <w:color w:val="231F20"/>
        </w:rPr>
        <w:t>underlying</w:t>
      </w:r>
      <w:r>
        <w:rPr>
          <w:color w:val="231F20"/>
          <w:spacing w:val="-3"/>
        </w:rPr>
        <w:t> </w:t>
      </w:r>
      <w:r>
        <w:rPr>
          <w:color w:val="231F20"/>
        </w:rPr>
        <w:t>IT</w:t>
      </w:r>
      <w:r>
        <w:rPr>
          <w:color w:val="231F20"/>
          <w:spacing w:val="-3"/>
        </w:rPr>
        <w:t> </w:t>
      </w:r>
      <w:r>
        <w:rPr>
          <w:color w:val="231F20"/>
        </w:rPr>
        <w:t>assets),</w:t>
      </w:r>
      <w:r>
        <w:rPr>
          <w:color w:val="231F20"/>
          <w:spacing w:val="-3"/>
        </w:rPr>
        <w:t> </w:t>
      </w:r>
      <w:r>
        <w:rPr>
          <w:color w:val="231F20"/>
        </w:rPr>
        <w:t>as</w:t>
      </w:r>
      <w:r>
        <w:rPr>
          <w:color w:val="231F20"/>
          <w:spacing w:val="-2"/>
        </w:rPr>
        <w:t> </w:t>
      </w:r>
      <w:r>
        <w:rPr>
          <w:color w:val="231F20"/>
        </w:rPr>
        <w:t>specified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contract</w:t>
      </w:r>
      <w:r>
        <w:rPr>
          <w:color w:val="231F20"/>
          <w:spacing w:val="-3"/>
        </w:rPr>
        <w:t> </w:t>
      </w:r>
      <w:r>
        <w:rPr>
          <w:color w:val="231F20"/>
        </w:rPr>
        <w:t>for</w:t>
      </w:r>
      <w:r>
        <w:rPr>
          <w:color w:val="231F20"/>
          <w:spacing w:val="-3"/>
        </w:rPr>
        <w:t> </w:t>
      </w:r>
      <w:r>
        <w:rPr>
          <w:color w:val="231F20"/>
        </w:rPr>
        <w:t>a period of time in an exchange or exchange-like transaction. GASB Statement 96 is effective for periods beginning after June 15, 2022 (fiscal year 2023), and earlier application is encouraged. The Institute</w:t>
      </w:r>
    </w:p>
    <w:p>
      <w:pPr>
        <w:pStyle w:val="BodyText"/>
        <w:ind w:left="1439"/>
      </w:pPr>
      <w:r>
        <w:rPr>
          <w:color w:val="231F20"/>
        </w:rPr>
        <w:t>is</w:t>
      </w:r>
      <w:r>
        <w:rPr>
          <w:color w:val="231F20"/>
          <w:spacing w:val="-7"/>
        </w:rPr>
        <w:t> </w:t>
      </w:r>
      <w:r>
        <w:rPr>
          <w:color w:val="231F20"/>
        </w:rPr>
        <w:t>currently</w:t>
      </w:r>
      <w:r>
        <w:rPr>
          <w:color w:val="231F20"/>
          <w:spacing w:val="-4"/>
        </w:rPr>
        <w:t> </w:t>
      </w:r>
      <w:r>
        <w:rPr>
          <w:color w:val="231F20"/>
        </w:rPr>
        <w:t>evaluating</w:t>
      </w:r>
      <w:r>
        <w:rPr>
          <w:color w:val="231F20"/>
          <w:spacing w:val="-5"/>
        </w:rPr>
        <w:t> </w:t>
      </w:r>
      <w:r>
        <w:rPr>
          <w:color w:val="231F20"/>
        </w:rPr>
        <w:t>the</w:t>
      </w:r>
      <w:r>
        <w:rPr>
          <w:color w:val="231F20"/>
          <w:spacing w:val="-5"/>
        </w:rPr>
        <w:t> </w:t>
      </w:r>
      <w:r>
        <w:rPr>
          <w:color w:val="231F20"/>
        </w:rPr>
        <w:t>impact</w:t>
      </w:r>
      <w:r>
        <w:rPr>
          <w:color w:val="231F20"/>
          <w:spacing w:val="-4"/>
        </w:rPr>
        <w:t> </w:t>
      </w:r>
      <w:r>
        <w:rPr>
          <w:color w:val="231F20"/>
        </w:rPr>
        <w:t>GASB</w:t>
      </w:r>
      <w:r>
        <w:rPr>
          <w:color w:val="231F20"/>
          <w:spacing w:val="-6"/>
        </w:rPr>
        <w:t> </w:t>
      </w:r>
      <w:r>
        <w:rPr>
          <w:color w:val="231F20"/>
        </w:rPr>
        <w:t>Statement</w:t>
      </w:r>
      <w:r>
        <w:rPr>
          <w:color w:val="231F20"/>
          <w:spacing w:val="-4"/>
        </w:rPr>
        <w:t> </w:t>
      </w:r>
      <w:r>
        <w:rPr>
          <w:color w:val="231F20"/>
        </w:rPr>
        <w:t>96</w:t>
      </w:r>
      <w:r>
        <w:rPr>
          <w:color w:val="231F20"/>
          <w:spacing w:val="-5"/>
        </w:rPr>
        <w:t> </w:t>
      </w:r>
      <w:r>
        <w:rPr>
          <w:color w:val="231F20"/>
        </w:rPr>
        <w:t>will</w:t>
      </w:r>
      <w:r>
        <w:rPr>
          <w:color w:val="231F20"/>
          <w:spacing w:val="-4"/>
        </w:rPr>
        <w:t> </w:t>
      </w:r>
      <w:r>
        <w:rPr>
          <w:color w:val="231F20"/>
        </w:rPr>
        <w:t>have</w:t>
      </w:r>
      <w:r>
        <w:rPr>
          <w:color w:val="231F20"/>
          <w:spacing w:val="-4"/>
        </w:rPr>
        <w:t> </w:t>
      </w:r>
      <w:r>
        <w:rPr>
          <w:color w:val="231F20"/>
        </w:rPr>
        <w:t>on</w:t>
      </w:r>
      <w:r>
        <w:rPr>
          <w:color w:val="231F20"/>
          <w:spacing w:val="-6"/>
        </w:rPr>
        <w:t> </w:t>
      </w:r>
      <w:r>
        <w:rPr>
          <w:color w:val="231F20"/>
        </w:rPr>
        <w:t>its</w:t>
      </w:r>
      <w:r>
        <w:rPr>
          <w:color w:val="231F20"/>
          <w:spacing w:val="-4"/>
        </w:rPr>
        <w:t> </w:t>
      </w:r>
      <w:r>
        <w:rPr>
          <w:color w:val="231F20"/>
        </w:rPr>
        <w:t>financial</w:t>
      </w:r>
      <w:r>
        <w:rPr>
          <w:color w:val="231F20"/>
          <w:spacing w:val="-5"/>
        </w:rPr>
        <w:t> </w:t>
      </w:r>
      <w:r>
        <w:rPr>
          <w:color w:val="231F20"/>
          <w:spacing w:val="-2"/>
        </w:rPr>
        <w:t>statements.</w:t>
      </w:r>
    </w:p>
    <w:p>
      <w:pPr>
        <w:pStyle w:val="BodyText"/>
        <w:rPr>
          <w:sz w:val="26"/>
        </w:rPr>
      </w:pPr>
    </w:p>
    <w:p>
      <w:pPr>
        <w:pStyle w:val="Heading4"/>
        <w:ind w:left="1439"/>
      </w:pPr>
      <w:r>
        <w:rPr>
          <w:color w:val="231F20"/>
        </w:rPr>
        <w:t>Subsequent</w:t>
      </w:r>
      <w:r>
        <w:rPr>
          <w:color w:val="231F20"/>
          <w:spacing w:val="-5"/>
        </w:rPr>
        <w:t> </w:t>
      </w:r>
      <w:r>
        <w:rPr>
          <w:color w:val="231F20"/>
          <w:spacing w:val="-2"/>
        </w:rPr>
        <w:t>Events</w:t>
      </w:r>
    </w:p>
    <w:p>
      <w:pPr>
        <w:pStyle w:val="BodyText"/>
        <w:spacing w:line="276" w:lineRule="auto" w:before="34"/>
        <w:ind w:left="1439" w:right="891"/>
      </w:pPr>
      <w:r>
        <w:rPr>
          <w:color w:val="231F20"/>
        </w:rPr>
        <w:t>Subsequent events are events or transactions that occur after the statement of net position date but before the financial statements are issued or are available to be issued. The Institute recognizes in the financial</w:t>
      </w:r>
      <w:r>
        <w:rPr>
          <w:color w:val="231F20"/>
          <w:spacing w:val="-4"/>
        </w:rPr>
        <w:t> </w:t>
      </w:r>
      <w:r>
        <w:rPr>
          <w:color w:val="231F20"/>
        </w:rPr>
        <w:t>statements</w:t>
      </w:r>
      <w:r>
        <w:rPr>
          <w:color w:val="231F20"/>
          <w:spacing w:val="-4"/>
        </w:rPr>
        <w:t> </w:t>
      </w:r>
      <w:r>
        <w:rPr>
          <w:color w:val="231F20"/>
        </w:rPr>
        <w:t>the</w:t>
      </w:r>
      <w:r>
        <w:rPr>
          <w:color w:val="231F20"/>
          <w:spacing w:val="-4"/>
        </w:rPr>
        <w:t> </w:t>
      </w:r>
      <w:r>
        <w:rPr>
          <w:color w:val="231F20"/>
        </w:rPr>
        <w:t>effects</w:t>
      </w:r>
      <w:r>
        <w:rPr>
          <w:color w:val="231F20"/>
          <w:spacing w:val="-4"/>
        </w:rPr>
        <w:t> </w:t>
      </w:r>
      <w:r>
        <w:rPr>
          <w:color w:val="231F20"/>
        </w:rPr>
        <w:t>of</w:t>
      </w:r>
      <w:r>
        <w:rPr>
          <w:color w:val="231F20"/>
          <w:spacing w:val="-4"/>
        </w:rPr>
        <w:t> </w:t>
      </w:r>
      <w:r>
        <w:rPr>
          <w:color w:val="231F20"/>
        </w:rPr>
        <w:t>all</w:t>
      </w:r>
      <w:r>
        <w:rPr>
          <w:color w:val="231F20"/>
          <w:spacing w:val="-4"/>
        </w:rPr>
        <w:t> </w:t>
      </w:r>
      <w:r>
        <w:rPr>
          <w:color w:val="231F20"/>
        </w:rPr>
        <w:t>subsequent</w:t>
      </w:r>
      <w:r>
        <w:rPr>
          <w:color w:val="231F20"/>
          <w:spacing w:val="-4"/>
        </w:rPr>
        <w:t> </w:t>
      </w:r>
      <w:r>
        <w:rPr>
          <w:color w:val="231F20"/>
        </w:rPr>
        <w:t>events</w:t>
      </w:r>
      <w:r>
        <w:rPr>
          <w:color w:val="231F20"/>
          <w:spacing w:val="-2"/>
        </w:rPr>
        <w:t> </w:t>
      </w:r>
      <w:r>
        <w:rPr>
          <w:color w:val="231F20"/>
        </w:rPr>
        <w:t>that</w:t>
      </w:r>
      <w:r>
        <w:rPr>
          <w:color w:val="231F20"/>
          <w:spacing w:val="-4"/>
        </w:rPr>
        <w:t> </w:t>
      </w:r>
      <w:r>
        <w:rPr>
          <w:color w:val="231F20"/>
        </w:rPr>
        <w:t>provide</w:t>
      </w:r>
      <w:r>
        <w:rPr>
          <w:color w:val="231F20"/>
          <w:spacing w:val="-4"/>
        </w:rPr>
        <w:t> </w:t>
      </w:r>
      <w:r>
        <w:rPr>
          <w:color w:val="231F20"/>
        </w:rPr>
        <w:t>additional</w:t>
      </w:r>
      <w:r>
        <w:rPr>
          <w:color w:val="231F20"/>
          <w:spacing w:val="-4"/>
        </w:rPr>
        <w:t> </w:t>
      </w:r>
      <w:r>
        <w:rPr>
          <w:color w:val="231F20"/>
        </w:rPr>
        <w:t>evidence</w:t>
      </w:r>
      <w:r>
        <w:rPr>
          <w:color w:val="231F20"/>
          <w:spacing w:val="-4"/>
        </w:rPr>
        <w:t> </w:t>
      </w:r>
      <w:r>
        <w:rPr>
          <w:color w:val="231F20"/>
        </w:rPr>
        <w:t>about</w:t>
      </w:r>
      <w:r>
        <w:rPr>
          <w:color w:val="231F20"/>
          <w:spacing w:val="-4"/>
        </w:rPr>
        <w:t> </w:t>
      </w:r>
      <w:r>
        <w:rPr>
          <w:color w:val="231F20"/>
        </w:rPr>
        <w:t>conditions that existed at the date of the statement of net position, including the estimates inherent in the process of preparing the financial statements. The Institute’s financial statements do not recognize subsequent events that provide evidence about conditions that did not exist at the date of the statement of net</w:t>
      </w:r>
      <w:r>
        <w:rPr>
          <w:color w:val="231F20"/>
        </w:rPr>
        <w:t> position, but arose after the statement of net position date and before the financial statements are available to be issued.</w:t>
      </w:r>
    </w:p>
    <w:p>
      <w:pPr>
        <w:pStyle w:val="BodyText"/>
        <w:rPr>
          <w:sz w:val="23"/>
        </w:rPr>
      </w:pPr>
    </w:p>
    <w:p>
      <w:pPr>
        <w:pStyle w:val="BodyText"/>
        <w:spacing w:line="276" w:lineRule="auto"/>
        <w:ind w:left="1439" w:right="891"/>
      </w:pPr>
      <w:r>
        <w:rPr>
          <w:color w:val="231F20"/>
        </w:rPr>
        <w:t>The</w:t>
      </w:r>
      <w:r>
        <w:rPr>
          <w:color w:val="231F20"/>
          <w:spacing w:val="-3"/>
        </w:rPr>
        <w:t> </w:t>
      </w:r>
      <w:r>
        <w:rPr>
          <w:color w:val="231F20"/>
        </w:rPr>
        <w:t>Institute</w:t>
      </w:r>
      <w:r>
        <w:rPr>
          <w:color w:val="231F20"/>
          <w:spacing w:val="-4"/>
        </w:rPr>
        <w:t> </w:t>
      </w:r>
      <w:r>
        <w:rPr>
          <w:color w:val="231F20"/>
        </w:rPr>
        <w:t>has</w:t>
      </w:r>
      <w:r>
        <w:rPr>
          <w:color w:val="231F20"/>
          <w:spacing w:val="-3"/>
        </w:rPr>
        <w:t> </w:t>
      </w:r>
      <w:r>
        <w:rPr>
          <w:color w:val="231F20"/>
        </w:rPr>
        <w:t>evaluated</w:t>
      </w:r>
      <w:r>
        <w:rPr>
          <w:color w:val="231F20"/>
          <w:spacing w:val="-3"/>
        </w:rPr>
        <w:t> </w:t>
      </w:r>
      <w:r>
        <w:rPr>
          <w:color w:val="231F20"/>
        </w:rPr>
        <w:t>subsequent</w:t>
      </w:r>
      <w:r>
        <w:rPr>
          <w:color w:val="231F20"/>
          <w:spacing w:val="-3"/>
        </w:rPr>
        <w:t> </w:t>
      </w:r>
      <w:r>
        <w:rPr>
          <w:color w:val="231F20"/>
        </w:rPr>
        <w:t>events</w:t>
      </w:r>
      <w:r>
        <w:rPr>
          <w:color w:val="231F20"/>
          <w:spacing w:val="-3"/>
        </w:rPr>
        <w:t> </w:t>
      </w:r>
      <w:r>
        <w:rPr>
          <w:color w:val="231F20"/>
        </w:rPr>
        <w:t>through</w:t>
      </w:r>
      <w:r>
        <w:rPr>
          <w:color w:val="231F20"/>
          <w:spacing w:val="-3"/>
        </w:rPr>
        <w:t> </w:t>
      </w:r>
      <w:r>
        <w:rPr>
          <w:color w:val="231F20"/>
        </w:rPr>
        <w:t>October</w:t>
      </w:r>
      <w:r>
        <w:rPr>
          <w:color w:val="231F20"/>
          <w:spacing w:val="-3"/>
        </w:rPr>
        <w:t> </w:t>
      </w:r>
      <w:r>
        <w:rPr>
          <w:color w:val="231F20"/>
        </w:rPr>
        <w:t>28,</w:t>
      </w:r>
      <w:r>
        <w:rPr>
          <w:color w:val="231F20"/>
          <w:spacing w:val="-3"/>
        </w:rPr>
        <w:t> </w:t>
      </w:r>
      <w:r>
        <w:rPr>
          <w:color w:val="231F20"/>
        </w:rPr>
        <w:t>2022,</w:t>
      </w:r>
      <w:r>
        <w:rPr>
          <w:color w:val="231F20"/>
          <w:spacing w:val="-3"/>
        </w:rPr>
        <w:t> </w:t>
      </w:r>
      <w:r>
        <w:rPr>
          <w:color w:val="231F20"/>
        </w:rPr>
        <w:t>which</w:t>
      </w:r>
      <w:r>
        <w:rPr>
          <w:color w:val="231F20"/>
          <w:spacing w:val="-3"/>
        </w:rPr>
        <w:t> </w:t>
      </w:r>
      <w:r>
        <w:rPr>
          <w:color w:val="231F20"/>
        </w:rPr>
        <w:t>is</w:t>
      </w:r>
      <w:r>
        <w:rPr>
          <w:color w:val="231F20"/>
          <w:spacing w:val="-3"/>
        </w:rPr>
        <w:t> </w:t>
      </w:r>
      <w:r>
        <w:rPr>
          <w:color w:val="231F20"/>
        </w:rPr>
        <w:t>the</w:t>
      </w:r>
      <w:r>
        <w:rPr>
          <w:color w:val="231F20"/>
          <w:spacing w:val="-3"/>
        </w:rPr>
        <w:t> </w:t>
      </w:r>
      <w:r>
        <w:rPr>
          <w:color w:val="231F20"/>
        </w:rPr>
        <w:t>date</w:t>
      </w:r>
      <w:r>
        <w:rPr>
          <w:color w:val="231F20"/>
          <w:spacing w:val="-3"/>
        </w:rPr>
        <w:t> </w:t>
      </w:r>
      <w:r>
        <w:rPr>
          <w:color w:val="231F20"/>
        </w:rPr>
        <w:t>the</w:t>
      </w:r>
      <w:r>
        <w:rPr>
          <w:color w:val="231F20"/>
          <w:spacing w:val="-3"/>
        </w:rPr>
        <w:t> </w:t>
      </w:r>
      <w:r>
        <w:rPr>
          <w:color w:val="231F20"/>
        </w:rPr>
        <w:t>financial statements are available to be issued. See Note 16.</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3"/>
        </w:rPr>
        <w:t> </w:t>
      </w:r>
      <w:r>
        <w:rPr>
          <w:color w:val="231F20"/>
        </w:rPr>
        <w:t>3</w:t>
      </w:r>
      <w:r>
        <w:rPr>
          <w:color w:val="231F20"/>
          <w:spacing w:val="-3"/>
        </w:rPr>
        <w:t> </w:t>
      </w:r>
      <w:r>
        <w:rPr>
          <w:color w:val="231F20"/>
        </w:rPr>
        <w:t>–</w:t>
      </w:r>
      <w:r>
        <w:rPr>
          <w:color w:val="231F20"/>
          <w:spacing w:val="-3"/>
        </w:rPr>
        <w:t> </w:t>
      </w:r>
      <w:r>
        <w:rPr>
          <w:color w:val="231F20"/>
        </w:rPr>
        <w:t>Cash</w:t>
      </w:r>
      <w:r>
        <w:rPr>
          <w:color w:val="231F20"/>
          <w:spacing w:val="-3"/>
        </w:rPr>
        <w:t> </w:t>
      </w:r>
      <w:r>
        <w:rPr>
          <w:color w:val="231F20"/>
        </w:rPr>
        <w:t>and</w:t>
      </w:r>
      <w:r>
        <w:rPr>
          <w:color w:val="231F20"/>
          <w:spacing w:val="-3"/>
        </w:rPr>
        <w:t> </w:t>
      </w:r>
      <w:r>
        <w:rPr>
          <w:color w:val="231F20"/>
          <w:spacing w:val="-2"/>
        </w:rPr>
        <w:t>Investments</w:t>
      </w:r>
    </w:p>
    <w:p>
      <w:pPr>
        <w:pStyle w:val="BodyText"/>
        <w:rPr>
          <w:b/>
          <w:sz w:val="26"/>
        </w:rPr>
      </w:pPr>
    </w:p>
    <w:p>
      <w:pPr>
        <w:spacing w:before="1"/>
        <w:ind w:left="1440" w:right="0" w:firstLine="0"/>
        <w:jc w:val="left"/>
        <w:rPr>
          <w:b/>
          <w:sz w:val="20"/>
        </w:rPr>
      </w:pPr>
      <w:r>
        <w:rPr>
          <w:b/>
          <w:color w:val="231F20"/>
          <w:spacing w:val="-4"/>
          <w:sz w:val="20"/>
        </w:rPr>
        <w:t>Cash</w:t>
      </w:r>
    </w:p>
    <w:p>
      <w:pPr>
        <w:pStyle w:val="BodyText"/>
        <w:spacing w:before="34"/>
        <w:ind w:left="1440"/>
      </w:pPr>
      <w:r>
        <w:rPr>
          <w:color w:val="231F20"/>
        </w:rPr>
        <w:t>A</w:t>
      </w:r>
      <w:r>
        <w:rPr>
          <w:color w:val="231F20"/>
          <w:spacing w:val="-7"/>
        </w:rPr>
        <w:t> </w:t>
      </w:r>
      <w:r>
        <w:rPr>
          <w:color w:val="231F20"/>
        </w:rPr>
        <w:t>detail</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rPr>
        <w:t>cash</w:t>
      </w:r>
      <w:r>
        <w:rPr>
          <w:color w:val="231F20"/>
          <w:spacing w:val="-4"/>
        </w:rPr>
        <w:t> </w:t>
      </w:r>
      <w:r>
        <w:rPr>
          <w:color w:val="231F20"/>
        </w:rPr>
        <w:t>accounts</w:t>
      </w:r>
      <w:r>
        <w:rPr>
          <w:color w:val="231F20"/>
          <w:spacing w:val="-4"/>
        </w:rPr>
        <w:t> </w:t>
      </w:r>
      <w:r>
        <w:rPr>
          <w:color w:val="231F20"/>
        </w:rPr>
        <w:t>at</w:t>
      </w:r>
      <w:r>
        <w:rPr>
          <w:color w:val="231F20"/>
          <w:spacing w:val="-5"/>
        </w:rPr>
        <w:t> </w:t>
      </w:r>
      <w:r>
        <w:rPr>
          <w:color w:val="231F20"/>
        </w:rPr>
        <w:t>June</w:t>
      </w:r>
      <w:r>
        <w:rPr>
          <w:color w:val="231F20"/>
          <w:spacing w:val="-4"/>
        </w:rPr>
        <w:t> </w:t>
      </w:r>
      <w:r>
        <w:rPr>
          <w:color w:val="231F20"/>
        </w:rPr>
        <w:t>30,</w:t>
      </w:r>
      <w:r>
        <w:rPr>
          <w:color w:val="231F20"/>
          <w:spacing w:val="-4"/>
        </w:rPr>
        <w:t> </w:t>
      </w:r>
      <w:r>
        <w:rPr>
          <w:color w:val="231F20"/>
        </w:rPr>
        <w:t>2022,</w:t>
      </w:r>
      <w:r>
        <w:rPr>
          <w:color w:val="231F20"/>
          <w:spacing w:val="-5"/>
        </w:rPr>
        <w:t> </w:t>
      </w:r>
      <w:r>
        <w:rPr>
          <w:color w:val="231F20"/>
        </w:rPr>
        <w:t>is</w:t>
      </w:r>
      <w:r>
        <w:rPr>
          <w:color w:val="231F20"/>
          <w:spacing w:val="-4"/>
        </w:rPr>
        <w:t> </w:t>
      </w:r>
      <w:r>
        <w:rPr>
          <w:color w:val="231F20"/>
        </w:rPr>
        <w:t>included</w:t>
      </w:r>
      <w:r>
        <w:rPr>
          <w:color w:val="231F20"/>
          <w:spacing w:val="-4"/>
        </w:rPr>
        <w:t> </w:t>
      </w:r>
      <w:r>
        <w:rPr>
          <w:color w:val="231F20"/>
          <w:spacing w:val="-2"/>
        </w:rPr>
        <w:t>below:</w:t>
      </w:r>
    </w:p>
    <w:p>
      <w:pPr>
        <w:pStyle w:val="BodyText"/>
        <w:spacing w:before="1"/>
        <w:rPr>
          <w:sz w:val="27"/>
        </w:rPr>
      </w:pPr>
    </w:p>
    <w:tbl>
      <w:tblPr>
        <w:tblW w:w="0" w:type="auto"/>
        <w:jc w:val="left"/>
        <w:tblInd w:w="1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8"/>
        <w:gridCol w:w="2633"/>
        <w:gridCol w:w="1290"/>
        <w:gridCol w:w="1312"/>
        <w:gridCol w:w="1312"/>
        <w:gridCol w:w="1288"/>
      </w:tblGrid>
      <w:tr>
        <w:trPr>
          <w:trHeight w:val="404" w:hRule="atLeast"/>
        </w:trPr>
        <w:tc>
          <w:tcPr>
            <w:tcW w:w="1678" w:type="dxa"/>
          </w:tcPr>
          <w:p>
            <w:pPr>
              <w:pStyle w:val="TableParagraph"/>
              <w:spacing w:before="11"/>
              <w:rPr>
                <w:sz w:val="16"/>
              </w:rPr>
            </w:pPr>
          </w:p>
          <w:p>
            <w:pPr>
              <w:pStyle w:val="TableParagraph"/>
              <w:ind w:left="50"/>
              <w:rPr>
                <w:sz w:val="15"/>
              </w:rPr>
            </w:pPr>
            <w:r>
              <w:rPr>
                <w:color w:val="231F20"/>
                <w:spacing w:val="31"/>
                <w:w w:val="105"/>
                <w:sz w:val="15"/>
                <w:u w:val="single" w:color="231F20"/>
              </w:rPr>
              <w:t> </w:t>
            </w:r>
            <w:r>
              <w:rPr>
                <w:color w:val="231F20"/>
                <w:w w:val="105"/>
                <w:sz w:val="15"/>
                <w:u w:val="single" w:color="231F20"/>
              </w:rPr>
              <w:t>Name</w:t>
            </w:r>
            <w:r>
              <w:rPr>
                <w:color w:val="231F20"/>
                <w:spacing w:val="-1"/>
                <w:w w:val="105"/>
                <w:sz w:val="15"/>
                <w:u w:val="single" w:color="231F20"/>
              </w:rPr>
              <w:t> </w:t>
            </w:r>
            <w:r>
              <w:rPr>
                <w:color w:val="231F20"/>
                <w:w w:val="105"/>
                <w:sz w:val="15"/>
                <w:u w:val="single" w:color="231F20"/>
              </w:rPr>
              <w:t>of</w:t>
            </w:r>
            <w:r>
              <w:rPr>
                <w:color w:val="231F20"/>
                <w:spacing w:val="-2"/>
                <w:w w:val="105"/>
                <w:sz w:val="15"/>
                <w:u w:val="single" w:color="231F20"/>
              </w:rPr>
              <w:t> Depository</w:t>
            </w:r>
            <w:r>
              <w:rPr>
                <w:color w:val="231F20"/>
                <w:spacing w:val="40"/>
                <w:w w:val="105"/>
                <w:sz w:val="15"/>
                <w:u w:val="single" w:color="231F20"/>
              </w:rPr>
              <w:t> </w:t>
            </w:r>
          </w:p>
        </w:tc>
        <w:tc>
          <w:tcPr>
            <w:tcW w:w="2633" w:type="dxa"/>
          </w:tcPr>
          <w:p>
            <w:pPr>
              <w:pStyle w:val="TableParagraph"/>
              <w:spacing w:before="11"/>
              <w:rPr>
                <w:sz w:val="16"/>
              </w:rPr>
            </w:pPr>
          </w:p>
          <w:p>
            <w:pPr>
              <w:pStyle w:val="TableParagraph"/>
              <w:tabs>
                <w:tab w:pos="797" w:val="left" w:leader="none"/>
                <w:tab w:pos="2537" w:val="left" w:leader="none"/>
              </w:tabs>
              <w:ind w:left="85"/>
              <w:rPr>
                <w:sz w:val="15"/>
              </w:rPr>
            </w:pPr>
            <w:r>
              <w:rPr>
                <w:color w:val="231F20"/>
                <w:sz w:val="15"/>
                <w:u w:val="single" w:color="231F20"/>
              </w:rPr>
              <w:tab/>
            </w:r>
            <w:r>
              <w:rPr>
                <w:color w:val="231F20"/>
                <w:w w:val="105"/>
                <w:sz w:val="15"/>
                <w:u w:val="single" w:color="231F20"/>
              </w:rPr>
              <w:t>Account</w:t>
            </w:r>
            <w:r>
              <w:rPr>
                <w:color w:val="231F20"/>
                <w:spacing w:val="-5"/>
                <w:w w:val="105"/>
                <w:sz w:val="15"/>
                <w:u w:val="single" w:color="231F20"/>
              </w:rPr>
              <w:t> </w:t>
            </w:r>
            <w:r>
              <w:rPr>
                <w:color w:val="231F20"/>
                <w:spacing w:val="-4"/>
                <w:w w:val="105"/>
                <w:sz w:val="15"/>
                <w:u w:val="single" w:color="231F20"/>
              </w:rPr>
              <w:t>Name</w:t>
            </w:r>
            <w:r>
              <w:rPr>
                <w:color w:val="231F20"/>
                <w:sz w:val="15"/>
                <w:u w:val="single" w:color="231F20"/>
              </w:rPr>
              <w:tab/>
            </w:r>
          </w:p>
        </w:tc>
        <w:tc>
          <w:tcPr>
            <w:tcW w:w="1290" w:type="dxa"/>
          </w:tcPr>
          <w:p>
            <w:pPr>
              <w:pStyle w:val="TableParagraph"/>
              <w:spacing w:before="2"/>
              <w:ind w:right="158"/>
              <w:jc w:val="right"/>
              <w:rPr>
                <w:sz w:val="15"/>
              </w:rPr>
            </w:pPr>
            <w:r>
              <w:rPr>
                <w:color w:val="231F20"/>
                <w:w w:val="105"/>
                <w:sz w:val="15"/>
              </w:rPr>
              <w:t>Bank</w:t>
            </w:r>
            <w:r>
              <w:rPr>
                <w:color w:val="231F20"/>
                <w:spacing w:val="-3"/>
                <w:w w:val="105"/>
                <w:sz w:val="15"/>
              </w:rPr>
              <w:t> </w:t>
            </w:r>
            <w:r>
              <w:rPr>
                <w:color w:val="231F20"/>
                <w:spacing w:val="-2"/>
                <w:w w:val="105"/>
                <w:sz w:val="15"/>
              </w:rPr>
              <w:t>Account</w:t>
            </w:r>
          </w:p>
          <w:p>
            <w:pPr>
              <w:pStyle w:val="TableParagraph"/>
              <w:tabs>
                <w:tab w:pos="409" w:val="left" w:leader="none"/>
                <w:tab w:pos="1163" w:val="left" w:leader="none"/>
              </w:tabs>
              <w:spacing w:before="20"/>
              <w:ind w:right="72"/>
              <w:jc w:val="right"/>
              <w:rPr>
                <w:sz w:val="15"/>
              </w:rPr>
            </w:pPr>
            <w:r>
              <w:rPr>
                <w:color w:val="231F20"/>
                <w:sz w:val="15"/>
                <w:u w:val="single" w:color="231F20"/>
              </w:rPr>
              <w:tab/>
            </w:r>
            <w:r>
              <w:rPr>
                <w:color w:val="231F20"/>
                <w:spacing w:val="-4"/>
                <w:w w:val="105"/>
                <w:sz w:val="15"/>
                <w:u w:val="single" w:color="231F20"/>
              </w:rPr>
              <w:t>Type</w:t>
            </w:r>
            <w:r>
              <w:rPr>
                <w:color w:val="231F20"/>
                <w:sz w:val="15"/>
                <w:u w:val="single" w:color="231F20"/>
              </w:rPr>
              <w:tab/>
            </w:r>
          </w:p>
        </w:tc>
        <w:tc>
          <w:tcPr>
            <w:tcW w:w="1312" w:type="dxa"/>
          </w:tcPr>
          <w:p>
            <w:pPr>
              <w:pStyle w:val="TableParagraph"/>
              <w:spacing w:before="11"/>
              <w:rPr>
                <w:sz w:val="16"/>
              </w:rPr>
            </w:pPr>
          </w:p>
          <w:p>
            <w:pPr>
              <w:pStyle w:val="TableParagraph"/>
              <w:ind w:right="72"/>
              <w:jc w:val="right"/>
              <w:rPr>
                <w:sz w:val="15"/>
              </w:rPr>
            </w:pPr>
            <w:r>
              <w:rPr>
                <w:color w:val="231F20"/>
                <w:spacing w:val="50"/>
                <w:w w:val="105"/>
                <w:sz w:val="15"/>
                <w:u w:val="single" w:color="231F20"/>
              </w:rPr>
              <w:t> </w:t>
            </w:r>
            <w:r>
              <w:rPr>
                <w:color w:val="231F20"/>
                <w:w w:val="105"/>
                <w:sz w:val="15"/>
                <w:u w:val="single" w:color="231F20"/>
              </w:rPr>
              <w:t>Bank</w:t>
            </w:r>
            <w:r>
              <w:rPr>
                <w:color w:val="231F20"/>
                <w:spacing w:val="-1"/>
                <w:w w:val="105"/>
                <w:sz w:val="15"/>
                <w:u w:val="single" w:color="231F20"/>
              </w:rPr>
              <w:t> </w:t>
            </w:r>
            <w:r>
              <w:rPr>
                <w:color w:val="231F20"/>
                <w:spacing w:val="-2"/>
                <w:w w:val="105"/>
                <w:sz w:val="15"/>
                <w:u w:val="single" w:color="231F20"/>
              </w:rPr>
              <w:t>Balance</w:t>
            </w:r>
            <w:r>
              <w:rPr>
                <w:color w:val="231F20"/>
                <w:spacing w:val="80"/>
                <w:w w:val="105"/>
                <w:sz w:val="15"/>
                <w:u w:val="single" w:color="231F20"/>
              </w:rPr>
              <w:t> </w:t>
            </w:r>
          </w:p>
        </w:tc>
        <w:tc>
          <w:tcPr>
            <w:tcW w:w="1312" w:type="dxa"/>
          </w:tcPr>
          <w:p>
            <w:pPr>
              <w:pStyle w:val="TableParagraph"/>
              <w:spacing w:before="2"/>
              <w:ind w:left="10" w:right="1"/>
              <w:jc w:val="center"/>
              <w:rPr>
                <w:sz w:val="15"/>
              </w:rPr>
            </w:pPr>
            <w:r>
              <w:rPr>
                <w:color w:val="231F20"/>
                <w:spacing w:val="-2"/>
                <w:w w:val="105"/>
                <w:sz w:val="15"/>
              </w:rPr>
              <w:t>Reconciling</w:t>
            </w:r>
          </w:p>
          <w:p>
            <w:pPr>
              <w:pStyle w:val="TableParagraph"/>
              <w:tabs>
                <w:tab w:pos="391" w:val="left" w:leader="none"/>
                <w:tab w:pos="1163" w:val="left" w:leader="none"/>
              </w:tabs>
              <w:spacing w:before="20"/>
              <w:ind w:right="1"/>
              <w:jc w:val="center"/>
              <w:rPr>
                <w:sz w:val="15"/>
              </w:rPr>
            </w:pPr>
            <w:r>
              <w:rPr>
                <w:color w:val="231F20"/>
                <w:sz w:val="15"/>
                <w:u w:val="single" w:color="231F20"/>
              </w:rPr>
              <w:tab/>
            </w:r>
            <w:r>
              <w:rPr>
                <w:color w:val="231F20"/>
                <w:spacing w:val="-2"/>
                <w:w w:val="105"/>
                <w:sz w:val="15"/>
                <w:u w:val="single" w:color="231F20"/>
              </w:rPr>
              <w:t>Items</w:t>
            </w:r>
            <w:r>
              <w:rPr>
                <w:color w:val="231F20"/>
                <w:sz w:val="15"/>
                <w:u w:val="single" w:color="231F20"/>
              </w:rPr>
              <w:tab/>
            </w:r>
          </w:p>
        </w:tc>
        <w:tc>
          <w:tcPr>
            <w:tcW w:w="1288" w:type="dxa"/>
          </w:tcPr>
          <w:p>
            <w:pPr>
              <w:pStyle w:val="TableParagraph"/>
              <w:spacing w:before="2"/>
              <w:ind w:left="21" w:right="75"/>
              <w:jc w:val="center"/>
              <w:rPr>
                <w:sz w:val="15"/>
              </w:rPr>
            </w:pPr>
            <w:r>
              <w:rPr>
                <w:color w:val="231F20"/>
                <w:spacing w:val="-2"/>
                <w:w w:val="105"/>
                <w:sz w:val="15"/>
              </w:rPr>
              <w:t>Reconciled</w:t>
            </w:r>
          </w:p>
          <w:p>
            <w:pPr>
              <w:pStyle w:val="TableParagraph"/>
              <w:tabs>
                <w:tab w:pos="321" w:val="left" w:leader="none"/>
                <w:tab w:pos="1185" w:val="left" w:leader="none"/>
              </w:tabs>
              <w:spacing w:before="20"/>
              <w:ind w:left="21"/>
              <w:jc w:val="center"/>
              <w:rPr>
                <w:sz w:val="15"/>
              </w:rPr>
            </w:pPr>
            <w:r>
              <w:rPr>
                <w:color w:val="231F20"/>
                <w:sz w:val="15"/>
                <w:u w:val="single" w:color="231F20"/>
              </w:rPr>
              <w:tab/>
            </w:r>
            <w:r>
              <w:rPr>
                <w:color w:val="231F20"/>
                <w:spacing w:val="-2"/>
                <w:w w:val="105"/>
                <w:sz w:val="15"/>
                <w:u w:val="single" w:color="231F20"/>
              </w:rPr>
              <w:t>Balance</w:t>
            </w:r>
            <w:r>
              <w:rPr>
                <w:color w:val="231F20"/>
                <w:sz w:val="15"/>
                <w:u w:val="single" w:color="231F20"/>
              </w:rPr>
              <w:tab/>
            </w:r>
          </w:p>
        </w:tc>
      </w:tr>
      <w:tr>
        <w:trPr>
          <w:trHeight w:val="219" w:hRule="atLeast"/>
        </w:trPr>
        <w:tc>
          <w:tcPr>
            <w:tcW w:w="1678" w:type="dxa"/>
          </w:tcPr>
          <w:p>
            <w:pPr>
              <w:pStyle w:val="TableParagraph"/>
              <w:spacing w:line="163" w:lineRule="exact" w:before="37"/>
              <w:ind w:left="81"/>
              <w:rPr>
                <w:sz w:val="15"/>
              </w:rPr>
            </w:pPr>
            <w:r>
              <w:rPr>
                <w:color w:val="231F20"/>
                <w:w w:val="105"/>
                <w:sz w:val="15"/>
              </w:rPr>
              <w:t>First</w:t>
            </w:r>
            <w:r>
              <w:rPr>
                <w:color w:val="231F20"/>
                <w:spacing w:val="-4"/>
                <w:w w:val="105"/>
                <w:sz w:val="15"/>
              </w:rPr>
              <w:t> </w:t>
            </w:r>
            <w:r>
              <w:rPr>
                <w:color w:val="231F20"/>
                <w:w w:val="105"/>
                <w:sz w:val="15"/>
              </w:rPr>
              <w:t>State</w:t>
            </w:r>
            <w:r>
              <w:rPr>
                <w:color w:val="231F20"/>
                <w:spacing w:val="-3"/>
                <w:w w:val="105"/>
                <w:sz w:val="15"/>
              </w:rPr>
              <w:t> </w:t>
            </w:r>
            <w:r>
              <w:rPr>
                <w:color w:val="231F20"/>
                <w:spacing w:val="-4"/>
                <w:w w:val="105"/>
                <w:sz w:val="15"/>
              </w:rPr>
              <w:t>Bank</w:t>
            </w:r>
          </w:p>
        </w:tc>
        <w:tc>
          <w:tcPr>
            <w:tcW w:w="2633" w:type="dxa"/>
          </w:tcPr>
          <w:p>
            <w:pPr>
              <w:pStyle w:val="TableParagraph"/>
              <w:spacing w:line="163" w:lineRule="exact" w:before="37"/>
              <w:ind w:left="116"/>
              <w:rPr>
                <w:sz w:val="15"/>
              </w:rPr>
            </w:pPr>
            <w:r>
              <w:rPr>
                <w:color w:val="231F20"/>
                <w:w w:val="105"/>
                <w:sz w:val="15"/>
              </w:rPr>
              <w:t>Comptroller</w:t>
            </w:r>
            <w:r>
              <w:rPr>
                <w:color w:val="231F20"/>
                <w:spacing w:val="-3"/>
                <w:w w:val="105"/>
                <w:sz w:val="15"/>
              </w:rPr>
              <w:t> </w:t>
            </w:r>
            <w:r>
              <w:rPr>
                <w:color w:val="231F20"/>
                <w:w w:val="105"/>
                <w:sz w:val="15"/>
              </w:rPr>
              <w:t>Cash</w:t>
            </w:r>
            <w:r>
              <w:rPr>
                <w:color w:val="231F20"/>
                <w:spacing w:val="-3"/>
                <w:w w:val="105"/>
                <w:sz w:val="15"/>
              </w:rPr>
              <w:t> </w:t>
            </w:r>
            <w:r>
              <w:rPr>
                <w:color w:val="231F20"/>
                <w:w w:val="105"/>
                <w:sz w:val="15"/>
              </w:rPr>
              <w:t>on</w:t>
            </w:r>
            <w:r>
              <w:rPr>
                <w:color w:val="231F20"/>
                <w:spacing w:val="-3"/>
                <w:w w:val="105"/>
                <w:sz w:val="15"/>
              </w:rPr>
              <w:t> </w:t>
            </w:r>
            <w:r>
              <w:rPr>
                <w:color w:val="231F20"/>
                <w:spacing w:val="-2"/>
                <w:w w:val="105"/>
                <w:sz w:val="15"/>
              </w:rPr>
              <w:t>Deposit</w:t>
            </w:r>
          </w:p>
        </w:tc>
        <w:tc>
          <w:tcPr>
            <w:tcW w:w="1290" w:type="dxa"/>
          </w:tcPr>
          <w:p>
            <w:pPr>
              <w:pStyle w:val="TableParagraph"/>
              <w:spacing w:line="163" w:lineRule="exact" w:before="37"/>
              <w:ind w:left="295" w:right="307"/>
              <w:jc w:val="center"/>
              <w:rPr>
                <w:sz w:val="15"/>
              </w:rPr>
            </w:pPr>
            <w:r>
              <w:rPr>
                <w:color w:val="231F20"/>
                <w:spacing w:val="-2"/>
                <w:w w:val="105"/>
                <w:sz w:val="15"/>
              </w:rPr>
              <w:t>Checking</w:t>
            </w:r>
          </w:p>
        </w:tc>
        <w:tc>
          <w:tcPr>
            <w:tcW w:w="1312" w:type="dxa"/>
          </w:tcPr>
          <w:p>
            <w:pPr>
              <w:pStyle w:val="TableParagraph"/>
              <w:spacing w:line="163" w:lineRule="exact" w:before="37"/>
              <w:ind w:left="157"/>
              <w:rPr>
                <w:sz w:val="15"/>
              </w:rPr>
            </w:pPr>
            <w:r>
              <w:rPr>
                <w:color w:val="231F20"/>
                <w:w w:val="105"/>
                <w:sz w:val="15"/>
              </w:rPr>
              <w:t>$</w:t>
            </w:r>
            <w:r>
              <w:rPr>
                <w:color w:val="231F20"/>
                <w:spacing w:val="66"/>
                <w:w w:val="105"/>
                <w:sz w:val="15"/>
              </w:rPr>
              <w:t> </w:t>
            </w:r>
            <w:r>
              <w:rPr>
                <w:color w:val="231F20"/>
                <w:spacing w:val="-2"/>
                <w:w w:val="105"/>
                <w:sz w:val="15"/>
              </w:rPr>
              <w:t>34,685,834</w:t>
            </w:r>
          </w:p>
        </w:tc>
        <w:tc>
          <w:tcPr>
            <w:tcW w:w="1312" w:type="dxa"/>
          </w:tcPr>
          <w:p>
            <w:pPr>
              <w:pStyle w:val="TableParagraph"/>
              <w:tabs>
                <w:tab w:pos="369" w:val="left" w:leader="none"/>
              </w:tabs>
              <w:spacing w:line="163" w:lineRule="exact" w:before="37"/>
              <w:ind w:right="105"/>
              <w:jc w:val="right"/>
              <w:rPr>
                <w:sz w:val="15"/>
              </w:rPr>
            </w:pPr>
            <w:r>
              <w:rPr>
                <w:color w:val="231F20"/>
                <w:spacing w:val="-10"/>
                <w:w w:val="105"/>
                <w:sz w:val="15"/>
              </w:rPr>
              <w:t>$</w:t>
            </w:r>
            <w:r>
              <w:rPr>
                <w:color w:val="231F20"/>
                <w:sz w:val="15"/>
              </w:rPr>
              <w:tab/>
            </w:r>
            <w:r>
              <w:rPr>
                <w:color w:val="231F20"/>
                <w:spacing w:val="-2"/>
                <w:w w:val="105"/>
                <w:sz w:val="15"/>
              </w:rPr>
              <w:t>(217,764)</w:t>
            </w:r>
          </w:p>
        </w:tc>
        <w:tc>
          <w:tcPr>
            <w:tcW w:w="1288" w:type="dxa"/>
          </w:tcPr>
          <w:p>
            <w:pPr>
              <w:pStyle w:val="TableParagraph"/>
              <w:spacing w:line="163" w:lineRule="exact" w:before="37"/>
              <w:ind w:left="156"/>
              <w:rPr>
                <w:sz w:val="15"/>
              </w:rPr>
            </w:pPr>
            <w:r>
              <w:rPr>
                <w:color w:val="231F20"/>
                <w:w w:val="105"/>
                <w:sz w:val="15"/>
              </w:rPr>
              <w:t>$</w:t>
            </w:r>
            <w:r>
              <w:rPr>
                <w:color w:val="231F20"/>
                <w:spacing w:val="69"/>
                <w:w w:val="105"/>
                <w:sz w:val="15"/>
              </w:rPr>
              <w:t> </w:t>
            </w:r>
            <w:r>
              <w:rPr>
                <w:color w:val="231F20"/>
                <w:spacing w:val="-2"/>
                <w:w w:val="105"/>
                <w:sz w:val="15"/>
              </w:rPr>
              <w:t>34,468,070</w:t>
            </w:r>
          </w:p>
        </w:tc>
      </w:tr>
      <w:tr>
        <w:trPr>
          <w:trHeight w:val="193" w:hRule="atLeast"/>
        </w:trPr>
        <w:tc>
          <w:tcPr>
            <w:tcW w:w="1678" w:type="dxa"/>
          </w:tcPr>
          <w:p>
            <w:pPr>
              <w:pStyle w:val="TableParagraph"/>
              <w:spacing w:line="163" w:lineRule="exact" w:before="10"/>
              <w:ind w:left="81"/>
              <w:rPr>
                <w:sz w:val="15"/>
              </w:rPr>
            </w:pPr>
            <w:r>
              <w:rPr>
                <w:color w:val="231F20"/>
                <w:w w:val="105"/>
                <w:sz w:val="15"/>
              </w:rPr>
              <w:t>First</w:t>
            </w:r>
            <w:r>
              <w:rPr>
                <w:color w:val="231F20"/>
                <w:spacing w:val="-4"/>
                <w:w w:val="105"/>
                <w:sz w:val="15"/>
              </w:rPr>
              <w:t> </w:t>
            </w:r>
            <w:r>
              <w:rPr>
                <w:color w:val="231F20"/>
                <w:w w:val="105"/>
                <w:sz w:val="15"/>
              </w:rPr>
              <w:t>State</w:t>
            </w:r>
            <w:r>
              <w:rPr>
                <w:color w:val="231F20"/>
                <w:spacing w:val="-3"/>
                <w:w w:val="105"/>
                <w:sz w:val="15"/>
              </w:rPr>
              <w:t> </w:t>
            </w:r>
            <w:r>
              <w:rPr>
                <w:color w:val="231F20"/>
                <w:spacing w:val="-4"/>
                <w:w w:val="105"/>
                <w:sz w:val="15"/>
              </w:rPr>
              <w:t>Bank</w:t>
            </w:r>
          </w:p>
        </w:tc>
        <w:tc>
          <w:tcPr>
            <w:tcW w:w="2633" w:type="dxa"/>
          </w:tcPr>
          <w:p>
            <w:pPr>
              <w:pStyle w:val="TableParagraph"/>
              <w:spacing w:line="163" w:lineRule="exact" w:before="10"/>
              <w:ind w:left="116"/>
              <w:rPr>
                <w:sz w:val="15"/>
              </w:rPr>
            </w:pPr>
            <w:r>
              <w:rPr>
                <w:color w:val="231F20"/>
                <w:w w:val="105"/>
                <w:sz w:val="15"/>
              </w:rPr>
              <w:t>Payroll</w:t>
            </w:r>
            <w:r>
              <w:rPr>
                <w:color w:val="231F20"/>
                <w:spacing w:val="-3"/>
                <w:w w:val="105"/>
                <w:sz w:val="15"/>
              </w:rPr>
              <w:t> </w:t>
            </w:r>
            <w:r>
              <w:rPr>
                <w:color w:val="231F20"/>
                <w:w w:val="105"/>
                <w:sz w:val="15"/>
              </w:rPr>
              <w:t>Cash</w:t>
            </w:r>
            <w:r>
              <w:rPr>
                <w:color w:val="231F20"/>
                <w:spacing w:val="-2"/>
                <w:w w:val="105"/>
                <w:sz w:val="15"/>
              </w:rPr>
              <w:t> </w:t>
            </w:r>
            <w:r>
              <w:rPr>
                <w:color w:val="231F20"/>
                <w:w w:val="105"/>
                <w:sz w:val="15"/>
              </w:rPr>
              <w:t>on</w:t>
            </w:r>
            <w:r>
              <w:rPr>
                <w:color w:val="231F20"/>
                <w:spacing w:val="-2"/>
                <w:w w:val="105"/>
                <w:sz w:val="15"/>
              </w:rPr>
              <w:t> Deposit</w:t>
            </w:r>
          </w:p>
        </w:tc>
        <w:tc>
          <w:tcPr>
            <w:tcW w:w="1290" w:type="dxa"/>
          </w:tcPr>
          <w:p>
            <w:pPr>
              <w:pStyle w:val="TableParagraph"/>
              <w:spacing w:line="163" w:lineRule="exact" w:before="10"/>
              <w:ind w:left="296" w:right="307"/>
              <w:jc w:val="center"/>
              <w:rPr>
                <w:sz w:val="15"/>
              </w:rPr>
            </w:pPr>
            <w:r>
              <w:rPr>
                <w:color w:val="231F20"/>
                <w:spacing w:val="-2"/>
                <w:w w:val="105"/>
                <w:sz w:val="15"/>
              </w:rPr>
              <w:t>Checking</w:t>
            </w:r>
          </w:p>
        </w:tc>
        <w:tc>
          <w:tcPr>
            <w:tcW w:w="1312" w:type="dxa"/>
          </w:tcPr>
          <w:p>
            <w:pPr>
              <w:pStyle w:val="TableParagraph"/>
              <w:spacing w:line="163" w:lineRule="exact" w:before="10"/>
              <w:ind w:right="160"/>
              <w:jc w:val="right"/>
              <w:rPr>
                <w:sz w:val="15"/>
              </w:rPr>
            </w:pPr>
            <w:r>
              <w:rPr>
                <w:color w:val="231F20"/>
                <w:spacing w:val="-2"/>
                <w:w w:val="105"/>
                <w:sz w:val="15"/>
              </w:rPr>
              <w:t>179,781</w:t>
            </w:r>
          </w:p>
        </w:tc>
        <w:tc>
          <w:tcPr>
            <w:tcW w:w="1312" w:type="dxa"/>
          </w:tcPr>
          <w:p>
            <w:pPr>
              <w:pStyle w:val="TableParagraph"/>
              <w:spacing w:line="163" w:lineRule="exact" w:before="10"/>
              <w:ind w:right="105"/>
              <w:jc w:val="right"/>
              <w:rPr>
                <w:sz w:val="15"/>
              </w:rPr>
            </w:pPr>
            <w:r>
              <w:rPr>
                <w:color w:val="231F20"/>
                <w:spacing w:val="-2"/>
                <w:w w:val="105"/>
                <w:sz w:val="15"/>
              </w:rPr>
              <w:t>(169,792)</w:t>
            </w:r>
          </w:p>
        </w:tc>
        <w:tc>
          <w:tcPr>
            <w:tcW w:w="1288" w:type="dxa"/>
          </w:tcPr>
          <w:p>
            <w:pPr>
              <w:pStyle w:val="TableParagraph"/>
              <w:spacing w:line="163" w:lineRule="exact" w:before="10"/>
              <w:ind w:right="134"/>
              <w:jc w:val="right"/>
              <w:rPr>
                <w:sz w:val="15"/>
              </w:rPr>
            </w:pPr>
            <w:r>
              <w:rPr>
                <w:color w:val="231F20"/>
                <w:spacing w:val="-2"/>
                <w:w w:val="105"/>
                <w:sz w:val="15"/>
              </w:rPr>
              <w:t>9,989</w:t>
            </w:r>
          </w:p>
        </w:tc>
      </w:tr>
      <w:tr>
        <w:trPr>
          <w:trHeight w:val="193" w:hRule="atLeast"/>
        </w:trPr>
        <w:tc>
          <w:tcPr>
            <w:tcW w:w="1678" w:type="dxa"/>
          </w:tcPr>
          <w:p>
            <w:pPr>
              <w:pStyle w:val="TableParagraph"/>
              <w:spacing w:line="163" w:lineRule="exact" w:before="10"/>
              <w:ind w:left="81"/>
              <w:rPr>
                <w:sz w:val="15"/>
              </w:rPr>
            </w:pPr>
            <w:r>
              <w:rPr>
                <w:color w:val="231F20"/>
                <w:w w:val="105"/>
                <w:sz w:val="15"/>
              </w:rPr>
              <w:t>First</w:t>
            </w:r>
            <w:r>
              <w:rPr>
                <w:color w:val="231F20"/>
                <w:spacing w:val="-4"/>
                <w:w w:val="105"/>
                <w:sz w:val="15"/>
              </w:rPr>
              <w:t> </w:t>
            </w:r>
            <w:r>
              <w:rPr>
                <w:color w:val="231F20"/>
                <w:w w:val="105"/>
                <w:sz w:val="15"/>
              </w:rPr>
              <w:t>State</w:t>
            </w:r>
            <w:r>
              <w:rPr>
                <w:color w:val="231F20"/>
                <w:spacing w:val="-3"/>
                <w:w w:val="105"/>
                <w:sz w:val="15"/>
              </w:rPr>
              <w:t> </w:t>
            </w:r>
            <w:r>
              <w:rPr>
                <w:color w:val="231F20"/>
                <w:spacing w:val="-4"/>
                <w:w w:val="105"/>
                <w:sz w:val="15"/>
              </w:rPr>
              <w:t>Bank</w:t>
            </w:r>
          </w:p>
        </w:tc>
        <w:tc>
          <w:tcPr>
            <w:tcW w:w="2633" w:type="dxa"/>
          </w:tcPr>
          <w:p>
            <w:pPr>
              <w:pStyle w:val="TableParagraph"/>
              <w:spacing w:line="163" w:lineRule="exact" w:before="10"/>
              <w:ind w:left="116"/>
              <w:rPr>
                <w:sz w:val="15"/>
              </w:rPr>
            </w:pPr>
            <w:r>
              <w:rPr>
                <w:color w:val="231F20"/>
                <w:w w:val="105"/>
                <w:sz w:val="15"/>
              </w:rPr>
              <w:t>NMEAF</w:t>
            </w:r>
            <w:r>
              <w:rPr>
                <w:color w:val="231F20"/>
                <w:spacing w:val="-3"/>
                <w:w w:val="105"/>
                <w:sz w:val="15"/>
              </w:rPr>
              <w:t> </w:t>
            </w:r>
            <w:r>
              <w:rPr>
                <w:color w:val="231F20"/>
                <w:w w:val="105"/>
                <w:sz w:val="15"/>
              </w:rPr>
              <w:t>Cash</w:t>
            </w:r>
            <w:r>
              <w:rPr>
                <w:color w:val="231F20"/>
                <w:spacing w:val="-2"/>
                <w:w w:val="105"/>
                <w:sz w:val="15"/>
              </w:rPr>
              <w:t> </w:t>
            </w:r>
            <w:r>
              <w:rPr>
                <w:color w:val="231F20"/>
                <w:w w:val="105"/>
                <w:sz w:val="15"/>
              </w:rPr>
              <w:t>on</w:t>
            </w:r>
            <w:r>
              <w:rPr>
                <w:color w:val="231F20"/>
                <w:spacing w:val="-3"/>
                <w:w w:val="105"/>
                <w:sz w:val="15"/>
              </w:rPr>
              <w:t> </w:t>
            </w:r>
            <w:r>
              <w:rPr>
                <w:color w:val="231F20"/>
                <w:spacing w:val="-2"/>
                <w:w w:val="105"/>
                <w:sz w:val="15"/>
              </w:rPr>
              <w:t>Deposit</w:t>
            </w:r>
          </w:p>
        </w:tc>
        <w:tc>
          <w:tcPr>
            <w:tcW w:w="1290" w:type="dxa"/>
          </w:tcPr>
          <w:p>
            <w:pPr>
              <w:pStyle w:val="TableParagraph"/>
              <w:spacing w:line="163" w:lineRule="exact" w:before="10"/>
              <w:ind w:left="294" w:right="307"/>
              <w:jc w:val="center"/>
              <w:rPr>
                <w:sz w:val="15"/>
              </w:rPr>
            </w:pPr>
            <w:r>
              <w:rPr>
                <w:color w:val="231F20"/>
                <w:spacing w:val="-2"/>
                <w:w w:val="105"/>
                <w:sz w:val="15"/>
              </w:rPr>
              <w:t>Checking</w:t>
            </w:r>
          </w:p>
        </w:tc>
        <w:tc>
          <w:tcPr>
            <w:tcW w:w="1312" w:type="dxa"/>
          </w:tcPr>
          <w:p>
            <w:pPr>
              <w:pStyle w:val="TableParagraph"/>
              <w:spacing w:line="163" w:lineRule="exact" w:before="10"/>
              <w:ind w:right="160"/>
              <w:jc w:val="right"/>
              <w:rPr>
                <w:sz w:val="15"/>
              </w:rPr>
            </w:pPr>
            <w:r>
              <w:rPr>
                <w:color w:val="231F20"/>
                <w:spacing w:val="-2"/>
                <w:w w:val="105"/>
                <w:sz w:val="15"/>
              </w:rPr>
              <w:t>95,837</w:t>
            </w:r>
          </w:p>
        </w:tc>
        <w:tc>
          <w:tcPr>
            <w:tcW w:w="1312" w:type="dxa"/>
          </w:tcPr>
          <w:p>
            <w:pPr>
              <w:pStyle w:val="TableParagraph"/>
              <w:spacing w:line="163" w:lineRule="exact" w:before="10"/>
              <w:ind w:right="105"/>
              <w:jc w:val="right"/>
              <w:rPr>
                <w:sz w:val="15"/>
              </w:rPr>
            </w:pPr>
            <w:r>
              <w:rPr>
                <w:color w:val="231F20"/>
                <w:spacing w:val="-2"/>
                <w:w w:val="105"/>
                <w:sz w:val="15"/>
              </w:rPr>
              <w:t>(6,665)</w:t>
            </w:r>
          </w:p>
        </w:tc>
        <w:tc>
          <w:tcPr>
            <w:tcW w:w="1288" w:type="dxa"/>
          </w:tcPr>
          <w:p>
            <w:pPr>
              <w:pStyle w:val="TableParagraph"/>
              <w:spacing w:line="163" w:lineRule="exact" w:before="10"/>
              <w:ind w:right="133"/>
              <w:jc w:val="right"/>
              <w:rPr>
                <w:sz w:val="15"/>
              </w:rPr>
            </w:pPr>
            <w:r>
              <w:rPr>
                <w:color w:val="231F20"/>
                <w:spacing w:val="-2"/>
                <w:w w:val="105"/>
                <w:sz w:val="15"/>
              </w:rPr>
              <w:t>89,172</w:t>
            </w:r>
          </w:p>
        </w:tc>
      </w:tr>
      <w:tr>
        <w:trPr>
          <w:trHeight w:val="193" w:hRule="atLeast"/>
        </w:trPr>
        <w:tc>
          <w:tcPr>
            <w:tcW w:w="1678" w:type="dxa"/>
          </w:tcPr>
          <w:p>
            <w:pPr>
              <w:pStyle w:val="TableParagraph"/>
              <w:spacing w:line="163" w:lineRule="exact" w:before="10"/>
              <w:ind w:left="80"/>
              <w:rPr>
                <w:sz w:val="15"/>
              </w:rPr>
            </w:pPr>
            <w:r>
              <w:rPr>
                <w:color w:val="231F20"/>
                <w:w w:val="105"/>
                <w:sz w:val="15"/>
              </w:rPr>
              <w:t>Wells</w:t>
            </w:r>
            <w:r>
              <w:rPr>
                <w:color w:val="231F20"/>
                <w:spacing w:val="-3"/>
                <w:w w:val="105"/>
                <w:sz w:val="15"/>
              </w:rPr>
              <w:t> </w:t>
            </w:r>
            <w:r>
              <w:rPr>
                <w:color w:val="231F20"/>
                <w:spacing w:val="-2"/>
                <w:w w:val="105"/>
                <w:sz w:val="15"/>
              </w:rPr>
              <w:t>Fargo</w:t>
            </w:r>
          </w:p>
        </w:tc>
        <w:tc>
          <w:tcPr>
            <w:tcW w:w="2633" w:type="dxa"/>
          </w:tcPr>
          <w:p>
            <w:pPr>
              <w:pStyle w:val="TableParagraph"/>
              <w:spacing w:line="163" w:lineRule="exact" w:before="10"/>
              <w:ind w:left="116"/>
              <w:rPr>
                <w:sz w:val="15"/>
              </w:rPr>
            </w:pPr>
            <w:r>
              <w:rPr>
                <w:color w:val="231F20"/>
                <w:w w:val="105"/>
                <w:sz w:val="15"/>
              </w:rPr>
              <w:t>Vendor</w:t>
            </w:r>
            <w:r>
              <w:rPr>
                <w:color w:val="231F20"/>
                <w:spacing w:val="-2"/>
                <w:w w:val="105"/>
                <w:sz w:val="15"/>
              </w:rPr>
              <w:t> </w:t>
            </w:r>
            <w:r>
              <w:rPr>
                <w:color w:val="231F20"/>
                <w:w w:val="105"/>
                <w:sz w:val="15"/>
              </w:rPr>
              <w:t>Cash</w:t>
            </w:r>
            <w:r>
              <w:rPr>
                <w:color w:val="231F20"/>
                <w:spacing w:val="-3"/>
                <w:w w:val="105"/>
                <w:sz w:val="15"/>
              </w:rPr>
              <w:t> </w:t>
            </w:r>
            <w:r>
              <w:rPr>
                <w:color w:val="231F20"/>
                <w:w w:val="105"/>
                <w:sz w:val="15"/>
              </w:rPr>
              <w:t>on</w:t>
            </w:r>
            <w:r>
              <w:rPr>
                <w:color w:val="231F20"/>
                <w:spacing w:val="-2"/>
                <w:w w:val="105"/>
                <w:sz w:val="15"/>
              </w:rPr>
              <w:t> Deposit</w:t>
            </w:r>
          </w:p>
        </w:tc>
        <w:tc>
          <w:tcPr>
            <w:tcW w:w="1290" w:type="dxa"/>
          </w:tcPr>
          <w:p>
            <w:pPr>
              <w:pStyle w:val="TableParagraph"/>
              <w:spacing w:line="163" w:lineRule="exact" w:before="10"/>
              <w:ind w:left="298" w:right="306"/>
              <w:jc w:val="center"/>
              <w:rPr>
                <w:sz w:val="15"/>
              </w:rPr>
            </w:pPr>
            <w:r>
              <w:rPr>
                <w:color w:val="231F20"/>
                <w:spacing w:val="-2"/>
                <w:w w:val="105"/>
                <w:sz w:val="15"/>
              </w:rPr>
              <w:t>Checking</w:t>
            </w:r>
          </w:p>
        </w:tc>
        <w:tc>
          <w:tcPr>
            <w:tcW w:w="1312" w:type="dxa"/>
          </w:tcPr>
          <w:p>
            <w:pPr>
              <w:pStyle w:val="TableParagraph"/>
              <w:spacing w:line="163" w:lineRule="exact" w:before="10"/>
              <w:ind w:right="158"/>
              <w:jc w:val="right"/>
              <w:rPr>
                <w:sz w:val="15"/>
              </w:rPr>
            </w:pPr>
            <w:r>
              <w:rPr>
                <w:color w:val="231F20"/>
                <w:spacing w:val="-2"/>
                <w:w w:val="105"/>
                <w:sz w:val="15"/>
              </w:rPr>
              <w:t>5,524,731</w:t>
            </w:r>
          </w:p>
        </w:tc>
        <w:tc>
          <w:tcPr>
            <w:tcW w:w="1312" w:type="dxa"/>
          </w:tcPr>
          <w:p>
            <w:pPr>
              <w:pStyle w:val="TableParagraph"/>
              <w:spacing w:line="163" w:lineRule="exact" w:before="10"/>
              <w:ind w:right="105"/>
              <w:jc w:val="right"/>
              <w:rPr>
                <w:sz w:val="15"/>
              </w:rPr>
            </w:pPr>
            <w:r>
              <w:rPr>
                <w:color w:val="231F20"/>
                <w:spacing w:val="-2"/>
                <w:w w:val="105"/>
                <w:sz w:val="15"/>
              </w:rPr>
              <w:t>(5,232,987)</w:t>
            </w:r>
          </w:p>
        </w:tc>
        <w:tc>
          <w:tcPr>
            <w:tcW w:w="1288" w:type="dxa"/>
          </w:tcPr>
          <w:p>
            <w:pPr>
              <w:pStyle w:val="TableParagraph"/>
              <w:spacing w:line="163" w:lineRule="exact" w:before="10"/>
              <w:ind w:right="134"/>
              <w:jc w:val="right"/>
              <w:rPr>
                <w:sz w:val="15"/>
              </w:rPr>
            </w:pPr>
            <w:r>
              <w:rPr>
                <w:color w:val="231F20"/>
                <w:spacing w:val="-2"/>
                <w:w w:val="105"/>
                <w:sz w:val="15"/>
              </w:rPr>
              <w:t>291,744</w:t>
            </w:r>
          </w:p>
        </w:tc>
      </w:tr>
      <w:tr>
        <w:trPr>
          <w:trHeight w:val="193" w:hRule="atLeast"/>
        </w:trPr>
        <w:tc>
          <w:tcPr>
            <w:tcW w:w="1678" w:type="dxa"/>
          </w:tcPr>
          <w:p>
            <w:pPr>
              <w:pStyle w:val="TableParagraph"/>
              <w:spacing w:line="163" w:lineRule="exact" w:before="10"/>
              <w:ind w:left="80"/>
              <w:rPr>
                <w:sz w:val="15"/>
              </w:rPr>
            </w:pPr>
            <w:r>
              <w:rPr>
                <w:color w:val="231F20"/>
                <w:w w:val="105"/>
                <w:sz w:val="15"/>
              </w:rPr>
              <w:t>Wells</w:t>
            </w:r>
            <w:r>
              <w:rPr>
                <w:color w:val="231F20"/>
                <w:spacing w:val="-3"/>
                <w:w w:val="105"/>
                <w:sz w:val="15"/>
              </w:rPr>
              <w:t> </w:t>
            </w:r>
            <w:r>
              <w:rPr>
                <w:color w:val="231F20"/>
                <w:spacing w:val="-2"/>
                <w:w w:val="105"/>
                <w:sz w:val="15"/>
              </w:rPr>
              <w:t>Fargo</w:t>
            </w:r>
          </w:p>
        </w:tc>
        <w:tc>
          <w:tcPr>
            <w:tcW w:w="2633" w:type="dxa"/>
          </w:tcPr>
          <w:p>
            <w:pPr>
              <w:pStyle w:val="TableParagraph"/>
              <w:spacing w:line="163" w:lineRule="exact" w:before="10"/>
              <w:ind w:left="116"/>
              <w:rPr>
                <w:sz w:val="15"/>
              </w:rPr>
            </w:pPr>
            <w:r>
              <w:rPr>
                <w:color w:val="231F20"/>
                <w:w w:val="105"/>
                <w:sz w:val="15"/>
              </w:rPr>
              <w:t>Employee</w:t>
            </w:r>
            <w:r>
              <w:rPr>
                <w:color w:val="231F20"/>
                <w:spacing w:val="-5"/>
                <w:w w:val="105"/>
                <w:sz w:val="15"/>
              </w:rPr>
              <w:t> </w:t>
            </w:r>
            <w:r>
              <w:rPr>
                <w:color w:val="231F20"/>
                <w:w w:val="105"/>
                <w:sz w:val="15"/>
              </w:rPr>
              <w:t>Benefits</w:t>
            </w:r>
            <w:r>
              <w:rPr>
                <w:color w:val="231F20"/>
                <w:spacing w:val="-2"/>
                <w:w w:val="105"/>
                <w:sz w:val="15"/>
              </w:rPr>
              <w:t> </w:t>
            </w:r>
            <w:r>
              <w:rPr>
                <w:color w:val="231F20"/>
                <w:w w:val="105"/>
                <w:sz w:val="15"/>
              </w:rPr>
              <w:t>Trust</w:t>
            </w:r>
            <w:r>
              <w:rPr>
                <w:color w:val="231F20"/>
                <w:spacing w:val="-3"/>
                <w:w w:val="105"/>
                <w:sz w:val="15"/>
              </w:rPr>
              <w:t> </w:t>
            </w:r>
            <w:r>
              <w:rPr>
                <w:color w:val="231F20"/>
                <w:spacing w:val="-2"/>
                <w:w w:val="105"/>
                <w:sz w:val="15"/>
              </w:rPr>
              <w:t>Operating</w:t>
            </w:r>
          </w:p>
        </w:tc>
        <w:tc>
          <w:tcPr>
            <w:tcW w:w="1290" w:type="dxa"/>
          </w:tcPr>
          <w:p>
            <w:pPr>
              <w:pStyle w:val="TableParagraph"/>
              <w:spacing w:line="163" w:lineRule="exact" w:before="10"/>
              <w:ind w:left="298" w:right="303"/>
              <w:jc w:val="center"/>
              <w:rPr>
                <w:sz w:val="15"/>
              </w:rPr>
            </w:pPr>
            <w:r>
              <w:rPr>
                <w:color w:val="231F20"/>
                <w:spacing w:val="-2"/>
                <w:w w:val="105"/>
                <w:sz w:val="15"/>
              </w:rPr>
              <w:t>Checking</w:t>
            </w:r>
          </w:p>
        </w:tc>
        <w:tc>
          <w:tcPr>
            <w:tcW w:w="1312" w:type="dxa"/>
          </w:tcPr>
          <w:p>
            <w:pPr>
              <w:pStyle w:val="TableParagraph"/>
              <w:spacing w:line="163" w:lineRule="exact" w:before="10"/>
              <w:ind w:right="157"/>
              <w:jc w:val="right"/>
              <w:rPr>
                <w:sz w:val="15"/>
              </w:rPr>
            </w:pPr>
            <w:r>
              <w:rPr>
                <w:color w:val="231F20"/>
                <w:spacing w:val="-2"/>
                <w:w w:val="105"/>
                <w:sz w:val="15"/>
              </w:rPr>
              <w:t>920,420</w:t>
            </w:r>
          </w:p>
        </w:tc>
        <w:tc>
          <w:tcPr>
            <w:tcW w:w="1312" w:type="dxa"/>
          </w:tcPr>
          <w:p>
            <w:pPr>
              <w:pStyle w:val="TableParagraph"/>
              <w:spacing w:line="163" w:lineRule="exact" w:before="10"/>
              <w:ind w:right="105"/>
              <w:jc w:val="right"/>
              <w:rPr>
                <w:sz w:val="15"/>
              </w:rPr>
            </w:pPr>
            <w:r>
              <w:rPr>
                <w:color w:val="231F20"/>
                <w:spacing w:val="-2"/>
                <w:w w:val="105"/>
                <w:sz w:val="15"/>
              </w:rPr>
              <w:t>(2,415)</w:t>
            </w:r>
          </w:p>
        </w:tc>
        <w:tc>
          <w:tcPr>
            <w:tcW w:w="1288" w:type="dxa"/>
          </w:tcPr>
          <w:p>
            <w:pPr>
              <w:pStyle w:val="TableParagraph"/>
              <w:spacing w:line="163" w:lineRule="exact" w:before="10"/>
              <w:ind w:right="134"/>
              <w:jc w:val="right"/>
              <w:rPr>
                <w:sz w:val="15"/>
              </w:rPr>
            </w:pPr>
            <w:r>
              <w:rPr>
                <w:color w:val="231F20"/>
                <w:spacing w:val="-2"/>
                <w:w w:val="105"/>
                <w:sz w:val="15"/>
              </w:rPr>
              <w:t>918,005</w:t>
            </w:r>
          </w:p>
        </w:tc>
      </w:tr>
      <w:tr>
        <w:trPr>
          <w:trHeight w:val="193" w:hRule="atLeast"/>
        </w:trPr>
        <w:tc>
          <w:tcPr>
            <w:tcW w:w="1678" w:type="dxa"/>
          </w:tcPr>
          <w:p>
            <w:pPr>
              <w:pStyle w:val="TableParagraph"/>
              <w:spacing w:line="163" w:lineRule="exact" w:before="10"/>
              <w:ind w:left="80"/>
              <w:rPr>
                <w:sz w:val="15"/>
              </w:rPr>
            </w:pPr>
            <w:r>
              <w:rPr>
                <w:color w:val="231F20"/>
                <w:w w:val="105"/>
                <w:sz w:val="15"/>
              </w:rPr>
              <w:t>Wells</w:t>
            </w:r>
            <w:r>
              <w:rPr>
                <w:color w:val="231F20"/>
                <w:spacing w:val="-4"/>
                <w:w w:val="105"/>
                <w:sz w:val="15"/>
              </w:rPr>
              <w:t> </w:t>
            </w:r>
            <w:r>
              <w:rPr>
                <w:color w:val="231F20"/>
                <w:spacing w:val="-2"/>
                <w:w w:val="105"/>
                <w:sz w:val="15"/>
              </w:rPr>
              <w:t>Fargo</w:t>
            </w:r>
          </w:p>
        </w:tc>
        <w:tc>
          <w:tcPr>
            <w:tcW w:w="2633" w:type="dxa"/>
          </w:tcPr>
          <w:p>
            <w:pPr>
              <w:pStyle w:val="TableParagraph"/>
              <w:spacing w:line="163" w:lineRule="exact" w:before="10"/>
              <w:ind w:left="115"/>
              <w:rPr>
                <w:sz w:val="15"/>
              </w:rPr>
            </w:pPr>
            <w:r>
              <w:rPr>
                <w:color w:val="231F20"/>
                <w:w w:val="105"/>
                <w:sz w:val="15"/>
              </w:rPr>
              <w:t>Employee</w:t>
            </w:r>
            <w:r>
              <w:rPr>
                <w:color w:val="231F20"/>
                <w:spacing w:val="-5"/>
                <w:w w:val="105"/>
                <w:sz w:val="15"/>
              </w:rPr>
              <w:t> </w:t>
            </w:r>
            <w:r>
              <w:rPr>
                <w:color w:val="231F20"/>
                <w:w w:val="105"/>
                <w:sz w:val="15"/>
              </w:rPr>
              <w:t>Benefits</w:t>
            </w:r>
            <w:r>
              <w:rPr>
                <w:color w:val="231F20"/>
                <w:spacing w:val="-4"/>
                <w:w w:val="105"/>
                <w:sz w:val="15"/>
              </w:rPr>
              <w:t> </w:t>
            </w:r>
            <w:r>
              <w:rPr>
                <w:color w:val="231F20"/>
                <w:w w:val="105"/>
                <w:sz w:val="15"/>
              </w:rPr>
              <w:t>Trust</w:t>
            </w:r>
            <w:r>
              <w:rPr>
                <w:color w:val="231F20"/>
                <w:spacing w:val="-3"/>
                <w:w w:val="105"/>
                <w:sz w:val="15"/>
              </w:rPr>
              <w:t> </w:t>
            </w:r>
            <w:r>
              <w:rPr>
                <w:color w:val="231F20"/>
                <w:spacing w:val="-2"/>
                <w:w w:val="105"/>
                <w:sz w:val="15"/>
              </w:rPr>
              <w:t>Claims</w:t>
            </w:r>
          </w:p>
        </w:tc>
        <w:tc>
          <w:tcPr>
            <w:tcW w:w="1290" w:type="dxa"/>
          </w:tcPr>
          <w:p>
            <w:pPr>
              <w:pStyle w:val="TableParagraph"/>
              <w:spacing w:line="163" w:lineRule="exact" w:before="10"/>
              <w:ind w:left="298" w:right="307"/>
              <w:jc w:val="center"/>
              <w:rPr>
                <w:sz w:val="15"/>
              </w:rPr>
            </w:pPr>
            <w:r>
              <w:rPr>
                <w:color w:val="231F20"/>
                <w:spacing w:val="-2"/>
                <w:w w:val="105"/>
                <w:sz w:val="15"/>
              </w:rPr>
              <w:t>Checking</w:t>
            </w:r>
          </w:p>
        </w:tc>
        <w:tc>
          <w:tcPr>
            <w:tcW w:w="1312" w:type="dxa"/>
          </w:tcPr>
          <w:p>
            <w:pPr>
              <w:pStyle w:val="TableParagraph"/>
              <w:spacing w:line="163" w:lineRule="exact" w:before="10"/>
              <w:ind w:right="158"/>
              <w:jc w:val="right"/>
              <w:rPr>
                <w:sz w:val="15"/>
              </w:rPr>
            </w:pPr>
            <w:r>
              <w:rPr>
                <w:color w:val="231F20"/>
                <w:spacing w:val="-2"/>
                <w:w w:val="105"/>
                <w:sz w:val="15"/>
              </w:rPr>
              <w:t>277,033</w:t>
            </w:r>
          </w:p>
        </w:tc>
        <w:tc>
          <w:tcPr>
            <w:tcW w:w="1312" w:type="dxa"/>
          </w:tcPr>
          <w:p>
            <w:pPr>
              <w:pStyle w:val="TableParagraph"/>
              <w:spacing w:line="163" w:lineRule="exact" w:before="10"/>
              <w:ind w:right="158"/>
              <w:jc w:val="right"/>
              <w:rPr>
                <w:sz w:val="15"/>
              </w:rPr>
            </w:pPr>
            <w:r>
              <w:rPr>
                <w:color w:val="231F20"/>
                <w:w w:val="105"/>
                <w:sz w:val="15"/>
              </w:rPr>
              <w:t>-</w:t>
            </w:r>
          </w:p>
        </w:tc>
        <w:tc>
          <w:tcPr>
            <w:tcW w:w="1288" w:type="dxa"/>
          </w:tcPr>
          <w:p>
            <w:pPr>
              <w:pStyle w:val="TableParagraph"/>
              <w:spacing w:line="163" w:lineRule="exact" w:before="10"/>
              <w:ind w:right="134"/>
              <w:jc w:val="right"/>
              <w:rPr>
                <w:sz w:val="15"/>
              </w:rPr>
            </w:pPr>
            <w:r>
              <w:rPr>
                <w:color w:val="231F20"/>
                <w:spacing w:val="-2"/>
                <w:w w:val="105"/>
                <w:sz w:val="15"/>
              </w:rPr>
              <w:t>277,033</w:t>
            </w:r>
          </w:p>
        </w:tc>
      </w:tr>
      <w:tr>
        <w:trPr>
          <w:trHeight w:val="193" w:hRule="atLeast"/>
        </w:trPr>
        <w:tc>
          <w:tcPr>
            <w:tcW w:w="1678" w:type="dxa"/>
          </w:tcPr>
          <w:p>
            <w:pPr>
              <w:pStyle w:val="TableParagraph"/>
              <w:spacing w:line="163" w:lineRule="exact" w:before="10"/>
              <w:ind w:left="80"/>
              <w:rPr>
                <w:sz w:val="15"/>
              </w:rPr>
            </w:pPr>
            <w:r>
              <w:rPr>
                <w:color w:val="231F20"/>
                <w:w w:val="105"/>
                <w:sz w:val="15"/>
              </w:rPr>
              <w:t>First</w:t>
            </w:r>
            <w:r>
              <w:rPr>
                <w:color w:val="231F20"/>
                <w:spacing w:val="-4"/>
                <w:w w:val="105"/>
                <w:sz w:val="15"/>
              </w:rPr>
              <w:t> </w:t>
            </w:r>
            <w:r>
              <w:rPr>
                <w:color w:val="231F20"/>
                <w:w w:val="105"/>
                <w:sz w:val="15"/>
              </w:rPr>
              <w:t>State</w:t>
            </w:r>
            <w:r>
              <w:rPr>
                <w:color w:val="231F20"/>
                <w:spacing w:val="-3"/>
                <w:w w:val="105"/>
                <w:sz w:val="15"/>
              </w:rPr>
              <w:t> </w:t>
            </w:r>
            <w:r>
              <w:rPr>
                <w:color w:val="231F20"/>
                <w:spacing w:val="-4"/>
                <w:w w:val="105"/>
                <w:sz w:val="15"/>
              </w:rPr>
              <w:t>Bank</w:t>
            </w:r>
          </w:p>
        </w:tc>
        <w:tc>
          <w:tcPr>
            <w:tcW w:w="2633" w:type="dxa"/>
          </w:tcPr>
          <w:p>
            <w:pPr>
              <w:pStyle w:val="TableParagraph"/>
              <w:spacing w:line="163" w:lineRule="exact" w:before="10"/>
              <w:ind w:left="116"/>
              <w:rPr>
                <w:sz w:val="15"/>
              </w:rPr>
            </w:pPr>
            <w:r>
              <w:rPr>
                <w:color w:val="231F20"/>
                <w:w w:val="105"/>
                <w:sz w:val="15"/>
              </w:rPr>
              <w:t>Research</w:t>
            </w:r>
            <w:r>
              <w:rPr>
                <w:color w:val="231F20"/>
                <w:spacing w:val="-3"/>
                <w:w w:val="105"/>
                <w:sz w:val="15"/>
              </w:rPr>
              <w:t> </w:t>
            </w:r>
            <w:r>
              <w:rPr>
                <w:color w:val="231F20"/>
                <w:w w:val="105"/>
                <w:sz w:val="15"/>
              </w:rPr>
              <w:t>Park</w:t>
            </w:r>
            <w:r>
              <w:rPr>
                <w:color w:val="231F20"/>
                <w:spacing w:val="-2"/>
                <w:w w:val="105"/>
                <w:sz w:val="15"/>
              </w:rPr>
              <w:t> </w:t>
            </w:r>
            <w:r>
              <w:rPr>
                <w:color w:val="231F20"/>
                <w:w w:val="105"/>
                <w:sz w:val="15"/>
              </w:rPr>
              <w:t>Corp</w:t>
            </w:r>
            <w:r>
              <w:rPr>
                <w:color w:val="231F20"/>
                <w:spacing w:val="-3"/>
                <w:w w:val="105"/>
                <w:sz w:val="15"/>
              </w:rPr>
              <w:t> </w:t>
            </w:r>
            <w:r>
              <w:rPr>
                <w:color w:val="231F20"/>
                <w:spacing w:val="-2"/>
                <w:w w:val="105"/>
                <w:sz w:val="15"/>
              </w:rPr>
              <w:t>Checking</w:t>
            </w:r>
          </w:p>
        </w:tc>
        <w:tc>
          <w:tcPr>
            <w:tcW w:w="1290" w:type="dxa"/>
          </w:tcPr>
          <w:p>
            <w:pPr>
              <w:pStyle w:val="TableParagraph"/>
              <w:spacing w:line="163" w:lineRule="exact" w:before="10"/>
              <w:ind w:left="295" w:right="307"/>
              <w:jc w:val="center"/>
              <w:rPr>
                <w:sz w:val="15"/>
              </w:rPr>
            </w:pPr>
            <w:r>
              <w:rPr>
                <w:color w:val="231F20"/>
                <w:spacing w:val="-2"/>
                <w:w w:val="105"/>
                <w:sz w:val="15"/>
              </w:rPr>
              <w:t>Checking</w:t>
            </w:r>
          </w:p>
        </w:tc>
        <w:tc>
          <w:tcPr>
            <w:tcW w:w="1312" w:type="dxa"/>
          </w:tcPr>
          <w:p>
            <w:pPr>
              <w:pStyle w:val="TableParagraph"/>
              <w:tabs>
                <w:tab w:pos="503" w:val="left" w:leader="none"/>
              </w:tabs>
              <w:spacing w:line="163" w:lineRule="exact" w:before="10"/>
              <w:ind w:right="72"/>
              <w:jc w:val="right"/>
              <w:rPr>
                <w:sz w:val="15"/>
              </w:rPr>
            </w:pPr>
            <w:r>
              <w:rPr>
                <w:color w:val="231F20"/>
                <w:sz w:val="15"/>
                <w:u w:val="single" w:color="231F20"/>
              </w:rPr>
              <w:tab/>
            </w:r>
            <w:r>
              <w:rPr>
                <w:color w:val="231F20"/>
                <w:spacing w:val="-2"/>
                <w:w w:val="105"/>
                <w:sz w:val="15"/>
                <w:u w:val="single" w:color="231F20"/>
              </w:rPr>
              <w:t>267,978</w:t>
            </w:r>
            <w:r>
              <w:rPr>
                <w:color w:val="231F20"/>
                <w:spacing w:val="80"/>
                <w:w w:val="105"/>
                <w:sz w:val="15"/>
                <w:u w:val="single" w:color="231F20"/>
              </w:rPr>
              <w:t> </w:t>
            </w:r>
          </w:p>
        </w:tc>
        <w:tc>
          <w:tcPr>
            <w:tcW w:w="1312" w:type="dxa"/>
          </w:tcPr>
          <w:p>
            <w:pPr>
              <w:pStyle w:val="TableParagraph"/>
              <w:tabs>
                <w:tab w:pos="1025" w:val="left" w:leader="none"/>
              </w:tabs>
              <w:spacing w:line="163" w:lineRule="exact" w:before="10"/>
              <w:ind w:right="72"/>
              <w:jc w:val="right"/>
              <w:rPr>
                <w:sz w:val="15"/>
              </w:rPr>
            </w:pPr>
            <w:r>
              <w:rPr>
                <w:color w:val="231F20"/>
                <w:sz w:val="15"/>
                <w:u w:val="single" w:color="231F20"/>
              </w:rPr>
              <w:tab/>
            </w:r>
            <w:r>
              <w:rPr>
                <w:color w:val="231F20"/>
                <w:spacing w:val="-10"/>
                <w:w w:val="105"/>
                <w:sz w:val="15"/>
                <w:u w:val="single" w:color="231F20"/>
              </w:rPr>
              <w:t>-</w:t>
            </w:r>
            <w:r>
              <w:rPr>
                <w:color w:val="231F20"/>
                <w:spacing w:val="80"/>
                <w:w w:val="105"/>
                <w:sz w:val="15"/>
                <w:u w:val="single" w:color="231F20"/>
              </w:rPr>
              <w:t> </w:t>
            </w:r>
          </w:p>
        </w:tc>
        <w:tc>
          <w:tcPr>
            <w:tcW w:w="1288" w:type="dxa"/>
          </w:tcPr>
          <w:p>
            <w:pPr>
              <w:pStyle w:val="TableParagraph"/>
              <w:tabs>
                <w:tab w:pos="506" w:val="left" w:leader="none"/>
              </w:tabs>
              <w:spacing w:line="163" w:lineRule="exact" w:before="10"/>
              <w:ind w:right="49"/>
              <w:jc w:val="right"/>
              <w:rPr>
                <w:sz w:val="15"/>
              </w:rPr>
            </w:pPr>
            <w:r>
              <w:rPr>
                <w:color w:val="231F20"/>
                <w:sz w:val="15"/>
                <w:u w:val="single" w:color="231F20"/>
              </w:rPr>
              <w:tab/>
            </w:r>
            <w:r>
              <w:rPr>
                <w:color w:val="231F20"/>
                <w:spacing w:val="-2"/>
                <w:w w:val="105"/>
                <w:sz w:val="15"/>
                <w:u w:val="single" w:color="231F20"/>
              </w:rPr>
              <w:t>267,978</w:t>
            </w:r>
            <w:r>
              <w:rPr>
                <w:color w:val="231F20"/>
                <w:spacing w:val="80"/>
                <w:w w:val="105"/>
                <w:sz w:val="15"/>
                <w:u w:val="single" w:color="231F20"/>
              </w:rPr>
              <w:t> </w:t>
            </w:r>
          </w:p>
        </w:tc>
      </w:tr>
      <w:tr>
        <w:trPr>
          <w:trHeight w:val="193" w:hRule="atLeast"/>
        </w:trPr>
        <w:tc>
          <w:tcPr>
            <w:tcW w:w="1678" w:type="dxa"/>
          </w:tcPr>
          <w:p>
            <w:pPr>
              <w:pStyle w:val="TableParagraph"/>
              <w:rPr>
                <w:rFonts w:ascii="Times New Roman"/>
                <w:sz w:val="12"/>
              </w:rPr>
            </w:pPr>
          </w:p>
        </w:tc>
        <w:tc>
          <w:tcPr>
            <w:tcW w:w="2633" w:type="dxa"/>
          </w:tcPr>
          <w:p>
            <w:pPr>
              <w:pStyle w:val="TableParagraph"/>
              <w:rPr>
                <w:rFonts w:ascii="Times New Roman"/>
                <w:sz w:val="12"/>
              </w:rPr>
            </w:pPr>
          </w:p>
        </w:tc>
        <w:tc>
          <w:tcPr>
            <w:tcW w:w="1290" w:type="dxa"/>
          </w:tcPr>
          <w:p>
            <w:pPr>
              <w:pStyle w:val="TableParagraph"/>
              <w:rPr>
                <w:rFonts w:ascii="Times New Roman"/>
                <w:sz w:val="12"/>
              </w:rPr>
            </w:pPr>
          </w:p>
        </w:tc>
        <w:tc>
          <w:tcPr>
            <w:tcW w:w="1312" w:type="dxa"/>
          </w:tcPr>
          <w:p>
            <w:pPr>
              <w:pStyle w:val="TableParagraph"/>
              <w:spacing w:line="163" w:lineRule="exact" w:before="10"/>
              <w:ind w:left="360"/>
              <w:rPr>
                <w:sz w:val="15"/>
              </w:rPr>
            </w:pPr>
            <w:r>
              <w:rPr>
                <w:color w:val="231F20"/>
                <w:spacing w:val="-2"/>
                <w:w w:val="105"/>
                <w:sz w:val="15"/>
              </w:rPr>
              <w:t>41,951,614</w:t>
            </w:r>
          </w:p>
        </w:tc>
        <w:tc>
          <w:tcPr>
            <w:tcW w:w="1312" w:type="dxa"/>
          </w:tcPr>
          <w:p>
            <w:pPr>
              <w:pStyle w:val="TableParagraph"/>
              <w:spacing w:line="163" w:lineRule="exact" w:before="10"/>
              <w:ind w:right="105"/>
              <w:jc w:val="right"/>
              <w:rPr>
                <w:sz w:val="15"/>
              </w:rPr>
            </w:pPr>
            <w:r>
              <w:rPr>
                <w:color w:val="231F20"/>
                <w:spacing w:val="-2"/>
                <w:w w:val="105"/>
                <w:sz w:val="15"/>
              </w:rPr>
              <w:t>(5,629,623)</w:t>
            </w:r>
          </w:p>
        </w:tc>
        <w:tc>
          <w:tcPr>
            <w:tcW w:w="1288" w:type="dxa"/>
          </w:tcPr>
          <w:p>
            <w:pPr>
              <w:pStyle w:val="TableParagraph"/>
              <w:spacing w:line="163" w:lineRule="exact" w:before="10"/>
              <w:ind w:right="134"/>
              <w:jc w:val="right"/>
              <w:rPr>
                <w:sz w:val="15"/>
              </w:rPr>
            </w:pPr>
            <w:r>
              <w:rPr>
                <w:color w:val="231F20"/>
                <w:spacing w:val="-2"/>
                <w:w w:val="105"/>
                <w:sz w:val="15"/>
              </w:rPr>
              <w:t>36,321,991</w:t>
            </w:r>
          </w:p>
        </w:tc>
      </w:tr>
      <w:tr>
        <w:trPr>
          <w:trHeight w:val="282" w:hRule="atLeast"/>
        </w:trPr>
        <w:tc>
          <w:tcPr>
            <w:tcW w:w="1678" w:type="dxa"/>
          </w:tcPr>
          <w:p>
            <w:pPr>
              <w:pStyle w:val="TableParagraph"/>
              <w:rPr>
                <w:rFonts w:ascii="Times New Roman"/>
                <w:sz w:val="18"/>
              </w:rPr>
            </w:pPr>
          </w:p>
        </w:tc>
        <w:tc>
          <w:tcPr>
            <w:tcW w:w="2633" w:type="dxa"/>
          </w:tcPr>
          <w:p>
            <w:pPr>
              <w:pStyle w:val="TableParagraph"/>
              <w:spacing w:before="10"/>
              <w:ind w:left="116"/>
              <w:rPr>
                <w:sz w:val="15"/>
              </w:rPr>
            </w:pPr>
            <w:r>
              <w:rPr>
                <w:color w:val="231F20"/>
                <w:w w:val="105"/>
                <w:sz w:val="15"/>
              </w:rPr>
              <w:t>Petty</w:t>
            </w:r>
            <w:r>
              <w:rPr>
                <w:color w:val="231F20"/>
                <w:spacing w:val="-6"/>
                <w:w w:val="105"/>
                <w:sz w:val="15"/>
              </w:rPr>
              <w:t> </w:t>
            </w:r>
            <w:r>
              <w:rPr>
                <w:color w:val="231F20"/>
                <w:spacing w:val="-4"/>
                <w:w w:val="105"/>
                <w:sz w:val="15"/>
              </w:rPr>
              <w:t>Cash</w:t>
            </w:r>
          </w:p>
        </w:tc>
        <w:tc>
          <w:tcPr>
            <w:tcW w:w="1290" w:type="dxa"/>
          </w:tcPr>
          <w:p>
            <w:pPr>
              <w:pStyle w:val="TableParagraph"/>
              <w:spacing w:before="10"/>
              <w:ind w:left="298" w:right="303"/>
              <w:jc w:val="center"/>
              <w:rPr>
                <w:sz w:val="15"/>
              </w:rPr>
            </w:pPr>
            <w:r>
              <w:rPr>
                <w:color w:val="231F20"/>
                <w:spacing w:val="-4"/>
                <w:w w:val="105"/>
                <w:sz w:val="15"/>
              </w:rPr>
              <w:t>Cash</w:t>
            </w:r>
          </w:p>
        </w:tc>
        <w:tc>
          <w:tcPr>
            <w:tcW w:w="1312" w:type="dxa"/>
          </w:tcPr>
          <w:p>
            <w:pPr>
              <w:pStyle w:val="TableParagraph"/>
              <w:tabs>
                <w:tab w:pos="593" w:val="left" w:leader="none"/>
              </w:tabs>
              <w:spacing w:before="10"/>
              <w:ind w:right="72"/>
              <w:jc w:val="right"/>
              <w:rPr>
                <w:sz w:val="15"/>
              </w:rPr>
            </w:pPr>
            <w:r>
              <w:rPr>
                <w:color w:val="231F20"/>
                <w:sz w:val="15"/>
                <w:u w:val="single" w:color="231F20"/>
              </w:rPr>
              <w:tab/>
            </w:r>
            <w:r>
              <w:rPr>
                <w:color w:val="231F20"/>
                <w:spacing w:val="-2"/>
                <w:w w:val="105"/>
                <w:sz w:val="15"/>
                <w:u w:val="single" w:color="231F20"/>
              </w:rPr>
              <w:t>26,229</w:t>
            </w:r>
            <w:r>
              <w:rPr>
                <w:color w:val="231F20"/>
                <w:spacing w:val="80"/>
                <w:w w:val="105"/>
                <w:sz w:val="15"/>
                <w:u w:val="single" w:color="231F20"/>
              </w:rPr>
              <w:t> </w:t>
            </w:r>
          </w:p>
        </w:tc>
        <w:tc>
          <w:tcPr>
            <w:tcW w:w="1312" w:type="dxa"/>
          </w:tcPr>
          <w:p>
            <w:pPr>
              <w:pStyle w:val="TableParagraph"/>
              <w:tabs>
                <w:tab w:pos="1026" w:val="left" w:leader="none"/>
              </w:tabs>
              <w:spacing w:before="10"/>
              <w:ind w:right="72"/>
              <w:jc w:val="right"/>
              <w:rPr>
                <w:sz w:val="15"/>
              </w:rPr>
            </w:pPr>
            <w:r>
              <w:rPr>
                <w:color w:val="231F20"/>
                <w:sz w:val="15"/>
                <w:u w:val="single" w:color="231F20"/>
              </w:rPr>
              <w:tab/>
            </w:r>
            <w:r>
              <w:rPr>
                <w:color w:val="231F20"/>
                <w:spacing w:val="-10"/>
                <w:w w:val="105"/>
                <w:sz w:val="15"/>
                <w:u w:val="single" w:color="231F20"/>
              </w:rPr>
              <w:t>-</w:t>
            </w:r>
            <w:r>
              <w:rPr>
                <w:color w:val="231F20"/>
                <w:spacing w:val="80"/>
                <w:w w:val="105"/>
                <w:sz w:val="15"/>
                <w:u w:val="single" w:color="231F20"/>
              </w:rPr>
              <w:t> </w:t>
            </w:r>
          </w:p>
        </w:tc>
        <w:tc>
          <w:tcPr>
            <w:tcW w:w="1288" w:type="dxa"/>
          </w:tcPr>
          <w:p>
            <w:pPr>
              <w:pStyle w:val="TableParagraph"/>
              <w:tabs>
                <w:tab w:pos="594" w:val="left" w:leader="none"/>
              </w:tabs>
              <w:spacing w:before="10"/>
              <w:ind w:right="49"/>
              <w:jc w:val="right"/>
              <w:rPr>
                <w:sz w:val="15"/>
              </w:rPr>
            </w:pPr>
            <w:r>
              <w:rPr>
                <w:color w:val="231F20"/>
                <w:sz w:val="15"/>
                <w:u w:val="single" w:color="231F20"/>
              </w:rPr>
              <w:tab/>
            </w:r>
            <w:r>
              <w:rPr>
                <w:color w:val="231F20"/>
                <w:spacing w:val="-2"/>
                <w:w w:val="105"/>
                <w:sz w:val="15"/>
                <w:u w:val="single" w:color="231F20"/>
              </w:rPr>
              <w:t>26,229</w:t>
            </w:r>
            <w:r>
              <w:rPr>
                <w:color w:val="231F20"/>
                <w:spacing w:val="80"/>
                <w:w w:val="105"/>
                <w:sz w:val="15"/>
                <w:u w:val="single" w:color="231F20"/>
              </w:rPr>
              <w:t> </w:t>
            </w:r>
          </w:p>
        </w:tc>
      </w:tr>
      <w:tr>
        <w:trPr>
          <w:trHeight w:val="324" w:hRule="atLeast"/>
        </w:trPr>
        <w:tc>
          <w:tcPr>
            <w:tcW w:w="1678" w:type="dxa"/>
          </w:tcPr>
          <w:p>
            <w:pPr>
              <w:pStyle w:val="TableParagraph"/>
              <w:rPr>
                <w:rFonts w:ascii="Times New Roman"/>
                <w:sz w:val="18"/>
              </w:rPr>
            </w:pPr>
          </w:p>
        </w:tc>
        <w:tc>
          <w:tcPr>
            <w:tcW w:w="2633" w:type="dxa"/>
          </w:tcPr>
          <w:p>
            <w:pPr>
              <w:pStyle w:val="TableParagraph"/>
              <w:spacing w:before="100"/>
              <w:ind w:left="116"/>
              <w:rPr>
                <w:sz w:val="15"/>
              </w:rPr>
            </w:pPr>
            <w:r>
              <w:rPr>
                <w:color w:val="231F20"/>
                <w:w w:val="105"/>
                <w:sz w:val="15"/>
              </w:rPr>
              <w:t>Total</w:t>
            </w:r>
            <w:r>
              <w:rPr>
                <w:color w:val="231F20"/>
                <w:spacing w:val="-3"/>
                <w:w w:val="105"/>
                <w:sz w:val="15"/>
              </w:rPr>
              <w:t> </w:t>
            </w:r>
            <w:r>
              <w:rPr>
                <w:color w:val="231F20"/>
                <w:w w:val="105"/>
                <w:sz w:val="15"/>
              </w:rPr>
              <w:t>cash</w:t>
            </w:r>
            <w:r>
              <w:rPr>
                <w:color w:val="231F20"/>
                <w:spacing w:val="-3"/>
                <w:w w:val="105"/>
                <w:sz w:val="15"/>
              </w:rPr>
              <w:t> </w:t>
            </w:r>
            <w:r>
              <w:rPr>
                <w:color w:val="231F20"/>
                <w:spacing w:val="-2"/>
                <w:w w:val="105"/>
                <w:sz w:val="15"/>
              </w:rPr>
              <w:t>accounts</w:t>
            </w:r>
          </w:p>
        </w:tc>
        <w:tc>
          <w:tcPr>
            <w:tcW w:w="1290" w:type="dxa"/>
          </w:tcPr>
          <w:p>
            <w:pPr>
              <w:pStyle w:val="TableParagraph"/>
              <w:rPr>
                <w:rFonts w:ascii="Times New Roman"/>
                <w:sz w:val="18"/>
              </w:rPr>
            </w:pPr>
          </w:p>
        </w:tc>
        <w:tc>
          <w:tcPr>
            <w:tcW w:w="1312" w:type="dxa"/>
          </w:tcPr>
          <w:p>
            <w:pPr>
              <w:pStyle w:val="TableParagraph"/>
              <w:spacing w:before="100"/>
              <w:ind w:right="72"/>
              <w:jc w:val="right"/>
              <w:rPr>
                <w:sz w:val="15"/>
              </w:rPr>
            </w:pPr>
            <w:r>
              <w:rPr>
                <w:color w:val="231F20"/>
                <w:spacing w:val="36"/>
                <w:w w:val="105"/>
                <w:sz w:val="15"/>
                <w:u w:val="single" w:color="231F20"/>
              </w:rPr>
              <w:t> </w:t>
            </w:r>
            <w:r>
              <w:rPr>
                <w:color w:val="231F20"/>
                <w:w w:val="105"/>
                <w:sz w:val="15"/>
                <w:u w:val="single" w:color="231F20"/>
              </w:rPr>
              <w:t>$</w:t>
            </w:r>
            <w:r>
              <w:rPr>
                <w:color w:val="231F20"/>
                <w:spacing w:val="70"/>
                <w:w w:val="105"/>
                <w:sz w:val="15"/>
                <w:u w:val="single" w:color="231F20"/>
              </w:rPr>
              <w:t> </w:t>
            </w:r>
            <w:r>
              <w:rPr>
                <w:color w:val="231F20"/>
                <w:spacing w:val="-2"/>
                <w:w w:val="105"/>
                <w:sz w:val="15"/>
                <w:u w:val="single" w:color="231F20"/>
              </w:rPr>
              <w:t>41,977,843</w:t>
            </w:r>
            <w:r>
              <w:rPr>
                <w:color w:val="231F20"/>
                <w:spacing w:val="80"/>
                <w:w w:val="105"/>
                <w:sz w:val="15"/>
                <w:u w:val="single" w:color="231F20"/>
              </w:rPr>
              <w:t> </w:t>
            </w:r>
          </w:p>
        </w:tc>
        <w:tc>
          <w:tcPr>
            <w:tcW w:w="1312" w:type="dxa"/>
          </w:tcPr>
          <w:p>
            <w:pPr>
              <w:pStyle w:val="TableParagraph"/>
              <w:spacing w:before="100"/>
              <w:ind w:right="105"/>
              <w:jc w:val="right"/>
              <w:rPr>
                <w:sz w:val="15"/>
              </w:rPr>
            </w:pPr>
            <w:r>
              <w:rPr>
                <w:color w:val="231F20"/>
                <w:w w:val="105"/>
                <w:sz w:val="15"/>
              </w:rPr>
              <w:t>$</w:t>
            </w:r>
            <w:r>
              <w:rPr>
                <w:color w:val="231F20"/>
                <w:spacing w:val="30"/>
                <w:w w:val="105"/>
                <w:sz w:val="15"/>
              </w:rPr>
              <w:t>  </w:t>
            </w:r>
            <w:r>
              <w:rPr>
                <w:color w:val="231F20"/>
                <w:spacing w:val="-2"/>
                <w:w w:val="105"/>
                <w:sz w:val="15"/>
              </w:rPr>
              <w:t>(5,629,623)</w:t>
            </w:r>
          </w:p>
        </w:tc>
        <w:tc>
          <w:tcPr>
            <w:tcW w:w="1288" w:type="dxa"/>
          </w:tcPr>
          <w:p>
            <w:pPr>
              <w:pStyle w:val="TableParagraph"/>
              <w:spacing w:before="100"/>
              <w:ind w:left="156"/>
              <w:rPr>
                <w:sz w:val="15"/>
              </w:rPr>
            </w:pPr>
            <w:r>
              <w:rPr>
                <w:color w:val="231F20"/>
                <w:w w:val="105"/>
                <w:sz w:val="15"/>
              </w:rPr>
              <w:t>$</w:t>
            </w:r>
            <w:r>
              <w:rPr>
                <w:color w:val="231F20"/>
                <w:spacing w:val="69"/>
                <w:w w:val="105"/>
                <w:sz w:val="15"/>
              </w:rPr>
              <w:t> </w:t>
            </w:r>
            <w:r>
              <w:rPr>
                <w:color w:val="231F20"/>
                <w:spacing w:val="-2"/>
                <w:w w:val="105"/>
                <w:sz w:val="15"/>
              </w:rPr>
              <w:t>36,348,220</w:t>
            </w:r>
          </w:p>
        </w:tc>
      </w:tr>
    </w:tbl>
    <w:p>
      <w:pPr>
        <w:pStyle w:val="BodyText"/>
        <w:spacing w:line="20" w:lineRule="exact"/>
        <w:ind w:left="7072"/>
        <w:rPr>
          <w:sz w:val="2"/>
        </w:rPr>
      </w:pPr>
      <w:r>
        <w:rPr>
          <w:sz w:val="2"/>
        </w:rPr>
        <w:pict>
          <v:group style="width:58.15pt;height:.8pt;mso-position-horizontal-relative:char;mso-position-vertical-relative:line" id="docshapegroup259" coordorigin="0,0" coordsize="1163,16">
            <v:rect style="position:absolute;left:0;top:0;width:1163;height:16" id="docshape260" filled="true" fillcolor="#231f20" stroked="false">
              <v:fill type="solid"/>
            </v:rect>
          </v:group>
        </w:pict>
      </w:r>
      <w:r>
        <w:rPr>
          <w:sz w:val="2"/>
        </w:rPr>
      </w:r>
    </w:p>
    <w:p>
      <w:pPr>
        <w:pStyle w:val="Heading4"/>
        <w:spacing w:before="195"/>
      </w:pPr>
      <w:r>
        <w:rPr/>
        <w:pict>
          <v:shape style="position:absolute;margin-left:419.221008pt;margin-top:-3.128838pt;width:58.15pt;height:2.3pt;mso-position-horizontal-relative:page;mso-position-vertical-relative:paragraph;z-index:-28354560" id="docshape261" coordorigin="8384,-63" coordsize="1163,46" path="m9547,-33l8384,-33,8384,-17,9547,-17,9547,-33xm9547,-63l8384,-63,8384,-47,9547,-47,9547,-63xe" filled="true" fillcolor="#231f20" stroked="false">
            <v:path arrowok="t"/>
            <v:fill type="solid"/>
            <w10:wrap type="none"/>
          </v:shape>
        </w:pict>
      </w:r>
      <w:r>
        <w:rPr/>
        <w:pict>
          <v:shape style="position:absolute;margin-left:484.801025pt;margin-top:-3.128838pt;width:58.15pt;height:2.3pt;mso-position-horizontal-relative:page;mso-position-vertical-relative:paragraph;z-index:-28354048" id="docshape262" coordorigin="9696,-63" coordsize="1163,46" path="m10859,-33l9696,-33,9696,-17,10859,-17,10859,-33xm10859,-63l9696,-63,9696,-47,10859,-47,10859,-63xe" filled="true" fillcolor="#231f20" stroked="false">
            <v:path arrowok="t"/>
            <v:fill type="solid"/>
            <w10:wrap type="none"/>
          </v:shape>
        </w:pict>
      </w:r>
      <w:r>
        <w:rPr>
          <w:color w:val="231F20"/>
        </w:rPr>
        <w:t>Custodial</w:t>
      </w:r>
      <w:r>
        <w:rPr>
          <w:color w:val="231F20"/>
          <w:spacing w:val="-5"/>
        </w:rPr>
        <w:t> </w:t>
      </w:r>
      <w:r>
        <w:rPr>
          <w:color w:val="231F20"/>
        </w:rPr>
        <w:t>Credit</w:t>
      </w:r>
      <w:r>
        <w:rPr>
          <w:color w:val="231F20"/>
          <w:spacing w:val="-4"/>
        </w:rPr>
        <w:t> </w:t>
      </w:r>
      <w:r>
        <w:rPr>
          <w:color w:val="231F20"/>
        </w:rPr>
        <w:t>Risk</w:t>
      </w:r>
      <w:r>
        <w:rPr>
          <w:color w:val="231F20"/>
          <w:spacing w:val="-4"/>
        </w:rPr>
        <w:t> </w:t>
      </w:r>
      <w:r>
        <w:rPr>
          <w:color w:val="231F20"/>
        </w:rPr>
        <w:t>–</w:t>
      </w:r>
      <w:r>
        <w:rPr>
          <w:color w:val="231F20"/>
          <w:spacing w:val="-5"/>
        </w:rPr>
        <w:t> </w:t>
      </w:r>
      <w:r>
        <w:rPr>
          <w:color w:val="231F20"/>
          <w:spacing w:val="-4"/>
        </w:rPr>
        <w:t>Cash</w:t>
      </w:r>
    </w:p>
    <w:p>
      <w:pPr>
        <w:pStyle w:val="BodyText"/>
        <w:spacing w:line="276" w:lineRule="auto" w:before="35"/>
        <w:ind w:left="1439" w:right="891"/>
      </w:pPr>
      <w:r>
        <w:rPr>
          <w:color w:val="231F20"/>
        </w:rPr>
        <w:t>Custodial credit risk is the risk that in the event of a bank failure, the Institution’s deposits may not be returned</w:t>
      </w:r>
      <w:r>
        <w:rPr>
          <w:color w:val="231F20"/>
          <w:spacing w:val="-3"/>
        </w:rPr>
        <w:t> </w:t>
      </w:r>
      <w:r>
        <w:rPr>
          <w:color w:val="231F20"/>
        </w:rPr>
        <w:t>to</w:t>
      </w:r>
      <w:r>
        <w:rPr>
          <w:color w:val="231F20"/>
          <w:spacing w:val="-3"/>
        </w:rPr>
        <w:t> </w:t>
      </w:r>
      <w:r>
        <w:rPr>
          <w:color w:val="231F20"/>
        </w:rPr>
        <w:t>it.</w:t>
      </w:r>
      <w:r>
        <w:rPr>
          <w:color w:val="231F20"/>
          <w:spacing w:val="-3"/>
        </w:rPr>
        <w:t> </w:t>
      </w:r>
      <w:r>
        <w:rPr>
          <w:color w:val="231F20"/>
        </w:rPr>
        <w:t>The</w:t>
      </w:r>
      <w:r>
        <w:rPr>
          <w:color w:val="231F20"/>
          <w:spacing w:val="-3"/>
        </w:rPr>
        <w:t> </w:t>
      </w:r>
      <w:r>
        <w:rPr>
          <w:color w:val="231F20"/>
        </w:rPr>
        <w:t>Institution</w:t>
      </w:r>
      <w:r>
        <w:rPr>
          <w:color w:val="231F20"/>
          <w:spacing w:val="-3"/>
        </w:rPr>
        <w:t> </w:t>
      </w:r>
      <w:r>
        <w:rPr>
          <w:color w:val="231F20"/>
        </w:rPr>
        <w:t>does</w:t>
      </w:r>
      <w:r>
        <w:rPr>
          <w:color w:val="231F20"/>
          <w:spacing w:val="-3"/>
        </w:rPr>
        <w:t> </w:t>
      </w:r>
      <w:r>
        <w:rPr>
          <w:color w:val="231F20"/>
        </w:rPr>
        <w:t>not</w:t>
      </w:r>
      <w:r>
        <w:rPr>
          <w:color w:val="231F20"/>
          <w:spacing w:val="-3"/>
        </w:rPr>
        <w:t> </w:t>
      </w:r>
      <w:r>
        <w:rPr>
          <w:color w:val="231F20"/>
        </w:rPr>
        <w:t>have</w:t>
      </w:r>
      <w:r>
        <w:rPr>
          <w:color w:val="231F20"/>
          <w:spacing w:val="-3"/>
        </w:rPr>
        <w:t> </w:t>
      </w:r>
      <w:r>
        <w:rPr>
          <w:color w:val="231F20"/>
        </w:rPr>
        <w:t>a</w:t>
      </w:r>
      <w:r>
        <w:rPr>
          <w:color w:val="231F20"/>
          <w:spacing w:val="-3"/>
        </w:rPr>
        <w:t> </w:t>
      </w:r>
      <w:r>
        <w:rPr>
          <w:color w:val="231F20"/>
        </w:rPr>
        <w:t>deposit</w:t>
      </w:r>
      <w:r>
        <w:rPr>
          <w:color w:val="231F20"/>
          <w:spacing w:val="-3"/>
        </w:rPr>
        <w:t> </w:t>
      </w:r>
      <w:r>
        <w:rPr>
          <w:color w:val="231F20"/>
        </w:rPr>
        <w:t>policy</w:t>
      </w:r>
      <w:r>
        <w:rPr>
          <w:color w:val="231F20"/>
          <w:spacing w:val="-3"/>
        </w:rPr>
        <w:t> </w:t>
      </w:r>
      <w:r>
        <w:rPr>
          <w:color w:val="231F20"/>
        </w:rPr>
        <w:t>for</w:t>
      </w:r>
      <w:r>
        <w:rPr>
          <w:color w:val="231F20"/>
          <w:spacing w:val="-3"/>
        </w:rPr>
        <w:t> </w:t>
      </w:r>
      <w:r>
        <w:rPr>
          <w:color w:val="231F20"/>
        </w:rPr>
        <w:t>custodial</w:t>
      </w:r>
      <w:r>
        <w:rPr>
          <w:color w:val="231F20"/>
          <w:spacing w:val="-3"/>
        </w:rPr>
        <w:t> </w:t>
      </w:r>
      <w:r>
        <w:rPr>
          <w:color w:val="231F20"/>
        </w:rPr>
        <w:t>credit</w:t>
      </w:r>
      <w:r>
        <w:rPr>
          <w:color w:val="231F20"/>
          <w:spacing w:val="-3"/>
        </w:rPr>
        <w:t> </w:t>
      </w:r>
      <w:r>
        <w:rPr>
          <w:color w:val="231F20"/>
        </w:rPr>
        <w:t>risk.</w:t>
      </w:r>
      <w:r>
        <w:rPr>
          <w:color w:val="231F20"/>
          <w:spacing w:val="-3"/>
        </w:rPr>
        <w:t> </w:t>
      </w:r>
      <w:r>
        <w:rPr>
          <w:color w:val="231F20"/>
        </w:rPr>
        <w:t>As</w:t>
      </w:r>
      <w:r>
        <w:rPr>
          <w:color w:val="231F20"/>
          <w:spacing w:val="-3"/>
        </w:rPr>
        <w:t> </w:t>
      </w:r>
      <w:r>
        <w:rPr>
          <w:color w:val="231F20"/>
        </w:rPr>
        <w:t>of</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2022, the Institute's custodial credit risk was as follows:</w:t>
      </w:r>
    </w:p>
    <w:p>
      <w:pPr>
        <w:pStyle w:val="BodyText"/>
        <w:spacing w:after="1"/>
        <w:rPr>
          <w:sz w:val="25"/>
        </w:rPr>
      </w:pPr>
    </w:p>
    <w:tbl>
      <w:tblPr>
        <w:tblW w:w="0" w:type="auto"/>
        <w:jc w:val="left"/>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60"/>
        <w:gridCol w:w="2624"/>
      </w:tblGrid>
      <w:tr>
        <w:trPr>
          <w:trHeight w:val="232" w:hRule="atLeast"/>
        </w:trPr>
        <w:tc>
          <w:tcPr>
            <w:tcW w:w="6760" w:type="dxa"/>
          </w:tcPr>
          <w:p>
            <w:pPr>
              <w:pStyle w:val="TableParagraph"/>
              <w:spacing w:line="212" w:lineRule="exact"/>
              <w:ind w:left="50"/>
              <w:rPr>
                <w:sz w:val="19"/>
              </w:rPr>
            </w:pPr>
            <w:r>
              <w:rPr>
                <w:color w:val="231F20"/>
                <w:w w:val="105"/>
                <w:sz w:val="19"/>
              </w:rPr>
              <w:t>Bank</w:t>
            </w:r>
            <w:r>
              <w:rPr>
                <w:color w:val="231F20"/>
                <w:spacing w:val="-1"/>
                <w:w w:val="105"/>
                <w:sz w:val="19"/>
              </w:rPr>
              <w:t> </w:t>
            </w:r>
            <w:r>
              <w:rPr>
                <w:color w:val="231F20"/>
                <w:w w:val="105"/>
                <w:sz w:val="19"/>
              </w:rPr>
              <w:t>balance</w:t>
            </w:r>
            <w:r>
              <w:rPr>
                <w:color w:val="231F20"/>
                <w:spacing w:val="-1"/>
                <w:w w:val="105"/>
                <w:sz w:val="19"/>
              </w:rPr>
              <w:t> </w:t>
            </w:r>
            <w:r>
              <w:rPr>
                <w:color w:val="231F20"/>
                <w:w w:val="105"/>
                <w:sz w:val="19"/>
              </w:rPr>
              <w:t>uninsured and</w:t>
            </w:r>
            <w:r>
              <w:rPr>
                <w:color w:val="231F20"/>
                <w:spacing w:val="-1"/>
                <w:w w:val="105"/>
                <w:sz w:val="19"/>
              </w:rPr>
              <w:t> </w:t>
            </w:r>
            <w:r>
              <w:rPr>
                <w:color w:val="231F20"/>
                <w:spacing w:val="-2"/>
                <w:w w:val="105"/>
                <w:sz w:val="19"/>
              </w:rPr>
              <w:t>uncollaterized</w:t>
            </w:r>
          </w:p>
        </w:tc>
        <w:tc>
          <w:tcPr>
            <w:tcW w:w="2624" w:type="dxa"/>
          </w:tcPr>
          <w:p>
            <w:pPr>
              <w:pStyle w:val="TableParagraph"/>
              <w:tabs>
                <w:tab w:pos="1414" w:val="left" w:leader="none"/>
              </w:tabs>
              <w:spacing w:line="212" w:lineRule="exact"/>
              <w:ind w:left="920"/>
              <w:jc w:val="center"/>
              <w:rPr>
                <w:sz w:val="19"/>
              </w:rPr>
            </w:pPr>
            <w:r>
              <w:rPr>
                <w:color w:val="231F20"/>
                <w:spacing w:val="-10"/>
                <w:w w:val="105"/>
                <w:sz w:val="19"/>
              </w:rPr>
              <w:t>$</w:t>
            </w:r>
            <w:r>
              <w:rPr>
                <w:color w:val="231F20"/>
                <w:sz w:val="19"/>
              </w:rPr>
              <w:tab/>
            </w:r>
            <w:r>
              <w:rPr>
                <w:color w:val="231F20"/>
                <w:spacing w:val="-2"/>
                <w:w w:val="105"/>
                <w:sz w:val="19"/>
              </w:rPr>
              <w:t>7,874,259</w:t>
            </w:r>
          </w:p>
        </w:tc>
      </w:tr>
      <w:tr>
        <w:trPr>
          <w:trHeight w:val="370" w:hRule="atLeast"/>
        </w:trPr>
        <w:tc>
          <w:tcPr>
            <w:tcW w:w="6760" w:type="dxa"/>
          </w:tcPr>
          <w:p>
            <w:pPr>
              <w:pStyle w:val="TableParagraph"/>
              <w:spacing w:before="12"/>
              <w:ind w:left="50"/>
              <w:rPr>
                <w:sz w:val="19"/>
              </w:rPr>
            </w:pPr>
            <w:r>
              <w:rPr>
                <w:color w:val="231F20"/>
                <w:w w:val="105"/>
                <w:sz w:val="19"/>
              </w:rPr>
              <w:t>Bank</w:t>
            </w:r>
            <w:r>
              <w:rPr>
                <w:color w:val="231F20"/>
                <w:spacing w:val="-1"/>
                <w:w w:val="105"/>
                <w:sz w:val="19"/>
              </w:rPr>
              <w:t> </w:t>
            </w:r>
            <w:r>
              <w:rPr>
                <w:color w:val="231F20"/>
                <w:w w:val="105"/>
                <w:sz w:val="19"/>
              </w:rPr>
              <w:t>balance</w:t>
            </w:r>
            <w:r>
              <w:rPr>
                <w:color w:val="231F20"/>
                <w:spacing w:val="-1"/>
                <w:w w:val="105"/>
                <w:sz w:val="19"/>
              </w:rPr>
              <w:t> </w:t>
            </w:r>
            <w:r>
              <w:rPr>
                <w:color w:val="231F20"/>
                <w:w w:val="105"/>
                <w:sz w:val="19"/>
              </w:rPr>
              <w:t>insured</w:t>
            </w:r>
            <w:r>
              <w:rPr>
                <w:color w:val="231F20"/>
                <w:spacing w:val="-1"/>
                <w:w w:val="105"/>
                <w:sz w:val="19"/>
              </w:rPr>
              <w:t> </w:t>
            </w:r>
            <w:r>
              <w:rPr>
                <w:color w:val="231F20"/>
                <w:w w:val="105"/>
                <w:sz w:val="19"/>
              </w:rPr>
              <w:t>and collateral</w:t>
            </w:r>
            <w:r>
              <w:rPr>
                <w:color w:val="231F20"/>
                <w:spacing w:val="-1"/>
                <w:w w:val="105"/>
                <w:sz w:val="19"/>
              </w:rPr>
              <w:t> </w:t>
            </w:r>
            <w:r>
              <w:rPr>
                <w:color w:val="231F20"/>
                <w:w w:val="105"/>
                <w:sz w:val="19"/>
              </w:rPr>
              <w:t>held</w:t>
            </w:r>
            <w:r>
              <w:rPr>
                <w:color w:val="231F20"/>
                <w:spacing w:val="-1"/>
                <w:w w:val="105"/>
                <w:sz w:val="19"/>
              </w:rPr>
              <w:t> </w:t>
            </w:r>
            <w:r>
              <w:rPr>
                <w:color w:val="231F20"/>
                <w:w w:val="105"/>
                <w:sz w:val="19"/>
              </w:rPr>
              <w:t>(not</w:t>
            </w:r>
            <w:r>
              <w:rPr>
                <w:color w:val="231F20"/>
                <w:spacing w:val="-1"/>
                <w:w w:val="105"/>
                <w:sz w:val="19"/>
              </w:rPr>
              <w:t> </w:t>
            </w:r>
            <w:r>
              <w:rPr>
                <w:color w:val="231F20"/>
                <w:w w:val="105"/>
                <w:sz w:val="19"/>
              </w:rPr>
              <w:t>in Institute's</w:t>
            </w:r>
            <w:r>
              <w:rPr>
                <w:color w:val="231F20"/>
                <w:spacing w:val="-1"/>
                <w:w w:val="105"/>
                <w:sz w:val="19"/>
              </w:rPr>
              <w:t> </w:t>
            </w:r>
            <w:r>
              <w:rPr>
                <w:color w:val="231F20"/>
                <w:spacing w:val="-2"/>
                <w:w w:val="105"/>
                <w:sz w:val="19"/>
              </w:rPr>
              <w:t>name)</w:t>
            </w:r>
          </w:p>
        </w:tc>
        <w:tc>
          <w:tcPr>
            <w:tcW w:w="2624" w:type="dxa"/>
          </w:tcPr>
          <w:p>
            <w:pPr>
              <w:pStyle w:val="TableParagraph"/>
              <w:tabs>
                <w:tab w:pos="1413" w:val="left" w:leader="none"/>
              </w:tabs>
              <w:spacing w:before="12"/>
              <w:ind w:left="924"/>
              <w:jc w:val="center"/>
              <w:rPr>
                <w:sz w:val="19"/>
              </w:rPr>
            </w:pPr>
            <w:r>
              <w:rPr>
                <w:color w:val="231F20"/>
                <w:sz w:val="19"/>
                <w:u w:val="thick" w:color="231F20"/>
              </w:rPr>
              <w:tab/>
            </w:r>
            <w:r>
              <w:rPr>
                <w:color w:val="231F20"/>
                <w:spacing w:val="-2"/>
                <w:w w:val="105"/>
                <w:sz w:val="19"/>
                <w:u w:val="thick" w:color="231F20"/>
              </w:rPr>
              <w:t>32,827,355</w:t>
            </w:r>
            <w:r>
              <w:rPr>
                <w:color w:val="231F20"/>
                <w:spacing w:val="80"/>
                <w:w w:val="105"/>
                <w:sz w:val="19"/>
                <w:u w:val="thick" w:color="231F20"/>
              </w:rPr>
              <w:t> </w:t>
            </w:r>
          </w:p>
        </w:tc>
      </w:tr>
      <w:tr>
        <w:trPr>
          <w:trHeight w:val="357" w:hRule="atLeast"/>
        </w:trPr>
        <w:tc>
          <w:tcPr>
            <w:tcW w:w="6760" w:type="dxa"/>
          </w:tcPr>
          <w:p>
            <w:pPr>
              <w:pStyle w:val="TableParagraph"/>
              <w:spacing w:line="200" w:lineRule="exact" w:before="137"/>
              <w:ind w:left="50"/>
              <w:rPr>
                <w:sz w:val="19"/>
              </w:rPr>
            </w:pPr>
            <w:r>
              <w:rPr>
                <w:color w:val="231F20"/>
                <w:w w:val="105"/>
                <w:sz w:val="19"/>
              </w:rPr>
              <w:t>Total</w:t>
            </w:r>
            <w:r>
              <w:rPr>
                <w:color w:val="231F20"/>
                <w:spacing w:val="-2"/>
                <w:w w:val="105"/>
                <w:sz w:val="19"/>
              </w:rPr>
              <w:t> </w:t>
            </w:r>
            <w:r>
              <w:rPr>
                <w:color w:val="231F20"/>
                <w:w w:val="105"/>
                <w:sz w:val="19"/>
              </w:rPr>
              <w:t>custodial</w:t>
            </w:r>
            <w:r>
              <w:rPr>
                <w:color w:val="231F20"/>
                <w:spacing w:val="-1"/>
                <w:w w:val="105"/>
                <w:sz w:val="19"/>
              </w:rPr>
              <w:t> </w:t>
            </w:r>
            <w:r>
              <w:rPr>
                <w:color w:val="231F20"/>
                <w:w w:val="105"/>
                <w:sz w:val="19"/>
              </w:rPr>
              <w:t>credit</w:t>
            </w:r>
            <w:r>
              <w:rPr>
                <w:color w:val="231F20"/>
                <w:spacing w:val="-1"/>
                <w:w w:val="105"/>
                <w:sz w:val="19"/>
              </w:rPr>
              <w:t> </w:t>
            </w:r>
            <w:r>
              <w:rPr>
                <w:color w:val="231F20"/>
                <w:w w:val="105"/>
                <w:sz w:val="19"/>
              </w:rPr>
              <w:t>risk</w:t>
            </w:r>
            <w:r>
              <w:rPr>
                <w:color w:val="231F20"/>
                <w:spacing w:val="-1"/>
                <w:w w:val="105"/>
                <w:sz w:val="19"/>
              </w:rPr>
              <w:t> </w:t>
            </w:r>
            <w:r>
              <w:rPr>
                <w:color w:val="231F20"/>
                <w:w w:val="105"/>
                <w:sz w:val="19"/>
              </w:rPr>
              <w:t>-</w:t>
            </w:r>
            <w:r>
              <w:rPr>
                <w:color w:val="231F20"/>
                <w:spacing w:val="-1"/>
                <w:w w:val="105"/>
                <w:sz w:val="19"/>
              </w:rPr>
              <w:t> </w:t>
            </w:r>
            <w:r>
              <w:rPr>
                <w:color w:val="231F20"/>
                <w:spacing w:val="-4"/>
                <w:w w:val="105"/>
                <w:sz w:val="19"/>
              </w:rPr>
              <w:t>cash</w:t>
            </w:r>
          </w:p>
        </w:tc>
        <w:tc>
          <w:tcPr>
            <w:tcW w:w="2624" w:type="dxa"/>
          </w:tcPr>
          <w:p>
            <w:pPr>
              <w:pStyle w:val="TableParagraph"/>
              <w:tabs>
                <w:tab w:pos="1415" w:val="left" w:leader="none"/>
              </w:tabs>
              <w:spacing w:line="200" w:lineRule="exact" w:before="137"/>
              <w:ind w:left="924"/>
              <w:jc w:val="center"/>
              <w:rPr>
                <w:sz w:val="19"/>
              </w:rPr>
            </w:pPr>
            <w:r>
              <w:rPr>
                <w:color w:val="231F20"/>
                <w:spacing w:val="49"/>
                <w:w w:val="105"/>
                <w:sz w:val="19"/>
                <w:u w:val="double" w:color="231F20"/>
              </w:rPr>
              <w:t> </w:t>
            </w:r>
            <w:r>
              <w:rPr>
                <w:color w:val="231F20"/>
                <w:spacing w:val="-10"/>
                <w:w w:val="105"/>
                <w:sz w:val="19"/>
                <w:u w:val="double" w:color="231F20"/>
              </w:rPr>
              <w:t>$</w:t>
            </w:r>
            <w:r>
              <w:rPr>
                <w:color w:val="231F20"/>
                <w:sz w:val="19"/>
                <w:u w:val="double" w:color="231F20"/>
              </w:rPr>
              <w:tab/>
            </w:r>
            <w:r>
              <w:rPr>
                <w:color w:val="231F20"/>
                <w:spacing w:val="-2"/>
                <w:w w:val="105"/>
                <w:sz w:val="19"/>
                <w:u w:val="double" w:color="231F20"/>
              </w:rPr>
              <w:t>40,701,614</w:t>
            </w:r>
            <w:r>
              <w:rPr>
                <w:color w:val="231F20"/>
                <w:spacing w:val="80"/>
                <w:w w:val="105"/>
                <w:sz w:val="19"/>
                <w:u w:val="double" w:color="231F20"/>
              </w:rPr>
              <w:t> </w:t>
            </w:r>
          </w:p>
        </w:tc>
      </w:tr>
    </w:tbl>
    <w:p>
      <w:pPr>
        <w:pStyle w:val="BodyText"/>
        <w:spacing w:before="4"/>
        <w:rPr>
          <w:sz w:val="28"/>
        </w:rPr>
      </w:pPr>
    </w:p>
    <w:p>
      <w:pPr>
        <w:pStyle w:val="BodyText"/>
        <w:spacing w:line="276" w:lineRule="auto"/>
        <w:ind w:left="1439" w:right="1284"/>
        <w:jc w:val="both"/>
        <w:rPr>
          <w:b/>
        </w:rPr>
      </w:pPr>
      <w:r>
        <w:rPr>
          <w:color w:val="231F20"/>
        </w:rPr>
        <w:t>The</w:t>
      </w:r>
      <w:r>
        <w:rPr>
          <w:color w:val="231F20"/>
          <w:spacing w:val="-3"/>
        </w:rPr>
        <w:t> </w:t>
      </w:r>
      <w:r>
        <w:rPr>
          <w:color w:val="231F20"/>
        </w:rPr>
        <w:t>Institute</w:t>
      </w:r>
      <w:r>
        <w:rPr>
          <w:color w:val="231F20"/>
          <w:spacing w:val="-3"/>
        </w:rPr>
        <w:t> </w:t>
      </w:r>
      <w:r>
        <w:rPr>
          <w:color w:val="231F20"/>
        </w:rPr>
        <w:t>is</w:t>
      </w:r>
      <w:r>
        <w:rPr>
          <w:color w:val="231F20"/>
          <w:spacing w:val="-2"/>
        </w:rPr>
        <w:t> </w:t>
      </w:r>
      <w:r>
        <w:rPr>
          <w:color w:val="231F20"/>
        </w:rPr>
        <w:t>required</w:t>
      </w:r>
      <w:r>
        <w:rPr>
          <w:color w:val="231F20"/>
          <w:spacing w:val="-3"/>
        </w:rPr>
        <w:t> </w:t>
      </w:r>
      <w:r>
        <w:rPr>
          <w:color w:val="231F20"/>
        </w:rPr>
        <w:t>to</w:t>
      </w:r>
      <w:r>
        <w:rPr>
          <w:color w:val="231F20"/>
          <w:spacing w:val="-3"/>
        </w:rPr>
        <w:t> </w:t>
      </w:r>
      <w:r>
        <w:rPr>
          <w:color w:val="231F20"/>
        </w:rPr>
        <w:t>comply</w:t>
      </w:r>
      <w:r>
        <w:rPr>
          <w:color w:val="231F20"/>
          <w:spacing w:val="-2"/>
        </w:rPr>
        <w:t> </w:t>
      </w:r>
      <w:r>
        <w:rPr>
          <w:color w:val="231F20"/>
        </w:rPr>
        <w:t>with</w:t>
      </w:r>
      <w:r>
        <w:rPr>
          <w:color w:val="231F20"/>
          <w:spacing w:val="-4"/>
        </w:rPr>
        <w:t> </w:t>
      </w:r>
      <w:r>
        <w:rPr>
          <w:color w:val="231F20"/>
        </w:rPr>
        <w:t>Section</w:t>
      </w:r>
      <w:r>
        <w:rPr>
          <w:color w:val="231F20"/>
          <w:spacing w:val="-3"/>
        </w:rPr>
        <w:t> </w:t>
      </w:r>
      <w:r>
        <w:rPr>
          <w:color w:val="231F20"/>
        </w:rPr>
        <w:t>6-10-16</w:t>
      </w:r>
      <w:r>
        <w:rPr>
          <w:color w:val="231F20"/>
          <w:spacing w:val="-3"/>
        </w:rPr>
        <w:t> </w:t>
      </w:r>
      <w:r>
        <w:rPr>
          <w:color w:val="231F20"/>
        </w:rPr>
        <w:t>and</w:t>
      </w:r>
      <w:r>
        <w:rPr>
          <w:color w:val="231F20"/>
          <w:spacing w:val="-3"/>
        </w:rPr>
        <w:t> </w:t>
      </w:r>
      <w:r>
        <w:rPr>
          <w:color w:val="231F20"/>
        </w:rPr>
        <w:t>6-10-17</w:t>
      </w:r>
      <w:r>
        <w:rPr>
          <w:color w:val="231F20"/>
          <w:spacing w:val="-3"/>
        </w:rPr>
        <w:t> </w:t>
      </w:r>
      <w:r>
        <w:rPr>
          <w:color w:val="231F20"/>
        </w:rPr>
        <w:t>NMSA</w:t>
      </w:r>
      <w:r>
        <w:rPr>
          <w:color w:val="231F20"/>
          <w:spacing w:val="-3"/>
        </w:rPr>
        <w:t> </w:t>
      </w:r>
      <w:r>
        <w:rPr>
          <w:color w:val="231F20"/>
        </w:rPr>
        <w:t>1978,</w:t>
      </w:r>
      <w:r>
        <w:rPr>
          <w:color w:val="231F20"/>
          <w:spacing w:val="-3"/>
        </w:rPr>
        <w:t> </w:t>
      </w:r>
      <w:r>
        <w:rPr>
          <w:color w:val="231F20"/>
        </w:rPr>
        <w:t>which</w:t>
      </w:r>
      <w:r>
        <w:rPr>
          <w:color w:val="231F20"/>
          <w:spacing w:val="-3"/>
        </w:rPr>
        <w:t> </w:t>
      </w:r>
      <w:r>
        <w:rPr>
          <w:color w:val="231F20"/>
        </w:rPr>
        <w:t>requires</w:t>
      </w:r>
      <w:r>
        <w:rPr>
          <w:color w:val="231F20"/>
          <w:spacing w:val="-2"/>
        </w:rPr>
        <w:t> </w:t>
      </w:r>
      <w:r>
        <w:rPr>
          <w:color w:val="231F20"/>
        </w:rPr>
        <w:t>that 50%</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uninsured</w:t>
      </w:r>
      <w:r>
        <w:rPr>
          <w:color w:val="231F20"/>
          <w:spacing w:val="-1"/>
        </w:rPr>
        <w:t> </w:t>
      </w:r>
      <w:r>
        <w:rPr>
          <w:color w:val="231F20"/>
        </w:rPr>
        <w:t>balance</w:t>
      </w:r>
      <w:r>
        <w:rPr>
          <w:color w:val="231F20"/>
          <w:spacing w:val="-1"/>
        </w:rPr>
        <w:t> </w:t>
      </w:r>
      <w:r>
        <w:rPr>
          <w:color w:val="231F20"/>
        </w:rPr>
        <w:t>of</w:t>
      </w:r>
      <w:r>
        <w:rPr>
          <w:color w:val="231F20"/>
          <w:spacing w:val="-1"/>
        </w:rPr>
        <w:t> </w:t>
      </w:r>
      <w:r>
        <w:rPr>
          <w:color w:val="231F20"/>
        </w:rPr>
        <w:t>public</w:t>
      </w:r>
      <w:r>
        <w:rPr>
          <w:color w:val="231F20"/>
          <w:spacing w:val="-2"/>
        </w:rPr>
        <w:t> </w:t>
      </w:r>
      <w:r>
        <w:rPr>
          <w:color w:val="231F20"/>
        </w:rPr>
        <w:t>deposits</w:t>
      </w:r>
      <w:r>
        <w:rPr>
          <w:color w:val="231F20"/>
          <w:spacing w:val="-1"/>
        </w:rPr>
        <w:t> </w:t>
      </w:r>
      <w:r>
        <w:rPr>
          <w:color w:val="231F20"/>
        </w:rPr>
        <w:t>be secured</w:t>
      </w:r>
      <w:r>
        <w:rPr>
          <w:color w:val="231F20"/>
          <w:spacing w:val="-1"/>
        </w:rPr>
        <w:t> </w:t>
      </w:r>
      <w:r>
        <w:rPr>
          <w:color w:val="231F20"/>
        </w:rPr>
        <w:t>by pledges</w:t>
      </w:r>
      <w:r>
        <w:rPr>
          <w:color w:val="231F20"/>
          <w:spacing w:val="-1"/>
        </w:rPr>
        <w:t> </w:t>
      </w:r>
      <w:r>
        <w:rPr>
          <w:color w:val="231F20"/>
        </w:rPr>
        <w:t>of</w:t>
      </w:r>
      <w:r>
        <w:rPr>
          <w:color w:val="231F20"/>
          <w:spacing w:val="-1"/>
        </w:rPr>
        <w:t> </w:t>
      </w:r>
      <w:r>
        <w:rPr>
          <w:color w:val="231F20"/>
        </w:rPr>
        <w:t>qualifying</w:t>
      </w:r>
      <w:r>
        <w:rPr>
          <w:color w:val="231F20"/>
          <w:spacing w:val="-2"/>
        </w:rPr>
        <w:t> </w:t>
      </w:r>
      <w:r>
        <w:rPr>
          <w:color w:val="231F20"/>
        </w:rPr>
        <w:t>securities of</w:t>
      </w:r>
      <w:r>
        <w:rPr>
          <w:color w:val="231F20"/>
          <w:spacing w:val="-1"/>
        </w:rPr>
        <w:t> </w:t>
      </w:r>
      <w:r>
        <w:rPr>
          <w:color w:val="231F20"/>
        </w:rPr>
        <w:t>the depository. The Institute’s pledged collateral as of June 30, 2022 was as follows</w:t>
      </w:r>
      <w:r>
        <w:rPr>
          <w:b/>
          <w:color w:val="231F20"/>
        </w:rPr>
        <w:t>:</w:t>
      </w:r>
    </w:p>
    <w:p>
      <w:pPr>
        <w:pStyle w:val="BodyText"/>
        <w:spacing w:before="1"/>
        <w:rPr>
          <w:b/>
          <w:sz w:val="25"/>
        </w:rPr>
      </w:pPr>
    </w:p>
    <w:tbl>
      <w:tblPr>
        <w:tblW w:w="0" w:type="auto"/>
        <w:jc w:val="left"/>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34"/>
        <w:gridCol w:w="2140"/>
      </w:tblGrid>
      <w:tr>
        <w:trPr>
          <w:trHeight w:val="236" w:hRule="atLeast"/>
        </w:trPr>
        <w:tc>
          <w:tcPr>
            <w:tcW w:w="7234" w:type="dxa"/>
          </w:tcPr>
          <w:p>
            <w:pPr>
              <w:pStyle w:val="TableParagraph"/>
              <w:spacing w:line="217" w:lineRule="exact"/>
              <w:ind w:left="50"/>
              <w:rPr>
                <w:sz w:val="20"/>
              </w:rPr>
            </w:pPr>
            <w:r>
              <w:rPr>
                <w:color w:val="231F20"/>
                <w:sz w:val="20"/>
              </w:rPr>
              <w:t>Total</w:t>
            </w:r>
            <w:r>
              <w:rPr>
                <w:color w:val="231F20"/>
                <w:spacing w:val="-3"/>
                <w:sz w:val="20"/>
              </w:rPr>
              <w:t> </w:t>
            </w:r>
            <w:r>
              <w:rPr>
                <w:color w:val="231F20"/>
                <w:sz w:val="20"/>
              </w:rPr>
              <w:t>deposits</w:t>
            </w:r>
            <w:r>
              <w:rPr>
                <w:color w:val="231F20"/>
                <w:spacing w:val="-2"/>
                <w:sz w:val="20"/>
              </w:rPr>
              <w:t> </w:t>
            </w:r>
            <w:r>
              <w:rPr>
                <w:color w:val="231F20"/>
                <w:sz w:val="20"/>
              </w:rPr>
              <w:t>all</w:t>
            </w:r>
            <w:r>
              <w:rPr>
                <w:color w:val="231F20"/>
                <w:spacing w:val="-2"/>
                <w:sz w:val="20"/>
              </w:rPr>
              <w:t> banks</w:t>
            </w:r>
          </w:p>
        </w:tc>
        <w:tc>
          <w:tcPr>
            <w:tcW w:w="2140" w:type="dxa"/>
          </w:tcPr>
          <w:p>
            <w:pPr>
              <w:pStyle w:val="TableParagraph"/>
              <w:tabs>
                <w:tab w:pos="385" w:val="left" w:leader="none"/>
              </w:tabs>
              <w:spacing w:line="217" w:lineRule="exact"/>
              <w:ind w:right="154"/>
              <w:jc w:val="right"/>
              <w:rPr>
                <w:sz w:val="20"/>
              </w:rPr>
            </w:pPr>
            <w:r>
              <w:rPr>
                <w:color w:val="231F20"/>
                <w:spacing w:val="-10"/>
                <w:sz w:val="20"/>
              </w:rPr>
              <w:t>$</w:t>
            </w:r>
            <w:r>
              <w:rPr>
                <w:color w:val="231F20"/>
                <w:sz w:val="20"/>
              </w:rPr>
              <w:tab/>
            </w:r>
            <w:r>
              <w:rPr>
                <w:color w:val="231F20"/>
                <w:spacing w:val="-2"/>
                <w:sz w:val="20"/>
              </w:rPr>
              <w:t>41,951,614</w:t>
            </w:r>
          </w:p>
        </w:tc>
      </w:tr>
      <w:tr>
        <w:trPr>
          <w:trHeight w:val="250" w:hRule="atLeast"/>
        </w:trPr>
        <w:tc>
          <w:tcPr>
            <w:tcW w:w="7234" w:type="dxa"/>
          </w:tcPr>
          <w:p>
            <w:pPr>
              <w:pStyle w:val="TableParagraph"/>
              <w:spacing w:line="223" w:lineRule="exact" w:before="7"/>
              <w:ind w:left="50"/>
              <w:rPr>
                <w:sz w:val="20"/>
              </w:rPr>
            </w:pPr>
            <w:r>
              <w:rPr>
                <w:color w:val="231F20"/>
                <w:sz w:val="20"/>
              </w:rPr>
              <w:t>Less:</w:t>
            </w:r>
            <w:r>
              <w:rPr>
                <w:color w:val="231F20"/>
                <w:spacing w:val="-1"/>
                <w:sz w:val="20"/>
              </w:rPr>
              <w:t> </w:t>
            </w:r>
            <w:r>
              <w:rPr>
                <w:color w:val="231F20"/>
                <w:sz w:val="20"/>
              </w:rPr>
              <w:t>FDIC</w:t>
            </w:r>
            <w:r>
              <w:rPr>
                <w:color w:val="231F20"/>
                <w:spacing w:val="-1"/>
                <w:sz w:val="20"/>
              </w:rPr>
              <w:t> </w:t>
            </w:r>
            <w:r>
              <w:rPr>
                <w:color w:val="231F20"/>
                <w:spacing w:val="-2"/>
                <w:sz w:val="20"/>
              </w:rPr>
              <w:t>coverage</w:t>
            </w:r>
          </w:p>
        </w:tc>
        <w:tc>
          <w:tcPr>
            <w:tcW w:w="2140" w:type="dxa"/>
          </w:tcPr>
          <w:p>
            <w:pPr>
              <w:pStyle w:val="TableParagraph"/>
              <w:tabs>
                <w:tab w:pos="535" w:val="left" w:leader="none"/>
              </w:tabs>
              <w:spacing w:line="223" w:lineRule="exact" w:before="7"/>
              <w:ind w:right="88"/>
              <w:jc w:val="right"/>
              <w:rPr>
                <w:sz w:val="20"/>
              </w:rPr>
            </w:pPr>
            <w:r>
              <w:rPr>
                <w:color w:val="231F20"/>
                <w:sz w:val="20"/>
                <w:u w:val="thick" w:color="231F20"/>
              </w:rPr>
              <w:tab/>
            </w:r>
            <w:r>
              <w:rPr>
                <w:color w:val="231F20"/>
                <w:spacing w:val="-2"/>
                <w:sz w:val="20"/>
                <w:u w:val="thick" w:color="231F20"/>
              </w:rPr>
              <w:t>(1,250,000)</w:t>
            </w:r>
          </w:p>
        </w:tc>
      </w:tr>
      <w:tr>
        <w:trPr>
          <w:trHeight w:val="374" w:hRule="atLeast"/>
        </w:trPr>
        <w:tc>
          <w:tcPr>
            <w:tcW w:w="7234" w:type="dxa"/>
          </w:tcPr>
          <w:p>
            <w:pPr>
              <w:pStyle w:val="TableParagraph"/>
              <w:spacing w:before="7"/>
              <w:ind w:left="50"/>
              <w:rPr>
                <w:sz w:val="20"/>
              </w:rPr>
            </w:pPr>
            <w:r>
              <w:rPr>
                <w:color w:val="231F20"/>
                <w:sz w:val="20"/>
              </w:rPr>
              <w:t>Uninsured</w:t>
            </w:r>
            <w:r>
              <w:rPr>
                <w:color w:val="231F20"/>
                <w:spacing w:val="-2"/>
                <w:sz w:val="20"/>
              </w:rPr>
              <w:t> </w:t>
            </w:r>
            <w:r>
              <w:rPr>
                <w:color w:val="231F20"/>
                <w:sz w:val="20"/>
              </w:rPr>
              <w:t>public</w:t>
            </w:r>
            <w:r>
              <w:rPr>
                <w:color w:val="231F20"/>
                <w:spacing w:val="-2"/>
                <w:sz w:val="20"/>
              </w:rPr>
              <w:t> funds</w:t>
            </w:r>
          </w:p>
        </w:tc>
        <w:tc>
          <w:tcPr>
            <w:tcW w:w="2140" w:type="dxa"/>
          </w:tcPr>
          <w:p>
            <w:pPr>
              <w:pStyle w:val="TableParagraph"/>
              <w:spacing w:before="7"/>
              <w:ind w:right="156"/>
              <w:jc w:val="right"/>
              <w:rPr>
                <w:sz w:val="20"/>
              </w:rPr>
            </w:pPr>
            <w:r>
              <w:rPr>
                <w:color w:val="231F20"/>
                <w:spacing w:val="-2"/>
                <w:sz w:val="20"/>
              </w:rPr>
              <w:t>40,701,614</w:t>
            </w:r>
          </w:p>
        </w:tc>
      </w:tr>
      <w:tr>
        <w:trPr>
          <w:trHeight w:val="499" w:hRule="atLeast"/>
        </w:trPr>
        <w:tc>
          <w:tcPr>
            <w:tcW w:w="7234" w:type="dxa"/>
          </w:tcPr>
          <w:p>
            <w:pPr>
              <w:pStyle w:val="TableParagraph"/>
              <w:spacing w:before="131"/>
              <w:ind w:left="50"/>
              <w:rPr>
                <w:sz w:val="20"/>
              </w:rPr>
            </w:pPr>
            <w:r>
              <w:rPr>
                <w:color w:val="231F20"/>
                <w:sz w:val="20"/>
              </w:rPr>
              <w:t>50%</w:t>
            </w:r>
            <w:r>
              <w:rPr>
                <w:color w:val="231F20"/>
                <w:spacing w:val="-2"/>
                <w:sz w:val="20"/>
              </w:rPr>
              <w:t> </w:t>
            </w:r>
            <w:r>
              <w:rPr>
                <w:color w:val="231F20"/>
                <w:sz w:val="20"/>
              </w:rPr>
              <w:t>collateral</w:t>
            </w:r>
            <w:r>
              <w:rPr>
                <w:color w:val="231F20"/>
                <w:spacing w:val="-1"/>
                <w:sz w:val="20"/>
              </w:rPr>
              <w:t> </w:t>
            </w:r>
            <w:r>
              <w:rPr>
                <w:color w:val="231F20"/>
                <w:spacing w:val="-2"/>
                <w:sz w:val="20"/>
              </w:rPr>
              <w:t>required</w:t>
            </w:r>
          </w:p>
        </w:tc>
        <w:tc>
          <w:tcPr>
            <w:tcW w:w="2140" w:type="dxa"/>
          </w:tcPr>
          <w:p>
            <w:pPr>
              <w:pStyle w:val="TableParagraph"/>
              <w:spacing w:before="131"/>
              <w:ind w:right="154"/>
              <w:jc w:val="right"/>
              <w:rPr>
                <w:sz w:val="20"/>
              </w:rPr>
            </w:pPr>
            <w:r>
              <w:rPr>
                <w:color w:val="231F20"/>
                <w:spacing w:val="-2"/>
                <w:sz w:val="20"/>
              </w:rPr>
              <w:t>20,350,807</w:t>
            </w:r>
          </w:p>
        </w:tc>
      </w:tr>
      <w:tr>
        <w:trPr>
          <w:trHeight w:val="503" w:hRule="atLeast"/>
        </w:trPr>
        <w:tc>
          <w:tcPr>
            <w:tcW w:w="7234" w:type="dxa"/>
          </w:tcPr>
          <w:p>
            <w:pPr>
              <w:pStyle w:val="TableParagraph"/>
              <w:spacing w:before="132"/>
              <w:ind w:left="50"/>
              <w:rPr>
                <w:sz w:val="20"/>
              </w:rPr>
            </w:pPr>
            <w:r>
              <w:rPr>
                <w:color w:val="231F20"/>
                <w:sz w:val="20"/>
              </w:rPr>
              <w:t>Pledged</w:t>
            </w:r>
            <w:r>
              <w:rPr>
                <w:color w:val="231F20"/>
                <w:spacing w:val="-4"/>
                <w:sz w:val="20"/>
              </w:rPr>
              <w:t> </w:t>
            </w:r>
            <w:r>
              <w:rPr>
                <w:color w:val="231F20"/>
                <w:sz w:val="20"/>
              </w:rPr>
              <w:t>collateral</w:t>
            </w:r>
            <w:r>
              <w:rPr>
                <w:color w:val="231F20"/>
                <w:spacing w:val="-2"/>
                <w:sz w:val="20"/>
              </w:rPr>
              <w:t> </w:t>
            </w:r>
            <w:r>
              <w:rPr>
                <w:color w:val="231F20"/>
                <w:sz w:val="20"/>
              </w:rPr>
              <w:t>held</w:t>
            </w:r>
            <w:r>
              <w:rPr>
                <w:color w:val="231F20"/>
                <w:spacing w:val="-1"/>
                <w:sz w:val="20"/>
              </w:rPr>
              <w:t> </w:t>
            </w:r>
            <w:r>
              <w:rPr>
                <w:color w:val="231F20"/>
                <w:sz w:val="20"/>
              </w:rPr>
              <w:t>by</w:t>
            </w:r>
            <w:r>
              <w:rPr>
                <w:color w:val="231F20"/>
                <w:spacing w:val="-2"/>
                <w:sz w:val="20"/>
              </w:rPr>
              <w:t> </w:t>
            </w:r>
            <w:r>
              <w:rPr>
                <w:color w:val="231F20"/>
                <w:sz w:val="20"/>
              </w:rPr>
              <w:t>pledging</w:t>
            </w:r>
            <w:r>
              <w:rPr>
                <w:color w:val="231F20"/>
                <w:spacing w:val="-2"/>
                <w:sz w:val="20"/>
              </w:rPr>
              <w:t> </w:t>
            </w:r>
            <w:r>
              <w:rPr>
                <w:color w:val="231F20"/>
                <w:sz w:val="20"/>
              </w:rPr>
              <w:t>banks'</w:t>
            </w:r>
            <w:r>
              <w:rPr>
                <w:color w:val="231F20"/>
                <w:spacing w:val="1"/>
                <w:sz w:val="20"/>
              </w:rPr>
              <w:t> </w:t>
            </w:r>
            <w:r>
              <w:rPr>
                <w:color w:val="231F20"/>
                <w:sz w:val="20"/>
              </w:rPr>
              <w:t>agent</w:t>
            </w:r>
            <w:r>
              <w:rPr>
                <w:color w:val="231F20"/>
                <w:spacing w:val="-1"/>
                <w:sz w:val="20"/>
              </w:rPr>
              <w:t> </w:t>
            </w:r>
            <w:r>
              <w:rPr>
                <w:color w:val="231F20"/>
                <w:sz w:val="20"/>
              </w:rPr>
              <w:t>in</w:t>
            </w:r>
            <w:r>
              <w:rPr>
                <w:color w:val="231F20"/>
                <w:spacing w:val="-2"/>
                <w:sz w:val="20"/>
              </w:rPr>
              <w:t> </w:t>
            </w:r>
            <w:r>
              <w:rPr>
                <w:color w:val="231F20"/>
                <w:sz w:val="20"/>
              </w:rPr>
              <w:t>the</w:t>
            </w:r>
            <w:r>
              <w:rPr>
                <w:color w:val="231F20"/>
                <w:spacing w:val="-2"/>
                <w:sz w:val="20"/>
              </w:rPr>
              <w:t> </w:t>
            </w:r>
            <w:r>
              <w:rPr>
                <w:color w:val="231F20"/>
                <w:sz w:val="20"/>
              </w:rPr>
              <w:t>name</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1"/>
                <w:sz w:val="20"/>
              </w:rPr>
              <w:t> </w:t>
            </w:r>
            <w:r>
              <w:rPr>
                <w:color w:val="231F20"/>
                <w:spacing w:val="-2"/>
                <w:sz w:val="20"/>
              </w:rPr>
              <w:t>Institute</w:t>
            </w:r>
          </w:p>
        </w:tc>
        <w:tc>
          <w:tcPr>
            <w:tcW w:w="2140" w:type="dxa"/>
          </w:tcPr>
          <w:p>
            <w:pPr>
              <w:pStyle w:val="TableParagraph"/>
              <w:tabs>
                <w:tab w:pos="488" w:val="left" w:leader="none"/>
              </w:tabs>
              <w:spacing w:before="132"/>
              <w:ind w:right="47"/>
              <w:jc w:val="right"/>
              <w:rPr>
                <w:sz w:val="20"/>
              </w:rPr>
            </w:pPr>
            <w:r>
              <w:rPr>
                <w:color w:val="231F20"/>
                <w:sz w:val="20"/>
                <w:u w:val="single" w:color="231F20"/>
              </w:rPr>
              <w:tab/>
            </w:r>
            <w:r>
              <w:rPr>
                <w:color w:val="231F20"/>
                <w:spacing w:val="-2"/>
                <w:sz w:val="20"/>
                <w:u w:val="single" w:color="231F20"/>
              </w:rPr>
              <w:t>32,827,355</w:t>
            </w:r>
            <w:r>
              <w:rPr>
                <w:color w:val="231F20"/>
                <w:spacing w:val="80"/>
                <w:sz w:val="20"/>
                <w:u w:val="single" w:color="231F20"/>
              </w:rPr>
              <w:t> </w:t>
            </w:r>
          </w:p>
        </w:tc>
      </w:tr>
      <w:tr>
        <w:trPr>
          <w:trHeight w:val="365" w:hRule="atLeast"/>
        </w:trPr>
        <w:tc>
          <w:tcPr>
            <w:tcW w:w="7234" w:type="dxa"/>
          </w:tcPr>
          <w:p>
            <w:pPr>
              <w:pStyle w:val="TableParagraph"/>
              <w:spacing w:line="210" w:lineRule="exact" w:before="135"/>
              <w:ind w:left="50"/>
              <w:rPr>
                <w:sz w:val="20"/>
              </w:rPr>
            </w:pPr>
            <w:r>
              <w:rPr>
                <w:color w:val="231F20"/>
                <w:sz w:val="20"/>
              </w:rPr>
              <w:t>Excess</w:t>
            </w:r>
            <w:r>
              <w:rPr>
                <w:color w:val="231F20"/>
                <w:spacing w:val="-5"/>
                <w:sz w:val="20"/>
              </w:rPr>
              <w:t> </w:t>
            </w:r>
            <w:r>
              <w:rPr>
                <w:color w:val="231F20"/>
                <w:sz w:val="20"/>
              </w:rPr>
              <w:t>of</w:t>
            </w:r>
            <w:r>
              <w:rPr>
                <w:color w:val="231F20"/>
                <w:spacing w:val="-2"/>
                <w:sz w:val="20"/>
              </w:rPr>
              <w:t> </w:t>
            </w:r>
            <w:r>
              <w:rPr>
                <w:color w:val="231F20"/>
                <w:sz w:val="20"/>
              </w:rPr>
              <w:t>pledge</w:t>
            </w:r>
            <w:r>
              <w:rPr>
                <w:color w:val="231F20"/>
                <w:spacing w:val="-2"/>
                <w:sz w:val="20"/>
              </w:rPr>
              <w:t> </w:t>
            </w:r>
            <w:r>
              <w:rPr>
                <w:color w:val="231F20"/>
                <w:sz w:val="20"/>
              </w:rPr>
              <w:t>collateral</w:t>
            </w:r>
            <w:r>
              <w:rPr>
                <w:color w:val="231F20"/>
                <w:spacing w:val="-2"/>
                <w:sz w:val="20"/>
              </w:rPr>
              <w:t> </w:t>
            </w:r>
            <w:r>
              <w:rPr>
                <w:color w:val="231F20"/>
                <w:sz w:val="20"/>
              </w:rPr>
              <w:t>over</w:t>
            </w:r>
            <w:r>
              <w:rPr>
                <w:color w:val="231F20"/>
                <w:spacing w:val="-2"/>
                <w:sz w:val="20"/>
              </w:rPr>
              <w:t> </w:t>
            </w:r>
            <w:r>
              <w:rPr>
                <w:color w:val="231F20"/>
                <w:sz w:val="20"/>
              </w:rPr>
              <w:t>the</w:t>
            </w:r>
            <w:r>
              <w:rPr>
                <w:color w:val="231F20"/>
                <w:spacing w:val="-2"/>
                <w:sz w:val="20"/>
              </w:rPr>
              <w:t> </w:t>
            </w:r>
            <w:r>
              <w:rPr>
                <w:color w:val="231F20"/>
                <w:sz w:val="20"/>
              </w:rPr>
              <w:t>required</w:t>
            </w:r>
            <w:r>
              <w:rPr>
                <w:color w:val="231F20"/>
                <w:spacing w:val="-3"/>
                <w:sz w:val="20"/>
              </w:rPr>
              <w:t> </w:t>
            </w:r>
            <w:r>
              <w:rPr>
                <w:color w:val="231F20"/>
                <w:spacing w:val="-2"/>
                <w:sz w:val="20"/>
              </w:rPr>
              <w:t>amount</w:t>
            </w:r>
          </w:p>
        </w:tc>
        <w:tc>
          <w:tcPr>
            <w:tcW w:w="2140" w:type="dxa"/>
          </w:tcPr>
          <w:p>
            <w:pPr>
              <w:pStyle w:val="TableParagraph"/>
              <w:tabs>
                <w:tab w:pos="489" w:val="left" w:leader="none"/>
              </w:tabs>
              <w:spacing w:line="210" w:lineRule="exact" w:before="135"/>
              <w:ind w:right="47"/>
              <w:jc w:val="right"/>
              <w:rPr>
                <w:sz w:val="20"/>
              </w:rPr>
            </w:pPr>
            <w:r>
              <w:rPr>
                <w:color w:val="231F20"/>
                <w:spacing w:val="47"/>
                <w:sz w:val="20"/>
                <w:u w:val="double" w:color="231F20"/>
              </w:rPr>
              <w:t> </w:t>
            </w:r>
            <w:r>
              <w:rPr>
                <w:color w:val="231F20"/>
                <w:spacing w:val="-12"/>
                <w:sz w:val="20"/>
                <w:u w:val="double" w:color="231F20"/>
              </w:rPr>
              <w:t>$</w:t>
            </w:r>
            <w:r>
              <w:rPr>
                <w:color w:val="231F20"/>
                <w:sz w:val="20"/>
                <w:u w:val="double" w:color="231F20"/>
              </w:rPr>
              <w:tab/>
            </w:r>
            <w:r>
              <w:rPr>
                <w:color w:val="231F20"/>
                <w:spacing w:val="-2"/>
                <w:sz w:val="20"/>
                <w:u w:val="double" w:color="231F20"/>
              </w:rPr>
              <w:t>12,476,548</w:t>
            </w:r>
            <w:r>
              <w:rPr>
                <w:color w:val="231F20"/>
                <w:spacing w:val="80"/>
                <w:sz w:val="20"/>
                <w:u w:val="double" w:color="231F20"/>
              </w:rPr>
              <w:t> </w:t>
            </w:r>
          </w:p>
        </w:tc>
      </w:tr>
    </w:tbl>
    <w:p>
      <w:pPr>
        <w:pStyle w:val="BodyText"/>
        <w:rPr>
          <w:b/>
          <w:sz w:val="29"/>
        </w:rPr>
      </w:pPr>
    </w:p>
    <w:p>
      <w:pPr>
        <w:pStyle w:val="BodyText"/>
        <w:spacing w:line="276" w:lineRule="auto"/>
        <w:ind w:left="1439" w:right="1048"/>
      </w:pPr>
      <w:r>
        <w:rPr>
          <w:color w:val="231F20"/>
        </w:rPr>
        <w:t>The Institute, under the terms of its automated clearinghouse (ACH) origination agreement with its primary</w:t>
      </w:r>
      <w:r>
        <w:rPr>
          <w:color w:val="231F20"/>
          <w:spacing w:val="-3"/>
        </w:rPr>
        <w:t> </w:t>
      </w:r>
      <w:r>
        <w:rPr>
          <w:color w:val="231F20"/>
        </w:rPr>
        <w:t>financial</w:t>
      </w:r>
      <w:r>
        <w:rPr>
          <w:color w:val="231F20"/>
          <w:spacing w:val="-3"/>
        </w:rPr>
        <w:t> </w:t>
      </w:r>
      <w:r>
        <w:rPr>
          <w:color w:val="231F20"/>
        </w:rPr>
        <w:t>institution,</w:t>
      </w:r>
      <w:r>
        <w:rPr>
          <w:color w:val="231F20"/>
          <w:spacing w:val="-3"/>
        </w:rPr>
        <w:t> </w:t>
      </w:r>
      <w:r>
        <w:rPr>
          <w:color w:val="231F20"/>
        </w:rPr>
        <w:t>has</w:t>
      </w:r>
      <w:r>
        <w:rPr>
          <w:color w:val="231F20"/>
          <w:spacing w:val="-3"/>
        </w:rPr>
        <w:t> </w:t>
      </w:r>
      <w:r>
        <w:rPr>
          <w:color w:val="231F20"/>
        </w:rPr>
        <w:t>a</w:t>
      </w:r>
      <w:r>
        <w:rPr>
          <w:color w:val="231F20"/>
          <w:spacing w:val="-3"/>
        </w:rPr>
        <w:t> </w:t>
      </w:r>
      <w:r>
        <w:rPr>
          <w:color w:val="231F20"/>
        </w:rPr>
        <w:t>requirement</w:t>
      </w:r>
      <w:r>
        <w:rPr>
          <w:color w:val="231F20"/>
          <w:spacing w:val="-3"/>
        </w:rPr>
        <w:t> </w:t>
      </w:r>
      <w:r>
        <w:rPr>
          <w:color w:val="231F20"/>
        </w:rPr>
        <w:t>to</w:t>
      </w:r>
      <w:r>
        <w:rPr>
          <w:color w:val="231F20"/>
          <w:spacing w:val="-3"/>
        </w:rPr>
        <w:t> </w:t>
      </w:r>
      <w:r>
        <w:rPr>
          <w:color w:val="231F20"/>
        </w:rPr>
        <w:t>maintain</w:t>
      </w:r>
      <w:r>
        <w:rPr>
          <w:color w:val="231F20"/>
          <w:spacing w:val="-3"/>
        </w:rPr>
        <w:t> </w:t>
      </w:r>
      <w:r>
        <w:rPr>
          <w:color w:val="231F20"/>
        </w:rPr>
        <w:t>a</w:t>
      </w:r>
      <w:r>
        <w:rPr>
          <w:color w:val="231F20"/>
          <w:spacing w:val="-3"/>
        </w:rPr>
        <w:t> </w:t>
      </w:r>
      <w:r>
        <w:rPr>
          <w:color w:val="231F20"/>
        </w:rPr>
        <w:t>minimum</w:t>
      </w:r>
      <w:r>
        <w:rPr>
          <w:color w:val="231F20"/>
          <w:spacing w:val="-3"/>
        </w:rPr>
        <w:t> </w:t>
      </w:r>
      <w:r>
        <w:rPr>
          <w:color w:val="231F20"/>
        </w:rPr>
        <w:t>balance</w:t>
      </w:r>
      <w:r>
        <w:rPr>
          <w:color w:val="231F20"/>
          <w:spacing w:val="-3"/>
        </w:rPr>
        <w:t> </w:t>
      </w:r>
      <w:r>
        <w:rPr>
          <w:color w:val="231F20"/>
        </w:rPr>
        <w:t>in</w:t>
      </w:r>
      <w:r>
        <w:rPr>
          <w:color w:val="231F20"/>
          <w:spacing w:val="-3"/>
        </w:rPr>
        <w:t> </w:t>
      </w:r>
      <w:r>
        <w:rPr>
          <w:color w:val="231F20"/>
        </w:rPr>
        <w:t>its</w:t>
      </w:r>
      <w:r>
        <w:rPr>
          <w:color w:val="231F20"/>
          <w:spacing w:val="-3"/>
        </w:rPr>
        <w:t> </w:t>
      </w:r>
      <w:r>
        <w:rPr>
          <w:color w:val="231F20"/>
        </w:rPr>
        <w:t>accounts</w:t>
      </w:r>
      <w:r>
        <w:rPr>
          <w:color w:val="231F20"/>
          <w:spacing w:val="-3"/>
        </w:rPr>
        <w:t> </w:t>
      </w:r>
      <w:r>
        <w:rPr>
          <w:color w:val="231F20"/>
        </w:rPr>
        <w:t>with</w:t>
      </w:r>
      <w:r>
        <w:rPr>
          <w:color w:val="231F20"/>
          <w:spacing w:val="-3"/>
        </w:rPr>
        <w:t> </w:t>
      </w:r>
      <w:r>
        <w:rPr>
          <w:color w:val="231F20"/>
        </w:rPr>
        <w:t>that financial</w:t>
      </w:r>
      <w:r>
        <w:rPr>
          <w:color w:val="231F20"/>
          <w:spacing w:val="-7"/>
        </w:rPr>
        <w:t> </w:t>
      </w:r>
      <w:r>
        <w:rPr>
          <w:color w:val="231F20"/>
        </w:rPr>
        <w:t>institution</w:t>
      </w:r>
      <w:r>
        <w:rPr>
          <w:color w:val="231F20"/>
          <w:spacing w:val="-5"/>
        </w:rPr>
        <w:t> </w:t>
      </w:r>
      <w:r>
        <w:rPr>
          <w:color w:val="231F20"/>
        </w:rPr>
        <w:t>of</w:t>
      </w:r>
      <w:r>
        <w:rPr>
          <w:color w:val="231F20"/>
          <w:spacing w:val="-5"/>
        </w:rPr>
        <w:t> </w:t>
      </w:r>
      <w:r>
        <w:rPr>
          <w:color w:val="231F20"/>
        </w:rPr>
        <w:t>$30</w:t>
      </w:r>
      <w:r>
        <w:rPr>
          <w:color w:val="231F20"/>
          <w:spacing w:val="-5"/>
        </w:rPr>
        <w:t> </w:t>
      </w:r>
      <w:r>
        <w:rPr>
          <w:color w:val="231F20"/>
        </w:rPr>
        <w:t>million.</w:t>
      </w:r>
      <w:r>
        <w:rPr>
          <w:color w:val="231F20"/>
          <w:spacing w:val="-5"/>
        </w:rPr>
        <w:t> </w:t>
      </w:r>
      <w:r>
        <w:rPr>
          <w:color w:val="231F20"/>
        </w:rPr>
        <w:t>The</w:t>
      </w:r>
      <w:r>
        <w:rPr>
          <w:color w:val="231F20"/>
          <w:spacing w:val="-5"/>
        </w:rPr>
        <w:t> </w:t>
      </w:r>
      <w:r>
        <w:rPr>
          <w:color w:val="231F20"/>
        </w:rPr>
        <w:t>Institute</w:t>
      </w:r>
      <w:r>
        <w:rPr>
          <w:color w:val="231F20"/>
          <w:spacing w:val="-4"/>
        </w:rPr>
        <w:t> </w:t>
      </w:r>
      <w:r>
        <w:rPr>
          <w:color w:val="231F20"/>
        </w:rPr>
        <w:t>may</w:t>
      </w:r>
      <w:r>
        <w:rPr>
          <w:color w:val="231F20"/>
          <w:spacing w:val="-5"/>
        </w:rPr>
        <w:t> </w:t>
      </w:r>
      <w:r>
        <w:rPr>
          <w:color w:val="231F20"/>
        </w:rPr>
        <w:t>access</w:t>
      </w:r>
      <w:r>
        <w:rPr>
          <w:color w:val="231F20"/>
          <w:spacing w:val="-5"/>
        </w:rPr>
        <w:t> </w:t>
      </w:r>
      <w:r>
        <w:rPr>
          <w:color w:val="231F20"/>
        </w:rPr>
        <w:t>all</w:t>
      </w:r>
      <w:r>
        <w:rPr>
          <w:color w:val="231F20"/>
          <w:spacing w:val="-4"/>
        </w:rPr>
        <w:t> </w:t>
      </w:r>
      <w:r>
        <w:rPr>
          <w:color w:val="231F20"/>
        </w:rPr>
        <w:t>deposits</w:t>
      </w:r>
      <w:r>
        <w:rPr>
          <w:color w:val="231F20"/>
          <w:spacing w:val="-5"/>
        </w:rPr>
        <w:t> </w:t>
      </w:r>
      <w:r>
        <w:rPr>
          <w:color w:val="231F20"/>
        </w:rPr>
        <w:t>with</w:t>
      </w:r>
      <w:r>
        <w:rPr>
          <w:color w:val="231F20"/>
          <w:spacing w:val="-5"/>
        </w:rPr>
        <w:t> </w:t>
      </w:r>
      <w:r>
        <w:rPr>
          <w:color w:val="231F20"/>
        </w:rPr>
        <w:t>this</w:t>
      </w:r>
      <w:r>
        <w:rPr>
          <w:color w:val="231F20"/>
          <w:spacing w:val="-3"/>
        </w:rPr>
        <w:t> </w:t>
      </w:r>
      <w:r>
        <w:rPr>
          <w:color w:val="231F20"/>
        </w:rPr>
        <w:t>institution</w:t>
      </w:r>
      <w:r>
        <w:rPr>
          <w:color w:val="231F20"/>
          <w:spacing w:val="-5"/>
        </w:rPr>
        <w:t> </w:t>
      </w:r>
      <w:r>
        <w:rPr>
          <w:color w:val="231F20"/>
        </w:rPr>
        <w:t>at</w:t>
      </w:r>
      <w:r>
        <w:rPr>
          <w:color w:val="231F20"/>
          <w:spacing w:val="-6"/>
        </w:rPr>
        <w:t> </w:t>
      </w:r>
      <w:r>
        <w:rPr>
          <w:color w:val="231F20"/>
        </w:rPr>
        <w:t>any</w:t>
      </w:r>
      <w:r>
        <w:rPr>
          <w:color w:val="231F20"/>
          <w:spacing w:val="-4"/>
        </w:rPr>
        <w:t> </w:t>
      </w:r>
      <w:r>
        <w:rPr>
          <w:color w:val="231F20"/>
          <w:spacing w:val="-2"/>
        </w:rPr>
        <w:t>time.</w:t>
      </w:r>
    </w:p>
    <w:p>
      <w:pPr>
        <w:spacing w:after="0" w:line="276" w:lineRule="auto"/>
        <w:sectPr>
          <w:pgSz w:w="12240" w:h="15840"/>
          <w:pgMar w:header="1282" w:footer="1097" w:top="1900" w:bottom="1280" w:left="0" w:right="580"/>
        </w:sectPr>
      </w:pPr>
    </w:p>
    <w:p>
      <w:pPr>
        <w:pStyle w:val="BodyText"/>
      </w:pPr>
    </w:p>
    <w:p>
      <w:pPr>
        <w:pStyle w:val="BodyText"/>
        <w:spacing w:before="7"/>
        <w:rPr>
          <w:sz w:val="26"/>
        </w:r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1"/>
        <w:gridCol w:w="2622"/>
      </w:tblGrid>
      <w:tr>
        <w:trPr>
          <w:trHeight w:val="376" w:hRule="atLeast"/>
        </w:trPr>
        <w:tc>
          <w:tcPr>
            <w:tcW w:w="6781" w:type="dxa"/>
          </w:tcPr>
          <w:p>
            <w:pPr>
              <w:pStyle w:val="TableParagraph"/>
              <w:spacing w:line="224" w:lineRule="exact"/>
              <w:ind w:left="50"/>
              <w:rPr>
                <w:b/>
                <w:sz w:val="20"/>
              </w:rPr>
            </w:pPr>
            <w:r>
              <w:rPr>
                <w:b/>
                <w:color w:val="231F20"/>
                <w:sz w:val="20"/>
              </w:rPr>
              <w:t>Note</w:t>
            </w:r>
            <w:r>
              <w:rPr>
                <w:b/>
                <w:color w:val="231F20"/>
                <w:spacing w:val="-7"/>
                <w:sz w:val="20"/>
              </w:rPr>
              <w:t> </w:t>
            </w:r>
            <w:r>
              <w:rPr>
                <w:b/>
                <w:color w:val="231F20"/>
                <w:sz w:val="20"/>
              </w:rPr>
              <w:t>3</w:t>
            </w:r>
            <w:r>
              <w:rPr>
                <w:b/>
                <w:color w:val="231F20"/>
                <w:spacing w:val="-5"/>
                <w:sz w:val="20"/>
              </w:rPr>
              <w:t> </w:t>
            </w:r>
            <w:r>
              <w:rPr>
                <w:b/>
                <w:color w:val="231F20"/>
                <w:sz w:val="20"/>
              </w:rPr>
              <w:t>–</w:t>
            </w:r>
            <w:r>
              <w:rPr>
                <w:b/>
                <w:color w:val="231F20"/>
                <w:spacing w:val="-4"/>
                <w:sz w:val="20"/>
              </w:rPr>
              <w:t> </w:t>
            </w:r>
            <w:r>
              <w:rPr>
                <w:b/>
                <w:color w:val="231F20"/>
                <w:sz w:val="20"/>
              </w:rPr>
              <w:t>Cash</w:t>
            </w:r>
            <w:r>
              <w:rPr>
                <w:b/>
                <w:color w:val="231F20"/>
                <w:spacing w:val="-5"/>
                <w:sz w:val="20"/>
              </w:rPr>
              <w:t> </w:t>
            </w:r>
            <w:r>
              <w:rPr>
                <w:b/>
                <w:color w:val="231F20"/>
                <w:sz w:val="20"/>
              </w:rPr>
              <w:t>and</w:t>
            </w:r>
            <w:r>
              <w:rPr>
                <w:b/>
                <w:color w:val="231F20"/>
                <w:spacing w:val="-5"/>
                <w:sz w:val="20"/>
              </w:rPr>
              <w:t> </w:t>
            </w:r>
            <w:r>
              <w:rPr>
                <w:b/>
                <w:color w:val="231F20"/>
                <w:sz w:val="20"/>
              </w:rPr>
              <w:t>Investments</w:t>
            </w:r>
            <w:r>
              <w:rPr>
                <w:b/>
                <w:color w:val="231F20"/>
                <w:spacing w:val="-4"/>
                <w:sz w:val="20"/>
              </w:rPr>
              <w:t> </w:t>
            </w:r>
            <w:r>
              <w:rPr>
                <w:b/>
                <w:color w:val="231F20"/>
                <w:spacing w:val="-2"/>
                <w:sz w:val="20"/>
              </w:rPr>
              <w:t>(continued)</w:t>
            </w:r>
          </w:p>
        </w:tc>
        <w:tc>
          <w:tcPr>
            <w:tcW w:w="2622" w:type="dxa"/>
            <w:vMerge w:val="restart"/>
          </w:tcPr>
          <w:p>
            <w:pPr>
              <w:pStyle w:val="TableParagraph"/>
              <w:rPr>
                <w:rFonts w:ascii="Times New Roman"/>
                <w:sz w:val="20"/>
              </w:rPr>
            </w:pPr>
          </w:p>
        </w:tc>
      </w:tr>
      <w:tr>
        <w:trPr>
          <w:trHeight w:val="396" w:hRule="atLeast"/>
        </w:trPr>
        <w:tc>
          <w:tcPr>
            <w:tcW w:w="6781" w:type="dxa"/>
          </w:tcPr>
          <w:p>
            <w:pPr>
              <w:pStyle w:val="TableParagraph"/>
              <w:spacing w:before="146"/>
              <w:ind w:left="50"/>
              <w:rPr>
                <w:b/>
                <w:sz w:val="20"/>
              </w:rPr>
            </w:pPr>
            <w:r>
              <w:rPr>
                <w:b/>
                <w:color w:val="231F20"/>
                <w:spacing w:val="-2"/>
                <w:sz w:val="20"/>
              </w:rPr>
              <w:t>Investments</w:t>
            </w:r>
          </w:p>
        </w:tc>
        <w:tc>
          <w:tcPr>
            <w:tcW w:w="2622" w:type="dxa"/>
            <w:vMerge/>
            <w:tcBorders>
              <w:top w:val="nil"/>
            </w:tcBorders>
          </w:tcPr>
          <w:p>
            <w:pPr>
              <w:rPr>
                <w:sz w:val="2"/>
                <w:szCs w:val="2"/>
              </w:rPr>
            </w:pPr>
          </w:p>
        </w:tc>
      </w:tr>
      <w:tr>
        <w:trPr>
          <w:trHeight w:val="405" w:hRule="atLeast"/>
        </w:trPr>
        <w:tc>
          <w:tcPr>
            <w:tcW w:w="6781" w:type="dxa"/>
          </w:tcPr>
          <w:p>
            <w:pPr>
              <w:pStyle w:val="TableParagraph"/>
              <w:spacing w:before="14"/>
              <w:ind w:left="50"/>
              <w:rPr>
                <w:sz w:val="20"/>
              </w:rPr>
            </w:pPr>
            <w:r>
              <w:rPr>
                <w:color w:val="231F20"/>
                <w:sz w:val="20"/>
              </w:rPr>
              <w:t>Investments</w:t>
            </w:r>
            <w:r>
              <w:rPr>
                <w:color w:val="231F20"/>
                <w:spacing w:val="-6"/>
                <w:sz w:val="20"/>
              </w:rPr>
              <w:t> </w:t>
            </w:r>
            <w:r>
              <w:rPr>
                <w:color w:val="231F20"/>
                <w:sz w:val="20"/>
              </w:rPr>
              <w:t>of</w:t>
            </w:r>
            <w:r>
              <w:rPr>
                <w:color w:val="231F20"/>
                <w:spacing w:val="-3"/>
                <w:sz w:val="20"/>
              </w:rPr>
              <w:t> </w:t>
            </w:r>
            <w:r>
              <w:rPr>
                <w:color w:val="231F20"/>
                <w:sz w:val="20"/>
              </w:rPr>
              <w:t>the</w:t>
            </w:r>
            <w:r>
              <w:rPr>
                <w:color w:val="231F20"/>
                <w:spacing w:val="-4"/>
                <w:sz w:val="20"/>
              </w:rPr>
              <w:t> </w:t>
            </w:r>
            <w:r>
              <w:rPr>
                <w:color w:val="231F20"/>
                <w:sz w:val="20"/>
              </w:rPr>
              <w:t>Institute</w:t>
            </w:r>
            <w:r>
              <w:rPr>
                <w:color w:val="231F20"/>
                <w:spacing w:val="-3"/>
                <w:sz w:val="20"/>
              </w:rPr>
              <w:t> </w:t>
            </w:r>
            <w:r>
              <w:rPr>
                <w:color w:val="231F20"/>
                <w:sz w:val="20"/>
              </w:rPr>
              <w:t>consist</w:t>
            </w:r>
            <w:r>
              <w:rPr>
                <w:color w:val="231F20"/>
                <w:spacing w:val="-4"/>
                <w:sz w:val="20"/>
              </w:rPr>
              <w:t> </w:t>
            </w:r>
            <w:r>
              <w:rPr>
                <w:color w:val="231F20"/>
                <w:sz w:val="20"/>
              </w:rPr>
              <w:t>of</w:t>
            </w:r>
            <w:r>
              <w:rPr>
                <w:color w:val="231F20"/>
                <w:spacing w:val="-3"/>
                <w:sz w:val="20"/>
              </w:rPr>
              <w:t> </w:t>
            </w:r>
            <w:r>
              <w:rPr>
                <w:color w:val="231F20"/>
                <w:sz w:val="20"/>
              </w:rPr>
              <w:t>the</w:t>
            </w:r>
            <w:r>
              <w:rPr>
                <w:color w:val="231F20"/>
                <w:spacing w:val="-4"/>
                <w:sz w:val="20"/>
              </w:rPr>
              <w:t> </w:t>
            </w:r>
            <w:r>
              <w:rPr>
                <w:color w:val="231F20"/>
                <w:sz w:val="20"/>
              </w:rPr>
              <w:t>following</w:t>
            </w:r>
            <w:r>
              <w:rPr>
                <w:color w:val="231F20"/>
                <w:spacing w:val="-3"/>
                <w:sz w:val="20"/>
              </w:rPr>
              <w:t> </w:t>
            </w:r>
            <w:r>
              <w:rPr>
                <w:color w:val="231F20"/>
                <w:sz w:val="20"/>
              </w:rPr>
              <w:t>at</w:t>
            </w:r>
            <w:r>
              <w:rPr>
                <w:color w:val="231F20"/>
                <w:spacing w:val="-4"/>
                <w:sz w:val="20"/>
              </w:rPr>
              <w:t> </w:t>
            </w:r>
            <w:r>
              <w:rPr>
                <w:color w:val="231F20"/>
                <w:sz w:val="20"/>
              </w:rPr>
              <w:t>June</w:t>
            </w:r>
            <w:r>
              <w:rPr>
                <w:color w:val="231F20"/>
                <w:spacing w:val="-3"/>
                <w:sz w:val="20"/>
              </w:rPr>
              <w:t> </w:t>
            </w:r>
            <w:r>
              <w:rPr>
                <w:color w:val="231F20"/>
                <w:sz w:val="20"/>
              </w:rPr>
              <w:t>30,</w:t>
            </w:r>
            <w:r>
              <w:rPr>
                <w:color w:val="231F20"/>
                <w:spacing w:val="-3"/>
                <w:sz w:val="20"/>
              </w:rPr>
              <w:t> </w:t>
            </w:r>
            <w:r>
              <w:rPr>
                <w:color w:val="231F20"/>
                <w:spacing w:val="-2"/>
                <w:sz w:val="20"/>
              </w:rPr>
              <w:t>2022:</w:t>
            </w:r>
          </w:p>
        </w:tc>
        <w:tc>
          <w:tcPr>
            <w:tcW w:w="2622" w:type="dxa"/>
            <w:vMerge/>
            <w:tcBorders>
              <w:top w:val="nil"/>
            </w:tcBorders>
          </w:tcPr>
          <w:p>
            <w:pPr>
              <w:rPr>
                <w:sz w:val="2"/>
                <w:szCs w:val="2"/>
              </w:rPr>
            </w:pPr>
          </w:p>
        </w:tc>
      </w:tr>
      <w:tr>
        <w:trPr>
          <w:trHeight w:val="448" w:hRule="atLeast"/>
        </w:trPr>
        <w:tc>
          <w:tcPr>
            <w:tcW w:w="6781" w:type="dxa"/>
          </w:tcPr>
          <w:p>
            <w:pPr>
              <w:pStyle w:val="TableParagraph"/>
              <w:rPr>
                <w:rFonts w:ascii="Times New Roman"/>
                <w:sz w:val="20"/>
              </w:rPr>
            </w:pPr>
          </w:p>
        </w:tc>
        <w:tc>
          <w:tcPr>
            <w:tcW w:w="2622" w:type="dxa"/>
          </w:tcPr>
          <w:p>
            <w:pPr>
              <w:pStyle w:val="TableParagraph"/>
              <w:tabs>
                <w:tab w:pos="367" w:val="left" w:leader="none"/>
                <w:tab w:pos="1898" w:val="left" w:leader="none"/>
              </w:tabs>
              <w:spacing w:before="155"/>
              <w:ind w:right="48"/>
              <w:jc w:val="right"/>
              <w:rPr>
                <w:sz w:val="20"/>
              </w:rPr>
            </w:pPr>
            <w:r>
              <w:rPr>
                <w:color w:val="231F20"/>
                <w:sz w:val="20"/>
                <w:u w:val="single" w:color="231F20"/>
              </w:rPr>
              <w:tab/>
              <w:t>Market</w:t>
            </w:r>
            <w:r>
              <w:rPr>
                <w:color w:val="231F20"/>
                <w:spacing w:val="-4"/>
                <w:sz w:val="20"/>
                <w:u w:val="single" w:color="231F20"/>
              </w:rPr>
              <w:t> </w:t>
            </w:r>
            <w:r>
              <w:rPr>
                <w:color w:val="231F20"/>
                <w:spacing w:val="-2"/>
                <w:sz w:val="20"/>
                <w:u w:val="single" w:color="231F20"/>
              </w:rPr>
              <w:t>Value</w:t>
            </w:r>
            <w:r>
              <w:rPr>
                <w:color w:val="231F20"/>
                <w:sz w:val="20"/>
                <w:u w:val="single" w:color="231F20"/>
              </w:rPr>
              <w:tab/>
            </w:r>
          </w:p>
        </w:tc>
      </w:tr>
      <w:tr>
        <w:trPr>
          <w:trHeight w:val="301" w:hRule="atLeast"/>
        </w:trPr>
        <w:tc>
          <w:tcPr>
            <w:tcW w:w="6781" w:type="dxa"/>
          </w:tcPr>
          <w:p>
            <w:pPr>
              <w:pStyle w:val="TableParagraph"/>
              <w:spacing w:line="225" w:lineRule="exact" w:before="56"/>
              <w:ind w:left="98"/>
              <w:rPr>
                <w:sz w:val="20"/>
              </w:rPr>
            </w:pPr>
            <w:r>
              <w:rPr>
                <w:color w:val="231F20"/>
                <w:sz w:val="20"/>
              </w:rPr>
              <w:t>Short-term</w:t>
            </w:r>
            <w:r>
              <w:rPr>
                <w:color w:val="231F20"/>
                <w:spacing w:val="-8"/>
                <w:sz w:val="20"/>
              </w:rPr>
              <w:t> </w:t>
            </w:r>
            <w:r>
              <w:rPr>
                <w:color w:val="231F20"/>
                <w:spacing w:val="-4"/>
                <w:sz w:val="20"/>
              </w:rPr>
              <w:t>LGIP</w:t>
            </w:r>
          </w:p>
        </w:tc>
        <w:tc>
          <w:tcPr>
            <w:tcW w:w="2622" w:type="dxa"/>
          </w:tcPr>
          <w:p>
            <w:pPr>
              <w:pStyle w:val="TableParagraph"/>
              <w:tabs>
                <w:tab w:pos="679" w:val="left" w:leader="none"/>
              </w:tabs>
              <w:spacing w:line="225" w:lineRule="exact" w:before="56"/>
              <w:ind w:right="156"/>
              <w:jc w:val="right"/>
              <w:rPr>
                <w:sz w:val="20"/>
              </w:rPr>
            </w:pPr>
            <w:r>
              <w:rPr>
                <w:color w:val="231F20"/>
                <w:spacing w:val="-10"/>
                <w:sz w:val="20"/>
              </w:rPr>
              <w:t>$</w:t>
            </w:r>
            <w:r>
              <w:rPr>
                <w:color w:val="231F20"/>
                <w:sz w:val="20"/>
              </w:rPr>
              <w:tab/>
            </w:r>
            <w:r>
              <w:rPr>
                <w:color w:val="231F20"/>
                <w:spacing w:val="-2"/>
                <w:sz w:val="20"/>
              </w:rPr>
              <w:t>19,552,022</w:t>
            </w:r>
          </w:p>
        </w:tc>
      </w:tr>
      <w:tr>
        <w:trPr>
          <w:trHeight w:val="251" w:hRule="atLeast"/>
        </w:trPr>
        <w:tc>
          <w:tcPr>
            <w:tcW w:w="6781" w:type="dxa"/>
          </w:tcPr>
          <w:p>
            <w:pPr>
              <w:pStyle w:val="TableParagraph"/>
              <w:spacing w:line="223" w:lineRule="exact" w:before="9"/>
              <w:ind w:left="98"/>
              <w:rPr>
                <w:sz w:val="20"/>
              </w:rPr>
            </w:pPr>
            <w:r>
              <w:rPr>
                <w:color w:val="231F20"/>
                <w:spacing w:val="-2"/>
                <w:sz w:val="20"/>
              </w:rPr>
              <w:t>Endowments</w:t>
            </w:r>
          </w:p>
        </w:tc>
        <w:tc>
          <w:tcPr>
            <w:tcW w:w="2622" w:type="dxa"/>
          </w:tcPr>
          <w:p>
            <w:pPr>
              <w:pStyle w:val="TableParagraph"/>
              <w:spacing w:line="223" w:lineRule="exact" w:before="9"/>
              <w:ind w:right="156"/>
              <w:jc w:val="right"/>
              <w:rPr>
                <w:sz w:val="20"/>
              </w:rPr>
            </w:pPr>
            <w:r>
              <w:rPr>
                <w:color w:val="231F20"/>
                <w:spacing w:val="-2"/>
                <w:sz w:val="20"/>
              </w:rPr>
              <w:t>60,832,912</w:t>
            </w:r>
          </w:p>
        </w:tc>
      </w:tr>
      <w:tr>
        <w:trPr>
          <w:trHeight w:val="378" w:hRule="atLeast"/>
        </w:trPr>
        <w:tc>
          <w:tcPr>
            <w:tcW w:w="6781" w:type="dxa"/>
          </w:tcPr>
          <w:p>
            <w:pPr>
              <w:pStyle w:val="TableParagraph"/>
              <w:spacing w:before="6"/>
              <w:ind w:left="98"/>
              <w:rPr>
                <w:sz w:val="20"/>
              </w:rPr>
            </w:pPr>
            <w:r>
              <w:rPr>
                <w:color w:val="231F20"/>
                <w:sz w:val="20"/>
              </w:rPr>
              <w:t>Other</w:t>
            </w:r>
            <w:r>
              <w:rPr>
                <w:color w:val="231F20"/>
                <w:spacing w:val="-10"/>
                <w:sz w:val="20"/>
              </w:rPr>
              <w:t> </w:t>
            </w:r>
            <w:r>
              <w:rPr>
                <w:color w:val="231F20"/>
                <w:sz w:val="20"/>
              </w:rPr>
              <w:t>long-</w:t>
            </w:r>
            <w:r>
              <w:rPr>
                <w:color w:val="231F20"/>
                <w:spacing w:val="-4"/>
                <w:sz w:val="20"/>
              </w:rPr>
              <w:t>term</w:t>
            </w:r>
          </w:p>
        </w:tc>
        <w:tc>
          <w:tcPr>
            <w:tcW w:w="2622" w:type="dxa"/>
          </w:tcPr>
          <w:p>
            <w:pPr>
              <w:pStyle w:val="TableParagraph"/>
              <w:tabs>
                <w:tab w:pos="785" w:val="left" w:leader="none"/>
              </w:tabs>
              <w:spacing w:before="6"/>
              <w:ind w:right="48"/>
              <w:jc w:val="right"/>
              <w:rPr>
                <w:sz w:val="20"/>
              </w:rPr>
            </w:pPr>
            <w:r>
              <w:rPr>
                <w:color w:val="231F20"/>
                <w:sz w:val="20"/>
                <w:u w:val="thick" w:color="231F20"/>
              </w:rPr>
              <w:tab/>
            </w:r>
            <w:r>
              <w:rPr>
                <w:color w:val="231F20"/>
                <w:spacing w:val="-2"/>
                <w:sz w:val="20"/>
                <w:u w:val="thick" w:color="231F20"/>
              </w:rPr>
              <w:t>19,801,175</w:t>
            </w:r>
            <w:r>
              <w:rPr>
                <w:color w:val="231F20"/>
                <w:spacing w:val="80"/>
                <w:sz w:val="20"/>
                <w:u w:val="thick" w:color="231F20"/>
              </w:rPr>
              <w:t> </w:t>
            </w:r>
          </w:p>
        </w:tc>
      </w:tr>
      <w:tr>
        <w:trPr>
          <w:trHeight w:val="365" w:hRule="atLeast"/>
        </w:trPr>
        <w:tc>
          <w:tcPr>
            <w:tcW w:w="6781" w:type="dxa"/>
          </w:tcPr>
          <w:p>
            <w:pPr>
              <w:pStyle w:val="TableParagraph"/>
              <w:spacing w:line="210" w:lineRule="exact" w:before="135"/>
              <w:ind w:left="98"/>
              <w:rPr>
                <w:sz w:val="20"/>
              </w:rPr>
            </w:pPr>
            <w:r>
              <w:rPr>
                <w:color w:val="231F20"/>
                <w:sz w:val="20"/>
              </w:rPr>
              <w:t>Total</w:t>
            </w:r>
            <w:r>
              <w:rPr>
                <w:color w:val="231F20"/>
                <w:spacing w:val="-5"/>
                <w:sz w:val="20"/>
              </w:rPr>
              <w:t> </w:t>
            </w:r>
            <w:r>
              <w:rPr>
                <w:color w:val="231F20"/>
                <w:spacing w:val="-2"/>
                <w:sz w:val="20"/>
              </w:rPr>
              <w:t>investments</w:t>
            </w:r>
          </w:p>
        </w:tc>
        <w:tc>
          <w:tcPr>
            <w:tcW w:w="2622" w:type="dxa"/>
          </w:tcPr>
          <w:p>
            <w:pPr>
              <w:pStyle w:val="TableParagraph"/>
              <w:tabs>
                <w:tab w:pos="672" w:val="left" w:leader="none"/>
              </w:tabs>
              <w:spacing w:line="210" w:lineRule="exact" w:before="135"/>
              <w:ind w:right="48"/>
              <w:jc w:val="right"/>
              <w:rPr>
                <w:sz w:val="20"/>
              </w:rPr>
            </w:pPr>
            <w:r>
              <w:rPr>
                <w:color w:val="231F20"/>
                <w:spacing w:val="47"/>
                <w:sz w:val="20"/>
                <w:u w:val="double" w:color="231F20"/>
              </w:rPr>
              <w:t> </w:t>
            </w:r>
            <w:r>
              <w:rPr>
                <w:color w:val="231F20"/>
                <w:spacing w:val="-12"/>
                <w:sz w:val="20"/>
                <w:u w:val="double" w:color="231F20"/>
              </w:rPr>
              <w:t>$</w:t>
            </w:r>
            <w:r>
              <w:rPr>
                <w:color w:val="231F20"/>
                <w:sz w:val="20"/>
                <w:u w:val="double" w:color="231F20"/>
              </w:rPr>
              <w:tab/>
            </w:r>
            <w:r>
              <w:rPr>
                <w:color w:val="231F20"/>
                <w:spacing w:val="-2"/>
                <w:sz w:val="20"/>
                <w:u w:val="double" w:color="231F20"/>
              </w:rPr>
              <w:t>100,186,109</w:t>
            </w:r>
            <w:r>
              <w:rPr>
                <w:color w:val="231F20"/>
                <w:spacing w:val="80"/>
                <w:sz w:val="20"/>
                <w:u w:val="double" w:color="231F20"/>
              </w:rPr>
              <w:t> </w:t>
            </w:r>
          </w:p>
        </w:tc>
      </w:tr>
    </w:tbl>
    <w:p>
      <w:pPr>
        <w:pStyle w:val="BodyText"/>
        <w:rPr>
          <w:sz w:val="21"/>
        </w:rPr>
      </w:pPr>
    </w:p>
    <w:p>
      <w:pPr>
        <w:pStyle w:val="BodyText"/>
        <w:spacing w:line="276" w:lineRule="auto" w:before="94"/>
        <w:ind w:left="1440" w:right="919"/>
      </w:pPr>
      <w:r>
        <w:rPr>
          <w:color w:val="231F20"/>
        </w:rPr>
        <w:t>There</w:t>
      </w:r>
      <w:r>
        <w:rPr>
          <w:color w:val="231F20"/>
          <w:spacing w:val="-4"/>
        </w:rPr>
        <w:t> </w:t>
      </w:r>
      <w:r>
        <w:rPr>
          <w:color w:val="231F20"/>
        </w:rPr>
        <w:t>are</w:t>
      </w:r>
      <w:r>
        <w:rPr>
          <w:color w:val="231F20"/>
          <w:spacing w:val="-4"/>
        </w:rPr>
        <w:t> </w:t>
      </w:r>
      <w:r>
        <w:rPr>
          <w:color w:val="231F20"/>
        </w:rPr>
        <w:t>no</w:t>
      </w:r>
      <w:r>
        <w:rPr>
          <w:color w:val="231F20"/>
          <w:spacing w:val="-4"/>
        </w:rPr>
        <w:t> </w:t>
      </w:r>
      <w:r>
        <w:rPr>
          <w:color w:val="231F20"/>
        </w:rPr>
        <w:t>other</w:t>
      </w:r>
      <w:r>
        <w:rPr>
          <w:color w:val="231F20"/>
          <w:spacing w:val="-4"/>
        </w:rPr>
        <w:t> </w:t>
      </w:r>
      <w:r>
        <w:rPr>
          <w:color w:val="231F20"/>
        </w:rPr>
        <w:t>restrictions</w:t>
      </w:r>
      <w:r>
        <w:rPr>
          <w:color w:val="231F20"/>
          <w:spacing w:val="-4"/>
        </w:rPr>
        <w:t> </w:t>
      </w:r>
      <w:r>
        <w:rPr>
          <w:color w:val="231F20"/>
        </w:rPr>
        <w:t>on</w:t>
      </w:r>
      <w:r>
        <w:rPr>
          <w:color w:val="231F20"/>
          <w:spacing w:val="-4"/>
        </w:rPr>
        <w:t> </w:t>
      </w:r>
      <w:r>
        <w:rPr>
          <w:color w:val="231F20"/>
        </w:rPr>
        <w:t>withdrawals</w:t>
      </w:r>
      <w:r>
        <w:rPr>
          <w:color w:val="231F20"/>
          <w:spacing w:val="-4"/>
        </w:rPr>
        <w:t> </w:t>
      </w:r>
      <w:r>
        <w:rPr>
          <w:color w:val="231F20"/>
        </w:rPr>
        <w:t>(such</w:t>
      </w:r>
      <w:r>
        <w:rPr>
          <w:color w:val="231F20"/>
          <w:spacing w:val="-4"/>
        </w:rPr>
        <w:t> </w:t>
      </w:r>
      <w:r>
        <w:rPr>
          <w:color w:val="231F20"/>
        </w:rPr>
        <w:t>as</w:t>
      </w:r>
      <w:r>
        <w:rPr>
          <w:color w:val="231F20"/>
          <w:spacing w:val="-3"/>
        </w:rPr>
        <w:t> </w:t>
      </w:r>
      <w:r>
        <w:rPr>
          <w:color w:val="231F20"/>
        </w:rPr>
        <w:t>redemption</w:t>
      </w:r>
      <w:r>
        <w:rPr>
          <w:color w:val="231F20"/>
          <w:spacing w:val="-4"/>
        </w:rPr>
        <w:t> </w:t>
      </w:r>
      <w:r>
        <w:rPr>
          <w:color w:val="231F20"/>
        </w:rPr>
        <w:t>notice</w:t>
      </w:r>
      <w:r>
        <w:rPr>
          <w:color w:val="231F20"/>
          <w:spacing w:val="-4"/>
        </w:rPr>
        <w:t> </w:t>
      </w:r>
      <w:r>
        <w:rPr>
          <w:color w:val="231F20"/>
        </w:rPr>
        <w:t>periods,</w:t>
      </w:r>
      <w:r>
        <w:rPr>
          <w:color w:val="231F20"/>
          <w:spacing w:val="-4"/>
        </w:rPr>
        <w:t> </w:t>
      </w:r>
      <w:r>
        <w:rPr>
          <w:color w:val="231F20"/>
        </w:rPr>
        <w:t>maximum</w:t>
      </w:r>
      <w:r>
        <w:rPr>
          <w:color w:val="231F20"/>
          <w:spacing w:val="-4"/>
        </w:rPr>
        <w:t> </w:t>
      </w:r>
      <w:r>
        <w:rPr>
          <w:color w:val="231F20"/>
        </w:rPr>
        <w:t>transaction amounts, and the qualifying external investment pool’s authority to impose liquidity fees or redemption gates) to disclose in accordance with GASB 79 – </w:t>
      </w:r>
      <w:r>
        <w:rPr>
          <w:i/>
          <w:color w:val="231F20"/>
        </w:rPr>
        <w:t>Certain External Investment Pools and Pool</w:t>
      </w:r>
      <w:r>
        <w:rPr>
          <w:i/>
          <w:color w:val="231F20"/>
        </w:rPr>
        <w:t> </w:t>
      </w:r>
      <w:r>
        <w:rPr>
          <w:i/>
          <w:color w:val="231F20"/>
          <w:spacing w:val="-2"/>
        </w:rPr>
        <w:t>Participants</w:t>
      </w:r>
      <w:r>
        <w:rPr>
          <w:color w:val="231F20"/>
          <w:spacing w:val="-2"/>
        </w:rPr>
        <w:t>.</w:t>
      </w:r>
    </w:p>
    <w:p>
      <w:pPr>
        <w:pStyle w:val="BodyText"/>
        <w:spacing w:line="276" w:lineRule="auto" w:before="185"/>
        <w:ind w:left="1440" w:right="1110"/>
      </w:pPr>
      <w:r>
        <w:rPr>
          <w:color w:val="231F20"/>
        </w:rPr>
        <w:t>As</w:t>
      </w:r>
      <w:r>
        <w:rPr>
          <w:color w:val="231F20"/>
          <w:spacing w:val="-3"/>
        </w:rPr>
        <w:t> </w:t>
      </w:r>
      <w:r>
        <w:rPr>
          <w:color w:val="231F20"/>
        </w:rPr>
        <w:t>the</w:t>
      </w:r>
      <w:r>
        <w:rPr>
          <w:color w:val="231F20"/>
          <w:spacing w:val="-3"/>
        </w:rPr>
        <w:t> </w:t>
      </w:r>
      <w:r>
        <w:rPr>
          <w:color w:val="231F20"/>
        </w:rPr>
        <w:t>Institute’s</w:t>
      </w:r>
      <w:r>
        <w:rPr>
          <w:color w:val="231F20"/>
          <w:spacing w:val="-3"/>
        </w:rPr>
        <w:t> </w:t>
      </w:r>
      <w:r>
        <w:rPr>
          <w:color w:val="231F20"/>
        </w:rPr>
        <w:t>investment</w:t>
      </w:r>
      <w:r>
        <w:rPr>
          <w:color w:val="231F20"/>
          <w:spacing w:val="-3"/>
        </w:rPr>
        <w:t> </w:t>
      </w:r>
      <w:r>
        <w:rPr>
          <w:color w:val="231F20"/>
        </w:rPr>
        <w:t>in</w:t>
      </w:r>
      <w:r>
        <w:rPr>
          <w:color w:val="231F20"/>
          <w:spacing w:val="-3"/>
        </w:rPr>
        <w:t> </w:t>
      </w:r>
      <w:r>
        <w:rPr>
          <w:color w:val="231F20"/>
        </w:rPr>
        <w:t>LGIP</w:t>
      </w:r>
      <w:r>
        <w:rPr>
          <w:color w:val="231F20"/>
          <w:spacing w:val="-3"/>
        </w:rPr>
        <w:t> </w:t>
      </w:r>
      <w:r>
        <w:rPr>
          <w:color w:val="231F20"/>
        </w:rPr>
        <w:t>is</w:t>
      </w:r>
      <w:r>
        <w:rPr>
          <w:color w:val="231F20"/>
          <w:spacing w:val="-3"/>
        </w:rPr>
        <w:t> </w:t>
      </w:r>
      <w:r>
        <w:rPr>
          <w:color w:val="231F20"/>
        </w:rPr>
        <w:t>under</w:t>
      </w:r>
      <w:r>
        <w:rPr>
          <w:color w:val="231F20"/>
          <w:spacing w:val="-3"/>
        </w:rPr>
        <w:t> </w:t>
      </w:r>
      <w:r>
        <w:rPr>
          <w:color w:val="231F20"/>
        </w:rPr>
        <w:t>$30</w:t>
      </w:r>
      <w:r>
        <w:rPr>
          <w:color w:val="231F20"/>
          <w:spacing w:val="-1"/>
        </w:rPr>
        <w:t> </w:t>
      </w:r>
      <w:r>
        <w:rPr>
          <w:color w:val="231F20"/>
        </w:rPr>
        <w:t>million,</w:t>
      </w:r>
      <w:r>
        <w:rPr>
          <w:color w:val="231F20"/>
          <w:spacing w:val="-3"/>
        </w:rPr>
        <w:t> </w:t>
      </w:r>
      <w:r>
        <w:rPr>
          <w:color w:val="231F20"/>
        </w:rPr>
        <w:t>the</w:t>
      </w:r>
      <w:r>
        <w:rPr>
          <w:color w:val="231F20"/>
          <w:spacing w:val="-3"/>
        </w:rPr>
        <w:t> </w:t>
      </w:r>
      <w:r>
        <w:rPr>
          <w:color w:val="231F20"/>
        </w:rPr>
        <w:t>Trust’s</w:t>
      </w:r>
      <w:r>
        <w:rPr>
          <w:color w:val="231F20"/>
          <w:spacing w:val="-3"/>
        </w:rPr>
        <w:t> </w:t>
      </w:r>
      <w:r>
        <w:rPr>
          <w:color w:val="231F20"/>
        </w:rPr>
        <w:t>only</w:t>
      </w:r>
      <w:r>
        <w:rPr>
          <w:color w:val="231F20"/>
          <w:spacing w:val="-3"/>
        </w:rPr>
        <w:t> </w:t>
      </w:r>
      <w:r>
        <w:rPr>
          <w:color w:val="231F20"/>
        </w:rPr>
        <w:t>restriction</w:t>
      </w:r>
      <w:r>
        <w:rPr>
          <w:color w:val="231F20"/>
          <w:spacing w:val="-3"/>
        </w:rPr>
        <w:t> </w:t>
      </w:r>
      <w:r>
        <w:rPr>
          <w:color w:val="231F20"/>
        </w:rPr>
        <w:t>on</w:t>
      </w:r>
      <w:r>
        <w:rPr>
          <w:color w:val="231F20"/>
          <w:spacing w:val="-3"/>
        </w:rPr>
        <w:t> </w:t>
      </w:r>
      <w:r>
        <w:rPr>
          <w:color w:val="231F20"/>
        </w:rPr>
        <w:t>withdrawals</w:t>
      </w:r>
      <w:r>
        <w:rPr>
          <w:color w:val="231F20"/>
          <w:spacing w:val="-3"/>
        </w:rPr>
        <w:t> </w:t>
      </w:r>
      <w:r>
        <w:rPr>
          <w:color w:val="231F20"/>
        </w:rPr>
        <w:t>is 24 hours of notice to the New Mexico State Treasurer’s Office (NMSTO).</w:t>
      </w:r>
    </w:p>
    <w:p>
      <w:pPr>
        <w:pStyle w:val="BodyText"/>
        <w:spacing w:before="2"/>
        <w:rPr>
          <w:sz w:val="25"/>
        </w:rPr>
      </w:pPr>
    </w:p>
    <w:tbl>
      <w:tblPr>
        <w:tblW w:w="0" w:type="auto"/>
        <w:jc w:val="left"/>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3"/>
        <w:gridCol w:w="2260"/>
        <w:gridCol w:w="2101"/>
      </w:tblGrid>
      <w:tr>
        <w:trPr>
          <w:trHeight w:val="235" w:hRule="atLeast"/>
        </w:trPr>
        <w:tc>
          <w:tcPr>
            <w:tcW w:w="4993" w:type="dxa"/>
          </w:tcPr>
          <w:p>
            <w:pPr>
              <w:pStyle w:val="TableParagraph"/>
              <w:rPr>
                <w:rFonts w:ascii="Times New Roman"/>
                <w:sz w:val="16"/>
              </w:rPr>
            </w:pPr>
          </w:p>
        </w:tc>
        <w:tc>
          <w:tcPr>
            <w:tcW w:w="2260" w:type="dxa"/>
          </w:tcPr>
          <w:p>
            <w:pPr>
              <w:pStyle w:val="TableParagraph"/>
              <w:spacing w:line="215" w:lineRule="exact"/>
              <w:ind w:left="751"/>
              <w:rPr>
                <w:sz w:val="20"/>
              </w:rPr>
            </w:pPr>
            <w:r>
              <w:rPr>
                <w:color w:val="231F20"/>
                <w:spacing w:val="-2"/>
                <w:sz w:val="20"/>
              </w:rPr>
              <w:t>Reconciled</w:t>
            </w:r>
          </w:p>
        </w:tc>
        <w:tc>
          <w:tcPr>
            <w:tcW w:w="2101" w:type="dxa"/>
          </w:tcPr>
          <w:p>
            <w:pPr>
              <w:pStyle w:val="TableParagraph"/>
              <w:spacing w:line="215" w:lineRule="exact"/>
              <w:ind w:left="574"/>
              <w:rPr>
                <w:sz w:val="20"/>
              </w:rPr>
            </w:pPr>
            <w:r>
              <w:rPr>
                <w:color w:val="231F20"/>
                <w:sz w:val="20"/>
              </w:rPr>
              <w:t>Balance</w:t>
            </w:r>
            <w:r>
              <w:rPr>
                <w:color w:val="231F20"/>
                <w:spacing w:val="-5"/>
                <w:sz w:val="20"/>
              </w:rPr>
              <w:t> per</w:t>
            </w:r>
          </w:p>
        </w:tc>
      </w:tr>
      <w:tr>
        <w:trPr>
          <w:trHeight w:val="495" w:hRule="atLeast"/>
        </w:trPr>
        <w:tc>
          <w:tcPr>
            <w:tcW w:w="4993" w:type="dxa"/>
          </w:tcPr>
          <w:p>
            <w:pPr>
              <w:pStyle w:val="TableParagraph"/>
              <w:spacing w:before="11"/>
              <w:rPr>
                <w:sz w:val="21"/>
              </w:rPr>
            </w:pPr>
          </w:p>
          <w:p>
            <w:pPr>
              <w:pStyle w:val="TableParagraph"/>
              <w:spacing w:line="223" w:lineRule="exact"/>
              <w:ind w:left="50"/>
              <w:rPr>
                <w:sz w:val="20"/>
              </w:rPr>
            </w:pPr>
            <w:r>
              <w:rPr>
                <w:color w:val="231F20"/>
                <w:sz w:val="20"/>
              </w:rPr>
              <w:t>Investment</w:t>
            </w:r>
            <w:r>
              <w:rPr>
                <w:color w:val="231F20"/>
                <w:spacing w:val="-10"/>
                <w:sz w:val="20"/>
              </w:rPr>
              <w:t> </w:t>
            </w:r>
            <w:r>
              <w:rPr>
                <w:color w:val="231F20"/>
                <w:spacing w:val="-2"/>
                <w:sz w:val="20"/>
              </w:rPr>
              <w:t>accounts</w:t>
            </w:r>
          </w:p>
        </w:tc>
        <w:tc>
          <w:tcPr>
            <w:tcW w:w="2260" w:type="dxa"/>
          </w:tcPr>
          <w:p>
            <w:pPr>
              <w:pStyle w:val="TableParagraph"/>
              <w:spacing w:before="5"/>
              <w:ind w:right="167"/>
              <w:jc w:val="right"/>
              <w:rPr>
                <w:sz w:val="20"/>
              </w:rPr>
            </w:pPr>
            <w:r>
              <w:rPr>
                <w:color w:val="231F20"/>
                <w:spacing w:val="-21"/>
                <w:sz w:val="20"/>
                <w:u w:val="single" w:color="231F20"/>
              </w:rPr>
              <w:t> </w:t>
            </w:r>
            <w:r>
              <w:rPr>
                <w:color w:val="231F20"/>
                <w:sz w:val="20"/>
                <w:u w:val="single" w:color="231F20"/>
              </w:rPr>
              <w:t>Balance</w:t>
            </w:r>
            <w:r>
              <w:rPr>
                <w:color w:val="231F20"/>
                <w:spacing w:val="-4"/>
                <w:sz w:val="20"/>
                <w:u w:val="single" w:color="231F20"/>
              </w:rPr>
              <w:t> </w:t>
            </w:r>
            <w:r>
              <w:rPr>
                <w:color w:val="231F20"/>
                <w:sz w:val="20"/>
                <w:u w:val="single" w:color="231F20"/>
              </w:rPr>
              <w:t>per</w:t>
            </w:r>
            <w:r>
              <w:rPr>
                <w:color w:val="231F20"/>
                <w:spacing w:val="-2"/>
                <w:sz w:val="20"/>
                <w:u w:val="single" w:color="231F20"/>
              </w:rPr>
              <w:t> Books</w:t>
            </w:r>
          </w:p>
        </w:tc>
        <w:tc>
          <w:tcPr>
            <w:tcW w:w="2101" w:type="dxa"/>
          </w:tcPr>
          <w:p>
            <w:pPr>
              <w:pStyle w:val="TableParagraph"/>
              <w:spacing w:before="5"/>
              <w:ind w:right="83"/>
              <w:jc w:val="right"/>
              <w:rPr>
                <w:sz w:val="20"/>
              </w:rPr>
            </w:pPr>
            <w:r>
              <w:rPr>
                <w:color w:val="231F20"/>
                <w:spacing w:val="-5"/>
                <w:sz w:val="20"/>
                <w:u w:val="single" w:color="231F20"/>
              </w:rPr>
              <w:t> </w:t>
            </w:r>
            <w:r>
              <w:rPr>
                <w:color w:val="231F20"/>
                <w:sz w:val="20"/>
                <w:u w:val="single" w:color="231F20"/>
              </w:rPr>
              <w:t>Custodial</w:t>
            </w:r>
            <w:r>
              <w:rPr>
                <w:color w:val="231F20"/>
                <w:spacing w:val="-2"/>
                <w:sz w:val="20"/>
                <w:u w:val="single" w:color="231F20"/>
              </w:rPr>
              <w:t> Statement</w:t>
            </w:r>
          </w:p>
        </w:tc>
      </w:tr>
      <w:tr>
        <w:trPr>
          <w:trHeight w:val="495" w:hRule="atLeast"/>
        </w:trPr>
        <w:tc>
          <w:tcPr>
            <w:tcW w:w="4993" w:type="dxa"/>
          </w:tcPr>
          <w:p>
            <w:pPr>
              <w:pStyle w:val="TableParagraph"/>
              <w:spacing w:before="5"/>
              <w:ind w:left="190"/>
              <w:rPr>
                <w:sz w:val="20"/>
              </w:rPr>
            </w:pPr>
            <w:r>
              <w:rPr>
                <w:color w:val="231F20"/>
                <w:sz w:val="20"/>
              </w:rPr>
              <w:t>Morgan</w:t>
            </w:r>
            <w:r>
              <w:rPr>
                <w:color w:val="231F20"/>
                <w:spacing w:val="-2"/>
                <w:sz w:val="20"/>
              </w:rPr>
              <w:t> Stanley</w:t>
            </w:r>
          </w:p>
          <w:p>
            <w:pPr>
              <w:pStyle w:val="TableParagraph"/>
              <w:spacing w:line="223" w:lineRule="exact" w:before="18"/>
              <w:ind w:left="332"/>
              <w:rPr>
                <w:sz w:val="20"/>
              </w:rPr>
            </w:pPr>
            <w:r>
              <w:rPr>
                <w:color w:val="231F20"/>
                <w:sz w:val="20"/>
              </w:rPr>
              <w:t>Langmuir</w:t>
            </w:r>
            <w:r>
              <w:rPr>
                <w:color w:val="231F20"/>
                <w:spacing w:val="-5"/>
                <w:sz w:val="20"/>
              </w:rPr>
              <w:t> </w:t>
            </w:r>
            <w:r>
              <w:rPr>
                <w:color w:val="231F20"/>
                <w:spacing w:val="-2"/>
                <w:sz w:val="20"/>
              </w:rPr>
              <w:t>endowment</w:t>
            </w:r>
          </w:p>
        </w:tc>
        <w:tc>
          <w:tcPr>
            <w:tcW w:w="2260" w:type="dxa"/>
          </w:tcPr>
          <w:p>
            <w:pPr>
              <w:pStyle w:val="TableParagraph"/>
              <w:rPr>
                <w:rFonts w:ascii="Times New Roman"/>
                <w:sz w:val="20"/>
              </w:rPr>
            </w:pPr>
          </w:p>
        </w:tc>
        <w:tc>
          <w:tcPr>
            <w:tcW w:w="2101" w:type="dxa"/>
          </w:tcPr>
          <w:p>
            <w:pPr>
              <w:pStyle w:val="TableParagraph"/>
              <w:rPr>
                <w:rFonts w:ascii="Times New Roman"/>
                <w:sz w:val="20"/>
              </w:rPr>
            </w:pPr>
          </w:p>
        </w:tc>
      </w:tr>
      <w:tr>
        <w:trPr>
          <w:trHeight w:val="248" w:hRule="atLeast"/>
        </w:trPr>
        <w:tc>
          <w:tcPr>
            <w:tcW w:w="4993" w:type="dxa"/>
          </w:tcPr>
          <w:p>
            <w:pPr>
              <w:pStyle w:val="TableParagraph"/>
              <w:spacing w:line="223" w:lineRule="exact" w:before="5"/>
              <w:ind w:left="472"/>
              <w:rPr>
                <w:sz w:val="20"/>
              </w:rPr>
            </w:pPr>
            <w:r>
              <w:rPr>
                <w:color w:val="231F20"/>
                <w:sz w:val="20"/>
              </w:rPr>
              <w:t>Money</w:t>
            </w:r>
            <w:r>
              <w:rPr>
                <w:color w:val="231F20"/>
                <w:spacing w:val="-5"/>
                <w:sz w:val="20"/>
              </w:rPr>
              <w:t> </w:t>
            </w:r>
            <w:r>
              <w:rPr>
                <w:color w:val="231F20"/>
                <w:sz w:val="20"/>
              </w:rPr>
              <w:t>market</w:t>
            </w:r>
            <w:r>
              <w:rPr>
                <w:color w:val="231F20"/>
                <w:spacing w:val="-4"/>
                <w:sz w:val="20"/>
              </w:rPr>
              <w:t> </w:t>
            </w:r>
            <w:r>
              <w:rPr>
                <w:color w:val="231F20"/>
                <w:spacing w:val="-2"/>
                <w:sz w:val="20"/>
              </w:rPr>
              <w:t>funds</w:t>
            </w:r>
          </w:p>
        </w:tc>
        <w:tc>
          <w:tcPr>
            <w:tcW w:w="2260" w:type="dxa"/>
          </w:tcPr>
          <w:p>
            <w:pPr>
              <w:pStyle w:val="TableParagraph"/>
              <w:tabs>
                <w:tab w:pos="1385" w:val="left" w:leader="none"/>
              </w:tabs>
              <w:spacing w:line="223" w:lineRule="exact" w:before="5"/>
              <w:ind w:left="477"/>
              <w:rPr>
                <w:sz w:val="20"/>
              </w:rPr>
            </w:pPr>
            <w:r>
              <w:rPr>
                <w:color w:val="231F20"/>
                <w:spacing w:val="-10"/>
                <w:sz w:val="20"/>
              </w:rPr>
              <w:t>$</w:t>
            </w:r>
            <w:r>
              <w:rPr>
                <w:color w:val="231F20"/>
                <w:sz w:val="20"/>
              </w:rPr>
              <w:tab/>
            </w:r>
            <w:r>
              <w:rPr>
                <w:color w:val="231F20"/>
                <w:spacing w:val="-2"/>
                <w:sz w:val="20"/>
              </w:rPr>
              <w:t>66,586</w:t>
            </w:r>
          </w:p>
        </w:tc>
        <w:tc>
          <w:tcPr>
            <w:tcW w:w="2101" w:type="dxa"/>
          </w:tcPr>
          <w:p>
            <w:pPr>
              <w:pStyle w:val="TableParagraph"/>
              <w:tabs>
                <w:tab w:pos="1329" w:val="left" w:leader="none"/>
              </w:tabs>
              <w:spacing w:line="223" w:lineRule="exact" w:before="5"/>
              <w:ind w:left="259"/>
              <w:rPr>
                <w:sz w:val="20"/>
              </w:rPr>
            </w:pPr>
            <w:r>
              <w:rPr>
                <w:color w:val="231F20"/>
                <w:spacing w:val="-10"/>
                <w:sz w:val="20"/>
              </w:rPr>
              <w:t>$</w:t>
            </w:r>
            <w:r>
              <w:rPr>
                <w:color w:val="231F20"/>
                <w:sz w:val="20"/>
              </w:rPr>
              <w:tab/>
            </w:r>
            <w:r>
              <w:rPr>
                <w:color w:val="231F20"/>
                <w:spacing w:val="-2"/>
                <w:sz w:val="20"/>
              </w:rPr>
              <w:t>66,586</w:t>
            </w:r>
          </w:p>
        </w:tc>
      </w:tr>
      <w:tr>
        <w:trPr>
          <w:trHeight w:val="247" w:hRule="atLeast"/>
        </w:trPr>
        <w:tc>
          <w:tcPr>
            <w:tcW w:w="4993" w:type="dxa"/>
          </w:tcPr>
          <w:p>
            <w:pPr>
              <w:pStyle w:val="TableParagraph"/>
              <w:spacing w:line="222" w:lineRule="exact" w:before="5"/>
              <w:ind w:left="472"/>
              <w:rPr>
                <w:sz w:val="20"/>
              </w:rPr>
            </w:pPr>
            <w:r>
              <w:rPr>
                <w:color w:val="231F20"/>
                <w:sz w:val="20"/>
              </w:rPr>
              <w:t>Mutual</w:t>
            </w:r>
            <w:r>
              <w:rPr>
                <w:color w:val="231F20"/>
                <w:spacing w:val="-4"/>
                <w:sz w:val="20"/>
              </w:rPr>
              <w:t> </w:t>
            </w:r>
            <w:r>
              <w:rPr>
                <w:color w:val="231F20"/>
                <w:spacing w:val="-2"/>
                <w:sz w:val="20"/>
              </w:rPr>
              <w:t>funds</w:t>
            </w:r>
          </w:p>
        </w:tc>
        <w:tc>
          <w:tcPr>
            <w:tcW w:w="2260" w:type="dxa"/>
          </w:tcPr>
          <w:p>
            <w:pPr>
              <w:pStyle w:val="TableParagraph"/>
              <w:spacing w:line="222" w:lineRule="exact" w:before="5"/>
              <w:ind w:left="1275"/>
              <w:rPr>
                <w:sz w:val="20"/>
              </w:rPr>
            </w:pPr>
            <w:r>
              <w:rPr>
                <w:color w:val="231F20"/>
                <w:spacing w:val="-2"/>
                <w:sz w:val="20"/>
              </w:rPr>
              <w:t>437,615</w:t>
            </w:r>
          </w:p>
        </w:tc>
        <w:tc>
          <w:tcPr>
            <w:tcW w:w="2101" w:type="dxa"/>
          </w:tcPr>
          <w:p>
            <w:pPr>
              <w:pStyle w:val="TableParagraph"/>
              <w:spacing w:line="222" w:lineRule="exact" w:before="5"/>
              <w:ind w:right="156"/>
              <w:jc w:val="right"/>
              <w:rPr>
                <w:sz w:val="20"/>
              </w:rPr>
            </w:pPr>
            <w:r>
              <w:rPr>
                <w:color w:val="231F20"/>
                <w:spacing w:val="-2"/>
                <w:sz w:val="20"/>
              </w:rPr>
              <w:t>437,615</w:t>
            </w:r>
          </w:p>
        </w:tc>
      </w:tr>
      <w:tr>
        <w:trPr>
          <w:trHeight w:val="247" w:hRule="atLeast"/>
        </w:trPr>
        <w:tc>
          <w:tcPr>
            <w:tcW w:w="4993" w:type="dxa"/>
          </w:tcPr>
          <w:p>
            <w:pPr>
              <w:pStyle w:val="TableParagraph"/>
              <w:spacing w:line="223" w:lineRule="exact" w:before="5"/>
              <w:ind w:left="472"/>
              <w:rPr>
                <w:sz w:val="20"/>
              </w:rPr>
            </w:pPr>
            <w:r>
              <w:rPr>
                <w:color w:val="231F20"/>
                <w:sz w:val="20"/>
              </w:rPr>
              <w:t>U.S.</w:t>
            </w:r>
            <w:r>
              <w:rPr>
                <w:color w:val="231F20"/>
                <w:spacing w:val="-7"/>
                <w:sz w:val="20"/>
              </w:rPr>
              <w:t> </w:t>
            </w:r>
            <w:r>
              <w:rPr>
                <w:color w:val="231F20"/>
                <w:sz w:val="20"/>
              </w:rPr>
              <w:t>government</w:t>
            </w:r>
            <w:r>
              <w:rPr>
                <w:color w:val="231F20"/>
                <w:spacing w:val="-5"/>
                <w:sz w:val="20"/>
              </w:rPr>
              <w:t> </w:t>
            </w:r>
            <w:r>
              <w:rPr>
                <w:color w:val="231F20"/>
                <w:sz w:val="20"/>
              </w:rPr>
              <w:t>and</w:t>
            </w:r>
            <w:r>
              <w:rPr>
                <w:color w:val="231F20"/>
                <w:spacing w:val="-5"/>
                <w:sz w:val="20"/>
              </w:rPr>
              <w:t> </w:t>
            </w:r>
            <w:r>
              <w:rPr>
                <w:color w:val="231F20"/>
                <w:sz w:val="20"/>
              </w:rPr>
              <w:t>corporate</w:t>
            </w:r>
            <w:r>
              <w:rPr>
                <w:color w:val="231F20"/>
                <w:spacing w:val="-4"/>
                <w:sz w:val="20"/>
              </w:rPr>
              <w:t> </w:t>
            </w:r>
            <w:r>
              <w:rPr>
                <w:color w:val="231F20"/>
                <w:sz w:val="20"/>
              </w:rPr>
              <w:t>debt</w:t>
            </w:r>
            <w:r>
              <w:rPr>
                <w:color w:val="231F20"/>
                <w:spacing w:val="-4"/>
                <w:sz w:val="20"/>
              </w:rPr>
              <w:t> </w:t>
            </w:r>
            <w:r>
              <w:rPr>
                <w:color w:val="231F20"/>
                <w:spacing w:val="-2"/>
                <w:sz w:val="20"/>
              </w:rPr>
              <w:t>securities</w:t>
            </w:r>
          </w:p>
        </w:tc>
        <w:tc>
          <w:tcPr>
            <w:tcW w:w="2260" w:type="dxa"/>
          </w:tcPr>
          <w:p>
            <w:pPr>
              <w:pStyle w:val="TableParagraph"/>
              <w:spacing w:line="223" w:lineRule="exact" w:before="5"/>
              <w:ind w:left="1383"/>
              <w:rPr>
                <w:sz w:val="20"/>
              </w:rPr>
            </w:pPr>
            <w:r>
              <w:rPr>
                <w:color w:val="231F20"/>
                <w:spacing w:val="-2"/>
                <w:sz w:val="20"/>
              </w:rPr>
              <w:t>60,808</w:t>
            </w:r>
          </w:p>
        </w:tc>
        <w:tc>
          <w:tcPr>
            <w:tcW w:w="2101" w:type="dxa"/>
          </w:tcPr>
          <w:p>
            <w:pPr>
              <w:pStyle w:val="TableParagraph"/>
              <w:spacing w:line="223" w:lineRule="exact" w:before="5"/>
              <w:ind w:right="155"/>
              <w:jc w:val="right"/>
              <w:rPr>
                <w:sz w:val="20"/>
              </w:rPr>
            </w:pPr>
            <w:r>
              <w:rPr>
                <w:color w:val="231F20"/>
                <w:spacing w:val="-2"/>
                <w:sz w:val="20"/>
              </w:rPr>
              <w:t>60,808</w:t>
            </w:r>
          </w:p>
        </w:tc>
      </w:tr>
      <w:tr>
        <w:trPr>
          <w:trHeight w:val="248" w:hRule="atLeast"/>
        </w:trPr>
        <w:tc>
          <w:tcPr>
            <w:tcW w:w="4993" w:type="dxa"/>
          </w:tcPr>
          <w:p>
            <w:pPr>
              <w:pStyle w:val="TableParagraph"/>
              <w:spacing w:line="223" w:lineRule="exact" w:before="5"/>
              <w:ind w:left="472"/>
              <w:rPr>
                <w:sz w:val="20"/>
              </w:rPr>
            </w:pPr>
            <w:r>
              <w:rPr>
                <w:color w:val="231F20"/>
                <w:sz w:val="20"/>
              </w:rPr>
              <w:t>Common</w:t>
            </w:r>
            <w:r>
              <w:rPr>
                <w:color w:val="231F20"/>
                <w:spacing w:val="-5"/>
                <w:sz w:val="20"/>
              </w:rPr>
              <w:t> </w:t>
            </w:r>
            <w:r>
              <w:rPr>
                <w:color w:val="231F20"/>
                <w:spacing w:val="-2"/>
                <w:sz w:val="20"/>
              </w:rPr>
              <w:t>stocks</w:t>
            </w:r>
          </w:p>
        </w:tc>
        <w:tc>
          <w:tcPr>
            <w:tcW w:w="2260" w:type="dxa"/>
          </w:tcPr>
          <w:p>
            <w:pPr>
              <w:pStyle w:val="TableParagraph"/>
              <w:spacing w:line="223" w:lineRule="exact" w:before="5"/>
              <w:ind w:left="1106"/>
              <w:rPr>
                <w:sz w:val="20"/>
              </w:rPr>
            </w:pPr>
            <w:r>
              <w:rPr>
                <w:color w:val="231F20"/>
                <w:spacing w:val="-2"/>
                <w:sz w:val="20"/>
              </w:rPr>
              <w:t>2,497,609</w:t>
            </w:r>
          </w:p>
        </w:tc>
        <w:tc>
          <w:tcPr>
            <w:tcW w:w="2101" w:type="dxa"/>
          </w:tcPr>
          <w:p>
            <w:pPr>
              <w:pStyle w:val="TableParagraph"/>
              <w:spacing w:line="223" w:lineRule="exact" w:before="5"/>
              <w:ind w:right="156"/>
              <w:jc w:val="right"/>
              <w:rPr>
                <w:sz w:val="20"/>
              </w:rPr>
            </w:pPr>
            <w:r>
              <w:rPr>
                <w:color w:val="231F20"/>
                <w:spacing w:val="-2"/>
                <w:sz w:val="20"/>
              </w:rPr>
              <w:t>2,497,609</w:t>
            </w:r>
          </w:p>
        </w:tc>
      </w:tr>
      <w:tr>
        <w:trPr>
          <w:trHeight w:val="495" w:hRule="atLeast"/>
        </w:trPr>
        <w:tc>
          <w:tcPr>
            <w:tcW w:w="4993" w:type="dxa"/>
          </w:tcPr>
          <w:p>
            <w:pPr>
              <w:pStyle w:val="TableParagraph"/>
              <w:spacing w:before="5"/>
              <w:ind w:left="331" w:right="2569"/>
              <w:jc w:val="center"/>
              <w:rPr>
                <w:sz w:val="20"/>
              </w:rPr>
            </w:pPr>
            <w:r>
              <w:rPr>
                <w:color w:val="231F20"/>
                <w:sz w:val="20"/>
              </w:rPr>
              <w:t>NMT</w:t>
            </w:r>
            <w:r>
              <w:rPr>
                <w:color w:val="231F20"/>
                <w:spacing w:val="-5"/>
                <w:sz w:val="20"/>
              </w:rPr>
              <w:t> </w:t>
            </w:r>
            <w:r>
              <w:rPr>
                <w:color w:val="231F20"/>
                <w:sz w:val="20"/>
              </w:rPr>
              <w:t>Capital</w:t>
            </w:r>
            <w:r>
              <w:rPr>
                <w:color w:val="231F20"/>
                <w:spacing w:val="-5"/>
                <w:sz w:val="20"/>
              </w:rPr>
              <w:t> </w:t>
            </w:r>
            <w:r>
              <w:rPr>
                <w:color w:val="231F20"/>
                <w:spacing w:val="-2"/>
                <w:sz w:val="20"/>
              </w:rPr>
              <w:t>Campaign</w:t>
            </w:r>
          </w:p>
          <w:p>
            <w:pPr>
              <w:pStyle w:val="TableParagraph"/>
              <w:spacing w:line="223" w:lineRule="exact" w:before="18"/>
              <w:ind w:left="331" w:right="2559"/>
              <w:jc w:val="center"/>
              <w:rPr>
                <w:sz w:val="20"/>
              </w:rPr>
            </w:pPr>
            <w:r>
              <w:rPr>
                <w:color w:val="231F20"/>
                <w:sz w:val="20"/>
              </w:rPr>
              <w:t>Money</w:t>
            </w:r>
            <w:r>
              <w:rPr>
                <w:color w:val="231F20"/>
                <w:spacing w:val="-5"/>
                <w:sz w:val="20"/>
              </w:rPr>
              <w:t> </w:t>
            </w:r>
            <w:r>
              <w:rPr>
                <w:color w:val="231F20"/>
                <w:sz w:val="20"/>
              </w:rPr>
              <w:t>market</w:t>
            </w:r>
            <w:r>
              <w:rPr>
                <w:color w:val="231F20"/>
                <w:spacing w:val="-4"/>
                <w:sz w:val="20"/>
              </w:rPr>
              <w:t> </w:t>
            </w:r>
            <w:r>
              <w:rPr>
                <w:color w:val="231F20"/>
                <w:spacing w:val="-2"/>
                <w:sz w:val="20"/>
              </w:rPr>
              <w:t>funds</w:t>
            </w:r>
          </w:p>
        </w:tc>
        <w:tc>
          <w:tcPr>
            <w:tcW w:w="2260" w:type="dxa"/>
          </w:tcPr>
          <w:p>
            <w:pPr>
              <w:pStyle w:val="TableParagraph"/>
              <w:spacing w:before="11"/>
              <w:rPr>
                <w:sz w:val="21"/>
              </w:rPr>
            </w:pPr>
          </w:p>
          <w:p>
            <w:pPr>
              <w:pStyle w:val="TableParagraph"/>
              <w:spacing w:line="223" w:lineRule="exact"/>
              <w:ind w:left="1274"/>
              <w:rPr>
                <w:sz w:val="20"/>
              </w:rPr>
            </w:pPr>
            <w:r>
              <w:rPr>
                <w:color w:val="231F20"/>
                <w:spacing w:val="-2"/>
                <w:sz w:val="20"/>
              </w:rPr>
              <w:t>115,536</w:t>
            </w:r>
          </w:p>
        </w:tc>
        <w:tc>
          <w:tcPr>
            <w:tcW w:w="2101" w:type="dxa"/>
          </w:tcPr>
          <w:p>
            <w:pPr>
              <w:pStyle w:val="TableParagraph"/>
              <w:spacing w:before="11"/>
              <w:rPr>
                <w:sz w:val="21"/>
              </w:rPr>
            </w:pPr>
          </w:p>
          <w:p>
            <w:pPr>
              <w:pStyle w:val="TableParagraph"/>
              <w:spacing w:line="223" w:lineRule="exact"/>
              <w:ind w:right="156"/>
              <w:jc w:val="right"/>
              <w:rPr>
                <w:sz w:val="20"/>
              </w:rPr>
            </w:pPr>
            <w:r>
              <w:rPr>
                <w:color w:val="231F20"/>
                <w:spacing w:val="-2"/>
                <w:sz w:val="20"/>
              </w:rPr>
              <w:t>115,536</w:t>
            </w:r>
          </w:p>
        </w:tc>
      </w:tr>
      <w:tr>
        <w:trPr>
          <w:trHeight w:val="248" w:hRule="atLeast"/>
        </w:trPr>
        <w:tc>
          <w:tcPr>
            <w:tcW w:w="4993" w:type="dxa"/>
          </w:tcPr>
          <w:p>
            <w:pPr>
              <w:pStyle w:val="TableParagraph"/>
              <w:spacing w:line="223" w:lineRule="exact" w:before="5"/>
              <w:ind w:left="472"/>
              <w:rPr>
                <w:sz w:val="20"/>
              </w:rPr>
            </w:pPr>
            <w:r>
              <w:rPr>
                <w:color w:val="231F20"/>
                <w:sz w:val="20"/>
              </w:rPr>
              <w:t>Mutual</w:t>
            </w:r>
            <w:r>
              <w:rPr>
                <w:color w:val="231F20"/>
                <w:spacing w:val="-4"/>
                <w:sz w:val="20"/>
              </w:rPr>
              <w:t> </w:t>
            </w:r>
            <w:r>
              <w:rPr>
                <w:color w:val="231F20"/>
                <w:spacing w:val="-2"/>
                <w:sz w:val="20"/>
              </w:rPr>
              <w:t>funds</w:t>
            </w:r>
          </w:p>
        </w:tc>
        <w:tc>
          <w:tcPr>
            <w:tcW w:w="2260" w:type="dxa"/>
          </w:tcPr>
          <w:p>
            <w:pPr>
              <w:pStyle w:val="TableParagraph"/>
              <w:spacing w:line="223" w:lineRule="exact" w:before="5"/>
              <w:ind w:left="1275"/>
              <w:rPr>
                <w:sz w:val="20"/>
              </w:rPr>
            </w:pPr>
            <w:r>
              <w:rPr>
                <w:color w:val="231F20"/>
                <w:spacing w:val="-2"/>
                <w:sz w:val="20"/>
              </w:rPr>
              <w:t>333,771</w:t>
            </w:r>
          </w:p>
        </w:tc>
        <w:tc>
          <w:tcPr>
            <w:tcW w:w="2101" w:type="dxa"/>
          </w:tcPr>
          <w:p>
            <w:pPr>
              <w:pStyle w:val="TableParagraph"/>
              <w:spacing w:line="223" w:lineRule="exact" w:before="5"/>
              <w:ind w:right="156"/>
              <w:jc w:val="right"/>
              <w:rPr>
                <w:sz w:val="20"/>
              </w:rPr>
            </w:pPr>
            <w:r>
              <w:rPr>
                <w:color w:val="231F20"/>
                <w:spacing w:val="-2"/>
                <w:sz w:val="20"/>
              </w:rPr>
              <w:t>333,771</w:t>
            </w:r>
          </w:p>
        </w:tc>
      </w:tr>
      <w:tr>
        <w:trPr>
          <w:trHeight w:val="731" w:hRule="atLeast"/>
        </w:trPr>
        <w:tc>
          <w:tcPr>
            <w:tcW w:w="4993" w:type="dxa"/>
          </w:tcPr>
          <w:p>
            <w:pPr>
              <w:pStyle w:val="TableParagraph"/>
              <w:spacing w:line="259" w:lineRule="auto" w:before="5"/>
              <w:ind w:left="190" w:right="2854" w:firstLine="282"/>
              <w:rPr>
                <w:sz w:val="20"/>
              </w:rPr>
            </w:pPr>
            <w:r>
              <w:rPr>
                <w:color w:val="231F20"/>
                <w:sz w:val="20"/>
              </w:rPr>
              <w:t>Common</w:t>
            </w:r>
            <w:r>
              <w:rPr>
                <w:color w:val="231F20"/>
                <w:spacing w:val="-14"/>
                <w:sz w:val="20"/>
              </w:rPr>
              <w:t> </w:t>
            </w:r>
            <w:r>
              <w:rPr>
                <w:color w:val="231F20"/>
                <w:sz w:val="20"/>
              </w:rPr>
              <w:t>stocks TD Ameritrade</w:t>
            </w:r>
          </w:p>
          <w:p>
            <w:pPr>
              <w:pStyle w:val="TableParagraph"/>
              <w:spacing w:line="209" w:lineRule="exact"/>
              <w:ind w:left="332"/>
              <w:rPr>
                <w:sz w:val="20"/>
              </w:rPr>
            </w:pPr>
            <w:r>
              <w:rPr>
                <w:color w:val="231F20"/>
                <w:sz w:val="20"/>
              </w:rPr>
              <w:t>Student</w:t>
            </w:r>
            <w:r>
              <w:rPr>
                <w:color w:val="231F20"/>
                <w:spacing w:val="-9"/>
                <w:sz w:val="20"/>
              </w:rPr>
              <w:t> </w:t>
            </w:r>
            <w:r>
              <w:rPr>
                <w:color w:val="231F20"/>
                <w:sz w:val="20"/>
              </w:rPr>
              <w:t>investment</w:t>
            </w:r>
            <w:r>
              <w:rPr>
                <w:color w:val="231F20"/>
                <w:spacing w:val="-6"/>
                <w:sz w:val="20"/>
              </w:rPr>
              <w:t> </w:t>
            </w:r>
            <w:r>
              <w:rPr>
                <w:color w:val="231F20"/>
                <w:spacing w:val="-4"/>
                <w:sz w:val="20"/>
              </w:rPr>
              <w:t>club</w:t>
            </w:r>
          </w:p>
        </w:tc>
        <w:tc>
          <w:tcPr>
            <w:tcW w:w="2260" w:type="dxa"/>
          </w:tcPr>
          <w:p>
            <w:pPr>
              <w:pStyle w:val="TableParagraph"/>
              <w:spacing w:before="5"/>
              <w:ind w:left="1274"/>
              <w:rPr>
                <w:sz w:val="20"/>
              </w:rPr>
            </w:pPr>
            <w:r>
              <w:rPr>
                <w:color w:val="231F20"/>
                <w:spacing w:val="-2"/>
                <w:sz w:val="20"/>
              </w:rPr>
              <w:t>367,924</w:t>
            </w:r>
          </w:p>
        </w:tc>
        <w:tc>
          <w:tcPr>
            <w:tcW w:w="2101" w:type="dxa"/>
          </w:tcPr>
          <w:p>
            <w:pPr>
              <w:pStyle w:val="TableParagraph"/>
              <w:spacing w:before="5"/>
              <w:ind w:right="156"/>
              <w:jc w:val="right"/>
              <w:rPr>
                <w:sz w:val="20"/>
              </w:rPr>
            </w:pPr>
            <w:r>
              <w:rPr>
                <w:color w:val="231F20"/>
                <w:spacing w:val="-2"/>
                <w:sz w:val="20"/>
              </w:rPr>
              <w:t>367,924</w:t>
            </w:r>
          </w:p>
        </w:tc>
      </w:tr>
      <w:tr>
        <w:trPr>
          <w:trHeight w:val="260" w:hRule="atLeast"/>
        </w:trPr>
        <w:tc>
          <w:tcPr>
            <w:tcW w:w="4993" w:type="dxa"/>
          </w:tcPr>
          <w:p>
            <w:pPr>
              <w:pStyle w:val="TableParagraph"/>
              <w:spacing w:line="222" w:lineRule="exact" w:before="18"/>
              <w:ind w:left="472"/>
              <w:rPr>
                <w:sz w:val="20"/>
              </w:rPr>
            </w:pPr>
            <w:r>
              <w:rPr>
                <w:color w:val="231F20"/>
                <w:spacing w:val="-4"/>
                <w:sz w:val="20"/>
              </w:rPr>
              <w:t>Cash</w:t>
            </w:r>
          </w:p>
        </w:tc>
        <w:tc>
          <w:tcPr>
            <w:tcW w:w="2260" w:type="dxa"/>
          </w:tcPr>
          <w:p>
            <w:pPr>
              <w:pStyle w:val="TableParagraph"/>
              <w:spacing w:line="222" w:lineRule="exact" w:before="18"/>
              <w:ind w:right="256"/>
              <w:jc w:val="right"/>
              <w:rPr>
                <w:sz w:val="20"/>
              </w:rPr>
            </w:pPr>
            <w:r>
              <w:rPr>
                <w:color w:val="231F20"/>
                <w:spacing w:val="-5"/>
                <w:sz w:val="20"/>
              </w:rPr>
              <w:t>886</w:t>
            </w:r>
          </w:p>
        </w:tc>
        <w:tc>
          <w:tcPr>
            <w:tcW w:w="2101" w:type="dxa"/>
          </w:tcPr>
          <w:p>
            <w:pPr>
              <w:pStyle w:val="TableParagraph"/>
              <w:spacing w:line="222" w:lineRule="exact" w:before="18"/>
              <w:ind w:right="154"/>
              <w:jc w:val="right"/>
              <w:rPr>
                <w:sz w:val="20"/>
              </w:rPr>
            </w:pPr>
            <w:r>
              <w:rPr>
                <w:color w:val="231F20"/>
                <w:spacing w:val="-5"/>
                <w:sz w:val="20"/>
              </w:rPr>
              <w:t>886</w:t>
            </w:r>
          </w:p>
        </w:tc>
      </w:tr>
      <w:tr>
        <w:trPr>
          <w:trHeight w:val="247" w:hRule="atLeast"/>
        </w:trPr>
        <w:tc>
          <w:tcPr>
            <w:tcW w:w="4993" w:type="dxa"/>
          </w:tcPr>
          <w:p>
            <w:pPr>
              <w:pStyle w:val="TableParagraph"/>
              <w:spacing w:line="223" w:lineRule="exact" w:before="5"/>
              <w:ind w:left="472"/>
              <w:rPr>
                <w:sz w:val="20"/>
              </w:rPr>
            </w:pPr>
            <w:r>
              <w:rPr>
                <w:color w:val="231F20"/>
                <w:sz w:val="20"/>
              </w:rPr>
              <w:t>Common</w:t>
            </w:r>
            <w:r>
              <w:rPr>
                <w:color w:val="231F20"/>
                <w:spacing w:val="-5"/>
                <w:sz w:val="20"/>
              </w:rPr>
              <w:t> </w:t>
            </w:r>
            <w:r>
              <w:rPr>
                <w:color w:val="231F20"/>
                <w:spacing w:val="-2"/>
                <w:sz w:val="20"/>
              </w:rPr>
              <w:t>stocks</w:t>
            </w:r>
          </w:p>
        </w:tc>
        <w:tc>
          <w:tcPr>
            <w:tcW w:w="2260" w:type="dxa"/>
          </w:tcPr>
          <w:p>
            <w:pPr>
              <w:pStyle w:val="TableParagraph"/>
              <w:spacing w:line="223" w:lineRule="exact" w:before="5"/>
              <w:ind w:left="1274"/>
              <w:rPr>
                <w:sz w:val="20"/>
              </w:rPr>
            </w:pPr>
            <w:r>
              <w:rPr>
                <w:color w:val="231F20"/>
                <w:spacing w:val="-2"/>
                <w:sz w:val="20"/>
              </w:rPr>
              <w:t>258,780</w:t>
            </w:r>
          </w:p>
        </w:tc>
        <w:tc>
          <w:tcPr>
            <w:tcW w:w="2101" w:type="dxa"/>
          </w:tcPr>
          <w:p>
            <w:pPr>
              <w:pStyle w:val="TableParagraph"/>
              <w:spacing w:line="223" w:lineRule="exact" w:before="5"/>
              <w:ind w:right="156"/>
              <w:jc w:val="right"/>
              <w:rPr>
                <w:sz w:val="20"/>
              </w:rPr>
            </w:pPr>
            <w:r>
              <w:rPr>
                <w:color w:val="231F20"/>
                <w:spacing w:val="-2"/>
                <w:sz w:val="20"/>
              </w:rPr>
              <w:t>258,780</w:t>
            </w:r>
          </w:p>
        </w:tc>
      </w:tr>
      <w:tr>
        <w:trPr>
          <w:trHeight w:val="247" w:hRule="atLeast"/>
        </w:trPr>
        <w:tc>
          <w:tcPr>
            <w:tcW w:w="4993" w:type="dxa"/>
          </w:tcPr>
          <w:p>
            <w:pPr>
              <w:pStyle w:val="TableParagraph"/>
              <w:spacing w:line="222" w:lineRule="exact" w:before="5"/>
              <w:ind w:left="190"/>
              <w:rPr>
                <w:sz w:val="20"/>
              </w:rPr>
            </w:pPr>
            <w:r>
              <w:rPr>
                <w:color w:val="231F20"/>
                <w:sz w:val="20"/>
              </w:rPr>
              <w:t>State</w:t>
            </w:r>
            <w:r>
              <w:rPr>
                <w:color w:val="231F20"/>
                <w:spacing w:val="-8"/>
                <w:sz w:val="20"/>
              </w:rPr>
              <w:t> </w:t>
            </w:r>
            <w:r>
              <w:rPr>
                <w:color w:val="231F20"/>
                <w:sz w:val="20"/>
              </w:rPr>
              <w:t>Investment</w:t>
            </w:r>
            <w:r>
              <w:rPr>
                <w:color w:val="231F20"/>
                <w:spacing w:val="-6"/>
                <w:sz w:val="20"/>
              </w:rPr>
              <w:t> </w:t>
            </w:r>
            <w:r>
              <w:rPr>
                <w:color w:val="231F20"/>
                <w:sz w:val="20"/>
              </w:rPr>
              <w:t>Council</w:t>
            </w:r>
            <w:r>
              <w:rPr>
                <w:color w:val="231F20"/>
                <w:spacing w:val="-6"/>
                <w:sz w:val="20"/>
              </w:rPr>
              <w:t> </w:t>
            </w:r>
            <w:r>
              <w:rPr>
                <w:color w:val="231F20"/>
                <w:sz w:val="20"/>
              </w:rPr>
              <w:t>Pooled</w:t>
            </w:r>
            <w:r>
              <w:rPr>
                <w:color w:val="231F20"/>
                <w:spacing w:val="-5"/>
                <w:sz w:val="20"/>
              </w:rPr>
              <w:t> </w:t>
            </w:r>
            <w:r>
              <w:rPr>
                <w:color w:val="231F20"/>
                <w:spacing w:val="-4"/>
                <w:sz w:val="20"/>
              </w:rPr>
              <w:t>Fund</w:t>
            </w:r>
          </w:p>
        </w:tc>
        <w:tc>
          <w:tcPr>
            <w:tcW w:w="2260" w:type="dxa"/>
          </w:tcPr>
          <w:p>
            <w:pPr>
              <w:pStyle w:val="TableParagraph"/>
              <w:spacing w:line="222" w:lineRule="exact" w:before="5"/>
              <w:ind w:left="996"/>
              <w:rPr>
                <w:sz w:val="20"/>
              </w:rPr>
            </w:pPr>
            <w:r>
              <w:rPr>
                <w:color w:val="231F20"/>
                <w:spacing w:val="-2"/>
                <w:sz w:val="20"/>
              </w:rPr>
              <w:t>76,494,572</w:t>
            </w:r>
          </w:p>
        </w:tc>
        <w:tc>
          <w:tcPr>
            <w:tcW w:w="2101" w:type="dxa"/>
          </w:tcPr>
          <w:p>
            <w:pPr>
              <w:pStyle w:val="TableParagraph"/>
              <w:spacing w:line="222" w:lineRule="exact" w:before="5"/>
              <w:ind w:right="156"/>
              <w:jc w:val="right"/>
              <w:rPr>
                <w:sz w:val="20"/>
              </w:rPr>
            </w:pPr>
            <w:r>
              <w:rPr>
                <w:color w:val="231F20"/>
                <w:spacing w:val="-2"/>
                <w:sz w:val="20"/>
              </w:rPr>
              <w:t>76,463,093</w:t>
            </w:r>
          </w:p>
        </w:tc>
      </w:tr>
      <w:tr>
        <w:trPr>
          <w:trHeight w:val="234" w:hRule="atLeast"/>
        </w:trPr>
        <w:tc>
          <w:tcPr>
            <w:tcW w:w="4993" w:type="dxa"/>
          </w:tcPr>
          <w:p>
            <w:pPr>
              <w:pStyle w:val="TableParagraph"/>
              <w:spacing w:line="210" w:lineRule="exact" w:before="5"/>
              <w:ind w:left="190"/>
              <w:rPr>
                <w:sz w:val="20"/>
              </w:rPr>
            </w:pPr>
            <w:r>
              <w:rPr>
                <w:color w:val="231F20"/>
                <w:sz w:val="20"/>
              </w:rPr>
              <w:t>State</w:t>
            </w:r>
            <w:r>
              <w:rPr>
                <w:color w:val="231F20"/>
                <w:spacing w:val="-5"/>
                <w:sz w:val="20"/>
              </w:rPr>
              <w:t> </w:t>
            </w:r>
            <w:r>
              <w:rPr>
                <w:color w:val="231F20"/>
                <w:sz w:val="20"/>
              </w:rPr>
              <w:t>Treasurer</w:t>
            </w:r>
            <w:r>
              <w:rPr>
                <w:color w:val="231F20"/>
                <w:spacing w:val="-4"/>
                <w:sz w:val="20"/>
              </w:rPr>
              <w:t> </w:t>
            </w:r>
            <w:r>
              <w:rPr>
                <w:color w:val="231F20"/>
                <w:sz w:val="20"/>
              </w:rPr>
              <w:t>-</w:t>
            </w:r>
            <w:r>
              <w:rPr>
                <w:color w:val="231F20"/>
                <w:spacing w:val="-3"/>
                <w:sz w:val="20"/>
              </w:rPr>
              <w:t> </w:t>
            </w:r>
            <w:r>
              <w:rPr>
                <w:color w:val="231F20"/>
                <w:spacing w:val="-4"/>
                <w:sz w:val="20"/>
              </w:rPr>
              <w:t>LGIP</w:t>
            </w:r>
          </w:p>
        </w:tc>
        <w:tc>
          <w:tcPr>
            <w:tcW w:w="2260" w:type="dxa"/>
          </w:tcPr>
          <w:p>
            <w:pPr>
              <w:pStyle w:val="TableParagraph"/>
              <w:tabs>
                <w:tab w:pos="623" w:val="left" w:leader="none"/>
              </w:tabs>
              <w:spacing w:line="210" w:lineRule="exact" w:before="5"/>
              <w:ind w:right="149"/>
              <w:jc w:val="right"/>
              <w:rPr>
                <w:sz w:val="20"/>
              </w:rPr>
            </w:pPr>
            <w:r>
              <w:rPr>
                <w:color w:val="231F20"/>
                <w:sz w:val="20"/>
                <w:u w:val="single" w:color="231F20"/>
              </w:rPr>
              <w:tab/>
            </w:r>
            <w:r>
              <w:rPr>
                <w:color w:val="231F20"/>
                <w:spacing w:val="-2"/>
                <w:sz w:val="20"/>
                <w:u w:val="single" w:color="231F20"/>
              </w:rPr>
              <w:t>19,552,022</w:t>
            </w:r>
            <w:r>
              <w:rPr>
                <w:color w:val="231F20"/>
                <w:spacing w:val="80"/>
                <w:sz w:val="20"/>
                <w:u w:val="single" w:color="231F20"/>
              </w:rPr>
              <w:t> </w:t>
            </w:r>
          </w:p>
        </w:tc>
        <w:tc>
          <w:tcPr>
            <w:tcW w:w="2101" w:type="dxa"/>
          </w:tcPr>
          <w:p>
            <w:pPr>
              <w:pStyle w:val="TableParagraph"/>
              <w:tabs>
                <w:tab w:pos="787" w:val="left" w:leader="none"/>
              </w:tabs>
              <w:spacing w:line="210" w:lineRule="exact" w:before="5"/>
              <w:ind w:right="47"/>
              <w:jc w:val="right"/>
              <w:rPr>
                <w:sz w:val="20"/>
              </w:rPr>
            </w:pPr>
            <w:r>
              <w:rPr>
                <w:color w:val="231F20"/>
                <w:sz w:val="20"/>
                <w:u w:val="single" w:color="231F20"/>
              </w:rPr>
              <w:tab/>
            </w:r>
            <w:r>
              <w:rPr>
                <w:color w:val="231F20"/>
                <w:spacing w:val="-2"/>
                <w:sz w:val="20"/>
                <w:u w:val="single" w:color="231F20"/>
              </w:rPr>
              <w:t>19,552,022</w:t>
            </w:r>
            <w:r>
              <w:rPr>
                <w:color w:val="231F20"/>
                <w:spacing w:val="80"/>
                <w:sz w:val="20"/>
                <w:u w:val="single" w:color="231F20"/>
              </w:rPr>
              <w:t> </w:t>
            </w:r>
          </w:p>
        </w:tc>
      </w:tr>
      <w:tr>
        <w:trPr>
          <w:trHeight w:val="504" w:hRule="atLeast"/>
        </w:trPr>
        <w:tc>
          <w:tcPr>
            <w:tcW w:w="4993" w:type="dxa"/>
          </w:tcPr>
          <w:p>
            <w:pPr>
              <w:pStyle w:val="TableParagraph"/>
              <w:spacing w:before="9"/>
              <w:rPr>
                <w:sz w:val="23"/>
              </w:rPr>
            </w:pPr>
          </w:p>
          <w:p>
            <w:pPr>
              <w:pStyle w:val="TableParagraph"/>
              <w:spacing w:line="210" w:lineRule="exact" w:before="1"/>
              <w:ind w:left="50"/>
              <w:rPr>
                <w:sz w:val="20"/>
              </w:rPr>
            </w:pPr>
            <w:r>
              <w:rPr>
                <w:color w:val="231F20"/>
                <w:sz w:val="20"/>
              </w:rPr>
              <w:t>Total</w:t>
            </w:r>
            <w:r>
              <w:rPr>
                <w:color w:val="231F20"/>
                <w:spacing w:val="-5"/>
                <w:sz w:val="20"/>
              </w:rPr>
              <w:t> </w:t>
            </w:r>
            <w:r>
              <w:rPr>
                <w:color w:val="231F20"/>
                <w:spacing w:val="-2"/>
                <w:sz w:val="20"/>
              </w:rPr>
              <w:t>investments</w:t>
            </w:r>
          </w:p>
        </w:tc>
        <w:tc>
          <w:tcPr>
            <w:tcW w:w="2260" w:type="dxa"/>
          </w:tcPr>
          <w:p>
            <w:pPr>
              <w:pStyle w:val="TableParagraph"/>
              <w:spacing w:before="9"/>
              <w:rPr>
                <w:sz w:val="23"/>
              </w:rPr>
            </w:pPr>
          </w:p>
          <w:p>
            <w:pPr>
              <w:pStyle w:val="TableParagraph"/>
              <w:tabs>
                <w:tab w:pos="511" w:val="left" w:leader="none"/>
              </w:tabs>
              <w:spacing w:line="210" w:lineRule="exact" w:before="1"/>
              <w:ind w:right="149"/>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100,186,109</w:t>
            </w:r>
            <w:r>
              <w:rPr>
                <w:color w:val="231F20"/>
                <w:spacing w:val="80"/>
                <w:sz w:val="20"/>
                <w:u w:val="single" w:color="231F20"/>
              </w:rPr>
              <w:t> </w:t>
            </w:r>
          </w:p>
        </w:tc>
        <w:tc>
          <w:tcPr>
            <w:tcW w:w="2101" w:type="dxa"/>
          </w:tcPr>
          <w:p>
            <w:pPr>
              <w:pStyle w:val="TableParagraph"/>
              <w:spacing w:before="9"/>
              <w:rPr>
                <w:sz w:val="23"/>
              </w:rPr>
            </w:pPr>
          </w:p>
          <w:p>
            <w:pPr>
              <w:pStyle w:val="TableParagraph"/>
              <w:tabs>
                <w:tab w:pos="672" w:val="left" w:leader="none"/>
              </w:tabs>
              <w:spacing w:line="210" w:lineRule="exact" w:before="1"/>
              <w:ind w:right="47"/>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100,154,630</w:t>
            </w:r>
            <w:r>
              <w:rPr>
                <w:color w:val="231F20"/>
                <w:spacing w:val="80"/>
                <w:sz w:val="20"/>
                <w:u w:val="single" w:color="231F20"/>
              </w:rPr>
              <w:t> </w:t>
            </w:r>
          </w:p>
        </w:tc>
      </w:tr>
    </w:tbl>
    <w:p>
      <w:pPr>
        <w:pStyle w:val="BodyText"/>
        <w:spacing w:before="2"/>
        <w:rPr>
          <w:sz w:val="3"/>
        </w:rPr>
      </w:pPr>
    </w:p>
    <w:p>
      <w:pPr>
        <w:tabs>
          <w:tab w:pos="8845" w:val="left" w:leader="none"/>
        </w:tabs>
        <w:spacing w:line="20" w:lineRule="exact"/>
        <w:ind w:left="6802" w:right="0" w:firstLine="0"/>
        <w:rPr>
          <w:sz w:val="2"/>
        </w:rPr>
      </w:pPr>
      <w:r>
        <w:rPr>
          <w:sz w:val="2"/>
        </w:rPr>
        <w:pict>
          <v:group style="width:86.85pt;height:1pt;mso-position-horizontal-relative:char;mso-position-vertical-relative:line" id="docshapegroup263" coordorigin="0,0" coordsize="1737,20">
            <v:rect style="position:absolute;left:0;top:0;width:1737;height:20" id="docshape264" filled="true" fillcolor="#231f20" stroked="false">
              <v:fill type="solid"/>
            </v:rect>
          </v:group>
        </w:pict>
      </w:r>
      <w:r>
        <w:rPr>
          <w:sz w:val="2"/>
        </w:rPr>
      </w:r>
      <w:r>
        <w:rPr>
          <w:sz w:val="2"/>
        </w:rPr>
        <w:tab/>
      </w:r>
      <w:r>
        <w:rPr>
          <w:sz w:val="2"/>
        </w:rPr>
        <w:pict>
          <v:group style="width:94.9pt;height:1pt;mso-position-horizontal-relative:char;mso-position-vertical-relative:line" id="docshapegroup265" coordorigin="0,0" coordsize="1898,20">
            <v:rect style="position:absolute;left:0;top:0;width:1898;height:20" id="docshape266" filled="true" fillcolor="#231f20" stroked="false">
              <v:fill type="solid"/>
            </v:rect>
          </v:group>
        </w:pict>
      </w:r>
      <w:r>
        <w:rPr>
          <w:sz w:val="2"/>
        </w:rPr>
      </w:r>
    </w:p>
    <w:p>
      <w:pPr>
        <w:spacing w:after="0" w:line="20" w:lineRule="exact"/>
        <w:rPr>
          <w:sz w:val="2"/>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3</w:t>
      </w:r>
      <w:r>
        <w:rPr>
          <w:color w:val="231F20"/>
          <w:spacing w:val="-5"/>
        </w:rPr>
        <w:t> </w:t>
      </w:r>
      <w:r>
        <w:rPr>
          <w:color w:val="231F20"/>
        </w:rPr>
        <w:t>–</w:t>
      </w:r>
      <w:r>
        <w:rPr>
          <w:color w:val="231F20"/>
          <w:spacing w:val="-4"/>
        </w:rPr>
        <w:t> </w:t>
      </w:r>
      <w:r>
        <w:rPr>
          <w:color w:val="231F20"/>
        </w:rPr>
        <w:t>Cash</w:t>
      </w:r>
      <w:r>
        <w:rPr>
          <w:color w:val="231F20"/>
          <w:spacing w:val="-5"/>
        </w:rPr>
        <w:t> </w:t>
      </w:r>
      <w:r>
        <w:rPr>
          <w:color w:val="231F20"/>
        </w:rPr>
        <w:t>and</w:t>
      </w:r>
      <w:r>
        <w:rPr>
          <w:color w:val="231F20"/>
          <w:spacing w:val="-5"/>
        </w:rPr>
        <w:t> </w:t>
      </w:r>
      <w:r>
        <w:rPr>
          <w:color w:val="231F20"/>
        </w:rPr>
        <w:t>Investments</w:t>
      </w:r>
      <w:r>
        <w:rPr>
          <w:color w:val="231F20"/>
          <w:spacing w:val="-4"/>
        </w:rPr>
        <w:t> </w:t>
      </w:r>
      <w:r>
        <w:rPr>
          <w:color w:val="231F20"/>
          <w:spacing w:val="-2"/>
        </w:rPr>
        <w:t>(continued)</w:t>
      </w:r>
    </w:p>
    <w:p>
      <w:pPr>
        <w:pStyle w:val="BodyText"/>
        <w:rPr>
          <w:b/>
          <w:sz w:val="26"/>
        </w:rPr>
      </w:pPr>
    </w:p>
    <w:p>
      <w:pPr>
        <w:spacing w:before="0"/>
        <w:ind w:left="1440" w:right="0" w:firstLine="0"/>
        <w:jc w:val="left"/>
        <w:rPr>
          <w:b/>
          <w:sz w:val="20"/>
        </w:rPr>
      </w:pPr>
      <w:r>
        <w:rPr>
          <w:b/>
          <w:color w:val="231F20"/>
          <w:sz w:val="20"/>
        </w:rPr>
        <w:t>External</w:t>
      </w:r>
      <w:r>
        <w:rPr>
          <w:b/>
          <w:color w:val="231F20"/>
          <w:spacing w:val="-10"/>
          <w:sz w:val="20"/>
        </w:rPr>
        <w:t> </w:t>
      </w:r>
      <w:r>
        <w:rPr>
          <w:b/>
          <w:color w:val="231F20"/>
          <w:sz w:val="20"/>
        </w:rPr>
        <w:t>Investment</w:t>
      </w:r>
      <w:r>
        <w:rPr>
          <w:b/>
          <w:color w:val="231F20"/>
          <w:spacing w:val="-10"/>
          <w:sz w:val="20"/>
        </w:rPr>
        <w:t> </w:t>
      </w:r>
      <w:r>
        <w:rPr>
          <w:b/>
          <w:color w:val="231F20"/>
          <w:spacing w:val="-4"/>
          <w:sz w:val="20"/>
        </w:rPr>
        <w:t>Pool</w:t>
      </w:r>
    </w:p>
    <w:p>
      <w:pPr>
        <w:pStyle w:val="BodyText"/>
        <w:spacing w:line="276" w:lineRule="auto" w:before="35"/>
        <w:ind w:left="1440" w:right="891"/>
      </w:pPr>
      <w:r>
        <w:rPr>
          <w:color w:val="231F20"/>
        </w:rPr>
        <w:t>The New Mexico Local Government Investment Pool (LGIP) is an investment pool established by the State Treasurer for the purpose of investing funds of municipal, county, tribal, and quasi-governmental bodies.</w:t>
      </w:r>
      <w:r>
        <w:rPr>
          <w:color w:val="231F20"/>
          <w:spacing w:val="-3"/>
        </w:rPr>
        <w:t> </w:t>
      </w:r>
      <w:r>
        <w:rPr>
          <w:color w:val="231F20"/>
        </w:rPr>
        <w:t>There</w:t>
      </w:r>
      <w:r>
        <w:rPr>
          <w:color w:val="231F20"/>
          <w:spacing w:val="-4"/>
        </w:rPr>
        <w:t> </w:t>
      </w:r>
      <w:r>
        <w:rPr>
          <w:color w:val="231F20"/>
        </w:rPr>
        <w:t>are</w:t>
      </w:r>
      <w:r>
        <w:rPr>
          <w:color w:val="231F20"/>
          <w:spacing w:val="-3"/>
        </w:rPr>
        <w:t> </w:t>
      </w:r>
      <w:r>
        <w:rPr>
          <w:color w:val="231F20"/>
        </w:rPr>
        <w:t>no</w:t>
      </w:r>
      <w:r>
        <w:rPr>
          <w:color w:val="231F20"/>
          <w:spacing w:val="-3"/>
        </w:rPr>
        <w:t> </w:t>
      </w:r>
      <w:r>
        <w:rPr>
          <w:color w:val="231F20"/>
        </w:rPr>
        <w:t>requirements</w:t>
      </w:r>
      <w:r>
        <w:rPr>
          <w:color w:val="231F20"/>
          <w:spacing w:val="-3"/>
        </w:rPr>
        <w:t> </w:t>
      </w:r>
      <w:r>
        <w:rPr>
          <w:color w:val="231F20"/>
        </w:rPr>
        <w:t>for</w:t>
      </w:r>
      <w:r>
        <w:rPr>
          <w:color w:val="231F20"/>
          <w:spacing w:val="-3"/>
        </w:rPr>
        <w:t> </w:t>
      </w:r>
      <w:r>
        <w:rPr>
          <w:color w:val="231F20"/>
        </w:rPr>
        <w:t>governments</w:t>
      </w:r>
      <w:r>
        <w:rPr>
          <w:color w:val="231F20"/>
          <w:spacing w:val="-3"/>
        </w:rPr>
        <w:t> </w:t>
      </w:r>
      <w:r>
        <w:rPr>
          <w:color w:val="231F20"/>
        </w:rPr>
        <w:t>to</w:t>
      </w:r>
      <w:r>
        <w:rPr>
          <w:color w:val="231F20"/>
          <w:spacing w:val="-3"/>
        </w:rPr>
        <w:t> </w:t>
      </w:r>
      <w:r>
        <w:rPr>
          <w:color w:val="231F20"/>
        </w:rPr>
        <w:t>participate</w:t>
      </w:r>
      <w:r>
        <w:rPr>
          <w:color w:val="231F20"/>
          <w:spacing w:val="-3"/>
        </w:rPr>
        <w:t> </w:t>
      </w:r>
      <w:r>
        <w:rPr>
          <w:color w:val="231F20"/>
        </w:rPr>
        <w:t>in</w:t>
      </w:r>
      <w:r>
        <w:rPr>
          <w:color w:val="231F20"/>
          <w:spacing w:val="-4"/>
        </w:rPr>
        <w:t> </w:t>
      </w:r>
      <w:r>
        <w:rPr>
          <w:color w:val="231F20"/>
        </w:rPr>
        <w:t>the</w:t>
      </w:r>
      <w:r>
        <w:rPr>
          <w:color w:val="231F20"/>
          <w:spacing w:val="-3"/>
        </w:rPr>
        <w:t> </w:t>
      </w:r>
      <w:r>
        <w:rPr>
          <w:color w:val="231F20"/>
        </w:rPr>
        <w:t>LGIP.</w:t>
      </w:r>
      <w:r>
        <w:rPr>
          <w:color w:val="231F20"/>
          <w:spacing w:val="-3"/>
        </w:rPr>
        <w:t> </w:t>
      </w:r>
      <w:r>
        <w:rPr>
          <w:color w:val="231F20"/>
        </w:rPr>
        <w:t>Participating</w:t>
      </w:r>
      <w:r>
        <w:rPr>
          <w:color w:val="231F20"/>
          <w:spacing w:val="-3"/>
        </w:rPr>
        <w:t> </w:t>
      </w:r>
      <w:r>
        <w:rPr>
          <w:color w:val="231F20"/>
        </w:rPr>
        <w:t>governments may withdraw up to $30 million within one business day, and withdrawals in various ranges between</w:t>
      </w:r>
    </w:p>
    <w:p>
      <w:pPr>
        <w:pStyle w:val="BodyText"/>
        <w:ind w:left="1440"/>
      </w:pPr>
      <w:r>
        <w:rPr>
          <w:color w:val="231F20"/>
        </w:rPr>
        <w:t>$30</w:t>
      </w:r>
      <w:r>
        <w:rPr>
          <w:color w:val="231F20"/>
          <w:spacing w:val="-6"/>
        </w:rPr>
        <w:t> </w:t>
      </w:r>
      <w:r>
        <w:rPr>
          <w:color w:val="231F20"/>
        </w:rPr>
        <w:t>million</w:t>
      </w:r>
      <w:r>
        <w:rPr>
          <w:color w:val="231F20"/>
          <w:spacing w:val="-5"/>
        </w:rPr>
        <w:t> </w:t>
      </w:r>
      <w:r>
        <w:rPr>
          <w:color w:val="231F20"/>
        </w:rPr>
        <w:t>and</w:t>
      </w:r>
      <w:r>
        <w:rPr>
          <w:color w:val="231F20"/>
          <w:spacing w:val="-4"/>
        </w:rPr>
        <w:t> </w:t>
      </w:r>
      <w:r>
        <w:rPr>
          <w:color w:val="231F20"/>
        </w:rPr>
        <w:t>over</w:t>
      </w:r>
      <w:r>
        <w:rPr>
          <w:color w:val="231F20"/>
          <w:spacing w:val="-4"/>
        </w:rPr>
        <w:t> </w:t>
      </w:r>
      <w:r>
        <w:rPr>
          <w:color w:val="231F20"/>
        </w:rPr>
        <w:t>$100</w:t>
      </w:r>
      <w:r>
        <w:rPr>
          <w:color w:val="231F20"/>
          <w:spacing w:val="-4"/>
        </w:rPr>
        <w:t> </w:t>
      </w:r>
      <w:r>
        <w:rPr>
          <w:color w:val="231F20"/>
        </w:rPr>
        <w:t>million</w:t>
      </w:r>
      <w:r>
        <w:rPr>
          <w:color w:val="231F20"/>
          <w:spacing w:val="-4"/>
        </w:rPr>
        <w:t> </w:t>
      </w:r>
      <w:r>
        <w:rPr>
          <w:color w:val="231F20"/>
        </w:rPr>
        <w:t>require</w:t>
      </w:r>
      <w:r>
        <w:rPr>
          <w:color w:val="231F20"/>
          <w:spacing w:val="-4"/>
        </w:rPr>
        <w:t> </w:t>
      </w:r>
      <w:r>
        <w:rPr>
          <w:color w:val="231F20"/>
        </w:rPr>
        <w:t>notice</w:t>
      </w:r>
      <w:r>
        <w:rPr>
          <w:color w:val="231F20"/>
          <w:spacing w:val="-4"/>
        </w:rPr>
        <w:t> </w:t>
      </w:r>
      <w:r>
        <w:rPr>
          <w:color w:val="231F20"/>
        </w:rPr>
        <w:t>from</w:t>
      </w:r>
      <w:r>
        <w:rPr>
          <w:color w:val="231F20"/>
          <w:spacing w:val="-4"/>
        </w:rPr>
        <w:t> </w:t>
      </w:r>
      <w:r>
        <w:rPr>
          <w:color w:val="231F20"/>
        </w:rPr>
        <w:t>2-10</w:t>
      </w:r>
      <w:r>
        <w:rPr>
          <w:color w:val="231F20"/>
          <w:spacing w:val="-4"/>
        </w:rPr>
        <w:t> </w:t>
      </w:r>
      <w:r>
        <w:rPr>
          <w:color w:val="231F20"/>
        </w:rPr>
        <w:t>business</w:t>
      </w:r>
      <w:r>
        <w:rPr>
          <w:color w:val="231F20"/>
          <w:spacing w:val="-4"/>
        </w:rPr>
        <w:t> </w:t>
      </w:r>
      <w:r>
        <w:rPr>
          <w:color w:val="231F20"/>
          <w:spacing w:val="-2"/>
        </w:rPr>
        <w:t>days.</w:t>
      </w:r>
    </w:p>
    <w:p>
      <w:pPr>
        <w:pStyle w:val="BodyText"/>
        <w:spacing w:before="10"/>
        <w:rPr>
          <w:sz w:val="25"/>
        </w:rPr>
      </w:pPr>
    </w:p>
    <w:p>
      <w:pPr>
        <w:pStyle w:val="BodyText"/>
        <w:spacing w:line="276" w:lineRule="auto"/>
        <w:ind w:left="1440" w:right="943"/>
      </w:pPr>
      <w:r>
        <w:rPr>
          <w:color w:val="231F20"/>
        </w:rPr>
        <w:t>The LGIP is not registered with the Securities and Exchange Commission (SEC) as an investment company, but maintains a policy to operate in a manner consistent with GASB 79, </w:t>
      </w:r>
      <w:r>
        <w:rPr>
          <w:i/>
          <w:color w:val="231F20"/>
        </w:rPr>
        <w:t>Certain External</w:t>
      </w:r>
      <w:r>
        <w:rPr>
          <w:i/>
          <w:color w:val="231F20"/>
        </w:rPr>
        <w:t> Investment</w:t>
      </w:r>
      <w:r>
        <w:rPr>
          <w:i/>
          <w:color w:val="231F20"/>
          <w:spacing w:val="-3"/>
        </w:rPr>
        <w:t> </w:t>
      </w:r>
      <w:r>
        <w:rPr>
          <w:i/>
          <w:color w:val="231F20"/>
        </w:rPr>
        <w:t>Pools</w:t>
      </w:r>
      <w:r>
        <w:rPr>
          <w:i/>
          <w:color w:val="231F20"/>
          <w:spacing w:val="-3"/>
        </w:rPr>
        <w:t> </w:t>
      </w:r>
      <w:r>
        <w:rPr>
          <w:i/>
          <w:color w:val="231F20"/>
        </w:rPr>
        <w:t>and</w:t>
      </w:r>
      <w:r>
        <w:rPr>
          <w:i/>
          <w:color w:val="231F20"/>
          <w:spacing w:val="-3"/>
        </w:rPr>
        <w:t> </w:t>
      </w:r>
      <w:r>
        <w:rPr>
          <w:i/>
          <w:color w:val="231F20"/>
        </w:rPr>
        <w:t>Pool</w:t>
      </w:r>
      <w:r>
        <w:rPr>
          <w:i/>
          <w:color w:val="231F20"/>
          <w:spacing w:val="-4"/>
        </w:rPr>
        <w:t> </w:t>
      </w:r>
      <w:r>
        <w:rPr>
          <w:i/>
          <w:color w:val="231F20"/>
        </w:rPr>
        <w:t>Participants</w:t>
      </w:r>
      <w:r>
        <w:rPr>
          <w:color w:val="231F20"/>
        </w:rPr>
        <w:t>.</w:t>
      </w:r>
      <w:r>
        <w:rPr>
          <w:color w:val="231F20"/>
          <w:spacing w:val="-3"/>
        </w:rPr>
        <w:t> </w:t>
      </w:r>
      <w:r>
        <w:rPr>
          <w:color w:val="231F20"/>
        </w:rPr>
        <w:t>LGIP</w:t>
      </w:r>
      <w:r>
        <w:rPr>
          <w:color w:val="231F20"/>
          <w:spacing w:val="-3"/>
        </w:rPr>
        <w:t> </w:t>
      </w:r>
      <w:r>
        <w:rPr>
          <w:color w:val="231F20"/>
        </w:rPr>
        <w:t>has</w:t>
      </w:r>
      <w:r>
        <w:rPr>
          <w:color w:val="231F20"/>
          <w:spacing w:val="-3"/>
        </w:rPr>
        <w:t> </w:t>
      </w:r>
      <w:r>
        <w:rPr>
          <w:color w:val="231F20"/>
        </w:rPr>
        <w:t>met</w:t>
      </w:r>
      <w:r>
        <w:rPr>
          <w:color w:val="231F20"/>
          <w:spacing w:val="-4"/>
        </w:rPr>
        <w:t> </w:t>
      </w:r>
      <w:r>
        <w:rPr>
          <w:color w:val="231F20"/>
        </w:rPr>
        <w:t>the</w:t>
      </w:r>
      <w:r>
        <w:rPr>
          <w:color w:val="231F20"/>
          <w:spacing w:val="-3"/>
        </w:rPr>
        <w:t> </w:t>
      </w:r>
      <w:r>
        <w:rPr>
          <w:color w:val="231F20"/>
        </w:rPr>
        <w:t>criteria</w:t>
      </w:r>
      <w:r>
        <w:rPr>
          <w:color w:val="231F20"/>
          <w:spacing w:val="-3"/>
        </w:rPr>
        <w:t> </w:t>
      </w:r>
      <w:r>
        <w:rPr>
          <w:color w:val="231F20"/>
        </w:rPr>
        <w:t>outlined</w:t>
      </w:r>
      <w:r>
        <w:rPr>
          <w:color w:val="231F20"/>
          <w:spacing w:val="-3"/>
        </w:rPr>
        <w:t> </w:t>
      </w:r>
      <w:r>
        <w:rPr>
          <w:color w:val="231F20"/>
        </w:rPr>
        <w:t>in</w:t>
      </w:r>
      <w:r>
        <w:rPr>
          <w:color w:val="231F20"/>
          <w:spacing w:val="-3"/>
        </w:rPr>
        <w:t> </w:t>
      </w:r>
      <w:r>
        <w:rPr>
          <w:color w:val="231F20"/>
        </w:rPr>
        <w:t>GASB</w:t>
      </w:r>
      <w:r>
        <w:rPr>
          <w:color w:val="231F20"/>
          <w:spacing w:val="-3"/>
        </w:rPr>
        <w:t> </w:t>
      </w:r>
      <w:r>
        <w:rPr>
          <w:color w:val="231F20"/>
        </w:rPr>
        <w:t>Statement</w:t>
      </w:r>
      <w:r>
        <w:rPr>
          <w:color w:val="231F20"/>
          <w:spacing w:val="-3"/>
        </w:rPr>
        <w:t> </w:t>
      </w:r>
      <w:r>
        <w:rPr>
          <w:color w:val="231F20"/>
        </w:rPr>
        <w:t>No.</w:t>
      </w:r>
      <w:r>
        <w:rPr>
          <w:color w:val="231F20"/>
          <w:spacing w:val="-3"/>
        </w:rPr>
        <w:t> </w:t>
      </w:r>
      <w:r>
        <w:rPr>
          <w:color w:val="231F20"/>
        </w:rPr>
        <w:t>79</w:t>
      </w:r>
      <w:r>
        <w:rPr>
          <w:color w:val="231F20"/>
          <w:spacing w:val="-3"/>
        </w:rPr>
        <w:t> </w:t>
      </w:r>
      <w:r>
        <w:rPr>
          <w:color w:val="231F20"/>
        </w:rPr>
        <w:t>to permit the election to report its investments at amortized cost which approximates fair value. The pool does not have unit shares. Per Section 6-10-10.1F, NMSA 1978, at the end of each month all interest earned is distributed by the State Treasurer to the contributing entities in amounts directly proportionate to the respective amounts deposited in the fund and the length of time the amounts were invested.</w:t>
      </w:r>
    </w:p>
    <w:p>
      <w:pPr>
        <w:pStyle w:val="BodyText"/>
        <w:spacing w:before="11"/>
        <w:rPr>
          <w:sz w:val="22"/>
        </w:rPr>
      </w:pPr>
    </w:p>
    <w:p>
      <w:pPr>
        <w:pStyle w:val="BodyText"/>
        <w:spacing w:line="276" w:lineRule="auto"/>
        <w:ind w:left="1440" w:right="891"/>
      </w:pPr>
      <w:r>
        <w:rPr>
          <w:color w:val="231F20"/>
        </w:rPr>
        <w:t>Section 6-10-10, NMSA 1978, empowers the State Treasurer, with the advice and consent of the State Board</w:t>
      </w:r>
      <w:r>
        <w:rPr>
          <w:color w:val="231F20"/>
          <w:spacing w:val="-3"/>
        </w:rPr>
        <w:t> </w:t>
      </w:r>
      <w:r>
        <w:rPr>
          <w:color w:val="231F20"/>
        </w:rPr>
        <w:t>of</w:t>
      </w:r>
      <w:r>
        <w:rPr>
          <w:color w:val="231F20"/>
          <w:spacing w:val="-3"/>
        </w:rPr>
        <w:t> </w:t>
      </w:r>
      <w:r>
        <w:rPr>
          <w:color w:val="231F20"/>
        </w:rPr>
        <w:t>Finance,</w:t>
      </w:r>
      <w:r>
        <w:rPr>
          <w:color w:val="231F20"/>
          <w:spacing w:val="-3"/>
        </w:rPr>
        <w:t> </w:t>
      </w:r>
      <w:r>
        <w:rPr>
          <w:color w:val="231F20"/>
        </w:rPr>
        <w:t>to</w:t>
      </w:r>
      <w:r>
        <w:rPr>
          <w:color w:val="231F20"/>
          <w:spacing w:val="-3"/>
        </w:rPr>
        <w:t> </w:t>
      </w:r>
      <w:r>
        <w:rPr>
          <w:color w:val="231F20"/>
        </w:rPr>
        <w:t>invest</w:t>
      </w:r>
      <w:r>
        <w:rPr>
          <w:color w:val="231F20"/>
          <w:spacing w:val="-4"/>
        </w:rPr>
        <w:t> </w:t>
      </w:r>
      <w:r>
        <w:rPr>
          <w:color w:val="231F20"/>
        </w:rPr>
        <w:t>money</w:t>
      </w:r>
      <w:r>
        <w:rPr>
          <w:color w:val="231F20"/>
          <w:spacing w:val="-3"/>
        </w:rPr>
        <w:t> </w:t>
      </w:r>
      <w:r>
        <w:rPr>
          <w:color w:val="231F20"/>
        </w:rPr>
        <w:t>held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short-term</w:t>
      </w:r>
      <w:r>
        <w:rPr>
          <w:color w:val="231F20"/>
          <w:spacing w:val="-3"/>
        </w:rPr>
        <w:t> </w:t>
      </w:r>
      <w:r>
        <w:rPr>
          <w:color w:val="231F20"/>
        </w:rPr>
        <w:t>investment</w:t>
      </w:r>
      <w:r>
        <w:rPr>
          <w:color w:val="231F20"/>
          <w:spacing w:val="-3"/>
        </w:rPr>
        <w:t> </w:t>
      </w:r>
      <w:r>
        <w:rPr>
          <w:color w:val="231F20"/>
        </w:rPr>
        <w:t>fund</w:t>
      </w:r>
      <w:r>
        <w:rPr>
          <w:color w:val="231F20"/>
          <w:spacing w:val="-3"/>
        </w:rPr>
        <w:t> </w:t>
      </w:r>
      <w:r>
        <w:rPr>
          <w:color w:val="231F20"/>
        </w:rPr>
        <w:t>in</w:t>
      </w:r>
      <w:r>
        <w:rPr>
          <w:color w:val="231F20"/>
          <w:spacing w:val="-3"/>
        </w:rPr>
        <w:t> </w:t>
      </w:r>
      <w:r>
        <w:rPr>
          <w:color w:val="231F20"/>
        </w:rPr>
        <w:t>securities</w:t>
      </w:r>
      <w:r>
        <w:rPr>
          <w:color w:val="231F20"/>
          <w:spacing w:val="-3"/>
        </w:rPr>
        <w:t> </w:t>
      </w:r>
      <w:r>
        <w:rPr>
          <w:color w:val="231F20"/>
        </w:rPr>
        <w:t>that</w:t>
      </w:r>
      <w:r>
        <w:rPr>
          <w:color w:val="231F20"/>
          <w:spacing w:val="-3"/>
        </w:rPr>
        <w:t> </w:t>
      </w:r>
      <w:r>
        <w:rPr>
          <w:color w:val="231F20"/>
        </w:rPr>
        <w:t>are</w:t>
      </w:r>
      <w:r>
        <w:rPr>
          <w:color w:val="231F20"/>
          <w:spacing w:val="-3"/>
        </w:rPr>
        <w:t> </w:t>
      </w:r>
      <w:r>
        <w:rPr>
          <w:color w:val="231F20"/>
        </w:rPr>
        <w:t>issued</w:t>
      </w:r>
      <w:r>
        <w:rPr>
          <w:color w:val="231F20"/>
          <w:spacing w:val="-3"/>
        </w:rPr>
        <w:t> </w:t>
      </w:r>
      <w:r>
        <w:rPr>
          <w:color w:val="231F20"/>
        </w:rPr>
        <w:t>by the United States government or by its departments or agencies and are either direct obligations of the United States or are backed by the full faith and credit of the United States government or are agencies sponsored by the United States government. The LGIP investments are monitored by the same investment committee and the same policies and procedures that apply to all other state investments.</w:t>
      </w:r>
    </w:p>
    <w:p>
      <w:pPr>
        <w:pStyle w:val="BodyText"/>
        <w:rPr>
          <w:sz w:val="23"/>
        </w:rPr>
      </w:pPr>
    </w:p>
    <w:p>
      <w:pPr>
        <w:pStyle w:val="Heading4"/>
      </w:pPr>
      <w:r>
        <w:rPr>
          <w:color w:val="231F20"/>
        </w:rPr>
        <w:t>Custodial</w:t>
      </w:r>
      <w:r>
        <w:rPr>
          <w:color w:val="231F20"/>
          <w:spacing w:val="-5"/>
        </w:rPr>
        <w:t> </w:t>
      </w:r>
      <w:r>
        <w:rPr>
          <w:color w:val="231F20"/>
        </w:rPr>
        <w:t>Credit</w:t>
      </w:r>
      <w:r>
        <w:rPr>
          <w:color w:val="231F20"/>
          <w:spacing w:val="-4"/>
        </w:rPr>
        <w:t> </w:t>
      </w:r>
      <w:r>
        <w:rPr>
          <w:color w:val="231F20"/>
        </w:rPr>
        <w:t>Risk</w:t>
      </w:r>
      <w:r>
        <w:rPr>
          <w:color w:val="231F20"/>
          <w:spacing w:val="-4"/>
        </w:rPr>
        <w:t> </w:t>
      </w:r>
      <w:r>
        <w:rPr>
          <w:color w:val="231F20"/>
        </w:rPr>
        <w:t>–</w:t>
      </w:r>
      <w:r>
        <w:rPr>
          <w:color w:val="231F20"/>
          <w:spacing w:val="-4"/>
        </w:rPr>
        <w:t> </w:t>
      </w:r>
      <w:r>
        <w:rPr>
          <w:color w:val="231F20"/>
          <w:spacing w:val="-2"/>
        </w:rPr>
        <w:t>Investments</w:t>
      </w:r>
    </w:p>
    <w:p>
      <w:pPr>
        <w:pStyle w:val="BodyText"/>
        <w:spacing w:line="276" w:lineRule="auto" w:before="35"/>
        <w:ind w:left="1440" w:right="891"/>
      </w:pPr>
      <w:r>
        <w:rPr>
          <w:color w:val="231F20"/>
        </w:rPr>
        <w:t>Custodial</w:t>
      </w:r>
      <w:r>
        <w:rPr>
          <w:color w:val="231F20"/>
          <w:spacing w:val="-3"/>
        </w:rPr>
        <w:t> </w:t>
      </w:r>
      <w:r>
        <w:rPr>
          <w:color w:val="231F20"/>
        </w:rPr>
        <w:t>credit</w:t>
      </w:r>
      <w:r>
        <w:rPr>
          <w:color w:val="231F20"/>
          <w:spacing w:val="-3"/>
        </w:rPr>
        <w:t> </w:t>
      </w:r>
      <w:r>
        <w:rPr>
          <w:color w:val="231F20"/>
        </w:rPr>
        <w:t>risk</w:t>
      </w:r>
      <w:r>
        <w:rPr>
          <w:color w:val="231F20"/>
          <w:spacing w:val="-3"/>
        </w:rPr>
        <w:t> </w:t>
      </w:r>
      <w:r>
        <w:rPr>
          <w:color w:val="231F20"/>
        </w:rPr>
        <w:t>is</w:t>
      </w:r>
      <w:r>
        <w:rPr>
          <w:color w:val="231F20"/>
          <w:spacing w:val="-2"/>
        </w:rPr>
        <w:t> </w:t>
      </w:r>
      <w:r>
        <w:rPr>
          <w:color w:val="231F20"/>
        </w:rPr>
        <w:t>the</w:t>
      </w:r>
      <w:r>
        <w:rPr>
          <w:color w:val="231F20"/>
          <w:spacing w:val="-3"/>
        </w:rPr>
        <w:t> </w:t>
      </w:r>
      <w:r>
        <w:rPr>
          <w:color w:val="231F20"/>
        </w:rPr>
        <w:t>risk</w:t>
      </w:r>
      <w:r>
        <w:rPr>
          <w:color w:val="231F20"/>
          <w:spacing w:val="-3"/>
        </w:rPr>
        <w:t> </w:t>
      </w:r>
      <w:r>
        <w:rPr>
          <w:color w:val="231F20"/>
        </w:rPr>
        <w:t>that</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event</w:t>
      </w:r>
      <w:r>
        <w:rPr>
          <w:color w:val="231F20"/>
          <w:spacing w:val="-3"/>
        </w:rPr>
        <w:t> </w:t>
      </w:r>
      <w:r>
        <w:rPr>
          <w:color w:val="231F20"/>
        </w:rPr>
        <w:t>of</w:t>
      </w:r>
      <w:r>
        <w:rPr>
          <w:color w:val="231F20"/>
          <w:spacing w:val="-1"/>
        </w:rPr>
        <w:t> </w:t>
      </w:r>
      <w:r>
        <w:rPr>
          <w:color w:val="231F20"/>
        </w:rPr>
        <w:t>the</w:t>
      </w:r>
      <w:r>
        <w:rPr>
          <w:color w:val="231F20"/>
          <w:spacing w:val="-3"/>
        </w:rPr>
        <w:t> </w:t>
      </w:r>
      <w:r>
        <w:rPr>
          <w:color w:val="231F20"/>
        </w:rPr>
        <w:t>failure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counterparty</w:t>
      </w:r>
      <w:r>
        <w:rPr>
          <w:color w:val="231F20"/>
          <w:spacing w:val="-2"/>
        </w:rPr>
        <w:t> </w:t>
      </w:r>
      <w:r>
        <w:rPr>
          <w:color w:val="231F20"/>
        </w:rPr>
        <w:t>(e.g.,</w:t>
      </w:r>
      <w:r>
        <w:rPr>
          <w:color w:val="231F20"/>
          <w:spacing w:val="-3"/>
        </w:rPr>
        <w:t> </w:t>
      </w:r>
      <w:r>
        <w:rPr>
          <w:color w:val="231F20"/>
        </w:rPr>
        <w:t>broker-</w:t>
      </w:r>
      <w:r>
        <w:rPr>
          <w:color w:val="231F20"/>
          <w:spacing w:val="-3"/>
        </w:rPr>
        <w:t> </w:t>
      </w:r>
      <w:r>
        <w:rPr>
          <w:color w:val="231F20"/>
        </w:rPr>
        <w:t>dealer)</w:t>
      </w:r>
      <w:r>
        <w:rPr>
          <w:color w:val="231F20"/>
          <w:spacing w:val="-3"/>
        </w:rPr>
        <w:t> </w:t>
      </w:r>
      <w:r>
        <w:rPr>
          <w:color w:val="231F20"/>
        </w:rPr>
        <w:t>to</w:t>
      </w:r>
      <w:r>
        <w:rPr>
          <w:color w:val="231F20"/>
          <w:spacing w:val="-3"/>
        </w:rPr>
        <w:t> </w:t>
      </w:r>
      <w:r>
        <w:rPr>
          <w:color w:val="231F20"/>
        </w:rPr>
        <w:t>a transaction,</w:t>
      </w:r>
      <w:r>
        <w:rPr>
          <w:color w:val="231F20"/>
          <w:spacing w:val="-2"/>
        </w:rPr>
        <w:t> </w:t>
      </w:r>
      <w:r>
        <w:rPr>
          <w:color w:val="231F20"/>
        </w:rPr>
        <w:t>an</w:t>
      </w:r>
      <w:r>
        <w:rPr>
          <w:color w:val="231F20"/>
          <w:spacing w:val="-2"/>
        </w:rPr>
        <w:t> </w:t>
      </w:r>
      <w:r>
        <w:rPr>
          <w:color w:val="231F20"/>
        </w:rPr>
        <w:t>entity</w:t>
      </w:r>
      <w:r>
        <w:rPr>
          <w:color w:val="231F20"/>
          <w:spacing w:val="-2"/>
        </w:rPr>
        <w:t> </w:t>
      </w:r>
      <w:r>
        <w:rPr>
          <w:color w:val="231F20"/>
        </w:rPr>
        <w:t>will</w:t>
      </w:r>
      <w:r>
        <w:rPr>
          <w:color w:val="231F20"/>
          <w:spacing w:val="-2"/>
        </w:rPr>
        <w:t> </w:t>
      </w:r>
      <w:r>
        <w:rPr>
          <w:color w:val="231F20"/>
        </w:rPr>
        <w:t>not</w:t>
      </w:r>
      <w:r>
        <w:rPr>
          <w:color w:val="231F20"/>
          <w:spacing w:val="-2"/>
        </w:rPr>
        <w:t> </w:t>
      </w:r>
      <w:r>
        <w:rPr>
          <w:color w:val="231F20"/>
        </w:rPr>
        <w:t>be</w:t>
      </w:r>
      <w:r>
        <w:rPr>
          <w:color w:val="231F20"/>
          <w:spacing w:val="-2"/>
        </w:rPr>
        <w:t> </w:t>
      </w:r>
      <w:r>
        <w:rPr>
          <w:color w:val="231F20"/>
        </w:rPr>
        <w:t>able</w:t>
      </w:r>
      <w:r>
        <w:rPr>
          <w:color w:val="231F20"/>
          <w:spacing w:val="-2"/>
        </w:rPr>
        <w:t> </w:t>
      </w:r>
      <w:r>
        <w:rPr>
          <w:color w:val="231F20"/>
        </w:rPr>
        <w:t>to</w:t>
      </w:r>
      <w:r>
        <w:rPr>
          <w:color w:val="231F20"/>
          <w:spacing w:val="-2"/>
        </w:rPr>
        <w:t> </w:t>
      </w:r>
      <w:r>
        <w:rPr>
          <w:color w:val="231F20"/>
        </w:rPr>
        <w:t>recover</w:t>
      </w:r>
      <w:r>
        <w:rPr>
          <w:color w:val="231F20"/>
          <w:spacing w:val="-2"/>
        </w:rPr>
        <w:t> </w:t>
      </w:r>
      <w:r>
        <w:rPr>
          <w:color w:val="231F20"/>
        </w:rPr>
        <w:t>the</w:t>
      </w:r>
      <w:r>
        <w:rPr>
          <w:color w:val="231F20"/>
          <w:spacing w:val="-2"/>
        </w:rPr>
        <w:t> </w:t>
      </w:r>
      <w:r>
        <w:rPr>
          <w:color w:val="231F20"/>
        </w:rPr>
        <w:t>value</w:t>
      </w:r>
      <w:r>
        <w:rPr>
          <w:color w:val="231F20"/>
          <w:spacing w:val="-2"/>
        </w:rPr>
        <w:t> </w:t>
      </w:r>
      <w:r>
        <w:rPr>
          <w:color w:val="231F20"/>
        </w:rPr>
        <w:t>of</w:t>
      </w:r>
      <w:r>
        <w:rPr>
          <w:color w:val="231F20"/>
          <w:spacing w:val="-3"/>
        </w:rPr>
        <w:t> </w:t>
      </w:r>
      <w:r>
        <w:rPr>
          <w:color w:val="231F20"/>
        </w:rPr>
        <w:t>its</w:t>
      </w:r>
      <w:r>
        <w:rPr>
          <w:color w:val="231F20"/>
          <w:spacing w:val="-2"/>
        </w:rPr>
        <w:t> </w:t>
      </w:r>
      <w:r>
        <w:rPr>
          <w:color w:val="231F20"/>
        </w:rPr>
        <w:t>investment</w:t>
      </w:r>
      <w:r>
        <w:rPr>
          <w:color w:val="231F20"/>
          <w:spacing w:val="-2"/>
        </w:rPr>
        <w:t> </w:t>
      </w:r>
      <w:r>
        <w:rPr>
          <w:color w:val="231F20"/>
        </w:rPr>
        <w:t>or</w:t>
      </w:r>
      <w:r>
        <w:rPr>
          <w:color w:val="231F20"/>
          <w:spacing w:val="-3"/>
        </w:rPr>
        <w:t> </w:t>
      </w:r>
      <w:r>
        <w:rPr>
          <w:color w:val="231F20"/>
        </w:rPr>
        <w:t>collateral</w:t>
      </w:r>
      <w:r>
        <w:rPr>
          <w:color w:val="231F20"/>
          <w:spacing w:val="-2"/>
        </w:rPr>
        <w:t> </w:t>
      </w:r>
      <w:r>
        <w:rPr>
          <w:color w:val="231F20"/>
        </w:rPr>
        <w:t>securities</w:t>
      </w:r>
      <w:r>
        <w:rPr>
          <w:color w:val="231F20"/>
          <w:spacing w:val="-2"/>
        </w:rPr>
        <w:t> </w:t>
      </w:r>
      <w:r>
        <w:rPr>
          <w:color w:val="231F20"/>
        </w:rPr>
        <w:t>that</w:t>
      </w:r>
      <w:r>
        <w:rPr>
          <w:color w:val="231F20"/>
          <w:spacing w:val="-2"/>
        </w:rPr>
        <w:t> </w:t>
      </w:r>
      <w:r>
        <w:rPr>
          <w:color w:val="231F20"/>
        </w:rPr>
        <w:t>are in the possession of another party. The Institute does not have custodial credit risk policies for investments and does not have investments subject to custodial credit risk.</w:t>
      </w:r>
    </w:p>
    <w:p>
      <w:pPr>
        <w:pStyle w:val="BodyText"/>
        <w:spacing w:before="11"/>
        <w:rPr>
          <w:sz w:val="22"/>
        </w:rPr>
      </w:pPr>
    </w:p>
    <w:p>
      <w:pPr>
        <w:pStyle w:val="BodyText"/>
        <w:ind w:left="1440"/>
      </w:pPr>
      <w:r>
        <w:rPr>
          <w:color w:val="231F20"/>
        </w:rPr>
        <w:t>An</w:t>
      </w:r>
      <w:r>
        <w:rPr>
          <w:color w:val="231F20"/>
          <w:spacing w:val="-9"/>
        </w:rPr>
        <w:t> </w:t>
      </w:r>
      <w:r>
        <w:rPr>
          <w:color w:val="231F20"/>
        </w:rPr>
        <w:t>acceptable</w:t>
      </w:r>
      <w:r>
        <w:rPr>
          <w:color w:val="231F20"/>
          <w:spacing w:val="-6"/>
        </w:rPr>
        <w:t> </w:t>
      </w:r>
      <w:r>
        <w:rPr>
          <w:color w:val="231F20"/>
        </w:rPr>
        <w:t>method</w:t>
      </w:r>
      <w:r>
        <w:rPr>
          <w:color w:val="231F20"/>
          <w:spacing w:val="-6"/>
        </w:rPr>
        <w:t> </w:t>
      </w:r>
      <w:r>
        <w:rPr>
          <w:color w:val="231F20"/>
        </w:rPr>
        <w:t>of</w:t>
      </w:r>
      <w:r>
        <w:rPr>
          <w:color w:val="231F20"/>
          <w:spacing w:val="-6"/>
        </w:rPr>
        <w:t> </w:t>
      </w:r>
      <w:r>
        <w:rPr>
          <w:color w:val="231F20"/>
        </w:rPr>
        <w:t>reporting</w:t>
      </w:r>
      <w:r>
        <w:rPr>
          <w:color w:val="231F20"/>
          <w:spacing w:val="-6"/>
        </w:rPr>
        <w:t> </w:t>
      </w:r>
      <w:r>
        <w:rPr>
          <w:color w:val="231F20"/>
        </w:rPr>
        <w:t>interest</w:t>
      </w:r>
      <w:r>
        <w:rPr>
          <w:color w:val="231F20"/>
          <w:spacing w:val="-6"/>
        </w:rPr>
        <w:t> </w:t>
      </w:r>
      <w:r>
        <w:rPr>
          <w:color w:val="231F20"/>
        </w:rPr>
        <w:t>rate</w:t>
      </w:r>
      <w:r>
        <w:rPr>
          <w:color w:val="231F20"/>
          <w:spacing w:val="-5"/>
        </w:rPr>
        <w:t> </w:t>
      </w:r>
      <w:r>
        <w:rPr>
          <w:color w:val="231F20"/>
        </w:rPr>
        <w:t>risk</w:t>
      </w:r>
      <w:r>
        <w:rPr>
          <w:color w:val="231F20"/>
          <w:spacing w:val="-6"/>
        </w:rPr>
        <w:t> </w:t>
      </w:r>
      <w:r>
        <w:rPr>
          <w:color w:val="231F20"/>
        </w:rPr>
        <w:t>is</w:t>
      </w:r>
      <w:r>
        <w:rPr>
          <w:color w:val="231F20"/>
          <w:spacing w:val="-6"/>
        </w:rPr>
        <w:t> </w:t>
      </w:r>
      <w:r>
        <w:rPr>
          <w:color w:val="231F20"/>
        </w:rPr>
        <w:t>the</w:t>
      </w:r>
      <w:r>
        <w:rPr>
          <w:color w:val="231F20"/>
          <w:spacing w:val="-6"/>
        </w:rPr>
        <w:t> </w:t>
      </w:r>
      <w:r>
        <w:rPr>
          <w:color w:val="231F20"/>
        </w:rPr>
        <w:t>weighted</w:t>
      </w:r>
      <w:r>
        <w:rPr>
          <w:color w:val="231F20"/>
          <w:spacing w:val="-6"/>
        </w:rPr>
        <w:t> </w:t>
      </w:r>
      <w:r>
        <w:rPr>
          <w:color w:val="231F20"/>
        </w:rPr>
        <w:t>average</w:t>
      </w:r>
      <w:r>
        <w:rPr>
          <w:color w:val="231F20"/>
          <w:spacing w:val="-6"/>
        </w:rPr>
        <w:t> </w:t>
      </w:r>
      <w:r>
        <w:rPr>
          <w:color w:val="231F20"/>
        </w:rPr>
        <w:t>maturity</w:t>
      </w:r>
      <w:r>
        <w:rPr>
          <w:color w:val="231F20"/>
          <w:spacing w:val="-6"/>
        </w:rPr>
        <w:t> </w:t>
      </w:r>
      <w:r>
        <w:rPr>
          <w:color w:val="231F20"/>
          <w:spacing w:val="-2"/>
        </w:rPr>
        <w:t>(WAM).</w:t>
      </w:r>
    </w:p>
    <w:p>
      <w:pPr>
        <w:pStyle w:val="BodyText"/>
        <w:spacing w:before="10"/>
        <w:rPr>
          <w:sz w:val="25"/>
        </w:rPr>
      </w:pPr>
    </w:p>
    <w:p>
      <w:pPr>
        <w:pStyle w:val="BodyText"/>
        <w:spacing w:line="276" w:lineRule="auto"/>
        <w:ind w:left="1440" w:right="1048"/>
      </w:pPr>
      <w:r>
        <w:rPr>
          <w:color w:val="231F20"/>
        </w:rPr>
        <w:t>The Institute has no control over the State Treasurer’s Investment pools and provides the following disclosure</w:t>
      </w:r>
      <w:r>
        <w:rPr>
          <w:color w:val="231F20"/>
          <w:spacing w:val="-4"/>
        </w:rPr>
        <w:t> </w:t>
      </w:r>
      <w:r>
        <w:rPr>
          <w:color w:val="231F20"/>
        </w:rPr>
        <w:t>provided</w:t>
      </w:r>
      <w:r>
        <w:rPr>
          <w:color w:val="231F20"/>
          <w:spacing w:val="-4"/>
        </w:rPr>
        <w:t> </w:t>
      </w:r>
      <w:r>
        <w:rPr>
          <w:color w:val="231F20"/>
        </w:rPr>
        <w:t>by</w:t>
      </w:r>
      <w:r>
        <w:rPr>
          <w:color w:val="231F20"/>
          <w:spacing w:val="-3"/>
        </w:rPr>
        <w:t> </w:t>
      </w:r>
      <w:r>
        <w:rPr>
          <w:color w:val="231F20"/>
        </w:rPr>
        <w:t>the</w:t>
      </w:r>
      <w:r>
        <w:rPr>
          <w:color w:val="231F20"/>
          <w:spacing w:val="-5"/>
        </w:rPr>
        <w:t> </w:t>
      </w:r>
      <w:r>
        <w:rPr>
          <w:color w:val="231F20"/>
        </w:rPr>
        <w:t>State</w:t>
      </w:r>
      <w:r>
        <w:rPr>
          <w:color w:val="231F20"/>
          <w:spacing w:val="-4"/>
        </w:rPr>
        <w:t> </w:t>
      </w:r>
      <w:r>
        <w:rPr>
          <w:color w:val="231F20"/>
        </w:rPr>
        <w:t>Treasurer’s</w:t>
      </w:r>
      <w:r>
        <w:rPr>
          <w:color w:val="231F20"/>
          <w:spacing w:val="-3"/>
        </w:rPr>
        <w:t> </w:t>
      </w:r>
      <w:r>
        <w:rPr>
          <w:color w:val="231F20"/>
        </w:rPr>
        <w:t>Office</w:t>
      </w:r>
      <w:r>
        <w:rPr>
          <w:color w:val="231F20"/>
          <w:spacing w:val="-4"/>
        </w:rPr>
        <w:t> </w:t>
      </w:r>
      <w:r>
        <w:rPr>
          <w:color w:val="231F20"/>
        </w:rPr>
        <w:t>concerning</w:t>
      </w:r>
      <w:r>
        <w:rPr>
          <w:color w:val="231F20"/>
          <w:spacing w:val="-4"/>
        </w:rPr>
        <w:t> </w:t>
      </w:r>
      <w:r>
        <w:rPr>
          <w:color w:val="231F20"/>
        </w:rPr>
        <w:t>the</w:t>
      </w:r>
      <w:r>
        <w:rPr>
          <w:color w:val="231F20"/>
          <w:spacing w:val="-5"/>
        </w:rPr>
        <w:t> </w:t>
      </w:r>
      <w:r>
        <w:rPr>
          <w:color w:val="231F20"/>
        </w:rPr>
        <w:t>Institute’s</w:t>
      </w:r>
      <w:r>
        <w:rPr>
          <w:color w:val="231F20"/>
          <w:spacing w:val="-4"/>
        </w:rPr>
        <w:t> </w:t>
      </w:r>
      <w:r>
        <w:rPr>
          <w:color w:val="231F20"/>
        </w:rPr>
        <w:t>investment</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New Mexico LGIP:</w:t>
      </w:r>
    </w:p>
    <w:p>
      <w:pPr>
        <w:pStyle w:val="BodyText"/>
        <w:spacing w:before="1"/>
        <w:rPr>
          <w:sz w:val="23"/>
        </w:rPr>
      </w:pPr>
    </w:p>
    <w:p>
      <w:pPr>
        <w:pStyle w:val="BodyText"/>
        <w:tabs>
          <w:tab w:pos="3598" w:val="left" w:leader="none"/>
          <w:tab w:pos="5039" w:val="left" w:leader="none"/>
          <w:tab w:pos="6480" w:val="left" w:leader="none"/>
        </w:tabs>
        <w:ind w:left="1440"/>
      </w:pPr>
      <w:r>
        <w:rPr>
          <w:color w:val="231F20"/>
        </w:rPr>
        <w:t>New</w:t>
      </w:r>
      <w:r>
        <w:rPr>
          <w:color w:val="231F20"/>
          <w:spacing w:val="-6"/>
        </w:rPr>
        <w:t> </w:t>
      </w:r>
      <w:r>
        <w:rPr>
          <w:color w:val="231F20"/>
        </w:rPr>
        <w:t>Mexico</w:t>
      </w:r>
      <w:r>
        <w:rPr>
          <w:color w:val="231F20"/>
          <w:spacing w:val="-5"/>
        </w:rPr>
        <w:t> </w:t>
      </w:r>
      <w:r>
        <w:rPr>
          <w:color w:val="231F20"/>
          <w:spacing w:val="-4"/>
        </w:rPr>
        <w:t>LGIP</w:t>
      </w:r>
      <w:r>
        <w:rPr>
          <w:color w:val="231F20"/>
        </w:rPr>
        <w:tab/>
        <w:t>AAAm</w:t>
      </w:r>
      <w:r>
        <w:rPr>
          <w:color w:val="231F20"/>
          <w:spacing w:val="-6"/>
        </w:rPr>
        <w:t> </w:t>
      </w:r>
      <w:r>
        <w:rPr>
          <w:color w:val="231F20"/>
          <w:spacing w:val="-2"/>
        </w:rPr>
        <w:t>Rated</w:t>
      </w:r>
      <w:r>
        <w:rPr>
          <w:color w:val="231F20"/>
        </w:rPr>
        <w:tab/>
      </w:r>
      <w:r>
        <w:rPr>
          <w:color w:val="231F20"/>
          <w:spacing w:val="-2"/>
        </w:rPr>
        <w:t>$19,552,022</w:t>
      </w:r>
      <w:r>
        <w:rPr>
          <w:color w:val="231F20"/>
        </w:rPr>
        <w:tab/>
        <w:t>49</w:t>
      </w:r>
      <w:r>
        <w:rPr>
          <w:color w:val="231F20"/>
          <w:spacing w:val="-5"/>
        </w:rPr>
        <w:t> </w:t>
      </w:r>
      <w:r>
        <w:rPr>
          <w:color w:val="231F20"/>
        </w:rPr>
        <w:t>day</w:t>
      </w:r>
      <w:r>
        <w:rPr>
          <w:color w:val="231F20"/>
          <w:spacing w:val="-3"/>
        </w:rPr>
        <w:t> </w:t>
      </w:r>
      <w:r>
        <w:rPr>
          <w:color w:val="231F20"/>
        </w:rPr>
        <w:t>WAM</w:t>
      </w:r>
      <w:r>
        <w:rPr>
          <w:color w:val="231F20"/>
          <w:spacing w:val="-4"/>
        </w:rPr>
        <w:t> </w:t>
      </w:r>
      <w:r>
        <w:rPr>
          <w:color w:val="231F20"/>
        </w:rPr>
        <w:t>(R);</w:t>
      </w:r>
      <w:r>
        <w:rPr>
          <w:color w:val="231F20"/>
          <w:spacing w:val="-4"/>
        </w:rPr>
        <w:t> </w:t>
      </w:r>
      <w:r>
        <w:rPr>
          <w:color w:val="231F20"/>
        </w:rPr>
        <w:t>89</w:t>
      </w:r>
      <w:r>
        <w:rPr>
          <w:color w:val="231F20"/>
          <w:spacing w:val="-3"/>
        </w:rPr>
        <w:t> </w:t>
      </w:r>
      <w:r>
        <w:rPr>
          <w:color w:val="231F20"/>
        </w:rPr>
        <w:t>day</w:t>
      </w:r>
      <w:r>
        <w:rPr>
          <w:color w:val="231F20"/>
          <w:spacing w:val="-3"/>
        </w:rPr>
        <w:t> </w:t>
      </w:r>
      <w:r>
        <w:rPr>
          <w:color w:val="231F20"/>
        </w:rPr>
        <w:t>WAM</w:t>
      </w:r>
      <w:r>
        <w:rPr>
          <w:color w:val="231F20"/>
          <w:spacing w:val="-2"/>
        </w:rPr>
        <w:t> </w:t>
      </w:r>
      <w:r>
        <w:rPr>
          <w:color w:val="231F20"/>
          <w:spacing w:val="-5"/>
        </w:rPr>
        <w:t>(F)</w:t>
      </w:r>
    </w:p>
    <w:p>
      <w:pPr>
        <w:spacing w:after="0"/>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3</w:t>
      </w:r>
      <w:r>
        <w:rPr>
          <w:color w:val="231F20"/>
          <w:spacing w:val="-5"/>
        </w:rPr>
        <w:t> </w:t>
      </w:r>
      <w:r>
        <w:rPr>
          <w:color w:val="231F20"/>
        </w:rPr>
        <w:t>–</w:t>
      </w:r>
      <w:r>
        <w:rPr>
          <w:color w:val="231F20"/>
          <w:spacing w:val="-4"/>
        </w:rPr>
        <w:t> </w:t>
      </w:r>
      <w:r>
        <w:rPr>
          <w:color w:val="231F20"/>
        </w:rPr>
        <w:t>Cash</w:t>
      </w:r>
      <w:r>
        <w:rPr>
          <w:color w:val="231F20"/>
          <w:spacing w:val="-5"/>
        </w:rPr>
        <w:t> </w:t>
      </w:r>
      <w:r>
        <w:rPr>
          <w:color w:val="231F20"/>
        </w:rPr>
        <w:t>and</w:t>
      </w:r>
      <w:r>
        <w:rPr>
          <w:color w:val="231F20"/>
          <w:spacing w:val="-5"/>
        </w:rPr>
        <w:t> </w:t>
      </w:r>
      <w:r>
        <w:rPr>
          <w:color w:val="231F20"/>
        </w:rPr>
        <w:t>Investments</w:t>
      </w:r>
      <w:r>
        <w:rPr>
          <w:color w:val="231F20"/>
          <w:spacing w:val="-4"/>
        </w:rPr>
        <w:t> </w:t>
      </w:r>
      <w:r>
        <w:rPr>
          <w:color w:val="231F20"/>
          <w:spacing w:val="-2"/>
        </w:rPr>
        <w:t>(continued)</w:t>
      </w:r>
    </w:p>
    <w:p>
      <w:pPr>
        <w:pStyle w:val="BodyText"/>
        <w:rPr>
          <w:b/>
          <w:sz w:val="26"/>
        </w:rPr>
      </w:pPr>
    </w:p>
    <w:p>
      <w:pPr>
        <w:spacing w:before="0"/>
        <w:ind w:left="1440" w:right="0" w:firstLine="0"/>
        <w:jc w:val="left"/>
        <w:rPr>
          <w:b/>
          <w:sz w:val="20"/>
        </w:rPr>
      </w:pPr>
      <w:r>
        <w:rPr>
          <w:b/>
          <w:color w:val="231F20"/>
          <w:sz w:val="20"/>
        </w:rPr>
        <w:t>Credit</w:t>
      </w:r>
      <w:r>
        <w:rPr>
          <w:b/>
          <w:color w:val="231F20"/>
          <w:spacing w:val="-2"/>
          <w:sz w:val="20"/>
        </w:rPr>
        <w:t> </w:t>
      </w:r>
      <w:r>
        <w:rPr>
          <w:b/>
          <w:color w:val="231F20"/>
          <w:spacing w:val="-4"/>
          <w:sz w:val="20"/>
        </w:rPr>
        <w:t>Risk</w:t>
      </w:r>
    </w:p>
    <w:p>
      <w:pPr>
        <w:pStyle w:val="BodyText"/>
        <w:spacing w:line="276" w:lineRule="auto" w:before="34"/>
        <w:ind w:left="1440" w:right="1048" w:hanging="1"/>
      </w:pPr>
      <w:r>
        <w:rPr>
          <w:color w:val="231F20"/>
        </w:rPr>
        <w:t>Credit</w:t>
      </w:r>
      <w:r>
        <w:rPr>
          <w:color w:val="231F20"/>
          <w:spacing w:val="-2"/>
        </w:rPr>
        <w:t> </w:t>
      </w:r>
      <w:r>
        <w:rPr>
          <w:color w:val="231F20"/>
        </w:rPr>
        <w:t>risk</w:t>
      </w:r>
      <w:r>
        <w:rPr>
          <w:color w:val="231F20"/>
          <w:spacing w:val="-2"/>
        </w:rPr>
        <w:t> </w:t>
      </w:r>
      <w:r>
        <w:rPr>
          <w:color w:val="231F20"/>
        </w:rPr>
        <w:t>is</w:t>
      </w:r>
      <w:r>
        <w:rPr>
          <w:color w:val="231F20"/>
          <w:spacing w:val="-2"/>
        </w:rPr>
        <w:t> </w:t>
      </w:r>
      <w:r>
        <w:rPr>
          <w:color w:val="231F20"/>
        </w:rPr>
        <w:t>the</w:t>
      </w:r>
      <w:r>
        <w:rPr>
          <w:color w:val="231F20"/>
          <w:spacing w:val="-2"/>
        </w:rPr>
        <w:t> </w:t>
      </w:r>
      <w:r>
        <w:rPr>
          <w:color w:val="231F20"/>
        </w:rPr>
        <w:t>risk</w:t>
      </w:r>
      <w:r>
        <w:rPr>
          <w:color w:val="231F20"/>
          <w:spacing w:val="-2"/>
        </w:rPr>
        <w:t> </w:t>
      </w:r>
      <w:r>
        <w:rPr>
          <w:color w:val="231F20"/>
        </w:rPr>
        <w:t>that</w:t>
      </w:r>
      <w:r>
        <w:rPr>
          <w:color w:val="231F20"/>
          <w:spacing w:val="-2"/>
        </w:rPr>
        <w:t> </w:t>
      </w:r>
      <w:r>
        <w:rPr>
          <w:color w:val="231F20"/>
        </w:rPr>
        <w:t>an</w:t>
      </w:r>
      <w:r>
        <w:rPr>
          <w:color w:val="231F20"/>
          <w:spacing w:val="-2"/>
        </w:rPr>
        <w:t> </w:t>
      </w:r>
      <w:r>
        <w:rPr>
          <w:color w:val="231F20"/>
        </w:rPr>
        <w:t>issuer</w:t>
      </w:r>
      <w:r>
        <w:rPr>
          <w:color w:val="231F20"/>
          <w:spacing w:val="-2"/>
        </w:rPr>
        <w:t> </w:t>
      </w:r>
      <w:r>
        <w:rPr>
          <w:color w:val="231F20"/>
        </w:rPr>
        <w:t>of</w:t>
      </w:r>
      <w:r>
        <w:rPr>
          <w:color w:val="231F20"/>
          <w:spacing w:val="-2"/>
        </w:rPr>
        <w:t> </w:t>
      </w:r>
      <w:r>
        <w:rPr>
          <w:color w:val="231F20"/>
        </w:rPr>
        <w:t>a</w:t>
      </w:r>
      <w:r>
        <w:rPr>
          <w:color w:val="231F20"/>
          <w:spacing w:val="-3"/>
        </w:rPr>
        <w:t> </w:t>
      </w:r>
      <w:r>
        <w:rPr>
          <w:color w:val="231F20"/>
        </w:rPr>
        <w:t>debt</w:t>
      </w:r>
      <w:r>
        <w:rPr>
          <w:color w:val="231F20"/>
          <w:spacing w:val="-2"/>
        </w:rPr>
        <w:t> </w:t>
      </w:r>
      <w:r>
        <w:rPr>
          <w:color w:val="231F20"/>
        </w:rPr>
        <w:t>type</w:t>
      </w:r>
      <w:r>
        <w:rPr>
          <w:color w:val="231F20"/>
          <w:spacing w:val="-2"/>
        </w:rPr>
        <w:t> </w:t>
      </w:r>
      <w:r>
        <w:rPr>
          <w:color w:val="231F20"/>
        </w:rPr>
        <w:t>investment</w:t>
      </w:r>
      <w:r>
        <w:rPr>
          <w:color w:val="231F20"/>
          <w:spacing w:val="-3"/>
        </w:rPr>
        <w:t> </w:t>
      </w:r>
      <w:r>
        <w:rPr>
          <w:color w:val="231F20"/>
        </w:rPr>
        <w:t>will</w:t>
      </w:r>
      <w:r>
        <w:rPr>
          <w:color w:val="231F20"/>
          <w:spacing w:val="-2"/>
        </w:rPr>
        <w:t> </w:t>
      </w:r>
      <w:r>
        <w:rPr>
          <w:color w:val="231F20"/>
        </w:rPr>
        <w:t>not fulfill</w:t>
      </w:r>
      <w:r>
        <w:rPr>
          <w:color w:val="231F20"/>
          <w:spacing w:val="-2"/>
        </w:rPr>
        <w:t> </w:t>
      </w:r>
      <w:r>
        <w:rPr>
          <w:color w:val="231F20"/>
        </w:rPr>
        <w:t>its</w:t>
      </w:r>
      <w:r>
        <w:rPr>
          <w:color w:val="231F20"/>
          <w:spacing w:val="-2"/>
        </w:rPr>
        <w:t> </w:t>
      </w:r>
      <w:r>
        <w:rPr>
          <w:color w:val="231F20"/>
        </w:rPr>
        <w:t>obligation</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holder</w:t>
      </w:r>
      <w:r>
        <w:rPr>
          <w:color w:val="231F20"/>
          <w:spacing w:val="-2"/>
        </w:rPr>
        <w:t> </w:t>
      </w:r>
      <w:r>
        <w:rPr>
          <w:color w:val="231F20"/>
        </w:rPr>
        <w:t>of the investment. The Institute is required to disclose credit ratings of their debt investments in order to assess credit risk. U.S. obligations, investments explicitly guaranteed by the U.S. Government, and</w:t>
      </w:r>
    </w:p>
    <w:p>
      <w:pPr>
        <w:pStyle w:val="BodyText"/>
        <w:spacing w:line="276" w:lineRule="auto"/>
        <w:ind w:left="1440" w:right="891"/>
      </w:pPr>
      <w:r>
        <w:rPr>
          <w:color w:val="231F20"/>
        </w:rPr>
        <w:t>non-debt investments are excluded from this requirement. Currently, the Institute does have a policy that restricts investments to specific investment ratings issued by nationally recognized statistical rating organizations.</w:t>
      </w:r>
      <w:r>
        <w:rPr>
          <w:color w:val="231F20"/>
          <w:spacing w:val="-3"/>
        </w:rPr>
        <w:t> </w:t>
      </w:r>
      <w:r>
        <w:rPr>
          <w:color w:val="231F20"/>
        </w:rPr>
        <w:t>The</w:t>
      </w:r>
      <w:r>
        <w:rPr>
          <w:color w:val="231F20"/>
          <w:spacing w:val="-4"/>
        </w:rPr>
        <w:t> </w:t>
      </w:r>
      <w:r>
        <w:rPr>
          <w:color w:val="231F20"/>
        </w:rPr>
        <w:t>policy</w:t>
      </w:r>
      <w:r>
        <w:rPr>
          <w:color w:val="231F20"/>
          <w:spacing w:val="-3"/>
        </w:rPr>
        <w:t> </w:t>
      </w:r>
      <w:r>
        <w:rPr>
          <w:color w:val="231F20"/>
        </w:rPr>
        <w:t>states</w:t>
      </w:r>
      <w:r>
        <w:rPr>
          <w:color w:val="231F20"/>
          <w:spacing w:val="-4"/>
        </w:rPr>
        <w:t> </w:t>
      </w:r>
      <w:r>
        <w:rPr>
          <w:color w:val="231F20"/>
        </w:rPr>
        <w:t>that</w:t>
      </w:r>
      <w:r>
        <w:rPr>
          <w:color w:val="231F20"/>
          <w:spacing w:val="-3"/>
        </w:rPr>
        <w:t> </w:t>
      </w:r>
      <w:r>
        <w:rPr>
          <w:color w:val="231F20"/>
        </w:rPr>
        <w:t>cash</w:t>
      </w:r>
      <w:r>
        <w:rPr>
          <w:color w:val="231F20"/>
          <w:spacing w:val="-4"/>
        </w:rPr>
        <w:t> </w:t>
      </w:r>
      <w:r>
        <w:rPr>
          <w:color w:val="231F20"/>
        </w:rPr>
        <w:t>equivalent</w:t>
      </w:r>
      <w:r>
        <w:rPr>
          <w:color w:val="231F20"/>
          <w:spacing w:val="-3"/>
        </w:rPr>
        <w:t> </w:t>
      </w:r>
      <w:r>
        <w:rPr>
          <w:color w:val="231F20"/>
        </w:rPr>
        <w:t>reserves</w:t>
      </w:r>
      <w:r>
        <w:rPr>
          <w:color w:val="231F20"/>
          <w:spacing w:val="-4"/>
        </w:rPr>
        <w:t> </w:t>
      </w:r>
      <w:r>
        <w:rPr>
          <w:color w:val="231F20"/>
        </w:rPr>
        <w:t>shall</w:t>
      </w:r>
      <w:r>
        <w:rPr>
          <w:color w:val="231F20"/>
          <w:spacing w:val="-4"/>
        </w:rPr>
        <w:t> </w:t>
      </w:r>
      <w:r>
        <w:rPr>
          <w:color w:val="231F20"/>
        </w:rPr>
        <w:t>consist</w:t>
      </w:r>
      <w:r>
        <w:rPr>
          <w:color w:val="231F20"/>
          <w:spacing w:val="-3"/>
        </w:rPr>
        <w:t> </w:t>
      </w:r>
      <w:r>
        <w:rPr>
          <w:color w:val="231F20"/>
        </w:rPr>
        <w:t>of</w:t>
      </w:r>
      <w:r>
        <w:rPr>
          <w:color w:val="231F20"/>
          <w:spacing w:val="-4"/>
        </w:rPr>
        <w:t> </w:t>
      </w:r>
      <w:r>
        <w:rPr>
          <w:color w:val="231F20"/>
        </w:rPr>
        <w:t>interest</w:t>
      </w:r>
      <w:r>
        <w:rPr>
          <w:color w:val="231F20"/>
          <w:spacing w:val="-3"/>
        </w:rPr>
        <w:t> </w:t>
      </w:r>
      <w:r>
        <w:rPr>
          <w:color w:val="231F20"/>
        </w:rPr>
        <w:t>bearing</w:t>
      </w:r>
      <w:r>
        <w:rPr>
          <w:color w:val="231F20"/>
          <w:spacing w:val="-4"/>
        </w:rPr>
        <w:t> </w:t>
      </w:r>
      <w:r>
        <w:rPr>
          <w:color w:val="231F20"/>
        </w:rPr>
        <w:t>or</w:t>
      </w:r>
      <w:r>
        <w:rPr>
          <w:color w:val="231F20"/>
          <w:spacing w:val="-3"/>
        </w:rPr>
        <w:t> </w:t>
      </w:r>
      <w:r>
        <w:rPr>
          <w:color w:val="231F20"/>
        </w:rPr>
        <w:t>discount instruments of the U.S. Government or agencies thereof; money market funds, corporate discounted instruments, corporate issued commercial paper rated at least A-1 by Moody’s, time deposits in U.S. banks. Exclusive of the U.S. government and agency issues, all other fixed income portfolio will be “A” or better</w:t>
      </w:r>
      <w:r>
        <w:rPr>
          <w:color w:val="231F20"/>
          <w:spacing w:val="-3"/>
        </w:rPr>
        <w:t> </w:t>
      </w:r>
      <w:r>
        <w:rPr>
          <w:color w:val="231F20"/>
        </w:rPr>
        <w:t>rated</w:t>
      </w:r>
      <w:r>
        <w:rPr>
          <w:color w:val="231F20"/>
          <w:spacing w:val="-3"/>
        </w:rPr>
        <w:t> </w:t>
      </w:r>
      <w:r>
        <w:rPr>
          <w:color w:val="231F20"/>
        </w:rPr>
        <w:t>as</w:t>
      </w:r>
      <w:r>
        <w:rPr>
          <w:color w:val="231F20"/>
          <w:spacing w:val="-2"/>
        </w:rPr>
        <w:t> </w:t>
      </w:r>
      <w:r>
        <w:rPr>
          <w:color w:val="231F20"/>
        </w:rPr>
        <w:t>established</w:t>
      </w:r>
      <w:r>
        <w:rPr>
          <w:color w:val="231F20"/>
          <w:spacing w:val="-4"/>
        </w:rPr>
        <w:t> </w:t>
      </w:r>
      <w:r>
        <w:rPr>
          <w:color w:val="231F20"/>
        </w:rPr>
        <w:t>by</w:t>
      </w:r>
      <w:r>
        <w:rPr>
          <w:color w:val="231F20"/>
          <w:spacing w:val="-3"/>
        </w:rPr>
        <w:t> </w:t>
      </w:r>
      <w:r>
        <w:rPr>
          <w:color w:val="231F20"/>
        </w:rPr>
        <w:t>a</w:t>
      </w:r>
      <w:r>
        <w:rPr>
          <w:color w:val="231F20"/>
          <w:spacing w:val="-3"/>
        </w:rPr>
        <w:t> </w:t>
      </w:r>
      <w:r>
        <w:rPr>
          <w:color w:val="231F20"/>
        </w:rPr>
        <w:t>recognized</w:t>
      </w:r>
      <w:r>
        <w:rPr>
          <w:color w:val="231F20"/>
          <w:spacing w:val="-3"/>
        </w:rPr>
        <w:t> </w:t>
      </w:r>
      <w:r>
        <w:rPr>
          <w:color w:val="231F20"/>
        </w:rPr>
        <w:t>rating</w:t>
      </w:r>
      <w:r>
        <w:rPr>
          <w:color w:val="231F20"/>
          <w:spacing w:val="-4"/>
        </w:rPr>
        <w:t> </w:t>
      </w:r>
      <w:r>
        <w:rPr>
          <w:color w:val="231F20"/>
        </w:rPr>
        <w:t>service</w:t>
      </w:r>
      <w:r>
        <w:rPr>
          <w:color w:val="231F20"/>
          <w:spacing w:val="-3"/>
        </w:rPr>
        <w:t> </w:t>
      </w:r>
      <w:r>
        <w:rPr>
          <w:color w:val="231F20"/>
        </w:rPr>
        <w:t>and</w:t>
      </w:r>
      <w:r>
        <w:rPr>
          <w:color w:val="231F20"/>
          <w:spacing w:val="-3"/>
        </w:rPr>
        <w:t> </w:t>
      </w:r>
      <w:r>
        <w:rPr>
          <w:color w:val="231F20"/>
        </w:rPr>
        <w:t>further</w:t>
      </w:r>
      <w:r>
        <w:rPr>
          <w:color w:val="231F20"/>
          <w:spacing w:val="-3"/>
        </w:rPr>
        <w:t> </w:t>
      </w:r>
      <w:r>
        <w:rPr>
          <w:color w:val="231F20"/>
        </w:rPr>
        <w:t>reinforced</w:t>
      </w:r>
      <w:r>
        <w:rPr>
          <w:color w:val="231F20"/>
          <w:spacing w:val="-3"/>
        </w:rPr>
        <w:t> </w:t>
      </w:r>
      <w:r>
        <w:rPr>
          <w:color w:val="231F20"/>
        </w:rPr>
        <w:t>by</w:t>
      </w:r>
      <w:r>
        <w:rPr>
          <w:color w:val="231F20"/>
          <w:spacing w:val="-2"/>
        </w:rPr>
        <w:t> </w:t>
      </w:r>
      <w:r>
        <w:rPr>
          <w:color w:val="231F20"/>
        </w:rPr>
        <w:t>independent</w:t>
      </w:r>
      <w:r>
        <w:rPr>
          <w:color w:val="231F20"/>
          <w:spacing w:val="-3"/>
        </w:rPr>
        <w:t> </w:t>
      </w:r>
      <w:r>
        <w:rPr>
          <w:color w:val="231F20"/>
        </w:rPr>
        <w:t>in-house credit analyses.</w:t>
      </w:r>
    </w:p>
    <w:p>
      <w:pPr>
        <w:pStyle w:val="BodyText"/>
        <w:rPr>
          <w:sz w:val="23"/>
        </w:rPr>
      </w:pPr>
    </w:p>
    <w:p>
      <w:pPr>
        <w:pStyle w:val="BodyText"/>
        <w:ind w:left="1440"/>
      </w:pPr>
      <w:r>
        <w:rPr>
          <w:color w:val="231F20"/>
        </w:rPr>
        <w:t>A</w:t>
      </w:r>
      <w:r>
        <w:rPr>
          <w:color w:val="231F20"/>
          <w:spacing w:val="-7"/>
        </w:rPr>
        <w:t> </w:t>
      </w:r>
      <w:r>
        <w:rPr>
          <w:color w:val="231F20"/>
        </w:rPr>
        <w:t>summary</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Institute's</w:t>
      </w:r>
      <w:r>
        <w:rPr>
          <w:color w:val="231F20"/>
          <w:spacing w:val="-5"/>
        </w:rPr>
        <w:t> </w:t>
      </w:r>
      <w:r>
        <w:rPr>
          <w:color w:val="231F20"/>
        </w:rPr>
        <w:t>investments</w:t>
      </w:r>
      <w:r>
        <w:rPr>
          <w:color w:val="231F20"/>
          <w:spacing w:val="-4"/>
        </w:rPr>
        <w:t> </w:t>
      </w:r>
      <w:r>
        <w:rPr>
          <w:color w:val="231F20"/>
        </w:rPr>
        <w:t>at</w:t>
      </w:r>
      <w:r>
        <w:rPr>
          <w:color w:val="231F20"/>
          <w:spacing w:val="-5"/>
        </w:rPr>
        <w:t> </w:t>
      </w:r>
      <w:r>
        <w:rPr>
          <w:color w:val="231F20"/>
        </w:rPr>
        <w:t>June</w:t>
      </w:r>
      <w:r>
        <w:rPr>
          <w:color w:val="231F20"/>
          <w:spacing w:val="-5"/>
        </w:rPr>
        <w:t> </w:t>
      </w:r>
      <w:r>
        <w:rPr>
          <w:color w:val="231F20"/>
        </w:rPr>
        <w:t>30,</w:t>
      </w:r>
      <w:r>
        <w:rPr>
          <w:color w:val="231F20"/>
          <w:spacing w:val="-2"/>
        </w:rPr>
        <w:t> </w:t>
      </w:r>
      <w:r>
        <w:rPr>
          <w:color w:val="231F20"/>
        </w:rPr>
        <w:t>2022,</w:t>
      </w:r>
      <w:r>
        <w:rPr>
          <w:color w:val="231F20"/>
          <w:spacing w:val="-5"/>
        </w:rPr>
        <w:t> </w:t>
      </w:r>
      <w:r>
        <w:rPr>
          <w:color w:val="231F20"/>
        </w:rPr>
        <w:t>and</w:t>
      </w:r>
      <w:r>
        <w:rPr>
          <w:color w:val="231F20"/>
          <w:spacing w:val="-5"/>
        </w:rPr>
        <w:t> </w:t>
      </w:r>
      <w:r>
        <w:rPr>
          <w:color w:val="231F20"/>
        </w:rPr>
        <w:t>its</w:t>
      </w:r>
      <w:r>
        <w:rPr>
          <w:color w:val="231F20"/>
          <w:spacing w:val="-5"/>
        </w:rPr>
        <w:t> </w:t>
      </w:r>
      <w:r>
        <w:rPr>
          <w:color w:val="231F20"/>
        </w:rPr>
        <w:t>exposure</w:t>
      </w:r>
      <w:r>
        <w:rPr>
          <w:color w:val="231F20"/>
          <w:spacing w:val="-4"/>
        </w:rPr>
        <w:t> </w:t>
      </w:r>
      <w:r>
        <w:rPr>
          <w:color w:val="231F20"/>
        </w:rPr>
        <w:t>to</w:t>
      </w:r>
      <w:r>
        <w:rPr>
          <w:color w:val="231F20"/>
          <w:spacing w:val="-5"/>
        </w:rPr>
        <w:t> </w:t>
      </w:r>
      <w:r>
        <w:rPr>
          <w:color w:val="231F20"/>
        </w:rPr>
        <w:t>credit</w:t>
      </w:r>
      <w:r>
        <w:rPr>
          <w:color w:val="231F20"/>
          <w:spacing w:val="-5"/>
        </w:rPr>
        <w:t> </w:t>
      </w:r>
      <w:r>
        <w:rPr>
          <w:color w:val="231F20"/>
        </w:rPr>
        <w:t>risk</w:t>
      </w:r>
      <w:r>
        <w:rPr>
          <w:color w:val="231F20"/>
          <w:spacing w:val="-5"/>
        </w:rPr>
        <w:t> </w:t>
      </w:r>
      <w:r>
        <w:rPr>
          <w:color w:val="231F20"/>
        </w:rPr>
        <w:t>are</w:t>
      </w:r>
      <w:r>
        <w:rPr>
          <w:color w:val="231F20"/>
          <w:spacing w:val="-5"/>
        </w:rPr>
        <w:t> </w:t>
      </w:r>
      <w:r>
        <w:rPr>
          <w:color w:val="231F20"/>
        </w:rPr>
        <w:t>as</w:t>
      </w:r>
      <w:r>
        <w:rPr>
          <w:color w:val="231F20"/>
          <w:spacing w:val="-3"/>
        </w:rPr>
        <w:t> </w:t>
      </w:r>
      <w:r>
        <w:rPr>
          <w:color w:val="231F20"/>
          <w:spacing w:val="-2"/>
        </w:rPr>
        <w:t>follows:</w:t>
      </w:r>
    </w:p>
    <w:p>
      <w:pPr>
        <w:pStyle w:val="BodyText"/>
        <w:spacing w:after="1"/>
        <w:rPr>
          <w:sz w:val="28"/>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4"/>
        <w:gridCol w:w="1548"/>
        <w:gridCol w:w="1798"/>
        <w:gridCol w:w="1695"/>
      </w:tblGrid>
      <w:tr>
        <w:trPr>
          <w:trHeight w:val="269" w:hRule="atLeast"/>
        </w:trPr>
        <w:tc>
          <w:tcPr>
            <w:tcW w:w="4404" w:type="dxa"/>
          </w:tcPr>
          <w:p>
            <w:pPr>
              <w:pStyle w:val="TableParagraph"/>
              <w:tabs>
                <w:tab w:pos="4249" w:val="left" w:leader="none"/>
              </w:tabs>
              <w:spacing w:line="225" w:lineRule="exact"/>
              <w:ind w:left="50"/>
              <w:rPr>
                <w:sz w:val="20"/>
              </w:rPr>
            </w:pPr>
            <w:r>
              <w:rPr>
                <w:color w:val="231F20"/>
                <w:spacing w:val="-17"/>
                <w:sz w:val="20"/>
                <w:u w:val="thick" w:color="231F20"/>
              </w:rPr>
              <w:t> </w:t>
            </w:r>
            <w:r>
              <w:rPr>
                <w:color w:val="231F20"/>
                <w:spacing w:val="-2"/>
                <w:sz w:val="20"/>
                <w:u w:val="thick" w:color="231F20"/>
              </w:rPr>
              <w:t>Investments</w:t>
            </w:r>
            <w:r>
              <w:rPr>
                <w:color w:val="231F20"/>
                <w:sz w:val="20"/>
                <w:u w:val="thick" w:color="231F20"/>
              </w:rPr>
              <w:tab/>
            </w:r>
          </w:p>
        </w:tc>
        <w:tc>
          <w:tcPr>
            <w:tcW w:w="1548" w:type="dxa"/>
          </w:tcPr>
          <w:p>
            <w:pPr>
              <w:pStyle w:val="TableParagraph"/>
              <w:spacing w:line="225" w:lineRule="exact"/>
              <w:jc w:val="center"/>
              <w:rPr>
                <w:sz w:val="20"/>
              </w:rPr>
            </w:pPr>
            <w:r>
              <w:rPr>
                <w:color w:val="231F20"/>
                <w:spacing w:val="33"/>
                <w:sz w:val="20"/>
                <w:u w:val="thick" w:color="231F20"/>
              </w:rPr>
              <w:t> </w:t>
            </w:r>
            <w:r>
              <w:rPr>
                <w:color w:val="231F20"/>
                <w:sz w:val="20"/>
                <w:u w:val="thick" w:color="231F20"/>
              </w:rPr>
              <w:t>WAM</w:t>
            </w:r>
            <w:r>
              <w:rPr>
                <w:color w:val="231F20"/>
                <w:spacing w:val="1"/>
                <w:sz w:val="20"/>
                <w:u w:val="thick" w:color="231F20"/>
              </w:rPr>
              <w:t> </w:t>
            </w:r>
            <w:r>
              <w:rPr>
                <w:color w:val="231F20"/>
                <w:spacing w:val="-2"/>
                <w:sz w:val="20"/>
                <w:u w:val="thick" w:color="231F20"/>
              </w:rPr>
              <w:t>Years</w:t>
            </w:r>
            <w:r>
              <w:rPr>
                <w:color w:val="231F20"/>
                <w:spacing w:val="40"/>
                <w:sz w:val="20"/>
                <w:u w:val="thick" w:color="231F20"/>
              </w:rPr>
              <w:t> </w:t>
            </w:r>
          </w:p>
        </w:tc>
        <w:tc>
          <w:tcPr>
            <w:tcW w:w="1798" w:type="dxa"/>
          </w:tcPr>
          <w:p>
            <w:pPr>
              <w:pStyle w:val="TableParagraph"/>
              <w:tabs>
                <w:tab w:pos="461" w:val="left" w:leader="none"/>
                <w:tab w:pos="1489" w:val="left" w:leader="none"/>
              </w:tabs>
              <w:spacing w:line="225" w:lineRule="exact"/>
              <w:jc w:val="center"/>
              <w:rPr>
                <w:sz w:val="20"/>
              </w:rPr>
            </w:pPr>
            <w:r>
              <w:rPr>
                <w:color w:val="231F20"/>
                <w:sz w:val="20"/>
                <w:u w:val="thick" w:color="231F20"/>
              </w:rPr>
              <w:tab/>
            </w:r>
            <w:r>
              <w:rPr>
                <w:color w:val="231F20"/>
                <w:spacing w:val="-2"/>
                <w:sz w:val="20"/>
                <w:u w:val="thick" w:color="231F20"/>
              </w:rPr>
              <w:t>Rating</w:t>
            </w:r>
            <w:r>
              <w:rPr>
                <w:color w:val="231F20"/>
                <w:sz w:val="20"/>
                <w:u w:val="thick" w:color="231F20"/>
              </w:rPr>
              <w:tab/>
            </w:r>
          </w:p>
        </w:tc>
        <w:tc>
          <w:tcPr>
            <w:tcW w:w="1695" w:type="dxa"/>
          </w:tcPr>
          <w:p>
            <w:pPr>
              <w:pStyle w:val="TableParagraph"/>
              <w:tabs>
                <w:tab w:pos="291" w:val="left" w:leader="none"/>
                <w:tab w:pos="1490" w:val="left" w:leader="none"/>
              </w:tabs>
              <w:spacing w:line="225" w:lineRule="exact"/>
              <w:ind w:right="48"/>
              <w:jc w:val="right"/>
              <w:rPr>
                <w:sz w:val="20"/>
              </w:rPr>
            </w:pPr>
            <w:r>
              <w:rPr>
                <w:color w:val="231F20"/>
                <w:sz w:val="20"/>
                <w:u w:val="thick" w:color="231F20"/>
              </w:rPr>
              <w:tab/>
              <w:t>Fair</w:t>
            </w:r>
            <w:r>
              <w:rPr>
                <w:color w:val="231F20"/>
                <w:spacing w:val="1"/>
                <w:sz w:val="20"/>
                <w:u w:val="thick" w:color="231F20"/>
              </w:rPr>
              <w:t> </w:t>
            </w:r>
            <w:r>
              <w:rPr>
                <w:color w:val="231F20"/>
                <w:spacing w:val="-2"/>
                <w:sz w:val="20"/>
                <w:u w:val="thick" w:color="231F20"/>
              </w:rPr>
              <w:t>Value</w:t>
            </w:r>
            <w:r>
              <w:rPr>
                <w:color w:val="231F20"/>
                <w:sz w:val="20"/>
                <w:u w:val="thick" w:color="231F20"/>
              </w:rPr>
              <w:tab/>
            </w:r>
          </w:p>
        </w:tc>
      </w:tr>
      <w:tr>
        <w:trPr>
          <w:trHeight w:val="284" w:hRule="atLeast"/>
        </w:trPr>
        <w:tc>
          <w:tcPr>
            <w:tcW w:w="4404" w:type="dxa"/>
          </w:tcPr>
          <w:p>
            <w:pPr>
              <w:pStyle w:val="TableParagraph"/>
              <w:spacing w:line="226" w:lineRule="exact" w:before="38"/>
              <w:ind w:left="89"/>
              <w:rPr>
                <w:i/>
                <w:sz w:val="20"/>
              </w:rPr>
            </w:pPr>
            <w:r>
              <w:rPr>
                <w:i/>
                <w:color w:val="231F20"/>
                <w:sz w:val="20"/>
              </w:rPr>
              <w:t>Items</w:t>
            </w:r>
            <w:r>
              <w:rPr>
                <w:i/>
                <w:color w:val="231F20"/>
                <w:spacing w:val="2"/>
                <w:sz w:val="20"/>
              </w:rPr>
              <w:t> </w:t>
            </w:r>
            <w:r>
              <w:rPr>
                <w:i/>
                <w:color w:val="231F20"/>
                <w:sz w:val="20"/>
              </w:rPr>
              <w:t>subject</w:t>
            </w:r>
            <w:r>
              <w:rPr>
                <w:i/>
                <w:color w:val="231F20"/>
                <w:spacing w:val="2"/>
                <w:sz w:val="20"/>
              </w:rPr>
              <w:t> </w:t>
            </w:r>
            <w:r>
              <w:rPr>
                <w:i/>
                <w:color w:val="231F20"/>
                <w:sz w:val="20"/>
              </w:rPr>
              <w:t>to</w:t>
            </w:r>
            <w:r>
              <w:rPr>
                <w:i/>
                <w:color w:val="231F20"/>
                <w:spacing w:val="4"/>
                <w:sz w:val="20"/>
              </w:rPr>
              <w:t> </w:t>
            </w:r>
            <w:r>
              <w:rPr>
                <w:i/>
                <w:color w:val="231F20"/>
                <w:sz w:val="20"/>
              </w:rPr>
              <w:t>credit</w:t>
            </w:r>
            <w:r>
              <w:rPr>
                <w:i/>
                <w:color w:val="231F20"/>
                <w:spacing w:val="3"/>
                <w:sz w:val="20"/>
              </w:rPr>
              <w:t> </w:t>
            </w:r>
            <w:r>
              <w:rPr>
                <w:i/>
                <w:color w:val="231F20"/>
                <w:spacing w:val="-4"/>
                <w:sz w:val="20"/>
              </w:rPr>
              <w:t>risk</w:t>
            </w:r>
          </w:p>
        </w:tc>
        <w:tc>
          <w:tcPr>
            <w:tcW w:w="1548" w:type="dxa"/>
          </w:tcPr>
          <w:p>
            <w:pPr>
              <w:pStyle w:val="TableParagraph"/>
              <w:rPr>
                <w:rFonts w:ascii="Times New Roman"/>
                <w:sz w:val="20"/>
              </w:rPr>
            </w:pPr>
          </w:p>
        </w:tc>
        <w:tc>
          <w:tcPr>
            <w:tcW w:w="1798" w:type="dxa"/>
          </w:tcPr>
          <w:p>
            <w:pPr>
              <w:pStyle w:val="TableParagraph"/>
              <w:rPr>
                <w:rFonts w:ascii="Times New Roman"/>
                <w:sz w:val="20"/>
              </w:rPr>
            </w:pPr>
          </w:p>
        </w:tc>
        <w:tc>
          <w:tcPr>
            <w:tcW w:w="1695" w:type="dxa"/>
          </w:tcPr>
          <w:p>
            <w:pPr>
              <w:pStyle w:val="TableParagraph"/>
              <w:rPr>
                <w:rFonts w:ascii="Times New Roman"/>
                <w:sz w:val="20"/>
              </w:rPr>
            </w:pPr>
          </w:p>
        </w:tc>
      </w:tr>
      <w:tr>
        <w:trPr>
          <w:trHeight w:val="254" w:hRule="atLeast"/>
        </w:trPr>
        <w:tc>
          <w:tcPr>
            <w:tcW w:w="4404" w:type="dxa"/>
          </w:tcPr>
          <w:p>
            <w:pPr>
              <w:pStyle w:val="TableParagraph"/>
              <w:spacing w:line="223" w:lineRule="exact" w:before="11"/>
              <w:ind w:left="231"/>
              <w:rPr>
                <w:sz w:val="20"/>
              </w:rPr>
            </w:pPr>
            <w:r>
              <w:rPr>
                <w:color w:val="231F20"/>
                <w:sz w:val="20"/>
              </w:rPr>
              <w:t>Money</w:t>
            </w:r>
            <w:r>
              <w:rPr>
                <w:color w:val="231F20"/>
                <w:spacing w:val="3"/>
                <w:sz w:val="20"/>
              </w:rPr>
              <w:t> </w:t>
            </w:r>
            <w:r>
              <w:rPr>
                <w:color w:val="231F20"/>
                <w:sz w:val="20"/>
              </w:rPr>
              <w:t>market</w:t>
            </w:r>
            <w:r>
              <w:rPr>
                <w:color w:val="231F20"/>
                <w:spacing w:val="4"/>
                <w:sz w:val="20"/>
              </w:rPr>
              <w:t> </w:t>
            </w:r>
            <w:r>
              <w:rPr>
                <w:color w:val="231F20"/>
                <w:spacing w:val="-4"/>
                <w:sz w:val="20"/>
              </w:rPr>
              <w:t>funds</w:t>
            </w:r>
          </w:p>
        </w:tc>
        <w:tc>
          <w:tcPr>
            <w:tcW w:w="1548" w:type="dxa"/>
          </w:tcPr>
          <w:p>
            <w:pPr>
              <w:pStyle w:val="TableParagraph"/>
              <w:spacing w:line="223" w:lineRule="exact" w:before="11"/>
              <w:ind w:left="75"/>
              <w:jc w:val="center"/>
              <w:rPr>
                <w:sz w:val="20"/>
              </w:rPr>
            </w:pPr>
            <w:r>
              <w:rPr>
                <w:color w:val="231F20"/>
                <w:w w:val="101"/>
                <w:sz w:val="20"/>
              </w:rPr>
              <w:t>-</w:t>
            </w:r>
          </w:p>
        </w:tc>
        <w:tc>
          <w:tcPr>
            <w:tcW w:w="1798" w:type="dxa"/>
          </w:tcPr>
          <w:p>
            <w:pPr>
              <w:pStyle w:val="TableParagraph"/>
              <w:spacing w:line="223" w:lineRule="exact" w:before="11"/>
              <w:ind w:left="17"/>
              <w:jc w:val="center"/>
              <w:rPr>
                <w:sz w:val="20"/>
              </w:rPr>
            </w:pPr>
            <w:r>
              <w:rPr>
                <w:color w:val="231F20"/>
                <w:sz w:val="20"/>
              </w:rPr>
              <w:t>not</w:t>
            </w:r>
            <w:r>
              <w:rPr>
                <w:color w:val="231F20"/>
                <w:spacing w:val="-1"/>
                <w:sz w:val="20"/>
              </w:rPr>
              <w:t> </w:t>
            </w:r>
            <w:r>
              <w:rPr>
                <w:color w:val="231F20"/>
                <w:spacing w:val="-2"/>
                <w:sz w:val="20"/>
              </w:rPr>
              <w:t>rated</w:t>
            </w:r>
          </w:p>
        </w:tc>
        <w:tc>
          <w:tcPr>
            <w:tcW w:w="1695" w:type="dxa"/>
          </w:tcPr>
          <w:p>
            <w:pPr>
              <w:pStyle w:val="TableParagraph"/>
              <w:tabs>
                <w:tab w:pos="799" w:val="left" w:leader="none"/>
              </w:tabs>
              <w:spacing w:line="223" w:lineRule="exact" w:before="11"/>
              <w:ind w:left="261"/>
              <w:rPr>
                <w:sz w:val="20"/>
              </w:rPr>
            </w:pPr>
            <w:r>
              <w:rPr>
                <w:color w:val="231F20"/>
                <w:spacing w:val="-10"/>
                <w:sz w:val="20"/>
              </w:rPr>
              <w:t>$</w:t>
            </w:r>
            <w:r>
              <w:rPr>
                <w:color w:val="231F20"/>
                <w:sz w:val="20"/>
              </w:rPr>
              <w:tab/>
            </w:r>
            <w:r>
              <w:rPr>
                <w:color w:val="231F20"/>
                <w:spacing w:val="-2"/>
                <w:sz w:val="20"/>
              </w:rPr>
              <w:t>182,122</w:t>
            </w:r>
          </w:p>
        </w:tc>
      </w:tr>
      <w:tr>
        <w:trPr>
          <w:trHeight w:val="251" w:hRule="atLeast"/>
        </w:trPr>
        <w:tc>
          <w:tcPr>
            <w:tcW w:w="4404" w:type="dxa"/>
          </w:tcPr>
          <w:p>
            <w:pPr>
              <w:pStyle w:val="TableParagraph"/>
              <w:spacing w:line="223" w:lineRule="exact" w:before="8"/>
              <w:ind w:left="231"/>
              <w:rPr>
                <w:sz w:val="20"/>
              </w:rPr>
            </w:pPr>
            <w:r>
              <w:rPr>
                <w:color w:val="231F20"/>
                <w:spacing w:val="-4"/>
                <w:sz w:val="20"/>
              </w:rPr>
              <w:t>Cash</w:t>
            </w:r>
          </w:p>
        </w:tc>
        <w:tc>
          <w:tcPr>
            <w:tcW w:w="1548" w:type="dxa"/>
          </w:tcPr>
          <w:p>
            <w:pPr>
              <w:pStyle w:val="TableParagraph"/>
              <w:spacing w:line="223" w:lineRule="exact" w:before="8"/>
              <w:ind w:left="71"/>
              <w:jc w:val="center"/>
              <w:rPr>
                <w:sz w:val="20"/>
              </w:rPr>
            </w:pPr>
            <w:r>
              <w:rPr>
                <w:color w:val="231F20"/>
                <w:w w:val="101"/>
                <w:sz w:val="20"/>
              </w:rPr>
              <w:t>-</w:t>
            </w:r>
          </w:p>
        </w:tc>
        <w:tc>
          <w:tcPr>
            <w:tcW w:w="1798" w:type="dxa"/>
          </w:tcPr>
          <w:p>
            <w:pPr>
              <w:pStyle w:val="TableParagraph"/>
              <w:spacing w:line="223" w:lineRule="exact" w:before="8"/>
              <w:ind w:left="17"/>
              <w:jc w:val="center"/>
              <w:rPr>
                <w:sz w:val="20"/>
              </w:rPr>
            </w:pPr>
            <w:r>
              <w:rPr>
                <w:color w:val="231F20"/>
                <w:sz w:val="20"/>
              </w:rPr>
              <w:t>not</w:t>
            </w:r>
            <w:r>
              <w:rPr>
                <w:color w:val="231F20"/>
                <w:spacing w:val="1"/>
                <w:sz w:val="20"/>
              </w:rPr>
              <w:t> </w:t>
            </w:r>
            <w:r>
              <w:rPr>
                <w:color w:val="231F20"/>
                <w:spacing w:val="-2"/>
                <w:sz w:val="20"/>
              </w:rPr>
              <w:t>rated</w:t>
            </w:r>
          </w:p>
        </w:tc>
        <w:tc>
          <w:tcPr>
            <w:tcW w:w="1695" w:type="dxa"/>
          </w:tcPr>
          <w:p>
            <w:pPr>
              <w:pStyle w:val="TableParagraph"/>
              <w:spacing w:line="223" w:lineRule="exact" w:before="8"/>
              <w:ind w:right="158"/>
              <w:jc w:val="right"/>
              <w:rPr>
                <w:sz w:val="20"/>
              </w:rPr>
            </w:pPr>
            <w:r>
              <w:rPr>
                <w:color w:val="231F20"/>
                <w:spacing w:val="-5"/>
                <w:sz w:val="20"/>
              </w:rPr>
              <w:t>886</w:t>
            </w:r>
          </w:p>
        </w:tc>
      </w:tr>
      <w:tr>
        <w:trPr>
          <w:trHeight w:val="251" w:hRule="atLeast"/>
        </w:trPr>
        <w:tc>
          <w:tcPr>
            <w:tcW w:w="4404" w:type="dxa"/>
          </w:tcPr>
          <w:p>
            <w:pPr>
              <w:pStyle w:val="TableParagraph"/>
              <w:spacing w:line="223" w:lineRule="exact" w:before="8"/>
              <w:ind w:left="231"/>
              <w:rPr>
                <w:sz w:val="20"/>
              </w:rPr>
            </w:pPr>
            <w:r>
              <w:rPr>
                <w:color w:val="231F20"/>
                <w:sz w:val="20"/>
              </w:rPr>
              <w:t>Corporate</w:t>
            </w:r>
            <w:r>
              <w:rPr>
                <w:color w:val="231F20"/>
                <w:spacing w:val="3"/>
                <w:sz w:val="20"/>
              </w:rPr>
              <w:t> </w:t>
            </w:r>
            <w:r>
              <w:rPr>
                <w:color w:val="231F20"/>
                <w:sz w:val="20"/>
              </w:rPr>
              <w:t>debt</w:t>
            </w:r>
            <w:r>
              <w:rPr>
                <w:color w:val="231F20"/>
                <w:spacing w:val="3"/>
                <w:sz w:val="20"/>
              </w:rPr>
              <w:t> </w:t>
            </w:r>
            <w:r>
              <w:rPr>
                <w:color w:val="231F20"/>
                <w:spacing w:val="-2"/>
                <w:sz w:val="20"/>
              </w:rPr>
              <w:t>securities</w:t>
            </w:r>
          </w:p>
        </w:tc>
        <w:tc>
          <w:tcPr>
            <w:tcW w:w="1548" w:type="dxa"/>
          </w:tcPr>
          <w:p>
            <w:pPr>
              <w:pStyle w:val="TableParagraph"/>
              <w:spacing w:line="223" w:lineRule="exact" w:before="8"/>
              <w:ind w:left="18"/>
              <w:jc w:val="center"/>
              <w:rPr>
                <w:sz w:val="20"/>
              </w:rPr>
            </w:pPr>
            <w:r>
              <w:rPr>
                <w:color w:val="231F20"/>
                <w:spacing w:val="-4"/>
                <w:sz w:val="20"/>
              </w:rPr>
              <w:t>0.62</w:t>
            </w:r>
          </w:p>
        </w:tc>
        <w:tc>
          <w:tcPr>
            <w:tcW w:w="1798" w:type="dxa"/>
          </w:tcPr>
          <w:p>
            <w:pPr>
              <w:pStyle w:val="TableParagraph"/>
              <w:spacing w:line="223" w:lineRule="exact" w:before="8"/>
              <w:ind w:left="16"/>
              <w:jc w:val="center"/>
              <w:rPr>
                <w:sz w:val="20"/>
              </w:rPr>
            </w:pPr>
            <w:r>
              <w:rPr>
                <w:color w:val="231F20"/>
                <w:spacing w:val="-5"/>
                <w:sz w:val="20"/>
              </w:rPr>
              <w:t>AA</w:t>
            </w:r>
          </w:p>
        </w:tc>
        <w:tc>
          <w:tcPr>
            <w:tcW w:w="1695" w:type="dxa"/>
          </w:tcPr>
          <w:p>
            <w:pPr>
              <w:pStyle w:val="TableParagraph"/>
              <w:spacing w:line="223" w:lineRule="exact" w:before="8"/>
              <w:ind w:right="158"/>
              <w:jc w:val="right"/>
              <w:rPr>
                <w:sz w:val="20"/>
              </w:rPr>
            </w:pPr>
            <w:r>
              <w:rPr>
                <w:color w:val="231F20"/>
                <w:spacing w:val="-2"/>
                <w:sz w:val="20"/>
              </w:rPr>
              <w:t>60,671</w:t>
            </w:r>
          </w:p>
        </w:tc>
      </w:tr>
      <w:tr>
        <w:trPr>
          <w:trHeight w:val="252" w:hRule="atLeast"/>
        </w:trPr>
        <w:tc>
          <w:tcPr>
            <w:tcW w:w="4404" w:type="dxa"/>
          </w:tcPr>
          <w:p>
            <w:pPr>
              <w:pStyle w:val="TableParagraph"/>
              <w:spacing w:line="223" w:lineRule="exact" w:before="8"/>
              <w:ind w:left="231"/>
              <w:rPr>
                <w:sz w:val="20"/>
              </w:rPr>
            </w:pPr>
            <w:r>
              <w:rPr>
                <w:color w:val="231F20"/>
                <w:sz w:val="20"/>
              </w:rPr>
              <w:t>Government</w:t>
            </w:r>
            <w:r>
              <w:rPr>
                <w:color w:val="231F20"/>
                <w:spacing w:val="4"/>
                <w:sz w:val="20"/>
              </w:rPr>
              <w:t> </w:t>
            </w:r>
            <w:r>
              <w:rPr>
                <w:color w:val="231F20"/>
                <w:sz w:val="20"/>
              </w:rPr>
              <w:t>debt</w:t>
            </w:r>
            <w:r>
              <w:rPr>
                <w:color w:val="231F20"/>
                <w:spacing w:val="6"/>
                <w:sz w:val="20"/>
              </w:rPr>
              <w:t> </w:t>
            </w:r>
            <w:r>
              <w:rPr>
                <w:color w:val="231F20"/>
                <w:spacing w:val="-2"/>
                <w:sz w:val="20"/>
              </w:rPr>
              <w:t>securities</w:t>
            </w:r>
          </w:p>
        </w:tc>
        <w:tc>
          <w:tcPr>
            <w:tcW w:w="1548" w:type="dxa"/>
          </w:tcPr>
          <w:p>
            <w:pPr>
              <w:pStyle w:val="TableParagraph"/>
              <w:spacing w:line="223" w:lineRule="exact" w:before="8"/>
              <w:ind w:left="19"/>
              <w:jc w:val="center"/>
              <w:rPr>
                <w:sz w:val="20"/>
              </w:rPr>
            </w:pPr>
            <w:r>
              <w:rPr>
                <w:color w:val="231F20"/>
                <w:spacing w:val="-4"/>
                <w:sz w:val="20"/>
              </w:rPr>
              <w:t>6.40</w:t>
            </w:r>
          </w:p>
        </w:tc>
        <w:tc>
          <w:tcPr>
            <w:tcW w:w="1798" w:type="dxa"/>
          </w:tcPr>
          <w:p>
            <w:pPr>
              <w:pStyle w:val="TableParagraph"/>
              <w:spacing w:line="223" w:lineRule="exact" w:before="8"/>
              <w:ind w:left="17"/>
              <w:jc w:val="center"/>
              <w:rPr>
                <w:sz w:val="20"/>
              </w:rPr>
            </w:pPr>
            <w:r>
              <w:rPr>
                <w:color w:val="231F20"/>
                <w:sz w:val="20"/>
              </w:rPr>
              <w:t>not</w:t>
            </w:r>
            <w:r>
              <w:rPr>
                <w:color w:val="231F20"/>
                <w:spacing w:val="-1"/>
                <w:sz w:val="20"/>
              </w:rPr>
              <w:t> </w:t>
            </w:r>
            <w:r>
              <w:rPr>
                <w:color w:val="231F20"/>
                <w:spacing w:val="-2"/>
                <w:sz w:val="20"/>
              </w:rPr>
              <w:t>rated</w:t>
            </w:r>
          </w:p>
        </w:tc>
        <w:tc>
          <w:tcPr>
            <w:tcW w:w="1695" w:type="dxa"/>
          </w:tcPr>
          <w:p>
            <w:pPr>
              <w:pStyle w:val="TableParagraph"/>
              <w:spacing w:line="223" w:lineRule="exact" w:before="8"/>
              <w:ind w:right="158"/>
              <w:jc w:val="right"/>
              <w:rPr>
                <w:sz w:val="20"/>
              </w:rPr>
            </w:pPr>
            <w:r>
              <w:rPr>
                <w:color w:val="231F20"/>
                <w:spacing w:val="-5"/>
                <w:sz w:val="20"/>
              </w:rPr>
              <w:t>137</w:t>
            </w:r>
          </w:p>
        </w:tc>
      </w:tr>
      <w:tr>
        <w:trPr>
          <w:trHeight w:val="252" w:hRule="atLeast"/>
        </w:trPr>
        <w:tc>
          <w:tcPr>
            <w:tcW w:w="4404" w:type="dxa"/>
          </w:tcPr>
          <w:p>
            <w:pPr>
              <w:pStyle w:val="TableParagraph"/>
              <w:spacing w:line="223" w:lineRule="exact" w:before="8"/>
              <w:ind w:left="231"/>
              <w:rPr>
                <w:sz w:val="20"/>
              </w:rPr>
            </w:pPr>
            <w:r>
              <w:rPr>
                <w:color w:val="231F20"/>
                <w:sz w:val="20"/>
              </w:rPr>
              <w:t>State</w:t>
            </w:r>
            <w:r>
              <w:rPr>
                <w:color w:val="231F20"/>
                <w:spacing w:val="1"/>
                <w:sz w:val="20"/>
              </w:rPr>
              <w:t> </w:t>
            </w:r>
            <w:r>
              <w:rPr>
                <w:color w:val="231F20"/>
                <w:sz w:val="20"/>
              </w:rPr>
              <w:t>Treasurer</w:t>
            </w:r>
            <w:r>
              <w:rPr>
                <w:color w:val="231F20"/>
                <w:spacing w:val="2"/>
                <w:sz w:val="20"/>
              </w:rPr>
              <w:t> </w:t>
            </w:r>
            <w:r>
              <w:rPr>
                <w:color w:val="231F20"/>
                <w:sz w:val="20"/>
              </w:rPr>
              <w:t>-</w:t>
            </w:r>
            <w:r>
              <w:rPr>
                <w:color w:val="231F20"/>
                <w:spacing w:val="2"/>
                <w:sz w:val="20"/>
              </w:rPr>
              <w:t> </w:t>
            </w:r>
            <w:r>
              <w:rPr>
                <w:color w:val="231F20"/>
                <w:spacing w:val="-4"/>
                <w:sz w:val="20"/>
              </w:rPr>
              <w:t>LGIP</w:t>
            </w:r>
          </w:p>
        </w:tc>
        <w:tc>
          <w:tcPr>
            <w:tcW w:w="1548" w:type="dxa"/>
          </w:tcPr>
          <w:p>
            <w:pPr>
              <w:pStyle w:val="TableParagraph"/>
              <w:spacing w:line="223" w:lineRule="exact" w:before="8"/>
              <w:ind w:left="15"/>
              <w:jc w:val="center"/>
              <w:rPr>
                <w:sz w:val="20"/>
              </w:rPr>
            </w:pPr>
            <w:r>
              <w:rPr>
                <w:color w:val="231F20"/>
                <w:spacing w:val="-4"/>
                <w:sz w:val="20"/>
              </w:rPr>
              <w:t>0.24</w:t>
            </w:r>
          </w:p>
        </w:tc>
        <w:tc>
          <w:tcPr>
            <w:tcW w:w="1798" w:type="dxa"/>
          </w:tcPr>
          <w:p>
            <w:pPr>
              <w:pStyle w:val="TableParagraph"/>
              <w:spacing w:line="223" w:lineRule="exact" w:before="8"/>
              <w:ind w:left="14"/>
              <w:jc w:val="center"/>
              <w:rPr>
                <w:sz w:val="20"/>
              </w:rPr>
            </w:pPr>
            <w:r>
              <w:rPr>
                <w:color w:val="231F20"/>
                <w:spacing w:val="-4"/>
                <w:sz w:val="20"/>
              </w:rPr>
              <w:t>AAAm</w:t>
            </w:r>
          </w:p>
        </w:tc>
        <w:tc>
          <w:tcPr>
            <w:tcW w:w="1695" w:type="dxa"/>
          </w:tcPr>
          <w:p>
            <w:pPr>
              <w:pStyle w:val="TableParagraph"/>
              <w:spacing w:line="223" w:lineRule="exact" w:before="8"/>
              <w:ind w:right="158"/>
              <w:jc w:val="right"/>
              <w:rPr>
                <w:sz w:val="20"/>
              </w:rPr>
            </w:pPr>
            <w:r>
              <w:rPr>
                <w:color w:val="231F20"/>
                <w:spacing w:val="-2"/>
                <w:sz w:val="20"/>
              </w:rPr>
              <w:t>19,552,022</w:t>
            </w:r>
          </w:p>
        </w:tc>
      </w:tr>
      <w:tr>
        <w:trPr>
          <w:trHeight w:val="252" w:hRule="atLeast"/>
        </w:trPr>
        <w:tc>
          <w:tcPr>
            <w:tcW w:w="4404" w:type="dxa"/>
          </w:tcPr>
          <w:p>
            <w:pPr>
              <w:pStyle w:val="TableParagraph"/>
              <w:spacing w:line="223" w:lineRule="exact" w:before="8"/>
              <w:ind w:left="231"/>
              <w:rPr>
                <w:sz w:val="20"/>
              </w:rPr>
            </w:pPr>
            <w:r>
              <w:rPr>
                <w:color w:val="231F20"/>
                <w:sz w:val="20"/>
              </w:rPr>
              <w:t>Investments</w:t>
            </w:r>
            <w:r>
              <w:rPr>
                <w:color w:val="231F20"/>
                <w:spacing w:val="4"/>
                <w:sz w:val="20"/>
              </w:rPr>
              <w:t> </w:t>
            </w:r>
            <w:r>
              <w:rPr>
                <w:color w:val="231F20"/>
                <w:sz w:val="20"/>
              </w:rPr>
              <w:t>not</w:t>
            </w:r>
            <w:r>
              <w:rPr>
                <w:color w:val="231F20"/>
                <w:spacing w:val="3"/>
                <w:sz w:val="20"/>
              </w:rPr>
              <w:t> </w:t>
            </w:r>
            <w:r>
              <w:rPr>
                <w:color w:val="231F20"/>
                <w:sz w:val="20"/>
              </w:rPr>
              <w:t>subject</w:t>
            </w:r>
            <w:r>
              <w:rPr>
                <w:color w:val="231F20"/>
                <w:spacing w:val="3"/>
                <w:sz w:val="20"/>
              </w:rPr>
              <w:t> </w:t>
            </w:r>
            <w:r>
              <w:rPr>
                <w:color w:val="231F20"/>
                <w:sz w:val="20"/>
              </w:rPr>
              <w:t>to</w:t>
            </w:r>
            <w:r>
              <w:rPr>
                <w:color w:val="231F20"/>
                <w:spacing w:val="5"/>
                <w:sz w:val="20"/>
              </w:rPr>
              <w:t> </w:t>
            </w:r>
            <w:r>
              <w:rPr>
                <w:color w:val="231F20"/>
                <w:spacing w:val="-2"/>
                <w:sz w:val="20"/>
              </w:rPr>
              <w:t>categorization</w:t>
            </w:r>
          </w:p>
        </w:tc>
        <w:tc>
          <w:tcPr>
            <w:tcW w:w="1548" w:type="dxa"/>
          </w:tcPr>
          <w:p>
            <w:pPr>
              <w:pStyle w:val="TableParagraph"/>
              <w:rPr>
                <w:rFonts w:ascii="Times New Roman"/>
                <w:sz w:val="18"/>
              </w:rPr>
            </w:pPr>
          </w:p>
        </w:tc>
        <w:tc>
          <w:tcPr>
            <w:tcW w:w="1798" w:type="dxa"/>
          </w:tcPr>
          <w:p>
            <w:pPr>
              <w:pStyle w:val="TableParagraph"/>
              <w:rPr>
                <w:rFonts w:ascii="Times New Roman"/>
                <w:sz w:val="18"/>
              </w:rPr>
            </w:pPr>
          </w:p>
        </w:tc>
        <w:tc>
          <w:tcPr>
            <w:tcW w:w="1695" w:type="dxa"/>
          </w:tcPr>
          <w:p>
            <w:pPr>
              <w:pStyle w:val="TableParagraph"/>
              <w:rPr>
                <w:rFonts w:ascii="Times New Roman"/>
                <w:sz w:val="18"/>
              </w:rPr>
            </w:pPr>
          </w:p>
        </w:tc>
      </w:tr>
      <w:tr>
        <w:trPr>
          <w:trHeight w:val="238" w:hRule="atLeast"/>
        </w:trPr>
        <w:tc>
          <w:tcPr>
            <w:tcW w:w="4404" w:type="dxa"/>
          </w:tcPr>
          <w:p>
            <w:pPr>
              <w:pStyle w:val="TableParagraph"/>
              <w:spacing w:line="210" w:lineRule="exact" w:before="8"/>
              <w:ind w:left="373"/>
              <w:rPr>
                <w:sz w:val="20"/>
              </w:rPr>
            </w:pPr>
            <w:r>
              <w:rPr>
                <w:color w:val="231F20"/>
                <w:sz w:val="20"/>
              </w:rPr>
              <w:t>State</w:t>
            </w:r>
            <w:r>
              <w:rPr>
                <w:color w:val="231F20"/>
                <w:spacing w:val="1"/>
                <w:sz w:val="20"/>
              </w:rPr>
              <w:t> </w:t>
            </w:r>
            <w:r>
              <w:rPr>
                <w:color w:val="231F20"/>
                <w:sz w:val="20"/>
              </w:rPr>
              <w:t>Investment</w:t>
            </w:r>
            <w:r>
              <w:rPr>
                <w:color w:val="231F20"/>
                <w:spacing w:val="2"/>
                <w:sz w:val="20"/>
              </w:rPr>
              <w:t> </w:t>
            </w:r>
            <w:r>
              <w:rPr>
                <w:color w:val="231F20"/>
                <w:sz w:val="20"/>
              </w:rPr>
              <w:t>Council</w:t>
            </w:r>
            <w:r>
              <w:rPr>
                <w:color w:val="231F20"/>
                <w:spacing w:val="1"/>
                <w:sz w:val="20"/>
              </w:rPr>
              <w:t> </w:t>
            </w:r>
            <w:r>
              <w:rPr>
                <w:color w:val="231F20"/>
                <w:sz w:val="20"/>
              </w:rPr>
              <w:t>Pooled</w:t>
            </w:r>
            <w:r>
              <w:rPr>
                <w:color w:val="231F20"/>
                <w:spacing w:val="2"/>
                <w:sz w:val="20"/>
              </w:rPr>
              <w:t> </w:t>
            </w:r>
            <w:r>
              <w:rPr>
                <w:color w:val="231F20"/>
                <w:spacing w:val="-2"/>
                <w:sz w:val="20"/>
              </w:rPr>
              <w:t>Funds</w:t>
            </w:r>
          </w:p>
        </w:tc>
        <w:tc>
          <w:tcPr>
            <w:tcW w:w="1548" w:type="dxa"/>
          </w:tcPr>
          <w:p>
            <w:pPr>
              <w:pStyle w:val="TableParagraph"/>
              <w:spacing w:line="210" w:lineRule="exact" w:before="8"/>
              <w:ind w:left="75"/>
              <w:jc w:val="center"/>
              <w:rPr>
                <w:sz w:val="20"/>
              </w:rPr>
            </w:pPr>
            <w:r>
              <w:rPr>
                <w:color w:val="231F20"/>
                <w:w w:val="101"/>
                <w:sz w:val="20"/>
              </w:rPr>
              <w:t>-</w:t>
            </w:r>
          </w:p>
        </w:tc>
        <w:tc>
          <w:tcPr>
            <w:tcW w:w="1798" w:type="dxa"/>
          </w:tcPr>
          <w:p>
            <w:pPr>
              <w:pStyle w:val="TableParagraph"/>
              <w:spacing w:line="210" w:lineRule="exact" w:before="8"/>
              <w:ind w:left="19"/>
              <w:jc w:val="center"/>
              <w:rPr>
                <w:sz w:val="20"/>
              </w:rPr>
            </w:pPr>
            <w:r>
              <w:rPr>
                <w:color w:val="231F20"/>
                <w:sz w:val="20"/>
              </w:rPr>
              <w:t>not</w:t>
            </w:r>
            <w:r>
              <w:rPr>
                <w:color w:val="231F20"/>
                <w:spacing w:val="-1"/>
                <w:sz w:val="20"/>
              </w:rPr>
              <w:t> </w:t>
            </w:r>
            <w:r>
              <w:rPr>
                <w:color w:val="231F20"/>
                <w:spacing w:val="-2"/>
                <w:sz w:val="20"/>
              </w:rPr>
              <w:t>rated</w:t>
            </w:r>
          </w:p>
        </w:tc>
        <w:tc>
          <w:tcPr>
            <w:tcW w:w="1695" w:type="dxa"/>
          </w:tcPr>
          <w:p>
            <w:pPr>
              <w:pStyle w:val="TableParagraph"/>
              <w:tabs>
                <w:tab w:pos="365" w:val="left" w:leader="none"/>
              </w:tabs>
              <w:spacing w:line="210" w:lineRule="exact" w:before="8"/>
              <w:ind w:right="48"/>
              <w:jc w:val="right"/>
              <w:rPr>
                <w:sz w:val="20"/>
              </w:rPr>
            </w:pPr>
            <w:r>
              <w:rPr>
                <w:color w:val="231F20"/>
                <w:sz w:val="20"/>
                <w:u w:val="thick" w:color="231F20"/>
              </w:rPr>
              <w:tab/>
            </w:r>
            <w:r>
              <w:rPr>
                <w:color w:val="231F20"/>
                <w:spacing w:val="-2"/>
                <w:sz w:val="20"/>
                <w:u w:val="thick" w:color="231F20"/>
              </w:rPr>
              <w:t>76,494,572</w:t>
            </w:r>
            <w:r>
              <w:rPr>
                <w:color w:val="231F20"/>
                <w:spacing w:val="80"/>
                <w:sz w:val="20"/>
                <w:u w:val="thick" w:color="231F20"/>
              </w:rPr>
              <w:t> </w:t>
            </w:r>
          </w:p>
        </w:tc>
      </w:tr>
      <w:tr>
        <w:trPr>
          <w:trHeight w:val="504" w:hRule="atLeast"/>
        </w:trPr>
        <w:tc>
          <w:tcPr>
            <w:tcW w:w="4404" w:type="dxa"/>
          </w:tcPr>
          <w:p>
            <w:pPr>
              <w:pStyle w:val="TableParagraph"/>
              <w:spacing w:before="9"/>
              <w:rPr>
                <w:sz w:val="23"/>
              </w:rPr>
            </w:pPr>
          </w:p>
          <w:p>
            <w:pPr>
              <w:pStyle w:val="TableParagraph"/>
              <w:spacing w:line="210" w:lineRule="exact"/>
              <w:ind w:left="657"/>
              <w:rPr>
                <w:sz w:val="20"/>
              </w:rPr>
            </w:pPr>
            <w:r>
              <w:rPr>
                <w:color w:val="231F20"/>
                <w:sz w:val="20"/>
              </w:rPr>
              <w:t>Total</w:t>
            </w:r>
            <w:r>
              <w:rPr>
                <w:color w:val="231F20"/>
                <w:spacing w:val="4"/>
                <w:sz w:val="20"/>
              </w:rPr>
              <w:t> </w:t>
            </w:r>
            <w:r>
              <w:rPr>
                <w:color w:val="231F20"/>
                <w:sz w:val="20"/>
              </w:rPr>
              <w:t>items</w:t>
            </w:r>
            <w:r>
              <w:rPr>
                <w:color w:val="231F20"/>
                <w:spacing w:val="4"/>
                <w:sz w:val="20"/>
              </w:rPr>
              <w:t> </w:t>
            </w:r>
            <w:r>
              <w:rPr>
                <w:color w:val="231F20"/>
                <w:sz w:val="20"/>
              </w:rPr>
              <w:t>subject</w:t>
            </w:r>
            <w:r>
              <w:rPr>
                <w:color w:val="231F20"/>
                <w:spacing w:val="3"/>
                <w:sz w:val="20"/>
              </w:rPr>
              <w:t> </w:t>
            </w:r>
            <w:r>
              <w:rPr>
                <w:color w:val="231F20"/>
                <w:sz w:val="20"/>
              </w:rPr>
              <w:t>to</w:t>
            </w:r>
            <w:r>
              <w:rPr>
                <w:color w:val="231F20"/>
                <w:spacing w:val="5"/>
                <w:sz w:val="20"/>
              </w:rPr>
              <w:t> </w:t>
            </w:r>
            <w:r>
              <w:rPr>
                <w:color w:val="231F20"/>
                <w:sz w:val="20"/>
              </w:rPr>
              <w:t>credit</w:t>
            </w:r>
            <w:r>
              <w:rPr>
                <w:color w:val="231F20"/>
                <w:spacing w:val="3"/>
                <w:sz w:val="20"/>
              </w:rPr>
              <w:t> </w:t>
            </w:r>
            <w:r>
              <w:rPr>
                <w:color w:val="231F20"/>
                <w:spacing w:val="-4"/>
                <w:sz w:val="20"/>
              </w:rPr>
              <w:t>risk</w:t>
            </w:r>
          </w:p>
        </w:tc>
        <w:tc>
          <w:tcPr>
            <w:tcW w:w="5041" w:type="dxa"/>
            <w:gridSpan w:val="3"/>
          </w:tcPr>
          <w:p>
            <w:pPr>
              <w:pStyle w:val="TableParagraph"/>
              <w:spacing w:before="9"/>
              <w:rPr>
                <w:sz w:val="23"/>
              </w:rPr>
            </w:pPr>
          </w:p>
          <w:p>
            <w:pPr>
              <w:pStyle w:val="TableParagraph"/>
              <w:spacing w:line="210" w:lineRule="exact"/>
              <w:ind w:right="157"/>
              <w:jc w:val="right"/>
              <w:rPr>
                <w:sz w:val="20"/>
              </w:rPr>
            </w:pPr>
            <w:r>
              <w:rPr>
                <w:color w:val="231F20"/>
                <w:spacing w:val="-2"/>
                <w:sz w:val="20"/>
              </w:rPr>
              <w:t>96,290,410</w:t>
            </w:r>
          </w:p>
        </w:tc>
      </w:tr>
      <w:tr>
        <w:trPr>
          <w:trHeight w:val="769" w:hRule="atLeast"/>
        </w:trPr>
        <w:tc>
          <w:tcPr>
            <w:tcW w:w="4404" w:type="dxa"/>
          </w:tcPr>
          <w:p>
            <w:pPr>
              <w:pStyle w:val="TableParagraph"/>
              <w:spacing w:before="9"/>
              <w:rPr>
                <w:sz w:val="23"/>
              </w:rPr>
            </w:pPr>
          </w:p>
          <w:p>
            <w:pPr>
              <w:pStyle w:val="TableParagraph"/>
              <w:ind w:left="90"/>
              <w:rPr>
                <w:i/>
                <w:sz w:val="20"/>
              </w:rPr>
            </w:pPr>
            <w:r>
              <w:rPr>
                <w:i/>
                <w:color w:val="231F20"/>
                <w:sz w:val="20"/>
              </w:rPr>
              <w:t>Items</w:t>
            </w:r>
            <w:r>
              <w:rPr>
                <w:i/>
                <w:color w:val="231F20"/>
                <w:spacing w:val="2"/>
                <w:sz w:val="20"/>
              </w:rPr>
              <w:t> </w:t>
            </w:r>
            <w:r>
              <w:rPr>
                <w:i/>
                <w:color w:val="231F20"/>
                <w:sz w:val="20"/>
              </w:rPr>
              <w:t>not</w:t>
            </w:r>
            <w:r>
              <w:rPr>
                <w:i/>
                <w:color w:val="231F20"/>
                <w:spacing w:val="4"/>
                <w:sz w:val="20"/>
              </w:rPr>
              <w:t> </w:t>
            </w:r>
            <w:r>
              <w:rPr>
                <w:i/>
                <w:color w:val="231F20"/>
                <w:sz w:val="20"/>
              </w:rPr>
              <w:t>subject</w:t>
            </w:r>
            <w:r>
              <w:rPr>
                <w:i/>
                <w:color w:val="231F20"/>
                <w:spacing w:val="2"/>
                <w:sz w:val="20"/>
              </w:rPr>
              <w:t> </w:t>
            </w:r>
            <w:r>
              <w:rPr>
                <w:i/>
                <w:color w:val="231F20"/>
                <w:sz w:val="20"/>
              </w:rPr>
              <w:t>to</w:t>
            </w:r>
            <w:r>
              <w:rPr>
                <w:i/>
                <w:color w:val="231F20"/>
                <w:spacing w:val="4"/>
                <w:sz w:val="20"/>
              </w:rPr>
              <w:t> </w:t>
            </w:r>
            <w:r>
              <w:rPr>
                <w:i/>
                <w:color w:val="231F20"/>
                <w:sz w:val="20"/>
              </w:rPr>
              <w:t>credit</w:t>
            </w:r>
            <w:r>
              <w:rPr>
                <w:i/>
                <w:color w:val="231F20"/>
                <w:spacing w:val="2"/>
                <w:sz w:val="20"/>
              </w:rPr>
              <w:t> </w:t>
            </w:r>
            <w:r>
              <w:rPr>
                <w:i/>
                <w:color w:val="231F20"/>
                <w:spacing w:val="-4"/>
                <w:sz w:val="20"/>
              </w:rPr>
              <w:t>risk</w:t>
            </w:r>
          </w:p>
          <w:p>
            <w:pPr>
              <w:pStyle w:val="TableParagraph"/>
              <w:spacing w:line="223" w:lineRule="exact" w:before="22"/>
              <w:ind w:left="231"/>
              <w:rPr>
                <w:sz w:val="20"/>
              </w:rPr>
            </w:pPr>
            <w:r>
              <w:rPr>
                <w:color w:val="231F20"/>
                <w:sz w:val="20"/>
              </w:rPr>
              <w:t>Mutual</w:t>
            </w:r>
            <w:r>
              <w:rPr>
                <w:color w:val="231F20"/>
                <w:spacing w:val="3"/>
                <w:sz w:val="20"/>
              </w:rPr>
              <w:t> </w:t>
            </w:r>
            <w:r>
              <w:rPr>
                <w:color w:val="231F20"/>
                <w:spacing w:val="-2"/>
                <w:sz w:val="20"/>
              </w:rPr>
              <w:t>funds</w:t>
            </w:r>
          </w:p>
        </w:tc>
        <w:tc>
          <w:tcPr>
            <w:tcW w:w="5041" w:type="dxa"/>
            <w:gridSpan w:val="3"/>
          </w:tcPr>
          <w:p>
            <w:pPr>
              <w:pStyle w:val="TableParagraph"/>
              <w:rPr>
                <w:sz w:val="22"/>
              </w:rPr>
            </w:pPr>
          </w:p>
          <w:p>
            <w:pPr>
              <w:pStyle w:val="TableParagraph"/>
              <w:spacing w:before="8"/>
              <w:rPr>
                <w:sz w:val="23"/>
              </w:rPr>
            </w:pPr>
          </w:p>
          <w:p>
            <w:pPr>
              <w:pStyle w:val="TableParagraph"/>
              <w:spacing w:line="223" w:lineRule="exact"/>
              <w:ind w:right="156"/>
              <w:jc w:val="right"/>
              <w:rPr>
                <w:sz w:val="20"/>
              </w:rPr>
            </w:pPr>
            <w:r>
              <w:rPr>
                <w:color w:val="231F20"/>
                <w:spacing w:val="-2"/>
                <w:sz w:val="20"/>
              </w:rPr>
              <w:t>771,386</w:t>
            </w:r>
          </w:p>
        </w:tc>
      </w:tr>
      <w:tr>
        <w:trPr>
          <w:trHeight w:val="340" w:hRule="atLeast"/>
        </w:trPr>
        <w:tc>
          <w:tcPr>
            <w:tcW w:w="4404" w:type="dxa"/>
          </w:tcPr>
          <w:p>
            <w:pPr>
              <w:pStyle w:val="TableParagraph"/>
              <w:spacing w:before="8"/>
              <w:ind w:left="231"/>
              <w:rPr>
                <w:sz w:val="20"/>
              </w:rPr>
            </w:pPr>
            <w:r>
              <w:rPr>
                <w:color w:val="231F20"/>
                <w:sz w:val="20"/>
              </w:rPr>
              <w:t>Common</w:t>
            </w:r>
            <w:r>
              <w:rPr>
                <w:color w:val="231F20"/>
                <w:spacing w:val="7"/>
                <w:sz w:val="20"/>
              </w:rPr>
              <w:t> </w:t>
            </w:r>
            <w:r>
              <w:rPr>
                <w:color w:val="231F20"/>
                <w:spacing w:val="-2"/>
                <w:sz w:val="20"/>
              </w:rPr>
              <w:t>stocks</w:t>
            </w:r>
          </w:p>
        </w:tc>
        <w:tc>
          <w:tcPr>
            <w:tcW w:w="5041" w:type="dxa"/>
            <w:gridSpan w:val="3"/>
          </w:tcPr>
          <w:p>
            <w:pPr>
              <w:pStyle w:val="TableParagraph"/>
              <w:tabs>
                <w:tab w:pos="479" w:val="left" w:leader="none"/>
              </w:tabs>
              <w:spacing w:before="8"/>
              <w:ind w:right="48"/>
              <w:jc w:val="right"/>
              <w:rPr>
                <w:sz w:val="20"/>
              </w:rPr>
            </w:pPr>
            <w:r>
              <w:rPr>
                <w:color w:val="231F20"/>
                <w:sz w:val="20"/>
                <w:u w:val="thick" w:color="231F20"/>
              </w:rPr>
              <w:tab/>
            </w:r>
            <w:r>
              <w:rPr>
                <w:color w:val="231F20"/>
                <w:spacing w:val="-2"/>
                <w:sz w:val="20"/>
                <w:u w:val="thick" w:color="231F20"/>
              </w:rPr>
              <w:t>3,124,313</w:t>
            </w:r>
            <w:r>
              <w:rPr>
                <w:color w:val="231F20"/>
                <w:spacing w:val="80"/>
                <w:sz w:val="20"/>
                <w:u w:val="thick" w:color="231F20"/>
              </w:rPr>
              <w:t> </w:t>
            </w:r>
          </w:p>
        </w:tc>
      </w:tr>
      <w:tr>
        <w:trPr>
          <w:trHeight w:val="472" w:hRule="atLeast"/>
        </w:trPr>
        <w:tc>
          <w:tcPr>
            <w:tcW w:w="4404" w:type="dxa"/>
          </w:tcPr>
          <w:p>
            <w:pPr>
              <w:pStyle w:val="TableParagraph"/>
              <w:spacing w:before="97"/>
              <w:ind w:left="657"/>
              <w:rPr>
                <w:sz w:val="20"/>
              </w:rPr>
            </w:pPr>
            <w:r>
              <w:rPr>
                <w:color w:val="231F20"/>
                <w:sz w:val="20"/>
              </w:rPr>
              <w:t>Total</w:t>
            </w:r>
            <w:r>
              <w:rPr>
                <w:color w:val="231F20"/>
                <w:spacing w:val="3"/>
                <w:sz w:val="20"/>
              </w:rPr>
              <w:t> </w:t>
            </w:r>
            <w:r>
              <w:rPr>
                <w:color w:val="231F20"/>
                <w:sz w:val="20"/>
              </w:rPr>
              <w:t>items</w:t>
            </w:r>
            <w:r>
              <w:rPr>
                <w:color w:val="231F20"/>
                <w:spacing w:val="3"/>
                <w:sz w:val="20"/>
              </w:rPr>
              <w:t> </w:t>
            </w:r>
            <w:r>
              <w:rPr>
                <w:color w:val="231F20"/>
                <w:sz w:val="20"/>
              </w:rPr>
              <w:t>not</w:t>
            </w:r>
            <w:r>
              <w:rPr>
                <w:color w:val="231F20"/>
                <w:spacing w:val="4"/>
                <w:sz w:val="20"/>
              </w:rPr>
              <w:t> </w:t>
            </w:r>
            <w:r>
              <w:rPr>
                <w:color w:val="231F20"/>
                <w:sz w:val="20"/>
              </w:rPr>
              <w:t>subject</w:t>
            </w:r>
            <w:r>
              <w:rPr>
                <w:color w:val="231F20"/>
                <w:spacing w:val="2"/>
                <w:sz w:val="20"/>
              </w:rPr>
              <w:t> </w:t>
            </w:r>
            <w:r>
              <w:rPr>
                <w:color w:val="231F20"/>
                <w:sz w:val="20"/>
              </w:rPr>
              <w:t>to</w:t>
            </w:r>
            <w:r>
              <w:rPr>
                <w:color w:val="231F20"/>
                <w:spacing w:val="4"/>
                <w:sz w:val="20"/>
              </w:rPr>
              <w:t> </w:t>
            </w:r>
            <w:r>
              <w:rPr>
                <w:color w:val="231F20"/>
                <w:sz w:val="20"/>
              </w:rPr>
              <w:t>credit</w:t>
            </w:r>
            <w:r>
              <w:rPr>
                <w:color w:val="231F20"/>
                <w:spacing w:val="3"/>
                <w:sz w:val="20"/>
              </w:rPr>
              <w:t> </w:t>
            </w:r>
            <w:r>
              <w:rPr>
                <w:color w:val="231F20"/>
                <w:spacing w:val="-4"/>
                <w:sz w:val="20"/>
              </w:rPr>
              <w:t>risk</w:t>
            </w:r>
          </w:p>
        </w:tc>
        <w:tc>
          <w:tcPr>
            <w:tcW w:w="5041" w:type="dxa"/>
            <w:gridSpan w:val="3"/>
          </w:tcPr>
          <w:p>
            <w:pPr>
              <w:pStyle w:val="TableParagraph"/>
              <w:tabs>
                <w:tab w:pos="479" w:val="left" w:leader="none"/>
              </w:tabs>
              <w:spacing w:before="97"/>
              <w:ind w:right="48"/>
              <w:jc w:val="right"/>
              <w:rPr>
                <w:sz w:val="20"/>
              </w:rPr>
            </w:pPr>
            <w:r>
              <w:rPr>
                <w:color w:val="231F20"/>
                <w:sz w:val="20"/>
                <w:u w:val="thick" w:color="231F20"/>
              </w:rPr>
              <w:tab/>
            </w:r>
            <w:r>
              <w:rPr>
                <w:color w:val="231F20"/>
                <w:spacing w:val="-2"/>
                <w:sz w:val="20"/>
                <w:u w:val="thick" w:color="231F20"/>
              </w:rPr>
              <w:t>3,895,699</w:t>
            </w:r>
            <w:r>
              <w:rPr>
                <w:color w:val="231F20"/>
                <w:spacing w:val="80"/>
                <w:sz w:val="20"/>
                <w:u w:val="thick" w:color="231F20"/>
              </w:rPr>
              <w:t> </w:t>
            </w:r>
          </w:p>
        </w:tc>
      </w:tr>
      <w:tr>
        <w:trPr>
          <w:trHeight w:val="370" w:hRule="atLeast"/>
        </w:trPr>
        <w:tc>
          <w:tcPr>
            <w:tcW w:w="4404" w:type="dxa"/>
          </w:tcPr>
          <w:p>
            <w:pPr>
              <w:pStyle w:val="TableParagraph"/>
              <w:spacing w:line="210" w:lineRule="exact" w:before="140"/>
              <w:ind w:left="657"/>
              <w:rPr>
                <w:sz w:val="20"/>
              </w:rPr>
            </w:pPr>
            <w:r>
              <w:rPr>
                <w:color w:val="231F20"/>
                <w:sz w:val="20"/>
              </w:rPr>
              <w:t>Total</w:t>
            </w:r>
            <w:r>
              <w:rPr>
                <w:color w:val="231F20"/>
                <w:spacing w:val="1"/>
                <w:sz w:val="20"/>
              </w:rPr>
              <w:t> </w:t>
            </w:r>
            <w:r>
              <w:rPr>
                <w:color w:val="231F20"/>
                <w:spacing w:val="-2"/>
                <w:sz w:val="20"/>
              </w:rPr>
              <w:t>investments</w:t>
            </w:r>
          </w:p>
        </w:tc>
        <w:tc>
          <w:tcPr>
            <w:tcW w:w="5041" w:type="dxa"/>
            <w:gridSpan w:val="3"/>
          </w:tcPr>
          <w:p>
            <w:pPr>
              <w:pStyle w:val="TableParagraph"/>
              <w:spacing w:line="210" w:lineRule="exact" w:before="140"/>
              <w:ind w:right="48"/>
              <w:jc w:val="right"/>
              <w:rPr>
                <w:sz w:val="20"/>
              </w:rPr>
            </w:pPr>
            <w:r>
              <w:rPr>
                <w:color w:val="231F20"/>
                <w:spacing w:val="51"/>
                <w:sz w:val="20"/>
                <w:u w:val="double" w:color="231F20"/>
              </w:rPr>
              <w:t> </w:t>
            </w:r>
            <w:r>
              <w:rPr>
                <w:color w:val="231F20"/>
                <w:sz w:val="20"/>
                <w:u w:val="double" w:color="231F20"/>
              </w:rPr>
              <w:t>$</w:t>
            </w:r>
            <w:r>
              <w:rPr>
                <w:color w:val="231F20"/>
                <w:spacing w:val="-24"/>
                <w:sz w:val="20"/>
                <w:u w:val="double" w:color="231F20"/>
              </w:rPr>
              <w:t> </w:t>
            </w:r>
            <w:r>
              <w:rPr>
                <w:color w:val="231F20"/>
                <w:spacing w:val="-2"/>
                <w:sz w:val="20"/>
                <w:u w:val="double" w:color="231F20"/>
              </w:rPr>
              <w:t>100,186,109</w:t>
            </w:r>
            <w:r>
              <w:rPr>
                <w:color w:val="231F20"/>
                <w:spacing w:val="80"/>
                <w:sz w:val="20"/>
                <w:u w:val="double" w:color="231F20"/>
              </w:rPr>
              <w:t> </w:t>
            </w:r>
          </w:p>
        </w:tc>
      </w:tr>
    </w:tbl>
    <w:p>
      <w:pPr>
        <w:pStyle w:val="BodyText"/>
        <w:spacing w:before="5"/>
        <w:rPr>
          <w:sz w:val="29"/>
        </w:rPr>
      </w:pPr>
    </w:p>
    <w:p>
      <w:pPr>
        <w:pStyle w:val="Heading4"/>
        <w:ind w:left="1439"/>
      </w:pPr>
      <w:r>
        <w:rPr>
          <w:color w:val="231F20"/>
        </w:rPr>
        <w:t>Interest</w:t>
      </w:r>
      <w:r>
        <w:rPr>
          <w:color w:val="231F20"/>
          <w:spacing w:val="-4"/>
        </w:rPr>
        <w:t> </w:t>
      </w:r>
      <w:r>
        <w:rPr>
          <w:color w:val="231F20"/>
        </w:rPr>
        <w:t>Rate</w:t>
      </w:r>
      <w:r>
        <w:rPr>
          <w:color w:val="231F20"/>
          <w:spacing w:val="-4"/>
        </w:rPr>
        <w:t> Risk</w:t>
      </w:r>
    </w:p>
    <w:p>
      <w:pPr>
        <w:pStyle w:val="BodyText"/>
        <w:spacing w:line="276" w:lineRule="auto" w:before="34"/>
        <w:ind w:left="1439" w:right="891"/>
      </w:pPr>
      <w:r>
        <w:rPr>
          <w:color w:val="231F20"/>
        </w:rPr>
        <w:t>Interest rate risk is the risk that changes in interest rates will adversely affect the fair value of an investment.</w:t>
      </w:r>
      <w:r>
        <w:rPr>
          <w:color w:val="231F20"/>
          <w:spacing w:val="-4"/>
        </w:rPr>
        <w:t> </w:t>
      </w:r>
      <w:r>
        <w:rPr>
          <w:color w:val="231F20"/>
        </w:rPr>
        <w:t>Generally,</w:t>
      </w:r>
      <w:r>
        <w:rPr>
          <w:color w:val="231F20"/>
          <w:spacing w:val="-3"/>
        </w:rPr>
        <w:t> </w:t>
      </w:r>
      <w:r>
        <w:rPr>
          <w:color w:val="231F20"/>
        </w:rPr>
        <w:t>the</w:t>
      </w:r>
      <w:r>
        <w:rPr>
          <w:color w:val="231F20"/>
          <w:spacing w:val="-3"/>
        </w:rPr>
        <w:t> </w:t>
      </w:r>
      <w:r>
        <w:rPr>
          <w:color w:val="231F20"/>
        </w:rPr>
        <w:t>longer</w:t>
      </w:r>
      <w:r>
        <w:rPr>
          <w:color w:val="231F20"/>
          <w:spacing w:val="-3"/>
        </w:rPr>
        <w:t> </w:t>
      </w:r>
      <w:r>
        <w:rPr>
          <w:color w:val="231F20"/>
        </w:rPr>
        <w:t>the</w:t>
      </w:r>
      <w:r>
        <w:rPr>
          <w:color w:val="231F20"/>
          <w:spacing w:val="-3"/>
        </w:rPr>
        <w:t> </w:t>
      </w:r>
      <w:r>
        <w:rPr>
          <w:color w:val="231F20"/>
        </w:rPr>
        <w:t>maturity</w:t>
      </w:r>
      <w:r>
        <w:rPr>
          <w:color w:val="231F20"/>
          <w:spacing w:val="-3"/>
        </w:rPr>
        <w:t> </w:t>
      </w:r>
      <w:r>
        <w:rPr>
          <w:color w:val="231F20"/>
        </w:rPr>
        <w:t>of</w:t>
      </w:r>
      <w:r>
        <w:rPr>
          <w:color w:val="231F20"/>
          <w:spacing w:val="-3"/>
        </w:rPr>
        <w:t> </w:t>
      </w:r>
      <w:r>
        <w:rPr>
          <w:color w:val="231F20"/>
        </w:rPr>
        <w:t>an</w:t>
      </w:r>
      <w:r>
        <w:rPr>
          <w:color w:val="231F20"/>
          <w:spacing w:val="-4"/>
        </w:rPr>
        <w:t> </w:t>
      </w:r>
      <w:r>
        <w:rPr>
          <w:color w:val="231F20"/>
        </w:rPr>
        <w:t>investment,</w:t>
      </w:r>
      <w:r>
        <w:rPr>
          <w:color w:val="231F20"/>
          <w:spacing w:val="-3"/>
        </w:rPr>
        <w:t> </w:t>
      </w:r>
      <w:r>
        <w:rPr>
          <w:color w:val="231F20"/>
        </w:rPr>
        <w:t>the</w:t>
      </w:r>
      <w:r>
        <w:rPr>
          <w:color w:val="231F20"/>
          <w:spacing w:val="-3"/>
        </w:rPr>
        <w:t> </w:t>
      </w:r>
      <w:r>
        <w:rPr>
          <w:color w:val="231F20"/>
        </w:rPr>
        <w:t>greater</w:t>
      </w:r>
      <w:r>
        <w:rPr>
          <w:color w:val="231F20"/>
          <w:spacing w:val="-3"/>
        </w:rPr>
        <w:t> </w:t>
      </w:r>
      <w:r>
        <w:rPr>
          <w:color w:val="231F20"/>
        </w:rPr>
        <w:t>the</w:t>
      </w:r>
      <w:r>
        <w:rPr>
          <w:color w:val="231F20"/>
          <w:spacing w:val="-3"/>
        </w:rPr>
        <w:t> </w:t>
      </w:r>
      <w:r>
        <w:rPr>
          <w:color w:val="231F20"/>
        </w:rPr>
        <w:t>sensitivity</w:t>
      </w:r>
      <w:r>
        <w:rPr>
          <w:color w:val="231F20"/>
          <w:spacing w:val="-3"/>
        </w:rPr>
        <w:t> </w:t>
      </w:r>
      <w:r>
        <w:rPr>
          <w:color w:val="231F20"/>
        </w:rPr>
        <w:t>of</w:t>
      </w:r>
      <w:r>
        <w:rPr>
          <w:color w:val="231F20"/>
          <w:spacing w:val="-3"/>
        </w:rPr>
        <w:t> </w:t>
      </w:r>
      <w:r>
        <w:rPr>
          <w:color w:val="231F20"/>
        </w:rPr>
        <w:t>its</w:t>
      </w:r>
      <w:r>
        <w:rPr>
          <w:color w:val="231F20"/>
          <w:spacing w:val="-3"/>
        </w:rPr>
        <w:t> </w:t>
      </w:r>
      <w:r>
        <w:rPr>
          <w:color w:val="231F20"/>
        </w:rPr>
        <w:t>fair</w:t>
      </w:r>
      <w:r>
        <w:rPr>
          <w:color w:val="231F20"/>
          <w:spacing w:val="-3"/>
        </w:rPr>
        <w:t> </w:t>
      </w:r>
      <w:r>
        <w:rPr>
          <w:color w:val="231F20"/>
        </w:rPr>
        <w:t>value to changes in market interest rates. The Institute does not have a formal policy to limit its exposure to interest rate risk.</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3</w:t>
      </w:r>
      <w:r>
        <w:rPr>
          <w:color w:val="231F20"/>
          <w:spacing w:val="-5"/>
        </w:rPr>
        <w:t> </w:t>
      </w:r>
      <w:r>
        <w:rPr>
          <w:color w:val="231F20"/>
        </w:rPr>
        <w:t>–</w:t>
      </w:r>
      <w:r>
        <w:rPr>
          <w:color w:val="231F20"/>
          <w:spacing w:val="-4"/>
        </w:rPr>
        <w:t> </w:t>
      </w:r>
      <w:r>
        <w:rPr>
          <w:color w:val="231F20"/>
        </w:rPr>
        <w:t>Cash</w:t>
      </w:r>
      <w:r>
        <w:rPr>
          <w:color w:val="231F20"/>
          <w:spacing w:val="-5"/>
        </w:rPr>
        <w:t> </w:t>
      </w:r>
      <w:r>
        <w:rPr>
          <w:color w:val="231F20"/>
        </w:rPr>
        <w:t>and</w:t>
      </w:r>
      <w:r>
        <w:rPr>
          <w:color w:val="231F20"/>
          <w:spacing w:val="-5"/>
        </w:rPr>
        <w:t> </w:t>
      </w:r>
      <w:r>
        <w:rPr>
          <w:color w:val="231F20"/>
        </w:rPr>
        <w:t>Investments</w:t>
      </w:r>
      <w:r>
        <w:rPr>
          <w:color w:val="231F20"/>
          <w:spacing w:val="-4"/>
        </w:rPr>
        <w:t> </w:t>
      </w:r>
      <w:r>
        <w:rPr>
          <w:color w:val="231F20"/>
          <w:spacing w:val="-2"/>
        </w:rPr>
        <w:t>(continued)</w:t>
      </w:r>
    </w:p>
    <w:p>
      <w:pPr>
        <w:pStyle w:val="BodyText"/>
        <w:rPr>
          <w:b/>
          <w:sz w:val="26"/>
        </w:rPr>
      </w:pPr>
    </w:p>
    <w:p>
      <w:pPr>
        <w:pStyle w:val="BodyText"/>
        <w:spacing w:line="276" w:lineRule="auto" w:before="1"/>
        <w:ind w:left="1440" w:right="1048"/>
      </w:pPr>
      <w:r>
        <w:rPr>
          <w:color w:val="231F20"/>
        </w:rPr>
        <w:t>A</w:t>
      </w:r>
      <w:r>
        <w:rPr>
          <w:color w:val="231F20"/>
          <w:spacing w:val="-3"/>
        </w:rPr>
        <w:t> </w:t>
      </w:r>
      <w:r>
        <w:rPr>
          <w:color w:val="231F20"/>
        </w:rPr>
        <w:t>summary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investments</w:t>
      </w:r>
      <w:r>
        <w:rPr>
          <w:color w:val="231F20"/>
          <w:spacing w:val="-3"/>
        </w:rPr>
        <w:t> </w:t>
      </w:r>
      <w:r>
        <w:rPr>
          <w:color w:val="231F20"/>
        </w:rPr>
        <w:t>and</w:t>
      </w:r>
      <w:r>
        <w:rPr>
          <w:color w:val="231F20"/>
          <w:spacing w:val="-3"/>
        </w:rPr>
        <w:t> </w:t>
      </w:r>
      <w:r>
        <w:rPr>
          <w:color w:val="231F20"/>
        </w:rPr>
        <w:t>their</w:t>
      </w:r>
      <w:r>
        <w:rPr>
          <w:color w:val="231F20"/>
          <w:spacing w:val="-3"/>
        </w:rPr>
        <w:t> </w:t>
      </w:r>
      <w:r>
        <w:rPr>
          <w:color w:val="231F20"/>
        </w:rPr>
        <w:t>respective maturities</w:t>
      </w:r>
      <w:r>
        <w:rPr>
          <w:color w:val="231F20"/>
          <w:spacing w:val="-3"/>
        </w:rPr>
        <w:t> </w:t>
      </w:r>
      <w:r>
        <w:rPr>
          <w:color w:val="231F20"/>
        </w:rPr>
        <w:t>at</w:t>
      </w:r>
      <w:r>
        <w:rPr>
          <w:color w:val="231F20"/>
          <w:spacing w:val="-4"/>
        </w:rPr>
        <w:t> </w:t>
      </w:r>
      <w:r>
        <w:rPr>
          <w:color w:val="231F20"/>
        </w:rPr>
        <w:t>June</w:t>
      </w:r>
      <w:r>
        <w:rPr>
          <w:color w:val="231F20"/>
          <w:spacing w:val="-3"/>
        </w:rPr>
        <w:t> </w:t>
      </w:r>
      <w:r>
        <w:rPr>
          <w:color w:val="231F20"/>
        </w:rPr>
        <w:t>30,</w:t>
      </w:r>
      <w:r>
        <w:rPr>
          <w:color w:val="231F20"/>
          <w:spacing w:val="-3"/>
        </w:rPr>
        <w:t> </w:t>
      </w:r>
      <w:r>
        <w:rPr>
          <w:color w:val="231F20"/>
        </w:rPr>
        <w:t>2022,</w:t>
      </w:r>
      <w:r>
        <w:rPr>
          <w:color w:val="231F20"/>
          <w:spacing w:val="-3"/>
        </w:rPr>
        <w:t> </w:t>
      </w:r>
      <w:r>
        <w:rPr>
          <w:color w:val="231F20"/>
        </w:rPr>
        <w:t>and</w:t>
      </w:r>
      <w:r>
        <w:rPr>
          <w:color w:val="231F20"/>
          <w:spacing w:val="-3"/>
        </w:rPr>
        <w:t> </w:t>
      </w:r>
      <w:r>
        <w:rPr>
          <w:color w:val="231F20"/>
        </w:rPr>
        <w:t>their</w:t>
      </w:r>
      <w:r>
        <w:rPr>
          <w:color w:val="231F20"/>
          <w:spacing w:val="-3"/>
        </w:rPr>
        <w:t> </w:t>
      </w:r>
      <w:r>
        <w:rPr>
          <w:color w:val="231F20"/>
        </w:rPr>
        <w:t>exposure</w:t>
      </w:r>
      <w:r>
        <w:rPr>
          <w:color w:val="231F20"/>
          <w:spacing w:val="-3"/>
        </w:rPr>
        <w:t> </w:t>
      </w:r>
      <w:r>
        <w:rPr>
          <w:color w:val="231F20"/>
        </w:rPr>
        <w:t>to interest rate risk are as follows:</w:t>
      </w:r>
    </w:p>
    <w:p>
      <w:pPr>
        <w:pStyle w:val="BodyText"/>
        <w:spacing w:before="10"/>
        <w:rPr>
          <w:sz w:val="14"/>
        </w:rPr>
      </w:pPr>
    </w:p>
    <w:p>
      <w:pPr>
        <w:spacing w:before="102" w:after="3"/>
        <w:ind w:left="6708" w:right="0" w:firstLine="0"/>
        <w:jc w:val="left"/>
        <w:rPr>
          <w:sz w:val="16"/>
        </w:rPr>
      </w:pPr>
      <w:r>
        <w:rPr>
          <w:color w:val="231F20"/>
          <w:spacing w:val="-2"/>
          <w:w w:val="105"/>
          <w:sz w:val="16"/>
        </w:rPr>
        <w:t>Investment</w:t>
      </w:r>
      <w:r>
        <w:rPr>
          <w:color w:val="231F20"/>
          <w:spacing w:val="4"/>
          <w:w w:val="105"/>
          <w:sz w:val="16"/>
        </w:rPr>
        <w:t> </w:t>
      </w:r>
      <w:r>
        <w:rPr>
          <w:color w:val="231F20"/>
          <w:spacing w:val="-2"/>
          <w:w w:val="105"/>
          <w:sz w:val="16"/>
        </w:rPr>
        <w:t>Maturities</w:t>
      </w:r>
    </w:p>
    <w:p>
      <w:pPr>
        <w:pStyle w:val="BodyText"/>
        <w:spacing w:line="20" w:lineRule="exact"/>
        <w:ind w:left="4119"/>
        <w:rPr>
          <w:sz w:val="2"/>
        </w:rPr>
      </w:pPr>
      <w:r>
        <w:rPr>
          <w:sz w:val="2"/>
        </w:rPr>
        <w:pict>
          <v:group style="width:337.1pt;height:.9pt;mso-position-horizontal-relative:char;mso-position-vertical-relative:line" id="docshapegroup267" coordorigin="0,0" coordsize="6742,18">
            <v:line style="position:absolute" from="0,1" to="6742,1" stroked="true" strokeweight=".06pt" strokecolor="#231f20">
              <v:stroke dashstyle="solid"/>
            </v:line>
            <v:rect style="position:absolute;left:0;top:0;width:6742;height:17" id="docshape268" filled="true" fillcolor="#231f20" stroked="false">
              <v:fill type="solid"/>
            </v:rect>
          </v:group>
        </w:pict>
      </w:r>
      <w:r>
        <w:rPr>
          <w:sz w:val="2"/>
        </w:rPr>
      </w:r>
    </w:p>
    <w:p>
      <w:pPr>
        <w:spacing w:before="0"/>
        <w:ind w:left="8360" w:right="0" w:firstLine="0"/>
        <w:jc w:val="left"/>
        <w:rPr>
          <w:sz w:val="16"/>
        </w:rPr>
      </w:pPr>
      <w:r>
        <w:rPr>
          <w:color w:val="231F20"/>
          <w:w w:val="105"/>
          <w:sz w:val="16"/>
        </w:rPr>
        <w:t>Greater</w:t>
      </w:r>
      <w:r>
        <w:rPr>
          <w:color w:val="231F20"/>
          <w:spacing w:val="-11"/>
          <w:w w:val="105"/>
          <w:sz w:val="16"/>
        </w:rPr>
        <w:t> </w:t>
      </w:r>
      <w:r>
        <w:rPr>
          <w:color w:val="231F20"/>
          <w:spacing w:val="-4"/>
          <w:w w:val="105"/>
          <w:sz w:val="16"/>
        </w:rPr>
        <w:t>Than</w:t>
      </w:r>
    </w:p>
    <w:p>
      <w:pPr>
        <w:tabs>
          <w:tab w:pos="8543" w:val="left" w:leader="none"/>
          <w:tab w:pos="9483" w:val="left" w:leader="none"/>
          <w:tab w:pos="10862" w:val="left" w:leader="none"/>
        </w:tabs>
        <w:spacing w:before="8"/>
        <w:ind w:left="4110" w:right="0" w:firstLine="0"/>
        <w:jc w:val="left"/>
        <w:rPr>
          <w:sz w:val="16"/>
        </w:rPr>
      </w:pPr>
      <w:r>
        <w:rPr>
          <w:color w:val="231F20"/>
          <w:w w:val="105"/>
          <w:sz w:val="16"/>
          <w:u w:val="single" w:color="231F20"/>
        </w:rPr>
        <w:t>Less than 1 Yea</w:t>
      </w:r>
      <w:r>
        <w:rPr>
          <w:color w:val="231F20"/>
          <w:w w:val="105"/>
          <w:sz w:val="16"/>
        </w:rPr>
        <w:t>r</w:t>
      </w:r>
      <w:r>
        <w:rPr>
          <w:color w:val="231F20"/>
          <w:spacing w:val="85"/>
          <w:w w:val="105"/>
          <w:sz w:val="16"/>
        </w:rPr>
        <w:t> </w:t>
      </w:r>
      <w:r>
        <w:rPr>
          <w:color w:val="231F20"/>
          <w:spacing w:val="48"/>
          <w:w w:val="105"/>
          <w:sz w:val="16"/>
          <w:u w:val="single" w:color="231F20"/>
        </w:rPr>
        <w:t>  </w:t>
      </w:r>
      <w:r>
        <w:rPr>
          <w:color w:val="231F20"/>
          <w:w w:val="105"/>
          <w:sz w:val="16"/>
          <w:u w:val="single" w:color="231F20"/>
        </w:rPr>
        <w:t>1 to 5 Years</w:t>
      </w:r>
      <w:r>
        <w:rPr>
          <w:color w:val="231F20"/>
          <w:spacing w:val="111"/>
          <w:w w:val="105"/>
          <w:sz w:val="16"/>
          <w:u w:val="single" w:color="231F20"/>
        </w:rPr>
        <w:t> </w:t>
      </w:r>
      <w:r>
        <w:rPr>
          <w:color w:val="231F20"/>
          <w:spacing w:val="111"/>
          <w:w w:val="105"/>
          <w:sz w:val="16"/>
        </w:rPr>
        <w:t> </w:t>
      </w:r>
      <w:r>
        <w:rPr>
          <w:color w:val="231F20"/>
          <w:spacing w:val="92"/>
          <w:w w:val="105"/>
          <w:sz w:val="16"/>
          <w:u w:val="single" w:color="231F20"/>
        </w:rPr>
        <w:t> </w:t>
      </w:r>
      <w:r>
        <w:rPr>
          <w:color w:val="231F20"/>
          <w:w w:val="105"/>
          <w:sz w:val="16"/>
          <w:u w:val="single" w:color="231F20"/>
        </w:rPr>
        <w:t>6 to 10 Years</w:t>
      </w:r>
      <w:r>
        <w:rPr>
          <w:color w:val="231F20"/>
          <w:spacing w:val="65"/>
          <w:w w:val="105"/>
          <w:sz w:val="16"/>
          <w:u w:val="single" w:color="231F20"/>
        </w:rPr>
        <w:t> </w:t>
      </w:r>
      <w:r>
        <w:rPr>
          <w:color w:val="231F20"/>
          <w:spacing w:val="111"/>
          <w:w w:val="105"/>
          <w:sz w:val="16"/>
        </w:rPr>
        <w:t> </w:t>
      </w:r>
      <w:r>
        <w:rPr>
          <w:color w:val="231F20"/>
          <w:sz w:val="16"/>
          <w:u w:val="single" w:color="231F20"/>
        </w:rPr>
        <w:tab/>
      </w:r>
      <w:r>
        <w:rPr>
          <w:color w:val="231F20"/>
          <w:w w:val="105"/>
          <w:sz w:val="16"/>
          <w:u w:val="single" w:color="231F20"/>
        </w:rPr>
        <w:t>10</w:t>
      </w:r>
      <w:r>
        <w:rPr>
          <w:color w:val="231F20"/>
          <w:spacing w:val="-6"/>
          <w:w w:val="105"/>
          <w:sz w:val="16"/>
          <w:u w:val="single" w:color="231F20"/>
        </w:rPr>
        <w:t> </w:t>
      </w:r>
      <w:r>
        <w:rPr>
          <w:color w:val="231F20"/>
          <w:spacing w:val="-2"/>
          <w:w w:val="105"/>
          <w:sz w:val="16"/>
          <w:u w:val="single" w:color="231F20"/>
        </w:rPr>
        <w:t>Years</w:t>
      </w:r>
      <w:r>
        <w:rPr>
          <w:color w:val="231F20"/>
          <w:sz w:val="16"/>
          <w:u w:val="single" w:color="231F20"/>
        </w:rPr>
        <w:tab/>
      </w:r>
      <w:r>
        <w:rPr>
          <w:color w:val="231F20"/>
          <w:spacing w:val="111"/>
          <w:sz w:val="16"/>
        </w:rPr>
        <w:t> </w:t>
      </w:r>
      <w:r>
        <w:rPr>
          <w:color w:val="231F20"/>
          <w:spacing w:val="111"/>
          <w:w w:val="150"/>
          <w:sz w:val="16"/>
          <w:u w:val="single" w:color="231F20"/>
        </w:rPr>
        <w:t> </w:t>
      </w:r>
      <w:r>
        <w:rPr>
          <w:color w:val="231F20"/>
          <w:w w:val="105"/>
          <w:sz w:val="16"/>
          <w:u w:val="single" w:color="231F20"/>
        </w:rPr>
        <w:t>Fair Value</w:t>
      </w:r>
      <w:r>
        <w:rPr>
          <w:color w:val="231F20"/>
          <w:sz w:val="16"/>
          <w:u w:val="single" w:color="231F20"/>
        </w:rPr>
        <w:tab/>
      </w:r>
    </w:p>
    <w:p>
      <w:pPr>
        <w:spacing w:before="13" w:after="10"/>
        <w:ind w:left="1479" w:right="0" w:firstLine="0"/>
        <w:jc w:val="left"/>
        <w:rPr>
          <w:i/>
          <w:sz w:val="16"/>
        </w:rPr>
      </w:pPr>
      <w:r>
        <w:rPr>
          <w:i/>
          <w:color w:val="231F20"/>
          <w:w w:val="105"/>
          <w:sz w:val="16"/>
        </w:rPr>
        <w:t>Items</w:t>
      </w:r>
      <w:r>
        <w:rPr>
          <w:i/>
          <w:color w:val="231F20"/>
          <w:spacing w:val="-8"/>
          <w:w w:val="105"/>
          <w:sz w:val="16"/>
        </w:rPr>
        <w:t> </w:t>
      </w:r>
      <w:r>
        <w:rPr>
          <w:i/>
          <w:color w:val="231F20"/>
          <w:w w:val="105"/>
          <w:sz w:val="16"/>
        </w:rPr>
        <w:t>subject</w:t>
      </w:r>
      <w:r>
        <w:rPr>
          <w:i/>
          <w:color w:val="231F20"/>
          <w:spacing w:val="-7"/>
          <w:w w:val="105"/>
          <w:sz w:val="16"/>
        </w:rPr>
        <w:t> </w:t>
      </w:r>
      <w:r>
        <w:rPr>
          <w:i/>
          <w:color w:val="231F20"/>
          <w:w w:val="105"/>
          <w:sz w:val="16"/>
        </w:rPr>
        <w:t>to</w:t>
      </w:r>
      <w:r>
        <w:rPr>
          <w:i/>
          <w:color w:val="231F20"/>
          <w:spacing w:val="-8"/>
          <w:w w:val="105"/>
          <w:sz w:val="16"/>
        </w:rPr>
        <w:t> </w:t>
      </w:r>
      <w:r>
        <w:rPr>
          <w:i/>
          <w:color w:val="231F20"/>
          <w:w w:val="105"/>
          <w:sz w:val="16"/>
        </w:rPr>
        <w:t>interest</w:t>
      </w:r>
      <w:r>
        <w:rPr>
          <w:i/>
          <w:color w:val="231F20"/>
          <w:spacing w:val="-8"/>
          <w:w w:val="105"/>
          <w:sz w:val="16"/>
        </w:rPr>
        <w:t> </w:t>
      </w:r>
      <w:r>
        <w:rPr>
          <w:i/>
          <w:color w:val="231F20"/>
          <w:w w:val="105"/>
          <w:sz w:val="16"/>
        </w:rPr>
        <w:t>rate</w:t>
      </w:r>
      <w:r>
        <w:rPr>
          <w:i/>
          <w:color w:val="231F20"/>
          <w:spacing w:val="-7"/>
          <w:w w:val="105"/>
          <w:sz w:val="16"/>
        </w:rPr>
        <w:t> </w:t>
      </w:r>
      <w:r>
        <w:rPr>
          <w:i/>
          <w:color w:val="231F20"/>
          <w:spacing w:val="-4"/>
          <w:w w:val="105"/>
          <w:sz w:val="16"/>
        </w:rPr>
        <w:t>risk</w:t>
      </w:r>
    </w:p>
    <w:tbl>
      <w:tblPr>
        <w:tblW w:w="0" w:type="auto"/>
        <w:jc w:val="left"/>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2"/>
        <w:gridCol w:w="1383"/>
        <w:gridCol w:w="1379"/>
        <w:gridCol w:w="1379"/>
        <w:gridCol w:w="1530"/>
        <w:gridCol w:w="1201"/>
      </w:tblGrid>
      <w:tr>
        <w:trPr>
          <w:trHeight w:val="191" w:hRule="atLeast"/>
        </w:trPr>
        <w:tc>
          <w:tcPr>
            <w:tcW w:w="2492" w:type="dxa"/>
          </w:tcPr>
          <w:p>
            <w:pPr>
              <w:pStyle w:val="TableParagraph"/>
              <w:spacing w:line="170" w:lineRule="exact" w:before="1"/>
              <w:ind w:left="50"/>
              <w:rPr>
                <w:sz w:val="16"/>
              </w:rPr>
            </w:pPr>
            <w:r>
              <w:rPr>
                <w:color w:val="231F20"/>
                <w:w w:val="105"/>
                <w:sz w:val="16"/>
              </w:rPr>
              <w:t>Money</w:t>
            </w:r>
            <w:r>
              <w:rPr>
                <w:color w:val="231F20"/>
                <w:spacing w:val="-11"/>
                <w:w w:val="105"/>
                <w:sz w:val="16"/>
              </w:rPr>
              <w:t> </w:t>
            </w:r>
            <w:r>
              <w:rPr>
                <w:color w:val="231F20"/>
                <w:w w:val="105"/>
                <w:sz w:val="16"/>
              </w:rPr>
              <w:t>market</w:t>
            </w:r>
            <w:r>
              <w:rPr>
                <w:color w:val="231F20"/>
                <w:spacing w:val="-10"/>
                <w:w w:val="105"/>
                <w:sz w:val="16"/>
              </w:rPr>
              <w:t> </w:t>
            </w:r>
            <w:r>
              <w:rPr>
                <w:color w:val="231F20"/>
                <w:spacing w:val="-2"/>
                <w:w w:val="105"/>
                <w:sz w:val="16"/>
              </w:rPr>
              <w:t>funds</w:t>
            </w:r>
          </w:p>
        </w:tc>
        <w:tc>
          <w:tcPr>
            <w:tcW w:w="1383" w:type="dxa"/>
          </w:tcPr>
          <w:p>
            <w:pPr>
              <w:pStyle w:val="TableParagraph"/>
              <w:tabs>
                <w:tab w:pos="613" w:val="left" w:leader="none"/>
              </w:tabs>
              <w:spacing w:line="170" w:lineRule="exact" w:before="1"/>
              <w:ind w:left="170"/>
              <w:rPr>
                <w:sz w:val="16"/>
              </w:rPr>
            </w:pPr>
            <w:r>
              <w:rPr>
                <w:color w:val="231F20"/>
                <w:spacing w:val="-10"/>
                <w:w w:val="105"/>
                <w:sz w:val="16"/>
              </w:rPr>
              <w:t>$</w:t>
            </w:r>
            <w:r>
              <w:rPr>
                <w:color w:val="231F20"/>
                <w:sz w:val="16"/>
              </w:rPr>
              <w:tab/>
            </w:r>
            <w:r>
              <w:rPr>
                <w:color w:val="231F20"/>
                <w:spacing w:val="-2"/>
                <w:w w:val="105"/>
                <w:sz w:val="16"/>
              </w:rPr>
              <w:t>182,122</w:t>
            </w:r>
          </w:p>
        </w:tc>
        <w:tc>
          <w:tcPr>
            <w:tcW w:w="5489" w:type="dxa"/>
            <w:gridSpan w:val="4"/>
          </w:tcPr>
          <w:p>
            <w:pPr>
              <w:pStyle w:val="TableParagraph"/>
              <w:tabs>
                <w:tab w:pos="1157" w:val="left" w:leader="none"/>
                <w:tab w:pos="1546" w:val="left" w:leader="none"/>
                <w:tab w:pos="2536" w:val="left" w:leader="none"/>
                <w:tab w:pos="2926" w:val="left" w:leader="none"/>
                <w:tab w:pos="3916" w:val="left" w:leader="none"/>
                <w:tab w:pos="4304" w:val="left" w:leader="none"/>
                <w:tab w:pos="4749" w:val="left" w:leader="none"/>
              </w:tabs>
              <w:spacing w:line="170" w:lineRule="exact" w:before="1"/>
              <w:ind w:left="166"/>
              <w:rPr>
                <w:sz w:val="16"/>
              </w:rPr>
            </w:pPr>
            <w:r>
              <w:rPr>
                <w:color w:val="231F20"/>
                <w:spacing w:val="-10"/>
                <w:w w:val="105"/>
                <w:sz w:val="16"/>
              </w:rPr>
              <w:t>$</w:t>
            </w:r>
            <w:r>
              <w:rPr>
                <w:color w:val="231F20"/>
                <w:sz w:val="16"/>
              </w:rPr>
              <w:tab/>
            </w:r>
            <w:r>
              <w:rPr>
                <w:color w:val="231F20"/>
                <w:spacing w:val="-12"/>
                <w:w w:val="105"/>
                <w:sz w:val="16"/>
              </w:rPr>
              <w:t>-</w:t>
            </w:r>
            <w:r>
              <w:rPr>
                <w:color w:val="231F20"/>
                <w:sz w:val="16"/>
              </w:rPr>
              <w:tab/>
            </w:r>
            <w:r>
              <w:rPr>
                <w:color w:val="231F20"/>
                <w:spacing w:val="-10"/>
                <w:w w:val="105"/>
                <w:sz w:val="16"/>
              </w:rPr>
              <w:t>$</w:t>
            </w:r>
            <w:r>
              <w:rPr>
                <w:color w:val="231F20"/>
                <w:sz w:val="16"/>
              </w:rPr>
              <w:tab/>
            </w:r>
            <w:r>
              <w:rPr>
                <w:color w:val="231F20"/>
                <w:spacing w:val="-10"/>
                <w:w w:val="105"/>
                <w:sz w:val="16"/>
              </w:rPr>
              <w:t>-</w:t>
            </w:r>
            <w:r>
              <w:rPr>
                <w:color w:val="231F20"/>
                <w:sz w:val="16"/>
              </w:rPr>
              <w:tab/>
            </w:r>
            <w:r>
              <w:rPr>
                <w:color w:val="231F20"/>
                <w:spacing w:val="-10"/>
                <w:w w:val="105"/>
                <w:sz w:val="16"/>
              </w:rPr>
              <w:t>$</w:t>
            </w:r>
            <w:r>
              <w:rPr>
                <w:color w:val="231F20"/>
                <w:sz w:val="16"/>
              </w:rPr>
              <w:tab/>
            </w:r>
            <w:r>
              <w:rPr>
                <w:color w:val="231F20"/>
                <w:spacing w:val="-10"/>
                <w:w w:val="105"/>
                <w:sz w:val="16"/>
              </w:rPr>
              <w:t>-</w:t>
            </w:r>
            <w:r>
              <w:rPr>
                <w:color w:val="231F20"/>
                <w:sz w:val="16"/>
              </w:rPr>
              <w:tab/>
            </w:r>
            <w:r>
              <w:rPr>
                <w:color w:val="231F20"/>
                <w:spacing w:val="-10"/>
                <w:w w:val="105"/>
                <w:sz w:val="16"/>
              </w:rPr>
              <w:t>$</w:t>
            </w:r>
            <w:r>
              <w:rPr>
                <w:color w:val="231F20"/>
                <w:sz w:val="16"/>
              </w:rPr>
              <w:tab/>
            </w:r>
            <w:r>
              <w:rPr>
                <w:color w:val="231F20"/>
                <w:spacing w:val="-2"/>
                <w:w w:val="105"/>
                <w:sz w:val="16"/>
              </w:rPr>
              <w:t>182,122</w:t>
            </w:r>
          </w:p>
        </w:tc>
      </w:tr>
      <w:tr>
        <w:trPr>
          <w:trHeight w:val="196" w:hRule="atLeast"/>
        </w:trPr>
        <w:tc>
          <w:tcPr>
            <w:tcW w:w="2492" w:type="dxa"/>
          </w:tcPr>
          <w:p>
            <w:pPr>
              <w:pStyle w:val="TableParagraph"/>
              <w:spacing w:line="171" w:lineRule="exact" w:before="5"/>
              <w:ind w:left="50"/>
              <w:rPr>
                <w:sz w:val="16"/>
              </w:rPr>
            </w:pPr>
            <w:r>
              <w:rPr>
                <w:color w:val="231F20"/>
                <w:w w:val="105"/>
                <w:sz w:val="16"/>
              </w:rPr>
              <w:t>U.S.</w:t>
            </w:r>
            <w:r>
              <w:rPr>
                <w:color w:val="231F20"/>
                <w:spacing w:val="-10"/>
                <w:w w:val="105"/>
                <w:sz w:val="16"/>
              </w:rPr>
              <w:t> </w:t>
            </w:r>
            <w:r>
              <w:rPr>
                <w:color w:val="231F20"/>
                <w:w w:val="105"/>
                <w:sz w:val="16"/>
              </w:rPr>
              <w:t>Government</w:t>
            </w:r>
            <w:r>
              <w:rPr>
                <w:color w:val="231F20"/>
                <w:spacing w:val="-10"/>
                <w:w w:val="105"/>
                <w:sz w:val="16"/>
              </w:rPr>
              <w:t> </w:t>
            </w:r>
            <w:r>
              <w:rPr>
                <w:color w:val="231F20"/>
                <w:w w:val="105"/>
                <w:sz w:val="16"/>
              </w:rPr>
              <w:t>and</w:t>
            </w:r>
            <w:r>
              <w:rPr>
                <w:color w:val="231F20"/>
                <w:spacing w:val="-10"/>
                <w:w w:val="105"/>
                <w:sz w:val="16"/>
              </w:rPr>
              <w:t> </w:t>
            </w:r>
            <w:r>
              <w:rPr>
                <w:color w:val="231F20"/>
                <w:spacing w:val="-2"/>
                <w:w w:val="105"/>
                <w:sz w:val="16"/>
              </w:rPr>
              <w:t>corporate</w:t>
            </w:r>
          </w:p>
        </w:tc>
        <w:tc>
          <w:tcPr>
            <w:tcW w:w="1383" w:type="dxa"/>
          </w:tcPr>
          <w:p>
            <w:pPr>
              <w:pStyle w:val="TableParagraph"/>
              <w:rPr>
                <w:rFonts w:ascii="Times New Roman"/>
                <w:sz w:val="12"/>
              </w:rPr>
            </w:pPr>
          </w:p>
        </w:tc>
        <w:tc>
          <w:tcPr>
            <w:tcW w:w="5489" w:type="dxa"/>
            <w:gridSpan w:val="4"/>
          </w:tcPr>
          <w:p>
            <w:pPr>
              <w:pStyle w:val="TableParagraph"/>
              <w:rPr>
                <w:rFonts w:ascii="Times New Roman"/>
                <w:sz w:val="12"/>
              </w:rPr>
            </w:pPr>
          </w:p>
        </w:tc>
      </w:tr>
      <w:tr>
        <w:trPr>
          <w:trHeight w:val="196" w:hRule="atLeast"/>
        </w:trPr>
        <w:tc>
          <w:tcPr>
            <w:tcW w:w="2492" w:type="dxa"/>
          </w:tcPr>
          <w:p>
            <w:pPr>
              <w:pStyle w:val="TableParagraph"/>
              <w:spacing w:line="170" w:lineRule="exact" w:before="6"/>
              <w:ind w:left="166"/>
              <w:rPr>
                <w:sz w:val="16"/>
              </w:rPr>
            </w:pPr>
            <w:r>
              <w:rPr>
                <w:color w:val="231F20"/>
                <w:w w:val="105"/>
                <w:sz w:val="16"/>
              </w:rPr>
              <w:t>debt</w:t>
            </w:r>
            <w:r>
              <w:rPr>
                <w:color w:val="231F20"/>
                <w:spacing w:val="-8"/>
                <w:w w:val="105"/>
                <w:sz w:val="16"/>
              </w:rPr>
              <w:t> </w:t>
            </w:r>
            <w:r>
              <w:rPr>
                <w:color w:val="231F20"/>
                <w:spacing w:val="-2"/>
                <w:w w:val="105"/>
                <w:sz w:val="16"/>
              </w:rPr>
              <w:t>securities</w:t>
            </w:r>
          </w:p>
        </w:tc>
        <w:tc>
          <w:tcPr>
            <w:tcW w:w="1383" w:type="dxa"/>
          </w:tcPr>
          <w:p>
            <w:pPr>
              <w:pStyle w:val="TableParagraph"/>
              <w:spacing w:line="170" w:lineRule="exact" w:before="6"/>
              <w:ind w:right="165"/>
              <w:jc w:val="right"/>
              <w:rPr>
                <w:sz w:val="16"/>
              </w:rPr>
            </w:pPr>
            <w:r>
              <w:rPr>
                <w:color w:val="231F20"/>
                <w:spacing w:val="-2"/>
                <w:w w:val="105"/>
                <w:sz w:val="16"/>
              </w:rPr>
              <w:t>60,671</w:t>
            </w:r>
          </w:p>
        </w:tc>
        <w:tc>
          <w:tcPr>
            <w:tcW w:w="5489" w:type="dxa"/>
            <w:gridSpan w:val="4"/>
          </w:tcPr>
          <w:p>
            <w:pPr>
              <w:pStyle w:val="TableParagraph"/>
              <w:tabs>
                <w:tab w:pos="2314" w:val="left" w:leader="none"/>
                <w:tab w:pos="3916" w:val="left" w:leader="none"/>
                <w:tab w:pos="4842" w:val="left" w:leader="none"/>
              </w:tabs>
              <w:spacing w:line="170" w:lineRule="exact" w:before="6"/>
              <w:ind w:left="1157"/>
              <w:rPr>
                <w:sz w:val="16"/>
              </w:rPr>
            </w:pPr>
            <w:r>
              <w:rPr>
                <w:color w:val="231F20"/>
                <w:spacing w:val="-10"/>
                <w:w w:val="105"/>
                <w:sz w:val="16"/>
              </w:rPr>
              <w:t>-</w:t>
            </w:r>
            <w:r>
              <w:rPr>
                <w:color w:val="231F20"/>
                <w:sz w:val="16"/>
              </w:rPr>
              <w:tab/>
            </w:r>
            <w:r>
              <w:rPr>
                <w:color w:val="231F20"/>
                <w:spacing w:val="-5"/>
                <w:w w:val="105"/>
                <w:sz w:val="16"/>
              </w:rPr>
              <w:t>137</w:t>
            </w:r>
            <w:r>
              <w:rPr>
                <w:color w:val="231F20"/>
                <w:sz w:val="16"/>
              </w:rPr>
              <w:tab/>
            </w:r>
            <w:r>
              <w:rPr>
                <w:color w:val="231F20"/>
                <w:spacing w:val="-10"/>
                <w:w w:val="105"/>
                <w:sz w:val="16"/>
              </w:rPr>
              <w:t>-</w:t>
            </w:r>
            <w:r>
              <w:rPr>
                <w:color w:val="231F20"/>
                <w:sz w:val="16"/>
              </w:rPr>
              <w:tab/>
            </w:r>
            <w:r>
              <w:rPr>
                <w:color w:val="231F20"/>
                <w:spacing w:val="-2"/>
                <w:w w:val="105"/>
                <w:sz w:val="16"/>
              </w:rPr>
              <w:t>60,808</w:t>
            </w:r>
          </w:p>
        </w:tc>
      </w:tr>
      <w:tr>
        <w:trPr>
          <w:trHeight w:val="191" w:hRule="atLeast"/>
        </w:trPr>
        <w:tc>
          <w:tcPr>
            <w:tcW w:w="2492" w:type="dxa"/>
          </w:tcPr>
          <w:p>
            <w:pPr>
              <w:pStyle w:val="TableParagraph"/>
              <w:spacing w:line="165" w:lineRule="exact" w:before="5"/>
              <w:ind w:left="50"/>
              <w:rPr>
                <w:sz w:val="16"/>
              </w:rPr>
            </w:pPr>
            <w:r>
              <w:rPr>
                <w:color w:val="231F20"/>
                <w:w w:val="105"/>
                <w:sz w:val="16"/>
              </w:rPr>
              <w:t>State</w:t>
            </w:r>
            <w:r>
              <w:rPr>
                <w:color w:val="231F20"/>
                <w:spacing w:val="-12"/>
                <w:w w:val="105"/>
                <w:sz w:val="16"/>
              </w:rPr>
              <w:t> </w:t>
            </w:r>
            <w:r>
              <w:rPr>
                <w:color w:val="231F20"/>
                <w:w w:val="105"/>
                <w:sz w:val="16"/>
              </w:rPr>
              <w:t>Treasurer</w:t>
            </w:r>
            <w:r>
              <w:rPr>
                <w:color w:val="231F20"/>
                <w:spacing w:val="-11"/>
                <w:w w:val="105"/>
                <w:sz w:val="16"/>
              </w:rPr>
              <w:t> </w:t>
            </w:r>
            <w:r>
              <w:rPr>
                <w:color w:val="231F20"/>
                <w:spacing w:val="-4"/>
                <w:w w:val="105"/>
                <w:sz w:val="16"/>
              </w:rPr>
              <w:t>LGIP</w:t>
            </w:r>
          </w:p>
        </w:tc>
        <w:tc>
          <w:tcPr>
            <w:tcW w:w="1383" w:type="dxa"/>
          </w:tcPr>
          <w:p>
            <w:pPr>
              <w:pStyle w:val="TableParagraph"/>
              <w:tabs>
                <w:tab w:pos="300" w:val="left" w:leader="none"/>
              </w:tabs>
              <w:spacing w:line="165" w:lineRule="exact" w:before="5"/>
              <w:ind w:right="75"/>
              <w:jc w:val="right"/>
              <w:rPr>
                <w:sz w:val="16"/>
              </w:rPr>
            </w:pPr>
            <w:r>
              <w:rPr>
                <w:color w:val="231F20"/>
                <w:sz w:val="16"/>
                <w:u w:val="single" w:color="231F20"/>
              </w:rPr>
              <w:tab/>
            </w:r>
            <w:r>
              <w:rPr>
                <w:color w:val="231F20"/>
                <w:spacing w:val="-2"/>
                <w:w w:val="105"/>
                <w:sz w:val="16"/>
                <w:u w:val="single" w:color="231F20"/>
              </w:rPr>
              <w:t>19,552,022</w:t>
            </w:r>
            <w:r>
              <w:rPr>
                <w:color w:val="231F20"/>
                <w:spacing w:val="80"/>
                <w:w w:val="105"/>
                <w:sz w:val="16"/>
                <w:u w:val="single" w:color="231F20"/>
              </w:rPr>
              <w:t> </w:t>
            </w:r>
          </w:p>
        </w:tc>
        <w:tc>
          <w:tcPr>
            <w:tcW w:w="5489" w:type="dxa"/>
            <w:gridSpan w:val="4"/>
          </w:tcPr>
          <w:p>
            <w:pPr>
              <w:pStyle w:val="TableParagraph"/>
              <w:tabs>
                <w:tab w:pos="1157" w:val="left" w:leader="none"/>
                <w:tab w:pos="2536" w:val="left" w:leader="none"/>
                <w:tab w:pos="3916" w:val="left" w:leader="none"/>
                <w:tab w:pos="4517" w:val="left" w:leader="none"/>
              </w:tabs>
              <w:spacing w:line="165" w:lineRule="exact" w:before="5"/>
              <w:ind w:left="78"/>
              <w:rPr>
                <w:sz w:val="16"/>
              </w:rPr>
            </w:pPr>
            <w:r>
              <w:rPr>
                <w:color w:val="231F20"/>
                <w:sz w:val="16"/>
                <w:u w:val="single" w:color="231F20"/>
              </w:rPr>
              <w:tab/>
            </w:r>
            <w:r>
              <w:rPr>
                <w:color w:val="231F20"/>
                <w:w w:val="105"/>
                <w:sz w:val="16"/>
                <w:u w:val="single" w:color="231F20"/>
              </w:rPr>
              <w:t>-</w:t>
            </w:r>
            <w:r>
              <w:rPr>
                <w:color w:val="231F20"/>
                <w:spacing w:val="43"/>
                <w:w w:val="105"/>
                <w:sz w:val="16"/>
                <w:u w:val="single" w:color="231F20"/>
              </w:rPr>
              <w:t> </w:t>
            </w:r>
            <w:r>
              <w:rPr>
                <w:color w:val="231F20"/>
                <w:spacing w:val="111"/>
                <w:w w:val="105"/>
                <w:sz w:val="16"/>
              </w:rPr>
              <w:t> </w:t>
            </w:r>
            <w:r>
              <w:rPr>
                <w:color w:val="231F20"/>
                <w:sz w:val="16"/>
                <w:u w:val="single" w:color="231F20"/>
              </w:rPr>
              <w:tab/>
            </w:r>
            <w:r>
              <w:rPr>
                <w:color w:val="231F20"/>
                <w:w w:val="105"/>
                <w:sz w:val="16"/>
                <w:u w:val="single" w:color="231F20"/>
              </w:rPr>
              <w:t>-</w:t>
            </w:r>
            <w:r>
              <w:rPr>
                <w:color w:val="231F20"/>
                <w:spacing w:val="40"/>
                <w:w w:val="105"/>
                <w:sz w:val="16"/>
                <w:u w:val="single" w:color="231F20"/>
              </w:rPr>
              <w:t> </w:t>
            </w:r>
            <w:r>
              <w:rPr>
                <w:color w:val="231F20"/>
                <w:spacing w:val="111"/>
                <w:w w:val="105"/>
                <w:sz w:val="16"/>
              </w:rPr>
              <w:t> </w:t>
            </w:r>
            <w:r>
              <w:rPr>
                <w:color w:val="231F20"/>
                <w:sz w:val="16"/>
                <w:u w:val="single" w:color="231F20"/>
              </w:rPr>
              <w:tab/>
            </w:r>
            <w:r>
              <w:rPr>
                <w:color w:val="231F20"/>
                <w:w w:val="105"/>
                <w:sz w:val="16"/>
                <w:u w:val="single" w:color="231F20"/>
              </w:rPr>
              <w:t>-</w:t>
            </w:r>
            <w:r>
              <w:rPr>
                <w:color w:val="231F20"/>
                <w:spacing w:val="40"/>
                <w:w w:val="105"/>
                <w:sz w:val="16"/>
                <w:u w:val="single" w:color="231F20"/>
              </w:rPr>
              <w:t> </w:t>
            </w:r>
            <w:r>
              <w:rPr>
                <w:color w:val="231F20"/>
                <w:spacing w:val="111"/>
                <w:w w:val="105"/>
                <w:sz w:val="16"/>
              </w:rPr>
              <w:t> </w:t>
            </w:r>
            <w:r>
              <w:rPr>
                <w:color w:val="231F20"/>
                <w:sz w:val="16"/>
                <w:u w:val="single" w:color="231F20"/>
              </w:rPr>
              <w:tab/>
            </w:r>
            <w:r>
              <w:rPr>
                <w:color w:val="231F20"/>
                <w:spacing w:val="-2"/>
                <w:w w:val="105"/>
                <w:sz w:val="16"/>
                <w:u w:val="single" w:color="231F20"/>
              </w:rPr>
              <w:t>19,552,022</w:t>
            </w:r>
            <w:r>
              <w:rPr>
                <w:color w:val="231F20"/>
                <w:spacing w:val="80"/>
                <w:w w:val="105"/>
                <w:sz w:val="16"/>
                <w:u w:val="single" w:color="231F20"/>
              </w:rPr>
              <w:t> </w:t>
            </w:r>
          </w:p>
        </w:tc>
      </w:tr>
      <w:tr>
        <w:trPr>
          <w:trHeight w:val="419" w:hRule="atLeast"/>
        </w:trPr>
        <w:tc>
          <w:tcPr>
            <w:tcW w:w="3875" w:type="dxa"/>
            <w:gridSpan w:val="2"/>
          </w:tcPr>
          <w:p>
            <w:pPr>
              <w:pStyle w:val="TableParagraph"/>
              <w:spacing w:before="11"/>
              <w:rPr>
                <w:i/>
                <w:sz w:val="17"/>
              </w:rPr>
            </w:pPr>
          </w:p>
          <w:p>
            <w:pPr>
              <w:pStyle w:val="TableParagraph"/>
              <w:ind w:left="2573"/>
              <w:rPr>
                <w:sz w:val="16"/>
              </w:rPr>
            </w:pPr>
            <w:r>
              <w:rPr>
                <w:color w:val="231F20"/>
                <w:spacing w:val="41"/>
                <w:w w:val="105"/>
                <w:sz w:val="16"/>
                <w:u w:val="single" w:color="231F20"/>
              </w:rPr>
              <w:t> </w:t>
            </w:r>
            <w:r>
              <w:rPr>
                <w:color w:val="231F20"/>
                <w:w w:val="105"/>
                <w:sz w:val="16"/>
                <w:u w:val="single" w:color="231F20"/>
              </w:rPr>
              <w:t>$</w:t>
            </w:r>
            <w:r>
              <w:rPr>
                <w:color w:val="231F20"/>
                <w:spacing w:val="71"/>
                <w:w w:val="105"/>
                <w:sz w:val="16"/>
                <w:u w:val="single" w:color="231F20"/>
              </w:rPr>
              <w:t> </w:t>
            </w:r>
            <w:r>
              <w:rPr>
                <w:color w:val="231F20"/>
                <w:spacing w:val="-2"/>
                <w:w w:val="105"/>
                <w:sz w:val="16"/>
                <w:u w:val="single" w:color="231F20"/>
              </w:rPr>
              <w:t>19,794,815</w:t>
            </w:r>
            <w:r>
              <w:rPr>
                <w:color w:val="231F20"/>
                <w:spacing w:val="80"/>
                <w:w w:val="105"/>
                <w:sz w:val="16"/>
                <w:u w:val="single" w:color="231F20"/>
              </w:rPr>
              <w:t> </w:t>
            </w:r>
          </w:p>
        </w:tc>
        <w:tc>
          <w:tcPr>
            <w:tcW w:w="1379" w:type="dxa"/>
          </w:tcPr>
          <w:p>
            <w:pPr>
              <w:pStyle w:val="TableParagraph"/>
              <w:spacing w:before="11"/>
              <w:rPr>
                <w:i/>
                <w:sz w:val="17"/>
              </w:rPr>
            </w:pPr>
          </w:p>
          <w:p>
            <w:pPr>
              <w:pStyle w:val="TableParagraph"/>
              <w:tabs>
                <w:tab w:pos="1157" w:val="left" w:leader="none"/>
              </w:tabs>
              <w:ind w:left="78"/>
              <w:rPr>
                <w:sz w:val="16"/>
              </w:rPr>
            </w:pPr>
            <w:r>
              <w:rPr>
                <w:color w:val="231F20"/>
                <w:spacing w:val="39"/>
                <w:w w:val="105"/>
                <w:sz w:val="16"/>
                <w:u w:val="single" w:color="231F20"/>
              </w:rPr>
              <w:t> </w:t>
            </w:r>
            <w:r>
              <w:rPr>
                <w:color w:val="231F20"/>
                <w:spacing w:val="-12"/>
                <w:w w:val="105"/>
                <w:sz w:val="16"/>
                <w:u w:val="single" w:color="231F20"/>
              </w:rPr>
              <w:t>$</w:t>
            </w:r>
            <w:r>
              <w:rPr>
                <w:color w:val="231F20"/>
                <w:sz w:val="16"/>
                <w:u w:val="single" w:color="231F20"/>
              </w:rPr>
              <w:tab/>
            </w:r>
            <w:r>
              <w:rPr>
                <w:color w:val="231F20"/>
                <w:spacing w:val="-10"/>
                <w:w w:val="105"/>
                <w:sz w:val="16"/>
                <w:u w:val="single" w:color="231F20"/>
              </w:rPr>
              <w:t>-</w:t>
            </w:r>
            <w:r>
              <w:rPr>
                <w:color w:val="231F20"/>
                <w:spacing w:val="80"/>
                <w:w w:val="105"/>
                <w:sz w:val="16"/>
                <w:u w:val="single" w:color="231F20"/>
              </w:rPr>
              <w:t> </w:t>
            </w:r>
          </w:p>
        </w:tc>
        <w:tc>
          <w:tcPr>
            <w:tcW w:w="1379" w:type="dxa"/>
          </w:tcPr>
          <w:p>
            <w:pPr>
              <w:pStyle w:val="TableParagraph"/>
              <w:spacing w:before="11"/>
              <w:rPr>
                <w:i/>
                <w:sz w:val="17"/>
              </w:rPr>
            </w:pPr>
          </w:p>
          <w:p>
            <w:pPr>
              <w:pStyle w:val="TableParagraph"/>
              <w:tabs>
                <w:tab w:pos="935" w:val="left" w:leader="none"/>
              </w:tabs>
              <w:ind w:left="79"/>
              <w:rPr>
                <w:sz w:val="16"/>
              </w:rPr>
            </w:pPr>
            <w:r>
              <w:rPr>
                <w:color w:val="231F20"/>
                <w:spacing w:val="39"/>
                <w:w w:val="105"/>
                <w:sz w:val="16"/>
                <w:u w:val="single" w:color="231F20"/>
              </w:rPr>
              <w:t> </w:t>
            </w:r>
            <w:r>
              <w:rPr>
                <w:color w:val="231F20"/>
                <w:spacing w:val="-12"/>
                <w:w w:val="105"/>
                <w:sz w:val="16"/>
                <w:u w:val="single" w:color="231F20"/>
              </w:rPr>
              <w:t>$</w:t>
            </w:r>
            <w:r>
              <w:rPr>
                <w:color w:val="231F20"/>
                <w:sz w:val="16"/>
                <w:u w:val="single" w:color="231F20"/>
              </w:rPr>
              <w:tab/>
            </w:r>
            <w:r>
              <w:rPr>
                <w:color w:val="231F20"/>
                <w:spacing w:val="-5"/>
                <w:w w:val="105"/>
                <w:sz w:val="16"/>
                <w:u w:val="single" w:color="231F20"/>
              </w:rPr>
              <w:t>137</w:t>
            </w:r>
            <w:r>
              <w:rPr>
                <w:color w:val="231F20"/>
                <w:spacing w:val="80"/>
                <w:w w:val="105"/>
                <w:sz w:val="16"/>
                <w:u w:val="single" w:color="231F20"/>
              </w:rPr>
              <w:t> </w:t>
            </w:r>
          </w:p>
        </w:tc>
        <w:tc>
          <w:tcPr>
            <w:tcW w:w="1530" w:type="dxa"/>
          </w:tcPr>
          <w:p>
            <w:pPr>
              <w:pStyle w:val="TableParagraph"/>
              <w:spacing w:before="11"/>
              <w:rPr>
                <w:i/>
                <w:sz w:val="17"/>
              </w:rPr>
            </w:pPr>
          </w:p>
          <w:p>
            <w:pPr>
              <w:pStyle w:val="TableParagraph"/>
              <w:tabs>
                <w:tab w:pos="1158" w:val="left" w:leader="none"/>
              </w:tabs>
              <w:ind w:left="79"/>
              <w:rPr>
                <w:sz w:val="16"/>
              </w:rPr>
            </w:pPr>
            <w:r>
              <w:rPr>
                <w:color w:val="231F20"/>
                <w:spacing w:val="40"/>
                <w:w w:val="105"/>
                <w:sz w:val="16"/>
                <w:u w:val="single" w:color="231F20"/>
              </w:rPr>
              <w:t> </w:t>
            </w:r>
            <w:r>
              <w:rPr>
                <w:color w:val="231F20"/>
                <w:spacing w:val="-12"/>
                <w:w w:val="105"/>
                <w:sz w:val="16"/>
                <w:u w:val="single" w:color="231F20"/>
              </w:rPr>
              <w:t>$</w:t>
            </w:r>
            <w:r>
              <w:rPr>
                <w:color w:val="231F20"/>
                <w:sz w:val="16"/>
                <w:u w:val="single" w:color="231F20"/>
              </w:rPr>
              <w:tab/>
            </w:r>
            <w:r>
              <w:rPr>
                <w:color w:val="231F20"/>
                <w:spacing w:val="-10"/>
                <w:w w:val="105"/>
                <w:sz w:val="16"/>
                <w:u w:val="single" w:color="231F20"/>
              </w:rPr>
              <w:t>-</w:t>
            </w:r>
            <w:r>
              <w:rPr>
                <w:color w:val="231F20"/>
                <w:spacing w:val="80"/>
                <w:w w:val="105"/>
                <w:sz w:val="16"/>
                <w:u w:val="single" w:color="231F20"/>
              </w:rPr>
              <w:t> </w:t>
            </w:r>
          </w:p>
        </w:tc>
        <w:tc>
          <w:tcPr>
            <w:tcW w:w="1201" w:type="dxa"/>
          </w:tcPr>
          <w:p>
            <w:pPr>
              <w:pStyle w:val="TableParagraph"/>
              <w:spacing w:before="11"/>
              <w:rPr>
                <w:i/>
                <w:sz w:val="17"/>
              </w:rPr>
            </w:pPr>
          </w:p>
          <w:p>
            <w:pPr>
              <w:pStyle w:val="TableParagraph"/>
              <w:ind w:left="229"/>
              <w:rPr>
                <w:sz w:val="16"/>
              </w:rPr>
            </w:pPr>
            <w:r>
              <w:rPr>
                <w:color w:val="231F20"/>
                <w:spacing w:val="-2"/>
                <w:w w:val="105"/>
                <w:sz w:val="16"/>
              </w:rPr>
              <w:t>19,794,952</w:t>
            </w:r>
          </w:p>
        </w:tc>
      </w:tr>
    </w:tbl>
    <w:p>
      <w:pPr>
        <w:pStyle w:val="BodyText"/>
        <w:spacing w:before="10"/>
        <w:rPr>
          <w:i/>
          <w:sz w:val="6"/>
        </w:rPr>
      </w:pPr>
    </w:p>
    <w:p>
      <w:pPr>
        <w:spacing w:line="254" w:lineRule="auto" w:before="102"/>
        <w:ind w:left="1597" w:right="7043" w:hanging="118"/>
        <w:jc w:val="left"/>
        <w:rPr>
          <w:sz w:val="16"/>
        </w:rPr>
      </w:pPr>
      <w:r>
        <w:rPr/>
        <w:pict>
          <v:rect style="position:absolute;margin-left:206.039993pt;margin-top:-4.669988pt;width:61.2pt;height:.77997pt;mso-position-horizontal-relative:page;mso-position-vertical-relative:paragraph;z-index:15761408" id="docshape269" filled="true" fillcolor="#231f20" stroked="false">
            <v:fill type="solid"/>
            <w10:wrap type="none"/>
          </v:rect>
        </w:pict>
      </w:r>
      <w:r>
        <w:rPr/>
        <w:pict>
          <v:rect style="position:absolute;margin-left:275.040985pt;margin-top:-4.669988pt;width:61.14pt;height:.77997pt;mso-position-horizontal-relative:page;mso-position-vertical-relative:paragraph;z-index:15761920" id="docshape270" filled="true" fillcolor="#231f20" stroked="false">
            <v:fill type="solid"/>
            <w10:wrap type="none"/>
          </v:rect>
        </w:pict>
      </w:r>
      <w:r>
        <w:rPr/>
        <w:pict>
          <v:rect style="position:absolute;margin-left:344.040985pt;margin-top:-4.669988pt;width:61.14pt;height:.77997pt;mso-position-horizontal-relative:page;mso-position-vertical-relative:paragraph;z-index:15762432" id="docshape271" filled="true" fillcolor="#231f20" stroked="false">
            <v:fill type="solid"/>
            <w10:wrap type="none"/>
          </v:rect>
        </w:pict>
      </w:r>
      <w:r>
        <w:rPr/>
        <w:pict>
          <v:rect style="position:absolute;margin-left:412.980988pt;margin-top:-4.669988pt;width:61.2pt;height:.77997pt;mso-position-horizontal-relative:page;mso-position-vertical-relative:paragraph;z-index:15762944" id="docshape272" filled="true" fillcolor="#231f20" stroked="false">
            <v:fill type="solid"/>
            <w10:wrap type="none"/>
          </v:rect>
        </w:pict>
      </w:r>
      <w:r>
        <w:rPr>
          <w:color w:val="231F20"/>
          <w:w w:val="105"/>
          <w:sz w:val="16"/>
        </w:rPr>
        <w:t>Investments</w:t>
      </w:r>
      <w:r>
        <w:rPr>
          <w:color w:val="231F20"/>
          <w:spacing w:val="-12"/>
          <w:w w:val="105"/>
          <w:sz w:val="16"/>
        </w:rPr>
        <w:t> </w:t>
      </w:r>
      <w:r>
        <w:rPr>
          <w:color w:val="231F20"/>
          <w:w w:val="105"/>
          <w:sz w:val="16"/>
        </w:rPr>
        <w:t>not</w:t>
      </w:r>
      <w:r>
        <w:rPr>
          <w:color w:val="231F20"/>
          <w:spacing w:val="-12"/>
          <w:w w:val="105"/>
          <w:sz w:val="16"/>
        </w:rPr>
        <w:t> </w:t>
      </w:r>
      <w:r>
        <w:rPr>
          <w:color w:val="231F20"/>
          <w:w w:val="105"/>
          <w:sz w:val="16"/>
        </w:rPr>
        <w:t>subject</w:t>
      </w:r>
      <w:r>
        <w:rPr>
          <w:color w:val="231F20"/>
          <w:spacing w:val="-11"/>
          <w:w w:val="105"/>
          <w:sz w:val="16"/>
        </w:rPr>
        <w:t> </w:t>
      </w:r>
      <w:r>
        <w:rPr>
          <w:color w:val="231F20"/>
          <w:w w:val="105"/>
          <w:sz w:val="16"/>
        </w:rPr>
        <w:t>to</w:t>
      </w:r>
      <w:r>
        <w:rPr>
          <w:color w:val="231F20"/>
          <w:spacing w:val="-12"/>
          <w:w w:val="105"/>
          <w:sz w:val="16"/>
        </w:rPr>
        <w:t> </w:t>
      </w:r>
      <w:r>
        <w:rPr>
          <w:color w:val="231F20"/>
          <w:w w:val="105"/>
          <w:sz w:val="16"/>
        </w:rPr>
        <w:t>categorization State Investment Council</w:t>
      </w:r>
    </w:p>
    <w:p>
      <w:pPr>
        <w:tabs>
          <w:tab w:pos="9639" w:val="left" w:leader="none"/>
          <w:tab w:pos="9939" w:val="left" w:leader="none"/>
        </w:tabs>
        <w:spacing w:before="1"/>
        <w:ind w:left="1713" w:right="0" w:firstLine="0"/>
        <w:jc w:val="left"/>
        <w:rPr>
          <w:sz w:val="16"/>
        </w:rPr>
      </w:pPr>
      <w:r>
        <w:rPr>
          <w:color w:val="231F20"/>
          <w:w w:val="105"/>
          <w:sz w:val="16"/>
        </w:rPr>
        <w:t>Pooled</w:t>
      </w:r>
      <w:r>
        <w:rPr>
          <w:color w:val="231F20"/>
          <w:spacing w:val="-12"/>
          <w:w w:val="105"/>
          <w:sz w:val="16"/>
        </w:rPr>
        <w:t> </w:t>
      </w:r>
      <w:r>
        <w:rPr>
          <w:color w:val="231F20"/>
          <w:spacing w:val="-4"/>
          <w:w w:val="105"/>
          <w:sz w:val="16"/>
        </w:rPr>
        <w:t>fund</w:t>
      </w:r>
      <w:r>
        <w:rPr>
          <w:color w:val="231F20"/>
          <w:sz w:val="16"/>
        </w:rPr>
        <w:tab/>
      </w:r>
      <w:r>
        <w:rPr>
          <w:color w:val="231F20"/>
          <w:sz w:val="16"/>
          <w:u w:val="single" w:color="231F20"/>
        </w:rPr>
        <w:tab/>
      </w:r>
      <w:r>
        <w:rPr>
          <w:color w:val="231F20"/>
          <w:spacing w:val="-2"/>
          <w:w w:val="105"/>
          <w:sz w:val="16"/>
          <w:u w:val="single" w:color="231F20"/>
        </w:rPr>
        <w:t>76,494,572</w:t>
      </w:r>
      <w:r>
        <w:rPr>
          <w:color w:val="231F20"/>
          <w:spacing w:val="80"/>
          <w:w w:val="105"/>
          <w:sz w:val="16"/>
          <w:u w:val="single" w:color="231F20"/>
        </w:rPr>
        <w:t> </w:t>
      </w:r>
    </w:p>
    <w:p>
      <w:pPr>
        <w:pStyle w:val="BodyText"/>
        <w:spacing w:before="1"/>
        <w:rPr>
          <w:sz w:val="18"/>
        </w:rPr>
      </w:pPr>
    </w:p>
    <w:p>
      <w:pPr>
        <w:tabs>
          <w:tab w:pos="9938" w:val="left" w:leader="none"/>
        </w:tabs>
        <w:spacing w:before="0"/>
        <w:ind w:left="1830" w:right="0" w:firstLine="0"/>
        <w:jc w:val="left"/>
        <w:rPr>
          <w:sz w:val="16"/>
        </w:rPr>
      </w:pPr>
      <w:r>
        <w:rPr>
          <w:color w:val="231F20"/>
          <w:w w:val="105"/>
          <w:sz w:val="16"/>
        </w:rPr>
        <w:t>Total</w:t>
      </w:r>
      <w:r>
        <w:rPr>
          <w:color w:val="231F20"/>
          <w:spacing w:val="-8"/>
          <w:w w:val="105"/>
          <w:sz w:val="16"/>
        </w:rPr>
        <w:t> </w:t>
      </w:r>
      <w:r>
        <w:rPr>
          <w:color w:val="231F20"/>
          <w:w w:val="105"/>
          <w:sz w:val="16"/>
        </w:rPr>
        <w:t>items</w:t>
      </w:r>
      <w:r>
        <w:rPr>
          <w:color w:val="231F20"/>
          <w:spacing w:val="-7"/>
          <w:w w:val="105"/>
          <w:sz w:val="16"/>
        </w:rPr>
        <w:t> </w:t>
      </w:r>
      <w:r>
        <w:rPr>
          <w:color w:val="231F20"/>
          <w:w w:val="105"/>
          <w:sz w:val="16"/>
        </w:rPr>
        <w:t>subject</w:t>
      </w:r>
      <w:r>
        <w:rPr>
          <w:color w:val="231F20"/>
          <w:spacing w:val="-7"/>
          <w:w w:val="105"/>
          <w:sz w:val="16"/>
        </w:rPr>
        <w:t> </w:t>
      </w:r>
      <w:r>
        <w:rPr>
          <w:color w:val="231F20"/>
          <w:w w:val="105"/>
          <w:sz w:val="16"/>
        </w:rPr>
        <w:t>to</w:t>
      </w:r>
      <w:r>
        <w:rPr>
          <w:color w:val="231F20"/>
          <w:spacing w:val="-8"/>
          <w:w w:val="105"/>
          <w:sz w:val="16"/>
        </w:rPr>
        <w:t> </w:t>
      </w:r>
      <w:r>
        <w:rPr>
          <w:color w:val="231F20"/>
          <w:w w:val="105"/>
          <w:sz w:val="16"/>
        </w:rPr>
        <w:t>interest</w:t>
      </w:r>
      <w:r>
        <w:rPr>
          <w:color w:val="231F20"/>
          <w:spacing w:val="-7"/>
          <w:w w:val="105"/>
          <w:sz w:val="16"/>
        </w:rPr>
        <w:t> </w:t>
      </w:r>
      <w:r>
        <w:rPr>
          <w:color w:val="231F20"/>
          <w:w w:val="105"/>
          <w:sz w:val="16"/>
        </w:rPr>
        <w:t>rate</w:t>
      </w:r>
      <w:r>
        <w:rPr>
          <w:color w:val="231F20"/>
          <w:spacing w:val="-7"/>
          <w:w w:val="105"/>
          <w:sz w:val="16"/>
        </w:rPr>
        <w:t> </w:t>
      </w:r>
      <w:r>
        <w:rPr>
          <w:color w:val="231F20"/>
          <w:spacing w:val="-4"/>
          <w:w w:val="105"/>
          <w:sz w:val="16"/>
        </w:rPr>
        <w:t>risk</w:t>
      </w:r>
      <w:r>
        <w:rPr>
          <w:color w:val="231F20"/>
          <w:sz w:val="16"/>
        </w:rPr>
        <w:tab/>
      </w:r>
      <w:r>
        <w:rPr>
          <w:color w:val="231F20"/>
          <w:spacing w:val="-2"/>
          <w:w w:val="105"/>
          <w:sz w:val="16"/>
        </w:rPr>
        <w:t>96,289,524</w:t>
      </w:r>
    </w:p>
    <w:p>
      <w:pPr>
        <w:pStyle w:val="BodyText"/>
        <w:spacing w:before="1"/>
        <w:rPr>
          <w:sz w:val="18"/>
        </w:rPr>
      </w:pPr>
    </w:p>
    <w:p>
      <w:pPr>
        <w:spacing w:before="1"/>
        <w:ind w:left="1479" w:right="0" w:firstLine="0"/>
        <w:jc w:val="left"/>
        <w:rPr>
          <w:i/>
          <w:sz w:val="16"/>
        </w:rPr>
      </w:pPr>
      <w:r>
        <w:rPr>
          <w:i/>
          <w:color w:val="231F20"/>
          <w:w w:val="105"/>
          <w:sz w:val="16"/>
        </w:rPr>
        <w:t>Items</w:t>
      </w:r>
      <w:r>
        <w:rPr>
          <w:i/>
          <w:color w:val="231F20"/>
          <w:spacing w:val="-8"/>
          <w:w w:val="105"/>
          <w:sz w:val="16"/>
        </w:rPr>
        <w:t> </w:t>
      </w:r>
      <w:r>
        <w:rPr>
          <w:i/>
          <w:color w:val="231F20"/>
          <w:w w:val="105"/>
          <w:sz w:val="16"/>
        </w:rPr>
        <w:t>not</w:t>
      </w:r>
      <w:r>
        <w:rPr>
          <w:i/>
          <w:color w:val="231F20"/>
          <w:spacing w:val="-8"/>
          <w:w w:val="105"/>
          <w:sz w:val="16"/>
        </w:rPr>
        <w:t> </w:t>
      </w:r>
      <w:r>
        <w:rPr>
          <w:i/>
          <w:color w:val="231F20"/>
          <w:w w:val="105"/>
          <w:sz w:val="16"/>
        </w:rPr>
        <w:t>subject</w:t>
      </w:r>
      <w:r>
        <w:rPr>
          <w:i/>
          <w:color w:val="231F20"/>
          <w:spacing w:val="-7"/>
          <w:w w:val="105"/>
          <w:sz w:val="16"/>
        </w:rPr>
        <w:t> </w:t>
      </w:r>
      <w:r>
        <w:rPr>
          <w:i/>
          <w:color w:val="231F20"/>
          <w:w w:val="105"/>
          <w:sz w:val="16"/>
        </w:rPr>
        <w:t>to</w:t>
      </w:r>
      <w:r>
        <w:rPr>
          <w:i/>
          <w:color w:val="231F20"/>
          <w:spacing w:val="-7"/>
          <w:w w:val="105"/>
          <w:sz w:val="16"/>
        </w:rPr>
        <w:t> </w:t>
      </w:r>
      <w:r>
        <w:rPr>
          <w:i/>
          <w:color w:val="231F20"/>
          <w:w w:val="105"/>
          <w:sz w:val="16"/>
        </w:rPr>
        <w:t>interest</w:t>
      </w:r>
      <w:r>
        <w:rPr>
          <w:i/>
          <w:color w:val="231F20"/>
          <w:spacing w:val="-8"/>
          <w:w w:val="105"/>
          <w:sz w:val="16"/>
        </w:rPr>
        <w:t> </w:t>
      </w:r>
      <w:r>
        <w:rPr>
          <w:i/>
          <w:color w:val="231F20"/>
          <w:w w:val="105"/>
          <w:sz w:val="16"/>
        </w:rPr>
        <w:t>rate</w:t>
      </w:r>
      <w:r>
        <w:rPr>
          <w:i/>
          <w:color w:val="231F20"/>
          <w:spacing w:val="-6"/>
          <w:w w:val="105"/>
          <w:sz w:val="16"/>
        </w:rPr>
        <w:t> </w:t>
      </w:r>
      <w:r>
        <w:rPr>
          <w:i/>
          <w:color w:val="231F20"/>
          <w:spacing w:val="-4"/>
          <w:w w:val="105"/>
          <w:sz w:val="16"/>
        </w:rPr>
        <w:t>risk</w:t>
      </w:r>
    </w:p>
    <w:p>
      <w:pPr>
        <w:tabs>
          <w:tab w:pos="10773" w:val="right" w:leader="none"/>
        </w:tabs>
        <w:spacing w:before="11"/>
        <w:ind w:left="1597" w:right="0" w:firstLine="0"/>
        <w:jc w:val="left"/>
        <w:rPr>
          <w:sz w:val="16"/>
        </w:rPr>
      </w:pPr>
      <w:r>
        <w:rPr>
          <w:color w:val="231F20"/>
          <w:spacing w:val="-4"/>
          <w:w w:val="105"/>
          <w:sz w:val="16"/>
        </w:rPr>
        <w:t>Cash</w:t>
      </w:r>
      <w:r>
        <w:rPr>
          <w:color w:val="231F20"/>
          <w:sz w:val="16"/>
        </w:rPr>
        <w:tab/>
      </w:r>
      <w:r>
        <w:rPr>
          <w:color w:val="231F20"/>
          <w:spacing w:val="-5"/>
          <w:w w:val="105"/>
          <w:sz w:val="16"/>
        </w:rPr>
        <w:t>886</w:t>
      </w:r>
    </w:p>
    <w:p>
      <w:pPr>
        <w:tabs>
          <w:tab w:pos="10032" w:val="left" w:leader="none"/>
        </w:tabs>
        <w:spacing w:before="13"/>
        <w:ind w:left="1596" w:right="0" w:firstLine="0"/>
        <w:jc w:val="left"/>
        <w:rPr>
          <w:sz w:val="16"/>
        </w:rPr>
      </w:pPr>
      <w:r>
        <w:rPr>
          <w:color w:val="231F20"/>
          <w:spacing w:val="-2"/>
          <w:w w:val="105"/>
          <w:sz w:val="16"/>
        </w:rPr>
        <w:t>Common stocks</w:t>
      </w:r>
      <w:r>
        <w:rPr>
          <w:color w:val="231F20"/>
          <w:sz w:val="16"/>
        </w:rPr>
        <w:tab/>
      </w:r>
      <w:r>
        <w:rPr>
          <w:color w:val="231F20"/>
          <w:spacing w:val="-2"/>
          <w:w w:val="105"/>
          <w:sz w:val="16"/>
        </w:rPr>
        <w:t>3,124,313</w:t>
      </w:r>
    </w:p>
    <w:p>
      <w:pPr>
        <w:tabs>
          <w:tab w:pos="9639" w:val="left" w:leader="none"/>
          <w:tab w:pos="10170" w:val="left" w:leader="none"/>
        </w:tabs>
        <w:spacing w:before="12"/>
        <w:ind w:left="1596" w:right="0" w:firstLine="0"/>
        <w:jc w:val="left"/>
        <w:rPr>
          <w:sz w:val="16"/>
        </w:rPr>
      </w:pPr>
      <w:r>
        <w:rPr>
          <w:color w:val="231F20"/>
          <w:spacing w:val="-2"/>
          <w:w w:val="105"/>
          <w:sz w:val="16"/>
        </w:rPr>
        <w:t>Mutual</w:t>
      </w:r>
      <w:r>
        <w:rPr>
          <w:color w:val="231F20"/>
          <w:spacing w:val="-1"/>
          <w:w w:val="105"/>
          <w:sz w:val="16"/>
        </w:rPr>
        <w:t> </w:t>
      </w:r>
      <w:r>
        <w:rPr>
          <w:color w:val="231F20"/>
          <w:spacing w:val="-2"/>
          <w:w w:val="105"/>
          <w:sz w:val="16"/>
        </w:rPr>
        <w:t>funds</w:t>
      </w:r>
      <w:r>
        <w:rPr>
          <w:color w:val="231F20"/>
          <w:sz w:val="16"/>
        </w:rPr>
        <w:tab/>
      </w:r>
      <w:r>
        <w:rPr>
          <w:color w:val="231F20"/>
          <w:sz w:val="16"/>
          <w:u w:val="single" w:color="231F20"/>
        </w:rPr>
        <w:tab/>
      </w:r>
      <w:r>
        <w:rPr>
          <w:color w:val="231F20"/>
          <w:spacing w:val="-2"/>
          <w:w w:val="105"/>
          <w:sz w:val="16"/>
          <w:u w:val="single" w:color="231F20"/>
        </w:rPr>
        <w:t>771,386</w:t>
      </w:r>
      <w:r>
        <w:rPr>
          <w:color w:val="231F20"/>
          <w:spacing w:val="80"/>
          <w:w w:val="105"/>
          <w:sz w:val="16"/>
          <w:u w:val="single" w:color="231F20"/>
        </w:rPr>
        <w:t> </w:t>
      </w:r>
    </w:p>
    <w:p>
      <w:pPr>
        <w:tabs>
          <w:tab w:pos="10032" w:val="left" w:leader="none"/>
        </w:tabs>
        <w:spacing w:before="208"/>
        <w:ind w:left="1829" w:right="0" w:firstLine="0"/>
        <w:jc w:val="left"/>
        <w:rPr>
          <w:sz w:val="16"/>
        </w:rPr>
      </w:pPr>
      <w:r>
        <w:rPr>
          <w:color w:val="231F20"/>
          <w:w w:val="105"/>
          <w:sz w:val="16"/>
        </w:rPr>
        <w:t>Total</w:t>
      </w:r>
      <w:r>
        <w:rPr>
          <w:color w:val="231F20"/>
          <w:spacing w:val="-7"/>
          <w:w w:val="105"/>
          <w:sz w:val="16"/>
        </w:rPr>
        <w:t> </w:t>
      </w:r>
      <w:r>
        <w:rPr>
          <w:color w:val="231F20"/>
          <w:w w:val="105"/>
          <w:sz w:val="16"/>
        </w:rPr>
        <w:t>items</w:t>
      </w:r>
      <w:r>
        <w:rPr>
          <w:color w:val="231F20"/>
          <w:spacing w:val="-6"/>
          <w:w w:val="105"/>
          <w:sz w:val="16"/>
        </w:rPr>
        <w:t> </w:t>
      </w:r>
      <w:r>
        <w:rPr>
          <w:color w:val="231F20"/>
          <w:w w:val="105"/>
          <w:sz w:val="16"/>
        </w:rPr>
        <w:t>not</w:t>
      </w:r>
      <w:r>
        <w:rPr>
          <w:color w:val="231F20"/>
          <w:spacing w:val="-7"/>
          <w:w w:val="105"/>
          <w:sz w:val="16"/>
        </w:rPr>
        <w:t> </w:t>
      </w:r>
      <w:r>
        <w:rPr>
          <w:color w:val="231F20"/>
          <w:w w:val="105"/>
          <w:sz w:val="16"/>
        </w:rPr>
        <w:t>subject</w:t>
      </w:r>
      <w:r>
        <w:rPr>
          <w:color w:val="231F20"/>
          <w:spacing w:val="-7"/>
          <w:w w:val="105"/>
          <w:sz w:val="16"/>
        </w:rPr>
        <w:t> </w:t>
      </w:r>
      <w:r>
        <w:rPr>
          <w:color w:val="231F20"/>
          <w:w w:val="105"/>
          <w:sz w:val="16"/>
        </w:rPr>
        <w:t>to</w:t>
      </w:r>
      <w:r>
        <w:rPr>
          <w:color w:val="231F20"/>
          <w:spacing w:val="-7"/>
          <w:w w:val="105"/>
          <w:sz w:val="16"/>
        </w:rPr>
        <w:t> </w:t>
      </w:r>
      <w:r>
        <w:rPr>
          <w:color w:val="231F20"/>
          <w:w w:val="105"/>
          <w:sz w:val="16"/>
        </w:rPr>
        <w:t>interest</w:t>
      </w:r>
      <w:r>
        <w:rPr>
          <w:color w:val="231F20"/>
          <w:spacing w:val="-8"/>
          <w:w w:val="105"/>
          <w:sz w:val="16"/>
        </w:rPr>
        <w:t> </w:t>
      </w:r>
      <w:r>
        <w:rPr>
          <w:color w:val="231F20"/>
          <w:w w:val="105"/>
          <w:sz w:val="16"/>
        </w:rPr>
        <w:t>rate</w:t>
      </w:r>
      <w:r>
        <w:rPr>
          <w:color w:val="231F20"/>
          <w:spacing w:val="-6"/>
          <w:w w:val="105"/>
          <w:sz w:val="16"/>
        </w:rPr>
        <w:t> </w:t>
      </w:r>
      <w:r>
        <w:rPr>
          <w:color w:val="231F20"/>
          <w:spacing w:val="-4"/>
          <w:w w:val="105"/>
          <w:sz w:val="16"/>
        </w:rPr>
        <w:t>risk</w:t>
      </w:r>
      <w:r>
        <w:rPr>
          <w:color w:val="231F20"/>
          <w:sz w:val="16"/>
        </w:rPr>
        <w:tab/>
      </w:r>
      <w:r>
        <w:rPr>
          <w:color w:val="231F20"/>
          <w:spacing w:val="-2"/>
          <w:w w:val="105"/>
          <w:sz w:val="16"/>
        </w:rPr>
        <w:t>3,896,585</w:t>
      </w:r>
    </w:p>
    <w:p>
      <w:pPr>
        <w:tabs>
          <w:tab w:pos="9639" w:val="left" w:leader="none"/>
        </w:tabs>
        <w:spacing w:before="207"/>
        <w:ind w:left="1829" w:right="0" w:firstLine="0"/>
        <w:jc w:val="left"/>
        <w:rPr>
          <w:sz w:val="16"/>
        </w:rPr>
      </w:pPr>
      <w:r>
        <w:rPr>
          <w:color w:val="231F20"/>
          <w:w w:val="105"/>
          <w:sz w:val="16"/>
        </w:rPr>
        <w:t>Total</w:t>
      </w:r>
      <w:r>
        <w:rPr>
          <w:color w:val="231F20"/>
          <w:spacing w:val="-7"/>
          <w:w w:val="105"/>
          <w:sz w:val="16"/>
        </w:rPr>
        <w:t> </w:t>
      </w:r>
      <w:r>
        <w:rPr>
          <w:color w:val="231F20"/>
          <w:spacing w:val="-2"/>
          <w:w w:val="105"/>
          <w:sz w:val="16"/>
        </w:rPr>
        <w:t>investments</w:t>
      </w:r>
      <w:r>
        <w:rPr>
          <w:color w:val="231F20"/>
          <w:sz w:val="16"/>
        </w:rPr>
        <w:tab/>
      </w:r>
      <w:r>
        <w:rPr>
          <w:color w:val="231F20"/>
          <w:spacing w:val="40"/>
          <w:sz w:val="16"/>
          <w:u w:val="double" w:color="231F20"/>
        </w:rPr>
        <w:t> </w:t>
      </w:r>
      <w:r>
        <w:rPr>
          <w:color w:val="231F20"/>
          <w:sz w:val="16"/>
          <w:u w:val="double" w:color="231F20"/>
        </w:rPr>
        <w:t>$</w:t>
      </w:r>
      <w:r>
        <w:rPr>
          <w:color w:val="231F20"/>
          <w:spacing w:val="-7"/>
          <w:sz w:val="16"/>
          <w:u w:val="double" w:color="231F20"/>
        </w:rPr>
        <w:t> </w:t>
      </w:r>
      <w:r>
        <w:rPr>
          <w:color w:val="231F20"/>
          <w:w w:val="105"/>
          <w:sz w:val="16"/>
          <w:u w:val="double" w:color="231F20"/>
        </w:rPr>
        <w:t>100,186,109</w:t>
      </w:r>
      <w:r>
        <w:rPr>
          <w:color w:val="231F20"/>
          <w:spacing w:val="80"/>
          <w:w w:val="105"/>
          <w:sz w:val="16"/>
          <w:u w:val="double" w:color="231F20"/>
        </w:rPr>
        <w:t> </w:t>
      </w:r>
    </w:p>
    <w:p>
      <w:pPr>
        <w:pStyle w:val="BodyText"/>
        <w:spacing w:before="3"/>
        <w:rPr>
          <w:sz w:val="21"/>
        </w:rPr>
      </w:pPr>
    </w:p>
    <w:p>
      <w:pPr>
        <w:pStyle w:val="Heading4"/>
        <w:ind w:left="1439"/>
      </w:pPr>
      <w:r>
        <w:rPr>
          <w:color w:val="231F20"/>
        </w:rPr>
        <w:t>Fair</w:t>
      </w:r>
      <w:r>
        <w:rPr>
          <w:color w:val="231F20"/>
          <w:spacing w:val="-5"/>
        </w:rPr>
        <w:t> </w:t>
      </w:r>
      <w:r>
        <w:rPr>
          <w:color w:val="231F20"/>
        </w:rPr>
        <w:t>Value</w:t>
      </w:r>
      <w:r>
        <w:rPr>
          <w:color w:val="231F20"/>
          <w:spacing w:val="-4"/>
        </w:rPr>
        <w:t> </w:t>
      </w:r>
      <w:r>
        <w:rPr>
          <w:color w:val="231F20"/>
          <w:spacing w:val="-2"/>
        </w:rPr>
        <w:t>Measurements</w:t>
      </w:r>
    </w:p>
    <w:p>
      <w:pPr>
        <w:pStyle w:val="BodyText"/>
        <w:spacing w:before="35"/>
        <w:ind w:left="1439"/>
      </w:pPr>
      <w:r>
        <w:rPr>
          <w:color w:val="231F20"/>
        </w:rPr>
        <w:t>US</w:t>
      </w:r>
      <w:r>
        <w:rPr>
          <w:color w:val="231F20"/>
          <w:spacing w:val="-7"/>
        </w:rPr>
        <w:t> </w:t>
      </w:r>
      <w:r>
        <w:rPr>
          <w:color w:val="231F20"/>
        </w:rPr>
        <w:t>GAAP</w:t>
      </w:r>
      <w:r>
        <w:rPr>
          <w:color w:val="231F20"/>
          <w:spacing w:val="-5"/>
        </w:rPr>
        <w:t> </w:t>
      </w:r>
      <w:r>
        <w:rPr>
          <w:color w:val="231F20"/>
        </w:rPr>
        <w:t>requires</w:t>
      </w:r>
      <w:r>
        <w:rPr>
          <w:color w:val="231F20"/>
          <w:spacing w:val="-5"/>
        </w:rPr>
        <w:t> </w:t>
      </w:r>
      <w:r>
        <w:rPr>
          <w:color w:val="231F20"/>
        </w:rPr>
        <w:t>certain</w:t>
      </w:r>
      <w:r>
        <w:rPr>
          <w:color w:val="231F20"/>
          <w:spacing w:val="-5"/>
        </w:rPr>
        <w:t> </w:t>
      </w:r>
      <w:r>
        <w:rPr>
          <w:color w:val="231F20"/>
        </w:rPr>
        <w:t>assets</w:t>
      </w:r>
      <w:r>
        <w:rPr>
          <w:color w:val="231F20"/>
          <w:spacing w:val="-5"/>
        </w:rPr>
        <w:t> </w:t>
      </w:r>
      <w:r>
        <w:rPr>
          <w:color w:val="231F20"/>
        </w:rPr>
        <w:t>and</w:t>
      </w:r>
      <w:r>
        <w:rPr>
          <w:color w:val="231F20"/>
          <w:spacing w:val="-5"/>
        </w:rPr>
        <w:t> </w:t>
      </w:r>
      <w:r>
        <w:rPr>
          <w:color w:val="231F20"/>
        </w:rPr>
        <w:t>liabilities</w:t>
      </w:r>
      <w:r>
        <w:rPr>
          <w:color w:val="231F20"/>
          <w:spacing w:val="-5"/>
        </w:rPr>
        <w:t> </w:t>
      </w:r>
      <w:r>
        <w:rPr>
          <w:color w:val="231F20"/>
        </w:rPr>
        <w:t>to</w:t>
      </w:r>
      <w:r>
        <w:rPr>
          <w:color w:val="231F20"/>
          <w:spacing w:val="-4"/>
        </w:rPr>
        <w:t> </w:t>
      </w:r>
      <w:r>
        <w:rPr>
          <w:color w:val="231F20"/>
        </w:rPr>
        <w:t>be</w:t>
      </w:r>
      <w:r>
        <w:rPr>
          <w:color w:val="231F20"/>
          <w:spacing w:val="-6"/>
        </w:rPr>
        <w:t> </w:t>
      </w:r>
      <w:r>
        <w:rPr>
          <w:color w:val="231F20"/>
        </w:rPr>
        <w:t>measured</w:t>
      </w:r>
      <w:r>
        <w:rPr>
          <w:color w:val="231F20"/>
          <w:spacing w:val="-5"/>
        </w:rPr>
        <w:t> </w:t>
      </w:r>
      <w:r>
        <w:rPr>
          <w:color w:val="231F20"/>
        </w:rPr>
        <w:t>at</w:t>
      </w:r>
      <w:r>
        <w:rPr>
          <w:color w:val="231F20"/>
          <w:spacing w:val="-5"/>
        </w:rPr>
        <w:t> </w:t>
      </w:r>
      <w:r>
        <w:rPr>
          <w:color w:val="231F20"/>
        </w:rPr>
        <w:t>fair</w:t>
      </w:r>
      <w:r>
        <w:rPr>
          <w:color w:val="231F20"/>
          <w:spacing w:val="-5"/>
        </w:rPr>
        <w:t> </w:t>
      </w:r>
      <w:r>
        <w:rPr>
          <w:color w:val="231F20"/>
        </w:rPr>
        <w:t>value.</w:t>
      </w:r>
      <w:r>
        <w:rPr>
          <w:color w:val="231F20"/>
          <w:spacing w:val="-4"/>
        </w:rPr>
        <w:t> </w:t>
      </w:r>
      <w:r>
        <w:rPr>
          <w:color w:val="231F20"/>
        </w:rPr>
        <w:t>Fair</w:t>
      </w:r>
      <w:r>
        <w:rPr>
          <w:color w:val="231F20"/>
          <w:spacing w:val="-5"/>
        </w:rPr>
        <w:t> </w:t>
      </w:r>
      <w:r>
        <w:rPr>
          <w:color w:val="231F20"/>
        </w:rPr>
        <w:t>value</w:t>
      </w:r>
      <w:r>
        <w:rPr>
          <w:color w:val="231F20"/>
          <w:spacing w:val="-5"/>
        </w:rPr>
        <w:t> is</w:t>
      </w:r>
    </w:p>
    <w:p>
      <w:pPr>
        <w:pStyle w:val="BodyText"/>
        <w:spacing w:line="276" w:lineRule="auto" w:before="34"/>
        <w:ind w:left="1439" w:right="1048"/>
      </w:pPr>
      <w:r>
        <w:rPr>
          <w:color w:val="231F20"/>
        </w:rPr>
        <w:t>defined</w:t>
      </w:r>
      <w:r>
        <w:rPr>
          <w:color w:val="231F20"/>
          <w:spacing w:val="-2"/>
        </w:rPr>
        <w:t> </w:t>
      </w:r>
      <w:r>
        <w:rPr>
          <w:color w:val="231F20"/>
        </w:rPr>
        <w:t>as</w:t>
      </w:r>
      <w:r>
        <w:rPr>
          <w:color w:val="231F20"/>
          <w:spacing w:val="-2"/>
        </w:rPr>
        <w:t> </w:t>
      </w:r>
      <w:r>
        <w:rPr>
          <w:color w:val="231F20"/>
        </w:rPr>
        <w:t>the</w:t>
      </w:r>
      <w:r>
        <w:rPr>
          <w:color w:val="231F20"/>
          <w:spacing w:val="-2"/>
        </w:rPr>
        <w:t> </w:t>
      </w:r>
      <w:r>
        <w:rPr>
          <w:color w:val="231F20"/>
        </w:rPr>
        <w:t>price</w:t>
      </w:r>
      <w:r>
        <w:rPr>
          <w:color w:val="231F20"/>
          <w:spacing w:val="-2"/>
        </w:rPr>
        <w:t> </w:t>
      </w:r>
      <w:r>
        <w:rPr>
          <w:color w:val="231F20"/>
        </w:rPr>
        <w:t>that</w:t>
      </w:r>
      <w:r>
        <w:rPr>
          <w:color w:val="231F20"/>
          <w:spacing w:val="-2"/>
        </w:rPr>
        <w:t> </w:t>
      </w:r>
      <w:r>
        <w:rPr>
          <w:color w:val="231F20"/>
        </w:rPr>
        <w:t>would</w:t>
      </w:r>
      <w:r>
        <w:rPr>
          <w:color w:val="231F20"/>
          <w:spacing w:val="-2"/>
        </w:rPr>
        <w:t> </w:t>
      </w:r>
      <w:r>
        <w:rPr>
          <w:color w:val="231F20"/>
        </w:rPr>
        <w:t>be</w:t>
      </w:r>
      <w:r>
        <w:rPr>
          <w:color w:val="231F20"/>
          <w:spacing w:val="-3"/>
        </w:rPr>
        <w:t> </w:t>
      </w:r>
      <w:r>
        <w:rPr>
          <w:color w:val="231F20"/>
        </w:rPr>
        <w:t>received</w:t>
      </w:r>
      <w:r>
        <w:rPr>
          <w:color w:val="231F20"/>
          <w:spacing w:val="-2"/>
        </w:rPr>
        <w:t> </w:t>
      </w:r>
      <w:r>
        <w:rPr>
          <w:color w:val="231F20"/>
        </w:rPr>
        <w:t>to</w:t>
      </w:r>
      <w:r>
        <w:rPr>
          <w:color w:val="231F20"/>
          <w:spacing w:val="-2"/>
        </w:rPr>
        <w:t> </w:t>
      </w:r>
      <w:r>
        <w:rPr>
          <w:color w:val="231F20"/>
        </w:rPr>
        <w:t>sell</w:t>
      </w:r>
      <w:r>
        <w:rPr>
          <w:color w:val="231F20"/>
          <w:spacing w:val="-2"/>
        </w:rPr>
        <w:t> </w:t>
      </w:r>
      <w:r>
        <w:rPr>
          <w:color w:val="231F20"/>
        </w:rPr>
        <w:t>an</w:t>
      </w:r>
      <w:r>
        <w:rPr>
          <w:color w:val="231F20"/>
          <w:spacing w:val="-2"/>
        </w:rPr>
        <w:t> </w:t>
      </w:r>
      <w:r>
        <w:rPr>
          <w:color w:val="231F20"/>
        </w:rPr>
        <w:t>asset</w:t>
      </w:r>
      <w:r>
        <w:rPr>
          <w:color w:val="231F20"/>
          <w:spacing w:val="-3"/>
        </w:rPr>
        <w:t> </w:t>
      </w:r>
      <w:r>
        <w:rPr>
          <w:color w:val="231F20"/>
        </w:rPr>
        <w:t>or</w:t>
      </w:r>
      <w:r>
        <w:rPr>
          <w:color w:val="231F20"/>
          <w:spacing w:val="-2"/>
        </w:rPr>
        <w:t> </w:t>
      </w:r>
      <w:r>
        <w:rPr>
          <w:color w:val="231F20"/>
        </w:rPr>
        <w:t>paid</w:t>
      </w:r>
      <w:r>
        <w:rPr>
          <w:color w:val="231F20"/>
          <w:spacing w:val="-3"/>
        </w:rPr>
        <w:t> </w:t>
      </w:r>
      <w:r>
        <w:rPr>
          <w:color w:val="231F20"/>
        </w:rPr>
        <w:t>to</w:t>
      </w:r>
      <w:r>
        <w:rPr>
          <w:color w:val="231F20"/>
          <w:spacing w:val="-2"/>
        </w:rPr>
        <w:t> </w:t>
      </w:r>
      <w:r>
        <w:rPr>
          <w:color w:val="231F20"/>
        </w:rPr>
        <w:t>transfer</w:t>
      </w:r>
      <w:r>
        <w:rPr>
          <w:color w:val="231F20"/>
          <w:spacing w:val="-2"/>
        </w:rPr>
        <w:t> </w:t>
      </w:r>
      <w:r>
        <w:rPr>
          <w:color w:val="231F20"/>
        </w:rPr>
        <w:t>a</w:t>
      </w:r>
      <w:r>
        <w:rPr>
          <w:color w:val="231F20"/>
          <w:spacing w:val="-2"/>
        </w:rPr>
        <w:t> </w:t>
      </w:r>
      <w:r>
        <w:rPr>
          <w:color w:val="231F20"/>
        </w:rPr>
        <w:t>liability</w:t>
      </w:r>
      <w:r>
        <w:rPr>
          <w:color w:val="231F20"/>
          <w:spacing w:val="-2"/>
        </w:rPr>
        <w:t> </w:t>
      </w:r>
      <w:r>
        <w:rPr>
          <w:color w:val="231F20"/>
        </w:rPr>
        <w:t>in</w:t>
      </w:r>
      <w:r>
        <w:rPr>
          <w:color w:val="231F20"/>
          <w:spacing w:val="-3"/>
        </w:rPr>
        <w:t> </w:t>
      </w:r>
      <w:r>
        <w:rPr>
          <w:color w:val="231F20"/>
        </w:rPr>
        <w:t>an</w:t>
      </w:r>
      <w:r>
        <w:rPr>
          <w:color w:val="231F20"/>
          <w:spacing w:val="-2"/>
        </w:rPr>
        <w:t> </w:t>
      </w:r>
      <w:r>
        <w:rPr>
          <w:color w:val="231F20"/>
        </w:rPr>
        <w:t>orderly transaction between market participants at the measurement date.</w:t>
      </w:r>
    </w:p>
    <w:p>
      <w:pPr>
        <w:pStyle w:val="BodyText"/>
        <w:rPr>
          <w:sz w:val="23"/>
        </w:rPr>
      </w:pPr>
    </w:p>
    <w:p>
      <w:pPr>
        <w:pStyle w:val="BodyText"/>
        <w:spacing w:line="276" w:lineRule="auto"/>
        <w:ind w:left="1439" w:right="1048"/>
      </w:pPr>
      <w:r>
        <w:rPr>
          <w:color w:val="231F20"/>
        </w:rPr>
        <w:t>Investments are measured at fair value on a recurring basis. Recurring fair value measurements are those that Governmental Accounting Standards Board (GASB) Statements require or permit in the statement of net position at the end of each reporting period. Fair value measurements are categorized based on the valuation inputs used to measure an asset’s fair value. The fair value hierarchy prioritizes the</w:t>
      </w:r>
      <w:r>
        <w:rPr>
          <w:color w:val="231F20"/>
          <w:spacing w:val="-3"/>
        </w:rPr>
        <w:t> </w:t>
      </w:r>
      <w:r>
        <w:rPr>
          <w:color w:val="231F20"/>
        </w:rPr>
        <w:t>inputs</w:t>
      </w:r>
      <w:r>
        <w:rPr>
          <w:color w:val="231F20"/>
          <w:spacing w:val="-3"/>
        </w:rPr>
        <w:t> </w:t>
      </w:r>
      <w:r>
        <w:rPr>
          <w:color w:val="231F20"/>
        </w:rPr>
        <w:t>to</w:t>
      </w:r>
      <w:r>
        <w:rPr>
          <w:color w:val="231F20"/>
          <w:spacing w:val="-4"/>
        </w:rPr>
        <w:t> </w:t>
      </w:r>
      <w:r>
        <w:rPr>
          <w:color w:val="231F20"/>
        </w:rPr>
        <w:t>valuation</w:t>
      </w:r>
      <w:r>
        <w:rPr>
          <w:color w:val="231F20"/>
          <w:spacing w:val="-3"/>
        </w:rPr>
        <w:t> </w:t>
      </w:r>
      <w:r>
        <w:rPr>
          <w:color w:val="231F20"/>
        </w:rPr>
        <w:t>techniques</w:t>
      </w:r>
      <w:r>
        <w:rPr>
          <w:color w:val="231F20"/>
          <w:spacing w:val="-3"/>
        </w:rPr>
        <w:t> </w:t>
      </w:r>
      <w:r>
        <w:rPr>
          <w:color w:val="231F20"/>
        </w:rPr>
        <w:t>used</w:t>
      </w:r>
      <w:r>
        <w:rPr>
          <w:color w:val="231F20"/>
          <w:spacing w:val="-4"/>
        </w:rPr>
        <w:t> </w:t>
      </w:r>
      <w:r>
        <w:rPr>
          <w:color w:val="231F20"/>
        </w:rPr>
        <w:t>to</w:t>
      </w:r>
      <w:r>
        <w:rPr>
          <w:color w:val="231F20"/>
          <w:spacing w:val="-3"/>
        </w:rPr>
        <w:t> </w:t>
      </w:r>
      <w:r>
        <w:rPr>
          <w:color w:val="231F20"/>
        </w:rPr>
        <w:t>measure</w:t>
      </w:r>
      <w:r>
        <w:rPr>
          <w:color w:val="231F20"/>
          <w:spacing w:val="-3"/>
        </w:rPr>
        <w:t> </w:t>
      </w:r>
      <w:r>
        <w:rPr>
          <w:color w:val="231F20"/>
        </w:rPr>
        <w:t>fair</w:t>
      </w:r>
      <w:r>
        <w:rPr>
          <w:color w:val="231F20"/>
          <w:spacing w:val="-1"/>
        </w:rPr>
        <w:t> </w:t>
      </w:r>
      <w:r>
        <w:rPr>
          <w:color w:val="231F20"/>
        </w:rPr>
        <w:t>value.</w:t>
      </w:r>
      <w:r>
        <w:rPr>
          <w:color w:val="231F20"/>
          <w:spacing w:val="-3"/>
        </w:rPr>
        <w:t> </w:t>
      </w:r>
      <w:r>
        <w:rPr>
          <w:color w:val="231F20"/>
        </w:rPr>
        <w:t>The</w:t>
      </w:r>
      <w:r>
        <w:rPr>
          <w:color w:val="231F20"/>
          <w:spacing w:val="-4"/>
        </w:rPr>
        <w:t> </w:t>
      </w:r>
      <w:r>
        <w:rPr>
          <w:color w:val="231F20"/>
        </w:rPr>
        <w:t>hierarchy</w:t>
      </w:r>
      <w:r>
        <w:rPr>
          <w:color w:val="231F20"/>
          <w:spacing w:val="-3"/>
        </w:rPr>
        <w:t> </w:t>
      </w:r>
      <w:r>
        <w:rPr>
          <w:color w:val="231F20"/>
        </w:rPr>
        <w:t>gives</w:t>
      </w:r>
      <w:r>
        <w:rPr>
          <w:color w:val="231F20"/>
          <w:spacing w:val="-3"/>
        </w:rPr>
        <w:t> </w:t>
      </w:r>
      <w:r>
        <w:rPr>
          <w:color w:val="231F20"/>
        </w:rPr>
        <w:t>the</w:t>
      </w:r>
      <w:r>
        <w:rPr>
          <w:color w:val="231F20"/>
          <w:spacing w:val="-3"/>
        </w:rPr>
        <w:t> </w:t>
      </w:r>
      <w:r>
        <w:rPr>
          <w:color w:val="231F20"/>
        </w:rPr>
        <w:t>highest</w:t>
      </w:r>
      <w:r>
        <w:rPr>
          <w:color w:val="231F20"/>
          <w:spacing w:val="-3"/>
        </w:rPr>
        <w:t> </w:t>
      </w:r>
      <w:r>
        <w:rPr>
          <w:color w:val="231F20"/>
        </w:rPr>
        <w:t>priority</w:t>
      </w:r>
      <w:r>
        <w:rPr>
          <w:color w:val="231F20"/>
          <w:spacing w:val="-3"/>
        </w:rPr>
        <w:t> </w:t>
      </w:r>
      <w:r>
        <w:rPr>
          <w:color w:val="231F20"/>
        </w:rPr>
        <w:t>to unadjusted</w:t>
      </w:r>
      <w:r>
        <w:rPr>
          <w:color w:val="231F20"/>
          <w:spacing w:val="-3"/>
        </w:rPr>
        <w:t> </w:t>
      </w:r>
      <w:r>
        <w:rPr>
          <w:color w:val="231F20"/>
        </w:rPr>
        <w:t>quoted</w:t>
      </w:r>
      <w:r>
        <w:rPr>
          <w:color w:val="231F20"/>
          <w:spacing w:val="-3"/>
        </w:rPr>
        <w:t> </w:t>
      </w:r>
      <w:r>
        <w:rPr>
          <w:color w:val="231F20"/>
        </w:rPr>
        <w:t>prices</w:t>
      </w:r>
      <w:r>
        <w:rPr>
          <w:color w:val="231F20"/>
          <w:spacing w:val="-2"/>
        </w:rPr>
        <w:t> </w:t>
      </w:r>
      <w:r>
        <w:rPr>
          <w:color w:val="231F20"/>
        </w:rPr>
        <w:t>in</w:t>
      </w:r>
      <w:r>
        <w:rPr>
          <w:color w:val="231F20"/>
          <w:spacing w:val="-3"/>
        </w:rPr>
        <w:t> </w:t>
      </w:r>
      <w:r>
        <w:rPr>
          <w:color w:val="231F20"/>
        </w:rPr>
        <w:t>active</w:t>
      </w:r>
      <w:r>
        <w:rPr>
          <w:color w:val="231F20"/>
          <w:spacing w:val="-3"/>
        </w:rPr>
        <w:t> </w:t>
      </w:r>
      <w:r>
        <w:rPr>
          <w:color w:val="231F20"/>
        </w:rPr>
        <w:t>markets</w:t>
      </w:r>
      <w:r>
        <w:rPr>
          <w:color w:val="231F20"/>
          <w:spacing w:val="-3"/>
        </w:rPr>
        <w:t> </w:t>
      </w:r>
      <w:r>
        <w:rPr>
          <w:color w:val="231F20"/>
        </w:rPr>
        <w:t>for</w:t>
      </w:r>
      <w:r>
        <w:rPr>
          <w:color w:val="231F20"/>
          <w:spacing w:val="-3"/>
        </w:rPr>
        <w:t> </w:t>
      </w:r>
      <w:r>
        <w:rPr>
          <w:color w:val="231F20"/>
        </w:rPr>
        <w:t>identical</w:t>
      </w:r>
      <w:r>
        <w:rPr>
          <w:color w:val="231F20"/>
          <w:spacing w:val="-3"/>
        </w:rPr>
        <w:t> </w:t>
      </w:r>
      <w:r>
        <w:rPr>
          <w:color w:val="231F20"/>
        </w:rPr>
        <w:t>assets</w:t>
      </w:r>
      <w:r>
        <w:rPr>
          <w:color w:val="231F20"/>
          <w:spacing w:val="-3"/>
        </w:rPr>
        <w:t> </w:t>
      </w:r>
      <w:r>
        <w:rPr>
          <w:color w:val="231F20"/>
        </w:rPr>
        <w:t>or</w:t>
      </w:r>
      <w:r>
        <w:rPr>
          <w:color w:val="231F20"/>
          <w:spacing w:val="-2"/>
        </w:rPr>
        <w:t> </w:t>
      </w:r>
      <w:r>
        <w:rPr>
          <w:color w:val="231F20"/>
        </w:rPr>
        <w:t>liabilities</w:t>
      </w:r>
      <w:r>
        <w:rPr>
          <w:color w:val="231F20"/>
          <w:spacing w:val="-3"/>
        </w:rPr>
        <w:t> </w:t>
      </w:r>
      <w:r>
        <w:rPr>
          <w:color w:val="231F20"/>
        </w:rPr>
        <w:t>(Level</w:t>
      </w:r>
      <w:r>
        <w:rPr>
          <w:color w:val="231F20"/>
          <w:spacing w:val="-3"/>
        </w:rPr>
        <w:t> </w:t>
      </w:r>
      <w:r>
        <w:rPr>
          <w:color w:val="231F20"/>
        </w:rPr>
        <w:t>1</w:t>
      </w:r>
      <w:r>
        <w:rPr>
          <w:color w:val="231F20"/>
          <w:spacing w:val="-3"/>
        </w:rPr>
        <w:t> </w:t>
      </w:r>
      <w:r>
        <w:rPr>
          <w:color w:val="231F20"/>
        </w:rPr>
        <w:t>measurements)</w:t>
      </w:r>
      <w:r>
        <w:rPr>
          <w:color w:val="231F20"/>
          <w:spacing w:val="-3"/>
        </w:rPr>
        <w:t> </w:t>
      </w:r>
      <w:r>
        <w:rPr>
          <w:color w:val="231F20"/>
        </w:rPr>
        <w:t>and the lowest priority to unobservable inputs (Level 3 measurements). The three levels of the fair value hierarchy are described as follows:</w:t>
      </w:r>
    </w:p>
    <w:p>
      <w:pPr>
        <w:pStyle w:val="BodyText"/>
        <w:rPr>
          <w:sz w:val="23"/>
        </w:rPr>
      </w:pPr>
    </w:p>
    <w:p>
      <w:pPr>
        <w:pStyle w:val="BodyText"/>
        <w:spacing w:line="276" w:lineRule="auto"/>
        <w:ind w:left="1886" w:right="1048"/>
      </w:pPr>
      <w:r>
        <w:rPr>
          <w:b/>
          <w:color w:val="231F20"/>
        </w:rPr>
        <w:t>Level</w:t>
      </w:r>
      <w:r>
        <w:rPr>
          <w:b/>
          <w:color w:val="231F20"/>
          <w:spacing w:val="-3"/>
        </w:rPr>
        <w:t> </w:t>
      </w:r>
      <w:r>
        <w:rPr>
          <w:b/>
          <w:color w:val="231F20"/>
        </w:rPr>
        <w:t>1</w:t>
      </w:r>
      <w:r>
        <w:rPr>
          <w:b/>
          <w:color w:val="231F20"/>
          <w:spacing w:val="-2"/>
        </w:rPr>
        <w:t> </w:t>
      </w:r>
      <w:r>
        <w:rPr>
          <w:color w:val="231F20"/>
        </w:rPr>
        <w:t>–</w:t>
      </w:r>
      <w:r>
        <w:rPr>
          <w:color w:val="231F20"/>
          <w:spacing w:val="-3"/>
        </w:rPr>
        <w:t> </w:t>
      </w:r>
      <w:r>
        <w:rPr>
          <w:color w:val="231F20"/>
        </w:rPr>
        <w:t>Inputs</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valuation</w:t>
      </w:r>
      <w:r>
        <w:rPr>
          <w:color w:val="231F20"/>
          <w:spacing w:val="-3"/>
        </w:rPr>
        <w:t> </w:t>
      </w:r>
      <w:r>
        <w:rPr>
          <w:color w:val="231F20"/>
        </w:rPr>
        <w:t>methodology</w:t>
      </w:r>
      <w:r>
        <w:rPr>
          <w:color w:val="231F20"/>
          <w:spacing w:val="-3"/>
        </w:rPr>
        <w:t> </w:t>
      </w:r>
      <w:r>
        <w:rPr>
          <w:color w:val="231F20"/>
        </w:rPr>
        <w:t>are</w:t>
      </w:r>
      <w:r>
        <w:rPr>
          <w:color w:val="231F20"/>
          <w:spacing w:val="-3"/>
        </w:rPr>
        <w:t> </w:t>
      </w:r>
      <w:r>
        <w:rPr>
          <w:color w:val="231F20"/>
        </w:rPr>
        <w:t>unadjusted</w:t>
      </w:r>
      <w:r>
        <w:rPr>
          <w:color w:val="231F20"/>
          <w:spacing w:val="-3"/>
        </w:rPr>
        <w:t> </w:t>
      </w:r>
      <w:r>
        <w:rPr>
          <w:color w:val="231F20"/>
        </w:rPr>
        <w:t>quoted</w:t>
      </w:r>
      <w:r>
        <w:rPr>
          <w:color w:val="231F20"/>
          <w:spacing w:val="-3"/>
        </w:rPr>
        <w:t> </w:t>
      </w:r>
      <w:r>
        <w:rPr>
          <w:color w:val="231F20"/>
        </w:rPr>
        <w:t>prices</w:t>
      </w:r>
      <w:r>
        <w:rPr>
          <w:color w:val="231F20"/>
          <w:spacing w:val="-2"/>
        </w:rPr>
        <w:t> </w:t>
      </w:r>
      <w:r>
        <w:rPr>
          <w:color w:val="231F20"/>
        </w:rPr>
        <w:t>for</w:t>
      </w:r>
      <w:r>
        <w:rPr>
          <w:color w:val="231F20"/>
          <w:spacing w:val="-3"/>
        </w:rPr>
        <w:t> </w:t>
      </w:r>
      <w:r>
        <w:rPr>
          <w:color w:val="231F20"/>
        </w:rPr>
        <w:t>identical</w:t>
      </w:r>
      <w:r>
        <w:rPr>
          <w:color w:val="231F20"/>
          <w:spacing w:val="-3"/>
        </w:rPr>
        <w:t> </w:t>
      </w:r>
      <w:r>
        <w:rPr>
          <w:color w:val="231F20"/>
        </w:rPr>
        <w:t>assets</w:t>
      </w:r>
      <w:r>
        <w:rPr>
          <w:color w:val="231F20"/>
          <w:spacing w:val="-2"/>
        </w:rPr>
        <w:t> </w:t>
      </w:r>
      <w:r>
        <w:rPr>
          <w:color w:val="231F20"/>
        </w:rPr>
        <w:t>or liabilities in active markets that the Plan has the ability to access.</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3</w:t>
      </w:r>
      <w:r>
        <w:rPr>
          <w:color w:val="231F20"/>
          <w:spacing w:val="-5"/>
        </w:rPr>
        <w:t> </w:t>
      </w:r>
      <w:r>
        <w:rPr>
          <w:color w:val="231F20"/>
        </w:rPr>
        <w:t>–</w:t>
      </w:r>
      <w:r>
        <w:rPr>
          <w:color w:val="231F20"/>
          <w:spacing w:val="-4"/>
        </w:rPr>
        <w:t> </w:t>
      </w:r>
      <w:r>
        <w:rPr>
          <w:color w:val="231F20"/>
        </w:rPr>
        <w:t>Cash</w:t>
      </w:r>
      <w:r>
        <w:rPr>
          <w:color w:val="231F20"/>
          <w:spacing w:val="-5"/>
        </w:rPr>
        <w:t> </w:t>
      </w:r>
      <w:r>
        <w:rPr>
          <w:color w:val="231F20"/>
        </w:rPr>
        <w:t>and</w:t>
      </w:r>
      <w:r>
        <w:rPr>
          <w:color w:val="231F20"/>
          <w:spacing w:val="-5"/>
        </w:rPr>
        <w:t> </w:t>
      </w:r>
      <w:r>
        <w:rPr>
          <w:color w:val="231F20"/>
        </w:rPr>
        <w:t>Investments</w:t>
      </w:r>
      <w:r>
        <w:rPr>
          <w:color w:val="231F20"/>
          <w:spacing w:val="-4"/>
        </w:rPr>
        <w:t> </w:t>
      </w:r>
      <w:r>
        <w:rPr>
          <w:color w:val="231F20"/>
          <w:spacing w:val="-2"/>
        </w:rPr>
        <w:t>(continued)</w:t>
      </w:r>
    </w:p>
    <w:p>
      <w:pPr>
        <w:pStyle w:val="BodyText"/>
        <w:rPr>
          <w:b/>
          <w:sz w:val="26"/>
        </w:rPr>
      </w:pPr>
    </w:p>
    <w:p>
      <w:pPr>
        <w:pStyle w:val="BodyText"/>
        <w:ind w:left="1889"/>
      </w:pPr>
      <w:r>
        <w:rPr>
          <w:b/>
          <w:color w:val="231F20"/>
        </w:rPr>
        <w:t>Level</w:t>
      </w:r>
      <w:r>
        <w:rPr>
          <w:b/>
          <w:color w:val="231F20"/>
          <w:spacing w:val="-5"/>
        </w:rPr>
        <w:t> </w:t>
      </w:r>
      <w:r>
        <w:rPr>
          <w:b/>
          <w:color w:val="231F20"/>
        </w:rPr>
        <w:t>2</w:t>
      </w:r>
      <w:r>
        <w:rPr>
          <w:b/>
          <w:color w:val="231F20"/>
          <w:spacing w:val="-3"/>
        </w:rPr>
        <w:t> </w:t>
      </w:r>
      <w:r>
        <w:rPr>
          <w:color w:val="231F20"/>
        </w:rPr>
        <w:t>–</w:t>
      </w:r>
      <w:r>
        <w:rPr>
          <w:color w:val="231F20"/>
          <w:spacing w:val="-5"/>
        </w:rPr>
        <w:t> </w:t>
      </w:r>
      <w:r>
        <w:rPr>
          <w:color w:val="231F20"/>
        </w:rPr>
        <w:t>Inputs</w:t>
      </w:r>
      <w:r>
        <w:rPr>
          <w:color w:val="231F20"/>
          <w:spacing w:val="-4"/>
        </w:rPr>
        <w:t> </w:t>
      </w:r>
      <w:r>
        <w:rPr>
          <w:color w:val="231F20"/>
        </w:rPr>
        <w:t>to</w:t>
      </w:r>
      <w:r>
        <w:rPr>
          <w:color w:val="231F20"/>
          <w:spacing w:val="-4"/>
        </w:rPr>
        <w:t> </w:t>
      </w:r>
      <w:r>
        <w:rPr>
          <w:color w:val="231F20"/>
        </w:rPr>
        <w:t>the</w:t>
      </w:r>
      <w:r>
        <w:rPr>
          <w:color w:val="231F20"/>
          <w:spacing w:val="-5"/>
        </w:rPr>
        <w:t> </w:t>
      </w:r>
      <w:r>
        <w:rPr>
          <w:color w:val="231F20"/>
        </w:rPr>
        <w:t>valuation</w:t>
      </w:r>
      <w:r>
        <w:rPr>
          <w:color w:val="231F20"/>
          <w:spacing w:val="-4"/>
        </w:rPr>
        <w:t> </w:t>
      </w:r>
      <w:r>
        <w:rPr>
          <w:color w:val="231F20"/>
        </w:rPr>
        <w:t>methodology</w:t>
      </w:r>
      <w:r>
        <w:rPr>
          <w:color w:val="231F20"/>
          <w:spacing w:val="-4"/>
        </w:rPr>
        <w:t> </w:t>
      </w:r>
      <w:r>
        <w:rPr>
          <w:color w:val="231F20"/>
          <w:spacing w:val="-2"/>
        </w:rPr>
        <w:t>include:</w:t>
      </w:r>
    </w:p>
    <w:p>
      <w:pPr>
        <w:pStyle w:val="BodyText"/>
        <w:spacing w:before="1"/>
      </w:pPr>
    </w:p>
    <w:p>
      <w:pPr>
        <w:pStyle w:val="ListParagraph"/>
        <w:numPr>
          <w:ilvl w:val="0"/>
          <w:numId w:val="8"/>
        </w:numPr>
        <w:tabs>
          <w:tab w:pos="3149" w:val="left" w:leader="none"/>
          <w:tab w:pos="3151" w:val="left" w:leader="none"/>
        </w:tabs>
        <w:spacing w:line="240" w:lineRule="auto" w:before="0" w:after="0"/>
        <w:ind w:left="3150" w:right="0" w:hanging="362"/>
        <w:jc w:val="left"/>
        <w:rPr>
          <w:sz w:val="20"/>
        </w:rPr>
      </w:pPr>
      <w:r>
        <w:rPr>
          <w:color w:val="231F20"/>
          <w:sz w:val="20"/>
        </w:rPr>
        <w:t>quoted</w:t>
      </w:r>
      <w:r>
        <w:rPr>
          <w:color w:val="231F20"/>
          <w:spacing w:val="-8"/>
          <w:sz w:val="20"/>
        </w:rPr>
        <w:t> </w:t>
      </w:r>
      <w:r>
        <w:rPr>
          <w:color w:val="231F20"/>
          <w:sz w:val="20"/>
        </w:rPr>
        <w:t>prices</w:t>
      </w:r>
      <w:r>
        <w:rPr>
          <w:color w:val="231F20"/>
          <w:spacing w:val="-5"/>
          <w:sz w:val="20"/>
        </w:rPr>
        <w:t> </w:t>
      </w:r>
      <w:r>
        <w:rPr>
          <w:color w:val="231F20"/>
          <w:sz w:val="20"/>
        </w:rPr>
        <w:t>for</w:t>
      </w:r>
      <w:r>
        <w:rPr>
          <w:color w:val="231F20"/>
          <w:spacing w:val="-5"/>
          <w:sz w:val="20"/>
        </w:rPr>
        <w:t> </w:t>
      </w:r>
      <w:r>
        <w:rPr>
          <w:color w:val="231F20"/>
          <w:sz w:val="20"/>
        </w:rPr>
        <w:t>similar</w:t>
      </w:r>
      <w:r>
        <w:rPr>
          <w:color w:val="231F20"/>
          <w:spacing w:val="-5"/>
          <w:sz w:val="20"/>
        </w:rPr>
        <w:t> </w:t>
      </w:r>
      <w:r>
        <w:rPr>
          <w:color w:val="231F20"/>
          <w:sz w:val="20"/>
        </w:rPr>
        <w:t>assets</w:t>
      </w:r>
      <w:r>
        <w:rPr>
          <w:color w:val="231F20"/>
          <w:spacing w:val="-5"/>
          <w:sz w:val="20"/>
        </w:rPr>
        <w:t> </w:t>
      </w:r>
      <w:r>
        <w:rPr>
          <w:color w:val="231F20"/>
          <w:sz w:val="20"/>
        </w:rPr>
        <w:t>or</w:t>
      </w:r>
      <w:r>
        <w:rPr>
          <w:color w:val="231F20"/>
          <w:spacing w:val="-4"/>
          <w:sz w:val="20"/>
        </w:rPr>
        <w:t> </w:t>
      </w:r>
      <w:r>
        <w:rPr>
          <w:color w:val="231F20"/>
          <w:sz w:val="20"/>
        </w:rPr>
        <w:t>liabilities</w:t>
      </w:r>
      <w:r>
        <w:rPr>
          <w:color w:val="231F20"/>
          <w:spacing w:val="-5"/>
          <w:sz w:val="20"/>
        </w:rPr>
        <w:t> </w:t>
      </w:r>
      <w:r>
        <w:rPr>
          <w:color w:val="231F20"/>
          <w:sz w:val="20"/>
        </w:rPr>
        <w:t>in</w:t>
      </w:r>
      <w:r>
        <w:rPr>
          <w:color w:val="231F20"/>
          <w:spacing w:val="-5"/>
          <w:sz w:val="20"/>
        </w:rPr>
        <w:t> </w:t>
      </w:r>
      <w:r>
        <w:rPr>
          <w:color w:val="231F20"/>
          <w:sz w:val="20"/>
        </w:rPr>
        <w:t>active</w:t>
      </w:r>
      <w:r>
        <w:rPr>
          <w:color w:val="231F20"/>
          <w:spacing w:val="-5"/>
          <w:sz w:val="20"/>
        </w:rPr>
        <w:t> </w:t>
      </w:r>
      <w:r>
        <w:rPr>
          <w:color w:val="231F20"/>
          <w:spacing w:val="-2"/>
          <w:sz w:val="20"/>
        </w:rPr>
        <w:t>markets;</w:t>
      </w:r>
    </w:p>
    <w:p>
      <w:pPr>
        <w:pStyle w:val="ListParagraph"/>
        <w:numPr>
          <w:ilvl w:val="0"/>
          <w:numId w:val="8"/>
        </w:numPr>
        <w:tabs>
          <w:tab w:pos="3149" w:val="left" w:leader="none"/>
          <w:tab w:pos="3151" w:val="left" w:leader="none"/>
        </w:tabs>
        <w:spacing w:line="240" w:lineRule="auto" w:before="32" w:after="0"/>
        <w:ind w:left="3150" w:right="0" w:hanging="362"/>
        <w:jc w:val="left"/>
        <w:rPr>
          <w:sz w:val="20"/>
        </w:rPr>
      </w:pPr>
      <w:r>
        <w:rPr>
          <w:color w:val="231F20"/>
          <w:sz w:val="20"/>
        </w:rPr>
        <w:t>quoted</w:t>
      </w:r>
      <w:r>
        <w:rPr>
          <w:color w:val="231F20"/>
          <w:spacing w:val="-6"/>
          <w:sz w:val="20"/>
        </w:rPr>
        <w:t> </w:t>
      </w:r>
      <w:r>
        <w:rPr>
          <w:color w:val="231F20"/>
          <w:sz w:val="20"/>
        </w:rPr>
        <w:t>prices</w:t>
      </w:r>
      <w:r>
        <w:rPr>
          <w:color w:val="231F20"/>
          <w:spacing w:val="-6"/>
          <w:sz w:val="20"/>
        </w:rPr>
        <w:t> </w:t>
      </w:r>
      <w:r>
        <w:rPr>
          <w:color w:val="231F20"/>
          <w:sz w:val="20"/>
        </w:rPr>
        <w:t>for</w:t>
      </w:r>
      <w:r>
        <w:rPr>
          <w:color w:val="231F20"/>
          <w:spacing w:val="-5"/>
          <w:sz w:val="20"/>
        </w:rPr>
        <w:t> </w:t>
      </w:r>
      <w:r>
        <w:rPr>
          <w:color w:val="231F20"/>
          <w:sz w:val="20"/>
        </w:rPr>
        <w:t>identical</w:t>
      </w:r>
      <w:r>
        <w:rPr>
          <w:color w:val="231F20"/>
          <w:spacing w:val="-7"/>
          <w:sz w:val="20"/>
        </w:rPr>
        <w:t> </w:t>
      </w:r>
      <w:r>
        <w:rPr>
          <w:color w:val="231F20"/>
          <w:sz w:val="20"/>
        </w:rPr>
        <w:t>or</w:t>
      </w:r>
      <w:r>
        <w:rPr>
          <w:color w:val="231F20"/>
          <w:spacing w:val="-6"/>
          <w:sz w:val="20"/>
        </w:rPr>
        <w:t> </w:t>
      </w:r>
      <w:r>
        <w:rPr>
          <w:color w:val="231F20"/>
          <w:sz w:val="20"/>
        </w:rPr>
        <w:t>similar</w:t>
      </w:r>
      <w:r>
        <w:rPr>
          <w:color w:val="231F20"/>
          <w:spacing w:val="-5"/>
          <w:sz w:val="20"/>
        </w:rPr>
        <w:t> </w:t>
      </w:r>
      <w:r>
        <w:rPr>
          <w:color w:val="231F20"/>
          <w:sz w:val="20"/>
        </w:rPr>
        <w:t>assets</w:t>
      </w:r>
      <w:r>
        <w:rPr>
          <w:color w:val="231F20"/>
          <w:spacing w:val="-6"/>
          <w:sz w:val="20"/>
        </w:rPr>
        <w:t> </w:t>
      </w:r>
      <w:r>
        <w:rPr>
          <w:color w:val="231F20"/>
          <w:sz w:val="20"/>
        </w:rPr>
        <w:t>or</w:t>
      </w:r>
      <w:r>
        <w:rPr>
          <w:color w:val="231F20"/>
          <w:spacing w:val="-6"/>
          <w:sz w:val="20"/>
        </w:rPr>
        <w:t> </w:t>
      </w:r>
      <w:r>
        <w:rPr>
          <w:color w:val="231F20"/>
          <w:sz w:val="20"/>
        </w:rPr>
        <w:t>liabilities</w:t>
      </w:r>
      <w:r>
        <w:rPr>
          <w:color w:val="231F20"/>
          <w:spacing w:val="-5"/>
          <w:sz w:val="20"/>
        </w:rPr>
        <w:t> </w:t>
      </w:r>
      <w:r>
        <w:rPr>
          <w:color w:val="231F20"/>
          <w:sz w:val="20"/>
        </w:rPr>
        <w:t>in</w:t>
      </w:r>
      <w:r>
        <w:rPr>
          <w:color w:val="231F20"/>
          <w:spacing w:val="-6"/>
          <w:sz w:val="20"/>
        </w:rPr>
        <w:t> </w:t>
      </w:r>
      <w:r>
        <w:rPr>
          <w:color w:val="231F20"/>
          <w:sz w:val="20"/>
        </w:rPr>
        <w:t>inactive</w:t>
      </w:r>
      <w:r>
        <w:rPr>
          <w:color w:val="231F20"/>
          <w:spacing w:val="-6"/>
          <w:sz w:val="20"/>
        </w:rPr>
        <w:t> </w:t>
      </w:r>
      <w:r>
        <w:rPr>
          <w:color w:val="231F20"/>
          <w:spacing w:val="-2"/>
          <w:sz w:val="20"/>
        </w:rPr>
        <w:t>markets;</w:t>
      </w:r>
    </w:p>
    <w:p>
      <w:pPr>
        <w:pStyle w:val="ListParagraph"/>
        <w:numPr>
          <w:ilvl w:val="0"/>
          <w:numId w:val="8"/>
        </w:numPr>
        <w:tabs>
          <w:tab w:pos="3149" w:val="left" w:leader="none"/>
          <w:tab w:pos="3151" w:val="left" w:leader="none"/>
        </w:tabs>
        <w:spacing w:line="240" w:lineRule="auto" w:before="34" w:after="0"/>
        <w:ind w:left="3150" w:right="0" w:hanging="362"/>
        <w:jc w:val="left"/>
        <w:rPr>
          <w:sz w:val="20"/>
        </w:rPr>
      </w:pPr>
      <w:r>
        <w:rPr>
          <w:color w:val="231F20"/>
          <w:sz w:val="20"/>
        </w:rPr>
        <w:t>inputs</w:t>
      </w:r>
      <w:r>
        <w:rPr>
          <w:color w:val="231F20"/>
          <w:spacing w:val="-7"/>
          <w:sz w:val="20"/>
        </w:rPr>
        <w:t> </w:t>
      </w:r>
      <w:r>
        <w:rPr>
          <w:color w:val="231F20"/>
          <w:sz w:val="20"/>
        </w:rPr>
        <w:t>other</w:t>
      </w:r>
      <w:r>
        <w:rPr>
          <w:color w:val="231F20"/>
          <w:spacing w:val="-4"/>
          <w:sz w:val="20"/>
        </w:rPr>
        <w:t> </w:t>
      </w:r>
      <w:r>
        <w:rPr>
          <w:color w:val="231F20"/>
          <w:sz w:val="20"/>
        </w:rPr>
        <w:t>than</w:t>
      </w:r>
      <w:r>
        <w:rPr>
          <w:color w:val="231F20"/>
          <w:spacing w:val="-4"/>
          <w:sz w:val="20"/>
        </w:rPr>
        <w:t> </w:t>
      </w:r>
      <w:r>
        <w:rPr>
          <w:color w:val="231F20"/>
          <w:sz w:val="20"/>
        </w:rPr>
        <w:t>quoted</w:t>
      </w:r>
      <w:r>
        <w:rPr>
          <w:color w:val="231F20"/>
          <w:spacing w:val="-4"/>
          <w:sz w:val="20"/>
        </w:rPr>
        <w:t> </w:t>
      </w:r>
      <w:r>
        <w:rPr>
          <w:color w:val="231F20"/>
          <w:sz w:val="20"/>
        </w:rPr>
        <w:t>prices</w:t>
      </w:r>
      <w:r>
        <w:rPr>
          <w:color w:val="231F20"/>
          <w:spacing w:val="-4"/>
          <w:sz w:val="20"/>
        </w:rPr>
        <w:t> </w:t>
      </w:r>
      <w:r>
        <w:rPr>
          <w:color w:val="231F20"/>
          <w:sz w:val="20"/>
        </w:rPr>
        <w:t>that</w:t>
      </w:r>
      <w:r>
        <w:rPr>
          <w:color w:val="231F20"/>
          <w:spacing w:val="-4"/>
          <w:sz w:val="20"/>
        </w:rPr>
        <w:t> </w:t>
      </w:r>
      <w:r>
        <w:rPr>
          <w:color w:val="231F20"/>
          <w:sz w:val="20"/>
        </w:rPr>
        <w:t>are</w:t>
      </w:r>
      <w:r>
        <w:rPr>
          <w:color w:val="231F20"/>
          <w:spacing w:val="-4"/>
          <w:sz w:val="20"/>
        </w:rPr>
        <w:t> </w:t>
      </w:r>
      <w:r>
        <w:rPr>
          <w:color w:val="231F20"/>
          <w:sz w:val="20"/>
        </w:rPr>
        <w:t>observable</w:t>
      </w:r>
      <w:r>
        <w:rPr>
          <w:color w:val="231F20"/>
          <w:spacing w:val="-5"/>
          <w:sz w:val="20"/>
        </w:rPr>
        <w:t> </w:t>
      </w:r>
      <w:r>
        <w:rPr>
          <w:color w:val="231F20"/>
          <w:sz w:val="20"/>
        </w:rPr>
        <w:t>for</w:t>
      </w:r>
      <w:r>
        <w:rPr>
          <w:color w:val="231F20"/>
          <w:spacing w:val="-4"/>
          <w:sz w:val="20"/>
        </w:rPr>
        <w:t> </w:t>
      </w:r>
      <w:r>
        <w:rPr>
          <w:color w:val="231F20"/>
          <w:sz w:val="20"/>
        </w:rPr>
        <w:t>the</w:t>
      </w:r>
      <w:r>
        <w:rPr>
          <w:color w:val="231F20"/>
          <w:spacing w:val="-4"/>
          <w:sz w:val="20"/>
        </w:rPr>
        <w:t> </w:t>
      </w:r>
      <w:r>
        <w:rPr>
          <w:color w:val="231F20"/>
          <w:sz w:val="20"/>
        </w:rPr>
        <w:t>asset</w:t>
      </w:r>
      <w:r>
        <w:rPr>
          <w:color w:val="231F20"/>
          <w:spacing w:val="-4"/>
          <w:sz w:val="20"/>
        </w:rPr>
        <w:t> </w:t>
      </w:r>
      <w:r>
        <w:rPr>
          <w:color w:val="231F20"/>
          <w:sz w:val="20"/>
        </w:rPr>
        <w:t>or</w:t>
      </w:r>
      <w:r>
        <w:rPr>
          <w:color w:val="231F20"/>
          <w:spacing w:val="-5"/>
          <w:sz w:val="20"/>
        </w:rPr>
        <w:t> </w:t>
      </w:r>
      <w:r>
        <w:rPr>
          <w:color w:val="231F20"/>
          <w:spacing w:val="-2"/>
          <w:sz w:val="20"/>
        </w:rPr>
        <w:t>liability;</w:t>
      </w:r>
    </w:p>
    <w:p>
      <w:pPr>
        <w:pStyle w:val="ListParagraph"/>
        <w:numPr>
          <w:ilvl w:val="0"/>
          <w:numId w:val="8"/>
        </w:numPr>
        <w:tabs>
          <w:tab w:pos="3149" w:val="left" w:leader="none"/>
          <w:tab w:pos="3151" w:val="left" w:leader="none"/>
        </w:tabs>
        <w:spacing w:line="271" w:lineRule="auto" w:before="33" w:after="0"/>
        <w:ind w:left="3150" w:right="1028" w:hanging="361"/>
        <w:jc w:val="left"/>
        <w:rPr>
          <w:sz w:val="20"/>
        </w:rPr>
      </w:pPr>
      <w:r>
        <w:rPr>
          <w:color w:val="231F20"/>
          <w:sz w:val="20"/>
        </w:rPr>
        <w:t>inputs</w:t>
      </w:r>
      <w:r>
        <w:rPr>
          <w:color w:val="231F20"/>
          <w:spacing w:val="-4"/>
          <w:sz w:val="20"/>
        </w:rPr>
        <w:t> </w:t>
      </w:r>
      <w:r>
        <w:rPr>
          <w:color w:val="231F20"/>
          <w:sz w:val="20"/>
        </w:rPr>
        <w:t>that</w:t>
      </w:r>
      <w:r>
        <w:rPr>
          <w:color w:val="231F20"/>
          <w:spacing w:val="-4"/>
          <w:sz w:val="20"/>
        </w:rPr>
        <w:t> </w:t>
      </w:r>
      <w:r>
        <w:rPr>
          <w:color w:val="231F20"/>
          <w:sz w:val="20"/>
        </w:rPr>
        <w:t>are</w:t>
      </w:r>
      <w:r>
        <w:rPr>
          <w:color w:val="231F20"/>
          <w:spacing w:val="-4"/>
          <w:sz w:val="20"/>
        </w:rPr>
        <w:t> </w:t>
      </w:r>
      <w:r>
        <w:rPr>
          <w:color w:val="231F20"/>
          <w:sz w:val="20"/>
        </w:rPr>
        <w:t>derived</w:t>
      </w:r>
      <w:r>
        <w:rPr>
          <w:color w:val="231F20"/>
          <w:spacing w:val="-4"/>
          <w:sz w:val="20"/>
        </w:rPr>
        <w:t> </w:t>
      </w:r>
      <w:r>
        <w:rPr>
          <w:color w:val="231F20"/>
          <w:sz w:val="20"/>
        </w:rPr>
        <w:t>principally</w:t>
      </w:r>
      <w:r>
        <w:rPr>
          <w:color w:val="231F20"/>
          <w:spacing w:val="-4"/>
          <w:sz w:val="20"/>
        </w:rPr>
        <w:t> </w:t>
      </w:r>
      <w:r>
        <w:rPr>
          <w:color w:val="231F20"/>
          <w:sz w:val="20"/>
        </w:rPr>
        <w:t>from</w:t>
      </w:r>
      <w:r>
        <w:rPr>
          <w:color w:val="231F20"/>
          <w:spacing w:val="-4"/>
          <w:sz w:val="20"/>
        </w:rPr>
        <w:t> </w:t>
      </w:r>
      <w:r>
        <w:rPr>
          <w:color w:val="231F20"/>
          <w:sz w:val="20"/>
        </w:rPr>
        <w:t>or</w:t>
      </w:r>
      <w:r>
        <w:rPr>
          <w:color w:val="231F20"/>
          <w:spacing w:val="-1"/>
          <w:sz w:val="20"/>
        </w:rPr>
        <w:t> </w:t>
      </w:r>
      <w:r>
        <w:rPr>
          <w:color w:val="231F20"/>
          <w:sz w:val="20"/>
        </w:rPr>
        <w:t>corroborated</w:t>
      </w:r>
      <w:r>
        <w:rPr>
          <w:color w:val="231F20"/>
          <w:spacing w:val="-4"/>
          <w:sz w:val="20"/>
        </w:rPr>
        <w:t> </w:t>
      </w:r>
      <w:r>
        <w:rPr>
          <w:color w:val="231F20"/>
          <w:sz w:val="20"/>
        </w:rPr>
        <w:t>by</w:t>
      </w:r>
      <w:r>
        <w:rPr>
          <w:color w:val="231F20"/>
          <w:spacing w:val="-4"/>
          <w:sz w:val="20"/>
        </w:rPr>
        <w:t> </w:t>
      </w:r>
      <w:r>
        <w:rPr>
          <w:color w:val="231F20"/>
          <w:sz w:val="20"/>
        </w:rPr>
        <w:t>observable</w:t>
      </w:r>
      <w:r>
        <w:rPr>
          <w:color w:val="231F20"/>
          <w:spacing w:val="-4"/>
          <w:sz w:val="20"/>
        </w:rPr>
        <w:t> </w:t>
      </w:r>
      <w:r>
        <w:rPr>
          <w:color w:val="231F20"/>
          <w:sz w:val="20"/>
        </w:rPr>
        <w:t>market</w:t>
      </w:r>
      <w:r>
        <w:rPr>
          <w:color w:val="231F20"/>
          <w:spacing w:val="-4"/>
          <w:sz w:val="20"/>
        </w:rPr>
        <w:t> </w:t>
      </w:r>
      <w:r>
        <w:rPr>
          <w:color w:val="231F20"/>
          <w:sz w:val="20"/>
        </w:rPr>
        <w:t>data</w:t>
      </w:r>
      <w:r>
        <w:rPr>
          <w:color w:val="231F20"/>
          <w:spacing w:val="-4"/>
          <w:sz w:val="20"/>
        </w:rPr>
        <w:t> </w:t>
      </w:r>
      <w:r>
        <w:rPr>
          <w:color w:val="231F20"/>
          <w:sz w:val="20"/>
        </w:rPr>
        <w:t>by correlation or other means.</w:t>
      </w:r>
    </w:p>
    <w:p>
      <w:pPr>
        <w:pStyle w:val="BodyText"/>
        <w:spacing w:before="4"/>
        <w:rPr>
          <w:sz w:val="23"/>
        </w:rPr>
      </w:pPr>
    </w:p>
    <w:p>
      <w:pPr>
        <w:pStyle w:val="BodyText"/>
        <w:spacing w:line="276" w:lineRule="auto"/>
        <w:ind w:left="2790" w:right="1505"/>
      </w:pPr>
      <w:r>
        <w:rPr>
          <w:color w:val="231F20"/>
        </w:rPr>
        <w:t>If</w:t>
      </w:r>
      <w:r>
        <w:rPr>
          <w:color w:val="231F20"/>
          <w:spacing w:val="-3"/>
        </w:rPr>
        <w:t> </w:t>
      </w:r>
      <w:r>
        <w:rPr>
          <w:color w:val="231F20"/>
        </w:rPr>
        <w:t>the</w:t>
      </w:r>
      <w:r>
        <w:rPr>
          <w:color w:val="231F20"/>
          <w:spacing w:val="-3"/>
        </w:rPr>
        <w:t> </w:t>
      </w:r>
      <w:r>
        <w:rPr>
          <w:color w:val="231F20"/>
        </w:rPr>
        <w:t>asset</w:t>
      </w:r>
      <w:r>
        <w:rPr>
          <w:color w:val="231F20"/>
          <w:spacing w:val="-3"/>
        </w:rPr>
        <w:t> </w:t>
      </w:r>
      <w:r>
        <w:rPr>
          <w:color w:val="231F20"/>
        </w:rPr>
        <w:t>or</w:t>
      </w:r>
      <w:r>
        <w:rPr>
          <w:color w:val="231F20"/>
          <w:spacing w:val="-3"/>
        </w:rPr>
        <w:t> </w:t>
      </w:r>
      <w:r>
        <w:rPr>
          <w:color w:val="231F20"/>
        </w:rPr>
        <w:t>liability</w:t>
      </w:r>
      <w:r>
        <w:rPr>
          <w:color w:val="231F20"/>
          <w:spacing w:val="-3"/>
        </w:rPr>
        <w:t> </w:t>
      </w:r>
      <w:r>
        <w:rPr>
          <w:color w:val="231F20"/>
        </w:rPr>
        <w:t>has</w:t>
      </w:r>
      <w:r>
        <w:rPr>
          <w:color w:val="231F20"/>
          <w:spacing w:val="-3"/>
        </w:rPr>
        <w:t> </w:t>
      </w:r>
      <w:r>
        <w:rPr>
          <w:color w:val="231F20"/>
        </w:rPr>
        <w:t>a</w:t>
      </w:r>
      <w:r>
        <w:rPr>
          <w:color w:val="231F20"/>
          <w:spacing w:val="-4"/>
        </w:rPr>
        <w:t> </w:t>
      </w:r>
      <w:r>
        <w:rPr>
          <w:color w:val="231F20"/>
        </w:rPr>
        <w:t>specified</w:t>
      </w:r>
      <w:r>
        <w:rPr>
          <w:color w:val="231F20"/>
          <w:spacing w:val="-3"/>
        </w:rPr>
        <w:t> </w:t>
      </w:r>
      <w:r>
        <w:rPr>
          <w:color w:val="231F20"/>
        </w:rPr>
        <w:t>(contractual)</w:t>
      </w:r>
      <w:r>
        <w:rPr>
          <w:color w:val="231F20"/>
          <w:spacing w:val="-3"/>
        </w:rPr>
        <w:t> </w:t>
      </w:r>
      <w:r>
        <w:rPr>
          <w:color w:val="231F20"/>
        </w:rPr>
        <w:t>term,</w:t>
      </w:r>
      <w:r>
        <w:rPr>
          <w:color w:val="231F20"/>
          <w:spacing w:val="-3"/>
        </w:rPr>
        <w:t> </w:t>
      </w:r>
      <w:r>
        <w:rPr>
          <w:color w:val="231F20"/>
        </w:rPr>
        <w:t>the</w:t>
      </w:r>
      <w:r>
        <w:rPr>
          <w:color w:val="231F20"/>
          <w:spacing w:val="-3"/>
        </w:rPr>
        <w:t> </w:t>
      </w:r>
      <w:r>
        <w:rPr>
          <w:color w:val="231F20"/>
        </w:rPr>
        <w:t>Level</w:t>
      </w:r>
      <w:r>
        <w:rPr>
          <w:color w:val="231F20"/>
          <w:spacing w:val="-4"/>
        </w:rPr>
        <w:t> </w:t>
      </w:r>
      <w:r>
        <w:rPr>
          <w:color w:val="231F20"/>
        </w:rPr>
        <w:t>2</w:t>
      </w:r>
      <w:r>
        <w:rPr>
          <w:color w:val="231F20"/>
          <w:spacing w:val="-3"/>
        </w:rPr>
        <w:t> </w:t>
      </w:r>
      <w:r>
        <w:rPr>
          <w:color w:val="231F20"/>
        </w:rPr>
        <w:t>input</w:t>
      </w:r>
      <w:r>
        <w:rPr>
          <w:color w:val="231F20"/>
          <w:spacing w:val="-3"/>
        </w:rPr>
        <w:t> </w:t>
      </w:r>
      <w:r>
        <w:rPr>
          <w:color w:val="231F20"/>
        </w:rPr>
        <w:t>must</w:t>
      </w:r>
      <w:r>
        <w:rPr>
          <w:color w:val="231F20"/>
          <w:spacing w:val="-4"/>
        </w:rPr>
        <w:t> </w:t>
      </w:r>
      <w:r>
        <w:rPr>
          <w:color w:val="231F20"/>
        </w:rPr>
        <w:t>be observable for substantially the full-term of the asset or liability.</w:t>
      </w:r>
    </w:p>
    <w:p>
      <w:pPr>
        <w:pStyle w:val="BodyText"/>
        <w:spacing w:before="11"/>
        <w:rPr>
          <w:sz w:val="22"/>
        </w:rPr>
      </w:pPr>
    </w:p>
    <w:p>
      <w:pPr>
        <w:pStyle w:val="BodyText"/>
        <w:spacing w:line="276" w:lineRule="auto"/>
        <w:ind w:left="1890" w:right="1048"/>
      </w:pPr>
      <w:r>
        <w:rPr>
          <w:b/>
          <w:color w:val="231F20"/>
        </w:rPr>
        <w:t>Level</w:t>
      </w:r>
      <w:r>
        <w:rPr>
          <w:b/>
          <w:color w:val="231F20"/>
          <w:spacing w:val="-3"/>
        </w:rPr>
        <w:t> </w:t>
      </w:r>
      <w:r>
        <w:rPr>
          <w:b/>
          <w:color w:val="231F20"/>
        </w:rPr>
        <w:t>3</w:t>
      </w:r>
      <w:r>
        <w:rPr>
          <w:b/>
          <w:color w:val="231F20"/>
          <w:spacing w:val="-2"/>
        </w:rPr>
        <w:t> </w:t>
      </w:r>
      <w:r>
        <w:rPr>
          <w:color w:val="231F20"/>
        </w:rPr>
        <w:t>–</w:t>
      </w:r>
      <w:r>
        <w:rPr>
          <w:color w:val="231F20"/>
          <w:spacing w:val="-3"/>
        </w:rPr>
        <w:t> </w:t>
      </w:r>
      <w:r>
        <w:rPr>
          <w:color w:val="231F20"/>
        </w:rPr>
        <w:t>Inputs</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valuation</w:t>
      </w:r>
      <w:r>
        <w:rPr>
          <w:color w:val="231F20"/>
          <w:spacing w:val="-3"/>
        </w:rPr>
        <w:t> </w:t>
      </w:r>
      <w:r>
        <w:rPr>
          <w:color w:val="231F20"/>
        </w:rPr>
        <w:t>methodology</w:t>
      </w:r>
      <w:r>
        <w:rPr>
          <w:color w:val="231F20"/>
          <w:spacing w:val="-3"/>
        </w:rPr>
        <w:t> </w:t>
      </w:r>
      <w:r>
        <w:rPr>
          <w:color w:val="231F20"/>
        </w:rPr>
        <w:t>are</w:t>
      </w:r>
      <w:r>
        <w:rPr>
          <w:color w:val="231F20"/>
          <w:spacing w:val="-3"/>
        </w:rPr>
        <w:t> </w:t>
      </w:r>
      <w:r>
        <w:rPr>
          <w:color w:val="231F20"/>
        </w:rPr>
        <w:t>unobservable</w:t>
      </w:r>
      <w:r>
        <w:rPr>
          <w:color w:val="231F20"/>
          <w:spacing w:val="-3"/>
        </w:rPr>
        <w:t> </w:t>
      </w:r>
      <w:r>
        <w:rPr>
          <w:color w:val="231F20"/>
        </w:rPr>
        <w:t>and</w:t>
      </w:r>
      <w:r>
        <w:rPr>
          <w:color w:val="231F20"/>
          <w:spacing w:val="-3"/>
        </w:rPr>
        <w:t> </w:t>
      </w:r>
      <w:r>
        <w:rPr>
          <w:color w:val="231F20"/>
        </w:rPr>
        <w:t>significant</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fair</w:t>
      </w:r>
      <w:r>
        <w:rPr>
          <w:color w:val="231F20"/>
          <w:spacing w:val="-3"/>
        </w:rPr>
        <w:t> </w:t>
      </w:r>
      <w:r>
        <w:rPr>
          <w:color w:val="231F20"/>
        </w:rPr>
        <w:t>value </w:t>
      </w:r>
      <w:r>
        <w:rPr>
          <w:color w:val="231F20"/>
          <w:spacing w:val="-2"/>
        </w:rPr>
        <w:t>measurement.</w:t>
      </w:r>
    </w:p>
    <w:p>
      <w:pPr>
        <w:pStyle w:val="BodyText"/>
      </w:pPr>
    </w:p>
    <w:p>
      <w:pPr>
        <w:pStyle w:val="BodyText"/>
        <w:spacing w:line="276" w:lineRule="auto" w:before="1"/>
        <w:ind w:left="1440" w:right="857" w:hanging="1"/>
      </w:pPr>
      <w:r>
        <w:rPr>
          <w:color w:val="231F20"/>
        </w:rPr>
        <w:t>The</w:t>
      </w:r>
      <w:r>
        <w:rPr>
          <w:color w:val="231F20"/>
          <w:spacing w:val="-3"/>
        </w:rPr>
        <w:t> </w:t>
      </w:r>
      <w:r>
        <w:rPr>
          <w:color w:val="231F20"/>
        </w:rPr>
        <w:t>asset's</w:t>
      </w:r>
      <w:r>
        <w:rPr>
          <w:color w:val="231F20"/>
          <w:spacing w:val="-3"/>
        </w:rPr>
        <w:t> </w:t>
      </w:r>
      <w:r>
        <w:rPr>
          <w:color w:val="231F20"/>
        </w:rPr>
        <w:t>or</w:t>
      </w:r>
      <w:r>
        <w:rPr>
          <w:color w:val="231F20"/>
          <w:spacing w:val="-3"/>
        </w:rPr>
        <w:t> </w:t>
      </w:r>
      <w:r>
        <w:rPr>
          <w:color w:val="231F20"/>
        </w:rPr>
        <w:t>liability’s</w:t>
      </w:r>
      <w:r>
        <w:rPr>
          <w:color w:val="231F20"/>
          <w:spacing w:val="-3"/>
        </w:rPr>
        <w:t> </w:t>
      </w:r>
      <w:r>
        <w:rPr>
          <w:color w:val="231F20"/>
        </w:rPr>
        <w:t>fair</w:t>
      </w:r>
      <w:r>
        <w:rPr>
          <w:color w:val="231F20"/>
          <w:spacing w:val="-3"/>
        </w:rPr>
        <w:t> </w:t>
      </w:r>
      <w:r>
        <w:rPr>
          <w:color w:val="231F20"/>
        </w:rPr>
        <w:t>value</w:t>
      </w:r>
      <w:r>
        <w:rPr>
          <w:color w:val="231F20"/>
          <w:spacing w:val="-3"/>
        </w:rPr>
        <w:t> </w:t>
      </w:r>
      <w:r>
        <w:rPr>
          <w:color w:val="231F20"/>
        </w:rPr>
        <w:t>measurement</w:t>
      </w:r>
      <w:r>
        <w:rPr>
          <w:color w:val="231F20"/>
          <w:spacing w:val="-3"/>
        </w:rPr>
        <w:t> </w:t>
      </w:r>
      <w:r>
        <w:rPr>
          <w:color w:val="231F20"/>
        </w:rPr>
        <w:t>level</w:t>
      </w:r>
      <w:r>
        <w:rPr>
          <w:color w:val="231F20"/>
          <w:spacing w:val="-4"/>
        </w:rPr>
        <w:t> </w:t>
      </w:r>
      <w:r>
        <w:rPr>
          <w:color w:val="231F20"/>
        </w:rPr>
        <w:t>within</w:t>
      </w:r>
      <w:r>
        <w:rPr>
          <w:color w:val="231F20"/>
          <w:spacing w:val="-3"/>
        </w:rPr>
        <w:t> </w:t>
      </w:r>
      <w:r>
        <w:rPr>
          <w:color w:val="231F20"/>
        </w:rPr>
        <w:t>the</w:t>
      </w:r>
      <w:r>
        <w:rPr>
          <w:color w:val="231F20"/>
          <w:spacing w:val="-3"/>
        </w:rPr>
        <w:t> </w:t>
      </w:r>
      <w:r>
        <w:rPr>
          <w:color w:val="231F20"/>
        </w:rPr>
        <w:t>fair</w:t>
      </w:r>
      <w:r>
        <w:rPr>
          <w:color w:val="231F20"/>
          <w:spacing w:val="-3"/>
        </w:rPr>
        <w:t> </w:t>
      </w:r>
      <w:r>
        <w:rPr>
          <w:color w:val="231F20"/>
        </w:rPr>
        <w:t>value</w:t>
      </w:r>
      <w:r>
        <w:rPr>
          <w:color w:val="231F20"/>
          <w:spacing w:val="-3"/>
        </w:rPr>
        <w:t> </w:t>
      </w:r>
      <w:r>
        <w:rPr>
          <w:color w:val="231F20"/>
        </w:rPr>
        <w:t>hierarchy</w:t>
      </w:r>
      <w:r>
        <w:rPr>
          <w:color w:val="231F20"/>
          <w:spacing w:val="-3"/>
        </w:rPr>
        <w:t> </w:t>
      </w:r>
      <w:r>
        <w:rPr>
          <w:color w:val="231F20"/>
        </w:rPr>
        <w:t>is</w:t>
      </w:r>
      <w:r>
        <w:rPr>
          <w:color w:val="231F20"/>
          <w:spacing w:val="-3"/>
        </w:rPr>
        <w:t> </w:t>
      </w:r>
      <w:r>
        <w:rPr>
          <w:color w:val="231F20"/>
        </w:rPr>
        <w:t>based</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lowest level of any input that is significant to the fair value measurement. Valuation techniques used need to maximize the use of observable inputs and minimize the use of unobservable inputs.</w:t>
      </w:r>
    </w:p>
    <w:p>
      <w:pPr>
        <w:pStyle w:val="BodyText"/>
        <w:spacing w:before="10"/>
        <w:rPr>
          <w:sz w:val="22"/>
        </w:rPr>
      </w:pPr>
    </w:p>
    <w:p>
      <w:pPr>
        <w:pStyle w:val="BodyText"/>
        <w:spacing w:line="276" w:lineRule="auto"/>
        <w:ind w:left="1440" w:right="1048"/>
      </w:pPr>
      <w:r>
        <w:rPr>
          <w:color w:val="231F20"/>
        </w:rPr>
        <w:t>Following</w:t>
      </w:r>
      <w:r>
        <w:rPr>
          <w:color w:val="231F20"/>
          <w:spacing w:val="-3"/>
        </w:rPr>
        <w:t> </w:t>
      </w:r>
      <w:r>
        <w:rPr>
          <w:color w:val="231F20"/>
        </w:rPr>
        <w:t>is</w:t>
      </w:r>
      <w:r>
        <w:rPr>
          <w:color w:val="231F20"/>
          <w:spacing w:val="-3"/>
        </w:rPr>
        <w:t> </w:t>
      </w:r>
      <w:r>
        <w:rPr>
          <w:color w:val="231F20"/>
        </w:rPr>
        <w:t>a</w:t>
      </w:r>
      <w:r>
        <w:rPr>
          <w:color w:val="231F20"/>
          <w:spacing w:val="-4"/>
        </w:rPr>
        <w:t> </w:t>
      </w:r>
      <w:r>
        <w:rPr>
          <w:color w:val="231F20"/>
        </w:rPr>
        <w:t>description</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valuation</w:t>
      </w:r>
      <w:r>
        <w:rPr>
          <w:color w:val="231F20"/>
          <w:spacing w:val="-3"/>
        </w:rPr>
        <w:t> </w:t>
      </w:r>
      <w:r>
        <w:rPr>
          <w:color w:val="231F20"/>
        </w:rPr>
        <w:t>methodologies</w:t>
      </w:r>
      <w:r>
        <w:rPr>
          <w:color w:val="231F20"/>
          <w:spacing w:val="-3"/>
        </w:rPr>
        <w:t> </w:t>
      </w:r>
      <w:r>
        <w:rPr>
          <w:color w:val="231F20"/>
        </w:rPr>
        <w:t>used</w:t>
      </w:r>
      <w:r>
        <w:rPr>
          <w:color w:val="231F20"/>
          <w:spacing w:val="-3"/>
        </w:rPr>
        <w:t> </w:t>
      </w:r>
      <w:r>
        <w:rPr>
          <w:color w:val="231F20"/>
        </w:rPr>
        <w:t>for</w:t>
      </w:r>
      <w:r>
        <w:rPr>
          <w:color w:val="231F20"/>
          <w:spacing w:val="-3"/>
        </w:rPr>
        <w:t> </w:t>
      </w:r>
      <w:r>
        <w:rPr>
          <w:color w:val="231F20"/>
        </w:rPr>
        <w:t>assets</w:t>
      </w:r>
      <w:r>
        <w:rPr>
          <w:color w:val="231F20"/>
          <w:spacing w:val="-3"/>
        </w:rPr>
        <w:t> </w:t>
      </w:r>
      <w:r>
        <w:rPr>
          <w:color w:val="231F20"/>
        </w:rPr>
        <w:t>and</w:t>
      </w:r>
      <w:r>
        <w:rPr>
          <w:color w:val="231F20"/>
          <w:spacing w:val="-3"/>
        </w:rPr>
        <w:t> </w:t>
      </w:r>
      <w:r>
        <w:rPr>
          <w:color w:val="231F20"/>
        </w:rPr>
        <w:t>liabilities</w:t>
      </w:r>
      <w:r>
        <w:rPr>
          <w:color w:val="231F20"/>
          <w:spacing w:val="-3"/>
        </w:rPr>
        <w:t> </w:t>
      </w:r>
      <w:r>
        <w:rPr>
          <w:color w:val="231F20"/>
        </w:rPr>
        <w:t>measured</w:t>
      </w:r>
      <w:r>
        <w:rPr>
          <w:color w:val="231F20"/>
          <w:spacing w:val="-3"/>
        </w:rPr>
        <w:t> </w:t>
      </w:r>
      <w:r>
        <w:rPr>
          <w:color w:val="231F20"/>
        </w:rPr>
        <w:t>at</w:t>
      </w:r>
      <w:r>
        <w:rPr>
          <w:color w:val="231F20"/>
          <w:spacing w:val="-3"/>
        </w:rPr>
        <w:t> </w:t>
      </w:r>
      <w:r>
        <w:rPr>
          <w:color w:val="231F20"/>
        </w:rPr>
        <w:t>fair value. There have been no changes in the methodologies used at June 30, 2022.</w:t>
      </w:r>
    </w:p>
    <w:p>
      <w:pPr>
        <w:pStyle w:val="BodyText"/>
        <w:spacing w:before="1"/>
        <w:rPr>
          <w:sz w:val="23"/>
        </w:rPr>
      </w:pPr>
    </w:p>
    <w:p>
      <w:pPr>
        <w:pStyle w:val="BodyText"/>
        <w:spacing w:line="276" w:lineRule="auto"/>
        <w:ind w:left="1440" w:right="891"/>
      </w:pPr>
      <w:r>
        <w:rPr>
          <w:color w:val="231F20"/>
        </w:rPr>
        <w:t>The</w:t>
      </w:r>
      <w:r>
        <w:rPr>
          <w:color w:val="231F20"/>
          <w:spacing w:val="-3"/>
        </w:rPr>
        <w:t> </w:t>
      </w:r>
      <w:r>
        <w:rPr>
          <w:color w:val="231F20"/>
        </w:rPr>
        <w:t>investment</w:t>
      </w:r>
      <w:r>
        <w:rPr>
          <w:color w:val="231F20"/>
          <w:spacing w:val="-3"/>
        </w:rPr>
        <w:t> </w:t>
      </w:r>
      <w:r>
        <w:rPr>
          <w:color w:val="231F20"/>
        </w:rPr>
        <w:t>portfolio</w:t>
      </w:r>
      <w:r>
        <w:rPr>
          <w:color w:val="231F20"/>
          <w:spacing w:val="-3"/>
        </w:rPr>
        <w:t> </w:t>
      </w:r>
      <w:r>
        <w:rPr>
          <w:color w:val="231F20"/>
        </w:rPr>
        <w:t>is</w:t>
      </w:r>
      <w:r>
        <w:rPr>
          <w:color w:val="231F20"/>
          <w:spacing w:val="-4"/>
        </w:rPr>
        <w:t> </w:t>
      </w:r>
      <w:r>
        <w:rPr>
          <w:color w:val="231F20"/>
        </w:rPr>
        <w:t>comprised</w:t>
      </w:r>
      <w:r>
        <w:rPr>
          <w:color w:val="231F20"/>
          <w:spacing w:val="-3"/>
        </w:rPr>
        <w:t> </w:t>
      </w:r>
      <w:r>
        <w:rPr>
          <w:color w:val="231F20"/>
        </w:rPr>
        <w:t>of</w:t>
      </w:r>
      <w:r>
        <w:rPr>
          <w:color w:val="231F20"/>
          <w:spacing w:val="-4"/>
        </w:rPr>
        <w:t> </w:t>
      </w:r>
      <w:r>
        <w:rPr>
          <w:color w:val="231F20"/>
        </w:rPr>
        <w:t>equity</w:t>
      </w:r>
      <w:r>
        <w:rPr>
          <w:color w:val="231F20"/>
          <w:spacing w:val="-4"/>
        </w:rPr>
        <w:t> </w:t>
      </w:r>
      <w:r>
        <w:rPr>
          <w:color w:val="231F20"/>
        </w:rPr>
        <w:t>securities</w:t>
      </w:r>
      <w:r>
        <w:rPr>
          <w:color w:val="231F20"/>
          <w:spacing w:val="-3"/>
        </w:rPr>
        <w:t> </w:t>
      </w:r>
      <w:r>
        <w:rPr>
          <w:color w:val="231F20"/>
        </w:rPr>
        <w:t>(common</w:t>
      </w:r>
      <w:r>
        <w:rPr>
          <w:color w:val="231F20"/>
          <w:spacing w:val="-4"/>
        </w:rPr>
        <w:t> </w:t>
      </w:r>
      <w:r>
        <w:rPr>
          <w:color w:val="231F20"/>
        </w:rPr>
        <w:t>stock),</w:t>
      </w:r>
      <w:r>
        <w:rPr>
          <w:color w:val="231F20"/>
          <w:spacing w:val="-3"/>
        </w:rPr>
        <w:t> </w:t>
      </w:r>
      <w:r>
        <w:rPr>
          <w:color w:val="231F20"/>
        </w:rPr>
        <w:t>mutual</w:t>
      </w:r>
      <w:r>
        <w:rPr>
          <w:color w:val="231F20"/>
          <w:spacing w:val="-3"/>
        </w:rPr>
        <w:t> </w:t>
      </w:r>
      <w:r>
        <w:rPr>
          <w:color w:val="231F20"/>
        </w:rPr>
        <w:t>funds,</w:t>
      </w:r>
      <w:r>
        <w:rPr>
          <w:color w:val="231F20"/>
          <w:spacing w:val="-3"/>
        </w:rPr>
        <w:t> </w:t>
      </w:r>
      <w:r>
        <w:rPr>
          <w:color w:val="231F20"/>
        </w:rPr>
        <w:t>debt</w:t>
      </w:r>
      <w:r>
        <w:rPr>
          <w:color w:val="231F20"/>
          <w:spacing w:val="-4"/>
        </w:rPr>
        <w:t> </w:t>
      </w:r>
      <w:r>
        <w:rPr>
          <w:color w:val="231F20"/>
        </w:rPr>
        <w:t>securities, and pooled investments and is recorded in the financial statements at fair value. The corresponding unrealized gain or loss in the fair value in relation to cost is accounted for as investment income in the statement of revenues, expenses, and changes in net position.</w:t>
      </w:r>
    </w:p>
    <w:p>
      <w:pPr>
        <w:pStyle w:val="BodyText"/>
        <w:spacing w:before="11"/>
        <w:rPr>
          <w:sz w:val="22"/>
        </w:rPr>
      </w:pPr>
    </w:p>
    <w:p>
      <w:pPr>
        <w:pStyle w:val="BodyText"/>
        <w:spacing w:line="276" w:lineRule="auto"/>
        <w:ind w:left="1440" w:right="891"/>
      </w:pPr>
      <w:r>
        <w:rPr>
          <w:color w:val="231F20"/>
        </w:rPr>
        <w:t>During 2021, the Institute used quoted market prices in an active market to determine the fair value of debt</w:t>
      </w:r>
      <w:r>
        <w:rPr>
          <w:color w:val="231F20"/>
          <w:spacing w:val="-3"/>
        </w:rPr>
        <w:t> </w:t>
      </w:r>
      <w:r>
        <w:rPr>
          <w:color w:val="231F20"/>
        </w:rPr>
        <w:t>and</w:t>
      </w:r>
      <w:r>
        <w:rPr>
          <w:color w:val="231F20"/>
          <w:spacing w:val="-3"/>
        </w:rPr>
        <w:t> </w:t>
      </w:r>
      <w:r>
        <w:rPr>
          <w:color w:val="231F20"/>
        </w:rPr>
        <w:t>equity</w:t>
      </w:r>
      <w:r>
        <w:rPr>
          <w:color w:val="231F20"/>
          <w:spacing w:val="-3"/>
        </w:rPr>
        <w:t> </w:t>
      </w:r>
      <w:r>
        <w:rPr>
          <w:color w:val="231F20"/>
        </w:rPr>
        <w:t>securities</w:t>
      </w:r>
      <w:r>
        <w:rPr>
          <w:color w:val="231F20"/>
          <w:spacing w:val="-3"/>
        </w:rPr>
        <w:t> </w:t>
      </w:r>
      <w:r>
        <w:rPr>
          <w:color w:val="231F20"/>
        </w:rPr>
        <w:t>and</w:t>
      </w:r>
      <w:r>
        <w:rPr>
          <w:color w:val="231F20"/>
          <w:spacing w:val="-3"/>
        </w:rPr>
        <w:t> </w:t>
      </w:r>
      <w:r>
        <w:rPr>
          <w:color w:val="231F20"/>
        </w:rPr>
        <w:t>mutual</w:t>
      </w:r>
      <w:r>
        <w:rPr>
          <w:color w:val="231F20"/>
          <w:spacing w:val="-3"/>
        </w:rPr>
        <w:t> </w:t>
      </w:r>
      <w:r>
        <w:rPr>
          <w:color w:val="231F20"/>
        </w:rPr>
        <w:t>funds.</w:t>
      </w:r>
      <w:r>
        <w:rPr>
          <w:color w:val="231F20"/>
          <w:spacing w:val="-3"/>
        </w:rPr>
        <w:t> </w:t>
      </w:r>
      <w:r>
        <w:rPr>
          <w:color w:val="231F20"/>
        </w:rPr>
        <w:t>These</w:t>
      </w:r>
      <w:r>
        <w:rPr>
          <w:color w:val="231F20"/>
          <w:spacing w:val="-3"/>
        </w:rPr>
        <w:t> </w:t>
      </w:r>
      <w:r>
        <w:rPr>
          <w:color w:val="231F20"/>
        </w:rPr>
        <w:t>measurements</w:t>
      </w:r>
      <w:r>
        <w:rPr>
          <w:color w:val="231F20"/>
          <w:spacing w:val="-3"/>
        </w:rPr>
        <w:t> </w:t>
      </w:r>
      <w:r>
        <w:rPr>
          <w:color w:val="231F20"/>
        </w:rPr>
        <w:t>are</w:t>
      </w:r>
      <w:r>
        <w:rPr>
          <w:color w:val="231F20"/>
          <w:spacing w:val="-3"/>
        </w:rPr>
        <w:t> </w:t>
      </w:r>
      <w:r>
        <w:rPr>
          <w:color w:val="231F20"/>
        </w:rPr>
        <w:t>classified</w:t>
      </w:r>
      <w:r>
        <w:rPr>
          <w:color w:val="231F20"/>
          <w:spacing w:val="-4"/>
        </w:rPr>
        <w:t> </w:t>
      </w:r>
      <w:r>
        <w:rPr>
          <w:color w:val="231F20"/>
        </w:rPr>
        <w:t>within</w:t>
      </w:r>
      <w:r>
        <w:rPr>
          <w:color w:val="231F20"/>
          <w:spacing w:val="-3"/>
        </w:rPr>
        <w:t> </w:t>
      </w:r>
      <w:r>
        <w:rPr>
          <w:color w:val="231F20"/>
        </w:rPr>
        <w:t>Level</w:t>
      </w:r>
      <w:r>
        <w:rPr>
          <w:color w:val="231F20"/>
          <w:spacing w:val="-3"/>
        </w:rPr>
        <w:t> </w:t>
      </w:r>
      <w:r>
        <w:rPr>
          <w:color w:val="231F20"/>
        </w:rPr>
        <w:t>1</w:t>
      </w:r>
      <w:r>
        <w:rPr>
          <w:color w:val="231F20"/>
          <w:spacing w:val="-4"/>
        </w:rPr>
        <w:t> </w:t>
      </w:r>
      <w:r>
        <w:rPr>
          <w:color w:val="231F20"/>
        </w:rPr>
        <w:t>of</w:t>
      </w:r>
      <w:r>
        <w:rPr>
          <w:color w:val="231F20"/>
          <w:spacing w:val="-3"/>
        </w:rPr>
        <w:t> </w:t>
      </w:r>
      <w:r>
        <w:rPr>
          <w:color w:val="231F20"/>
        </w:rPr>
        <w:t>the</w:t>
      </w:r>
      <w:r>
        <w:rPr>
          <w:color w:val="231F20"/>
          <w:spacing w:val="-3"/>
        </w:rPr>
        <w:t> </w:t>
      </w:r>
      <w:r>
        <w:rPr>
          <w:color w:val="231F20"/>
        </w:rPr>
        <w:t>fair value hierarchy. The Institute uses the classifications of investment pools provided by the SIC. These measurements are classified within levels of the fair value hierarchy as follows:</w:t>
      </w:r>
    </w:p>
    <w:p>
      <w:pPr>
        <w:pStyle w:val="BodyText"/>
        <w:rPr>
          <w:sz w:val="23"/>
        </w:rPr>
      </w:pPr>
    </w:p>
    <w:p>
      <w:pPr>
        <w:pStyle w:val="ListParagraph"/>
        <w:numPr>
          <w:ilvl w:val="0"/>
          <w:numId w:val="9"/>
        </w:numPr>
        <w:tabs>
          <w:tab w:pos="1801" w:val="left" w:leader="none"/>
          <w:tab w:pos="1802" w:val="left" w:leader="none"/>
        </w:tabs>
        <w:spacing w:line="240" w:lineRule="auto" w:before="0" w:after="0"/>
        <w:ind w:left="1801" w:right="0" w:hanging="362"/>
        <w:jc w:val="left"/>
        <w:rPr>
          <w:sz w:val="20"/>
        </w:rPr>
      </w:pPr>
      <w:r>
        <w:rPr>
          <w:color w:val="231F20"/>
          <w:sz w:val="20"/>
        </w:rPr>
        <w:t>Investments</w:t>
      </w:r>
      <w:r>
        <w:rPr>
          <w:color w:val="231F20"/>
          <w:spacing w:val="-3"/>
          <w:sz w:val="20"/>
        </w:rPr>
        <w:t> </w:t>
      </w:r>
      <w:r>
        <w:rPr>
          <w:color w:val="231F20"/>
          <w:sz w:val="20"/>
        </w:rPr>
        <w:t>in</w:t>
      </w:r>
      <w:r>
        <w:rPr>
          <w:color w:val="231F20"/>
          <w:spacing w:val="-3"/>
          <w:sz w:val="20"/>
        </w:rPr>
        <w:t> </w:t>
      </w:r>
      <w:r>
        <w:rPr>
          <w:color w:val="231F20"/>
          <w:sz w:val="20"/>
        </w:rPr>
        <w:t>the</w:t>
      </w:r>
      <w:r>
        <w:rPr>
          <w:color w:val="231F20"/>
          <w:spacing w:val="-4"/>
          <w:sz w:val="20"/>
        </w:rPr>
        <w:t> </w:t>
      </w:r>
      <w:r>
        <w:rPr>
          <w:color w:val="231F20"/>
          <w:sz w:val="20"/>
        </w:rPr>
        <w:t>Large</w:t>
      </w:r>
      <w:r>
        <w:rPr>
          <w:color w:val="231F20"/>
          <w:spacing w:val="-3"/>
          <w:sz w:val="20"/>
        </w:rPr>
        <w:t> </w:t>
      </w:r>
      <w:r>
        <w:rPr>
          <w:color w:val="231F20"/>
          <w:sz w:val="20"/>
        </w:rPr>
        <w:t>Cap</w:t>
      </w:r>
      <w:r>
        <w:rPr>
          <w:color w:val="231F20"/>
          <w:spacing w:val="-3"/>
          <w:sz w:val="20"/>
        </w:rPr>
        <w:t> </w:t>
      </w:r>
      <w:r>
        <w:rPr>
          <w:color w:val="231F20"/>
          <w:sz w:val="20"/>
        </w:rPr>
        <w:t>Index</w:t>
      </w:r>
      <w:r>
        <w:rPr>
          <w:color w:val="231F20"/>
          <w:spacing w:val="-3"/>
          <w:sz w:val="20"/>
        </w:rPr>
        <w:t> </w:t>
      </w:r>
      <w:r>
        <w:rPr>
          <w:color w:val="231F20"/>
          <w:sz w:val="20"/>
        </w:rPr>
        <w:t>Pool</w:t>
      </w:r>
      <w:r>
        <w:rPr>
          <w:color w:val="231F20"/>
          <w:spacing w:val="-3"/>
          <w:sz w:val="20"/>
        </w:rPr>
        <w:t> </w:t>
      </w:r>
      <w:r>
        <w:rPr>
          <w:color w:val="231F20"/>
          <w:sz w:val="20"/>
        </w:rPr>
        <w:t>–</w:t>
      </w:r>
      <w:r>
        <w:rPr>
          <w:color w:val="231F20"/>
          <w:spacing w:val="-3"/>
          <w:sz w:val="20"/>
        </w:rPr>
        <w:t> </w:t>
      </w:r>
      <w:r>
        <w:rPr>
          <w:color w:val="231F20"/>
          <w:sz w:val="20"/>
        </w:rPr>
        <w:t>Level</w:t>
      </w:r>
      <w:r>
        <w:rPr>
          <w:color w:val="231F20"/>
          <w:spacing w:val="-3"/>
          <w:sz w:val="20"/>
        </w:rPr>
        <w:t> </w:t>
      </w:r>
      <w:r>
        <w:rPr>
          <w:color w:val="231F20"/>
          <w:spacing w:val="-10"/>
          <w:sz w:val="20"/>
        </w:rPr>
        <w:t>1</w:t>
      </w:r>
    </w:p>
    <w:p>
      <w:pPr>
        <w:pStyle w:val="ListParagraph"/>
        <w:numPr>
          <w:ilvl w:val="0"/>
          <w:numId w:val="9"/>
        </w:numPr>
        <w:tabs>
          <w:tab w:pos="1800" w:val="left" w:leader="none"/>
          <w:tab w:pos="1802" w:val="left" w:leader="none"/>
        </w:tabs>
        <w:spacing w:line="240" w:lineRule="auto" w:before="34" w:after="0"/>
        <w:ind w:left="1801" w:right="0" w:hanging="362"/>
        <w:jc w:val="left"/>
        <w:rPr>
          <w:sz w:val="20"/>
        </w:rPr>
      </w:pPr>
      <w:r>
        <w:rPr>
          <w:color w:val="231F20"/>
          <w:sz w:val="20"/>
        </w:rPr>
        <w:t>Investments</w:t>
      </w:r>
      <w:r>
        <w:rPr>
          <w:color w:val="231F20"/>
          <w:spacing w:val="-6"/>
          <w:sz w:val="20"/>
        </w:rPr>
        <w:t> </w:t>
      </w:r>
      <w:r>
        <w:rPr>
          <w:color w:val="231F20"/>
          <w:sz w:val="20"/>
        </w:rPr>
        <w:t>in</w:t>
      </w:r>
      <w:r>
        <w:rPr>
          <w:color w:val="231F20"/>
          <w:spacing w:val="-5"/>
          <w:sz w:val="20"/>
        </w:rPr>
        <w:t> </w:t>
      </w:r>
      <w:r>
        <w:rPr>
          <w:color w:val="231F20"/>
          <w:sz w:val="20"/>
        </w:rPr>
        <w:t>Small/Mid</w:t>
      </w:r>
      <w:r>
        <w:rPr>
          <w:color w:val="231F20"/>
          <w:spacing w:val="-5"/>
          <w:sz w:val="20"/>
        </w:rPr>
        <w:t> </w:t>
      </w:r>
      <w:r>
        <w:rPr>
          <w:color w:val="231F20"/>
          <w:sz w:val="20"/>
        </w:rPr>
        <w:t>Cap</w:t>
      </w:r>
      <w:r>
        <w:rPr>
          <w:color w:val="231F20"/>
          <w:spacing w:val="-5"/>
          <w:sz w:val="20"/>
        </w:rPr>
        <w:t> </w:t>
      </w:r>
      <w:r>
        <w:rPr>
          <w:color w:val="231F20"/>
          <w:sz w:val="20"/>
        </w:rPr>
        <w:t>Active</w:t>
      </w:r>
      <w:r>
        <w:rPr>
          <w:color w:val="231F20"/>
          <w:spacing w:val="-6"/>
          <w:sz w:val="20"/>
        </w:rPr>
        <w:t> </w:t>
      </w:r>
      <w:r>
        <w:rPr>
          <w:color w:val="231F20"/>
          <w:sz w:val="20"/>
        </w:rPr>
        <w:t>Pool</w:t>
      </w:r>
      <w:r>
        <w:rPr>
          <w:color w:val="231F20"/>
          <w:spacing w:val="-5"/>
          <w:sz w:val="20"/>
        </w:rPr>
        <w:t> </w:t>
      </w:r>
      <w:r>
        <w:rPr>
          <w:color w:val="231F20"/>
          <w:sz w:val="20"/>
        </w:rPr>
        <w:t>–</w:t>
      </w:r>
      <w:r>
        <w:rPr>
          <w:color w:val="231F20"/>
          <w:spacing w:val="-5"/>
          <w:sz w:val="20"/>
        </w:rPr>
        <w:t> </w:t>
      </w:r>
      <w:r>
        <w:rPr>
          <w:color w:val="231F20"/>
          <w:sz w:val="20"/>
        </w:rPr>
        <w:t>Level</w:t>
      </w:r>
      <w:r>
        <w:rPr>
          <w:color w:val="231F20"/>
          <w:spacing w:val="-5"/>
          <w:sz w:val="20"/>
        </w:rPr>
        <w:t> </w:t>
      </w:r>
      <w:r>
        <w:rPr>
          <w:color w:val="231F20"/>
          <w:spacing w:val="-10"/>
          <w:sz w:val="20"/>
        </w:rPr>
        <w:t>1</w:t>
      </w:r>
    </w:p>
    <w:p>
      <w:pPr>
        <w:pStyle w:val="ListParagraph"/>
        <w:numPr>
          <w:ilvl w:val="0"/>
          <w:numId w:val="9"/>
        </w:numPr>
        <w:tabs>
          <w:tab w:pos="1801" w:val="left" w:leader="none"/>
          <w:tab w:pos="1802" w:val="left" w:leader="none"/>
        </w:tabs>
        <w:spacing w:line="240" w:lineRule="auto" w:before="34" w:after="0"/>
        <w:ind w:left="1801" w:right="0" w:hanging="362"/>
        <w:jc w:val="left"/>
        <w:rPr>
          <w:sz w:val="20"/>
        </w:rPr>
      </w:pPr>
      <w:r>
        <w:rPr>
          <w:color w:val="231F20"/>
          <w:sz w:val="20"/>
        </w:rPr>
        <w:t>Investments</w:t>
      </w:r>
      <w:r>
        <w:rPr>
          <w:color w:val="231F20"/>
          <w:spacing w:val="-6"/>
          <w:sz w:val="20"/>
        </w:rPr>
        <w:t> </w:t>
      </w:r>
      <w:r>
        <w:rPr>
          <w:color w:val="231F20"/>
          <w:sz w:val="20"/>
        </w:rPr>
        <w:t>in</w:t>
      </w:r>
      <w:r>
        <w:rPr>
          <w:color w:val="231F20"/>
          <w:spacing w:val="-4"/>
          <w:sz w:val="20"/>
        </w:rPr>
        <w:t> </w:t>
      </w:r>
      <w:r>
        <w:rPr>
          <w:color w:val="231F20"/>
          <w:sz w:val="20"/>
        </w:rPr>
        <w:t>Non-US</w:t>
      </w:r>
      <w:r>
        <w:rPr>
          <w:color w:val="231F20"/>
          <w:spacing w:val="-4"/>
          <w:sz w:val="20"/>
        </w:rPr>
        <w:t> </w:t>
      </w:r>
      <w:r>
        <w:rPr>
          <w:color w:val="231F20"/>
          <w:sz w:val="20"/>
        </w:rPr>
        <w:t>Developed</w:t>
      </w:r>
      <w:r>
        <w:rPr>
          <w:color w:val="231F20"/>
          <w:spacing w:val="-4"/>
          <w:sz w:val="20"/>
        </w:rPr>
        <w:t> </w:t>
      </w:r>
      <w:r>
        <w:rPr>
          <w:color w:val="231F20"/>
          <w:sz w:val="20"/>
        </w:rPr>
        <w:t>Markets</w:t>
      </w:r>
      <w:r>
        <w:rPr>
          <w:color w:val="231F20"/>
          <w:spacing w:val="-3"/>
          <w:sz w:val="20"/>
        </w:rPr>
        <w:t> </w:t>
      </w:r>
      <w:r>
        <w:rPr>
          <w:color w:val="231F20"/>
          <w:sz w:val="20"/>
        </w:rPr>
        <w:t>Index</w:t>
      </w:r>
      <w:r>
        <w:rPr>
          <w:color w:val="231F20"/>
          <w:spacing w:val="-4"/>
          <w:sz w:val="20"/>
        </w:rPr>
        <w:t> </w:t>
      </w:r>
      <w:r>
        <w:rPr>
          <w:color w:val="231F20"/>
          <w:sz w:val="20"/>
        </w:rPr>
        <w:t>Pool</w:t>
      </w:r>
      <w:r>
        <w:rPr>
          <w:color w:val="231F20"/>
          <w:spacing w:val="-3"/>
          <w:sz w:val="20"/>
        </w:rPr>
        <w:t> </w:t>
      </w:r>
      <w:r>
        <w:rPr>
          <w:color w:val="231F20"/>
          <w:sz w:val="20"/>
        </w:rPr>
        <w:t>–</w:t>
      </w:r>
      <w:r>
        <w:rPr>
          <w:color w:val="231F20"/>
          <w:spacing w:val="-4"/>
          <w:sz w:val="20"/>
        </w:rPr>
        <w:t> </w:t>
      </w:r>
      <w:r>
        <w:rPr>
          <w:color w:val="231F20"/>
          <w:sz w:val="20"/>
        </w:rPr>
        <w:t>Level</w:t>
      </w:r>
      <w:r>
        <w:rPr>
          <w:color w:val="231F20"/>
          <w:spacing w:val="-3"/>
          <w:sz w:val="20"/>
        </w:rPr>
        <w:t> </w:t>
      </w:r>
      <w:r>
        <w:rPr>
          <w:color w:val="231F20"/>
          <w:spacing w:val="-10"/>
          <w:sz w:val="20"/>
        </w:rPr>
        <w:t>1</w:t>
      </w:r>
    </w:p>
    <w:p>
      <w:pPr>
        <w:pStyle w:val="ListParagraph"/>
        <w:numPr>
          <w:ilvl w:val="0"/>
          <w:numId w:val="9"/>
        </w:numPr>
        <w:tabs>
          <w:tab w:pos="1801" w:val="left" w:leader="none"/>
          <w:tab w:pos="1802" w:val="left" w:leader="none"/>
        </w:tabs>
        <w:spacing w:line="240" w:lineRule="auto" w:before="35" w:after="0"/>
        <w:ind w:left="1801" w:right="0" w:hanging="362"/>
        <w:jc w:val="left"/>
        <w:rPr>
          <w:sz w:val="20"/>
        </w:rPr>
      </w:pPr>
      <w:r>
        <w:rPr>
          <w:color w:val="231F20"/>
          <w:sz w:val="20"/>
        </w:rPr>
        <w:t>Investments</w:t>
      </w:r>
      <w:r>
        <w:rPr>
          <w:color w:val="231F20"/>
          <w:spacing w:val="-6"/>
          <w:sz w:val="20"/>
        </w:rPr>
        <w:t> </w:t>
      </w:r>
      <w:r>
        <w:rPr>
          <w:color w:val="231F20"/>
          <w:sz w:val="20"/>
        </w:rPr>
        <w:t>in</w:t>
      </w:r>
      <w:r>
        <w:rPr>
          <w:color w:val="231F20"/>
          <w:spacing w:val="-4"/>
          <w:sz w:val="20"/>
        </w:rPr>
        <w:t> </w:t>
      </w:r>
      <w:r>
        <w:rPr>
          <w:color w:val="231F20"/>
          <w:sz w:val="20"/>
        </w:rPr>
        <w:t>Non-US</w:t>
      </w:r>
      <w:r>
        <w:rPr>
          <w:color w:val="231F20"/>
          <w:spacing w:val="-3"/>
          <w:sz w:val="20"/>
        </w:rPr>
        <w:t> </w:t>
      </w:r>
      <w:r>
        <w:rPr>
          <w:color w:val="231F20"/>
          <w:sz w:val="20"/>
        </w:rPr>
        <w:t>Emerging</w:t>
      </w:r>
      <w:r>
        <w:rPr>
          <w:color w:val="231F20"/>
          <w:spacing w:val="-4"/>
          <w:sz w:val="20"/>
        </w:rPr>
        <w:t> </w:t>
      </w:r>
      <w:r>
        <w:rPr>
          <w:color w:val="231F20"/>
          <w:sz w:val="20"/>
        </w:rPr>
        <w:t>Markets</w:t>
      </w:r>
      <w:r>
        <w:rPr>
          <w:color w:val="231F20"/>
          <w:spacing w:val="-3"/>
          <w:sz w:val="20"/>
        </w:rPr>
        <w:t> </w:t>
      </w:r>
      <w:r>
        <w:rPr>
          <w:color w:val="231F20"/>
          <w:sz w:val="20"/>
        </w:rPr>
        <w:t>Index</w:t>
      </w:r>
      <w:r>
        <w:rPr>
          <w:color w:val="231F20"/>
          <w:spacing w:val="-4"/>
          <w:sz w:val="20"/>
        </w:rPr>
        <w:t> </w:t>
      </w:r>
      <w:r>
        <w:rPr>
          <w:color w:val="231F20"/>
          <w:sz w:val="20"/>
        </w:rPr>
        <w:t>Pool</w:t>
      </w:r>
      <w:r>
        <w:rPr>
          <w:color w:val="231F20"/>
          <w:spacing w:val="-3"/>
          <w:sz w:val="20"/>
        </w:rPr>
        <w:t> </w:t>
      </w:r>
      <w:r>
        <w:rPr>
          <w:color w:val="231F20"/>
          <w:sz w:val="20"/>
        </w:rPr>
        <w:t>–</w:t>
      </w:r>
      <w:r>
        <w:rPr>
          <w:color w:val="231F20"/>
          <w:spacing w:val="-4"/>
          <w:sz w:val="20"/>
        </w:rPr>
        <w:t> </w:t>
      </w:r>
      <w:r>
        <w:rPr>
          <w:color w:val="231F20"/>
          <w:sz w:val="20"/>
        </w:rPr>
        <w:t>Level</w:t>
      </w:r>
      <w:r>
        <w:rPr>
          <w:color w:val="231F20"/>
          <w:spacing w:val="-3"/>
          <w:sz w:val="20"/>
        </w:rPr>
        <w:t> </w:t>
      </w:r>
      <w:r>
        <w:rPr>
          <w:color w:val="231F20"/>
          <w:spacing w:val="-10"/>
          <w:sz w:val="20"/>
        </w:rPr>
        <w:t>1</w:t>
      </w:r>
    </w:p>
    <w:p>
      <w:pPr>
        <w:pStyle w:val="ListParagraph"/>
        <w:numPr>
          <w:ilvl w:val="0"/>
          <w:numId w:val="9"/>
        </w:numPr>
        <w:tabs>
          <w:tab w:pos="1800" w:val="left" w:leader="none"/>
          <w:tab w:pos="1802" w:val="left" w:leader="none"/>
        </w:tabs>
        <w:spacing w:line="240" w:lineRule="auto" w:before="34" w:after="0"/>
        <w:ind w:left="1801" w:right="0" w:hanging="362"/>
        <w:jc w:val="left"/>
        <w:rPr>
          <w:sz w:val="20"/>
        </w:rPr>
      </w:pPr>
      <w:r>
        <w:rPr>
          <w:color w:val="231F20"/>
          <w:sz w:val="20"/>
        </w:rPr>
        <w:t>Investments</w:t>
      </w:r>
      <w:r>
        <w:rPr>
          <w:color w:val="231F20"/>
          <w:spacing w:val="-7"/>
          <w:sz w:val="20"/>
        </w:rPr>
        <w:t> </w:t>
      </w:r>
      <w:r>
        <w:rPr>
          <w:color w:val="231F20"/>
          <w:sz w:val="20"/>
        </w:rPr>
        <w:t>in</w:t>
      </w:r>
      <w:r>
        <w:rPr>
          <w:color w:val="231F20"/>
          <w:spacing w:val="-5"/>
          <w:sz w:val="20"/>
        </w:rPr>
        <w:t> </w:t>
      </w:r>
      <w:r>
        <w:rPr>
          <w:color w:val="231F20"/>
          <w:sz w:val="20"/>
        </w:rPr>
        <w:t>Core</w:t>
      </w:r>
      <w:r>
        <w:rPr>
          <w:color w:val="231F20"/>
          <w:spacing w:val="-4"/>
          <w:sz w:val="20"/>
        </w:rPr>
        <w:t> </w:t>
      </w:r>
      <w:r>
        <w:rPr>
          <w:color w:val="231F20"/>
          <w:sz w:val="20"/>
        </w:rPr>
        <w:t>Plus</w:t>
      </w:r>
      <w:r>
        <w:rPr>
          <w:color w:val="231F20"/>
          <w:spacing w:val="-5"/>
          <w:sz w:val="20"/>
        </w:rPr>
        <w:t> </w:t>
      </w:r>
      <w:r>
        <w:rPr>
          <w:color w:val="231F20"/>
          <w:sz w:val="20"/>
        </w:rPr>
        <w:t>Bonds</w:t>
      </w:r>
      <w:r>
        <w:rPr>
          <w:color w:val="231F20"/>
          <w:spacing w:val="-5"/>
          <w:sz w:val="20"/>
        </w:rPr>
        <w:t> </w:t>
      </w:r>
      <w:r>
        <w:rPr>
          <w:color w:val="231F20"/>
          <w:sz w:val="20"/>
        </w:rPr>
        <w:t>Pool</w:t>
      </w:r>
      <w:r>
        <w:rPr>
          <w:color w:val="231F20"/>
          <w:spacing w:val="-5"/>
          <w:sz w:val="20"/>
        </w:rPr>
        <w:t> </w:t>
      </w:r>
      <w:r>
        <w:rPr>
          <w:color w:val="231F20"/>
          <w:sz w:val="20"/>
        </w:rPr>
        <w:t>–</w:t>
      </w:r>
      <w:r>
        <w:rPr>
          <w:color w:val="231F20"/>
          <w:spacing w:val="-5"/>
          <w:sz w:val="20"/>
        </w:rPr>
        <w:t> </w:t>
      </w:r>
      <w:r>
        <w:rPr>
          <w:color w:val="231F20"/>
          <w:sz w:val="20"/>
        </w:rPr>
        <w:t>Level</w:t>
      </w:r>
      <w:r>
        <w:rPr>
          <w:color w:val="231F20"/>
          <w:spacing w:val="-4"/>
          <w:sz w:val="20"/>
        </w:rPr>
        <w:t> </w:t>
      </w:r>
      <w:r>
        <w:rPr>
          <w:color w:val="231F20"/>
          <w:spacing w:val="-10"/>
          <w:sz w:val="20"/>
        </w:rPr>
        <w:t>2</w:t>
      </w:r>
    </w:p>
    <w:p>
      <w:pPr>
        <w:pStyle w:val="ListParagraph"/>
        <w:numPr>
          <w:ilvl w:val="0"/>
          <w:numId w:val="9"/>
        </w:numPr>
        <w:tabs>
          <w:tab w:pos="1800" w:val="left" w:leader="none"/>
          <w:tab w:pos="1802" w:val="left" w:leader="none"/>
        </w:tabs>
        <w:spacing w:line="276" w:lineRule="auto" w:before="35" w:after="0"/>
        <w:ind w:left="1800" w:right="1247" w:hanging="361"/>
        <w:jc w:val="left"/>
        <w:rPr>
          <w:sz w:val="20"/>
        </w:rPr>
      </w:pPr>
      <w:r>
        <w:rPr>
          <w:color w:val="231F20"/>
          <w:sz w:val="20"/>
        </w:rPr>
        <w:t>Investments</w:t>
      </w:r>
      <w:r>
        <w:rPr>
          <w:color w:val="231F20"/>
          <w:spacing w:val="-3"/>
          <w:sz w:val="20"/>
        </w:rPr>
        <w:t> </w:t>
      </w:r>
      <w:r>
        <w:rPr>
          <w:color w:val="231F20"/>
          <w:sz w:val="20"/>
        </w:rPr>
        <w:t>in</w:t>
      </w:r>
      <w:r>
        <w:rPr>
          <w:color w:val="231F20"/>
          <w:spacing w:val="-3"/>
          <w:sz w:val="20"/>
        </w:rPr>
        <w:t> </w:t>
      </w:r>
      <w:r>
        <w:rPr>
          <w:color w:val="231F20"/>
          <w:sz w:val="20"/>
        </w:rPr>
        <w:t>Credit</w:t>
      </w:r>
      <w:r>
        <w:rPr>
          <w:color w:val="231F20"/>
          <w:spacing w:val="-3"/>
          <w:sz w:val="20"/>
        </w:rPr>
        <w:t> </w:t>
      </w:r>
      <w:r>
        <w:rPr>
          <w:color w:val="231F20"/>
          <w:sz w:val="20"/>
        </w:rPr>
        <w:t>&amp;</w:t>
      </w:r>
      <w:r>
        <w:rPr>
          <w:color w:val="231F20"/>
          <w:spacing w:val="-3"/>
          <w:sz w:val="20"/>
        </w:rPr>
        <w:t> </w:t>
      </w:r>
      <w:r>
        <w:rPr>
          <w:color w:val="231F20"/>
          <w:sz w:val="20"/>
        </w:rPr>
        <w:t>Structured</w:t>
      </w:r>
      <w:r>
        <w:rPr>
          <w:color w:val="231F20"/>
          <w:spacing w:val="-3"/>
          <w:sz w:val="20"/>
        </w:rPr>
        <w:t> </w:t>
      </w:r>
      <w:r>
        <w:rPr>
          <w:color w:val="231F20"/>
          <w:sz w:val="20"/>
        </w:rPr>
        <w:t>Finance</w:t>
      </w:r>
      <w:r>
        <w:rPr>
          <w:color w:val="231F20"/>
          <w:spacing w:val="-3"/>
          <w:sz w:val="20"/>
        </w:rPr>
        <w:t> </w:t>
      </w:r>
      <w:r>
        <w:rPr>
          <w:color w:val="231F20"/>
          <w:sz w:val="20"/>
        </w:rPr>
        <w:t>Pool</w:t>
      </w:r>
      <w:r>
        <w:rPr>
          <w:color w:val="231F20"/>
          <w:spacing w:val="-3"/>
          <w:sz w:val="20"/>
        </w:rPr>
        <w:t> </w:t>
      </w:r>
      <w:r>
        <w:rPr>
          <w:color w:val="231F20"/>
          <w:sz w:val="20"/>
        </w:rPr>
        <w:t>–</w:t>
      </w:r>
      <w:r>
        <w:rPr>
          <w:color w:val="231F20"/>
          <w:spacing w:val="-3"/>
          <w:sz w:val="20"/>
        </w:rPr>
        <w:t> </w:t>
      </w:r>
      <w:r>
        <w:rPr>
          <w:color w:val="231F20"/>
          <w:sz w:val="20"/>
        </w:rPr>
        <w:t>Net</w:t>
      </w:r>
      <w:r>
        <w:rPr>
          <w:color w:val="231F20"/>
          <w:spacing w:val="-3"/>
          <w:sz w:val="20"/>
        </w:rPr>
        <w:t> </w:t>
      </w:r>
      <w:r>
        <w:rPr>
          <w:color w:val="231F20"/>
          <w:sz w:val="20"/>
        </w:rPr>
        <w:t>Asset</w:t>
      </w:r>
      <w:r>
        <w:rPr>
          <w:color w:val="231F20"/>
          <w:spacing w:val="-3"/>
          <w:sz w:val="20"/>
        </w:rPr>
        <w:t> </w:t>
      </w:r>
      <w:r>
        <w:rPr>
          <w:color w:val="231F20"/>
          <w:sz w:val="20"/>
        </w:rPr>
        <w:t>Value</w:t>
      </w:r>
      <w:r>
        <w:rPr>
          <w:color w:val="231F20"/>
          <w:spacing w:val="-4"/>
          <w:sz w:val="20"/>
        </w:rPr>
        <w:t> </w:t>
      </w:r>
      <w:r>
        <w:rPr>
          <w:color w:val="231F20"/>
          <w:sz w:val="20"/>
        </w:rPr>
        <w:t>as</w:t>
      </w:r>
      <w:r>
        <w:rPr>
          <w:color w:val="231F20"/>
          <w:spacing w:val="-3"/>
          <w:sz w:val="20"/>
        </w:rPr>
        <w:t> </w:t>
      </w:r>
      <w:r>
        <w:rPr>
          <w:color w:val="231F20"/>
          <w:sz w:val="20"/>
        </w:rPr>
        <w:t>a</w:t>
      </w:r>
      <w:r>
        <w:rPr>
          <w:color w:val="231F20"/>
          <w:spacing w:val="-3"/>
          <w:sz w:val="20"/>
        </w:rPr>
        <w:t> </w:t>
      </w:r>
      <w:r>
        <w:rPr>
          <w:color w:val="231F20"/>
          <w:sz w:val="20"/>
        </w:rPr>
        <w:t>practical</w:t>
      </w:r>
      <w:r>
        <w:rPr>
          <w:color w:val="231F20"/>
          <w:spacing w:val="-4"/>
          <w:sz w:val="20"/>
        </w:rPr>
        <w:t> </w:t>
      </w:r>
      <w:r>
        <w:rPr>
          <w:color w:val="231F20"/>
          <w:sz w:val="20"/>
        </w:rPr>
        <w:t>expedient</w:t>
      </w:r>
      <w:r>
        <w:rPr>
          <w:color w:val="231F20"/>
          <w:spacing w:val="-3"/>
          <w:sz w:val="20"/>
        </w:rPr>
        <w:t> </w:t>
      </w:r>
      <w:r>
        <w:rPr>
          <w:color w:val="231F20"/>
          <w:sz w:val="20"/>
        </w:rPr>
        <w:t>(NAV practical expedient)</w:t>
      </w:r>
    </w:p>
    <w:p>
      <w:pPr>
        <w:pStyle w:val="ListParagraph"/>
        <w:numPr>
          <w:ilvl w:val="0"/>
          <w:numId w:val="9"/>
        </w:numPr>
        <w:tabs>
          <w:tab w:pos="1801" w:val="left" w:leader="none"/>
          <w:tab w:pos="1802" w:val="left" w:leader="none"/>
        </w:tabs>
        <w:spacing w:line="229" w:lineRule="exact" w:before="0" w:after="0"/>
        <w:ind w:left="1801" w:right="0" w:hanging="362"/>
        <w:jc w:val="left"/>
        <w:rPr>
          <w:sz w:val="20"/>
        </w:rPr>
      </w:pPr>
      <w:r>
        <w:rPr>
          <w:color w:val="231F20"/>
          <w:sz w:val="20"/>
        </w:rPr>
        <w:t>Investments</w:t>
      </w:r>
      <w:r>
        <w:rPr>
          <w:color w:val="231F20"/>
          <w:spacing w:val="-6"/>
          <w:sz w:val="20"/>
        </w:rPr>
        <w:t> </w:t>
      </w:r>
      <w:r>
        <w:rPr>
          <w:color w:val="231F20"/>
          <w:sz w:val="20"/>
        </w:rPr>
        <w:t>in</w:t>
      </w:r>
      <w:r>
        <w:rPr>
          <w:color w:val="231F20"/>
          <w:spacing w:val="-5"/>
          <w:sz w:val="20"/>
        </w:rPr>
        <w:t> </w:t>
      </w:r>
      <w:r>
        <w:rPr>
          <w:color w:val="231F20"/>
          <w:sz w:val="20"/>
        </w:rPr>
        <w:t>Private</w:t>
      </w:r>
      <w:r>
        <w:rPr>
          <w:color w:val="231F20"/>
          <w:spacing w:val="-6"/>
          <w:sz w:val="20"/>
        </w:rPr>
        <w:t> </w:t>
      </w:r>
      <w:r>
        <w:rPr>
          <w:color w:val="231F20"/>
          <w:sz w:val="20"/>
        </w:rPr>
        <w:t>Equity</w:t>
      </w:r>
      <w:r>
        <w:rPr>
          <w:color w:val="231F20"/>
          <w:spacing w:val="-5"/>
          <w:sz w:val="20"/>
        </w:rPr>
        <w:t> </w:t>
      </w:r>
      <w:r>
        <w:rPr>
          <w:color w:val="231F20"/>
          <w:sz w:val="20"/>
        </w:rPr>
        <w:t>Pool</w:t>
      </w:r>
      <w:r>
        <w:rPr>
          <w:color w:val="231F20"/>
          <w:spacing w:val="-6"/>
          <w:sz w:val="20"/>
        </w:rPr>
        <w:t> </w:t>
      </w:r>
      <w:r>
        <w:rPr>
          <w:color w:val="231F20"/>
          <w:sz w:val="20"/>
        </w:rPr>
        <w:t>–</w:t>
      </w:r>
      <w:r>
        <w:rPr>
          <w:color w:val="231F20"/>
          <w:spacing w:val="-5"/>
          <w:sz w:val="20"/>
        </w:rPr>
        <w:t> </w:t>
      </w:r>
      <w:r>
        <w:rPr>
          <w:color w:val="231F20"/>
          <w:sz w:val="20"/>
        </w:rPr>
        <w:t>NAV</w:t>
      </w:r>
      <w:r>
        <w:rPr>
          <w:color w:val="231F20"/>
          <w:spacing w:val="-6"/>
          <w:sz w:val="20"/>
        </w:rPr>
        <w:t> </w:t>
      </w:r>
      <w:r>
        <w:rPr>
          <w:color w:val="231F20"/>
          <w:sz w:val="20"/>
        </w:rPr>
        <w:t>practical</w:t>
      </w:r>
      <w:r>
        <w:rPr>
          <w:color w:val="231F20"/>
          <w:spacing w:val="-5"/>
          <w:sz w:val="20"/>
        </w:rPr>
        <w:t> </w:t>
      </w:r>
      <w:r>
        <w:rPr>
          <w:color w:val="231F20"/>
          <w:spacing w:val="-2"/>
          <w:sz w:val="20"/>
        </w:rPr>
        <w:t>expedient</w:t>
      </w:r>
    </w:p>
    <w:p>
      <w:pPr>
        <w:pStyle w:val="ListParagraph"/>
        <w:numPr>
          <w:ilvl w:val="0"/>
          <w:numId w:val="9"/>
        </w:numPr>
        <w:tabs>
          <w:tab w:pos="1801" w:val="left" w:leader="none"/>
          <w:tab w:pos="1802" w:val="left" w:leader="none"/>
        </w:tabs>
        <w:spacing w:line="240" w:lineRule="auto" w:before="35" w:after="0"/>
        <w:ind w:left="1801" w:right="0" w:hanging="362"/>
        <w:jc w:val="left"/>
        <w:rPr>
          <w:sz w:val="20"/>
        </w:rPr>
      </w:pPr>
      <w:r>
        <w:rPr>
          <w:color w:val="231F20"/>
          <w:sz w:val="20"/>
        </w:rPr>
        <w:t>Investments</w:t>
      </w:r>
      <w:r>
        <w:rPr>
          <w:color w:val="231F20"/>
          <w:spacing w:val="-7"/>
          <w:sz w:val="20"/>
        </w:rPr>
        <w:t> </w:t>
      </w:r>
      <w:r>
        <w:rPr>
          <w:color w:val="231F20"/>
          <w:sz w:val="20"/>
        </w:rPr>
        <w:t>in</w:t>
      </w:r>
      <w:r>
        <w:rPr>
          <w:color w:val="231F20"/>
          <w:spacing w:val="-4"/>
          <w:sz w:val="20"/>
        </w:rPr>
        <w:t> </w:t>
      </w:r>
      <w:r>
        <w:rPr>
          <w:color w:val="231F20"/>
          <w:sz w:val="20"/>
        </w:rPr>
        <w:t>Real</w:t>
      </w:r>
      <w:r>
        <w:rPr>
          <w:color w:val="231F20"/>
          <w:spacing w:val="-5"/>
          <w:sz w:val="20"/>
        </w:rPr>
        <w:t> </w:t>
      </w:r>
      <w:r>
        <w:rPr>
          <w:color w:val="231F20"/>
          <w:sz w:val="20"/>
        </w:rPr>
        <w:t>Estate</w:t>
      </w:r>
      <w:r>
        <w:rPr>
          <w:color w:val="231F20"/>
          <w:spacing w:val="-5"/>
          <w:sz w:val="20"/>
        </w:rPr>
        <w:t> </w:t>
      </w:r>
      <w:r>
        <w:rPr>
          <w:color w:val="231F20"/>
          <w:sz w:val="20"/>
        </w:rPr>
        <w:t>Pool</w:t>
      </w:r>
      <w:r>
        <w:rPr>
          <w:color w:val="231F20"/>
          <w:spacing w:val="-4"/>
          <w:sz w:val="20"/>
        </w:rPr>
        <w:t> </w:t>
      </w:r>
      <w:r>
        <w:rPr>
          <w:color w:val="231F20"/>
          <w:sz w:val="20"/>
        </w:rPr>
        <w:t>–</w:t>
      </w:r>
      <w:r>
        <w:rPr>
          <w:color w:val="231F20"/>
          <w:spacing w:val="-5"/>
          <w:sz w:val="20"/>
        </w:rPr>
        <w:t> </w:t>
      </w:r>
      <w:r>
        <w:rPr>
          <w:color w:val="231F20"/>
          <w:sz w:val="20"/>
        </w:rPr>
        <w:t>NAV</w:t>
      </w:r>
      <w:r>
        <w:rPr>
          <w:color w:val="231F20"/>
          <w:spacing w:val="-4"/>
          <w:sz w:val="20"/>
        </w:rPr>
        <w:t> </w:t>
      </w:r>
      <w:r>
        <w:rPr>
          <w:color w:val="231F20"/>
          <w:sz w:val="20"/>
        </w:rPr>
        <w:t>practical</w:t>
      </w:r>
      <w:r>
        <w:rPr>
          <w:color w:val="231F20"/>
          <w:spacing w:val="-4"/>
          <w:sz w:val="20"/>
        </w:rPr>
        <w:t> </w:t>
      </w:r>
      <w:r>
        <w:rPr>
          <w:color w:val="231F20"/>
          <w:spacing w:val="-2"/>
          <w:sz w:val="20"/>
        </w:rPr>
        <w:t>expedient</w:t>
      </w:r>
    </w:p>
    <w:p>
      <w:pPr>
        <w:pStyle w:val="BodyText"/>
        <w:rPr>
          <w:sz w:val="26"/>
        </w:rPr>
      </w:pPr>
    </w:p>
    <w:p>
      <w:pPr>
        <w:pStyle w:val="BodyText"/>
        <w:spacing w:line="276" w:lineRule="auto"/>
        <w:ind w:left="1440" w:right="1505"/>
      </w:pPr>
      <w:r>
        <w:rPr>
          <w:color w:val="231F20"/>
        </w:rPr>
        <w:t>The</w:t>
      </w:r>
      <w:r>
        <w:rPr>
          <w:color w:val="231F20"/>
          <w:spacing w:val="-3"/>
        </w:rPr>
        <w:t> </w:t>
      </w:r>
      <w:r>
        <w:rPr>
          <w:color w:val="231F20"/>
        </w:rPr>
        <w:t>State</w:t>
      </w:r>
      <w:r>
        <w:rPr>
          <w:color w:val="231F20"/>
          <w:spacing w:val="-3"/>
        </w:rPr>
        <w:t> </w:t>
      </w:r>
      <w:r>
        <w:rPr>
          <w:color w:val="231F20"/>
        </w:rPr>
        <w:t>Treasurer</w:t>
      </w:r>
      <w:r>
        <w:rPr>
          <w:color w:val="231F20"/>
          <w:spacing w:val="-3"/>
        </w:rPr>
        <w:t> </w:t>
      </w:r>
      <w:r>
        <w:rPr>
          <w:color w:val="231F20"/>
        </w:rPr>
        <w:t>LGIP</w:t>
      </w:r>
      <w:r>
        <w:rPr>
          <w:color w:val="231F20"/>
          <w:spacing w:val="-3"/>
        </w:rPr>
        <w:t> </w:t>
      </w:r>
      <w:r>
        <w:rPr>
          <w:color w:val="231F20"/>
        </w:rPr>
        <w:t>is</w:t>
      </w:r>
      <w:r>
        <w:rPr>
          <w:color w:val="231F20"/>
          <w:spacing w:val="-3"/>
        </w:rPr>
        <w:t> </w:t>
      </w:r>
      <w:r>
        <w:rPr>
          <w:color w:val="231F20"/>
        </w:rPr>
        <w:t>excluded</w:t>
      </w:r>
      <w:r>
        <w:rPr>
          <w:color w:val="231F20"/>
          <w:spacing w:val="-3"/>
        </w:rPr>
        <w:t> </w:t>
      </w:r>
      <w:r>
        <w:rPr>
          <w:color w:val="231F20"/>
        </w:rPr>
        <w:t>from</w:t>
      </w:r>
      <w:r>
        <w:rPr>
          <w:color w:val="231F20"/>
          <w:spacing w:val="-3"/>
        </w:rPr>
        <w:t> </w:t>
      </w:r>
      <w:r>
        <w:rPr>
          <w:color w:val="231F20"/>
        </w:rPr>
        <w:t>fair</w:t>
      </w:r>
      <w:r>
        <w:rPr>
          <w:color w:val="231F20"/>
          <w:spacing w:val="-3"/>
        </w:rPr>
        <w:t> </w:t>
      </w:r>
      <w:r>
        <w:rPr>
          <w:color w:val="231F20"/>
        </w:rPr>
        <w:t>value</w:t>
      </w:r>
      <w:r>
        <w:rPr>
          <w:color w:val="231F20"/>
          <w:spacing w:val="-4"/>
        </w:rPr>
        <w:t> </w:t>
      </w:r>
      <w:r>
        <w:rPr>
          <w:color w:val="231F20"/>
        </w:rPr>
        <w:t>accounting</w:t>
      </w:r>
      <w:r>
        <w:rPr>
          <w:color w:val="231F20"/>
          <w:spacing w:val="-3"/>
        </w:rPr>
        <w:t> </w:t>
      </w:r>
      <w:r>
        <w:rPr>
          <w:color w:val="231F20"/>
        </w:rPr>
        <w:t>and</w:t>
      </w:r>
      <w:r>
        <w:rPr>
          <w:color w:val="231F20"/>
          <w:spacing w:val="-3"/>
        </w:rPr>
        <w:t> </w:t>
      </w:r>
      <w:r>
        <w:rPr>
          <w:color w:val="231F20"/>
        </w:rPr>
        <w:t>is</w:t>
      </w:r>
      <w:r>
        <w:rPr>
          <w:color w:val="231F20"/>
          <w:spacing w:val="-3"/>
        </w:rPr>
        <w:t> </w:t>
      </w:r>
      <w:r>
        <w:rPr>
          <w:color w:val="231F20"/>
        </w:rPr>
        <w:t>recorded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financial statements at amortized cost.</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3</w:t>
      </w:r>
      <w:r>
        <w:rPr>
          <w:color w:val="231F20"/>
          <w:spacing w:val="-5"/>
        </w:rPr>
        <w:t> </w:t>
      </w:r>
      <w:r>
        <w:rPr>
          <w:color w:val="231F20"/>
        </w:rPr>
        <w:t>–</w:t>
      </w:r>
      <w:r>
        <w:rPr>
          <w:color w:val="231F20"/>
          <w:spacing w:val="-4"/>
        </w:rPr>
        <w:t> </w:t>
      </w:r>
      <w:r>
        <w:rPr>
          <w:color w:val="231F20"/>
        </w:rPr>
        <w:t>Cash</w:t>
      </w:r>
      <w:r>
        <w:rPr>
          <w:color w:val="231F20"/>
          <w:spacing w:val="-5"/>
        </w:rPr>
        <w:t> </w:t>
      </w:r>
      <w:r>
        <w:rPr>
          <w:color w:val="231F20"/>
        </w:rPr>
        <w:t>and</w:t>
      </w:r>
      <w:r>
        <w:rPr>
          <w:color w:val="231F20"/>
          <w:spacing w:val="-5"/>
        </w:rPr>
        <w:t> </w:t>
      </w:r>
      <w:r>
        <w:rPr>
          <w:color w:val="231F20"/>
        </w:rPr>
        <w:t>Investments</w:t>
      </w:r>
      <w:r>
        <w:rPr>
          <w:color w:val="231F20"/>
          <w:spacing w:val="-4"/>
        </w:rPr>
        <w:t> </w:t>
      </w:r>
      <w:r>
        <w:rPr>
          <w:color w:val="231F20"/>
          <w:spacing w:val="-2"/>
        </w:rPr>
        <w:t>(continued)</w:t>
      </w:r>
    </w:p>
    <w:p>
      <w:pPr>
        <w:pStyle w:val="BodyText"/>
        <w:rPr>
          <w:b/>
          <w:sz w:val="26"/>
        </w:rPr>
      </w:pPr>
    </w:p>
    <w:p>
      <w:pPr>
        <w:pStyle w:val="BodyText"/>
        <w:spacing w:line="276" w:lineRule="auto" w:before="1"/>
        <w:ind w:left="1440" w:right="891"/>
      </w:pPr>
      <w:r>
        <w:rPr>
          <w:color w:val="231F20"/>
        </w:rPr>
        <w:t>The methods described above may produce a fair value calculation that may not be indicative of net realizable value or reflective of future fair values. Furthermore, while management believes its valuation methods</w:t>
      </w:r>
      <w:r>
        <w:rPr>
          <w:color w:val="231F20"/>
          <w:spacing w:val="-4"/>
        </w:rPr>
        <w:t> </w:t>
      </w:r>
      <w:r>
        <w:rPr>
          <w:color w:val="231F20"/>
        </w:rPr>
        <w:t>are</w:t>
      </w:r>
      <w:r>
        <w:rPr>
          <w:color w:val="231F20"/>
          <w:spacing w:val="-4"/>
        </w:rPr>
        <w:t> </w:t>
      </w:r>
      <w:r>
        <w:rPr>
          <w:color w:val="231F20"/>
        </w:rPr>
        <w:t>appropriate</w:t>
      </w:r>
      <w:r>
        <w:rPr>
          <w:color w:val="231F20"/>
          <w:spacing w:val="-4"/>
        </w:rPr>
        <w:t> </w:t>
      </w:r>
      <w:r>
        <w:rPr>
          <w:color w:val="231F20"/>
        </w:rPr>
        <w:t>and</w:t>
      </w:r>
      <w:r>
        <w:rPr>
          <w:color w:val="231F20"/>
          <w:spacing w:val="-4"/>
        </w:rPr>
        <w:t> </w:t>
      </w:r>
      <w:r>
        <w:rPr>
          <w:color w:val="231F20"/>
        </w:rPr>
        <w:t>consistent</w:t>
      </w:r>
      <w:r>
        <w:rPr>
          <w:color w:val="231F20"/>
          <w:spacing w:val="-6"/>
        </w:rPr>
        <w:t> </w:t>
      </w:r>
      <w:r>
        <w:rPr>
          <w:color w:val="231F20"/>
        </w:rPr>
        <w:t>with</w:t>
      </w:r>
      <w:r>
        <w:rPr>
          <w:color w:val="231F20"/>
          <w:spacing w:val="-4"/>
        </w:rPr>
        <w:t> </w:t>
      </w:r>
      <w:r>
        <w:rPr>
          <w:color w:val="231F20"/>
        </w:rPr>
        <w:t>other</w:t>
      </w:r>
      <w:r>
        <w:rPr>
          <w:color w:val="231F20"/>
          <w:spacing w:val="-4"/>
        </w:rPr>
        <w:t> </w:t>
      </w:r>
      <w:r>
        <w:rPr>
          <w:color w:val="231F20"/>
        </w:rPr>
        <w:t>market</w:t>
      </w:r>
      <w:r>
        <w:rPr>
          <w:color w:val="231F20"/>
          <w:spacing w:val="-4"/>
        </w:rPr>
        <w:t> </w:t>
      </w:r>
      <w:r>
        <w:rPr>
          <w:color w:val="231F20"/>
        </w:rPr>
        <w:t>participants,</w:t>
      </w:r>
      <w:r>
        <w:rPr>
          <w:color w:val="231F20"/>
          <w:spacing w:val="-1"/>
        </w:rPr>
        <w:t> </w:t>
      </w:r>
      <w:r>
        <w:rPr>
          <w:color w:val="231F20"/>
        </w:rPr>
        <w:t>the</w:t>
      </w:r>
      <w:r>
        <w:rPr>
          <w:color w:val="231F20"/>
          <w:spacing w:val="-4"/>
        </w:rPr>
        <w:t> </w:t>
      </w:r>
      <w:r>
        <w:rPr>
          <w:color w:val="231F20"/>
        </w:rPr>
        <w:t>use</w:t>
      </w:r>
      <w:r>
        <w:rPr>
          <w:color w:val="231F20"/>
          <w:spacing w:val="-4"/>
        </w:rPr>
        <w:t> </w:t>
      </w:r>
      <w:r>
        <w:rPr>
          <w:color w:val="231F20"/>
        </w:rPr>
        <w:t>of</w:t>
      </w:r>
      <w:r>
        <w:rPr>
          <w:color w:val="231F20"/>
          <w:spacing w:val="-4"/>
        </w:rPr>
        <w:t> </w:t>
      </w:r>
      <w:r>
        <w:rPr>
          <w:color w:val="231F20"/>
        </w:rPr>
        <w:t>different</w:t>
      </w:r>
      <w:r>
        <w:rPr>
          <w:color w:val="231F20"/>
          <w:spacing w:val="-4"/>
        </w:rPr>
        <w:t> </w:t>
      </w:r>
      <w:r>
        <w:rPr>
          <w:color w:val="231F20"/>
        </w:rPr>
        <w:t>methodologies or assumptions to determine the fair value of certain financial instruments could result in a different fair value measurement at the reporting date.</w:t>
      </w:r>
    </w:p>
    <w:p>
      <w:pPr>
        <w:pStyle w:val="BodyText"/>
        <w:spacing w:before="10"/>
        <w:rPr>
          <w:sz w:val="22"/>
        </w:rPr>
      </w:pPr>
    </w:p>
    <w:p>
      <w:pPr>
        <w:pStyle w:val="BodyText"/>
        <w:ind w:left="1440"/>
      </w:pPr>
      <w:r>
        <w:rPr>
          <w:color w:val="231F20"/>
        </w:rPr>
        <w:t>The</w:t>
      </w:r>
      <w:r>
        <w:rPr>
          <w:color w:val="231F20"/>
          <w:spacing w:val="-7"/>
        </w:rPr>
        <w:t> </w:t>
      </w:r>
      <w:r>
        <w:rPr>
          <w:color w:val="231F20"/>
        </w:rPr>
        <w:t>following</w:t>
      </w:r>
      <w:r>
        <w:rPr>
          <w:color w:val="231F20"/>
          <w:spacing w:val="-5"/>
        </w:rPr>
        <w:t> </w:t>
      </w:r>
      <w:r>
        <w:rPr>
          <w:color w:val="231F20"/>
        </w:rPr>
        <w:t>table</w:t>
      </w:r>
      <w:r>
        <w:rPr>
          <w:color w:val="231F20"/>
          <w:spacing w:val="-5"/>
        </w:rPr>
        <w:t> </w:t>
      </w:r>
      <w:r>
        <w:rPr>
          <w:color w:val="231F20"/>
        </w:rPr>
        <w:t>presents</w:t>
      </w:r>
      <w:r>
        <w:rPr>
          <w:color w:val="231F20"/>
          <w:spacing w:val="-4"/>
        </w:rPr>
        <w:t> </w:t>
      </w:r>
      <w:r>
        <w:rPr>
          <w:color w:val="231F20"/>
        </w:rPr>
        <w:t>the</w:t>
      </w:r>
      <w:r>
        <w:rPr>
          <w:color w:val="231F20"/>
          <w:spacing w:val="-4"/>
        </w:rPr>
        <w:t> </w:t>
      </w:r>
      <w:r>
        <w:rPr>
          <w:color w:val="231F20"/>
        </w:rPr>
        <w:t>fair</w:t>
      </w:r>
      <w:r>
        <w:rPr>
          <w:color w:val="231F20"/>
          <w:spacing w:val="-5"/>
        </w:rPr>
        <w:t> </w:t>
      </w:r>
      <w:r>
        <w:rPr>
          <w:color w:val="231F20"/>
        </w:rPr>
        <w:t>value</w:t>
      </w:r>
      <w:r>
        <w:rPr>
          <w:color w:val="231F20"/>
          <w:spacing w:val="-4"/>
        </w:rPr>
        <w:t> </w:t>
      </w:r>
      <w:r>
        <w:rPr>
          <w:color w:val="231F20"/>
        </w:rPr>
        <w:t>measurements</w:t>
      </w:r>
      <w:r>
        <w:rPr>
          <w:color w:val="231F20"/>
          <w:spacing w:val="-5"/>
        </w:rPr>
        <w:t> </w:t>
      </w:r>
      <w:r>
        <w:rPr>
          <w:color w:val="231F20"/>
        </w:rPr>
        <w:t>of</w:t>
      </w:r>
      <w:r>
        <w:rPr>
          <w:color w:val="231F20"/>
          <w:spacing w:val="-4"/>
        </w:rPr>
        <w:t> </w:t>
      </w:r>
      <w:r>
        <w:rPr>
          <w:color w:val="231F20"/>
        </w:rPr>
        <w:t>assets</w:t>
      </w:r>
      <w:r>
        <w:rPr>
          <w:color w:val="231F20"/>
          <w:spacing w:val="-5"/>
        </w:rPr>
        <w:t> </w:t>
      </w:r>
      <w:r>
        <w:rPr>
          <w:color w:val="231F20"/>
        </w:rPr>
        <w:t>and</w:t>
      </w:r>
      <w:r>
        <w:rPr>
          <w:color w:val="231F20"/>
          <w:spacing w:val="-5"/>
        </w:rPr>
        <w:t> </w:t>
      </w:r>
      <w:r>
        <w:rPr>
          <w:color w:val="231F20"/>
        </w:rPr>
        <w:t>liabilities</w:t>
      </w:r>
      <w:r>
        <w:rPr>
          <w:color w:val="231F20"/>
          <w:spacing w:val="-4"/>
        </w:rPr>
        <w:t> </w:t>
      </w:r>
      <w:r>
        <w:rPr>
          <w:color w:val="231F20"/>
        </w:rPr>
        <w:t>at</w:t>
      </w:r>
      <w:r>
        <w:rPr>
          <w:color w:val="231F20"/>
          <w:spacing w:val="-5"/>
        </w:rPr>
        <w:t> </w:t>
      </w:r>
      <w:r>
        <w:rPr>
          <w:color w:val="231F20"/>
        </w:rPr>
        <w:t>June</w:t>
      </w:r>
      <w:r>
        <w:rPr>
          <w:color w:val="231F20"/>
          <w:spacing w:val="-4"/>
        </w:rPr>
        <w:t> </w:t>
      </w:r>
      <w:r>
        <w:rPr>
          <w:color w:val="231F20"/>
        </w:rPr>
        <w:t>30,</w:t>
      </w:r>
      <w:r>
        <w:rPr>
          <w:color w:val="231F20"/>
          <w:spacing w:val="-4"/>
        </w:rPr>
        <w:t> </w:t>
      </w:r>
      <w:r>
        <w:rPr>
          <w:color w:val="231F20"/>
          <w:spacing w:val="-2"/>
        </w:rPr>
        <w:t>2022.</w:t>
      </w:r>
    </w:p>
    <w:p>
      <w:pPr>
        <w:pStyle w:val="BodyText"/>
        <w:spacing w:before="2"/>
        <w:rPr>
          <w:sz w:val="19"/>
        </w:rPr>
      </w:pPr>
    </w:p>
    <w:p>
      <w:pPr>
        <w:spacing w:after="0"/>
        <w:rPr>
          <w:sz w:val="19"/>
        </w:rPr>
        <w:sectPr>
          <w:pgSz w:w="12240" w:h="15840"/>
          <w:pgMar w:header="1282" w:footer="1097" w:top="1900" w:bottom="1280" w:left="0" w:right="58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3"/>
        </w:rPr>
      </w:pPr>
    </w:p>
    <w:p>
      <w:pPr>
        <w:spacing w:before="0"/>
        <w:ind w:left="1480" w:right="0" w:firstLine="0"/>
        <w:jc w:val="left"/>
        <w:rPr>
          <w:sz w:val="15"/>
        </w:rPr>
      </w:pPr>
      <w:r>
        <w:rPr>
          <w:color w:val="231F20"/>
          <w:sz w:val="15"/>
        </w:rPr>
        <w:t>Held</w:t>
      </w:r>
      <w:r>
        <w:rPr>
          <w:color w:val="231F20"/>
          <w:spacing w:val="3"/>
          <w:sz w:val="15"/>
        </w:rPr>
        <w:t> </w:t>
      </w:r>
      <w:r>
        <w:rPr>
          <w:color w:val="231F20"/>
          <w:sz w:val="15"/>
        </w:rPr>
        <w:t>at</w:t>
      </w:r>
      <w:r>
        <w:rPr>
          <w:color w:val="231F20"/>
          <w:spacing w:val="3"/>
          <w:sz w:val="15"/>
        </w:rPr>
        <w:t> </w:t>
      </w:r>
      <w:r>
        <w:rPr>
          <w:color w:val="231F20"/>
          <w:sz w:val="15"/>
        </w:rPr>
        <w:t>Morgan</w:t>
      </w:r>
      <w:r>
        <w:rPr>
          <w:color w:val="231F20"/>
          <w:spacing w:val="3"/>
          <w:sz w:val="15"/>
        </w:rPr>
        <w:t> </w:t>
      </w:r>
      <w:r>
        <w:rPr>
          <w:color w:val="231F20"/>
          <w:sz w:val="15"/>
        </w:rPr>
        <w:t>Stanley</w:t>
      </w:r>
      <w:r>
        <w:rPr>
          <w:color w:val="231F20"/>
          <w:spacing w:val="1"/>
          <w:sz w:val="15"/>
        </w:rPr>
        <w:t> </w:t>
      </w:r>
      <w:r>
        <w:rPr>
          <w:color w:val="231F20"/>
          <w:sz w:val="15"/>
        </w:rPr>
        <w:t>and</w:t>
      </w:r>
      <w:r>
        <w:rPr>
          <w:color w:val="231F20"/>
          <w:spacing w:val="4"/>
          <w:sz w:val="15"/>
        </w:rPr>
        <w:t> </w:t>
      </w:r>
      <w:r>
        <w:rPr>
          <w:color w:val="231F20"/>
          <w:sz w:val="15"/>
        </w:rPr>
        <w:t>TD</w:t>
      </w:r>
      <w:r>
        <w:rPr>
          <w:color w:val="231F20"/>
          <w:spacing w:val="2"/>
          <w:sz w:val="15"/>
        </w:rPr>
        <w:t> </w:t>
      </w:r>
      <w:r>
        <w:rPr>
          <w:color w:val="231F20"/>
          <w:spacing w:val="-2"/>
          <w:sz w:val="15"/>
        </w:rPr>
        <w:t>Ameritrade</w:t>
      </w:r>
    </w:p>
    <w:p>
      <w:pPr>
        <w:spacing w:line="271" w:lineRule="auto" w:before="97"/>
        <w:ind w:left="422" w:right="3121" w:firstLine="1054"/>
        <w:jc w:val="left"/>
        <w:rPr>
          <w:sz w:val="15"/>
        </w:rPr>
      </w:pPr>
      <w:r>
        <w:rPr/>
        <w:br w:type="column"/>
      </w:r>
      <w:r>
        <w:rPr>
          <w:color w:val="231F20"/>
          <w:sz w:val="15"/>
        </w:rPr>
        <w:t>Fair Value Measurements Using Quoted Prices in</w:t>
      </w:r>
    </w:p>
    <w:p>
      <w:pPr>
        <w:tabs>
          <w:tab w:pos="1931" w:val="left" w:leader="none"/>
          <w:tab w:pos="1985" w:val="left" w:leader="none"/>
          <w:tab w:pos="3428" w:val="left" w:leader="none"/>
          <w:tab w:pos="3777" w:val="left" w:leader="none"/>
        </w:tabs>
        <w:spacing w:line="268" w:lineRule="auto" w:before="0"/>
        <w:ind w:left="450" w:right="2381" w:hanging="75"/>
        <w:jc w:val="left"/>
        <w:rPr>
          <w:sz w:val="15"/>
        </w:rPr>
      </w:pPr>
      <w:r>
        <w:rPr/>
        <w:pict>
          <v:group style="position:absolute;margin-left:236.940002pt;margin-top:-10.694299pt;width:226.5pt;height:1.05pt;mso-position-horizontal-relative:page;mso-position-vertical-relative:paragraph;z-index:-28348928" id="docshapegroup273" coordorigin="4739,-214" coordsize="4530,21">
            <v:line style="position:absolute" from="4739,-213" to="9269,-213" stroked="true" strokeweight=".06pt" strokecolor="#231f20">
              <v:stroke dashstyle="solid"/>
            </v:line>
            <v:rect style="position:absolute;left:4738;top:-214;width:4530;height:21" id="docshape274" filled="true" fillcolor="#231f20" stroked="false">
              <v:fill type="solid"/>
            </v:rect>
            <w10:wrap type="none"/>
          </v:group>
        </w:pict>
      </w:r>
      <w:r>
        <w:rPr>
          <w:color w:val="231F20"/>
          <w:sz w:val="15"/>
        </w:rPr>
        <w:t>Active Markets for</w:t>
        <w:tab/>
        <w:tab/>
        <w:t>Significant Other</w:t>
        <w:tab/>
        <w:tab/>
      </w:r>
      <w:r>
        <w:rPr>
          <w:color w:val="231F20"/>
          <w:spacing w:val="-2"/>
          <w:sz w:val="15"/>
        </w:rPr>
        <w:t>Significant</w:t>
      </w:r>
      <w:r>
        <w:rPr>
          <w:color w:val="231F20"/>
          <w:sz w:val="15"/>
        </w:rPr>
        <w:t> Identical Assets</w:t>
        <w:tab/>
        <w:t>Observable Inputs</w:t>
        <w:tab/>
        <w:t>Unobservable</w:t>
      </w:r>
      <w:r>
        <w:rPr>
          <w:color w:val="231F20"/>
          <w:spacing w:val="-11"/>
          <w:sz w:val="15"/>
        </w:rPr>
        <w:t> </w:t>
      </w:r>
      <w:r>
        <w:rPr>
          <w:color w:val="231F20"/>
          <w:sz w:val="15"/>
        </w:rPr>
        <w:t>Inputs</w:t>
      </w:r>
    </w:p>
    <w:p>
      <w:pPr>
        <w:tabs>
          <w:tab w:pos="741" w:val="left" w:leader="none"/>
          <w:tab w:pos="1665" w:val="left" w:leader="none"/>
          <w:tab w:pos="2306" w:val="left" w:leader="none"/>
          <w:tab w:pos="3228" w:val="left" w:leader="none"/>
          <w:tab w:pos="3883" w:val="left" w:leader="none"/>
          <w:tab w:pos="4821" w:val="left" w:leader="none"/>
          <w:tab w:pos="5360" w:val="left" w:leader="none"/>
          <w:tab w:pos="6386" w:val="left" w:leader="none"/>
        </w:tabs>
        <w:spacing w:before="0"/>
        <w:ind w:left="291" w:right="0" w:firstLine="0"/>
        <w:jc w:val="left"/>
        <w:rPr>
          <w:sz w:val="15"/>
        </w:rPr>
      </w:pPr>
      <w:r>
        <w:rPr>
          <w:color w:val="231F20"/>
          <w:sz w:val="15"/>
          <w:u w:val="thick" w:color="231F20"/>
        </w:rPr>
        <w:tab/>
        <w:t>Level</w:t>
      </w:r>
      <w:r>
        <w:rPr>
          <w:color w:val="231F20"/>
          <w:spacing w:val="2"/>
          <w:sz w:val="15"/>
          <w:u w:val="thick" w:color="231F20"/>
        </w:rPr>
        <w:t> </w:t>
      </w:r>
      <w:r>
        <w:rPr>
          <w:color w:val="231F20"/>
          <w:spacing w:val="-10"/>
          <w:sz w:val="15"/>
          <w:u w:val="thick" w:color="231F20"/>
        </w:rPr>
        <w:t>1</w:t>
      </w:r>
      <w:r>
        <w:rPr>
          <w:color w:val="231F20"/>
          <w:sz w:val="15"/>
          <w:u w:val="thick" w:color="231F20"/>
        </w:rPr>
        <w:tab/>
      </w:r>
      <w:r>
        <w:rPr>
          <w:color w:val="231F20"/>
          <w:spacing w:val="147"/>
          <w:sz w:val="15"/>
        </w:rPr>
        <w:t> </w:t>
      </w:r>
      <w:r>
        <w:rPr>
          <w:color w:val="231F20"/>
          <w:sz w:val="15"/>
          <w:u w:val="thick" w:color="231F20"/>
        </w:rPr>
        <w:tab/>
        <w:t>Level</w:t>
      </w:r>
      <w:r>
        <w:rPr>
          <w:color w:val="231F20"/>
          <w:spacing w:val="1"/>
          <w:sz w:val="15"/>
          <w:u w:val="thick" w:color="231F20"/>
        </w:rPr>
        <w:t> </w:t>
      </w:r>
      <w:r>
        <w:rPr>
          <w:color w:val="231F20"/>
          <w:spacing w:val="-10"/>
          <w:sz w:val="15"/>
          <w:u w:val="thick" w:color="231F20"/>
        </w:rPr>
        <w:t>2</w:t>
      </w:r>
      <w:r>
        <w:rPr>
          <w:color w:val="231F20"/>
          <w:sz w:val="15"/>
          <w:u w:val="thick" w:color="231F20"/>
        </w:rPr>
        <w:tab/>
      </w:r>
      <w:r>
        <w:rPr>
          <w:color w:val="231F20"/>
          <w:spacing w:val="147"/>
          <w:sz w:val="15"/>
        </w:rPr>
        <w:t> </w:t>
      </w:r>
      <w:r>
        <w:rPr>
          <w:color w:val="231F20"/>
          <w:sz w:val="15"/>
          <w:u w:val="thick" w:color="231F20"/>
        </w:rPr>
        <w:tab/>
        <w:t>Level</w:t>
      </w:r>
      <w:r>
        <w:rPr>
          <w:color w:val="231F20"/>
          <w:spacing w:val="2"/>
          <w:sz w:val="15"/>
          <w:u w:val="thick" w:color="231F20"/>
        </w:rPr>
        <w:t> </w:t>
      </w:r>
      <w:r>
        <w:rPr>
          <w:color w:val="231F20"/>
          <w:spacing w:val="-10"/>
          <w:sz w:val="15"/>
          <w:u w:val="thick" w:color="231F20"/>
        </w:rPr>
        <w:t>3</w:t>
      </w:r>
      <w:r>
        <w:rPr>
          <w:color w:val="231F20"/>
          <w:sz w:val="15"/>
          <w:u w:val="thick" w:color="231F20"/>
        </w:rPr>
        <w:tab/>
      </w:r>
      <w:r>
        <w:rPr>
          <w:color w:val="231F20"/>
          <w:spacing w:val="148"/>
          <w:sz w:val="15"/>
        </w:rPr>
        <w:t> </w:t>
      </w:r>
      <w:r>
        <w:rPr>
          <w:color w:val="231F20"/>
          <w:sz w:val="15"/>
          <w:u w:val="thick" w:color="231F20"/>
        </w:rPr>
        <w:tab/>
        <w:t>Fair</w:t>
      </w:r>
      <w:r>
        <w:rPr>
          <w:color w:val="231F20"/>
          <w:spacing w:val="2"/>
          <w:sz w:val="15"/>
          <w:u w:val="thick" w:color="231F20"/>
        </w:rPr>
        <w:t> </w:t>
      </w:r>
      <w:r>
        <w:rPr>
          <w:color w:val="231F20"/>
          <w:spacing w:val="-2"/>
          <w:sz w:val="15"/>
          <w:u w:val="thick" w:color="231F20"/>
        </w:rPr>
        <w:t>Value</w:t>
      </w:r>
      <w:r>
        <w:rPr>
          <w:color w:val="231F20"/>
          <w:sz w:val="15"/>
          <w:u w:val="thick" w:color="231F20"/>
        </w:rPr>
        <w:tab/>
      </w:r>
    </w:p>
    <w:p>
      <w:pPr>
        <w:spacing w:after="0"/>
        <w:jc w:val="left"/>
        <w:rPr>
          <w:sz w:val="15"/>
        </w:rPr>
        <w:sectPr>
          <w:type w:val="continuous"/>
          <w:pgSz w:w="12240" w:h="15840"/>
          <w:pgMar w:header="1282" w:footer="1097" w:top="1460" w:bottom="280" w:left="0" w:right="580"/>
          <w:cols w:num="2" w:equalWidth="0">
            <w:col w:w="4408" w:space="40"/>
            <w:col w:w="7212"/>
          </w:cols>
        </w:sectPr>
      </w:pPr>
    </w:p>
    <w:p>
      <w:pPr>
        <w:spacing w:before="22"/>
        <w:ind w:left="1866" w:right="0" w:firstLine="0"/>
        <w:jc w:val="left"/>
        <w:rPr>
          <w:sz w:val="15"/>
        </w:rPr>
      </w:pPr>
      <w:r>
        <w:rPr>
          <w:color w:val="231F20"/>
          <w:sz w:val="15"/>
        </w:rPr>
        <w:t>Common</w:t>
      </w:r>
      <w:r>
        <w:rPr>
          <w:color w:val="231F20"/>
          <w:spacing w:val="5"/>
          <w:sz w:val="15"/>
        </w:rPr>
        <w:t> </w:t>
      </w:r>
      <w:r>
        <w:rPr>
          <w:color w:val="231F20"/>
          <w:spacing w:val="-2"/>
          <w:sz w:val="15"/>
        </w:rPr>
        <w:t>stocks</w:t>
      </w:r>
    </w:p>
    <w:p>
      <w:pPr>
        <w:tabs>
          <w:tab w:pos="2346" w:val="left" w:leader="none"/>
          <w:tab w:pos="3386" w:val="left" w:leader="none"/>
          <w:tab w:pos="4541" w:val="left" w:leader="none"/>
          <w:tab w:pos="4950" w:val="left" w:leader="none"/>
        </w:tabs>
        <w:spacing w:before="22"/>
        <w:ind w:left="1821" w:right="0" w:firstLine="0"/>
        <w:jc w:val="left"/>
        <w:rPr>
          <w:sz w:val="15"/>
        </w:rPr>
      </w:pPr>
      <w:r>
        <w:rPr/>
        <w:br w:type="column"/>
      </w:r>
      <w:r>
        <w:rPr>
          <w:color w:val="231F20"/>
          <w:spacing w:val="-10"/>
          <w:sz w:val="15"/>
        </w:rPr>
        <w:t>$</w:t>
      </w:r>
      <w:r>
        <w:rPr>
          <w:color w:val="231F20"/>
          <w:sz w:val="15"/>
        </w:rPr>
        <w:tab/>
      </w:r>
      <w:r>
        <w:rPr>
          <w:color w:val="231F20"/>
          <w:spacing w:val="-2"/>
          <w:sz w:val="15"/>
        </w:rPr>
        <w:t>3,124,313</w:t>
      </w:r>
      <w:r>
        <w:rPr>
          <w:color w:val="231F20"/>
          <w:sz w:val="15"/>
        </w:rPr>
        <w:tab/>
      </w:r>
      <w:r>
        <w:rPr>
          <w:color w:val="231F20"/>
          <w:spacing w:val="-10"/>
          <w:sz w:val="15"/>
        </w:rPr>
        <w:t>$</w:t>
      </w:r>
      <w:r>
        <w:rPr>
          <w:color w:val="231F20"/>
          <w:sz w:val="15"/>
        </w:rPr>
        <w:tab/>
      </w:r>
      <w:r>
        <w:rPr>
          <w:color w:val="231F20"/>
          <w:spacing w:val="-10"/>
          <w:sz w:val="15"/>
        </w:rPr>
        <w:t>-</w:t>
      </w:r>
      <w:r>
        <w:rPr>
          <w:color w:val="231F20"/>
          <w:sz w:val="15"/>
        </w:rPr>
        <w:tab/>
      </w:r>
      <w:r>
        <w:rPr>
          <w:color w:val="231F20"/>
          <w:spacing w:val="-10"/>
          <w:sz w:val="15"/>
        </w:rPr>
        <w:t>$</w:t>
      </w:r>
    </w:p>
    <w:p>
      <w:pPr>
        <w:tabs>
          <w:tab w:pos="1467" w:val="left" w:leader="none"/>
          <w:tab w:pos="1994" w:val="left" w:leader="none"/>
        </w:tabs>
        <w:spacing w:before="22"/>
        <w:ind w:left="1060" w:right="0" w:firstLine="0"/>
        <w:jc w:val="left"/>
        <w:rPr>
          <w:sz w:val="15"/>
        </w:rPr>
      </w:pPr>
      <w:r>
        <w:rPr/>
        <w:br w:type="column"/>
      </w:r>
      <w:r>
        <w:rPr>
          <w:color w:val="231F20"/>
          <w:spacing w:val="-10"/>
          <w:sz w:val="15"/>
        </w:rPr>
        <w:t>-</w:t>
      </w:r>
      <w:r>
        <w:rPr>
          <w:color w:val="231F20"/>
          <w:sz w:val="15"/>
        </w:rPr>
        <w:tab/>
      </w:r>
      <w:r>
        <w:rPr>
          <w:color w:val="231F20"/>
          <w:spacing w:val="-10"/>
          <w:sz w:val="15"/>
        </w:rPr>
        <w:t>$</w:t>
      </w:r>
      <w:r>
        <w:rPr>
          <w:color w:val="231F20"/>
          <w:sz w:val="15"/>
        </w:rPr>
        <w:tab/>
      </w:r>
      <w:r>
        <w:rPr>
          <w:color w:val="231F20"/>
          <w:spacing w:val="-2"/>
          <w:sz w:val="15"/>
        </w:rPr>
        <w:t>3,124,313</w:t>
      </w:r>
    </w:p>
    <w:p>
      <w:pPr>
        <w:spacing w:after="0"/>
        <w:jc w:val="left"/>
        <w:rPr>
          <w:sz w:val="15"/>
        </w:rPr>
        <w:sectPr>
          <w:type w:val="continuous"/>
          <w:pgSz w:w="12240" w:h="15840"/>
          <w:pgMar w:header="1282" w:footer="1097" w:top="1460" w:bottom="280" w:left="0" w:right="580"/>
          <w:cols w:num="3" w:equalWidth="0">
            <w:col w:w="2960" w:space="40"/>
            <w:col w:w="5035" w:space="39"/>
            <w:col w:w="3586"/>
          </w:cols>
        </w:sectPr>
      </w:pPr>
    </w:p>
    <w:p>
      <w:pPr>
        <w:tabs>
          <w:tab w:pos="5475" w:val="left" w:leader="none"/>
          <w:tab w:pos="7541" w:val="left" w:leader="none"/>
          <w:tab w:pos="9135" w:val="left" w:leader="none"/>
          <w:tab w:pos="10197" w:val="left" w:leader="none"/>
        </w:tabs>
        <w:spacing w:before="21"/>
        <w:ind w:left="1866" w:right="0" w:firstLine="0"/>
        <w:jc w:val="left"/>
        <w:rPr>
          <w:sz w:val="15"/>
        </w:rPr>
      </w:pPr>
      <w:r>
        <w:rPr/>
        <w:pict>
          <v:rect style="position:absolute;margin-left:236.940002pt;margin-top:470.281006pt;width:68.7pt;height:1.02pt;mso-position-horizontal-relative:page;mso-position-vertical-relative:page;z-index:-28349952" id="docshape275" filled="true" fillcolor="#231f20" stroked="false">
            <v:fill type="solid"/>
            <w10:wrap type="none"/>
          </v:rect>
        </w:pict>
      </w:r>
      <w:r>
        <w:rPr/>
        <w:pict>
          <v:rect style="position:absolute;margin-left:315.181pt;margin-top:470.281006pt;width:68.64pt;height:1.02pt;mso-position-horizontal-relative:page;mso-position-vertical-relative:page;z-index:-28349440" id="docshape276" filled="true" fillcolor="#231f20" stroked="false">
            <v:fill type="solid"/>
            <w10:wrap type="none"/>
          </v:rect>
        </w:pict>
      </w:r>
      <w:r>
        <w:rPr/>
        <w:pict>
          <v:rect style="position:absolute;margin-left:393.360992pt;margin-top:470.281006pt;width:70.08pt;height:1.02pt;mso-position-horizontal-relative:page;mso-position-vertical-relative:page;z-index:-28348416" id="docshape277" filled="true" fillcolor="#231f20" stroked="false">
            <v:fill type="solid"/>
            <w10:wrap type="none"/>
          </v:rect>
        </w:pict>
      </w:r>
      <w:r>
        <w:rPr/>
        <w:pict>
          <v:rect style="position:absolute;margin-left:473.040985pt;margin-top:560.820923pt;width:68.64pt;height:.96005pt;mso-position-horizontal-relative:page;mso-position-vertical-relative:page;z-index:15765504" id="docshape278" filled="true" fillcolor="#231f20" stroked="false">
            <v:fill type="solid"/>
            <w10:wrap type="none"/>
          </v:rect>
        </w:pict>
      </w:r>
      <w:r>
        <w:rPr>
          <w:color w:val="231F20"/>
          <w:sz w:val="15"/>
        </w:rPr>
        <w:t>Money</w:t>
      </w:r>
      <w:r>
        <w:rPr>
          <w:color w:val="231F20"/>
          <w:spacing w:val="1"/>
          <w:sz w:val="15"/>
        </w:rPr>
        <w:t> </w:t>
      </w:r>
      <w:r>
        <w:rPr>
          <w:color w:val="231F20"/>
          <w:sz w:val="15"/>
        </w:rPr>
        <w:t>market</w:t>
      </w:r>
      <w:r>
        <w:rPr>
          <w:color w:val="231F20"/>
          <w:spacing w:val="5"/>
          <w:sz w:val="15"/>
        </w:rPr>
        <w:t> </w:t>
      </w:r>
      <w:r>
        <w:rPr>
          <w:color w:val="231F20"/>
          <w:spacing w:val="-2"/>
          <w:sz w:val="15"/>
        </w:rPr>
        <w:t>funds</w:t>
      </w:r>
      <w:r>
        <w:rPr>
          <w:color w:val="231F20"/>
          <w:sz w:val="15"/>
        </w:rPr>
        <w:tab/>
      </w:r>
      <w:r>
        <w:rPr>
          <w:color w:val="231F20"/>
          <w:spacing w:val="-2"/>
          <w:sz w:val="15"/>
        </w:rPr>
        <w:t>182,122</w:t>
      </w:r>
      <w:r>
        <w:rPr>
          <w:color w:val="231F20"/>
          <w:sz w:val="15"/>
        </w:rPr>
        <w:tab/>
      </w:r>
      <w:r>
        <w:rPr>
          <w:color w:val="231F20"/>
          <w:spacing w:val="-10"/>
          <w:sz w:val="15"/>
        </w:rPr>
        <w:t>-</w:t>
      </w:r>
      <w:r>
        <w:rPr>
          <w:color w:val="231F20"/>
          <w:sz w:val="15"/>
        </w:rPr>
        <w:tab/>
      </w:r>
      <w:r>
        <w:rPr>
          <w:color w:val="231F20"/>
          <w:spacing w:val="-10"/>
          <w:sz w:val="15"/>
        </w:rPr>
        <w:t>-</w:t>
      </w:r>
      <w:r>
        <w:rPr>
          <w:color w:val="231F20"/>
          <w:sz w:val="15"/>
        </w:rPr>
        <w:tab/>
      </w:r>
      <w:r>
        <w:rPr>
          <w:color w:val="231F20"/>
          <w:spacing w:val="-2"/>
          <w:sz w:val="15"/>
        </w:rPr>
        <w:t>182,122</w:t>
      </w:r>
    </w:p>
    <w:p>
      <w:pPr>
        <w:tabs>
          <w:tab w:pos="5560" w:val="left" w:leader="none"/>
          <w:tab w:pos="7541" w:val="left" w:leader="none"/>
          <w:tab w:pos="9135" w:val="left" w:leader="none"/>
          <w:tab w:pos="10282" w:val="left" w:leader="none"/>
        </w:tabs>
        <w:spacing w:before="20"/>
        <w:ind w:left="1866" w:right="0" w:firstLine="0"/>
        <w:jc w:val="left"/>
        <w:rPr>
          <w:sz w:val="15"/>
        </w:rPr>
      </w:pPr>
      <w:r>
        <w:rPr>
          <w:color w:val="231F20"/>
          <w:sz w:val="15"/>
        </w:rPr>
        <w:t>Corporate</w:t>
      </w:r>
      <w:r>
        <w:rPr>
          <w:color w:val="231F20"/>
          <w:spacing w:val="5"/>
          <w:sz w:val="15"/>
        </w:rPr>
        <w:t> </w:t>
      </w:r>
      <w:r>
        <w:rPr>
          <w:color w:val="231F20"/>
          <w:sz w:val="15"/>
        </w:rPr>
        <w:t>debt</w:t>
      </w:r>
      <w:r>
        <w:rPr>
          <w:color w:val="231F20"/>
          <w:spacing w:val="3"/>
          <w:sz w:val="15"/>
        </w:rPr>
        <w:t> </w:t>
      </w:r>
      <w:r>
        <w:rPr>
          <w:color w:val="231F20"/>
          <w:spacing w:val="-2"/>
          <w:sz w:val="15"/>
        </w:rPr>
        <w:t>securities</w:t>
      </w:r>
      <w:r>
        <w:rPr>
          <w:color w:val="231F20"/>
          <w:sz w:val="15"/>
        </w:rPr>
        <w:tab/>
      </w:r>
      <w:r>
        <w:rPr>
          <w:color w:val="231F20"/>
          <w:spacing w:val="-2"/>
          <w:sz w:val="15"/>
        </w:rPr>
        <w:t>60,671</w:t>
      </w:r>
      <w:r>
        <w:rPr>
          <w:color w:val="231F20"/>
          <w:sz w:val="15"/>
        </w:rPr>
        <w:tab/>
      </w:r>
      <w:r>
        <w:rPr>
          <w:color w:val="231F20"/>
          <w:spacing w:val="-10"/>
          <w:sz w:val="15"/>
        </w:rPr>
        <w:t>-</w:t>
      </w:r>
      <w:r>
        <w:rPr>
          <w:color w:val="231F20"/>
          <w:sz w:val="15"/>
        </w:rPr>
        <w:tab/>
      </w:r>
      <w:r>
        <w:rPr>
          <w:color w:val="231F20"/>
          <w:spacing w:val="-10"/>
          <w:sz w:val="15"/>
        </w:rPr>
        <w:t>-</w:t>
      </w:r>
      <w:r>
        <w:rPr>
          <w:color w:val="231F20"/>
          <w:sz w:val="15"/>
        </w:rPr>
        <w:tab/>
      </w:r>
      <w:r>
        <w:rPr>
          <w:color w:val="231F20"/>
          <w:spacing w:val="-2"/>
          <w:sz w:val="15"/>
        </w:rPr>
        <w:t>60,671</w:t>
      </w:r>
    </w:p>
    <w:p>
      <w:pPr>
        <w:tabs>
          <w:tab w:pos="5772" w:val="left" w:leader="none"/>
          <w:tab w:pos="7541" w:val="left" w:leader="none"/>
          <w:tab w:pos="9135" w:val="left" w:leader="none"/>
          <w:tab w:pos="10750" w:val="right" w:leader="none"/>
        </w:tabs>
        <w:spacing w:before="22"/>
        <w:ind w:left="1866" w:right="0" w:firstLine="0"/>
        <w:jc w:val="left"/>
        <w:rPr>
          <w:sz w:val="15"/>
        </w:rPr>
      </w:pPr>
      <w:r>
        <w:rPr>
          <w:color w:val="231F20"/>
          <w:sz w:val="15"/>
        </w:rPr>
        <w:t>Government</w:t>
      </w:r>
      <w:r>
        <w:rPr>
          <w:color w:val="231F20"/>
          <w:spacing w:val="4"/>
          <w:sz w:val="15"/>
        </w:rPr>
        <w:t> </w:t>
      </w:r>
      <w:r>
        <w:rPr>
          <w:color w:val="231F20"/>
          <w:sz w:val="15"/>
        </w:rPr>
        <w:t>debt</w:t>
      </w:r>
      <w:r>
        <w:rPr>
          <w:color w:val="231F20"/>
          <w:spacing w:val="4"/>
          <w:sz w:val="15"/>
        </w:rPr>
        <w:t> </w:t>
      </w:r>
      <w:r>
        <w:rPr>
          <w:color w:val="231F20"/>
          <w:spacing w:val="-2"/>
          <w:w w:val="95"/>
          <w:sz w:val="15"/>
        </w:rPr>
        <w:t>securities</w:t>
      </w:r>
      <w:r>
        <w:rPr>
          <w:color w:val="231F20"/>
          <w:sz w:val="15"/>
        </w:rPr>
        <w:tab/>
      </w:r>
      <w:r>
        <w:rPr>
          <w:color w:val="231F20"/>
          <w:spacing w:val="-5"/>
          <w:sz w:val="15"/>
        </w:rPr>
        <w:t>137</w:t>
      </w:r>
      <w:r>
        <w:rPr>
          <w:color w:val="231F20"/>
          <w:sz w:val="15"/>
        </w:rPr>
        <w:tab/>
      </w:r>
      <w:r>
        <w:rPr>
          <w:color w:val="231F20"/>
          <w:spacing w:val="-10"/>
          <w:sz w:val="15"/>
        </w:rPr>
        <w:t>-</w:t>
      </w:r>
      <w:r>
        <w:rPr>
          <w:color w:val="231F20"/>
          <w:sz w:val="15"/>
        </w:rPr>
        <w:tab/>
      </w:r>
      <w:r>
        <w:rPr>
          <w:color w:val="231F20"/>
          <w:spacing w:val="-10"/>
          <w:sz w:val="15"/>
        </w:rPr>
        <w:t>-</w:t>
      </w:r>
      <w:r>
        <w:rPr>
          <w:color w:val="231F20"/>
          <w:sz w:val="15"/>
        </w:rPr>
        <w:tab/>
      </w:r>
      <w:r>
        <w:rPr>
          <w:color w:val="231F20"/>
          <w:spacing w:val="-5"/>
          <w:sz w:val="15"/>
        </w:rPr>
        <w:t>137</w:t>
      </w:r>
    </w:p>
    <w:p>
      <w:pPr>
        <w:tabs>
          <w:tab w:pos="5475" w:val="left" w:leader="none"/>
          <w:tab w:pos="7541" w:val="left" w:leader="none"/>
          <w:tab w:pos="9135" w:val="left" w:leader="none"/>
          <w:tab w:pos="10197" w:val="left" w:leader="none"/>
        </w:tabs>
        <w:spacing w:before="21"/>
        <w:ind w:left="1866" w:right="0" w:firstLine="0"/>
        <w:jc w:val="left"/>
        <w:rPr>
          <w:sz w:val="15"/>
        </w:rPr>
      </w:pPr>
      <w:r>
        <w:rPr>
          <w:color w:val="231F20"/>
          <w:sz w:val="15"/>
        </w:rPr>
        <w:t>Mutual</w:t>
      </w:r>
      <w:r>
        <w:rPr>
          <w:color w:val="231F20"/>
          <w:spacing w:val="3"/>
          <w:sz w:val="15"/>
        </w:rPr>
        <w:t> </w:t>
      </w:r>
      <w:r>
        <w:rPr>
          <w:color w:val="231F20"/>
          <w:spacing w:val="-2"/>
          <w:sz w:val="15"/>
        </w:rPr>
        <w:t>funds</w:t>
      </w:r>
      <w:r>
        <w:rPr>
          <w:color w:val="231F20"/>
          <w:sz w:val="15"/>
        </w:rPr>
        <w:tab/>
      </w:r>
      <w:r>
        <w:rPr>
          <w:color w:val="231F20"/>
          <w:spacing w:val="-2"/>
          <w:sz w:val="15"/>
        </w:rPr>
        <w:t>771,386</w:t>
      </w:r>
      <w:r>
        <w:rPr>
          <w:color w:val="231F20"/>
          <w:sz w:val="15"/>
        </w:rPr>
        <w:tab/>
      </w:r>
      <w:r>
        <w:rPr>
          <w:color w:val="231F20"/>
          <w:spacing w:val="-10"/>
          <w:sz w:val="15"/>
        </w:rPr>
        <w:t>-</w:t>
      </w:r>
      <w:r>
        <w:rPr>
          <w:color w:val="231F20"/>
          <w:sz w:val="15"/>
        </w:rPr>
        <w:tab/>
      </w:r>
      <w:r>
        <w:rPr>
          <w:color w:val="231F20"/>
          <w:spacing w:val="-10"/>
          <w:sz w:val="15"/>
        </w:rPr>
        <w:t>-</w:t>
      </w:r>
      <w:r>
        <w:rPr>
          <w:color w:val="231F20"/>
          <w:sz w:val="15"/>
        </w:rPr>
        <w:tab/>
      </w:r>
      <w:r>
        <w:rPr>
          <w:color w:val="231F20"/>
          <w:spacing w:val="-2"/>
          <w:sz w:val="15"/>
        </w:rPr>
        <w:t>771,386</w:t>
      </w:r>
    </w:p>
    <w:p>
      <w:pPr>
        <w:pStyle w:val="BodyText"/>
        <w:spacing w:before="10"/>
        <w:rPr>
          <w:sz w:val="19"/>
        </w:rPr>
      </w:pPr>
    </w:p>
    <w:tbl>
      <w:tblPr>
        <w:tblW w:w="0" w:type="auto"/>
        <w:jc w:val="left"/>
        <w:tblInd w:w="1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3"/>
        <w:gridCol w:w="1744"/>
        <w:gridCol w:w="1564"/>
        <w:gridCol w:w="1593"/>
        <w:gridCol w:w="1519"/>
      </w:tblGrid>
      <w:tr>
        <w:trPr>
          <w:trHeight w:val="387" w:hRule="atLeast"/>
        </w:trPr>
        <w:tc>
          <w:tcPr>
            <w:tcW w:w="9453" w:type="dxa"/>
            <w:gridSpan w:val="5"/>
          </w:tcPr>
          <w:p>
            <w:pPr>
              <w:pStyle w:val="TableParagraph"/>
              <w:spacing w:line="170" w:lineRule="exact"/>
              <w:ind w:left="49"/>
              <w:rPr>
                <w:sz w:val="15"/>
              </w:rPr>
            </w:pPr>
            <w:r>
              <w:rPr>
                <w:color w:val="231F20"/>
                <w:sz w:val="15"/>
              </w:rPr>
              <w:t>Investments</w:t>
            </w:r>
            <w:r>
              <w:rPr>
                <w:color w:val="231F20"/>
                <w:spacing w:val="3"/>
                <w:sz w:val="15"/>
              </w:rPr>
              <w:t> </w:t>
            </w:r>
            <w:r>
              <w:rPr>
                <w:color w:val="231F20"/>
                <w:sz w:val="15"/>
              </w:rPr>
              <w:t>held</w:t>
            </w:r>
            <w:r>
              <w:rPr>
                <w:color w:val="231F20"/>
                <w:spacing w:val="4"/>
                <w:sz w:val="15"/>
              </w:rPr>
              <w:t> </w:t>
            </w:r>
            <w:r>
              <w:rPr>
                <w:color w:val="231F20"/>
                <w:sz w:val="15"/>
              </w:rPr>
              <w:t>with</w:t>
            </w:r>
            <w:r>
              <w:rPr>
                <w:color w:val="231F20"/>
                <w:spacing w:val="3"/>
                <w:sz w:val="15"/>
              </w:rPr>
              <w:t> </w:t>
            </w:r>
            <w:r>
              <w:rPr>
                <w:color w:val="231F20"/>
                <w:sz w:val="15"/>
              </w:rPr>
              <w:t>the</w:t>
            </w:r>
            <w:r>
              <w:rPr>
                <w:color w:val="231F20"/>
                <w:spacing w:val="3"/>
                <w:sz w:val="15"/>
              </w:rPr>
              <w:t> </w:t>
            </w:r>
            <w:r>
              <w:rPr>
                <w:color w:val="231F20"/>
                <w:sz w:val="15"/>
              </w:rPr>
              <w:t>New</w:t>
            </w:r>
            <w:r>
              <w:rPr>
                <w:color w:val="231F20"/>
                <w:spacing w:val="1"/>
                <w:sz w:val="15"/>
              </w:rPr>
              <w:t> </w:t>
            </w:r>
            <w:r>
              <w:rPr>
                <w:color w:val="231F20"/>
                <w:spacing w:val="-2"/>
                <w:sz w:val="15"/>
              </w:rPr>
              <w:t>Mexico</w:t>
            </w:r>
          </w:p>
          <w:p>
            <w:pPr>
              <w:pStyle w:val="TableParagraph"/>
              <w:spacing w:before="22"/>
              <w:ind w:left="242"/>
              <w:rPr>
                <w:sz w:val="15"/>
              </w:rPr>
            </w:pPr>
            <w:r>
              <w:rPr>
                <w:color w:val="231F20"/>
                <w:sz w:val="15"/>
              </w:rPr>
              <w:t>State</w:t>
            </w:r>
            <w:r>
              <w:rPr>
                <w:color w:val="231F20"/>
                <w:spacing w:val="3"/>
                <w:sz w:val="15"/>
              </w:rPr>
              <w:t> </w:t>
            </w:r>
            <w:r>
              <w:rPr>
                <w:color w:val="231F20"/>
                <w:sz w:val="15"/>
              </w:rPr>
              <w:t>Investment</w:t>
            </w:r>
            <w:r>
              <w:rPr>
                <w:color w:val="231F20"/>
                <w:spacing w:val="3"/>
                <w:sz w:val="15"/>
              </w:rPr>
              <w:t> </w:t>
            </w:r>
            <w:r>
              <w:rPr>
                <w:color w:val="231F20"/>
                <w:sz w:val="15"/>
              </w:rPr>
              <w:t>Council</w:t>
            </w:r>
            <w:r>
              <w:rPr>
                <w:color w:val="231F20"/>
                <w:spacing w:val="4"/>
                <w:sz w:val="15"/>
              </w:rPr>
              <w:t> </w:t>
            </w:r>
            <w:r>
              <w:rPr>
                <w:color w:val="231F20"/>
                <w:sz w:val="15"/>
              </w:rPr>
              <w:t>(SIC)</w:t>
            </w:r>
            <w:r>
              <w:rPr>
                <w:color w:val="231F20"/>
                <w:spacing w:val="3"/>
                <w:sz w:val="15"/>
              </w:rPr>
              <w:t> </w:t>
            </w:r>
            <w:r>
              <w:rPr>
                <w:color w:val="231F20"/>
                <w:sz w:val="15"/>
              </w:rPr>
              <w:t>pooled</w:t>
            </w:r>
            <w:r>
              <w:rPr>
                <w:color w:val="231F20"/>
                <w:spacing w:val="4"/>
                <w:sz w:val="15"/>
              </w:rPr>
              <w:t> </w:t>
            </w:r>
            <w:r>
              <w:rPr>
                <w:color w:val="231F20"/>
                <w:spacing w:val="-2"/>
                <w:sz w:val="15"/>
              </w:rPr>
              <w:t>funds:</w:t>
            </w:r>
          </w:p>
        </w:tc>
      </w:tr>
      <w:tr>
        <w:trPr>
          <w:trHeight w:val="182" w:hRule="atLeast"/>
        </w:trPr>
        <w:tc>
          <w:tcPr>
            <w:tcW w:w="3033" w:type="dxa"/>
          </w:tcPr>
          <w:p>
            <w:pPr>
              <w:pStyle w:val="TableParagraph"/>
              <w:spacing w:line="162" w:lineRule="exact"/>
              <w:ind w:left="434"/>
              <w:rPr>
                <w:sz w:val="15"/>
              </w:rPr>
            </w:pPr>
            <w:r>
              <w:rPr>
                <w:color w:val="231F20"/>
                <w:sz w:val="15"/>
              </w:rPr>
              <w:t>U.S.</w:t>
            </w:r>
            <w:r>
              <w:rPr>
                <w:color w:val="231F20"/>
                <w:spacing w:val="2"/>
                <w:sz w:val="15"/>
              </w:rPr>
              <w:t> </w:t>
            </w:r>
            <w:r>
              <w:rPr>
                <w:color w:val="231F20"/>
                <w:sz w:val="15"/>
              </w:rPr>
              <w:t>Large</w:t>
            </w:r>
            <w:r>
              <w:rPr>
                <w:color w:val="231F20"/>
                <w:spacing w:val="3"/>
                <w:sz w:val="15"/>
              </w:rPr>
              <w:t> </w:t>
            </w:r>
            <w:r>
              <w:rPr>
                <w:color w:val="231F20"/>
                <w:sz w:val="15"/>
              </w:rPr>
              <w:t>Cap</w:t>
            </w:r>
            <w:r>
              <w:rPr>
                <w:color w:val="231F20"/>
                <w:spacing w:val="5"/>
                <w:sz w:val="15"/>
              </w:rPr>
              <w:t> </w:t>
            </w:r>
            <w:r>
              <w:rPr>
                <w:color w:val="231F20"/>
                <w:sz w:val="15"/>
              </w:rPr>
              <w:t>Index </w:t>
            </w:r>
            <w:r>
              <w:rPr>
                <w:color w:val="231F20"/>
                <w:spacing w:val="-4"/>
                <w:sz w:val="15"/>
              </w:rPr>
              <w:t>Pool</w:t>
            </w:r>
          </w:p>
        </w:tc>
        <w:tc>
          <w:tcPr>
            <w:tcW w:w="1744" w:type="dxa"/>
          </w:tcPr>
          <w:p>
            <w:pPr>
              <w:pStyle w:val="TableParagraph"/>
              <w:spacing w:line="162" w:lineRule="exact"/>
              <w:ind w:right="178"/>
              <w:jc w:val="right"/>
              <w:rPr>
                <w:sz w:val="15"/>
              </w:rPr>
            </w:pPr>
            <w:r>
              <w:rPr>
                <w:color w:val="231F20"/>
                <w:spacing w:val="-2"/>
                <w:sz w:val="15"/>
              </w:rPr>
              <w:t>17,567,910</w:t>
            </w:r>
          </w:p>
        </w:tc>
        <w:tc>
          <w:tcPr>
            <w:tcW w:w="1564" w:type="dxa"/>
          </w:tcPr>
          <w:p>
            <w:pPr>
              <w:pStyle w:val="TableParagraph"/>
              <w:spacing w:line="162" w:lineRule="exact"/>
              <w:ind w:right="178"/>
              <w:jc w:val="right"/>
              <w:rPr>
                <w:sz w:val="15"/>
              </w:rPr>
            </w:pPr>
            <w:r>
              <w:rPr>
                <w:color w:val="231F20"/>
                <w:w w:val="101"/>
                <w:sz w:val="15"/>
              </w:rPr>
              <w:t>-</w:t>
            </w:r>
          </w:p>
        </w:tc>
        <w:tc>
          <w:tcPr>
            <w:tcW w:w="1593" w:type="dxa"/>
          </w:tcPr>
          <w:p>
            <w:pPr>
              <w:pStyle w:val="TableParagraph"/>
              <w:spacing w:line="162" w:lineRule="exact"/>
              <w:ind w:right="176"/>
              <w:jc w:val="right"/>
              <w:rPr>
                <w:sz w:val="15"/>
              </w:rPr>
            </w:pPr>
            <w:r>
              <w:rPr>
                <w:color w:val="231F20"/>
                <w:w w:val="101"/>
                <w:sz w:val="15"/>
              </w:rPr>
              <w:t>-</w:t>
            </w:r>
          </w:p>
        </w:tc>
        <w:tc>
          <w:tcPr>
            <w:tcW w:w="1519" w:type="dxa"/>
          </w:tcPr>
          <w:p>
            <w:pPr>
              <w:pStyle w:val="TableParagraph"/>
              <w:spacing w:line="162" w:lineRule="exact"/>
              <w:ind w:right="130"/>
              <w:jc w:val="right"/>
              <w:rPr>
                <w:sz w:val="15"/>
              </w:rPr>
            </w:pPr>
            <w:r>
              <w:rPr>
                <w:color w:val="231F20"/>
                <w:spacing w:val="-2"/>
                <w:sz w:val="15"/>
              </w:rPr>
              <w:t>17,567,910</w:t>
            </w:r>
          </w:p>
        </w:tc>
      </w:tr>
      <w:tr>
        <w:trPr>
          <w:trHeight w:val="195" w:hRule="atLeast"/>
        </w:trPr>
        <w:tc>
          <w:tcPr>
            <w:tcW w:w="3033" w:type="dxa"/>
          </w:tcPr>
          <w:p>
            <w:pPr>
              <w:pStyle w:val="TableParagraph"/>
              <w:spacing w:line="166" w:lineRule="exact" w:before="9"/>
              <w:ind w:left="435"/>
              <w:rPr>
                <w:sz w:val="15"/>
              </w:rPr>
            </w:pPr>
            <w:r>
              <w:rPr>
                <w:color w:val="231F20"/>
                <w:sz w:val="15"/>
              </w:rPr>
              <w:t>U.S.</w:t>
            </w:r>
            <w:r>
              <w:rPr>
                <w:color w:val="231F20"/>
                <w:spacing w:val="1"/>
                <w:sz w:val="15"/>
              </w:rPr>
              <w:t> </w:t>
            </w:r>
            <w:r>
              <w:rPr>
                <w:color w:val="231F20"/>
                <w:sz w:val="15"/>
              </w:rPr>
              <w:t>Small/Mid</w:t>
            </w:r>
            <w:r>
              <w:rPr>
                <w:color w:val="231F20"/>
                <w:spacing w:val="3"/>
                <w:sz w:val="15"/>
              </w:rPr>
              <w:t> </w:t>
            </w:r>
            <w:r>
              <w:rPr>
                <w:color w:val="231F20"/>
                <w:sz w:val="15"/>
              </w:rPr>
              <w:t>Cap</w:t>
            </w:r>
            <w:r>
              <w:rPr>
                <w:color w:val="231F20"/>
                <w:spacing w:val="4"/>
                <w:sz w:val="15"/>
              </w:rPr>
              <w:t> </w:t>
            </w:r>
            <w:r>
              <w:rPr>
                <w:color w:val="231F20"/>
                <w:spacing w:val="-4"/>
                <w:sz w:val="15"/>
              </w:rPr>
              <w:t>Pool</w:t>
            </w:r>
          </w:p>
        </w:tc>
        <w:tc>
          <w:tcPr>
            <w:tcW w:w="1744" w:type="dxa"/>
          </w:tcPr>
          <w:p>
            <w:pPr>
              <w:pStyle w:val="TableParagraph"/>
              <w:spacing w:line="166" w:lineRule="exact" w:before="9"/>
              <w:ind w:right="178"/>
              <w:jc w:val="right"/>
              <w:rPr>
                <w:sz w:val="15"/>
              </w:rPr>
            </w:pPr>
            <w:r>
              <w:rPr>
                <w:color w:val="231F20"/>
                <w:spacing w:val="-2"/>
                <w:sz w:val="15"/>
              </w:rPr>
              <w:t>4,381,166</w:t>
            </w:r>
          </w:p>
        </w:tc>
        <w:tc>
          <w:tcPr>
            <w:tcW w:w="1564" w:type="dxa"/>
          </w:tcPr>
          <w:p>
            <w:pPr>
              <w:pStyle w:val="TableParagraph"/>
              <w:spacing w:line="166" w:lineRule="exact" w:before="9"/>
              <w:ind w:right="179"/>
              <w:jc w:val="right"/>
              <w:rPr>
                <w:sz w:val="15"/>
              </w:rPr>
            </w:pPr>
            <w:r>
              <w:rPr>
                <w:color w:val="231F20"/>
                <w:w w:val="101"/>
                <w:sz w:val="15"/>
              </w:rPr>
              <w:t>-</w:t>
            </w:r>
          </w:p>
        </w:tc>
        <w:tc>
          <w:tcPr>
            <w:tcW w:w="1593" w:type="dxa"/>
          </w:tcPr>
          <w:p>
            <w:pPr>
              <w:pStyle w:val="TableParagraph"/>
              <w:spacing w:line="166" w:lineRule="exact" w:before="9"/>
              <w:ind w:right="176"/>
              <w:jc w:val="right"/>
              <w:rPr>
                <w:sz w:val="15"/>
              </w:rPr>
            </w:pPr>
            <w:r>
              <w:rPr>
                <w:color w:val="231F20"/>
                <w:w w:val="101"/>
                <w:sz w:val="15"/>
              </w:rPr>
              <w:t>-</w:t>
            </w:r>
          </w:p>
        </w:tc>
        <w:tc>
          <w:tcPr>
            <w:tcW w:w="1519" w:type="dxa"/>
          </w:tcPr>
          <w:p>
            <w:pPr>
              <w:pStyle w:val="TableParagraph"/>
              <w:spacing w:line="166" w:lineRule="exact" w:before="9"/>
              <w:ind w:right="130"/>
              <w:jc w:val="right"/>
              <w:rPr>
                <w:sz w:val="15"/>
              </w:rPr>
            </w:pPr>
            <w:r>
              <w:rPr>
                <w:color w:val="231F20"/>
                <w:spacing w:val="-2"/>
                <w:sz w:val="15"/>
              </w:rPr>
              <w:t>4,381,166</w:t>
            </w:r>
          </w:p>
        </w:tc>
      </w:tr>
      <w:tr>
        <w:trPr>
          <w:trHeight w:val="195" w:hRule="atLeast"/>
        </w:trPr>
        <w:tc>
          <w:tcPr>
            <w:tcW w:w="3033" w:type="dxa"/>
          </w:tcPr>
          <w:p>
            <w:pPr>
              <w:pStyle w:val="TableParagraph"/>
              <w:spacing w:line="165" w:lineRule="exact" w:before="10"/>
              <w:ind w:left="435"/>
              <w:rPr>
                <w:sz w:val="15"/>
              </w:rPr>
            </w:pPr>
            <w:r>
              <w:rPr>
                <w:color w:val="231F20"/>
                <w:sz w:val="15"/>
              </w:rPr>
              <w:t>Non</w:t>
            </w:r>
            <w:r>
              <w:rPr>
                <w:color w:val="231F20"/>
                <w:spacing w:val="3"/>
                <w:sz w:val="15"/>
              </w:rPr>
              <w:t> </w:t>
            </w:r>
            <w:r>
              <w:rPr>
                <w:color w:val="231F20"/>
                <w:sz w:val="15"/>
              </w:rPr>
              <w:t>U.S.</w:t>
            </w:r>
            <w:r>
              <w:rPr>
                <w:color w:val="231F20"/>
                <w:spacing w:val="4"/>
                <w:sz w:val="15"/>
              </w:rPr>
              <w:t> </w:t>
            </w:r>
            <w:r>
              <w:rPr>
                <w:color w:val="231F20"/>
                <w:sz w:val="15"/>
              </w:rPr>
              <w:t>Developed</w:t>
            </w:r>
            <w:r>
              <w:rPr>
                <w:color w:val="231F20"/>
                <w:spacing w:val="4"/>
                <w:sz w:val="15"/>
              </w:rPr>
              <w:t> </w:t>
            </w:r>
            <w:r>
              <w:rPr>
                <w:color w:val="231F20"/>
                <w:sz w:val="15"/>
              </w:rPr>
              <w:t>Markets</w:t>
            </w:r>
            <w:r>
              <w:rPr>
                <w:color w:val="231F20"/>
                <w:spacing w:val="4"/>
                <w:sz w:val="15"/>
              </w:rPr>
              <w:t> </w:t>
            </w:r>
            <w:r>
              <w:rPr>
                <w:color w:val="231F20"/>
                <w:spacing w:val="-4"/>
                <w:sz w:val="15"/>
              </w:rPr>
              <w:t>Pool</w:t>
            </w:r>
          </w:p>
        </w:tc>
        <w:tc>
          <w:tcPr>
            <w:tcW w:w="1744" w:type="dxa"/>
          </w:tcPr>
          <w:p>
            <w:pPr>
              <w:pStyle w:val="TableParagraph"/>
              <w:spacing w:line="165" w:lineRule="exact" w:before="10"/>
              <w:ind w:right="178"/>
              <w:jc w:val="right"/>
              <w:rPr>
                <w:sz w:val="15"/>
              </w:rPr>
            </w:pPr>
            <w:r>
              <w:rPr>
                <w:color w:val="231F20"/>
                <w:spacing w:val="-2"/>
                <w:sz w:val="15"/>
              </w:rPr>
              <w:t>14,561,876</w:t>
            </w:r>
          </w:p>
        </w:tc>
        <w:tc>
          <w:tcPr>
            <w:tcW w:w="1564" w:type="dxa"/>
          </w:tcPr>
          <w:p>
            <w:pPr>
              <w:pStyle w:val="TableParagraph"/>
              <w:spacing w:line="165" w:lineRule="exact" w:before="10"/>
              <w:ind w:right="177"/>
              <w:jc w:val="right"/>
              <w:rPr>
                <w:sz w:val="15"/>
              </w:rPr>
            </w:pPr>
            <w:r>
              <w:rPr>
                <w:color w:val="231F20"/>
                <w:w w:val="101"/>
                <w:sz w:val="15"/>
              </w:rPr>
              <w:t>-</w:t>
            </w:r>
          </w:p>
        </w:tc>
        <w:tc>
          <w:tcPr>
            <w:tcW w:w="1593" w:type="dxa"/>
          </w:tcPr>
          <w:p>
            <w:pPr>
              <w:pStyle w:val="TableParagraph"/>
              <w:spacing w:line="165" w:lineRule="exact" w:before="10"/>
              <w:ind w:right="176"/>
              <w:jc w:val="right"/>
              <w:rPr>
                <w:sz w:val="15"/>
              </w:rPr>
            </w:pPr>
            <w:r>
              <w:rPr>
                <w:color w:val="231F20"/>
                <w:w w:val="101"/>
                <w:sz w:val="15"/>
              </w:rPr>
              <w:t>-</w:t>
            </w:r>
          </w:p>
        </w:tc>
        <w:tc>
          <w:tcPr>
            <w:tcW w:w="1519" w:type="dxa"/>
          </w:tcPr>
          <w:p>
            <w:pPr>
              <w:pStyle w:val="TableParagraph"/>
              <w:spacing w:line="165" w:lineRule="exact" w:before="10"/>
              <w:ind w:right="129"/>
              <w:jc w:val="right"/>
              <w:rPr>
                <w:sz w:val="15"/>
              </w:rPr>
            </w:pPr>
            <w:r>
              <w:rPr>
                <w:color w:val="231F20"/>
                <w:spacing w:val="-2"/>
                <w:sz w:val="15"/>
              </w:rPr>
              <w:t>14,561,876</w:t>
            </w:r>
          </w:p>
        </w:tc>
      </w:tr>
      <w:tr>
        <w:trPr>
          <w:trHeight w:val="193" w:hRule="atLeast"/>
        </w:trPr>
        <w:tc>
          <w:tcPr>
            <w:tcW w:w="3033" w:type="dxa"/>
          </w:tcPr>
          <w:p>
            <w:pPr>
              <w:pStyle w:val="TableParagraph"/>
              <w:spacing w:line="164" w:lineRule="exact" w:before="8"/>
              <w:ind w:left="435"/>
              <w:rPr>
                <w:sz w:val="15"/>
              </w:rPr>
            </w:pPr>
            <w:r>
              <w:rPr>
                <w:color w:val="231F20"/>
                <w:sz w:val="15"/>
              </w:rPr>
              <w:t>Non</w:t>
            </w:r>
            <w:r>
              <w:rPr>
                <w:color w:val="231F20"/>
                <w:spacing w:val="3"/>
                <w:sz w:val="15"/>
              </w:rPr>
              <w:t> </w:t>
            </w:r>
            <w:r>
              <w:rPr>
                <w:color w:val="231F20"/>
                <w:sz w:val="15"/>
              </w:rPr>
              <w:t>U.S.</w:t>
            </w:r>
            <w:r>
              <w:rPr>
                <w:color w:val="231F20"/>
                <w:spacing w:val="4"/>
                <w:sz w:val="15"/>
              </w:rPr>
              <w:t> </w:t>
            </w:r>
            <w:r>
              <w:rPr>
                <w:color w:val="231F20"/>
                <w:sz w:val="15"/>
              </w:rPr>
              <w:t>Emerging</w:t>
            </w:r>
            <w:r>
              <w:rPr>
                <w:color w:val="231F20"/>
                <w:spacing w:val="4"/>
                <w:sz w:val="15"/>
              </w:rPr>
              <w:t> </w:t>
            </w:r>
            <w:r>
              <w:rPr>
                <w:color w:val="231F20"/>
                <w:sz w:val="15"/>
              </w:rPr>
              <w:t>Markets</w:t>
            </w:r>
            <w:r>
              <w:rPr>
                <w:color w:val="231F20"/>
                <w:spacing w:val="4"/>
                <w:sz w:val="15"/>
              </w:rPr>
              <w:t> </w:t>
            </w:r>
            <w:r>
              <w:rPr>
                <w:color w:val="231F20"/>
                <w:spacing w:val="-4"/>
                <w:sz w:val="15"/>
              </w:rPr>
              <w:t>Pool</w:t>
            </w:r>
          </w:p>
        </w:tc>
        <w:tc>
          <w:tcPr>
            <w:tcW w:w="1744" w:type="dxa"/>
          </w:tcPr>
          <w:p>
            <w:pPr>
              <w:pStyle w:val="TableParagraph"/>
              <w:spacing w:line="164" w:lineRule="exact" w:before="8"/>
              <w:ind w:right="177"/>
              <w:jc w:val="right"/>
              <w:rPr>
                <w:sz w:val="15"/>
              </w:rPr>
            </w:pPr>
            <w:r>
              <w:rPr>
                <w:color w:val="231F20"/>
                <w:spacing w:val="-2"/>
                <w:sz w:val="15"/>
              </w:rPr>
              <w:t>7,457,018</w:t>
            </w:r>
          </w:p>
        </w:tc>
        <w:tc>
          <w:tcPr>
            <w:tcW w:w="1564" w:type="dxa"/>
          </w:tcPr>
          <w:p>
            <w:pPr>
              <w:pStyle w:val="TableParagraph"/>
              <w:spacing w:line="164" w:lineRule="exact" w:before="8"/>
              <w:ind w:right="177"/>
              <w:jc w:val="right"/>
              <w:rPr>
                <w:sz w:val="15"/>
              </w:rPr>
            </w:pPr>
            <w:r>
              <w:rPr>
                <w:color w:val="231F20"/>
                <w:w w:val="101"/>
                <w:sz w:val="15"/>
              </w:rPr>
              <w:t>-</w:t>
            </w:r>
          </w:p>
        </w:tc>
        <w:tc>
          <w:tcPr>
            <w:tcW w:w="1593" w:type="dxa"/>
          </w:tcPr>
          <w:p>
            <w:pPr>
              <w:pStyle w:val="TableParagraph"/>
              <w:spacing w:line="164" w:lineRule="exact" w:before="8"/>
              <w:ind w:right="176"/>
              <w:jc w:val="right"/>
              <w:rPr>
                <w:sz w:val="15"/>
              </w:rPr>
            </w:pPr>
            <w:r>
              <w:rPr>
                <w:color w:val="231F20"/>
                <w:w w:val="101"/>
                <w:sz w:val="15"/>
              </w:rPr>
              <w:t>-</w:t>
            </w:r>
          </w:p>
        </w:tc>
        <w:tc>
          <w:tcPr>
            <w:tcW w:w="1519" w:type="dxa"/>
          </w:tcPr>
          <w:p>
            <w:pPr>
              <w:pStyle w:val="TableParagraph"/>
              <w:spacing w:line="164" w:lineRule="exact" w:before="8"/>
              <w:ind w:right="130"/>
              <w:jc w:val="right"/>
              <w:rPr>
                <w:sz w:val="15"/>
              </w:rPr>
            </w:pPr>
            <w:r>
              <w:rPr>
                <w:color w:val="231F20"/>
                <w:spacing w:val="-2"/>
                <w:sz w:val="15"/>
              </w:rPr>
              <w:t>7,457,018</w:t>
            </w:r>
          </w:p>
        </w:tc>
      </w:tr>
      <w:tr>
        <w:trPr>
          <w:trHeight w:val="193" w:hRule="atLeast"/>
        </w:trPr>
        <w:tc>
          <w:tcPr>
            <w:tcW w:w="3033" w:type="dxa"/>
          </w:tcPr>
          <w:p>
            <w:pPr>
              <w:pStyle w:val="TableParagraph"/>
              <w:spacing w:line="165" w:lineRule="exact" w:before="8"/>
              <w:ind w:left="435"/>
              <w:rPr>
                <w:sz w:val="15"/>
              </w:rPr>
            </w:pPr>
            <w:r>
              <w:rPr>
                <w:color w:val="231F20"/>
                <w:sz w:val="15"/>
              </w:rPr>
              <w:t>Core</w:t>
            </w:r>
            <w:r>
              <w:rPr>
                <w:color w:val="231F20"/>
                <w:spacing w:val="4"/>
                <w:sz w:val="15"/>
              </w:rPr>
              <w:t> </w:t>
            </w:r>
            <w:r>
              <w:rPr>
                <w:color w:val="231F20"/>
                <w:sz w:val="15"/>
              </w:rPr>
              <w:t>Bonds</w:t>
            </w:r>
            <w:r>
              <w:rPr>
                <w:color w:val="231F20"/>
                <w:spacing w:val="3"/>
                <w:sz w:val="15"/>
              </w:rPr>
              <w:t> </w:t>
            </w:r>
            <w:r>
              <w:rPr>
                <w:color w:val="231F20"/>
                <w:spacing w:val="-4"/>
                <w:sz w:val="15"/>
              </w:rPr>
              <w:t>Pool</w:t>
            </w:r>
          </w:p>
        </w:tc>
        <w:tc>
          <w:tcPr>
            <w:tcW w:w="1744" w:type="dxa"/>
          </w:tcPr>
          <w:p>
            <w:pPr>
              <w:pStyle w:val="TableParagraph"/>
              <w:spacing w:line="165" w:lineRule="exact" w:before="8"/>
              <w:ind w:right="177"/>
              <w:jc w:val="right"/>
              <w:rPr>
                <w:sz w:val="15"/>
              </w:rPr>
            </w:pPr>
            <w:r>
              <w:rPr>
                <w:color w:val="231F20"/>
                <w:w w:val="101"/>
                <w:sz w:val="15"/>
              </w:rPr>
              <w:t>-</w:t>
            </w:r>
          </w:p>
        </w:tc>
        <w:tc>
          <w:tcPr>
            <w:tcW w:w="1564" w:type="dxa"/>
          </w:tcPr>
          <w:p>
            <w:pPr>
              <w:pStyle w:val="TableParagraph"/>
              <w:spacing w:line="165" w:lineRule="exact" w:before="8"/>
              <w:ind w:right="175"/>
              <w:jc w:val="right"/>
              <w:rPr>
                <w:sz w:val="15"/>
              </w:rPr>
            </w:pPr>
            <w:r>
              <w:rPr>
                <w:color w:val="231F20"/>
                <w:spacing w:val="-2"/>
                <w:sz w:val="15"/>
              </w:rPr>
              <w:t>15,668,336</w:t>
            </w:r>
          </w:p>
        </w:tc>
        <w:tc>
          <w:tcPr>
            <w:tcW w:w="1593" w:type="dxa"/>
          </w:tcPr>
          <w:p>
            <w:pPr>
              <w:pStyle w:val="TableParagraph"/>
              <w:spacing w:line="165" w:lineRule="exact" w:before="8"/>
              <w:ind w:right="177"/>
              <w:jc w:val="right"/>
              <w:rPr>
                <w:sz w:val="15"/>
              </w:rPr>
            </w:pPr>
            <w:r>
              <w:rPr>
                <w:color w:val="231F20"/>
                <w:w w:val="101"/>
                <w:sz w:val="15"/>
              </w:rPr>
              <w:t>-</w:t>
            </w:r>
          </w:p>
        </w:tc>
        <w:tc>
          <w:tcPr>
            <w:tcW w:w="1519" w:type="dxa"/>
          </w:tcPr>
          <w:p>
            <w:pPr>
              <w:pStyle w:val="TableParagraph"/>
              <w:spacing w:line="165" w:lineRule="exact" w:before="8"/>
              <w:ind w:right="130"/>
              <w:jc w:val="right"/>
              <w:rPr>
                <w:sz w:val="15"/>
              </w:rPr>
            </w:pPr>
            <w:r>
              <w:rPr>
                <w:color w:val="231F20"/>
                <w:spacing w:val="-2"/>
                <w:sz w:val="15"/>
              </w:rPr>
              <w:t>15,668,336</w:t>
            </w:r>
          </w:p>
        </w:tc>
      </w:tr>
      <w:tr>
        <w:trPr>
          <w:trHeight w:val="293" w:hRule="atLeast"/>
        </w:trPr>
        <w:tc>
          <w:tcPr>
            <w:tcW w:w="3033" w:type="dxa"/>
          </w:tcPr>
          <w:p>
            <w:pPr>
              <w:pStyle w:val="TableParagraph"/>
              <w:spacing w:before="9"/>
              <w:ind w:left="242"/>
              <w:rPr>
                <w:sz w:val="15"/>
              </w:rPr>
            </w:pPr>
            <w:r>
              <w:rPr>
                <w:color w:val="231F20"/>
                <w:sz w:val="15"/>
              </w:rPr>
              <w:t>State</w:t>
            </w:r>
            <w:r>
              <w:rPr>
                <w:color w:val="231F20"/>
                <w:spacing w:val="3"/>
                <w:sz w:val="15"/>
              </w:rPr>
              <w:t> </w:t>
            </w:r>
            <w:r>
              <w:rPr>
                <w:color w:val="231F20"/>
                <w:sz w:val="15"/>
              </w:rPr>
              <w:t>Treasurer</w:t>
            </w:r>
            <w:r>
              <w:rPr>
                <w:color w:val="231F20"/>
                <w:spacing w:val="3"/>
                <w:sz w:val="15"/>
              </w:rPr>
              <w:t> </w:t>
            </w:r>
            <w:r>
              <w:rPr>
                <w:color w:val="231F20"/>
                <w:sz w:val="15"/>
              </w:rPr>
              <w:t>Office</w:t>
            </w:r>
            <w:r>
              <w:rPr>
                <w:color w:val="231F20"/>
                <w:spacing w:val="4"/>
                <w:sz w:val="15"/>
              </w:rPr>
              <w:t> </w:t>
            </w:r>
            <w:r>
              <w:rPr>
                <w:color w:val="231F20"/>
                <w:sz w:val="15"/>
              </w:rPr>
              <w:t>(STO)</w:t>
            </w:r>
            <w:r>
              <w:rPr>
                <w:color w:val="231F20"/>
                <w:spacing w:val="4"/>
                <w:sz w:val="15"/>
              </w:rPr>
              <w:t> </w:t>
            </w:r>
            <w:r>
              <w:rPr>
                <w:color w:val="231F20"/>
                <w:spacing w:val="-4"/>
                <w:sz w:val="15"/>
              </w:rPr>
              <w:t>LGIP</w:t>
            </w:r>
          </w:p>
        </w:tc>
        <w:tc>
          <w:tcPr>
            <w:tcW w:w="1744" w:type="dxa"/>
          </w:tcPr>
          <w:p>
            <w:pPr>
              <w:pStyle w:val="TableParagraph"/>
              <w:tabs>
                <w:tab w:pos="1238" w:val="left" w:leader="none"/>
              </w:tabs>
              <w:spacing w:before="9"/>
              <w:ind w:right="93"/>
              <w:jc w:val="right"/>
              <w:rPr>
                <w:sz w:val="15"/>
              </w:rPr>
            </w:pPr>
            <w:r>
              <w:rPr>
                <w:color w:val="231F20"/>
                <w:sz w:val="15"/>
                <w:u w:val="thick" w:color="231F20"/>
              </w:rPr>
              <w:tab/>
            </w:r>
            <w:r>
              <w:rPr>
                <w:color w:val="231F20"/>
                <w:spacing w:val="-10"/>
                <w:sz w:val="15"/>
                <w:u w:val="thick" w:color="231F20"/>
              </w:rPr>
              <w:t>-</w:t>
            </w:r>
            <w:r>
              <w:rPr>
                <w:color w:val="231F20"/>
                <w:spacing w:val="80"/>
                <w:sz w:val="15"/>
                <w:u w:val="thick" w:color="231F20"/>
              </w:rPr>
              <w:t> </w:t>
            </w:r>
          </w:p>
        </w:tc>
        <w:tc>
          <w:tcPr>
            <w:tcW w:w="1564" w:type="dxa"/>
          </w:tcPr>
          <w:p>
            <w:pPr>
              <w:pStyle w:val="TableParagraph"/>
              <w:tabs>
                <w:tab w:pos="524" w:val="left" w:leader="none"/>
              </w:tabs>
              <w:spacing w:before="9"/>
              <w:ind w:right="93"/>
              <w:jc w:val="right"/>
              <w:rPr>
                <w:sz w:val="15"/>
              </w:rPr>
            </w:pPr>
            <w:r>
              <w:rPr>
                <w:color w:val="231F20"/>
                <w:sz w:val="15"/>
                <w:u w:val="thick" w:color="231F20"/>
              </w:rPr>
              <w:tab/>
            </w:r>
            <w:r>
              <w:rPr>
                <w:color w:val="231F20"/>
                <w:spacing w:val="-2"/>
                <w:sz w:val="15"/>
                <w:u w:val="thick" w:color="231F20"/>
              </w:rPr>
              <w:t>19,552,022</w:t>
            </w:r>
            <w:r>
              <w:rPr>
                <w:color w:val="231F20"/>
                <w:spacing w:val="80"/>
                <w:sz w:val="15"/>
                <w:u w:val="thick" w:color="231F20"/>
              </w:rPr>
              <w:t> </w:t>
            </w:r>
          </w:p>
        </w:tc>
        <w:tc>
          <w:tcPr>
            <w:tcW w:w="1593" w:type="dxa"/>
          </w:tcPr>
          <w:p>
            <w:pPr>
              <w:pStyle w:val="TableParagraph"/>
              <w:tabs>
                <w:tab w:pos="1268" w:val="left" w:leader="none"/>
              </w:tabs>
              <w:spacing w:before="9"/>
              <w:ind w:right="94"/>
              <w:jc w:val="right"/>
              <w:rPr>
                <w:sz w:val="15"/>
              </w:rPr>
            </w:pPr>
            <w:r>
              <w:rPr>
                <w:color w:val="231F20"/>
                <w:sz w:val="15"/>
                <w:u w:val="thick" w:color="231F20"/>
              </w:rPr>
              <w:tab/>
            </w:r>
            <w:r>
              <w:rPr>
                <w:color w:val="231F20"/>
                <w:spacing w:val="-10"/>
                <w:sz w:val="15"/>
                <w:u w:val="thick" w:color="231F20"/>
              </w:rPr>
              <w:t>-</w:t>
            </w:r>
            <w:r>
              <w:rPr>
                <w:color w:val="231F20"/>
                <w:spacing w:val="80"/>
                <w:sz w:val="15"/>
                <w:u w:val="thick" w:color="231F20"/>
              </w:rPr>
              <w:t> </w:t>
            </w:r>
          </w:p>
        </w:tc>
        <w:tc>
          <w:tcPr>
            <w:tcW w:w="1519" w:type="dxa"/>
          </w:tcPr>
          <w:p>
            <w:pPr>
              <w:pStyle w:val="TableParagraph"/>
              <w:tabs>
                <w:tab w:pos="524" w:val="left" w:leader="none"/>
              </w:tabs>
              <w:spacing w:before="9"/>
              <w:ind w:right="48"/>
              <w:jc w:val="right"/>
              <w:rPr>
                <w:sz w:val="15"/>
              </w:rPr>
            </w:pPr>
            <w:r>
              <w:rPr>
                <w:color w:val="231F20"/>
                <w:sz w:val="15"/>
                <w:u w:val="thick" w:color="231F20"/>
              </w:rPr>
              <w:tab/>
            </w:r>
            <w:r>
              <w:rPr>
                <w:color w:val="231F20"/>
                <w:spacing w:val="-2"/>
                <w:sz w:val="15"/>
                <w:u w:val="thick" w:color="231F20"/>
              </w:rPr>
              <w:t>19,552,022</w:t>
            </w:r>
            <w:r>
              <w:rPr>
                <w:color w:val="231F20"/>
                <w:spacing w:val="80"/>
                <w:sz w:val="15"/>
                <w:u w:val="thick" w:color="231F20"/>
              </w:rPr>
              <w:t> </w:t>
            </w:r>
          </w:p>
        </w:tc>
      </w:tr>
      <w:tr>
        <w:trPr>
          <w:trHeight w:val="331" w:hRule="atLeast"/>
        </w:trPr>
        <w:tc>
          <w:tcPr>
            <w:tcW w:w="3033" w:type="dxa"/>
          </w:tcPr>
          <w:p>
            <w:pPr>
              <w:pStyle w:val="TableParagraph"/>
              <w:spacing w:before="109"/>
              <w:ind w:left="619"/>
              <w:rPr>
                <w:sz w:val="15"/>
              </w:rPr>
            </w:pPr>
            <w:r>
              <w:rPr>
                <w:color w:val="231F20"/>
                <w:spacing w:val="-2"/>
                <w:sz w:val="15"/>
              </w:rPr>
              <w:t>Total</w:t>
            </w:r>
          </w:p>
        </w:tc>
        <w:tc>
          <w:tcPr>
            <w:tcW w:w="1744" w:type="dxa"/>
          </w:tcPr>
          <w:p>
            <w:pPr>
              <w:pStyle w:val="TableParagraph"/>
              <w:tabs>
                <w:tab w:pos="523" w:val="left" w:leader="none"/>
              </w:tabs>
              <w:spacing w:before="109"/>
              <w:ind w:right="93"/>
              <w:jc w:val="right"/>
              <w:rPr>
                <w:sz w:val="15"/>
              </w:rPr>
            </w:pPr>
            <w:r>
              <w:rPr>
                <w:color w:val="231F20"/>
                <w:spacing w:val="40"/>
                <w:sz w:val="15"/>
                <w:u w:val="single" w:color="231F20"/>
              </w:rPr>
              <w:t> </w:t>
            </w:r>
            <w:r>
              <w:rPr>
                <w:color w:val="231F20"/>
                <w:spacing w:val="-10"/>
                <w:sz w:val="15"/>
                <w:u w:val="single" w:color="231F20"/>
              </w:rPr>
              <w:t>$</w:t>
            </w:r>
            <w:r>
              <w:rPr>
                <w:color w:val="231F20"/>
                <w:sz w:val="15"/>
                <w:u w:val="single" w:color="231F20"/>
              </w:rPr>
              <w:tab/>
            </w:r>
            <w:r>
              <w:rPr>
                <w:color w:val="231F20"/>
                <w:spacing w:val="-2"/>
                <w:sz w:val="15"/>
                <w:u w:val="single" w:color="231F20"/>
              </w:rPr>
              <w:t>48,106,599</w:t>
            </w:r>
            <w:r>
              <w:rPr>
                <w:color w:val="231F20"/>
                <w:spacing w:val="80"/>
                <w:sz w:val="15"/>
                <w:u w:val="single" w:color="231F20"/>
              </w:rPr>
              <w:t> </w:t>
            </w:r>
          </w:p>
        </w:tc>
        <w:tc>
          <w:tcPr>
            <w:tcW w:w="1564" w:type="dxa"/>
          </w:tcPr>
          <w:p>
            <w:pPr>
              <w:pStyle w:val="TableParagraph"/>
              <w:tabs>
                <w:tab w:pos="522" w:val="left" w:leader="none"/>
              </w:tabs>
              <w:spacing w:before="109"/>
              <w:ind w:right="93"/>
              <w:jc w:val="right"/>
              <w:rPr>
                <w:sz w:val="15"/>
              </w:rPr>
            </w:pPr>
            <w:r>
              <w:rPr>
                <w:color w:val="231F20"/>
                <w:spacing w:val="40"/>
                <w:sz w:val="15"/>
                <w:u w:val="single" w:color="231F20"/>
              </w:rPr>
              <w:t> </w:t>
            </w:r>
            <w:r>
              <w:rPr>
                <w:color w:val="231F20"/>
                <w:spacing w:val="-10"/>
                <w:sz w:val="15"/>
                <w:u w:val="single" w:color="231F20"/>
              </w:rPr>
              <w:t>$</w:t>
            </w:r>
            <w:r>
              <w:rPr>
                <w:color w:val="231F20"/>
                <w:sz w:val="15"/>
                <w:u w:val="single" w:color="231F20"/>
              </w:rPr>
              <w:tab/>
            </w:r>
            <w:r>
              <w:rPr>
                <w:color w:val="231F20"/>
                <w:spacing w:val="-2"/>
                <w:sz w:val="15"/>
                <w:u w:val="single" w:color="231F20"/>
              </w:rPr>
              <w:t>35,220,358</w:t>
            </w:r>
            <w:r>
              <w:rPr>
                <w:color w:val="231F20"/>
                <w:spacing w:val="80"/>
                <w:sz w:val="15"/>
                <w:u w:val="single" w:color="231F20"/>
              </w:rPr>
              <w:t> </w:t>
            </w:r>
          </w:p>
        </w:tc>
        <w:tc>
          <w:tcPr>
            <w:tcW w:w="1593" w:type="dxa"/>
          </w:tcPr>
          <w:p>
            <w:pPr>
              <w:pStyle w:val="TableParagraph"/>
              <w:tabs>
                <w:tab w:pos="1267" w:val="left" w:leader="none"/>
              </w:tabs>
              <w:spacing w:before="109"/>
              <w:ind w:right="94"/>
              <w:jc w:val="right"/>
              <w:rPr>
                <w:sz w:val="15"/>
              </w:rPr>
            </w:pPr>
            <w:r>
              <w:rPr>
                <w:color w:val="231F20"/>
                <w:spacing w:val="40"/>
                <w:sz w:val="15"/>
                <w:u w:val="single" w:color="231F20"/>
              </w:rPr>
              <w:t> </w:t>
            </w:r>
            <w:r>
              <w:rPr>
                <w:color w:val="231F20"/>
                <w:spacing w:val="-10"/>
                <w:sz w:val="15"/>
                <w:u w:val="single" w:color="231F20"/>
              </w:rPr>
              <w:t>$</w:t>
            </w:r>
            <w:r>
              <w:rPr>
                <w:color w:val="231F20"/>
                <w:sz w:val="15"/>
                <w:u w:val="single" w:color="231F20"/>
              </w:rPr>
              <w:tab/>
            </w:r>
            <w:r>
              <w:rPr>
                <w:color w:val="231F20"/>
                <w:spacing w:val="-10"/>
                <w:sz w:val="15"/>
                <w:u w:val="single" w:color="231F20"/>
              </w:rPr>
              <w:t>-</w:t>
            </w:r>
            <w:r>
              <w:rPr>
                <w:color w:val="231F20"/>
                <w:spacing w:val="80"/>
                <w:sz w:val="15"/>
                <w:u w:val="single" w:color="231F20"/>
              </w:rPr>
              <w:t> </w:t>
            </w:r>
          </w:p>
        </w:tc>
        <w:tc>
          <w:tcPr>
            <w:tcW w:w="1519" w:type="dxa"/>
          </w:tcPr>
          <w:p>
            <w:pPr>
              <w:pStyle w:val="TableParagraph"/>
              <w:spacing w:before="109"/>
              <w:ind w:right="130"/>
              <w:jc w:val="right"/>
              <w:rPr>
                <w:sz w:val="15"/>
              </w:rPr>
            </w:pPr>
            <w:r>
              <w:rPr>
                <w:color w:val="231F20"/>
                <w:spacing w:val="-2"/>
                <w:sz w:val="15"/>
              </w:rPr>
              <w:t>83,326,957</w:t>
            </w:r>
          </w:p>
        </w:tc>
      </w:tr>
      <w:tr>
        <w:trPr>
          <w:trHeight w:val="506" w:hRule="atLeast"/>
        </w:trPr>
        <w:tc>
          <w:tcPr>
            <w:tcW w:w="9453" w:type="dxa"/>
            <w:gridSpan w:val="5"/>
          </w:tcPr>
          <w:p>
            <w:pPr>
              <w:pStyle w:val="TableParagraph"/>
              <w:spacing w:before="138"/>
              <w:ind w:left="49"/>
              <w:rPr>
                <w:sz w:val="15"/>
              </w:rPr>
            </w:pPr>
            <w:r>
              <w:rPr>
                <w:color w:val="231F20"/>
                <w:sz w:val="15"/>
              </w:rPr>
              <w:t>Investments</w:t>
            </w:r>
            <w:r>
              <w:rPr>
                <w:color w:val="231F20"/>
                <w:spacing w:val="4"/>
                <w:sz w:val="15"/>
              </w:rPr>
              <w:t> </w:t>
            </w:r>
            <w:r>
              <w:rPr>
                <w:color w:val="231F20"/>
                <w:sz w:val="15"/>
              </w:rPr>
              <w:t>Measured</w:t>
            </w:r>
            <w:r>
              <w:rPr>
                <w:color w:val="231F20"/>
                <w:spacing w:val="4"/>
                <w:sz w:val="15"/>
              </w:rPr>
              <w:t> </w:t>
            </w:r>
            <w:r>
              <w:rPr>
                <w:color w:val="231F20"/>
                <w:sz w:val="15"/>
              </w:rPr>
              <w:t>at</w:t>
            </w:r>
            <w:r>
              <w:rPr>
                <w:color w:val="231F20"/>
                <w:spacing w:val="4"/>
                <w:sz w:val="15"/>
              </w:rPr>
              <w:t> </w:t>
            </w:r>
            <w:r>
              <w:rPr>
                <w:color w:val="231F20"/>
                <w:sz w:val="15"/>
              </w:rPr>
              <w:t>NAV</w:t>
            </w:r>
            <w:r>
              <w:rPr>
                <w:color w:val="231F20"/>
                <w:spacing w:val="4"/>
                <w:sz w:val="15"/>
              </w:rPr>
              <w:t> </w:t>
            </w:r>
            <w:r>
              <w:rPr>
                <w:color w:val="231F20"/>
                <w:sz w:val="15"/>
              </w:rPr>
              <w:t>Practical</w:t>
            </w:r>
            <w:r>
              <w:rPr>
                <w:color w:val="231F20"/>
                <w:spacing w:val="4"/>
                <w:sz w:val="15"/>
              </w:rPr>
              <w:t> </w:t>
            </w:r>
            <w:r>
              <w:rPr>
                <w:color w:val="231F20"/>
                <w:spacing w:val="-2"/>
                <w:sz w:val="15"/>
              </w:rPr>
              <w:t>Expedient</w:t>
            </w:r>
          </w:p>
          <w:p>
            <w:pPr>
              <w:pStyle w:val="TableParagraph"/>
              <w:spacing w:line="153" w:lineRule="exact" w:before="22"/>
              <w:ind w:left="242"/>
              <w:rPr>
                <w:sz w:val="15"/>
              </w:rPr>
            </w:pPr>
            <w:r>
              <w:rPr>
                <w:color w:val="231F20"/>
                <w:sz w:val="15"/>
              </w:rPr>
              <w:t>Investments</w:t>
            </w:r>
            <w:r>
              <w:rPr>
                <w:color w:val="231F20"/>
                <w:spacing w:val="3"/>
                <w:sz w:val="15"/>
              </w:rPr>
              <w:t> </w:t>
            </w:r>
            <w:r>
              <w:rPr>
                <w:color w:val="231F20"/>
                <w:sz w:val="15"/>
              </w:rPr>
              <w:t>held</w:t>
            </w:r>
            <w:r>
              <w:rPr>
                <w:color w:val="231F20"/>
                <w:spacing w:val="4"/>
                <w:sz w:val="15"/>
              </w:rPr>
              <w:t> </w:t>
            </w:r>
            <w:r>
              <w:rPr>
                <w:color w:val="231F20"/>
                <w:sz w:val="15"/>
              </w:rPr>
              <w:t>with</w:t>
            </w:r>
            <w:r>
              <w:rPr>
                <w:color w:val="231F20"/>
                <w:spacing w:val="3"/>
                <w:sz w:val="15"/>
              </w:rPr>
              <w:t> </w:t>
            </w:r>
            <w:r>
              <w:rPr>
                <w:color w:val="231F20"/>
                <w:sz w:val="15"/>
              </w:rPr>
              <w:t>the</w:t>
            </w:r>
            <w:r>
              <w:rPr>
                <w:color w:val="231F20"/>
                <w:spacing w:val="3"/>
                <w:sz w:val="15"/>
              </w:rPr>
              <w:t> </w:t>
            </w:r>
            <w:r>
              <w:rPr>
                <w:color w:val="231F20"/>
                <w:sz w:val="15"/>
              </w:rPr>
              <w:t>New</w:t>
            </w:r>
            <w:r>
              <w:rPr>
                <w:color w:val="231F20"/>
                <w:spacing w:val="1"/>
                <w:sz w:val="15"/>
              </w:rPr>
              <w:t> </w:t>
            </w:r>
            <w:r>
              <w:rPr>
                <w:color w:val="231F20"/>
                <w:sz w:val="15"/>
              </w:rPr>
              <w:t>Mexico</w:t>
            </w:r>
            <w:r>
              <w:rPr>
                <w:color w:val="231F20"/>
                <w:spacing w:val="4"/>
                <w:sz w:val="15"/>
              </w:rPr>
              <w:t> </w:t>
            </w:r>
            <w:r>
              <w:rPr>
                <w:color w:val="231F20"/>
                <w:sz w:val="15"/>
              </w:rPr>
              <w:t>State</w:t>
            </w:r>
            <w:r>
              <w:rPr>
                <w:color w:val="231F20"/>
                <w:spacing w:val="3"/>
                <w:sz w:val="15"/>
              </w:rPr>
              <w:t> </w:t>
            </w:r>
            <w:r>
              <w:rPr>
                <w:color w:val="231F20"/>
                <w:sz w:val="15"/>
              </w:rPr>
              <w:t>Investment</w:t>
            </w:r>
            <w:r>
              <w:rPr>
                <w:color w:val="231F20"/>
                <w:spacing w:val="3"/>
                <w:sz w:val="15"/>
              </w:rPr>
              <w:t> </w:t>
            </w:r>
            <w:r>
              <w:rPr>
                <w:color w:val="231F20"/>
                <w:sz w:val="15"/>
              </w:rPr>
              <w:t>Council</w:t>
            </w:r>
            <w:r>
              <w:rPr>
                <w:color w:val="231F20"/>
                <w:spacing w:val="3"/>
                <w:sz w:val="15"/>
              </w:rPr>
              <w:t> </w:t>
            </w:r>
            <w:r>
              <w:rPr>
                <w:color w:val="231F20"/>
                <w:sz w:val="15"/>
              </w:rPr>
              <w:t>pooled</w:t>
            </w:r>
            <w:r>
              <w:rPr>
                <w:color w:val="231F20"/>
                <w:spacing w:val="3"/>
                <w:sz w:val="15"/>
              </w:rPr>
              <w:t> </w:t>
            </w:r>
            <w:r>
              <w:rPr>
                <w:color w:val="231F20"/>
                <w:spacing w:val="-2"/>
                <w:sz w:val="15"/>
              </w:rPr>
              <w:t>funds:</w:t>
            </w:r>
          </w:p>
        </w:tc>
      </w:tr>
      <w:tr>
        <w:trPr>
          <w:trHeight w:val="205" w:hRule="atLeast"/>
        </w:trPr>
        <w:tc>
          <w:tcPr>
            <w:tcW w:w="3033" w:type="dxa"/>
          </w:tcPr>
          <w:p>
            <w:pPr>
              <w:pStyle w:val="TableParagraph"/>
              <w:spacing w:line="165" w:lineRule="exact" w:before="20"/>
              <w:ind w:left="434"/>
              <w:rPr>
                <w:sz w:val="15"/>
              </w:rPr>
            </w:pPr>
            <w:r>
              <w:rPr>
                <w:color w:val="231F20"/>
                <w:sz w:val="15"/>
              </w:rPr>
              <w:t>Credit</w:t>
            </w:r>
            <w:r>
              <w:rPr>
                <w:color w:val="231F20"/>
                <w:spacing w:val="3"/>
                <w:sz w:val="15"/>
              </w:rPr>
              <w:t> </w:t>
            </w:r>
            <w:r>
              <w:rPr>
                <w:color w:val="231F20"/>
                <w:sz w:val="15"/>
              </w:rPr>
              <w:t>&amp;</w:t>
            </w:r>
            <w:r>
              <w:rPr>
                <w:color w:val="231F20"/>
                <w:spacing w:val="2"/>
                <w:sz w:val="15"/>
              </w:rPr>
              <w:t> </w:t>
            </w:r>
            <w:r>
              <w:rPr>
                <w:color w:val="231F20"/>
                <w:sz w:val="15"/>
              </w:rPr>
              <w:t>Structured</w:t>
            </w:r>
            <w:r>
              <w:rPr>
                <w:color w:val="231F20"/>
                <w:spacing w:val="5"/>
                <w:sz w:val="15"/>
              </w:rPr>
              <w:t> </w:t>
            </w:r>
            <w:r>
              <w:rPr>
                <w:color w:val="231F20"/>
                <w:sz w:val="15"/>
              </w:rPr>
              <w:t>Finance</w:t>
            </w:r>
            <w:r>
              <w:rPr>
                <w:color w:val="231F20"/>
                <w:spacing w:val="4"/>
                <w:sz w:val="15"/>
              </w:rPr>
              <w:t> </w:t>
            </w:r>
            <w:r>
              <w:rPr>
                <w:color w:val="231F20"/>
                <w:spacing w:val="-4"/>
                <w:sz w:val="15"/>
              </w:rPr>
              <w:t>Pool</w:t>
            </w:r>
          </w:p>
        </w:tc>
        <w:tc>
          <w:tcPr>
            <w:tcW w:w="6420" w:type="dxa"/>
            <w:gridSpan w:val="4"/>
          </w:tcPr>
          <w:p>
            <w:pPr>
              <w:pStyle w:val="TableParagraph"/>
              <w:spacing w:line="164" w:lineRule="exact" w:before="21"/>
              <w:ind w:right="133"/>
              <w:jc w:val="right"/>
              <w:rPr>
                <w:sz w:val="15"/>
              </w:rPr>
            </w:pPr>
            <w:r>
              <w:rPr>
                <w:color w:val="231F20"/>
                <w:spacing w:val="-2"/>
                <w:sz w:val="15"/>
              </w:rPr>
              <w:t>4,154,991</w:t>
            </w:r>
          </w:p>
        </w:tc>
      </w:tr>
      <w:tr>
        <w:trPr>
          <w:trHeight w:val="193" w:hRule="atLeast"/>
        </w:trPr>
        <w:tc>
          <w:tcPr>
            <w:tcW w:w="3033" w:type="dxa"/>
          </w:tcPr>
          <w:p>
            <w:pPr>
              <w:pStyle w:val="TableParagraph"/>
              <w:spacing w:line="165" w:lineRule="exact" w:before="8"/>
              <w:ind w:left="434"/>
              <w:rPr>
                <w:sz w:val="15"/>
              </w:rPr>
            </w:pPr>
            <w:r>
              <w:rPr>
                <w:color w:val="231F20"/>
                <w:sz w:val="15"/>
              </w:rPr>
              <w:t>Private</w:t>
            </w:r>
            <w:r>
              <w:rPr>
                <w:color w:val="231F20"/>
                <w:spacing w:val="1"/>
                <w:sz w:val="15"/>
              </w:rPr>
              <w:t> </w:t>
            </w:r>
            <w:r>
              <w:rPr>
                <w:color w:val="231F20"/>
                <w:sz w:val="15"/>
              </w:rPr>
              <w:t>Equity </w:t>
            </w:r>
            <w:r>
              <w:rPr>
                <w:color w:val="231F20"/>
                <w:spacing w:val="-4"/>
                <w:sz w:val="15"/>
              </w:rPr>
              <w:t>Pool</w:t>
            </w:r>
          </w:p>
        </w:tc>
        <w:tc>
          <w:tcPr>
            <w:tcW w:w="6420" w:type="dxa"/>
            <w:gridSpan w:val="4"/>
          </w:tcPr>
          <w:p>
            <w:pPr>
              <w:pStyle w:val="TableParagraph"/>
              <w:spacing w:line="164" w:lineRule="exact" w:before="9"/>
              <w:ind w:right="132"/>
              <w:jc w:val="right"/>
              <w:rPr>
                <w:sz w:val="15"/>
              </w:rPr>
            </w:pPr>
            <w:r>
              <w:rPr>
                <w:color w:val="231F20"/>
                <w:spacing w:val="-2"/>
                <w:sz w:val="15"/>
              </w:rPr>
              <w:t>8,293,980</w:t>
            </w:r>
          </w:p>
        </w:tc>
      </w:tr>
      <w:tr>
        <w:trPr>
          <w:trHeight w:val="194" w:hRule="atLeast"/>
        </w:trPr>
        <w:tc>
          <w:tcPr>
            <w:tcW w:w="3033" w:type="dxa"/>
          </w:tcPr>
          <w:p>
            <w:pPr>
              <w:pStyle w:val="TableParagraph"/>
              <w:spacing w:line="166" w:lineRule="exact" w:before="8"/>
              <w:ind w:left="435"/>
              <w:rPr>
                <w:sz w:val="15"/>
              </w:rPr>
            </w:pPr>
            <w:r>
              <w:rPr>
                <w:color w:val="231F20"/>
                <w:sz w:val="15"/>
              </w:rPr>
              <w:t>Real</w:t>
            </w:r>
            <w:r>
              <w:rPr>
                <w:color w:val="231F20"/>
                <w:spacing w:val="2"/>
                <w:sz w:val="15"/>
              </w:rPr>
              <w:t> </w:t>
            </w:r>
            <w:r>
              <w:rPr>
                <w:color w:val="231F20"/>
                <w:sz w:val="15"/>
              </w:rPr>
              <w:t>Estate</w:t>
            </w:r>
            <w:r>
              <w:rPr>
                <w:color w:val="231F20"/>
                <w:spacing w:val="4"/>
                <w:sz w:val="15"/>
              </w:rPr>
              <w:t> </w:t>
            </w:r>
            <w:r>
              <w:rPr>
                <w:color w:val="231F20"/>
                <w:spacing w:val="-4"/>
                <w:sz w:val="15"/>
              </w:rPr>
              <w:t>Pool</w:t>
            </w:r>
          </w:p>
        </w:tc>
        <w:tc>
          <w:tcPr>
            <w:tcW w:w="6420" w:type="dxa"/>
            <w:gridSpan w:val="4"/>
          </w:tcPr>
          <w:p>
            <w:pPr>
              <w:pStyle w:val="TableParagraph"/>
              <w:spacing w:line="165" w:lineRule="exact" w:before="9"/>
              <w:ind w:right="132"/>
              <w:jc w:val="right"/>
              <w:rPr>
                <w:sz w:val="15"/>
              </w:rPr>
            </w:pPr>
            <w:r>
              <w:rPr>
                <w:color w:val="231F20"/>
                <w:spacing w:val="-2"/>
                <w:sz w:val="15"/>
              </w:rPr>
              <w:t>4,409,295</w:t>
            </w:r>
          </w:p>
        </w:tc>
      </w:tr>
      <w:tr>
        <w:trPr>
          <w:trHeight w:val="330" w:hRule="atLeast"/>
        </w:trPr>
        <w:tc>
          <w:tcPr>
            <w:tcW w:w="3033" w:type="dxa"/>
          </w:tcPr>
          <w:p>
            <w:pPr>
              <w:pStyle w:val="TableParagraph"/>
              <w:spacing w:before="9"/>
              <w:ind w:left="50"/>
              <w:rPr>
                <w:sz w:val="15"/>
              </w:rPr>
            </w:pPr>
            <w:r>
              <w:rPr>
                <w:color w:val="231F20"/>
                <w:spacing w:val="-4"/>
                <w:sz w:val="15"/>
              </w:rPr>
              <w:t>Cash</w:t>
            </w:r>
          </w:p>
        </w:tc>
        <w:tc>
          <w:tcPr>
            <w:tcW w:w="6420" w:type="dxa"/>
            <w:gridSpan w:val="4"/>
          </w:tcPr>
          <w:p>
            <w:pPr>
              <w:pStyle w:val="TableParagraph"/>
              <w:tabs>
                <w:tab w:pos="1034" w:val="left" w:leader="none"/>
              </w:tabs>
              <w:spacing w:before="9"/>
              <w:ind w:right="48"/>
              <w:jc w:val="right"/>
              <w:rPr>
                <w:sz w:val="15"/>
              </w:rPr>
            </w:pPr>
            <w:r>
              <w:rPr>
                <w:color w:val="231F20"/>
                <w:sz w:val="15"/>
                <w:u w:val="thick" w:color="231F20"/>
              </w:rPr>
              <w:tab/>
            </w:r>
            <w:r>
              <w:rPr>
                <w:color w:val="231F20"/>
                <w:spacing w:val="-5"/>
                <w:sz w:val="15"/>
                <w:u w:val="thick" w:color="231F20"/>
              </w:rPr>
              <w:t>886</w:t>
            </w:r>
            <w:r>
              <w:rPr>
                <w:color w:val="231F20"/>
                <w:spacing w:val="80"/>
                <w:sz w:val="15"/>
                <w:u w:val="thick" w:color="231F20"/>
              </w:rPr>
              <w:t> </w:t>
            </w:r>
          </w:p>
        </w:tc>
      </w:tr>
      <w:tr>
        <w:trPr>
          <w:trHeight w:val="379" w:hRule="atLeast"/>
        </w:trPr>
        <w:tc>
          <w:tcPr>
            <w:tcW w:w="3033" w:type="dxa"/>
          </w:tcPr>
          <w:p>
            <w:pPr>
              <w:pStyle w:val="TableParagraph"/>
              <w:spacing w:before="7"/>
              <w:rPr>
                <w:sz w:val="12"/>
              </w:rPr>
            </w:pPr>
          </w:p>
          <w:p>
            <w:pPr>
              <w:pStyle w:val="TableParagraph"/>
              <w:ind w:left="50"/>
              <w:rPr>
                <w:sz w:val="15"/>
              </w:rPr>
            </w:pPr>
            <w:r>
              <w:rPr>
                <w:color w:val="231F20"/>
                <w:sz w:val="15"/>
              </w:rPr>
              <w:t>Total</w:t>
            </w:r>
            <w:r>
              <w:rPr>
                <w:color w:val="231F20"/>
                <w:spacing w:val="4"/>
                <w:sz w:val="15"/>
              </w:rPr>
              <w:t> </w:t>
            </w:r>
            <w:r>
              <w:rPr>
                <w:color w:val="231F20"/>
                <w:spacing w:val="-2"/>
                <w:sz w:val="15"/>
              </w:rPr>
              <w:t>Investments</w:t>
            </w:r>
          </w:p>
        </w:tc>
        <w:tc>
          <w:tcPr>
            <w:tcW w:w="6420" w:type="dxa"/>
            <w:gridSpan w:val="4"/>
          </w:tcPr>
          <w:p>
            <w:pPr>
              <w:pStyle w:val="TableParagraph"/>
              <w:spacing w:before="7"/>
              <w:rPr>
                <w:sz w:val="12"/>
              </w:rPr>
            </w:pPr>
          </w:p>
          <w:p>
            <w:pPr>
              <w:pStyle w:val="TableParagraph"/>
              <w:tabs>
                <w:tab w:pos="437" w:val="left" w:leader="none"/>
              </w:tabs>
              <w:ind w:right="48"/>
              <w:jc w:val="right"/>
              <w:rPr>
                <w:sz w:val="15"/>
              </w:rPr>
            </w:pPr>
            <w:r>
              <w:rPr>
                <w:color w:val="231F20"/>
                <w:spacing w:val="40"/>
                <w:sz w:val="15"/>
                <w:u w:val="single" w:color="231F20"/>
              </w:rPr>
              <w:t> </w:t>
            </w:r>
            <w:r>
              <w:rPr>
                <w:color w:val="231F20"/>
                <w:spacing w:val="-10"/>
                <w:sz w:val="15"/>
                <w:u w:val="single" w:color="231F20"/>
              </w:rPr>
              <w:t>$</w:t>
            </w:r>
            <w:r>
              <w:rPr>
                <w:color w:val="231F20"/>
                <w:sz w:val="15"/>
                <w:u w:val="single" w:color="231F20"/>
              </w:rPr>
              <w:tab/>
            </w:r>
            <w:r>
              <w:rPr>
                <w:color w:val="231F20"/>
                <w:spacing w:val="-2"/>
                <w:sz w:val="15"/>
                <w:u w:val="single" w:color="231F20"/>
              </w:rPr>
              <w:t>100,186,109</w:t>
            </w:r>
            <w:r>
              <w:rPr>
                <w:color w:val="231F20"/>
                <w:spacing w:val="80"/>
                <w:sz w:val="15"/>
                <w:u w:val="single" w:color="231F20"/>
              </w:rPr>
              <w:t> </w:t>
            </w:r>
          </w:p>
        </w:tc>
      </w:tr>
    </w:tbl>
    <w:p>
      <w:pPr>
        <w:spacing w:after="0"/>
        <w:jc w:val="right"/>
        <w:rPr>
          <w:sz w:val="15"/>
        </w:rPr>
        <w:sectPr>
          <w:type w:val="continuous"/>
          <w:pgSz w:w="12240" w:h="15840"/>
          <w:pgMar w:header="1282" w:footer="1097" w:top="1460" w:bottom="280" w:left="0" w:right="580"/>
        </w:sectPr>
      </w:pPr>
    </w:p>
    <w:p>
      <w:pPr>
        <w:pStyle w:val="BodyText"/>
      </w:pPr>
      <w:r>
        <w:rPr/>
        <w:pict>
          <v:rect style="position:absolute;margin-left:454.681pt;margin-top:529.861023pt;width:80.460pt;height:1.02pt;mso-position-horizontal-relative:page;mso-position-vertical-relative:page;z-index:15766016" id="docshape279" filled="true" fillcolor="#231f20" stroked="false">
            <v:fill type="solid"/>
            <w10:wrap type="none"/>
          </v:rect>
        </w:pict>
      </w:r>
    </w:p>
    <w:p>
      <w:pPr>
        <w:pStyle w:val="BodyText"/>
        <w:spacing w:before="10"/>
        <w:rPr>
          <w:sz w:val="17"/>
        </w:rPr>
      </w:pPr>
    </w:p>
    <w:p>
      <w:pPr>
        <w:pStyle w:val="Heading4"/>
        <w:spacing w:before="94"/>
      </w:pPr>
      <w:r>
        <w:rPr>
          <w:color w:val="231F20"/>
        </w:rPr>
        <w:t>Note</w:t>
      </w:r>
      <w:r>
        <w:rPr>
          <w:color w:val="231F20"/>
          <w:spacing w:val="-7"/>
        </w:rPr>
        <w:t> </w:t>
      </w:r>
      <w:r>
        <w:rPr>
          <w:color w:val="231F20"/>
        </w:rPr>
        <w:t>3</w:t>
      </w:r>
      <w:r>
        <w:rPr>
          <w:color w:val="231F20"/>
          <w:spacing w:val="-5"/>
        </w:rPr>
        <w:t> </w:t>
      </w:r>
      <w:r>
        <w:rPr>
          <w:color w:val="231F20"/>
        </w:rPr>
        <w:t>–</w:t>
      </w:r>
      <w:r>
        <w:rPr>
          <w:color w:val="231F20"/>
          <w:spacing w:val="-4"/>
        </w:rPr>
        <w:t> </w:t>
      </w:r>
      <w:r>
        <w:rPr>
          <w:color w:val="231F20"/>
        </w:rPr>
        <w:t>Cash</w:t>
      </w:r>
      <w:r>
        <w:rPr>
          <w:color w:val="231F20"/>
          <w:spacing w:val="-5"/>
        </w:rPr>
        <w:t> </w:t>
      </w:r>
      <w:r>
        <w:rPr>
          <w:color w:val="231F20"/>
        </w:rPr>
        <w:t>and</w:t>
      </w:r>
      <w:r>
        <w:rPr>
          <w:color w:val="231F20"/>
          <w:spacing w:val="-5"/>
        </w:rPr>
        <w:t> </w:t>
      </w:r>
      <w:r>
        <w:rPr>
          <w:color w:val="231F20"/>
        </w:rPr>
        <w:t>Investments</w:t>
      </w:r>
      <w:r>
        <w:rPr>
          <w:color w:val="231F20"/>
          <w:spacing w:val="-4"/>
        </w:rPr>
        <w:t> </w:t>
      </w:r>
      <w:r>
        <w:rPr>
          <w:color w:val="231F20"/>
          <w:spacing w:val="-2"/>
        </w:rPr>
        <w:t>(continued)</w:t>
      </w:r>
    </w:p>
    <w:p>
      <w:pPr>
        <w:pStyle w:val="BodyText"/>
        <w:rPr>
          <w:b/>
          <w:sz w:val="26"/>
        </w:rPr>
      </w:pPr>
    </w:p>
    <w:p>
      <w:pPr>
        <w:pStyle w:val="BodyText"/>
        <w:spacing w:line="276" w:lineRule="auto"/>
        <w:ind w:left="1440" w:right="891"/>
      </w:pPr>
      <w:r>
        <w:rPr>
          <w:color w:val="231F20"/>
        </w:rPr>
        <w:t>GASB</w:t>
      </w:r>
      <w:r>
        <w:rPr>
          <w:color w:val="231F20"/>
          <w:spacing w:val="-3"/>
        </w:rPr>
        <w:t> </w:t>
      </w:r>
      <w:r>
        <w:rPr>
          <w:color w:val="231F20"/>
        </w:rPr>
        <w:t>72</w:t>
      </w:r>
      <w:r>
        <w:rPr>
          <w:color w:val="231F20"/>
          <w:spacing w:val="-3"/>
        </w:rPr>
        <w:t> </w:t>
      </w:r>
      <w:r>
        <w:rPr>
          <w:color w:val="231F20"/>
        </w:rPr>
        <w:t>requires</w:t>
      </w:r>
      <w:r>
        <w:rPr>
          <w:color w:val="231F20"/>
          <w:spacing w:val="-3"/>
        </w:rPr>
        <w:t> </w:t>
      </w:r>
      <w:r>
        <w:rPr>
          <w:color w:val="231F20"/>
        </w:rPr>
        <w:t>additional</w:t>
      </w:r>
      <w:r>
        <w:rPr>
          <w:color w:val="231F20"/>
          <w:spacing w:val="-3"/>
        </w:rPr>
        <w:t> </w:t>
      </w:r>
      <w:r>
        <w:rPr>
          <w:color w:val="231F20"/>
        </w:rPr>
        <w:t>disclosure</w:t>
      </w:r>
      <w:r>
        <w:rPr>
          <w:color w:val="231F20"/>
          <w:spacing w:val="-3"/>
        </w:rPr>
        <w:t> </w:t>
      </w:r>
      <w:r>
        <w:rPr>
          <w:color w:val="231F20"/>
        </w:rPr>
        <w:t>for</w:t>
      </w:r>
      <w:r>
        <w:rPr>
          <w:color w:val="231F20"/>
          <w:spacing w:val="-3"/>
        </w:rPr>
        <w:t> </w:t>
      </w:r>
      <w:r>
        <w:rPr>
          <w:color w:val="231F20"/>
        </w:rPr>
        <w:t>certain</w:t>
      </w:r>
      <w:r>
        <w:rPr>
          <w:color w:val="231F20"/>
          <w:spacing w:val="-3"/>
        </w:rPr>
        <w:t> </w:t>
      </w:r>
      <w:r>
        <w:rPr>
          <w:color w:val="231F20"/>
        </w:rPr>
        <w:t>types</w:t>
      </w:r>
      <w:r>
        <w:rPr>
          <w:color w:val="231F20"/>
          <w:spacing w:val="-3"/>
        </w:rPr>
        <w:t> </w:t>
      </w:r>
      <w:r>
        <w:rPr>
          <w:color w:val="231F20"/>
        </w:rPr>
        <w:t>of</w:t>
      </w:r>
      <w:r>
        <w:rPr>
          <w:color w:val="231F20"/>
          <w:spacing w:val="-3"/>
        </w:rPr>
        <w:t> </w:t>
      </w:r>
      <w:r>
        <w:rPr>
          <w:color w:val="231F20"/>
        </w:rPr>
        <w:t>investments</w:t>
      </w:r>
      <w:r>
        <w:rPr>
          <w:color w:val="231F20"/>
          <w:spacing w:val="-3"/>
        </w:rPr>
        <w:t> </w:t>
      </w:r>
      <w:r>
        <w:rPr>
          <w:color w:val="231F20"/>
        </w:rPr>
        <w:t>that</w:t>
      </w:r>
      <w:r>
        <w:rPr>
          <w:color w:val="231F20"/>
          <w:spacing w:val="-3"/>
        </w:rPr>
        <w:t> </w:t>
      </w:r>
      <w:r>
        <w:rPr>
          <w:color w:val="231F20"/>
        </w:rPr>
        <w:t>calculate</w:t>
      </w:r>
      <w:r>
        <w:rPr>
          <w:color w:val="231F20"/>
          <w:spacing w:val="-3"/>
        </w:rPr>
        <w:t> </w:t>
      </w:r>
      <w:r>
        <w:rPr>
          <w:color w:val="231F20"/>
        </w:rPr>
        <w:t>net</w:t>
      </w:r>
      <w:r>
        <w:rPr>
          <w:color w:val="231F20"/>
          <w:spacing w:val="-3"/>
        </w:rPr>
        <w:t> </w:t>
      </w:r>
      <w:r>
        <w:rPr>
          <w:color w:val="231F20"/>
        </w:rPr>
        <w:t>asset</w:t>
      </w:r>
      <w:r>
        <w:rPr>
          <w:color w:val="231F20"/>
          <w:spacing w:val="-3"/>
        </w:rPr>
        <w:t> </w:t>
      </w:r>
      <w:r>
        <w:rPr>
          <w:color w:val="231F20"/>
        </w:rPr>
        <w:t>value</w:t>
      </w:r>
      <w:r>
        <w:rPr>
          <w:color w:val="231F20"/>
          <w:spacing w:val="-3"/>
        </w:rPr>
        <w:t> </w:t>
      </w:r>
      <w:r>
        <w:rPr>
          <w:color w:val="231F20"/>
        </w:rPr>
        <w:t>per share but are not publicly traded to assist in understanding the nature and risk of these investments by major category. The table below summarizes the fair value and other pertinent liquidity information of investments at June 30:</w:t>
      </w:r>
    </w:p>
    <w:p>
      <w:pPr>
        <w:pStyle w:val="BodyText"/>
        <w:rPr>
          <w:sz w:val="25"/>
        </w:r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7"/>
        <w:gridCol w:w="1912"/>
        <w:gridCol w:w="1882"/>
        <w:gridCol w:w="1838"/>
      </w:tblGrid>
      <w:tr>
        <w:trPr>
          <w:trHeight w:val="521" w:hRule="atLeast"/>
        </w:trPr>
        <w:tc>
          <w:tcPr>
            <w:tcW w:w="3787" w:type="dxa"/>
          </w:tcPr>
          <w:p>
            <w:pPr>
              <w:pStyle w:val="TableParagraph"/>
              <w:spacing w:before="1"/>
              <w:rPr>
                <w:sz w:val="21"/>
              </w:rPr>
            </w:pPr>
          </w:p>
          <w:p>
            <w:pPr>
              <w:pStyle w:val="TableParagraph"/>
              <w:tabs>
                <w:tab w:pos="1365" w:val="left" w:leader="none"/>
                <w:tab w:pos="3634" w:val="left" w:leader="none"/>
              </w:tabs>
              <w:spacing w:before="1"/>
              <w:ind w:left="59"/>
              <w:rPr>
                <w:sz w:val="20"/>
              </w:rPr>
            </w:pPr>
            <w:r>
              <w:rPr>
                <w:color w:val="231F20"/>
                <w:sz w:val="20"/>
                <w:u w:val="single" w:color="231F20"/>
              </w:rPr>
              <w:tab/>
            </w:r>
            <w:r>
              <w:rPr>
                <w:color w:val="231F20"/>
                <w:spacing w:val="-2"/>
                <w:sz w:val="20"/>
                <w:u w:val="single" w:color="231F20"/>
              </w:rPr>
              <w:t>Investment</w:t>
            </w:r>
            <w:r>
              <w:rPr>
                <w:color w:val="231F20"/>
                <w:sz w:val="20"/>
                <w:u w:val="single" w:color="231F20"/>
              </w:rPr>
              <w:tab/>
            </w:r>
          </w:p>
        </w:tc>
        <w:tc>
          <w:tcPr>
            <w:tcW w:w="1912" w:type="dxa"/>
          </w:tcPr>
          <w:p>
            <w:pPr>
              <w:pStyle w:val="TableParagraph"/>
              <w:spacing w:before="1"/>
              <w:rPr>
                <w:sz w:val="21"/>
              </w:rPr>
            </w:pPr>
          </w:p>
          <w:p>
            <w:pPr>
              <w:pStyle w:val="TableParagraph"/>
              <w:tabs>
                <w:tab w:pos="507" w:val="left" w:leader="none"/>
                <w:tab w:pos="1758" w:val="left" w:leader="none"/>
              </w:tabs>
              <w:spacing w:before="1"/>
              <w:ind w:left="152"/>
              <w:rPr>
                <w:sz w:val="20"/>
              </w:rPr>
            </w:pPr>
            <w:r>
              <w:rPr>
                <w:color w:val="231F20"/>
                <w:sz w:val="20"/>
                <w:u w:val="single" w:color="231F20"/>
              </w:rPr>
              <w:tab/>
              <w:t>Fair</w:t>
            </w:r>
            <w:r>
              <w:rPr>
                <w:color w:val="231F20"/>
                <w:spacing w:val="-5"/>
                <w:sz w:val="20"/>
                <w:u w:val="single" w:color="231F20"/>
              </w:rPr>
              <w:t> </w:t>
            </w:r>
            <w:r>
              <w:rPr>
                <w:color w:val="231F20"/>
                <w:spacing w:val="-2"/>
                <w:sz w:val="20"/>
                <w:u w:val="single" w:color="231F20"/>
              </w:rPr>
              <w:t>Value</w:t>
            </w:r>
            <w:r>
              <w:rPr>
                <w:color w:val="231F20"/>
                <w:sz w:val="20"/>
                <w:u w:val="single" w:color="231F20"/>
              </w:rPr>
              <w:tab/>
            </w:r>
          </w:p>
        </w:tc>
        <w:tc>
          <w:tcPr>
            <w:tcW w:w="1882" w:type="dxa"/>
          </w:tcPr>
          <w:p>
            <w:pPr>
              <w:pStyle w:val="TableParagraph"/>
              <w:spacing w:line="224" w:lineRule="exact"/>
              <w:ind w:left="44"/>
              <w:jc w:val="center"/>
              <w:rPr>
                <w:sz w:val="20"/>
              </w:rPr>
            </w:pPr>
            <w:r>
              <w:rPr>
                <w:color w:val="231F20"/>
                <w:spacing w:val="-2"/>
                <w:sz w:val="20"/>
              </w:rPr>
              <w:t>Redemption</w:t>
            </w:r>
          </w:p>
          <w:p>
            <w:pPr>
              <w:pStyle w:val="TableParagraph"/>
              <w:tabs>
                <w:tab w:pos="364" w:val="left" w:leader="none"/>
                <w:tab w:pos="1632" w:val="left" w:leader="none"/>
              </w:tabs>
              <w:spacing w:before="19"/>
              <w:ind w:left="27"/>
              <w:jc w:val="center"/>
              <w:rPr>
                <w:sz w:val="20"/>
              </w:rPr>
            </w:pPr>
            <w:r>
              <w:rPr>
                <w:color w:val="231F20"/>
                <w:sz w:val="20"/>
                <w:u w:val="single" w:color="231F20"/>
              </w:rPr>
              <w:tab/>
            </w:r>
            <w:r>
              <w:rPr>
                <w:color w:val="231F20"/>
                <w:spacing w:val="-2"/>
                <w:sz w:val="20"/>
                <w:u w:val="single" w:color="231F20"/>
              </w:rPr>
              <w:t>Frequency</w:t>
            </w:r>
            <w:r>
              <w:rPr>
                <w:color w:val="231F20"/>
                <w:sz w:val="20"/>
                <w:u w:val="single" w:color="231F20"/>
              </w:rPr>
              <w:tab/>
            </w:r>
          </w:p>
        </w:tc>
        <w:tc>
          <w:tcPr>
            <w:tcW w:w="1838" w:type="dxa"/>
          </w:tcPr>
          <w:p>
            <w:pPr>
              <w:pStyle w:val="TableParagraph"/>
              <w:spacing w:line="224" w:lineRule="exact"/>
              <w:ind w:left="145"/>
              <w:jc w:val="center"/>
              <w:rPr>
                <w:sz w:val="20"/>
              </w:rPr>
            </w:pPr>
            <w:r>
              <w:rPr>
                <w:color w:val="231F20"/>
                <w:spacing w:val="-2"/>
                <w:sz w:val="20"/>
              </w:rPr>
              <w:t>Redemption</w:t>
            </w:r>
          </w:p>
          <w:p>
            <w:pPr>
              <w:pStyle w:val="TableParagraph"/>
              <w:spacing w:before="19"/>
              <w:ind w:left="130"/>
              <w:jc w:val="center"/>
              <w:rPr>
                <w:sz w:val="20"/>
              </w:rPr>
            </w:pPr>
            <w:r>
              <w:rPr>
                <w:color w:val="231F20"/>
                <w:spacing w:val="46"/>
                <w:sz w:val="20"/>
                <w:u w:val="single" w:color="231F20"/>
              </w:rPr>
              <w:t>  </w:t>
            </w:r>
            <w:r>
              <w:rPr>
                <w:color w:val="231F20"/>
                <w:sz w:val="20"/>
                <w:u w:val="single" w:color="231F20"/>
              </w:rPr>
              <w:t>Notice</w:t>
            </w:r>
            <w:r>
              <w:rPr>
                <w:color w:val="231F20"/>
                <w:spacing w:val="-1"/>
                <w:sz w:val="20"/>
                <w:u w:val="single" w:color="231F20"/>
              </w:rPr>
              <w:t> </w:t>
            </w:r>
            <w:r>
              <w:rPr>
                <w:color w:val="231F20"/>
                <w:spacing w:val="-2"/>
                <w:sz w:val="20"/>
                <w:u w:val="single" w:color="231F20"/>
              </w:rPr>
              <w:t>Period</w:t>
            </w:r>
            <w:r>
              <w:rPr>
                <w:color w:val="231F20"/>
                <w:spacing w:val="40"/>
                <w:sz w:val="20"/>
                <w:u w:val="single" w:color="231F20"/>
              </w:rPr>
              <w:t> </w:t>
            </w:r>
          </w:p>
        </w:tc>
      </w:tr>
      <w:tr>
        <w:trPr>
          <w:trHeight w:val="286" w:hRule="atLeast"/>
        </w:trPr>
        <w:tc>
          <w:tcPr>
            <w:tcW w:w="3787" w:type="dxa"/>
          </w:tcPr>
          <w:p>
            <w:pPr>
              <w:pStyle w:val="TableParagraph"/>
              <w:spacing w:line="225" w:lineRule="exact" w:before="41"/>
              <w:ind w:left="97"/>
              <w:rPr>
                <w:sz w:val="20"/>
              </w:rPr>
            </w:pPr>
            <w:r>
              <w:rPr>
                <w:color w:val="231F20"/>
                <w:sz w:val="20"/>
              </w:rPr>
              <w:t>U.S.</w:t>
            </w:r>
            <w:r>
              <w:rPr>
                <w:color w:val="231F20"/>
                <w:spacing w:val="-3"/>
                <w:sz w:val="20"/>
              </w:rPr>
              <w:t> </w:t>
            </w:r>
            <w:r>
              <w:rPr>
                <w:color w:val="231F20"/>
                <w:sz w:val="20"/>
              </w:rPr>
              <w:t>Large</w:t>
            </w:r>
            <w:r>
              <w:rPr>
                <w:color w:val="231F20"/>
                <w:spacing w:val="-3"/>
                <w:sz w:val="20"/>
              </w:rPr>
              <w:t> </w:t>
            </w:r>
            <w:r>
              <w:rPr>
                <w:color w:val="231F20"/>
                <w:sz w:val="20"/>
              </w:rPr>
              <w:t>Cap</w:t>
            </w:r>
            <w:r>
              <w:rPr>
                <w:color w:val="231F20"/>
                <w:spacing w:val="-3"/>
                <w:sz w:val="20"/>
              </w:rPr>
              <w:t> </w:t>
            </w:r>
            <w:r>
              <w:rPr>
                <w:color w:val="231F20"/>
                <w:sz w:val="20"/>
              </w:rPr>
              <w:t>Index</w:t>
            </w:r>
            <w:r>
              <w:rPr>
                <w:color w:val="231F20"/>
                <w:spacing w:val="-2"/>
                <w:sz w:val="20"/>
              </w:rPr>
              <w:t> </w:t>
            </w:r>
            <w:r>
              <w:rPr>
                <w:color w:val="231F20"/>
                <w:spacing w:val="-4"/>
                <w:sz w:val="20"/>
              </w:rPr>
              <w:t>Pool</w:t>
            </w:r>
          </w:p>
        </w:tc>
        <w:tc>
          <w:tcPr>
            <w:tcW w:w="1912" w:type="dxa"/>
          </w:tcPr>
          <w:p>
            <w:pPr>
              <w:pStyle w:val="TableParagraph"/>
              <w:tabs>
                <w:tab w:pos="645" w:val="left" w:leader="none"/>
              </w:tabs>
              <w:spacing w:line="225" w:lineRule="exact" w:before="41"/>
              <w:ind w:left="258"/>
              <w:rPr>
                <w:sz w:val="20"/>
              </w:rPr>
            </w:pPr>
            <w:r>
              <w:rPr>
                <w:color w:val="231F20"/>
                <w:spacing w:val="-10"/>
                <w:sz w:val="20"/>
              </w:rPr>
              <w:t>$</w:t>
            </w:r>
            <w:r>
              <w:rPr>
                <w:color w:val="231F20"/>
                <w:sz w:val="20"/>
              </w:rPr>
              <w:tab/>
            </w:r>
            <w:r>
              <w:rPr>
                <w:color w:val="231F20"/>
                <w:spacing w:val="-2"/>
                <w:sz w:val="20"/>
              </w:rPr>
              <w:t>17,567,910</w:t>
            </w:r>
          </w:p>
        </w:tc>
        <w:tc>
          <w:tcPr>
            <w:tcW w:w="1882" w:type="dxa"/>
          </w:tcPr>
          <w:p>
            <w:pPr>
              <w:pStyle w:val="TableParagraph"/>
              <w:spacing w:line="225" w:lineRule="exact" w:before="41"/>
              <w:ind w:left="45"/>
              <w:jc w:val="center"/>
              <w:rPr>
                <w:sz w:val="20"/>
              </w:rPr>
            </w:pPr>
            <w:r>
              <w:rPr>
                <w:color w:val="231F20"/>
                <w:spacing w:val="-2"/>
                <w:sz w:val="20"/>
              </w:rPr>
              <w:t>Daily</w:t>
            </w:r>
          </w:p>
        </w:tc>
        <w:tc>
          <w:tcPr>
            <w:tcW w:w="1838" w:type="dxa"/>
          </w:tcPr>
          <w:p>
            <w:pPr>
              <w:pStyle w:val="TableParagraph"/>
              <w:spacing w:line="225" w:lineRule="exact" w:before="41"/>
              <w:ind w:left="145"/>
              <w:jc w:val="center"/>
              <w:rPr>
                <w:sz w:val="20"/>
              </w:rPr>
            </w:pPr>
            <w:r>
              <w:rPr>
                <w:color w:val="231F20"/>
                <w:sz w:val="20"/>
              </w:rPr>
              <w:t>5</w:t>
            </w:r>
            <w:r>
              <w:rPr>
                <w:color w:val="231F20"/>
                <w:spacing w:val="-4"/>
                <w:sz w:val="20"/>
              </w:rPr>
              <w:t> </w:t>
            </w:r>
            <w:r>
              <w:rPr>
                <w:color w:val="231F20"/>
                <w:sz w:val="20"/>
              </w:rPr>
              <w:t>Business</w:t>
            </w:r>
            <w:r>
              <w:rPr>
                <w:color w:val="231F20"/>
                <w:spacing w:val="-3"/>
                <w:sz w:val="20"/>
              </w:rPr>
              <w:t> </w:t>
            </w:r>
            <w:r>
              <w:rPr>
                <w:color w:val="231F20"/>
                <w:spacing w:val="-4"/>
                <w:sz w:val="20"/>
              </w:rPr>
              <w:t>Days</w:t>
            </w:r>
          </w:p>
        </w:tc>
      </w:tr>
      <w:tr>
        <w:trPr>
          <w:trHeight w:val="251" w:hRule="atLeast"/>
        </w:trPr>
        <w:tc>
          <w:tcPr>
            <w:tcW w:w="3787" w:type="dxa"/>
          </w:tcPr>
          <w:p>
            <w:pPr>
              <w:pStyle w:val="TableParagraph"/>
              <w:spacing w:line="223" w:lineRule="exact" w:before="9"/>
              <w:ind w:left="97"/>
              <w:rPr>
                <w:sz w:val="20"/>
              </w:rPr>
            </w:pPr>
            <w:r>
              <w:rPr>
                <w:color w:val="231F20"/>
                <w:sz w:val="20"/>
              </w:rPr>
              <w:t>U.S.</w:t>
            </w:r>
            <w:r>
              <w:rPr>
                <w:color w:val="231F20"/>
                <w:spacing w:val="-6"/>
                <w:sz w:val="20"/>
              </w:rPr>
              <w:t> </w:t>
            </w:r>
            <w:r>
              <w:rPr>
                <w:color w:val="231F20"/>
                <w:sz w:val="20"/>
              </w:rPr>
              <w:t>Small/Mid</w:t>
            </w:r>
            <w:r>
              <w:rPr>
                <w:color w:val="231F20"/>
                <w:spacing w:val="-4"/>
                <w:sz w:val="20"/>
              </w:rPr>
              <w:t> </w:t>
            </w:r>
            <w:r>
              <w:rPr>
                <w:color w:val="231F20"/>
                <w:sz w:val="20"/>
              </w:rPr>
              <w:t>Cap</w:t>
            </w:r>
            <w:r>
              <w:rPr>
                <w:color w:val="231F20"/>
                <w:spacing w:val="-4"/>
                <w:sz w:val="20"/>
              </w:rPr>
              <w:t> Pool</w:t>
            </w:r>
          </w:p>
        </w:tc>
        <w:tc>
          <w:tcPr>
            <w:tcW w:w="1912" w:type="dxa"/>
          </w:tcPr>
          <w:p>
            <w:pPr>
              <w:pStyle w:val="TableParagraph"/>
              <w:spacing w:line="223" w:lineRule="exact" w:before="9"/>
              <w:ind w:left="756"/>
              <w:rPr>
                <w:sz w:val="20"/>
              </w:rPr>
            </w:pPr>
            <w:r>
              <w:rPr>
                <w:color w:val="231F20"/>
                <w:spacing w:val="-2"/>
                <w:sz w:val="20"/>
              </w:rPr>
              <w:t>4,381,166</w:t>
            </w:r>
          </w:p>
        </w:tc>
        <w:tc>
          <w:tcPr>
            <w:tcW w:w="1882" w:type="dxa"/>
          </w:tcPr>
          <w:p>
            <w:pPr>
              <w:pStyle w:val="TableParagraph"/>
              <w:spacing w:line="223" w:lineRule="exact" w:before="9"/>
              <w:ind w:left="45"/>
              <w:jc w:val="center"/>
              <w:rPr>
                <w:sz w:val="20"/>
              </w:rPr>
            </w:pPr>
            <w:r>
              <w:rPr>
                <w:color w:val="231F20"/>
                <w:spacing w:val="-2"/>
                <w:sz w:val="20"/>
              </w:rPr>
              <w:t>Daily</w:t>
            </w:r>
          </w:p>
        </w:tc>
        <w:tc>
          <w:tcPr>
            <w:tcW w:w="1838" w:type="dxa"/>
          </w:tcPr>
          <w:p>
            <w:pPr>
              <w:pStyle w:val="TableParagraph"/>
              <w:spacing w:line="223" w:lineRule="exact" w:before="9"/>
              <w:ind w:left="143"/>
              <w:jc w:val="center"/>
              <w:rPr>
                <w:sz w:val="20"/>
              </w:rPr>
            </w:pPr>
            <w:r>
              <w:rPr>
                <w:color w:val="231F20"/>
                <w:sz w:val="20"/>
              </w:rPr>
              <w:t>5</w:t>
            </w:r>
            <w:r>
              <w:rPr>
                <w:color w:val="231F20"/>
                <w:spacing w:val="-4"/>
                <w:sz w:val="20"/>
              </w:rPr>
              <w:t> </w:t>
            </w:r>
            <w:r>
              <w:rPr>
                <w:color w:val="231F20"/>
                <w:sz w:val="20"/>
              </w:rPr>
              <w:t>Business</w:t>
            </w:r>
            <w:r>
              <w:rPr>
                <w:color w:val="231F20"/>
                <w:spacing w:val="-3"/>
                <w:sz w:val="20"/>
              </w:rPr>
              <w:t> </w:t>
            </w:r>
            <w:r>
              <w:rPr>
                <w:color w:val="231F20"/>
                <w:spacing w:val="-4"/>
                <w:sz w:val="20"/>
              </w:rPr>
              <w:t>Days</w:t>
            </w:r>
          </w:p>
        </w:tc>
      </w:tr>
      <w:tr>
        <w:trPr>
          <w:trHeight w:val="249" w:hRule="atLeast"/>
        </w:trPr>
        <w:tc>
          <w:tcPr>
            <w:tcW w:w="3787" w:type="dxa"/>
          </w:tcPr>
          <w:p>
            <w:pPr>
              <w:pStyle w:val="TableParagraph"/>
              <w:spacing w:line="223" w:lineRule="exact" w:before="6"/>
              <w:ind w:left="97"/>
              <w:rPr>
                <w:sz w:val="20"/>
              </w:rPr>
            </w:pPr>
            <w:r>
              <w:rPr>
                <w:color w:val="231F20"/>
                <w:sz w:val="20"/>
              </w:rPr>
              <w:t>Non</w:t>
            </w:r>
            <w:r>
              <w:rPr>
                <w:color w:val="231F20"/>
                <w:spacing w:val="-5"/>
                <w:sz w:val="20"/>
              </w:rPr>
              <w:t> </w:t>
            </w:r>
            <w:r>
              <w:rPr>
                <w:color w:val="231F20"/>
                <w:sz w:val="20"/>
              </w:rPr>
              <w:t>U.S.</w:t>
            </w:r>
            <w:r>
              <w:rPr>
                <w:color w:val="231F20"/>
                <w:spacing w:val="-4"/>
                <w:sz w:val="20"/>
              </w:rPr>
              <w:t> </w:t>
            </w:r>
            <w:r>
              <w:rPr>
                <w:color w:val="231F20"/>
                <w:sz w:val="20"/>
              </w:rPr>
              <w:t>Developed</w:t>
            </w:r>
            <w:r>
              <w:rPr>
                <w:color w:val="231F20"/>
                <w:spacing w:val="-3"/>
                <w:sz w:val="20"/>
              </w:rPr>
              <w:t> </w:t>
            </w:r>
            <w:r>
              <w:rPr>
                <w:color w:val="231F20"/>
                <w:sz w:val="20"/>
              </w:rPr>
              <w:t>Markets</w:t>
            </w:r>
            <w:r>
              <w:rPr>
                <w:color w:val="231F20"/>
                <w:spacing w:val="-4"/>
                <w:sz w:val="20"/>
              </w:rPr>
              <w:t> Pool</w:t>
            </w:r>
          </w:p>
        </w:tc>
        <w:tc>
          <w:tcPr>
            <w:tcW w:w="1912" w:type="dxa"/>
          </w:tcPr>
          <w:p>
            <w:pPr>
              <w:pStyle w:val="TableParagraph"/>
              <w:spacing w:line="223" w:lineRule="exact" w:before="6"/>
              <w:ind w:left="644"/>
              <w:rPr>
                <w:sz w:val="20"/>
              </w:rPr>
            </w:pPr>
            <w:r>
              <w:rPr>
                <w:color w:val="231F20"/>
                <w:spacing w:val="-2"/>
                <w:sz w:val="20"/>
              </w:rPr>
              <w:t>14,561,876</w:t>
            </w:r>
          </w:p>
        </w:tc>
        <w:tc>
          <w:tcPr>
            <w:tcW w:w="1882" w:type="dxa"/>
          </w:tcPr>
          <w:p>
            <w:pPr>
              <w:pStyle w:val="TableParagraph"/>
              <w:spacing w:line="223" w:lineRule="exact" w:before="6"/>
              <w:ind w:left="45"/>
              <w:jc w:val="center"/>
              <w:rPr>
                <w:sz w:val="20"/>
              </w:rPr>
            </w:pPr>
            <w:r>
              <w:rPr>
                <w:color w:val="231F20"/>
                <w:spacing w:val="-2"/>
                <w:sz w:val="20"/>
              </w:rPr>
              <w:t>Daily</w:t>
            </w:r>
          </w:p>
        </w:tc>
        <w:tc>
          <w:tcPr>
            <w:tcW w:w="1838" w:type="dxa"/>
          </w:tcPr>
          <w:p>
            <w:pPr>
              <w:pStyle w:val="TableParagraph"/>
              <w:spacing w:line="223" w:lineRule="exact" w:before="6"/>
              <w:ind w:left="143"/>
              <w:jc w:val="center"/>
              <w:rPr>
                <w:sz w:val="20"/>
              </w:rPr>
            </w:pPr>
            <w:r>
              <w:rPr>
                <w:color w:val="231F20"/>
                <w:sz w:val="20"/>
              </w:rPr>
              <w:t>5</w:t>
            </w:r>
            <w:r>
              <w:rPr>
                <w:color w:val="231F20"/>
                <w:spacing w:val="-4"/>
                <w:sz w:val="20"/>
              </w:rPr>
              <w:t> </w:t>
            </w:r>
            <w:r>
              <w:rPr>
                <w:color w:val="231F20"/>
                <w:sz w:val="20"/>
              </w:rPr>
              <w:t>Business</w:t>
            </w:r>
            <w:r>
              <w:rPr>
                <w:color w:val="231F20"/>
                <w:spacing w:val="-3"/>
                <w:sz w:val="20"/>
              </w:rPr>
              <w:t> </w:t>
            </w:r>
            <w:r>
              <w:rPr>
                <w:color w:val="231F20"/>
                <w:spacing w:val="-4"/>
                <w:sz w:val="20"/>
              </w:rPr>
              <w:t>Days</w:t>
            </w:r>
          </w:p>
        </w:tc>
      </w:tr>
      <w:tr>
        <w:trPr>
          <w:trHeight w:val="249" w:hRule="atLeast"/>
        </w:trPr>
        <w:tc>
          <w:tcPr>
            <w:tcW w:w="3787" w:type="dxa"/>
          </w:tcPr>
          <w:p>
            <w:pPr>
              <w:pStyle w:val="TableParagraph"/>
              <w:spacing w:line="223" w:lineRule="exact" w:before="6"/>
              <w:ind w:left="97"/>
              <w:rPr>
                <w:sz w:val="20"/>
              </w:rPr>
            </w:pPr>
            <w:r>
              <w:rPr>
                <w:color w:val="231F20"/>
                <w:sz w:val="20"/>
              </w:rPr>
              <w:t>Non</w:t>
            </w:r>
            <w:r>
              <w:rPr>
                <w:color w:val="231F20"/>
                <w:spacing w:val="-4"/>
                <w:sz w:val="20"/>
              </w:rPr>
              <w:t> </w:t>
            </w:r>
            <w:r>
              <w:rPr>
                <w:color w:val="231F20"/>
                <w:sz w:val="20"/>
              </w:rPr>
              <w:t>U.S.</w:t>
            </w:r>
            <w:r>
              <w:rPr>
                <w:color w:val="231F20"/>
                <w:spacing w:val="-4"/>
                <w:sz w:val="20"/>
              </w:rPr>
              <w:t> </w:t>
            </w:r>
            <w:r>
              <w:rPr>
                <w:color w:val="231F20"/>
                <w:sz w:val="20"/>
              </w:rPr>
              <w:t>Emerging</w:t>
            </w:r>
            <w:r>
              <w:rPr>
                <w:color w:val="231F20"/>
                <w:spacing w:val="-4"/>
                <w:sz w:val="20"/>
              </w:rPr>
              <w:t> </w:t>
            </w:r>
            <w:r>
              <w:rPr>
                <w:color w:val="231F20"/>
                <w:sz w:val="20"/>
              </w:rPr>
              <w:t>Markets</w:t>
            </w:r>
            <w:r>
              <w:rPr>
                <w:color w:val="231F20"/>
                <w:spacing w:val="-3"/>
                <w:sz w:val="20"/>
              </w:rPr>
              <w:t> </w:t>
            </w:r>
            <w:r>
              <w:rPr>
                <w:color w:val="231F20"/>
                <w:spacing w:val="-4"/>
                <w:sz w:val="20"/>
              </w:rPr>
              <w:t>Pool</w:t>
            </w:r>
          </w:p>
        </w:tc>
        <w:tc>
          <w:tcPr>
            <w:tcW w:w="1912" w:type="dxa"/>
          </w:tcPr>
          <w:p>
            <w:pPr>
              <w:pStyle w:val="TableParagraph"/>
              <w:spacing w:line="223" w:lineRule="exact" w:before="6"/>
              <w:ind w:left="756"/>
              <w:rPr>
                <w:sz w:val="20"/>
              </w:rPr>
            </w:pPr>
            <w:r>
              <w:rPr>
                <w:color w:val="231F20"/>
                <w:spacing w:val="-2"/>
                <w:sz w:val="20"/>
              </w:rPr>
              <w:t>7,457,018</w:t>
            </w:r>
          </w:p>
        </w:tc>
        <w:tc>
          <w:tcPr>
            <w:tcW w:w="1882" w:type="dxa"/>
          </w:tcPr>
          <w:p>
            <w:pPr>
              <w:pStyle w:val="TableParagraph"/>
              <w:spacing w:line="223" w:lineRule="exact" w:before="6"/>
              <w:ind w:left="45"/>
              <w:jc w:val="center"/>
              <w:rPr>
                <w:sz w:val="20"/>
              </w:rPr>
            </w:pPr>
            <w:r>
              <w:rPr>
                <w:color w:val="231F20"/>
                <w:spacing w:val="-2"/>
                <w:sz w:val="20"/>
              </w:rPr>
              <w:t>Daily</w:t>
            </w:r>
          </w:p>
        </w:tc>
        <w:tc>
          <w:tcPr>
            <w:tcW w:w="1838" w:type="dxa"/>
          </w:tcPr>
          <w:p>
            <w:pPr>
              <w:pStyle w:val="TableParagraph"/>
              <w:spacing w:line="223" w:lineRule="exact" w:before="6"/>
              <w:ind w:left="143"/>
              <w:jc w:val="center"/>
              <w:rPr>
                <w:sz w:val="20"/>
              </w:rPr>
            </w:pPr>
            <w:r>
              <w:rPr>
                <w:color w:val="231F20"/>
                <w:sz w:val="20"/>
              </w:rPr>
              <w:t>5</w:t>
            </w:r>
            <w:r>
              <w:rPr>
                <w:color w:val="231F20"/>
                <w:spacing w:val="-4"/>
                <w:sz w:val="20"/>
              </w:rPr>
              <w:t> </w:t>
            </w:r>
            <w:r>
              <w:rPr>
                <w:color w:val="231F20"/>
                <w:sz w:val="20"/>
              </w:rPr>
              <w:t>Business</w:t>
            </w:r>
            <w:r>
              <w:rPr>
                <w:color w:val="231F20"/>
                <w:spacing w:val="-3"/>
                <w:sz w:val="20"/>
              </w:rPr>
              <w:t> </w:t>
            </w:r>
            <w:r>
              <w:rPr>
                <w:color w:val="231F20"/>
                <w:spacing w:val="-4"/>
                <w:sz w:val="20"/>
              </w:rPr>
              <w:t>Days</w:t>
            </w:r>
          </w:p>
        </w:tc>
      </w:tr>
      <w:tr>
        <w:trPr>
          <w:trHeight w:val="249" w:hRule="atLeast"/>
        </w:trPr>
        <w:tc>
          <w:tcPr>
            <w:tcW w:w="3787" w:type="dxa"/>
          </w:tcPr>
          <w:p>
            <w:pPr>
              <w:pStyle w:val="TableParagraph"/>
              <w:spacing w:line="223" w:lineRule="exact" w:before="6"/>
              <w:ind w:left="97"/>
              <w:rPr>
                <w:sz w:val="20"/>
              </w:rPr>
            </w:pPr>
            <w:r>
              <w:rPr>
                <w:color w:val="231F20"/>
                <w:sz w:val="20"/>
              </w:rPr>
              <w:t>Core</w:t>
            </w:r>
            <w:r>
              <w:rPr>
                <w:color w:val="231F20"/>
                <w:spacing w:val="-3"/>
                <w:sz w:val="20"/>
              </w:rPr>
              <w:t> </w:t>
            </w:r>
            <w:r>
              <w:rPr>
                <w:color w:val="231F20"/>
                <w:sz w:val="20"/>
              </w:rPr>
              <w:t>Bonds</w:t>
            </w:r>
            <w:r>
              <w:rPr>
                <w:color w:val="231F20"/>
                <w:spacing w:val="-2"/>
                <w:sz w:val="20"/>
              </w:rPr>
              <w:t> </w:t>
            </w:r>
            <w:r>
              <w:rPr>
                <w:color w:val="231F20"/>
                <w:spacing w:val="-4"/>
                <w:sz w:val="20"/>
              </w:rPr>
              <w:t>Pool</w:t>
            </w:r>
          </w:p>
        </w:tc>
        <w:tc>
          <w:tcPr>
            <w:tcW w:w="1912" w:type="dxa"/>
          </w:tcPr>
          <w:p>
            <w:pPr>
              <w:pStyle w:val="TableParagraph"/>
              <w:spacing w:line="223" w:lineRule="exact" w:before="6"/>
              <w:ind w:left="643"/>
              <w:rPr>
                <w:sz w:val="20"/>
              </w:rPr>
            </w:pPr>
            <w:r>
              <w:rPr>
                <w:color w:val="231F20"/>
                <w:spacing w:val="-2"/>
                <w:sz w:val="20"/>
              </w:rPr>
              <w:t>15,668,336</w:t>
            </w:r>
          </w:p>
        </w:tc>
        <w:tc>
          <w:tcPr>
            <w:tcW w:w="1882" w:type="dxa"/>
          </w:tcPr>
          <w:p>
            <w:pPr>
              <w:pStyle w:val="TableParagraph"/>
              <w:spacing w:line="223" w:lineRule="exact" w:before="6"/>
              <w:ind w:left="45"/>
              <w:jc w:val="center"/>
              <w:rPr>
                <w:sz w:val="20"/>
              </w:rPr>
            </w:pPr>
            <w:r>
              <w:rPr>
                <w:color w:val="231F20"/>
                <w:spacing w:val="-2"/>
                <w:sz w:val="20"/>
              </w:rPr>
              <w:t>Daily</w:t>
            </w:r>
          </w:p>
        </w:tc>
        <w:tc>
          <w:tcPr>
            <w:tcW w:w="1838" w:type="dxa"/>
          </w:tcPr>
          <w:p>
            <w:pPr>
              <w:pStyle w:val="TableParagraph"/>
              <w:spacing w:line="223" w:lineRule="exact" w:before="6"/>
              <w:ind w:left="144"/>
              <w:jc w:val="center"/>
              <w:rPr>
                <w:sz w:val="20"/>
              </w:rPr>
            </w:pPr>
            <w:r>
              <w:rPr>
                <w:color w:val="231F20"/>
                <w:sz w:val="20"/>
              </w:rPr>
              <w:t>5</w:t>
            </w:r>
            <w:r>
              <w:rPr>
                <w:color w:val="231F20"/>
                <w:spacing w:val="-4"/>
                <w:sz w:val="20"/>
              </w:rPr>
              <w:t> </w:t>
            </w:r>
            <w:r>
              <w:rPr>
                <w:color w:val="231F20"/>
                <w:sz w:val="20"/>
              </w:rPr>
              <w:t>Business</w:t>
            </w:r>
            <w:r>
              <w:rPr>
                <w:color w:val="231F20"/>
                <w:spacing w:val="-3"/>
                <w:sz w:val="20"/>
              </w:rPr>
              <w:t> </w:t>
            </w:r>
            <w:r>
              <w:rPr>
                <w:color w:val="231F20"/>
                <w:spacing w:val="-4"/>
                <w:sz w:val="20"/>
              </w:rPr>
              <w:t>Days</w:t>
            </w:r>
          </w:p>
        </w:tc>
      </w:tr>
      <w:tr>
        <w:trPr>
          <w:trHeight w:val="250" w:hRule="atLeast"/>
        </w:trPr>
        <w:tc>
          <w:tcPr>
            <w:tcW w:w="3787" w:type="dxa"/>
          </w:tcPr>
          <w:p>
            <w:pPr>
              <w:pStyle w:val="TableParagraph"/>
              <w:spacing w:line="223" w:lineRule="exact" w:before="6"/>
              <w:ind w:left="97"/>
              <w:rPr>
                <w:sz w:val="20"/>
              </w:rPr>
            </w:pPr>
            <w:r>
              <w:rPr>
                <w:color w:val="231F20"/>
                <w:sz w:val="20"/>
              </w:rPr>
              <w:t>State</w:t>
            </w:r>
            <w:r>
              <w:rPr>
                <w:color w:val="231F20"/>
                <w:spacing w:val="-5"/>
                <w:sz w:val="20"/>
              </w:rPr>
              <w:t> </w:t>
            </w:r>
            <w:r>
              <w:rPr>
                <w:color w:val="231F20"/>
                <w:sz w:val="20"/>
              </w:rPr>
              <w:t>Treasurer</w:t>
            </w:r>
            <w:r>
              <w:rPr>
                <w:color w:val="231F20"/>
                <w:spacing w:val="-4"/>
                <w:sz w:val="20"/>
              </w:rPr>
              <w:t> </w:t>
            </w:r>
            <w:r>
              <w:rPr>
                <w:color w:val="231F20"/>
                <w:sz w:val="20"/>
              </w:rPr>
              <w:t>Office</w:t>
            </w:r>
            <w:r>
              <w:rPr>
                <w:color w:val="231F20"/>
                <w:spacing w:val="-4"/>
                <w:sz w:val="20"/>
              </w:rPr>
              <w:t> </w:t>
            </w:r>
            <w:r>
              <w:rPr>
                <w:color w:val="231F20"/>
                <w:sz w:val="20"/>
              </w:rPr>
              <w:t>(STO)</w:t>
            </w:r>
            <w:r>
              <w:rPr>
                <w:color w:val="231F20"/>
                <w:spacing w:val="-4"/>
                <w:sz w:val="20"/>
              </w:rPr>
              <w:t> LGIP</w:t>
            </w:r>
          </w:p>
        </w:tc>
        <w:tc>
          <w:tcPr>
            <w:tcW w:w="1912" w:type="dxa"/>
          </w:tcPr>
          <w:p>
            <w:pPr>
              <w:pStyle w:val="TableParagraph"/>
              <w:spacing w:line="223" w:lineRule="exact" w:before="6"/>
              <w:ind w:left="646"/>
              <w:rPr>
                <w:sz w:val="20"/>
              </w:rPr>
            </w:pPr>
            <w:r>
              <w:rPr>
                <w:color w:val="231F20"/>
                <w:spacing w:val="-2"/>
                <w:sz w:val="20"/>
              </w:rPr>
              <w:t>19,552,022</w:t>
            </w:r>
          </w:p>
        </w:tc>
        <w:tc>
          <w:tcPr>
            <w:tcW w:w="1882" w:type="dxa"/>
          </w:tcPr>
          <w:p>
            <w:pPr>
              <w:pStyle w:val="TableParagraph"/>
              <w:spacing w:line="223" w:lineRule="exact" w:before="6"/>
              <w:ind w:left="45"/>
              <w:jc w:val="center"/>
              <w:rPr>
                <w:sz w:val="20"/>
              </w:rPr>
            </w:pPr>
            <w:r>
              <w:rPr>
                <w:color w:val="231F20"/>
                <w:spacing w:val="-2"/>
                <w:sz w:val="20"/>
              </w:rPr>
              <w:t>Daily</w:t>
            </w:r>
          </w:p>
        </w:tc>
        <w:tc>
          <w:tcPr>
            <w:tcW w:w="1838" w:type="dxa"/>
          </w:tcPr>
          <w:p>
            <w:pPr>
              <w:pStyle w:val="TableParagraph"/>
              <w:spacing w:line="223" w:lineRule="exact" w:before="6"/>
              <w:ind w:left="146"/>
              <w:jc w:val="center"/>
              <w:rPr>
                <w:sz w:val="20"/>
              </w:rPr>
            </w:pPr>
            <w:r>
              <w:rPr>
                <w:color w:val="231F20"/>
                <w:sz w:val="20"/>
              </w:rPr>
              <w:t>1</w:t>
            </w:r>
            <w:r>
              <w:rPr>
                <w:color w:val="231F20"/>
                <w:spacing w:val="-3"/>
                <w:sz w:val="20"/>
              </w:rPr>
              <w:t> </w:t>
            </w:r>
            <w:r>
              <w:rPr>
                <w:color w:val="231F20"/>
                <w:sz w:val="20"/>
              </w:rPr>
              <w:t>Business</w:t>
            </w:r>
            <w:r>
              <w:rPr>
                <w:color w:val="231F20"/>
                <w:spacing w:val="-3"/>
                <w:sz w:val="20"/>
              </w:rPr>
              <w:t> </w:t>
            </w:r>
            <w:r>
              <w:rPr>
                <w:color w:val="231F20"/>
                <w:spacing w:val="-5"/>
                <w:sz w:val="20"/>
              </w:rPr>
              <w:t>Day</w:t>
            </w:r>
          </w:p>
        </w:tc>
      </w:tr>
      <w:tr>
        <w:trPr>
          <w:trHeight w:val="250" w:hRule="atLeast"/>
        </w:trPr>
        <w:tc>
          <w:tcPr>
            <w:tcW w:w="3787" w:type="dxa"/>
          </w:tcPr>
          <w:p>
            <w:pPr>
              <w:pStyle w:val="TableParagraph"/>
              <w:spacing w:line="223" w:lineRule="exact" w:before="7"/>
              <w:ind w:left="97"/>
              <w:rPr>
                <w:sz w:val="20"/>
              </w:rPr>
            </w:pPr>
            <w:r>
              <w:rPr>
                <w:color w:val="231F20"/>
                <w:sz w:val="20"/>
              </w:rPr>
              <w:t>Credit</w:t>
            </w:r>
            <w:r>
              <w:rPr>
                <w:color w:val="231F20"/>
                <w:spacing w:val="-5"/>
                <w:sz w:val="20"/>
              </w:rPr>
              <w:t> </w:t>
            </w:r>
            <w:r>
              <w:rPr>
                <w:color w:val="231F20"/>
                <w:sz w:val="20"/>
              </w:rPr>
              <w:t>&amp;</w:t>
            </w:r>
            <w:r>
              <w:rPr>
                <w:color w:val="231F20"/>
                <w:spacing w:val="-4"/>
                <w:sz w:val="20"/>
              </w:rPr>
              <w:t> </w:t>
            </w:r>
            <w:r>
              <w:rPr>
                <w:color w:val="231F20"/>
                <w:sz w:val="20"/>
              </w:rPr>
              <w:t>Structured</w:t>
            </w:r>
            <w:r>
              <w:rPr>
                <w:color w:val="231F20"/>
                <w:spacing w:val="-3"/>
                <w:sz w:val="20"/>
              </w:rPr>
              <w:t> </w:t>
            </w:r>
            <w:r>
              <w:rPr>
                <w:color w:val="231F20"/>
                <w:spacing w:val="-2"/>
                <w:sz w:val="20"/>
              </w:rPr>
              <w:t>Finance</w:t>
            </w:r>
          </w:p>
        </w:tc>
        <w:tc>
          <w:tcPr>
            <w:tcW w:w="1912" w:type="dxa"/>
          </w:tcPr>
          <w:p>
            <w:pPr>
              <w:pStyle w:val="TableParagraph"/>
              <w:spacing w:line="223" w:lineRule="exact" w:before="7"/>
              <w:ind w:left="756"/>
              <w:rPr>
                <w:sz w:val="20"/>
              </w:rPr>
            </w:pPr>
            <w:r>
              <w:rPr>
                <w:color w:val="231F20"/>
                <w:spacing w:val="-2"/>
                <w:sz w:val="20"/>
              </w:rPr>
              <w:t>4,154,991</w:t>
            </w:r>
          </w:p>
        </w:tc>
        <w:tc>
          <w:tcPr>
            <w:tcW w:w="1882" w:type="dxa"/>
          </w:tcPr>
          <w:p>
            <w:pPr>
              <w:pStyle w:val="TableParagraph"/>
              <w:spacing w:line="223" w:lineRule="exact" w:before="7"/>
              <w:ind w:left="43"/>
              <w:jc w:val="center"/>
              <w:rPr>
                <w:sz w:val="20"/>
              </w:rPr>
            </w:pPr>
            <w:r>
              <w:rPr>
                <w:color w:val="231F20"/>
                <w:sz w:val="20"/>
              </w:rPr>
              <w:t>4</w:t>
            </w:r>
            <w:r>
              <w:rPr>
                <w:color w:val="231F20"/>
                <w:spacing w:val="-2"/>
                <w:sz w:val="20"/>
              </w:rPr>
              <w:t> </w:t>
            </w:r>
            <w:r>
              <w:rPr>
                <w:color w:val="231F20"/>
                <w:sz w:val="20"/>
              </w:rPr>
              <w:t>times</w:t>
            </w:r>
            <w:r>
              <w:rPr>
                <w:color w:val="231F20"/>
                <w:spacing w:val="-2"/>
                <w:sz w:val="20"/>
              </w:rPr>
              <w:t> </w:t>
            </w:r>
            <w:r>
              <w:rPr>
                <w:color w:val="231F20"/>
                <w:sz w:val="20"/>
              </w:rPr>
              <w:t>per</w:t>
            </w:r>
            <w:r>
              <w:rPr>
                <w:color w:val="231F20"/>
                <w:spacing w:val="-1"/>
                <w:sz w:val="20"/>
              </w:rPr>
              <w:t> </w:t>
            </w:r>
            <w:r>
              <w:rPr>
                <w:color w:val="231F20"/>
                <w:spacing w:val="-4"/>
                <w:sz w:val="20"/>
              </w:rPr>
              <w:t>year</w:t>
            </w:r>
          </w:p>
        </w:tc>
        <w:tc>
          <w:tcPr>
            <w:tcW w:w="1838" w:type="dxa"/>
          </w:tcPr>
          <w:p>
            <w:pPr>
              <w:pStyle w:val="TableParagraph"/>
              <w:spacing w:line="223" w:lineRule="exact" w:before="7"/>
              <w:ind w:left="144"/>
              <w:jc w:val="center"/>
              <w:rPr>
                <w:sz w:val="20"/>
              </w:rPr>
            </w:pPr>
            <w:r>
              <w:rPr>
                <w:color w:val="231F20"/>
                <w:sz w:val="20"/>
              </w:rPr>
              <w:t>3</w:t>
            </w:r>
            <w:r>
              <w:rPr>
                <w:color w:val="231F20"/>
                <w:spacing w:val="-1"/>
                <w:sz w:val="20"/>
              </w:rPr>
              <w:t> </w:t>
            </w:r>
            <w:r>
              <w:rPr>
                <w:color w:val="231F20"/>
                <w:spacing w:val="-2"/>
                <w:sz w:val="20"/>
              </w:rPr>
              <w:t>months</w:t>
            </w:r>
          </w:p>
        </w:tc>
      </w:tr>
      <w:tr>
        <w:trPr>
          <w:trHeight w:val="249" w:hRule="atLeast"/>
        </w:trPr>
        <w:tc>
          <w:tcPr>
            <w:tcW w:w="3787" w:type="dxa"/>
          </w:tcPr>
          <w:p>
            <w:pPr>
              <w:pStyle w:val="TableParagraph"/>
              <w:spacing w:line="223" w:lineRule="exact" w:before="6"/>
              <w:ind w:left="97"/>
              <w:rPr>
                <w:sz w:val="20"/>
              </w:rPr>
            </w:pPr>
            <w:r>
              <w:rPr>
                <w:color w:val="231F20"/>
                <w:sz w:val="20"/>
              </w:rPr>
              <w:t>Private</w:t>
            </w:r>
            <w:r>
              <w:rPr>
                <w:color w:val="231F20"/>
                <w:spacing w:val="-6"/>
                <w:sz w:val="20"/>
              </w:rPr>
              <w:t> </w:t>
            </w:r>
            <w:r>
              <w:rPr>
                <w:color w:val="231F20"/>
                <w:sz w:val="20"/>
              </w:rPr>
              <w:t>Equity</w:t>
            </w:r>
            <w:r>
              <w:rPr>
                <w:color w:val="231F20"/>
                <w:spacing w:val="-5"/>
                <w:sz w:val="20"/>
              </w:rPr>
              <w:t> </w:t>
            </w:r>
            <w:r>
              <w:rPr>
                <w:color w:val="231F20"/>
                <w:spacing w:val="-4"/>
                <w:sz w:val="20"/>
              </w:rPr>
              <w:t>Pool</w:t>
            </w:r>
          </w:p>
        </w:tc>
        <w:tc>
          <w:tcPr>
            <w:tcW w:w="1912" w:type="dxa"/>
          </w:tcPr>
          <w:p>
            <w:pPr>
              <w:pStyle w:val="TableParagraph"/>
              <w:spacing w:line="223" w:lineRule="exact" w:before="6"/>
              <w:ind w:left="758"/>
              <w:rPr>
                <w:sz w:val="20"/>
              </w:rPr>
            </w:pPr>
            <w:r>
              <w:rPr>
                <w:color w:val="231F20"/>
                <w:spacing w:val="-2"/>
                <w:sz w:val="20"/>
              </w:rPr>
              <w:t>8,293,980</w:t>
            </w:r>
          </w:p>
        </w:tc>
        <w:tc>
          <w:tcPr>
            <w:tcW w:w="1882" w:type="dxa"/>
          </w:tcPr>
          <w:p>
            <w:pPr>
              <w:pStyle w:val="TableParagraph"/>
              <w:spacing w:line="223" w:lineRule="exact" w:before="6"/>
              <w:ind w:left="43"/>
              <w:jc w:val="center"/>
              <w:rPr>
                <w:sz w:val="20"/>
              </w:rPr>
            </w:pPr>
            <w:r>
              <w:rPr>
                <w:color w:val="231F20"/>
                <w:sz w:val="20"/>
              </w:rPr>
              <w:t>2</w:t>
            </w:r>
            <w:r>
              <w:rPr>
                <w:color w:val="231F20"/>
                <w:spacing w:val="-2"/>
                <w:sz w:val="20"/>
              </w:rPr>
              <w:t> </w:t>
            </w:r>
            <w:r>
              <w:rPr>
                <w:color w:val="231F20"/>
                <w:sz w:val="20"/>
              </w:rPr>
              <w:t>times</w:t>
            </w:r>
            <w:r>
              <w:rPr>
                <w:color w:val="231F20"/>
                <w:spacing w:val="-2"/>
                <w:sz w:val="20"/>
              </w:rPr>
              <w:t> </w:t>
            </w:r>
            <w:r>
              <w:rPr>
                <w:color w:val="231F20"/>
                <w:sz w:val="20"/>
              </w:rPr>
              <w:t>per</w:t>
            </w:r>
            <w:r>
              <w:rPr>
                <w:color w:val="231F20"/>
                <w:spacing w:val="-1"/>
                <w:sz w:val="20"/>
              </w:rPr>
              <w:t> </w:t>
            </w:r>
            <w:r>
              <w:rPr>
                <w:color w:val="231F20"/>
                <w:spacing w:val="-4"/>
                <w:sz w:val="20"/>
              </w:rPr>
              <w:t>year</w:t>
            </w:r>
          </w:p>
        </w:tc>
        <w:tc>
          <w:tcPr>
            <w:tcW w:w="1838" w:type="dxa"/>
          </w:tcPr>
          <w:p>
            <w:pPr>
              <w:pStyle w:val="TableParagraph"/>
              <w:spacing w:line="223" w:lineRule="exact" w:before="6"/>
              <w:ind w:left="144"/>
              <w:jc w:val="center"/>
              <w:rPr>
                <w:sz w:val="20"/>
              </w:rPr>
            </w:pPr>
            <w:r>
              <w:rPr>
                <w:color w:val="231F20"/>
                <w:sz w:val="20"/>
              </w:rPr>
              <w:t>9</w:t>
            </w:r>
            <w:r>
              <w:rPr>
                <w:color w:val="231F20"/>
                <w:spacing w:val="-1"/>
                <w:sz w:val="20"/>
              </w:rPr>
              <w:t> </w:t>
            </w:r>
            <w:r>
              <w:rPr>
                <w:color w:val="231F20"/>
                <w:spacing w:val="-2"/>
                <w:sz w:val="20"/>
              </w:rPr>
              <w:t>months</w:t>
            </w:r>
          </w:p>
        </w:tc>
      </w:tr>
      <w:tr>
        <w:trPr>
          <w:trHeight w:val="491" w:hRule="atLeast"/>
        </w:trPr>
        <w:tc>
          <w:tcPr>
            <w:tcW w:w="3787" w:type="dxa"/>
          </w:tcPr>
          <w:p>
            <w:pPr>
              <w:pStyle w:val="TableParagraph"/>
              <w:spacing w:before="6"/>
              <w:ind w:left="97"/>
              <w:rPr>
                <w:sz w:val="20"/>
              </w:rPr>
            </w:pPr>
            <w:r>
              <w:rPr>
                <w:color w:val="231F20"/>
                <w:sz w:val="20"/>
              </w:rPr>
              <w:t>Real</w:t>
            </w:r>
            <w:r>
              <w:rPr>
                <w:color w:val="231F20"/>
                <w:spacing w:val="-6"/>
                <w:sz w:val="20"/>
              </w:rPr>
              <w:t> </w:t>
            </w:r>
            <w:r>
              <w:rPr>
                <w:color w:val="231F20"/>
                <w:sz w:val="20"/>
              </w:rPr>
              <w:t>Estate</w:t>
            </w:r>
            <w:r>
              <w:rPr>
                <w:color w:val="231F20"/>
                <w:spacing w:val="-4"/>
                <w:sz w:val="20"/>
              </w:rPr>
              <w:t> Pool</w:t>
            </w:r>
          </w:p>
        </w:tc>
        <w:tc>
          <w:tcPr>
            <w:tcW w:w="1912" w:type="dxa"/>
          </w:tcPr>
          <w:p>
            <w:pPr>
              <w:pStyle w:val="TableParagraph"/>
              <w:spacing w:before="6"/>
              <w:ind w:left="756"/>
              <w:rPr>
                <w:sz w:val="20"/>
              </w:rPr>
            </w:pPr>
            <w:r>
              <w:rPr>
                <w:color w:val="231F20"/>
                <w:spacing w:val="-2"/>
                <w:sz w:val="20"/>
              </w:rPr>
              <w:t>4,409,295</w:t>
            </w:r>
          </w:p>
        </w:tc>
        <w:tc>
          <w:tcPr>
            <w:tcW w:w="1882" w:type="dxa"/>
          </w:tcPr>
          <w:p>
            <w:pPr>
              <w:pStyle w:val="TableParagraph"/>
              <w:spacing w:before="6"/>
              <w:ind w:left="43"/>
              <w:jc w:val="center"/>
              <w:rPr>
                <w:sz w:val="20"/>
              </w:rPr>
            </w:pPr>
            <w:r>
              <w:rPr>
                <w:color w:val="231F20"/>
                <w:sz w:val="20"/>
              </w:rPr>
              <w:t>2</w:t>
            </w:r>
            <w:r>
              <w:rPr>
                <w:color w:val="231F20"/>
                <w:spacing w:val="-2"/>
                <w:sz w:val="20"/>
              </w:rPr>
              <w:t> </w:t>
            </w:r>
            <w:r>
              <w:rPr>
                <w:color w:val="231F20"/>
                <w:sz w:val="20"/>
              </w:rPr>
              <w:t>times</w:t>
            </w:r>
            <w:r>
              <w:rPr>
                <w:color w:val="231F20"/>
                <w:spacing w:val="-2"/>
                <w:sz w:val="20"/>
              </w:rPr>
              <w:t> </w:t>
            </w:r>
            <w:r>
              <w:rPr>
                <w:color w:val="231F20"/>
                <w:sz w:val="20"/>
              </w:rPr>
              <w:t>per</w:t>
            </w:r>
            <w:r>
              <w:rPr>
                <w:color w:val="231F20"/>
                <w:spacing w:val="-1"/>
                <w:sz w:val="20"/>
              </w:rPr>
              <w:t> </w:t>
            </w:r>
            <w:r>
              <w:rPr>
                <w:color w:val="231F20"/>
                <w:spacing w:val="-4"/>
                <w:sz w:val="20"/>
              </w:rPr>
              <w:t>year</w:t>
            </w:r>
          </w:p>
        </w:tc>
        <w:tc>
          <w:tcPr>
            <w:tcW w:w="1838" w:type="dxa"/>
          </w:tcPr>
          <w:p>
            <w:pPr>
              <w:pStyle w:val="TableParagraph"/>
              <w:spacing w:before="6"/>
              <w:ind w:left="144"/>
              <w:jc w:val="center"/>
              <w:rPr>
                <w:sz w:val="20"/>
              </w:rPr>
            </w:pPr>
            <w:r>
              <w:rPr>
                <w:color w:val="231F20"/>
                <w:sz w:val="20"/>
              </w:rPr>
              <w:t>3</w:t>
            </w:r>
            <w:r>
              <w:rPr>
                <w:color w:val="231F20"/>
                <w:spacing w:val="-1"/>
                <w:sz w:val="20"/>
              </w:rPr>
              <w:t> </w:t>
            </w:r>
            <w:r>
              <w:rPr>
                <w:color w:val="231F20"/>
                <w:spacing w:val="-2"/>
                <w:sz w:val="20"/>
              </w:rPr>
              <w:t>months</w:t>
            </w:r>
          </w:p>
        </w:tc>
      </w:tr>
      <w:tr>
        <w:trPr>
          <w:trHeight w:val="478" w:hRule="atLeast"/>
        </w:trPr>
        <w:tc>
          <w:tcPr>
            <w:tcW w:w="3787" w:type="dxa"/>
          </w:tcPr>
          <w:p>
            <w:pPr>
              <w:pStyle w:val="TableParagraph"/>
              <w:spacing w:before="7"/>
              <w:rPr>
                <w:sz w:val="21"/>
              </w:rPr>
            </w:pPr>
          </w:p>
          <w:p>
            <w:pPr>
              <w:pStyle w:val="TableParagraph"/>
              <w:spacing w:line="210" w:lineRule="exact"/>
              <w:ind w:left="50"/>
              <w:rPr>
                <w:b/>
                <w:sz w:val="20"/>
              </w:rPr>
            </w:pPr>
            <w:r>
              <w:rPr>
                <w:b/>
                <w:color w:val="231F20"/>
                <w:sz w:val="20"/>
              </w:rPr>
              <w:t>Note</w:t>
            </w:r>
            <w:r>
              <w:rPr>
                <w:b/>
                <w:color w:val="231F20"/>
                <w:spacing w:val="-2"/>
                <w:sz w:val="20"/>
              </w:rPr>
              <w:t> </w:t>
            </w:r>
            <w:r>
              <w:rPr>
                <w:b/>
                <w:color w:val="231F20"/>
                <w:sz w:val="20"/>
              </w:rPr>
              <w:t>4</w:t>
            </w:r>
            <w:r>
              <w:rPr>
                <w:b/>
                <w:color w:val="231F20"/>
                <w:spacing w:val="-2"/>
                <w:sz w:val="20"/>
              </w:rPr>
              <w:t> </w:t>
            </w:r>
            <w:r>
              <w:rPr>
                <w:b/>
                <w:color w:val="231F20"/>
                <w:sz w:val="20"/>
              </w:rPr>
              <w:t>–</w:t>
            </w:r>
            <w:r>
              <w:rPr>
                <w:b/>
                <w:color w:val="231F20"/>
                <w:spacing w:val="-2"/>
                <w:sz w:val="20"/>
              </w:rPr>
              <w:t> Receivable</w:t>
            </w:r>
          </w:p>
        </w:tc>
        <w:tc>
          <w:tcPr>
            <w:tcW w:w="1912" w:type="dxa"/>
          </w:tcPr>
          <w:p>
            <w:pPr>
              <w:pStyle w:val="TableParagraph"/>
              <w:rPr>
                <w:rFonts w:ascii="Times New Roman"/>
                <w:sz w:val="20"/>
              </w:rPr>
            </w:pPr>
          </w:p>
        </w:tc>
        <w:tc>
          <w:tcPr>
            <w:tcW w:w="1882" w:type="dxa"/>
          </w:tcPr>
          <w:p>
            <w:pPr>
              <w:pStyle w:val="TableParagraph"/>
              <w:rPr>
                <w:rFonts w:ascii="Times New Roman"/>
                <w:sz w:val="20"/>
              </w:rPr>
            </w:pPr>
          </w:p>
        </w:tc>
        <w:tc>
          <w:tcPr>
            <w:tcW w:w="1838" w:type="dxa"/>
          </w:tcPr>
          <w:p>
            <w:pPr>
              <w:pStyle w:val="TableParagraph"/>
              <w:rPr>
                <w:rFonts w:ascii="Times New Roman"/>
                <w:sz w:val="20"/>
              </w:rPr>
            </w:pPr>
          </w:p>
        </w:tc>
      </w:tr>
      <w:tr>
        <w:trPr>
          <w:trHeight w:val="583" w:hRule="atLeast"/>
        </w:trPr>
        <w:tc>
          <w:tcPr>
            <w:tcW w:w="5699" w:type="dxa"/>
            <w:gridSpan w:val="2"/>
          </w:tcPr>
          <w:p>
            <w:pPr>
              <w:pStyle w:val="TableParagraph"/>
              <w:spacing w:before="11"/>
              <w:rPr>
                <w:sz w:val="19"/>
              </w:rPr>
            </w:pPr>
          </w:p>
          <w:p>
            <w:pPr>
              <w:pStyle w:val="TableParagraph"/>
              <w:ind w:left="50"/>
              <w:rPr>
                <w:sz w:val="20"/>
              </w:rPr>
            </w:pPr>
            <w:r>
              <w:rPr>
                <w:color w:val="231F20"/>
                <w:sz w:val="20"/>
              </w:rPr>
              <w:t>Receivable</w:t>
            </w:r>
            <w:r>
              <w:rPr>
                <w:color w:val="231F20"/>
                <w:spacing w:val="-8"/>
                <w:sz w:val="20"/>
              </w:rPr>
              <w:t> </w:t>
            </w:r>
            <w:r>
              <w:rPr>
                <w:color w:val="231F20"/>
                <w:sz w:val="20"/>
              </w:rPr>
              <w:t>consists</w:t>
            </w:r>
            <w:r>
              <w:rPr>
                <w:color w:val="231F20"/>
                <w:spacing w:val="-4"/>
                <w:sz w:val="20"/>
              </w:rPr>
              <w:t> </w:t>
            </w:r>
            <w:r>
              <w:rPr>
                <w:color w:val="231F20"/>
                <w:sz w:val="20"/>
              </w:rPr>
              <w:t>of</w:t>
            </w:r>
            <w:r>
              <w:rPr>
                <w:color w:val="231F20"/>
                <w:spacing w:val="-4"/>
                <w:sz w:val="20"/>
              </w:rPr>
              <w:t> </w:t>
            </w:r>
            <w:r>
              <w:rPr>
                <w:color w:val="231F20"/>
                <w:sz w:val="20"/>
              </w:rPr>
              <w:t>the</w:t>
            </w:r>
            <w:r>
              <w:rPr>
                <w:color w:val="231F20"/>
                <w:spacing w:val="-5"/>
                <w:sz w:val="20"/>
              </w:rPr>
              <w:t> </w:t>
            </w:r>
            <w:r>
              <w:rPr>
                <w:color w:val="231F20"/>
                <w:sz w:val="20"/>
              </w:rPr>
              <w:t>following</w:t>
            </w:r>
            <w:r>
              <w:rPr>
                <w:color w:val="231F20"/>
                <w:spacing w:val="-4"/>
                <w:sz w:val="20"/>
              </w:rPr>
              <w:t> </w:t>
            </w:r>
            <w:r>
              <w:rPr>
                <w:color w:val="231F20"/>
                <w:sz w:val="20"/>
              </w:rPr>
              <w:t>at</w:t>
            </w:r>
            <w:r>
              <w:rPr>
                <w:color w:val="231F20"/>
                <w:spacing w:val="-4"/>
                <w:sz w:val="20"/>
              </w:rPr>
              <w:t> </w:t>
            </w:r>
            <w:r>
              <w:rPr>
                <w:color w:val="231F20"/>
                <w:sz w:val="20"/>
              </w:rPr>
              <w:t>June</w:t>
            </w:r>
            <w:r>
              <w:rPr>
                <w:color w:val="231F20"/>
                <w:spacing w:val="-4"/>
                <w:sz w:val="20"/>
              </w:rPr>
              <w:t> </w:t>
            </w:r>
            <w:r>
              <w:rPr>
                <w:color w:val="231F20"/>
                <w:sz w:val="20"/>
              </w:rPr>
              <w:t>30,</w:t>
            </w:r>
            <w:r>
              <w:rPr>
                <w:color w:val="231F20"/>
                <w:spacing w:val="-4"/>
                <w:sz w:val="20"/>
              </w:rPr>
              <w:t> 2022:</w:t>
            </w:r>
          </w:p>
        </w:tc>
        <w:tc>
          <w:tcPr>
            <w:tcW w:w="3720" w:type="dxa"/>
            <w:gridSpan w:val="2"/>
          </w:tcPr>
          <w:p>
            <w:pPr>
              <w:pStyle w:val="TableParagraph"/>
              <w:rPr>
                <w:rFonts w:ascii="Times New Roman"/>
                <w:sz w:val="20"/>
              </w:rPr>
            </w:pPr>
          </w:p>
        </w:tc>
      </w:tr>
      <w:tr>
        <w:trPr>
          <w:trHeight w:val="363" w:hRule="atLeast"/>
        </w:trPr>
        <w:tc>
          <w:tcPr>
            <w:tcW w:w="5699" w:type="dxa"/>
            <w:gridSpan w:val="2"/>
          </w:tcPr>
          <w:p>
            <w:pPr>
              <w:pStyle w:val="TableParagraph"/>
              <w:spacing w:line="224" w:lineRule="exact" w:before="120"/>
              <w:ind w:left="98"/>
              <w:rPr>
                <w:sz w:val="20"/>
              </w:rPr>
            </w:pPr>
            <w:r>
              <w:rPr>
                <w:color w:val="231F20"/>
                <w:sz w:val="20"/>
              </w:rPr>
              <w:t>Grant</w:t>
            </w:r>
            <w:r>
              <w:rPr>
                <w:color w:val="231F20"/>
                <w:spacing w:val="-4"/>
                <w:sz w:val="20"/>
              </w:rPr>
              <w:t> </w:t>
            </w:r>
            <w:r>
              <w:rPr>
                <w:color w:val="231F20"/>
                <w:sz w:val="20"/>
              </w:rPr>
              <w:t>and</w:t>
            </w:r>
            <w:r>
              <w:rPr>
                <w:color w:val="231F20"/>
                <w:spacing w:val="-3"/>
                <w:sz w:val="20"/>
              </w:rPr>
              <w:t> </w:t>
            </w:r>
            <w:r>
              <w:rPr>
                <w:color w:val="231F20"/>
                <w:sz w:val="20"/>
              </w:rPr>
              <w:t>contracts</w:t>
            </w:r>
            <w:r>
              <w:rPr>
                <w:color w:val="231F20"/>
                <w:spacing w:val="-3"/>
                <w:sz w:val="20"/>
              </w:rPr>
              <w:t> </w:t>
            </w:r>
            <w:r>
              <w:rPr>
                <w:color w:val="231F20"/>
                <w:sz w:val="20"/>
              </w:rPr>
              <w:t>billed</w:t>
            </w:r>
            <w:r>
              <w:rPr>
                <w:color w:val="231F20"/>
                <w:spacing w:val="-3"/>
                <w:sz w:val="20"/>
              </w:rPr>
              <w:t> </w:t>
            </w:r>
            <w:r>
              <w:rPr>
                <w:color w:val="231F20"/>
                <w:sz w:val="20"/>
              </w:rPr>
              <w:t>and</w:t>
            </w:r>
            <w:r>
              <w:rPr>
                <w:color w:val="231F20"/>
                <w:spacing w:val="-3"/>
                <w:sz w:val="20"/>
              </w:rPr>
              <w:t> </w:t>
            </w:r>
            <w:r>
              <w:rPr>
                <w:color w:val="231F20"/>
                <w:spacing w:val="-2"/>
                <w:sz w:val="20"/>
              </w:rPr>
              <w:t>unbilled</w:t>
            </w:r>
          </w:p>
        </w:tc>
        <w:tc>
          <w:tcPr>
            <w:tcW w:w="3720" w:type="dxa"/>
            <w:gridSpan w:val="2"/>
          </w:tcPr>
          <w:p>
            <w:pPr>
              <w:pStyle w:val="TableParagraph"/>
              <w:tabs>
                <w:tab w:pos="2496" w:val="left" w:leader="none"/>
              </w:tabs>
              <w:spacing w:line="224" w:lineRule="exact" w:before="120"/>
              <w:ind w:left="2110"/>
              <w:rPr>
                <w:sz w:val="20"/>
              </w:rPr>
            </w:pPr>
            <w:r>
              <w:rPr>
                <w:color w:val="231F20"/>
                <w:spacing w:val="-10"/>
                <w:sz w:val="20"/>
              </w:rPr>
              <w:t>$</w:t>
            </w:r>
            <w:r>
              <w:rPr>
                <w:color w:val="231F20"/>
                <w:sz w:val="20"/>
              </w:rPr>
              <w:tab/>
            </w:r>
            <w:r>
              <w:rPr>
                <w:color w:val="231F20"/>
                <w:spacing w:val="-2"/>
                <w:sz w:val="20"/>
              </w:rPr>
              <w:t>16,506,193</w:t>
            </w:r>
          </w:p>
        </w:tc>
      </w:tr>
      <w:tr>
        <w:trPr>
          <w:trHeight w:val="252" w:hRule="atLeast"/>
        </w:trPr>
        <w:tc>
          <w:tcPr>
            <w:tcW w:w="5699" w:type="dxa"/>
            <w:gridSpan w:val="2"/>
          </w:tcPr>
          <w:p>
            <w:pPr>
              <w:pStyle w:val="TableParagraph"/>
              <w:spacing w:line="223" w:lineRule="exact" w:before="9"/>
              <w:ind w:left="97"/>
              <w:rPr>
                <w:sz w:val="20"/>
              </w:rPr>
            </w:pPr>
            <w:r>
              <w:rPr>
                <w:color w:val="231F20"/>
                <w:sz w:val="20"/>
              </w:rPr>
              <w:t>Student</w:t>
            </w:r>
            <w:r>
              <w:rPr>
                <w:color w:val="231F20"/>
                <w:spacing w:val="-7"/>
                <w:sz w:val="20"/>
              </w:rPr>
              <w:t> </w:t>
            </w:r>
            <w:r>
              <w:rPr>
                <w:color w:val="231F20"/>
                <w:spacing w:val="-2"/>
                <w:sz w:val="20"/>
              </w:rPr>
              <w:t>accounts</w:t>
            </w:r>
          </w:p>
        </w:tc>
        <w:tc>
          <w:tcPr>
            <w:tcW w:w="3720" w:type="dxa"/>
            <w:gridSpan w:val="2"/>
          </w:tcPr>
          <w:p>
            <w:pPr>
              <w:pStyle w:val="TableParagraph"/>
              <w:spacing w:line="223" w:lineRule="exact" w:before="9"/>
              <w:ind w:right="212"/>
              <w:jc w:val="right"/>
              <w:rPr>
                <w:sz w:val="20"/>
              </w:rPr>
            </w:pPr>
            <w:r>
              <w:rPr>
                <w:color w:val="231F20"/>
                <w:spacing w:val="-2"/>
                <w:sz w:val="20"/>
              </w:rPr>
              <w:t>1,165,901</w:t>
            </w:r>
          </w:p>
        </w:tc>
      </w:tr>
      <w:tr>
        <w:trPr>
          <w:trHeight w:val="252" w:hRule="atLeast"/>
        </w:trPr>
        <w:tc>
          <w:tcPr>
            <w:tcW w:w="5699" w:type="dxa"/>
            <w:gridSpan w:val="2"/>
          </w:tcPr>
          <w:p>
            <w:pPr>
              <w:pStyle w:val="TableParagraph"/>
              <w:spacing w:line="224" w:lineRule="exact" w:before="8"/>
              <w:ind w:left="97"/>
              <w:rPr>
                <w:sz w:val="20"/>
              </w:rPr>
            </w:pPr>
            <w:r>
              <w:rPr>
                <w:color w:val="231F20"/>
                <w:sz w:val="20"/>
              </w:rPr>
              <w:t>Due</w:t>
            </w:r>
            <w:r>
              <w:rPr>
                <w:color w:val="231F20"/>
                <w:spacing w:val="-3"/>
                <w:sz w:val="20"/>
              </w:rPr>
              <w:t> </w:t>
            </w:r>
            <w:r>
              <w:rPr>
                <w:color w:val="231F20"/>
                <w:sz w:val="20"/>
              </w:rPr>
              <w:t>from</w:t>
            </w:r>
            <w:r>
              <w:rPr>
                <w:color w:val="231F20"/>
                <w:spacing w:val="-3"/>
                <w:sz w:val="20"/>
              </w:rPr>
              <w:t> </w:t>
            </w:r>
            <w:r>
              <w:rPr>
                <w:color w:val="231F20"/>
                <w:sz w:val="20"/>
              </w:rPr>
              <w:t>state</w:t>
            </w:r>
            <w:r>
              <w:rPr>
                <w:color w:val="231F20"/>
                <w:spacing w:val="-3"/>
                <w:sz w:val="20"/>
              </w:rPr>
              <w:t> </w:t>
            </w:r>
            <w:r>
              <w:rPr>
                <w:color w:val="231F20"/>
                <w:sz w:val="20"/>
              </w:rPr>
              <w:t>agencies</w:t>
            </w:r>
            <w:r>
              <w:rPr>
                <w:color w:val="231F20"/>
                <w:spacing w:val="-2"/>
                <w:sz w:val="20"/>
              </w:rPr>
              <w:t> </w:t>
            </w:r>
            <w:r>
              <w:rPr>
                <w:color w:val="231F20"/>
                <w:sz w:val="20"/>
              </w:rPr>
              <w:t>and</w:t>
            </w:r>
            <w:r>
              <w:rPr>
                <w:color w:val="231F20"/>
                <w:spacing w:val="-2"/>
                <w:sz w:val="20"/>
              </w:rPr>
              <w:t> </w:t>
            </w:r>
            <w:r>
              <w:rPr>
                <w:color w:val="231F20"/>
                <w:sz w:val="20"/>
              </w:rPr>
              <w:t>other</w:t>
            </w:r>
            <w:r>
              <w:rPr>
                <w:color w:val="231F20"/>
                <w:spacing w:val="-2"/>
                <w:sz w:val="20"/>
              </w:rPr>
              <w:t> </w:t>
            </w:r>
            <w:r>
              <w:rPr>
                <w:color w:val="231F20"/>
                <w:sz w:val="20"/>
              </w:rPr>
              <w:t>accounts</w:t>
            </w:r>
            <w:r>
              <w:rPr>
                <w:color w:val="231F20"/>
                <w:spacing w:val="-1"/>
                <w:sz w:val="20"/>
              </w:rPr>
              <w:t> </w:t>
            </w:r>
            <w:r>
              <w:rPr>
                <w:color w:val="231F20"/>
                <w:spacing w:val="-2"/>
                <w:sz w:val="20"/>
              </w:rPr>
              <w:t>receivable</w:t>
            </w:r>
          </w:p>
        </w:tc>
        <w:tc>
          <w:tcPr>
            <w:tcW w:w="3720" w:type="dxa"/>
            <w:gridSpan w:val="2"/>
          </w:tcPr>
          <w:p>
            <w:pPr>
              <w:pStyle w:val="TableParagraph"/>
              <w:tabs>
                <w:tab w:pos="2609" w:val="left" w:leader="none"/>
              </w:tabs>
              <w:spacing w:line="224" w:lineRule="exact" w:before="8"/>
              <w:ind w:left="2004"/>
              <w:rPr>
                <w:sz w:val="20"/>
              </w:rPr>
            </w:pPr>
            <w:r>
              <w:rPr>
                <w:color w:val="231F20"/>
                <w:sz w:val="20"/>
                <w:u w:val="thick" w:color="231F20"/>
              </w:rPr>
              <w:tab/>
            </w:r>
            <w:r>
              <w:rPr>
                <w:color w:val="231F20"/>
                <w:spacing w:val="-2"/>
                <w:sz w:val="20"/>
                <w:u w:val="thick" w:color="231F20"/>
              </w:rPr>
              <w:t>4,793,115</w:t>
            </w:r>
            <w:r>
              <w:rPr>
                <w:color w:val="231F20"/>
                <w:spacing w:val="80"/>
                <w:sz w:val="20"/>
                <w:u w:val="thick" w:color="231F20"/>
              </w:rPr>
              <w:t> </w:t>
            </w:r>
          </w:p>
        </w:tc>
      </w:tr>
      <w:tr>
        <w:trPr>
          <w:trHeight w:val="379" w:hRule="atLeast"/>
        </w:trPr>
        <w:tc>
          <w:tcPr>
            <w:tcW w:w="5699" w:type="dxa"/>
            <w:gridSpan w:val="2"/>
          </w:tcPr>
          <w:p>
            <w:pPr>
              <w:pStyle w:val="TableParagraph"/>
              <w:spacing w:before="9"/>
              <w:ind w:left="379"/>
              <w:rPr>
                <w:sz w:val="20"/>
              </w:rPr>
            </w:pPr>
            <w:r>
              <w:rPr>
                <w:color w:val="231F20"/>
                <w:sz w:val="20"/>
              </w:rPr>
              <w:t>Total</w:t>
            </w:r>
            <w:r>
              <w:rPr>
                <w:color w:val="231F20"/>
                <w:spacing w:val="-6"/>
                <w:sz w:val="20"/>
              </w:rPr>
              <w:t> </w:t>
            </w:r>
            <w:r>
              <w:rPr>
                <w:color w:val="231F20"/>
                <w:spacing w:val="-2"/>
                <w:sz w:val="20"/>
              </w:rPr>
              <w:t>receivables</w:t>
            </w:r>
          </w:p>
        </w:tc>
        <w:tc>
          <w:tcPr>
            <w:tcW w:w="3720" w:type="dxa"/>
            <w:gridSpan w:val="2"/>
          </w:tcPr>
          <w:p>
            <w:pPr>
              <w:pStyle w:val="TableParagraph"/>
              <w:spacing w:before="9"/>
              <w:ind w:right="212"/>
              <w:jc w:val="right"/>
              <w:rPr>
                <w:sz w:val="20"/>
              </w:rPr>
            </w:pPr>
            <w:r>
              <w:rPr>
                <w:color w:val="231F20"/>
                <w:spacing w:val="-2"/>
                <w:sz w:val="20"/>
              </w:rPr>
              <w:t>22,465,209</w:t>
            </w:r>
          </w:p>
        </w:tc>
      </w:tr>
      <w:tr>
        <w:trPr>
          <w:trHeight w:val="503" w:hRule="atLeast"/>
        </w:trPr>
        <w:tc>
          <w:tcPr>
            <w:tcW w:w="5699" w:type="dxa"/>
            <w:gridSpan w:val="2"/>
          </w:tcPr>
          <w:p>
            <w:pPr>
              <w:pStyle w:val="TableParagraph"/>
              <w:spacing w:before="135"/>
              <w:ind w:left="97"/>
              <w:rPr>
                <w:sz w:val="20"/>
              </w:rPr>
            </w:pPr>
            <w:r>
              <w:rPr>
                <w:color w:val="231F20"/>
                <w:sz w:val="20"/>
              </w:rPr>
              <w:t>Allowance</w:t>
            </w:r>
            <w:r>
              <w:rPr>
                <w:color w:val="231F20"/>
                <w:spacing w:val="-5"/>
                <w:sz w:val="20"/>
              </w:rPr>
              <w:t> </w:t>
            </w:r>
            <w:r>
              <w:rPr>
                <w:color w:val="231F20"/>
                <w:sz w:val="20"/>
              </w:rPr>
              <w:t>for</w:t>
            </w:r>
            <w:r>
              <w:rPr>
                <w:color w:val="231F20"/>
                <w:spacing w:val="-3"/>
                <w:sz w:val="20"/>
              </w:rPr>
              <w:t> </w:t>
            </w:r>
            <w:r>
              <w:rPr>
                <w:color w:val="231F20"/>
                <w:sz w:val="20"/>
              </w:rPr>
              <w:t>doubtful</w:t>
            </w:r>
            <w:r>
              <w:rPr>
                <w:color w:val="231F20"/>
                <w:spacing w:val="-4"/>
                <w:sz w:val="20"/>
              </w:rPr>
              <w:t> </w:t>
            </w:r>
            <w:r>
              <w:rPr>
                <w:color w:val="231F20"/>
                <w:spacing w:val="-2"/>
                <w:sz w:val="20"/>
              </w:rPr>
              <w:t>accounts</w:t>
            </w:r>
          </w:p>
        </w:tc>
        <w:tc>
          <w:tcPr>
            <w:tcW w:w="3720" w:type="dxa"/>
            <w:gridSpan w:val="2"/>
          </w:tcPr>
          <w:p>
            <w:pPr>
              <w:pStyle w:val="TableParagraph"/>
              <w:tabs>
                <w:tab w:pos="2709" w:val="left" w:leader="none"/>
              </w:tabs>
              <w:spacing w:before="135"/>
              <w:ind w:left="2004"/>
              <w:rPr>
                <w:sz w:val="20"/>
              </w:rPr>
            </w:pPr>
            <w:r>
              <w:rPr>
                <w:color w:val="231F20"/>
                <w:sz w:val="20"/>
                <w:u w:val="single" w:color="231F20"/>
              </w:rPr>
              <w:tab/>
            </w:r>
            <w:r>
              <w:rPr>
                <w:color w:val="231F20"/>
                <w:spacing w:val="-2"/>
                <w:sz w:val="20"/>
                <w:u w:val="single" w:color="231F20"/>
              </w:rPr>
              <w:t>(511,236)</w:t>
            </w:r>
          </w:p>
        </w:tc>
      </w:tr>
      <w:tr>
        <w:trPr>
          <w:trHeight w:val="430" w:hRule="atLeast"/>
        </w:trPr>
        <w:tc>
          <w:tcPr>
            <w:tcW w:w="5699" w:type="dxa"/>
            <w:gridSpan w:val="2"/>
          </w:tcPr>
          <w:p>
            <w:pPr>
              <w:pStyle w:val="TableParagraph"/>
              <w:spacing w:before="133"/>
              <w:ind w:left="379"/>
              <w:rPr>
                <w:sz w:val="20"/>
              </w:rPr>
            </w:pPr>
            <w:r>
              <w:rPr>
                <w:color w:val="231F20"/>
                <w:sz w:val="20"/>
              </w:rPr>
              <w:t>Total</w:t>
            </w:r>
            <w:r>
              <w:rPr>
                <w:color w:val="231F20"/>
                <w:spacing w:val="-5"/>
                <w:sz w:val="20"/>
              </w:rPr>
              <w:t> </w:t>
            </w:r>
            <w:r>
              <w:rPr>
                <w:color w:val="231F20"/>
                <w:sz w:val="20"/>
              </w:rPr>
              <w:t>receivables</w:t>
            </w:r>
            <w:r>
              <w:rPr>
                <w:color w:val="231F20"/>
                <w:spacing w:val="-4"/>
                <w:sz w:val="20"/>
              </w:rPr>
              <w:t> </w:t>
            </w:r>
            <w:r>
              <w:rPr>
                <w:color w:val="231F20"/>
                <w:sz w:val="20"/>
              </w:rPr>
              <w:t>billed</w:t>
            </w:r>
            <w:r>
              <w:rPr>
                <w:color w:val="231F20"/>
                <w:spacing w:val="-4"/>
                <w:sz w:val="20"/>
              </w:rPr>
              <w:t> </w:t>
            </w:r>
            <w:r>
              <w:rPr>
                <w:color w:val="231F20"/>
                <w:sz w:val="20"/>
              </w:rPr>
              <w:t>and</w:t>
            </w:r>
            <w:r>
              <w:rPr>
                <w:color w:val="231F20"/>
                <w:spacing w:val="-5"/>
                <w:sz w:val="20"/>
              </w:rPr>
              <w:t> </w:t>
            </w:r>
            <w:r>
              <w:rPr>
                <w:color w:val="231F20"/>
                <w:sz w:val="20"/>
              </w:rPr>
              <w:t>unbilled,</w:t>
            </w:r>
            <w:r>
              <w:rPr>
                <w:color w:val="231F20"/>
                <w:spacing w:val="-4"/>
                <w:sz w:val="20"/>
              </w:rPr>
              <w:t> </w:t>
            </w:r>
            <w:r>
              <w:rPr>
                <w:color w:val="231F20"/>
                <w:spacing w:val="-5"/>
                <w:sz w:val="20"/>
              </w:rPr>
              <w:t>net</w:t>
            </w:r>
          </w:p>
        </w:tc>
        <w:tc>
          <w:tcPr>
            <w:tcW w:w="3720" w:type="dxa"/>
            <w:gridSpan w:val="2"/>
          </w:tcPr>
          <w:p>
            <w:pPr>
              <w:pStyle w:val="TableParagraph"/>
              <w:tabs>
                <w:tab w:pos="2496" w:val="left" w:leader="none"/>
              </w:tabs>
              <w:spacing w:before="133"/>
              <w:ind w:left="2004"/>
              <w:rPr>
                <w:sz w:val="20"/>
              </w:rPr>
            </w:pPr>
            <w:r>
              <w:rPr>
                <w:color w:val="231F20"/>
                <w:spacing w:val="48"/>
                <w:sz w:val="20"/>
                <w:u w:val="single" w:color="231F20"/>
              </w:rPr>
              <w:t> </w:t>
            </w:r>
            <w:r>
              <w:rPr>
                <w:color w:val="231F20"/>
                <w:spacing w:val="-10"/>
                <w:sz w:val="20"/>
                <w:u w:val="single" w:color="231F20"/>
              </w:rPr>
              <w:t>$</w:t>
            </w:r>
            <w:r>
              <w:rPr>
                <w:color w:val="231F20"/>
                <w:sz w:val="20"/>
                <w:u w:val="single" w:color="231F20"/>
              </w:rPr>
              <w:tab/>
            </w:r>
            <w:r>
              <w:rPr>
                <w:color w:val="231F20"/>
                <w:spacing w:val="-2"/>
                <w:sz w:val="20"/>
                <w:u w:val="single" w:color="231F20"/>
              </w:rPr>
              <w:t>21,953,973</w:t>
            </w:r>
            <w:r>
              <w:rPr>
                <w:color w:val="231F20"/>
                <w:spacing w:val="80"/>
                <w:sz w:val="20"/>
                <w:u w:val="single" w:color="231F20"/>
              </w:rPr>
              <w:t> </w:t>
            </w:r>
          </w:p>
        </w:tc>
      </w:tr>
    </w:tbl>
    <w:p>
      <w:pPr>
        <w:spacing w:after="0"/>
        <w:rPr>
          <w:sz w:val="20"/>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3"/>
        </w:rPr>
        <w:t> </w:t>
      </w:r>
      <w:r>
        <w:rPr>
          <w:color w:val="231F20"/>
        </w:rPr>
        <w:t>5</w:t>
      </w:r>
      <w:r>
        <w:rPr>
          <w:color w:val="231F20"/>
          <w:spacing w:val="-2"/>
        </w:rPr>
        <w:t> </w:t>
      </w:r>
      <w:r>
        <w:rPr>
          <w:color w:val="231F20"/>
        </w:rPr>
        <w:t>–</w:t>
      </w:r>
      <w:r>
        <w:rPr>
          <w:color w:val="231F20"/>
          <w:spacing w:val="-2"/>
        </w:rPr>
        <w:t> </w:t>
      </w:r>
      <w:r>
        <w:rPr>
          <w:color w:val="231F20"/>
        </w:rPr>
        <w:t>Capital</w:t>
      </w:r>
      <w:r>
        <w:rPr>
          <w:color w:val="231F20"/>
          <w:spacing w:val="-2"/>
        </w:rPr>
        <w:t> Assets</w:t>
      </w:r>
    </w:p>
    <w:p>
      <w:pPr>
        <w:pStyle w:val="BodyText"/>
        <w:spacing w:before="1"/>
        <w:rPr>
          <w:b/>
        </w:rPr>
      </w:pPr>
    </w:p>
    <w:p>
      <w:pPr>
        <w:pStyle w:val="BodyText"/>
        <w:ind w:left="1440"/>
      </w:pPr>
      <w:r>
        <w:rPr>
          <w:color w:val="231F20"/>
        </w:rPr>
        <w:t>Following</w:t>
      </w:r>
      <w:r>
        <w:rPr>
          <w:color w:val="231F20"/>
          <w:spacing w:val="-7"/>
        </w:rPr>
        <w:t> </w:t>
      </w:r>
      <w:r>
        <w:rPr>
          <w:color w:val="231F20"/>
        </w:rPr>
        <w:t>are</w:t>
      </w:r>
      <w:r>
        <w:rPr>
          <w:color w:val="231F20"/>
          <w:spacing w:val="-5"/>
        </w:rPr>
        <w:t> </w:t>
      </w:r>
      <w:r>
        <w:rPr>
          <w:color w:val="231F20"/>
        </w:rPr>
        <w:t>the</w:t>
      </w:r>
      <w:r>
        <w:rPr>
          <w:color w:val="231F20"/>
          <w:spacing w:val="-4"/>
        </w:rPr>
        <w:t> </w:t>
      </w:r>
      <w:r>
        <w:rPr>
          <w:color w:val="231F20"/>
        </w:rPr>
        <w:t>changes</w:t>
      </w:r>
      <w:r>
        <w:rPr>
          <w:color w:val="231F20"/>
          <w:spacing w:val="-4"/>
        </w:rPr>
        <w:t> </w:t>
      </w:r>
      <w:r>
        <w:rPr>
          <w:color w:val="231F20"/>
        </w:rPr>
        <w:t>in</w:t>
      </w:r>
      <w:r>
        <w:rPr>
          <w:color w:val="231F20"/>
          <w:spacing w:val="-4"/>
        </w:rPr>
        <w:t> </w:t>
      </w:r>
      <w:r>
        <w:rPr>
          <w:color w:val="231F20"/>
        </w:rPr>
        <w:t>capital</w:t>
      </w:r>
      <w:r>
        <w:rPr>
          <w:color w:val="231F20"/>
          <w:spacing w:val="-4"/>
        </w:rPr>
        <w:t> </w:t>
      </w:r>
      <w:r>
        <w:rPr>
          <w:color w:val="231F20"/>
        </w:rPr>
        <w:t>assets</w:t>
      </w:r>
      <w:r>
        <w:rPr>
          <w:color w:val="231F20"/>
          <w:spacing w:val="-5"/>
        </w:rPr>
        <w:t> </w:t>
      </w:r>
      <w:r>
        <w:rPr>
          <w:color w:val="231F20"/>
        </w:rPr>
        <w:t>for</w:t>
      </w:r>
      <w:r>
        <w:rPr>
          <w:color w:val="231F20"/>
          <w:spacing w:val="-4"/>
        </w:rPr>
        <w:t> </w:t>
      </w:r>
      <w:r>
        <w:rPr>
          <w:color w:val="231F20"/>
        </w:rPr>
        <w:t>the</w:t>
      </w:r>
      <w:r>
        <w:rPr>
          <w:color w:val="231F20"/>
          <w:spacing w:val="-4"/>
        </w:rPr>
        <w:t> </w:t>
      </w:r>
      <w:r>
        <w:rPr>
          <w:color w:val="231F20"/>
        </w:rPr>
        <w:t>year</w:t>
      </w:r>
      <w:r>
        <w:rPr>
          <w:color w:val="231F20"/>
          <w:spacing w:val="-4"/>
        </w:rPr>
        <w:t> </w:t>
      </w:r>
      <w:r>
        <w:rPr>
          <w:color w:val="231F20"/>
        </w:rPr>
        <w:t>ended</w:t>
      </w:r>
      <w:r>
        <w:rPr>
          <w:color w:val="231F20"/>
          <w:spacing w:val="-4"/>
        </w:rPr>
        <w:t> </w:t>
      </w:r>
      <w:r>
        <w:rPr>
          <w:color w:val="231F20"/>
        </w:rPr>
        <w:t>June</w:t>
      </w:r>
      <w:r>
        <w:rPr>
          <w:color w:val="231F20"/>
          <w:spacing w:val="-4"/>
        </w:rPr>
        <w:t> </w:t>
      </w:r>
      <w:r>
        <w:rPr>
          <w:color w:val="231F20"/>
        </w:rPr>
        <w:t>30,</w:t>
      </w:r>
      <w:r>
        <w:rPr>
          <w:color w:val="231F20"/>
          <w:spacing w:val="-4"/>
        </w:rPr>
        <w:t> </w:t>
      </w:r>
      <w:r>
        <w:rPr>
          <w:color w:val="231F20"/>
          <w:spacing w:val="-2"/>
        </w:rPr>
        <w:t>2022:</w:t>
      </w:r>
    </w:p>
    <w:p>
      <w:pPr>
        <w:pStyle w:val="BodyText"/>
        <w:spacing w:before="5"/>
        <w:rPr>
          <w:sz w:val="13"/>
        </w:rPr>
      </w:pPr>
    </w:p>
    <w:p>
      <w:pPr>
        <w:spacing w:after="0"/>
        <w:rPr>
          <w:sz w:val="13"/>
        </w:rPr>
        <w:sectPr>
          <w:pgSz w:w="12240" w:h="15840"/>
          <w:pgMar w:header="1282" w:footer="1097" w:top="1900" w:bottom="1280" w:left="0" w:right="580"/>
        </w:sectPr>
      </w:pPr>
    </w:p>
    <w:p>
      <w:pPr>
        <w:pStyle w:val="BodyText"/>
        <w:rPr>
          <w:sz w:val="14"/>
        </w:rPr>
      </w:pPr>
    </w:p>
    <w:p>
      <w:pPr>
        <w:pStyle w:val="BodyText"/>
        <w:rPr>
          <w:sz w:val="14"/>
        </w:rPr>
      </w:pPr>
    </w:p>
    <w:p>
      <w:pPr>
        <w:pStyle w:val="BodyText"/>
        <w:spacing w:before="8"/>
        <w:rPr>
          <w:sz w:val="11"/>
        </w:rPr>
      </w:pPr>
    </w:p>
    <w:p>
      <w:pPr>
        <w:spacing w:before="0"/>
        <w:ind w:left="1478" w:right="0" w:firstLine="0"/>
        <w:jc w:val="left"/>
        <w:rPr>
          <w:sz w:val="13"/>
        </w:rPr>
      </w:pPr>
      <w:r>
        <w:rPr>
          <w:color w:val="231F20"/>
          <w:sz w:val="13"/>
        </w:rPr>
        <w:t>Capital</w:t>
      </w:r>
      <w:r>
        <w:rPr>
          <w:color w:val="231F20"/>
          <w:spacing w:val="-1"/>
          <w:sz w:val="13"/>
        </w:rPr>
        <w:t> </w:t>
      </w:r>
      <w:r>
        <w:rPr>
          <w:color w:val="231F20"/>
          <w:sz w:val="13"/>
        </w:rPr>
        <w:t>assets</w:t>
      </w:r>
      <w:r>
        <w:rPr>
          <w:color w:val="231F20"/>
          <w:spacing w:val="-1"/>
          <w:sz w:val="13"/>
        </w:rPr>
        <w:t> </w:t>
      </w:r>
      <w:r>
        <w:rPr>
          <w:color w:val="231F20"/>
          <w:sz w:val="13"/>
        </w:rPr>
        <w:t>not being</w:t>
      </w:r>
      <w:r>
        <w:rPr>
          <w:color w:val="231F20"/>
          <w:spacing w:val="-2"/>
          <w:sz w:val="13"/>
        </w:rPr>
        <w:t> depreciated</w:t>
      </w:r>
    </w:p>
    <w:p>
      <w:pPr>
        <w:tabs>
          <w:tab w:pos="5335" w:val="left" w:leader="none"/>
        </w:tabs>
        <w:spacing w:before="98"/>
        <w:ind w:left="242" w:right="0" w:firstLine="0"/>
        <w:jc w:val="center"/>
        <w:rPr>
          <w:sz w:val="13"/>
        </w:rPr>
      </w:pPr>
      <w:r>
        <w:rPr/>
        <w:br w:type="column"/>
      </w:r>
      <w:r>
        <w:rPr>
          <w:color w:val="231F20"/>
          <w:spacing w:val="-2"/>
          <w:sz w:val="13"/>
        </w:rPr>
        <w:t>Balance</w:t>
      </w:r>
      <w:r>
        <w:rPr>
          <w:color w:val="231F20"/>
          <w:sz w:val="13"/>
        </w:rPr>
        <w:tab/>
      </w:r>
      <w:r>
        <w:rPr>
          <w:color w:val="231F20"/>
          <w:spacing w:val="-2"/>
          <w:sz w:val="13"/>
        </w:rPr>
        <w:t>Balance</w:t>
      </w:r>
    </w:p>
    <w:p>
      <w:pPr>
        <w:tabs>
          <w:tab w:pos="1658" w:val="left" w:leader="none"/>
          <w:tab w:pos="2906" w:val="left" w:leader="none"/>
          <w:tab w:pos="4120" w:val="left" w:leader="none"/>
          <w:tab w:pos="5331" w:val="left" w:leader="none"/>
        </w:tabs>
        <w:spacing w:before="30"/>
        <w:ind w:left="239" w:right="0" w:firstLine="0"/>
        <w:jc w:val="center"/>
        <w:rPr>
          <w:sz w:val="13"/>
        </w:rPr>
      </w:pPr>
      <w:r>
        <w:rPr>
          <w:color w:val="231F20"/>
          <w:sz w:val="13"/>
        </w:rPr>
        <w:t>June</w:t>
      </w:r>
      <w:r>
        <w:rPr>
          <w:color w:val="231F20"/>
          <w:spacing w:val="-1"/>
          <w:sz w:val="13"/>
        </w:rPr>
        <w:t> </w:t>
      </w:r>
      <w:r>
        <w:rPr>
          <w:color w:val="231F20"/>
          <w:sz w:val="13"/>
        </w:rPr>
        <w:t>30, </w:t>
      </w:r>
      <w:r>
        <w:rPr>
          <w:color w:val="231F20"/>
          <w:spacing w:val="-4"/>
          <w:sz w:val="13"/>
        </w:rPr>
        <w:t>2021</w:t>
      </w:r>
      <w:r>
        <w:rPr>
          <w:color w:val="231F20"/>
          <w:sz w:val="13"/>
        </w:rPr>
        <w:tab/>
      </w:r>
      <w:r>
        <w:rPr>
          <w:color w:val="231F20"/>
          <w:spacing w:val="-2"/>
          <w:sz w:val="13"/>
        </w:rPr>
        <w:t>Additions</w:t>
      </w:r>
      <w:r>
        <w:rPr>
          <w:color w:val="231F20"/>
          <w:sz w:val="13"/>
        </w:rPr>
        <w:tab/>
      </w:r>
      <w:r>
        <w:rPr>
          <w:color w:val="231F20"/>
          <w:spacing w:val="-2"/>
          <w:sz w:val="13"/>
        </w:rPr>
        <w:t>Transfers</w:t>
      </w:r>
      <w:r>
        <w:rPr>
          <w:color w:val="231F20"/>
          <w:sz w:val="13"/>
        </w:rPr>
        <w:tab/>
      </w:r>
      <w:r>
        <w:rPr>
          <w:color w:val="231F20"/>
          <w:spacing w:val="-2"/>
          <w:sz w:val="13"/>
        </w:rPr>
        <w:t>Retirements</w:t>
      </w:r>
      <w:r>
        <w:rPr>
          <w:color w:val="231F20"/>
          <w:sz w:val="13"/>
        </w:rPr>
        <w:tab/>
        <w:t>June 30, </w:t>
      </w:r>
      <w:r>
        <w:rPr>
          <w:color w:val="231F20"/>
          <w:spacing w:val="-4"/>
          <w:sz w:val="13"/>
        </w:rPr>
        <w:t>2022</w:t>
      </w:r>
    </w:p>
    <w:p>
      <w:pPr>
        <w:spacing w:line="21" w:lineRule="exact"/>
        <w:ind w:left="1029" w:right="0" w:firstLine="0"/>
        <w:jc w:val="left"/>
        <w:rPr>
          <w:sz w:val="2"/>
        </w:rPr>
      </w:pPr>
      <w:r>
        <w:rPr>
          <w:sz w:val="2"/>
        </w:rPr>
        <w:pict>
          <v:group style="width:54.1pt;height:1.05pt;mso-position-horizontal-relative:char;mso-position-vertical-relative:line" id="docshapegroup280" coordorigin="0,0" coordsize="1082,21">
            <v:line style="position:absolute" from="0,1" to="1081,1" stroked="true" strokeweight=".06pt" strokecolor="#231f20">
              <v:stroke dashstyle="solid"/>
            </v:line>
            <v:rect style="position:absolute;left:0;top:1;width:1082;height:20" id="docshape281" filled="true" fillcolor="#231f20" stroked="false">
              <v:fill type="solid"/>
            </v:rect>
          </v:group>
        </w:pict>
      </w:r>
      <w:r>
        <w:rPr>
          <w:sz w:val="2"/>
        </w:rPr>
      </w:r>
      <w:r>
        <w:rPr>
          <w:rFonts w:ascii="Times New Roman"/>
          <w:spacing w:val="154"/>
          <w:sz w:val="2"/>
        </w:rPr>
        <w:t> </w:t>
      </w:r>
      <w:r>
        <w:rPr>
          <w:spacing w:val="154"/>
          <w:sz w:val="2"/>
        </w:rPr>
        <w:pict>
          <v:group style="width:54.15pt;height:1.05pt;mso-position-horizontal-relative:char;mso-position-vertical-relative:line" id="docshapegroup282" coordorigin="0,0" coordsize="1083,21">
            <v:line style="position:absolute" from="0,1" to="1081,1" stroked="true" strokeweight=".06pt" strokecolor="#231f20">
              <v:stroke dashstyle="solid"/>
            </v:line>
            <v:rect style="position:absolute;left:0;top:1;width:1083;height:20" id="docshape283" filled="true" fillcolor="#231f20" stroked="false">
              <v:fill type="solid"/>
            </v:rect>
          </v:group>
        </w:pict>
      </w:r>
      <w:r>
        <w:rPr>
          <w:spacing w:val="154"/>
          <w:sz w:val="2"/>
        </w:rPr>
      </w:r>
      <w:r>
        <w:rPr>
          <w:rFonts w:ascii="Times New Roman"/>
          <w:spacing w:val="154"/>
          <w:sz w:val="2"/>
        </w:rPr>
        <w:t> </w:t>
      </w:r>
      <w:r>
        <w:rPr>
          <w:spacing w:val="154"/>
          <w:sz w:val="2"/>
        </w:rPr>
        <w:pict>
          <v:group style="width:54.15pt;height:1.05pt;mso-position-horizontal-relative:char;mso-position-vertical-relative:line" id="docshapegroup284" coordorigin="0,0" coordsize="1083,21">
            <v:line style="position:absolute" from="0,1" to="1081,1" stroked="true" strokeweight=".06pt" strokecolor="#231f20">
              <v:stroke dashstyle="solid"/>
            </v:line>
            <v:rect style="position:absolute;left:0;top:1;width:1083;height:20" id="docshape285" filled="true" fillcolor="#231f20" stroked="false">
              <v:fill type="solid"/>
            </v:rect>
          </v:group>
        </w:pict>
      </w:r>
      <w:r>
        <w:rPr>
          <w:spacing w:val="154"/>
          <w:sz w:val="2"/>
        </w:rPr>
      </w:r>
      <w:r>
        <w:rPr>
          <w:rFonts w:ascii="Times New Roman"/>
          <w:spacing w:val="154"/>
          <w:sz w:val="2"/>
        </w:rPr>
        <w:t> </w:t>
      </w:r>
      <w:r>
        <w:rPr>
          <w:spacing w:val="154"/>
          <w:sz w:val="2"/>
        </w:rPr>
        <w:pict>
          <v:group style="width:54.15pt;height:1.05pt;mso-position-horizontal-relative:char;mso-position-vertical-relative:line" id="docshapegroup286" coordorigin="0,0" coordsize="1083,21">
            <v:line style="position:absolute" from="0,1" to="1081,1" stroked="true" strokeweight=".06pt" strokecolor="#231f20">
              <v:stroke dashstyle="solid"/>
            </v:line>
            <v:rect style="position:absolute;left:0;top:1;width:1083;height:20" id="docshape287" filled="true" fillcolor="#231f20" stroked="false">
              <v:fill type="solid"/>
            </v:rect>
          </v:group>
        </w:pict>
      </w:r>
      <w:r>
        <w:rPr>
          <w:spacing w:val="154"/>
          <w:sz w:val="2"/>
        </w:rPr>
      </w:r>
      <w:r>
        <w:rPr>
          <w:rFonts w:ascii="Times New Roman"/>
          <w:spacing w:val="154"/>
          <w:sz w:val="2"/>
        </w:rPr>
        <w:t> </w:t>
      </w:r>
      <w:r>
        <w:rPr>
          <w:spacing w:val="154"/>
          <w:sz w:val="2"/>
        </w:rPr>
        <w:pict>
          <v:group style="width:54.15pt;height:1.05pt;mso-position-horizontal-relative:char;mso-position-vertical-relative:line" id="docshapegroup288" coordorigin="0,0" coordsize="1083,21">
            <v:line style="position:absolute" from="0,1" to="1081,1" stroked="true" strokeweight=".06pt" strokecolor="#231f20">
              <v:stroke dashstyle="solid"/>
            </v:line>
            <v:rect style="position:absolute;left:1;top:1;width:1082;height:20" id="docshape289" filled="true" fillcolor="#231f20" stroked="false">
              <v:fill type="solid"/>
            </v:rect>
          </v:group>
        </w:pict>
      </w:r>
      <w:r>
        <w:rPr>
          <w:spacing w:val="154"/>
          <w:sz w:val="2"/>
        </w:rPr>
      </w:r>
    </w:p>
    <w:p>
      <w:pPr>
        <w:pStyle w:val="BodyText"/>
        <w:spacing w:before="8"/>
        <w:rPr>
          <w:sz w:val="8"/>
        </w:rPr>
      </w:pPr>
    </w:p>
    <w:p>
      <w:pPr>
        <w:spacing w:after="0"/>
        <w:rPr>
          <w:sz w:val="8"/>
        </w:rPr>
        <w:sectPr>
          <w:type w:val="continuous"/>
          <w:pgSz w:w="12240" w:h="15840"/>
          <w:pgMar w:header="1282" w:footer="1097" w:top="1460" w:bottom="280" w:left="0" w:right="580"/>
          <w:cols w:num="2" w:equalWidth="0">
            <w:col w:w="3608" w:space="40"/>
            <w:col w:w="8012"/>
          </w:cols>
        </w:sectPr>
      </w:pPr>
    </w:p>
    <w:p>
      <w:pPr>
        <w:spacing w:before="31"/>
        <w:ind w:left="0" w:right="38" w:firstLine="0"/>
        <w:jc w:val="right"/>
        <w:rPr>
          <w:sz w:val="13"/>
        </w:rPr>
      </w:pPr>
      <w:r>
        <w:rPr>
          <w:color w:val="231F20"/>
          <w:spacing w:val="-4"/>
          <w:sz w:val="13"/>
        </w:rPr>
        <w:t>Land</w:t>
      </w:r>
    </w:p>
    <w:p>
      <w:pPr>
        <w:tabs>
          <w:tab w:pos="2020" w:val="left" w:leader="none"/>
          <w:tab w:pos="2943" w:val="left" w:leader="none"/>
          <w:tab w:pos="3836" w:val="left" w:leader="none"/>
          <w:tab w:pos="4216" w:val="left" w:leader="none"/>
        </w:tabs>
        <w:spacing w:before="31"/>
        <w:ind w:left="1670" w:right="0" w:firstLine="0"/>
        <w:jc w:val="left"/>
        <w:rPr>
          <w:sz w:val="13"/>
        </w:rPr>
      </w:pPr>
      <w:r>
        <w:rPr/>
        <w:br w:type="column"/>
      </w:r>
      <w:r>
        <w:rPr>
          <w:color w:val="231F20"/>
          <w:spacing w:val="-10"/>
          <w:sz w:val="13"/>
        </w:rPr>
        <w:t>$</w:t>
      </w:r>
      <w:r>
        <w:rPr>
          <w:color w:val="231F20"/>
          <w:sz w:val="13"/>
        </w:rPr>
        <w:tab/>
      </w:r>
      <w:r>
        <w:rPr>
          <w:color w:val="231F20"/>
          <w:spacing w:val="-2"/>
          <w:sz w:val="13"/>
        </w:rPr>
        <w:t>4,334,219</w:t>
      </w:r>
      <w:r>
        <w:rPr>
          <w:color w:val="231F20"/>
          <w:sz w:val="13"/>
        </w:rPr>
        <w:tab/>
      </w:r>
      <w:r>
        <w:rPr>
          <w:color w:val="231F20"/>
          <w:spacing w:val="-10"/>
          <w:sz w:val="13"/>
        </w:rPr>
        <w:t>$</w:t>
      </w:r>
      <w:r>
        <w:rPr>
          <w:color w:val="231F20"/>
          <w:sz w:val="13"/>
        </w:rPr>
        <w:tab/>
      </w:r>
      <w:r>
        <w:rPr>
          <w:color w:val="231F20"/>
          <w:spacing w:val="-10"/>
          <w:sz w:val="13"/>
        </w:rPr>
        <w:t>-</w:t>
      </w:r>
      <w:r>
        <w:rPr>
          <w:color w:val="231F20"/>
          <w:sz w:val="13"/>
        </w:rPr>
        <w:tab/>
      </w:r>
      <w:r>
        <w:rPr>
          <w:color w:val="231F20"/>
          <w:spacing w:val="-10"/>
          <w:sz w:val="13"/>
        </w:rPr>
        <w:t>$</w:t>
      </w:r>
    </w:p>
    <w:p>
      <w:pPr>
        <w:tabs>
          <w:tab w:pos="1159" w:val="left" w:leader="none"/>
          <w:tab w:pos="2053" w:val="left" w:leader="none"/>
        </w:tabs>
        <w:spacing w:before="31"/>
        <w:ind w:left="779" w:right="0" w:firstLine="0"/>
        <w:jc w:val="left"/>
        <w:rPr>
          <w:sz w:val="13"/>
        </w:rPr>
      </w:pPr>
      <w:r>
        <w:rPr/>
        <w:br w:type="column"/>
      </w:r>
      <w:r>
        <w:rPr>
          <w:color w:val="231F20"/>
          <w:spacing w:val="-10"/>
          <w:sz w:val="13"/>
        </w:rPr>
        <w:t>-</w:t>
      </w:r>
      <w:r>
        <w:rPr>
          <w:color w:val="231F20"/>
          <w:sz w:val="13"/>
        </w:rPr>
        <w:tab/>
      </w:r>
      <w:r>
        <w:rPr>
          <w:color w:val="231F20"/>
          <w:spacing w:val="-10"/>
          <w:sz w:val="13"/>
        </w:rPr>
        <w:t>$</w:t>
      </w:r>
      <w:r>
        <w:rPr>
          <w:color w:val="231F20"/>
          <w:sz w:val="13"/>
        </w:rPr>
        <w:tab/>
      </w:r>
      <w:r>
        <w:rPr>
          <w:color w:val="231F20"/>
          <w:spacing w:val="-10"/>
          <w:sz w:val="13"/>
        </w:rPr>
        <w:t>-</w:t>
      </w:r>
    </w:p>
    <w:p>
      <w:pPr>
        <w:tabs>
          <w:tab w:pos="647" w:val="left" w:leader="none"/>
        </w:tabs>
        <w:spacing w:before="31"/>
        <w:ind w:left="297" w:right="0" w:firstLine="0"/>
        <w:jc w:val="left"/>
        <w:rPr>
          <w:sz w:val="13"/>
        </w:rPr>
      </w:pPr>
      <w:r>
        <w:rPr/>
        <w:br w:type="column"/>
      </w:r>
      <w:r>
        <w:rPr>
          <w:color w:val="231F20"/>
          <w:spacing w:val="-10"/>
          <w:sz w:val="13"/>
        </w:rPr>
        <w:t>$</w:t>
      </w:r>
      <w:r>
        <w:rPr>
          <w:color w:val="231F20"/>
          <w:sz w:val="13"/>
        </w:rPr>
        <w:tab/>
      </w:r>
      <w:r>
        <w:rPr>
          <w:color w:val="231F20"/>
          <w:spacing w:val="-2"/>
          <w:sz w:val="13"/>
        </w:rPr>
        <w:t>4,334,219</w:t>
      </w:r>
    </w:p>
    <w:p>
      <w:pPr>
        <w:spacing w:after="0"/>
        <w:jc w:val="left"/>
        <w:rPr>
          <w:sz w:val="13"/>
        </w:rPr>
        <w:sectPr>
          <w:type w:val="continuous"/>
          <w:pgSz w:w="12240" w:h="15840"/>
          <w:pgMar w:header="1282" w:footer="1097" w:top="1460" w:bottom="280" w:left="0" w:right="580"/>
          <w:cols w:num="4" w:equalWidth="0">
            <w:col w:w="2003" w:space="1077"/>
            <w:col w:w="4291" w:space="40"/>
            <w:col w:w="2098" w:space="39"/>
            <w:col w:w="2112"/>
          </w:cols>
        </w:sectPr>
      </w:pPr>
    </w:p>
    <w:p>
      <w:pPr>
        <w:tabs>
          <w:tab w:pos="5025" w:val="left" w:leader="none"/>
          <w:tab w:pos="6374" w:val="left" w:leader="none"/>
          <w:tab w:pos="7604" w:val="left" w:leader="none"/>
          <w:tab w:pos="9463" w:val="left" w:leader="none"/>
          <w:tab w:pos="10195" w:val="left" w:leader="none"/>
        </w:tabs>
        <w:spacing w:before="29"/>
        <w:ind w:left="1670" w:right="0" w:firstLine="0"/>
        <w:jc w:val="left"/>
        <w:rPr>
          <w:sz w:val="13"/>
        </w:rPr>
      </w:pPr>
      <w:r>
        <w:rPr/>
        <w:pict>
          <v:group style="position:absolute;margin-left:233.940002pt;margin-top:9.197659pt;width:54.1pt;height:1pt;mso-position-horizontal-relative:page;mso-position-vertical-relative:paragraph;z-index:15773696" id="docshapegroup290" coordorigin="4679,184" coordsize="1082,20">
            <v:line style="position:absolute" from="4679,185" to="5760,185" stroked="true" strokeweight=".06pt" strokecolor="#231f20">
              <v:stroke dashstyle="solid"/>
            </v:line>
            <v:rect style="position:absolute;left:4678;top:184;width:1082;height:20" id="docshape291" filled="true" fillcolor="#231f20" stroked="false">
              <v:fill type="solid"/>
            </v:rect>
            <w10:wrap type="none"/>
          </v:group>
        </w:pict>
      </w:r>
      <w:r>
        <w:rPr/>
        <w:pict>
          <v:group style="position:absolute;margin-left:297.601013pt;margin-top:9.197659pt;width:54.15pt;height:1pt;mso-position-horizontal-relative:page;mso-position-vertical-relative:paragraph;z-index:15774208" id="docshapegroup292" coordorigin="5952,184" coordsize="1083,20">
            <v:line style="position:absolute" from="5952,185" to="7033,185" stroked="true" strokeweight=".06pt" strokecolor="#231f20">
              <v:stroke dashstyle="solid"/>
            </v:line>
            <v:rect style="position:absolute;left:5952;top:184;width:1083;height:20" id="docshape293" filled="true" fillcolor="#231f20" stroked="false">
              <v:fill type="solid"/>
            </v:rect>
            <w10:wrap type="none"/>
          </v:group>
        </w:pict>
      </w:r>
      <w:r>
        <w:rPr/>
        <w:pict>
          <v:group style="position:absolute;margin-left:424.92099pt;margin-top:9.197659pt;width:54.15pt;height:1pt;mso-position-horizontal-relative:page;mso-position-vertical-relative:paragraph;z-index:15774720" id="docshapegroup294" coordorigin="8498,184" coordsize="1083,20">
            <v:line style="position:absolute" from="8498,185" to="9580,185" stroked="true" strokeweight=".06pt" strokecolor="#231f20">
              <v:stroke dashstyle="solid"/>
            </v:line>
            <v:rect style="position:absolute;left:8498;top:184;width:1083;height:20" id="docshape295" filled="true" fillcolor="#231f20" stroked="false">
              <v:fill type="solid"/>
            </v:rect>
            <w10:wrap type="none"/>
          </v:group>
        </w:pict>
      </w:r>
      <w:r>
        <w:rPr>
          <w:color w:val="231F20"/>
          <w:sz w:val="13"/>
        </w:rPr>
        <w:t>Construction</w:t>
      </w:r>
      <w:r>
        <w:rPr>
          <w:color w:val="231F20"/>
          <w:spacing w:val="-2"/>
          <w:sz w:val="13"/>
        </w:rPr>
        <w:t> </w:t>
      </w:r>
      <w:r>
        <w:rPr>
          <w:color w:val="231F20"/>
          <w:sz w:val="13"/>
        </w:rPr>
        <w:t>in</w:t>
      </w:r>
      <w:r>
        <w:rPr>
          <w:color w:val="231F20"/>
          <w:spacing w:val="-1"/>
          <w:sz w:val="13"/>
        </w:rPr>
        <w:t> </w:t>
      </w:r>
      <w:r>
        <w:rPr>
          <w:color w:val="231F20"/>
          <w:spacing w:val="-2"/>
          <w:sz w:val="13"/>
        </w:rPr>
        <w:t>progress</w:t>
      </w:r>
      <w:r>
        <w:rPr>
          <w:color w:val="231F20"/>
          <w:sz w:val="13"/>
        </w:rPr>
        <w:tab/>
      </w:r>
      <w:r>
        <w:rPr>
          <w:color w:val="231F20"/>
          <w:spacing w:val="-2"/>
          <w:sz w:val="13"/>
        </w:rPr>
        <w:t>10,062,435</w:t>
      </w:r>
      <w:r>
        <w:rPr>
          <w:color w:val="231F20"/>
          <w:sz w:val="13"/>
        </w:rPr>
        <w:tab/>
      </w:r>
      <w:r>
        <w:rPr>
          <w:color w:val="231F20"/>
          <w:spacing w:val="-2"/>
          <w:sz w:val="13"/>
        </w:rPr>
        <w:t>6,525,731</w:t>
      </w:r>
      <w:r>
        <w:rPr>
          <w:color w:val="231F20"/>
          <w:sz w:val="13"/>
        </w:rPr>
        <w:tab/>
      </w:r>
      <w:r>
        <w:rPr>
          <w:color w:val="231F20"/>
          <w:spacing w:val="-2"/>
          <w:sz w:val="13"/>
        </w:rPr>
        <w:t>(8,814,255)</w:t>
      </w:r>
      <w:r>
        <w:rPr>
          <w:color w:val="231F20"/>
          <w:sz w:val="13"/>
        </w:rPr>
        <w:tab/>
      </w:r>
      <w:r>
        <w:rPr>
          <w:color w:val="231F20"/>
          <w:spacing w:val="-10"/>
          <w:sz w:val="13"/>
        </w:rPr>
        <w:t>-</w:t>
      </w:r>
      <w:r>
        <w:rPr>
          <w:color w:val="231F20"/>
          <w:sz w:val="13"/>
        </w:rPr>
        <w:tab/>
      </w:r>
      <w:r>
        <w:rPr>
          <w:color w:val="231F20"/>
          <w:spacing w:val="-2"/>
          <w:sz w:val="13"/>
        </w:rPr>
        <w:t>7,773,911</w:t>
      </w:r>
    </w:p>
    <w:p>
      <w:pPr>
        <w:spacing w:after="0"/>
        <w:jc w:val="left"/>
        <w:rPr>
          <w:sz w:val="13"/>
        </w:rPr>
        <w:sectPr>
          <w:type w:val="continuous"/>
          <w:pgSz w:w="12240" w:h="15840"/>
          <w:pgMar w:header="1282" w:footer="1097" w:top="1460" w:bottom="280" w:left="0" w:right="580"/>
        </w:sectPr>
      </w:pPr>
    </w:p>
    <w:p>
      <w:pPr>
        <w:pStyle w:val="BodyText"/>
        <w:spacing w:before="6"/>
        <w:rPr>
          <w:sz w:val="16"/>
        </w:rPr>
      </w:pPr>
    </w:p>
    <w:p>
      <w:pPr>
        <w:spacing w:before="0"/>
        <w:ind w:left="1863" w:right="0" w:firstLine="0"/>
        <w:jc w:val="left"/>
        <w:rPr>
          <w:sz w:val="13"/>
        </w:rPr>
      </w:pPr>
      <w:r>
        <w:rPr>
          <w:color w:val="231F20"/>
          <w:sz w:val="13"/>
        </w:rPr>
        <w:t>Total assets not </w:t>
      </w:r>
      <w:r>
        <w:rPr>
          <w:color w:val="231F20"/>
          <w:spacing w:val="-2"/>
          <w:sz w:val="13"/>
        </w:rPr>
        <w:t>depreciating</w:t>
      </w:r>
    </w:p>
    <w:p>
      <w:pPr>
        <w:spacing w:line="240" w:lineRule="auto" w:before="6"/>
        <w:rPr>
          <w:sz w:val="16"/>
        </w:rPr>
      </w:pPr>
      <w:r>
        <w:rPr/>
        <w:br w:type="column"/>
      </w:r>
      <w:r>
        <w:rPr>
          <w:sz w:val="16"/>
        </w:rPr>
      </w:r>
    </w:p>
    <w:p>
      <w:pPr>
        <w:tabs>
          <w:tab w:pos="1438" w:val="left" w:leader="none"/>
        </w:tabs>
        <w:spacing w:before="0"/>
        <w:ind w:left="1162" w:right="0" w:firstLine="0"/>
        <w:jc w:val="left"/>
        <w:rPr>
          <w:sz w:val="13"/>
        </w:rPr>
      </w:pPr>
      <w:r>
        <w:rPr>
          <w:color w:val="231F20"/>
          <w:spacing w:val="-10"/>
          <w:sz w:val="13"/>
        </w:rPr>
        <w:t>$</w:t>
      </w:r>
      <w:r>
        <w:rPr>
          <w:color w:val="231F20"/>
          <w:sz w:val="13"/>
        </w:rPr>
        <w:tab/>
      </w:r>
      <w:r>
        <w:rPr>
          <w:color w:val="231F20"/>
          <w:spacing w:val="-2"/>
          <w:sz w:val="13"/>
        </w:rPr>
        <w:t>14,396,654</w:t>
      </w:r>
    </w:p>
    <w:p>
      <w:pPr>
        <w:spacing w:line="240" w:lineRule="auto" w:before="6"/>
        <w:rPr>
          <w:sz w:val="16"/>
        </w:rPr>
      </w:pPr>
      <w:r>
        <w:rPr/>
        <w:br w:type="column"/>
      </w:r>
      <w:r>
        <w:rPr>
          <w:sz w:val="16"/>
        </w:rPr>
      </w:r>
    </w:p>
    <w:p>
      <w:pPr>
        <w:tabs>
          <w:tab w:pos="649" w:val="left" w:leader="none"/>
        </w:tabs>
        <w:spacing w:before="0"/>
        <w:ind w:left="298" w:right="0" w:firstLine="0"/>
        <w:jc w:val="left"/>
        <w:rPr>
          <w:sz w:val="13"/>
        </w:rPr>
      </w:pPr>
      <w:r>
        <w:rPr>
          <w:color w:val="231F20"/>
          <w:spacing w:val="-10"/>
          <w:sz w:val="13"/>
        </w:rPr>
        <w:t>$</w:t>
      </w:r>
      <w:r>
        <w:rPr>
          <w:color w:val="231F20"/>
          <w:sz w:val="13"/>
        </w:rPr>
        <w:tab/>
      </w:r>
      <w:r>
        <w:rPr>
          <w:color w:val="231F20"/>
          <w:spacing w:val="-2"/>
          <w:sz w:val="13"/>
        </w:rPr>
        <w:t>6,525,731</w:t>
      </w:r>
    </w:p>
    <w:p>
      <w:pPr>
        <w:spacing w:line="20" w:lineRule="exact"/>
        <w:ind w:left="223" w:right="0" w:firstLine="0"/>
        <w:rPr>
          <w:sz w:val="2"/>
        </w:rPr>
      </w:pPr>
      <w:r>
        <w:rPr/>
        <w:br w:type="column"/>
      </w:r>
      <w:r>
        <w:rPr>
          <w:sz w:val="2"/>
        </w:rPr>
        <w:pict>
          <v:group style="width:54.15pt;height:1pt;mso-position-horizontal-relative:char;mso-position-vertical-relative:line" id="docshapegroup296" coordorigin="0,0" coordsize="1083,20">
            <v:line style="position:absolute" from="0,1" to="1081,1" stroked="true" strokeweight=".06pt" strokecolor="#231f20">
              <v:stroke dashstyle="solid"/>
            </v:line>
            <v:rect style="position:absolute;left:0;top:0;width:1083;height:20" id="docshape297" filled="true" fillcolor="#231f20" stroked="false">
              <v:fill type="solid"/>
            </v:rect>
          </v:group>
        </w:pict>
      </w:r>
      <w:r>
        <w:rPr>
          <w:sz w:val="2"/>
        </w:rPr>
      </w:r>
    </w:p>
    <w:p>
      <w:pPr>
        <w:pStyle w:val="BodyText"/>
        <w:spacing w:before="8"/>
        <w:rPr>
          <w:sz w:val="14"/>
        </w:rPr>
      </w:pPr>
    </w:p>
    <w:p>
      <w:pPr>
        <w:tabs>
          <w:tab w:pos="603" w:val="left" w:leader="none"/>
          <w:tab w:pos="1569" w:val="left" w:leader="none"/>
        </w:tabs>
        <w:spacing w:before="0"/>
        <w:ind w:left="296" w:right="0" w:firstLine="0"/>
        <w:jc w:val="left"/>
        <w:rPr>
          <w:sz w:val="13"/>
        </w:rPr>
      </w:pPr>
      <w:r>
        <w:rPr/>
        <w:pict>
          <v:group style="position:absolute;margin-left:361.260986pt;margin-top:90.070694pt;width:54.15pt;height:1.05pt;mso-position-horizontal-relative:page;mso-position-vertical-relative:paragraph;z-index:-28338176" id="docshapegroup298" coordorigin="7225,1801" coordsize="1083,21">
            <v:line style="position:absolute" from="7225,1802" to="8306,1802" stroked="true" strokeweight=".06pt" strokecolor="#231f20">
              <v:stroke dashstyle="solid"/>
            </v:line>
            <v:rect style="position:absolute;left:7225;top:1803;width:1083;height:20" id="docshape299" filled="true" fillcolor="#231f20" stroked="false">
              <v:fill type="solid"/>
            </v:rect>
            <w10:wrap type="none"/>
          </v:group>
        </w:pict>
      </w:r>
      <w:r>
        <w:rPr/>
        <w:pict>
          <v:group style="position:absolute;margin-left:424.92099pt;margin-top:90.070694pt;width:54.15pt;height:1.05pt;mso-position-horizontal-relative:page;mso-position-vertical-relative:paragraph;z-index:-28337664" id="docshapegroup300" coordorigin="8498,1801" coordsize="1083,21">
            <v:line style="position:absolute" from="8498,1802" to="9580,1802" stroked="true" strokeweight=".06pt" strokecolor="#231f20">
              <v:stroke dashstyle="solid"/>
            </v:line>
            <v:rect style="position:absolute;left:8498;top:1803;width:1083;height:20" id="docshape301" filled="true" fillcolor="#231f20" stroked="false">
              <v:fill type="solid"/>
            </v:rect>
            <w10:wrap type="none"/>
          </v:group>
        </w:pict>
      </w:r>
      <w:r>
        <w:rPr>
          <w:color w:val="231F20"/>
          <w:spacing w:val="-10"/>
          <w:sz w:val="13"/>
        </w:rPr>
        <w:t>$</w:t>
      </w:r>
      <w:r>
        <w:rPr>
          <w:color w:val="231F20"/>
          <w:sz w:val="13"/>
        </w:rPr>
        <w:tab/>
      </w:r>
      <w:r>
        <w:rPr>
          <w:color w:val="231F20"/>
          <w:spacing w:val="-2"/>
          <w:sz w:val="13"/>
        </w:rPr>
        <w:t>(8,814,255)</w:t>
      </w:r>
      <w:r>
        <w:rPr>
          <w:color w:val="231F20"/>
          <w:sz w:val="13"/>
        </w:rPr>
        <w:tab/>
      </w:r>
      <w:r>
        <w:rPr>
          <w:color w:val="231F20"/>
          <w:spacing w:val="-10"/>
          <w:sz w:val="13"/>
        </w:rPr>
        <w:t>$</w:t>
      </w:r>
    </w:p>
    <w:p>
      <w:pPr>
        <w:spacing w:line="20" w:lineRule="exact"/>
        <w:ind w:left="1086" w:right="0" w:firstLine="0"/>
        <w:rPr>
          <w:sz w:val="2"/>
        </w:rPr>
      </w:pPr>
      <w:r>
        <w:rPr/>
        <w:br w:type="column"/>
      </w:r>
      <w:r>
        <w:rPr>
          <w:sz w:val="2"/>
        </w:rPr>
        <w:pict>
          <v:group style="width:54.15pt;height:1pt;mso-position-horizontal-relative:char;mso-position-vertical-relative:line" id="docshapegroup302" coordorigin="0,0" coordsize="1083,20">
            <v:line style="position:absolute" from="0,1" to="1081,1" stroked="true" strokeweight=".06pt" strokecolor="#231f20">
              <v:stroke dashstyle="solid"/>
            </v:line>
            <v:rect style="position:absolute;left:1;top:0;width:1082;height:20" id="docshape303" filled="true" fillcolor="#231f20" stroked="false">
              <v:fill type="solid"/>
            </v:rect>
          </v:group>
        </w:pict>
      </w:r>
      <w:r>
        <w:rPr>
          <w:sz w:val="2"/>
        </w:rPr>
      </w:r>
    </w:p>
    <w:p>
      <w:pPr>
        <w:pStyle w:val="BodyText"/>
        <w:spacing w:before="8"/>
        <w:rPr>
          <w:sz w:val="14"/>
        </w:rPr>
      </w:pPr>
    </w:p>
    <w:p>
      <w:pPr>
        <w:tabs>
          <w:tab w:pos="1161" w:val="left" w:leader="none"/>
          <w:tab w:pos="1437" w:val="left" w:leader="none"/>
        </w:tabs>
        <w:spacing w:before="0"/>
        <w:ind w:left="779" w:right="0" w:firstLine="0"/>
        <w:jc w:val="left"/>
        <w:rPr>
          <w:sz w:val="13"/>
        </w:rPr>
      </w:pPr>
      <w:r>
        <w:rPr>
          <w:color w:val="231F20"/>
          <w:spacing w:val="-10"/>
          <w:sz w:val="13"/>
        </w:rPr>
        <w:t>-</w:t>
      </w:r>
      <w:r>
        <w:rPr>
          <w:color w:val="231F20"/>
          <w:sz w:val="13"/>
        </w:rPr>
        <w:tab/>
      </w:r>
      <w:r>
        <w:rPr>
          <w:color w:val="231F20"/>
          <w:spacing w:val="-10"/>
          <w:sz w:val="13"/>
        </w:rPr>
        <w:t>$</w:t>
      </w:r>
      <w:r>
        <w:rPr>
          <w:color w:val="231F20"/>
          <w:sz w:val="13"/>
        </w:rPr>
        <w:tab/>
      </w:r>
      <w:r>
        <w:rPr>
          <w:color w:val="231F20"/>
          <w:spacing w:val="-2"/>
          <w:sz w:val="13"/>
        </w:rPr>
        <w:t>12,108,130</w:t>
      </w:r>
    </w:p>
    <w:p>
      <w:pPr>
        <w:spacing w:after="0"/>
        <w:jc w:val="left"/>
        <w:rPr>
          <w:sz w:val="13"/>
        </w:rPr>
        <w:sectPr>
          <w:type w:val="continuous"/>
          <w:pgSz w:w="12240" w:h="15840"/>
          <w:pgMar w:header="1282" w:footer="1097" w:top="1460" w:bottom="280" w:left="0" w:right="580"/>
          <w:cols w:num="5" w:equalWidth="0">
            <w:col w:w="3549" w:space="40"/>
            <w:col w:w="2098" w:space="39"/>
            <w:col w:w="1236" w:space="39"/>
            <w:col w:w="1644" w:space="39"/>
            <w:col w:w="2976"/>
          </w:cols>
        </w:sectPr>
      </w:pPr>
    </w:p>
    <w:p>
      <w:pPr>
        <w:spacing w:line="57" w:lineRule="exact"/>
        <w:ind w:left="4678" w:right="0" w:firstLine="0"/>
        <w:jc w:val="left"/>
        <w:rPr>
          <w:sz w:val="5"/>
        </w:rPr>
      </w:pPr>
      <w:r>
        <w:rPr/>
        <w:pict>
          <v:group style="position:absolute;margin-left:361.260986pt;margin-top:411.69101pt;width:54.15pt;height:1pt;mso-position-horizontal-relative:page;mso-position-vertical-relative:page;z-index:-28337152" id="docshapegroup304" coordorigin="7225,8234" coordsize="1083,20">
            <v:line style="position:absolute" from="7225,8234" to="8306,8234" stroked="true" strokeweight=".06pt" strokecolor="#231f20">
              <v:stroke dashstyle="solid"/>
            </v:line>
            <v:rect style="position:absolute;left:7225;top:8234;width:1083;height:20" id="docshape305" filled="true" fillcolor="#231f20" stroked="false">
              <v:fill type="solid"/>
            </v:rect>
            <w10:wrap type="none"/>
          </v:group>
        </w:pict>
      </w:r>
      <w:r>
        <w:rPr/>
        <w:pict>
          <v:group style="position:absolute;margin-left:424.92099pt;margin-top:411.69101pt;width:54.15pt;height:1pt;mso-position-horizontal-relative:page;mso-position-vertical-relative:page;z-index:-28336640" id="docshapegroup306" coordorigin="8498,8234" coordsize="1083,20">
            <v:line style="position:absolute" from="8498,8234" to="9580,8234" stroked="true" strokeweight=".06pt" strokecolor="#231f20">
              <v:stroke dashstyle="solid"/>
            </v:line>
            <v:rect style="position:absolute;left:8498;top:8234;width:1083;height:20" id="docshape307" filled="true" fillcolor="#231f20" stroked="false">
              <v:fill type="solid"/>
            </v:rect>
            <w10:wrap type="none"/>
          </v:group>
        </w:pict>
      </w:r>
      <w:r>
        <w:rPr/>
        <w:pict>
          <v:shape style="position:absolute;margin-left:233.940018pt;margin-top:428.701996pt;width:54.1pt;height:2.95pt;mso-position-horizontal-relative:page;mso-position-vertical-relative:page;z-index:-28336128" id="docshape308" coordorigin="4679,8574" coordsize="1082,59" path="m5760,8612l4679,8612,4679,8633,5760,8633,5760,8612xm5760,8574l4679,8574,4679,8593,5760,8593,5760,8574xe" filled="true" fillcolor="#231f20" stroked="false">
            <v:path arrowok="t"/>
            <v:fill type="solid"/>
            <w10:wrap type="none"/>
          </v:shape>
        </w:pict>
      </w:r>
      <w:r>
        <w:rPr/>
        <w:pict>
          <v:shape style="position:absolute;margin-left:297.601013pt;margin-top:428.701996pt;width:54.15pt;height:2.95pt;mso-position-horizontal-relative:page;mso-position-vertical-relative:page;z-index:-28335616" id="docshape309" coordorigin="5952,8574" coordsize="1083,59" path="m7034,8612l5952,8612,5952,8633,7034,8633,7034,8612xm7034,8574l5952,8574,5952,8593,7034,8593,7034,8574xe" filled="true" fillcolor="#231f20" stroked="false">
            <v:path arrowok="t"/>
            <v:fill type="solid"/>
            <w10:wrap type="none"/>
          </v:shape>
        </w:pict>
      </w:r>
      <w:r>
        <w:rPr/>
        <w:pict>
          <v:shape style="position:absolute;margin-left:361.261017pt;margin-top:428.701996pt;width:54.15pt;height:2.95pt;mso-position-horizontal-relative:page;mso-position-vertical-relative:page;z-index:-28335104" id="docshape310" coordorigin="7225,8574" coordsize="1083,59" path="m8308,8612l7225,8612,7225,8633,8308,8633,8308,8612xm8308,8574l7225,8574,7225,8593,8308,8593,8308,8574xe" filled="true" fillcolor="#231f20" stroked="false">
            <v:path arrowok="t"/>
            <v:fill type="solid"/>
            <w10:wrap type="none"/>
          </v:shape>
        </w:pict>
      </w:r>
      <w:r>
        <w:rPr/>
        <w:pict>
          <v:shape style="position:absolute;margin-left:424.921021pt;margin-top:428.701996pt;width:54.15pt;height:2.95pt;mso-position-horizontal-relative:page;mso-position-vertical-relative:page;z-index:-28334592" id="docshape311" coordorigin="8498,8574" coordsize="1083,59" path="m9581,8612l8498,8612,8498,8633,9581,8633,9581,8612xm9581,8574l8498,8574,8498,8593,9581,8593,9581,8574xe" filled="true" fillcolor="#231f20" stroked="false">
            <v:path arrowok="t"/>
            <v:fill type="solid"/>
            <w10:wrap type="none"/>
          </v:shape>
        </w:pict>
      </w:r>
      <w:r>
        <w:rPr/>
        <w:pict>
          <v:shape style="position:absolute;margin-left:488.641022pt;margin-top:428.701996pt;width:54.1pt;height:2.95pt;mso-position-horizontal-relative:page;mso-position-vertical-relative:page;z-index:-28334080" id="docshape312" coordorigin="9773,8574" coordsize="1082,59" path="m10854,8612l9773,8612,9773,8633,10854,8633,10854,8612xm10854,8574l9773,8574,9773,8593,10854,8593,10854,8574xe" filled="true" fillcolor="#231f20" stroked="false">
            <v:path arrowok="t"/>
            <v:fill type="solid"/>
            <w10:wrap type="none"/>
          </v:shape>
        </w:pict>
      </w:r>
      <w:r>
        <w:rPr>
          <w:position w:val="0"/>
          <w:sz w:val="5"/>
        </w:rPr>
        <w:pict>
          <v:group style="width:54.1pt;height:2.9pt;mso-position-horizontal-relative:char;mso-position-vertical-relative:line" id="docshapegroup313" coordorigin="0,0" coordsize="1082,58">
            <v:shape style="position:absolute;left:0;top:0;width:1082;height:58" id="docshape314" coordorigin="0,0" coordsize="1082,58" path="m1081,38l0,38,0,58,1081,58,1081,38xm1081,0l0,0,0,19,1081,19,1081,0xe" filled="true" fillcolor="#231f20" stroked="false">
              <v:path arrowok="t"/>
              <v:fill type="solid"/>
            </v:shape>
          </v:group>
        </w:pict>
      </w:r>
      <w:r>
        <w:rPr>
          <w:position w:val="0"/>
          <w:sz w:val="5"/>
        </w:rPr>
      </w:r>
      <w:r>
        <w:rPr>
          <w:rFonts w:ascii="Times New Roman"/>
          <w:spacing w:val="155"/>
          <w:position w:val="0"/>
          <w:sz w:val="5"/>
        </w:rPr>
        <w:t> </w:t>
      </w:r>
      <w:r>
        <w:rPr>
          <w:spacing w:val="155"/>
          <w:position w:val="0"/>
          <w:sz w:val="5"/>
        </w:rPr>
        <w:pict>
          <v:group style="width:54.15pt;height:2.9pt;mso-position-horizontal-relative:char;mso-position-vertical-relative:line" id="docshapegroup315" coordorigin="0,0" coordsize="1083,58">
            <v:shape style="position:absolute;left:0;top:0;width:1083;height:58" id="docshape316" coordorigin="0,0" coordsize="1083,58" path="m1082,38l0,38,0,58,1082,58,1082,38xm1082,0l0,0,0,19,1082,19,1082,0xe" filled="true" fillcolor="#231f20" stroked="false">
              <v:path arrowok="t"/>
              <v:fill type="solid"/>
            </v:shape>
          </v:group>
        </w:pict>
      </w:r>
      <w:r>
        <w:rPr>
          <w:spacing w:val="155"/>
          <w:position w:val="0"/>
          <w:sz w:val="5"/>
        </w:rPr>
      </w:r>
      <w:r>
        <w:rPr>
          <w:rFonts w:ascii="Times New Roman"/>
          <w:spacing w:val="155"/>
          <w:position w:val="0"/>
          <w:sz w:val="5"/>
        </w:rPr>
        <w:t> </w:t>
      </w:r>
      <w:r>
        <w:rPr>
          <w:spacing w:val="155"/>
          <w:position w:val="0"/>
          <w:sz w:val="5"/>
        </w:rPr>
        <w:pict>
          <v:group style="width:54.15pt;height:2.9pt;mso-position-horizontal-relative:char;mso-position-vertical-relative:line" id="docshapegroup317" coordorigin="0,0" coordsize="1083,58">
            <v:shape style="position:absolute;left:0;top:0;width:1083;height:58" id="docshape318" coordorigin="0,0" coordsize="1083,58" path="m1082,38l0,38,0,58,1082,58,1082,38xm1082,0l0,0,0,19,1082,19,1082,0xe" filled="true" fillcolor="#231f20" stroked="false">
              <v:path arrowok="t"/>
              <v:fill type="solid"/>
            </v:shape>
          </v:group>
        </w:pict>
      </w:r>
      <w:r>
        <w:rPr>
          <w:spacing w:val="155"/>
          <w:position w:val="0"/>
          <w:sz w:val="5"/>
        </w:rPr>
      </w:r>
      <w:r>
        <w:rPr>
          <w:rFonts w:ascii="Times New Roman"/>
          <w:spacing w:val="155"/>
          <w:position w:val="0"/>
          <w:sz w:val="5"/>
        </w:rPr>
        <w:t> </w:t>
      </w:r>
      <w:r>
        <w:rPr>
          <w:spacing w:val="155"/>
          <w:position w:val="0"/>
          <w:sz w:val="5"/>
        </w:rPr>
        <w:pict>
          <v:group style="width:54.15pt;height:2.9pt;mso-position-horizontal-relative:char;mso-position-vertical-relative:line" id="docshapegroup319" coordorigin="0,0" coordsize="1083,58">
            <v:shape style="position:absolute;left:0;top:0;width:1083;height:58" id="docshape320" coordorigin="0,0" coordsize="1083,58" path="m1082,38l0,38,0,58,1082,58,1082,38xm1082,0l0,0,0,19,1082,19,1082,0xe" filled="true" fillcolor="#231f20" stroked="false">
              <v:path arrowok="t"/>
              <v:fill type="solid"/>
            </v:shape>
          </v:group>
        </w:pict>
      </w:r>
      <w:r>
        <w:rPr>
          <w:spacing w:val="155"/>
          <w:position w:val="0"/>
          <w:sz w:val="5"/>
        </w:rPr>
      </w:r>
      <w:r>
        <w:rPr>
          <w:rFonts w:ascii="Times New Roman"/>
          <w:spacing w:val="156"/>
          <w:position w:val="0"/>
          <w:sz w:val="5"/>
        </w:rPr>
        <w:t> </w:t>
      </w:r>
      <w:r>
        <w:rPr>
          <w:spacing w:val="156"/>
          <w:position w:val="0"/>
          <w:sz w:val="5"/>
        </w:rPr>
        <w:pict>
          <v:group style="width:54.1pt;height:2.9pt;mso-position-horizontal-relative:char;mso-position-vertical-relative:line" id="docshapegroup321" coordorigin="0,0" coordsize="1082,58">
            <v:shape style="position:absolute;left:0;top:0;width:1082;height:58" id="docshape322" coordorigin="0,0" coordsize="1082,58" path="m1081,38l0,38,0,58,1081,58,1081,38xm1081,0l0,0,0,19,1081,19,1081,0xe" filled="true" fillcolor="#231f20" stroked="false">
              <v:path arrowok="t"/>
              <v:fill type="solid"/>
            </v:shape>
          </v:group>
        </w:pict>
      </w:r>
      <w:r>
        <w:rPr>
          <w:spacing w:val="156"/>
          <w:position w:val="0"/>
          <w:sz w:val="5"/>
        </w:rPr>
      </w:r>
    </w:p>
    <w:p>
      <w:pPr>
        <w:pStyle w:val="BodyText"/>
        <w:spacing w:before="4"/>
        <w:rPr>
          <w:sz w:val="16"/>
        </w:rPr>
      </w:pPr>
    </w:p>
    <w:tbl>
      <w:tblPr>
        <w:tblW w:w="0" w:type="auto"/>
        <w:jc w:val="left"/>
        <w:tblInd w:w="1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6"/>
        <w:gridCol w:w="1082"/>
        <w:gridCol w:w="193"/>
        <w:gridCol w:w="226"/>
        <w:gridCol w:w="857"/>
        <w:gridCol w:w="191"/>
        <w:gridCol w:w="262"/>
        <w:gridCol w:w="914"/>
        <w:gridCol w:w="358"/>
        <w:gridCol w:w="819"/>
        <w:gridCol w:w="190"/>
        <w:gridCol w:w="1100"/>
      </w:tblGrid>
      <w:tr>
        <w:trPr>
          <w:trHeight w:val="178" w:hRule="atLeast"/>
        </w:trPr>
        <w:tc>
          <w:tcPr>
            <w:tcW w:w="3236" w:type="dxa"/>
          </w:tcPr>
          <w:p>
            <w:pPr>
              <w:pStyle w:val="TableParagraph"/>
              <w:spacing w:line="147" w:lineRule="exact"/>
              <w:ind w:left="35"/>
              <w:rPr>
                <w:sz w:val="13"/>
              </w:rPr>
            </w:pPr>
            <w:r>
              <w:rPr>
                <w:color w:val="231F20"/>
                <w:sz w:val="13"/>
              </w:rPr>
              <w:t>Depreciable</w:t>
            </w:r>
            <w:r>
              <w:rPr>
                <w:color w:val="231F20"/>
                <w:spacing w:val="-3"/>
                <w:sz w:val="13"/>
              </w:rPr>
              <w:t> </w:t>
            </w:r>
            <w:r>
              <w:rPr>
                <w:color w:val="231F20"/>
                <w:sz w:val="13"/>
              </w:rPr>
              <w:t>capital</w:t>
            </w:r>
            <w:r>
              <w:rPr>
                <w:color w:val="231F20"/>
                <w:spacing w:val="-2"/>
                <w:sz w:val="13"/>
              </w:rPr>
              <w:t> assets</w:t>
            </w:r>
          </w:p>
        </w:tc>
        <w:tc>
          <w:tcPr>
            <w:tcW w:w="6192" w:type="dxa"/>
            <w:gridSpan w:val="11"/>
          </w:tcPr>
          <w:p>
            <w:pPr>
              <w:pStyle w:val="TableParagraph"/>
              <w:rPr>
                <w:rFonts w:ascii="Times New Roman"/>
                <w:sz w:val="12"/>
              </w:rPr>
            </w:pPr>
          </w:p>
        </w:tc>
      </w:tr>
      <w:tr>
        <w:trPr>
          <w:trHeight w:val="163" w:hRule="atLeast"/>
        </w:trPr>
        <w:tc>
          <w:tcPr>
            <w:tcW w:w="3236" w:type="dxa"/>
          </w:tcPr>
          <w:p>
            <w:pPr>
              <w:pStyle w:val="TableParagraph"/>
              <w:spacing w:line="144" w:lineRule="exact"/>
              <w:ind w:left="227"/>
              <w:rPr>
                <w:sz w:val="13"/>
              </w:rPr>
            </w:pPr>
            <w:r>
              <w:rPr>
                <w:color w:val="231F20"/>
                <w:sz w:val="13"/>
              </w:rPr>
              <w:t>Non-major</w:t>
            </w:r>
            <w:r>
              <w:rPr>
                <w:color w:val="231F20"/>
                <w:spacing w:val="-2"/>
                <w:sz w:val="13"/>
              </w:rPr>
              <w:t> </w:t>
            </w:r>
            <w:r>
              <w:rPr>
                <w:color w:val="231F20"/>
                <w:sz w:val="13"/>
              </w:rPr>
              <w:t>infrastructure</w:t>
            </w:r>
            <w:r>
              <w:rPr>
                <w:color w:val="231F20"/>
                <w:spacing w:val="-2"/>
                <w:sz w:val="13"/>
              </w:rPr>
              <w:t> networks</w:t>
            </w:r>
          </w:p>
        </w:tc>
        <w:tc>
          <w:tcPr>
            <w:tcW w:w="1082" w:type="dxa"/>
          </w:tcPr>
          <w:p>
            <w:pPr>
              <w:pStyle w:val="TableParagraph"/>
              <w:tabs>
                <w:tab w:pos="275" w:val="left" w:leader="none"/>
              </w:tabs>
              <w:spacing w:line="144" w:lineRule="exact"/>
              <w:ind w:right="73"/>
              <w:jc w:val="right"/>
              <w:rPr>
                <w:sz w:val="13"/>
              </w:rPr>
            </w:pPr>
            <w:r>
              <w:rPr>
                <w:color w:val="231F20"/>
                <w:spacing w:val="-10"/>
                <w:sz w:val="13"/>
              </w:rPr>
              <w:t>$</w:t>
            </w:r>
            <w:r>
              <w:rPr>
                <w:color w:val="231F20"/>
                <w:sz w:val="13"/>
              </w:rPr>
              <w:tab/>
            </w:r>
            <w:r>
              <w:rPr>
                <w:color w:val="231F20"/>
                <w:spacing w:val="-2"/>
                <w:sz w:val="13"/>
              </w:rPr>
              <w:t>30,482,618</w:t>
            </w:r>
          </w:p>
        </w:tc>
        <w:tc>
          <w:tcPr>
            <w:tcW w:w="193" w:type="dxa"/>
          </w:tcPr>
          <w:p>
            <w:pPr>
              <w:pStyle w:val="TableParagraph"/>
              <w:rPr>
                <w:rFonts w:ascii="Times New Roman"/>
                <w:sz w:val="10"/>
              </w:rPr>
            </w:pPr>
          </w:p>
        </w:tc>
        <w:tc>
          <w:tcPr>
            <w:tcW w:w="1083" w:type="dxa"/>
            <w:gridSpan w:val="2"/>
          </w:tcPr>
          <w:p>
            <w:pPr>
              <w:pStyle w:val="TableParagraph"/>
              <w:tabs>
                <w:tab w:pos="962" w:val="left" w:leader="none"/>
              </w:tabs>
              <w:spacing w:line="144" w:lineRule="exact"/>
              <w:ind w:left="70"/>
              <w:rPr>
                <w:sz w:val="13"/>
              </w:rPr>
            </w:pPr>
            <w:r>
              <w:rPr>
                <w:color w:val="231F20"/>
                <w:spacing w:val="-10"/>
                <w:sz w:val="13"/>
              </w:rPr>
              <w:t>$</w:t>
            </w:r>
            <w:r>
              <w:rPr>
                <w:color w:val="231F20"/>
                <w:sz w:val="13"/>
              </w:rPr>
              <w:tab/>
            </w:r>
            <w:r>
              <w:rPr>
                <w:color w:val="231F20"/>
                <w:spacing w:val="-10"/>
                <w:sz w:val="13"/>
              </w:rPr>
              <w:t>-</w:t>
            </w:r>
          </w:p>
        </w:tc>
        <w:tc>
          <w:tcPr>
            <w:tcW w:w="191" w:type="dxa"/>
          </w:tcPr>
          <w:p>
            <w:pPr>
              <w:pStyle w:val="TableParagraph"/>
              <w:rPr>
                <w:rFonts w:ascii="Times New Roman"/>
                <w:sz w:val="10"/>
              </w:rPr>
            </w:pPr>
          </w:p>
        </w:tc>
        <w:tc>
          <w:tcPr>
            <w:tcW w:w="2353" w:type="dxa"/>
            <w:gridSpan w:val="4"/>
          </w:tcPr>
          <w:p>
            <w:pPr>
              <w:pStyle w:val="TableParagraph"/>
              <w:tabs>
                <w:tab w:pos="419" w:val="left" w:leader="none"/>
                <w:tab w:pos="1342" w:val="left" w:leader="none"/>
                <w:tab w:pos="2235" w:val="left" w:leader="none"/>
              </w:tabs>
              <w:spacing w:line="144" w:lineRule="exact"/>
              <w:ind w:left="69"/>
              <w:rPr>
                <w:sz w:val="13"/>
              </w:rPr>
            </w:pPr>
            <w:r>
              <w:rPr>
                <w:color w:val="231F20"/>
                <w:spacing w:val="-10"/>
                <w:sz w:val="13"/>
              </w:rPr>
              <w:t>$</w:t>
            </w:r>
            <w:r>
              <w:rPr>
                <w:color w:val="231F20"/>
                <w:sz w:val="13"/>
              </w:rPr>
              <w:tab/>
            </w:r>
            <w:r>
              <w:rPr>
                <w:color w:val="231F20"/>
                <w:spacing w:val="-2"/>
                <w:sz w:val="13"/>
              </w:rPr>
              <w:t>5,979,799</w:t>
            </w:r>
            <w:r>
              <w:rPr>
                <w:color w:val="231F20"/>
                <w:sz w:val="13"/>
              </w:rPr>
              <w:tab/>
            </w:r>
            <w:r>
              <w:rPr>
                <w:color w:val="231F20"/>
                <w:spacing w:val="-10"/>
                <w:sz w:val="13"/>
              </w:rPr>
              <w:t>$</w:t>
            </w:r>
            <w:r>
              <w:rPr>
                <w:color w:val="231F20"/>
                <w:sz w:val="13"/>
              </w:rPr>
              <w:tab/>
            </w:r>
            <w:r>
              <w:rPr>
                <w:color w:val="231F20"/>
                <w:spacing w:val="-10"/>
                <w:sz w:val="13"/>
              </w:rPr>
              <w:t>-</w:t>
            </w:r>
          </w:p>
        </w:tc>
        <w:tc>
          <w:tcPr>
            <w:tcW w:w="190" w:type="dxa"/>
          </w:tcPr>
          <w:p>
            <w:pPr>
              <w:pStyle w:val="TableParagraph"/>
              <w:rPr>
                <w:rFonts w:ascii="Times New Roman"/>
                <w:sz w:val="10"/>
              </w:rPr>
            </w:pPr>
          </w:p>
        </w:tc>
        <w:tc>
          <w:tcPr>
            <w:tcW w:w="1100" w:type="dxa"/>
          </w:tcPr>
          <w:p>
            <w:pPr>
              <w:pStyle w:val="TableParagraph"/>
              <w:tabs>
                <w:tab w:pos="276" w:val="left" w:leader="none"/>
              </w:tabs>
              <w:spacing w:line="144" w:lineRule="exact"/>
              <w:ind w:right="89"/>
              <w:jc w:val="right"/>
              <w:rPr>
                <w:sz w:val="13"/>
              </w:rPr>
            </w:pPr>
            <w:r>
              <w:rPr>
                <w:color w:val="231F20"/>
                <w:spacing w:val="-10"/>
                <w:sz w:val="13"/>
              </w:rPr>
              <w:t>$</w:t>
            </w:r>
            <w:r>
              <w:rPr>
                <w:color w:val="231F20"/>
                <w:sz w:val="13"/>
              </w:rPr>
              <w:tab/>
            </w:r>
            <w:r>
              <w:rPr>
                <w:color w:val="231F20"/>
                <w:spacing w:val="-2"/>
                <w:sz w:val="13"/>
              </w:rPr>
              <w:t>36,462,417</w:t>
            </w:r>
          </w:p>
        </w:tc>
      </w:tr>
      <w:tr>
        <w:trPr>
          <w:trHeight w:val="179" w:hRule="atLeast"/>
        </w:trPr>
        <w:tc>
          <w:tcPr>
            <w:tcW w:w="3236" w:type="dxa"/>
          </w:tcPr>
          <w:p>
            <w:pPr>
              <w:pStyle w:val="TableParagraph"/>
              <w:spacing w:line="146" w:lineRule="exact" w:before="13"/>
              <w:ind w:left="227"/>
              <w:rPr>
                <w:sz w:val="13"/>
              </w:rPr>
            </w:pPr>
            <w:r>
              <w:rPr>
                <w:color w:val="231F20"/>
                <w:sz w:val="13"/>
              </w:rPr>
              <w:t>Land</w:t>
            </w:r>
            <w:r>
              <w:rPr>
                <w:color w:val="231F20"/>
                <w:spacing w:val="-1"/>
                <w:sz w:val="13"/>
              </w:rPr>
              <w:t> </w:t>
            </w:r>
            <w:r>
              <w:rPr>
                <w:color w:val="231F20"/>
                <w:spacing w:val="-2"/>
                <w:sz w:val="13"/>
              </w:rPr>
              <w:t>improvements</w:t>
            </w:r>
          </w:p>
        </w:tc>
        <w:tc>
          <w:tcPr>
            <w:tcW w:w="1082" w:type="dxa"/>
          </w:tcPr>
          <w:p>
            <w:pPr>
              <w:pStyle w:val="TableParagraph"/>
              <w:spacing w:line="146" w:lineRule="exact" w:before="13"/>
              <w:ind w:right="74"/>
              <w:jc w:val="right"/>
              <w:rPr>
                <w:sz w:val="13"/>
              </w:rPr>
            </w:pPr>
            <w:r>
              <w:rPr>
                <w:color w:val="231F20"/>
                <w:spacing w:val="-2"/>
                <w:sz w:val="13"/>
              </w:rPr>
              <w:t>7,128,046</w:t>
            </w:r>
          </w:p>
        </w:tc>
        <w:tc>
          <w:tcPr>
            <w:tcW w:w="193" w:type="dxa"/>
          </w:tcPr>
          <w:p>
            <w:pPr>
              <w:pStyle w:val="TableParagraph"/>
              <w:rPr>
                <w:rFonts w:ascii="Times New Roman"/>
                <w:sz w:val="12"/>
              </w:rPr>
            </w:pPr>
          </w:p>
        </w:tc>
        <w:tc>
          <w:tcPr>
            <w:tcW w:w="1083" w:type="dxa"/>
            <w:gridSpan w:val="2"/>
          </w:tcPr>
          <w:p>
            <w:pPr>
              <w:pStyle w:val="TableParagraph"/>
              <w:spacing w:line="146" w:lineRule="exact" w:before="13"/>
              <w:ind w:right="74"/>
              <w:jc w:val="right"/>
              <w:rPr>
                <w:sz w:val="13"/>
              </w:rPr>
            </w:pPr>
            <w:r>
              <w:rPr>
                <w:color w:val="231F20"/>
                <w:w w:val="101"/>
                <w:sz w:val="13"/>
              </w:rPr>
              <w:t>-</w:t>
            </w:r>
          </w:p>
        </w:tc>
        <w:tc>
          <w:tcPr>
            <w:tcW w:w="191" w:type="dxa"/>
          </w:tcPr>
          <w:p>
            <w:pPr>
              <w:pStyle w:val="TableParagraph"/>
              <w:rPr>
                <w:rFonts w:ascii="Times New Roman"/>
                <w:sz w:val="12"/>
              </w:rPr>
            </w:pPr>
          </w:p>
        </w:tc>
        <w:tc>
          <w:tcPr>
            <w:tcW w:w="2353" w:type="dxa"/>
            <w:gridSpan w:val="4"/>
          </w:tcPr>
          <w:p>
            <w:pPr>
              <w:pStyle w:val="TableParagraph"/>
              <w:tabs>
                <w:tab w:pos="2235" w:val="left" w:leader="none"/>
              </w:tabs>
              <w:spacing w:line="146" w:lineRule="exact" w:before="13"/>
              <w:ind w:left="962"/>
              <w:rPr>
                <w:sz w:val="13"/>
              </w:rPr>
            </w:pPr>
            <w:r>
              <w:rPr>
                <w:color w:val="231F20"/>
                <w:spacing w:val="-10"/>
                <w:sz w:val="13"/>
              </w:rPr>
              <w:t>-</w:t>
            </w:r>
            <w:r>
              <w:rPr>
                <w:color w:val="231F20"/>
                <w:sz w:val="13"/>
              </w:rPr>
              <w:tab/>
            </w:r>
            <w:r>
              <w:rPr>
                <w:color w:val="231F20"/>
                <w:spacing w:val="-10"/>
                <w:sz w:val="13"/>
              </w:rPr>
              <w:t>-</w:t>
            </w:r>
          </w:p>
        </w:tc>
        <w:tc>
          <w:tcPr>
            <w:tcW w:w="190" w:type="dxa"/>
          </w:tcPr>
          <w:p>
            <w:pPr>
              <w:pStyle w:val="TableParagraph"/>
              <w:rPr>
                <w:rFonts w:ascii="Times New Roman"/>
                <w:sz w:val="12"/>
              </w:rPr>
            </w:pPr>
          </w:p>
        </w:tc>
        <w:tc>
          <w:tcPr>
            <w:tcW w:w="1100" w:type="dxa"/>
          </w:tcPr>
          <w:p>
            <w:pPr>
              <w:pStyle w:val="TableParagraph"/>
              <w:spacing w:line="146" w:lineRule="exact" w:before="13"/>
              <w:ind w:right="90"/>
              <w:jc w:val="right"/>
              <w:rPr>
                <w:sz w:val="13"/>
              </w:rPr>
            </w:pPr>
            <w:r>
              <w:rPr>
                <w:color w:val="231F20"/>
                <w:spacing w:val="-2"/>
                <w:sz w:val="13"/>
              </w:rPr>
              <w:t>7,128,046</w:t>
            </w:r>
          </w:p>
        </w:tc>
      </w:tr>
      <w:tr>
        <w:trPr>
          <w:trHeight w:val="178" w:hRule="atLeast"/>
        </w:trPr>
        <w:tc>
          <w:tcPr>
            <w:tcW w:w="3236" w:type="dxa"/>
          </w:tcPr>
          <w:p>
            <w:pPr>
              <w:pStyle w:val="TableParagraph"/>
              <w:spacing w:line="146" w:lineRule="exact" w:before="13"/>
              <w:ind w:left="227"/>
              <w:rPr>
                <w:sz w:val="13"/>
              </w:rPr>
            </w:pPr>
            <w:r>
              <w:rPr>
                <w:color w:val="231F20"/>
                <w:spacing w:val="-2"/>
                <w:sz w:val="13"/>
              </w:rPr>
              <w:t>Buildings</w:t>
            </w:r>
          </w:p>
        </w:tc>
        <w:tc>
          <w:tcPr>
            <w:tcW w:w="1082" w:type="dxa"/>
          </w:tcPr>
          <w:p>
            <w:pPr>
              <w:pStyle w:val="TableParagraph"/>
              <w:spacing w:line="146" w:lineRule="exact" w:before="13"/>
              <w:ind w:right="73"/>
              <w:jc w:val="right"/>
              <w:rPr>
                <w:sz w:val="13"/>
              </w:rPr>
            </w:pPr>
            <w:r>
              <w:rPr>
                <w:color w:val="231F20"/>
                <w:spacing w:val="-2"/>
                <w:sz w:val="13"/>
              </w:rPr>
              <w:t>226,795,110</w:t>
            </w:r>
          </w:p>
        </w:tc>
        <w:tc>
          <w:tcPr>
            <w:tcW w:w="193" w:type="dxa"/>
          </w:tcPr>
          <w:p>
            <w:pPr>
              <w:pStyle w:val="TableParagraph"/>
              <w:rPr>
                <w:rFonts w:ascii="Times New Roman"/>
                <w:sz w:val="12"/>
              </w:rPr>
            </w:pPr>
          </w:p>
        </w:tc>
        <w:tc>
          <w:tcPr>
            <w:tcW w:w="1083" w:type="dxa"/>
            <w:gridSpan w:val="2"/>
          </w:tcPr>
          <w:p>
            <w:pPr>
              <w:pStyle w:val="TableParagraph"/>
              <w:spacing w:line="146" w:lineRule="exact" w:before="13"/>
              <w:ind w:left="420"/>
              <w:rPr>
                <w:sz w:val="13"/>
              </w:rPr>
            </w:pPr>
            <w:r>
              <w:rPr>
                <w:color w:val="231F20"/>
                <w:spacing w:val="-2"/>
                <w:sz w:val="13"/>
              </w:rPr>
              <w:t>1,000,000</w:t>
            </w:r>
          </w:p>
        </w:tc>
        <w:tc>
          <w:tcPr>
            <w:tcW w:w="191" w:type="dxa"/>
          </w:tcPr>
          <w:p>
            <w:pPr>
              <w:pStyle w:val="TableParagraph"/>
              <w:rPr>
                <w:rFonts w:ascii="Times New Roman"/>
                <w:sz w:val="12"/>
              </w:rPr>
            </w:pPr>
          </w:p>
        </w:tc>
        <w:tc>
          <w:tcPr>
            <w:tcW w:w="2353" w:type="dxa"/>
            <w:gridSpan w:val="4"/>
          </w:tcPr>
          <w:p>
            <w:pPr>
              <w:pStyle w:val="TableParagraph"/>
              <w:tabs>
                <w:tab w:pos="2235" w:val="left" w:leader="none"/>
              </w:tabs>
              <w:spacing w:line="146" w:lineRule="exact" w:before="13"/>
              <w:ind w:left="419"/>
              <w:rPr>
                <w:sz w:val="13"/>
              </w:rPr>
            </w:pPr>
            <w:r>
              <w:rPr>
                <w:color w:val="231F20"/>
                <w:spacing w:val="-2"/>
                <w:sz w:val="13"/>
              </w:rPr>
              <w:t>2,834,456</w:t>
            </w:r>
            <w:r>
              <w:rPr>
                <w:color w:val="231F20"/>
                <w:sz w:val="13"/>
              </w:rPr>
              <w:tab/>
            </w:r>
            <w:r>
              <w:rPr>
                <w:color w:val="231F20"/>
                <w:spacing w:val="-10"/>
                <w:sz w:val="13"/>
              </w:rPr>
              <w:t>-</w:t>
            </w:r>
          </w:p>
        </w:tc>
        <w:tc>
          <w:tcPr>
            <w:tcW w:w="190" w:type="dxa"/>
          </w:tcPr>
          <w:p>
            <w:pPr>
              <w:pStyle w:val="TableParagraph"/>
              <w:rPr>
                <w:rFonts w:ascii="Times New Roman"/>
                <w:sz w:val="12"/>
              </w:rPr>
            </w:pPr>
          </w:p>
        </w:tc>
        <w:tc>
          <w:tcPr>
            <w:tcW w:w="1100" w:type="dxa"/>
          </w:tcPr>
          <w:p>
            <w:pPr>
              <w:pStyle w:val="TableParagraph"/>
              <w:spacing w:line="146" w:lineRule="exact" w:before="13"/>
              <w:ind w:right="90"/>
              <w:jc w:val="right"/>
              <w:rPr>
                <w:sz w:val="13"/>
              </w:rPr>
            </w:pPr>
            <w:r>
              <w:rPr>
                <w:color w:val="231F20"/>
                <w:spacing w:val="-2"/>
                <w:sz w:val="13"/>
              </w:rPr>
              <w:t>230,629,566</w:t>
            </w:r>
          </w:p>
        </w:tc>
      </w:tr>
      <w:tr>
        <w:trPr>
          <w:trHeight w:val="179" w:hRule="atLeast"/>
        </w:trPr>
        <w:tc>
          <w:tcPr>
            <w:tcW w:w="3236" w:type="dxa"/>
          </w:tcPr>
          <w:p>
            <w:pPr>
              <w:pStyle w:val="TableParagraph"/>
              <w:spacing w:line="146" w:lineRule="exact" w:before="13"/>
              <w:ind w:left="227"/>
              <w:rPr>
                <w:sz w:val="13"/>
              </w:rPr>
            </w:pPr>
            <w:r>
              <w:rPr>
                <w:color w:val="231F20"/>
                <w:sz w:val="13"/>
              </w:rPr>
              <w:t>Furniture,</w:t>
            </w:r>
            <w:r>
              <w:rPr>
                <w:color w:val="231F20"/>
                <w:spacing w:val="-2"/>
                <w:sz w:val="13"/>
              </w:rPr>
              <w:t> </w:t>
            </w:r>
            <w:r>
              <w:rPr>
                <w:color w:val="231F20"/>
                <w:sz w:val="13"/>
              </w:rPr>
              <w:t>fixtures,</w:t>
            </w:r>
            <w:r>
              <w:rPr>
                <w:color w:val="231F20"/>
                <w:spacing w:val="-1"/>
                <w:sz w:val="13"/>
              </w:rPr>
              <w:t> </w:t>
            </w:r>
            <w:r>
              <w:rPr>
                <w:color w:val="231F20"/>
                <w:sz w:val="13"/>
              </w:rPr>
              <w:t>and</w:t>
            </w:r>
            <w:r>
              <w:rPr>
                <w:color w:val="231F20"/>
                <w:spacing w:val="-1"/>
                <w:sz w:val="13"/>
              </w:rPr>
              <w:t> </w:t>
            </w:r>
            <w:r>
              <w:rPr>
                <w:color w:val="231F20"/>
                <w:spacing w:val="-2"/>
                <w:sz w:val="13"/>
              </w:rPr>
              <w:t>equipment</w:t>
            </w:r>
          </w:p>
        </w:tc>
        <w:tc>
          <w:tcPr>
            <w:tcW w:w="1082" w:type="dxa"/>
          </w:tcPr>
          <w:p>
            <w:pPr>
              <w:pStyle w:val="TableParagraph"/>
              <w:spacing w:line="146" w:lineRule="exact" w:before="13"/>
              <w:ind w:right="74"/>
              <w:jc w:val="right"/>
              <w:rPr>
                <w:sz w:val="13"/>
              </w:rPr>
            </w:pPr>
            <w:r>
              <w:rPr>
                <w:color w:val="231F20"/>
                <w:spacing w:val="-2"/>
                <w:sz w:val="13"/>
              </w:rPr>
              <w:t>54,551,838</w:t>
            </w:r>
          </w:p>
        </w:tc>
        <w:tc>
          <w:tcPr>
            <w:tcW w:w="193" w:type="dxa"/>
          </w:tcPr>
          <w:p>
            <w:pPr>
              <w:pStyle w:val="TableParagraph"/>
              <w:rPr>
                <w:rFonts w:ascii="Times New Roman"/>
                <w:sz w:val="12"/>
              </w:rPr>
            </w:pPr>
          </w:p>
        </w:tc>
        <w:tc>
          <w:tcPr>
            <w:tcW w:w="1083" w:type="dxa"/>
            <w:gridSpan w:val="2"/>
          </w:tcPr>
          <w:p>
            <w:pPr>
              <w:pStyle w:val="TableParagraph"/>
              <w:spacing w:line="146" w:lineRule="exact" w:before="13"/>
              <w:ind w:left="420"/>
              <w:rPr>
                <w:sz w:val="13"/>
              </w:rPr>
            </w:pPr>
            <w:r>
              <w:rPr>
                <w:color w:val="231F20"/>
                <w:spacing w:val="-2"/>
                <w:sz w:val="13"/>
              </w:rPr>
              <w:t>2,126,042</w:t>
            </w:r>
          </w:p>
        </w:tc>
        <w:tc>
          <w:tcPr>
            <w:tcW w:w="191" w:type="dxa"/>
          </w:tcPr>
          <w:p>
            <w:pPr>
              <w:pStyle w:val="TableParagraph"/>
              <w:rPr>
                <w:rFonts w:ascii="Times New Roman"/>
                <w:sz w:val="12"/>
              </w:rPr>
            </w:pPr>
          </w:p>
        </w:tc>
        <w:tc>
          <w:tcPr>
            <w:tcW w:w="2353" w:type="dxa"/>
            <w:gridSpan w:val="4"/>
          </w:tcPr>
          <w:p>
            <w:pPr>
              <w:pStyle w:val="TableParagraph"/>
              <w:tabs>
                <w:tab w:pos="1649" w:val="left" w:leader="none"/>
              </w:tabs>
              <w:spacing w:line="146" w:lineRule="exact" w:before="13"/>
              <w:ind w:left="961"/>
              <w:rPr>
                <w:sz w:val="13"/>
              </w:rPr>
            </w:pPr>
            <w:r>
              <w:rPr>
                <w:color w:val="231F20"/>
                <w:spacing w:val="-10"/>
                <w:sz w:val="13"/>
              </w:rPr>
              <w:t>-</w:t>
            </w:r>
            <w:r>
              <w:rPr>
                <w:color w:val="231F20"/>
                <w:sz w:val="13"/>
              </w:rPr>
              <w:tab/>
            </w:r>
            <w:r>
              <w:rPr>
                <w:color w:val="231F20"/>
                <w:spacing w:val="-2"/>
                <w:sz w:val="13"/>
              </w:rPr>
              <w:t>(1,430,259)</w:t>
            </w:r>
          </w:p>
        </w:tc>
        <w:tc>
          <w:tcPr>
            <w:tcW w:w="190" w:type="dxa"/>
          </w:tcPr>
          <w:p>
            <w:pPr>
              <w:pStyle w:val="TableParagraph"/>
              <w:rPr>
                <w:rFonts w:ascii="Times New Roman"/>
                <w:sz w:val="12"/>
              </w:rPr>
            </w:pPr>
          </w:p>
        </w:tc>
        <w:tc>
          <w:tcPr>
            <w:tcW w:w="1100" w:type="dxa"/>
          </w:tcPr>
          <w:p>
            <w:pPr>
              <w:pStyle w:val="TableParagraph"/>
              <w:spacing w:line="146" w:lineRule="exact" w:before="13"/>
              <w:ind w:right="89"/>
              <w:jc w:val="right"/>
              <w:rPr>
                <w:sz w:val="13"/>
              </w:rPr>
            </w:pPr>
            <w:r>
              <w:rPr>
                <w:color w:val="231F20"/>
                <w:spacing w:val="-2"/>
                <w:sz w:val="13"/>
              </w:rPr>
              <w:t>55,247,621</w:t>
            </w:r>
          </w:p>
        </w:tc>
      </w:tr>
      <w:tr>
        <w:trPr>
          <w:trHeight w:val="179" w:hRule="atLeast"/>
        </w:trPr>
        <w:tc>
          <w:tcPr>
            <w:tcW w:w="3236" w:type="dxa"/>
          </w:tcPr>
          <w:p>
            <w:pPr>
              <w:pStyle w:val="TableParagraph"/>
              <w:spacing w:line="146" w:lineRule="exact" w:before="13"/>
              <w:ind w:left="227"/>
              <w:rPr>
                <w:sz w:val="13"/>
              </w:rPr>
            </w:pPr>
            <w:r>
              <w:rPr>
                <w:color w:val="231F20"/>
                <w:spacing w:val="-2"/>
                <w:sz w:val="13"/>
              </w:rPr>
              <w:t>Software</w:t>
            </w:r>
          </w:p>
        </w:tc>
        <w:tc>
          <w:tcPr>
            <w:tcW w:w="1082" w:type="dxa"/>
          </w:tcPr>
          <w:p>
            <w:pPr>
              <w:pStyle w:val="TableParagraph"/>
              <w:spacing w:line="146" w:lineRule="exact" w:before="13"/>
              <w:ind w:right="72"/>
              <w:jc w:val="right"/>
              <w:rPr>
                <w:sz w:val="13"/>
              </w:rPr>
            </w:pPr>
            <w:r>
              <w:rPr>
                <w:color w:val="231F20"/>
                <w:spacing w:val="-2"/>
                <w:sz w:val="13"/>
              </w:rPr>
              <w:t>1,780,118</w:t>
            </w:r>
          </w:p>
        </w:tc>
        <w:tc>
          <w:tcPr>
            <w:tcW w:w="193" w:type="dxa"/>
          </w:tcPr>
          <w:p>
            <w:pPr>
              <w:pStyle w:val="TableParagraph"/>
              <w:rPr>
                <w:rFonts w:ascii="Times New Roman"/>
                <w:sz w:val="12"/>
              </w:rPr>
            </w:pPr>
          </w:p>
        </w:tc>
        <w:tc>
          <w:tcPr>
            <w:tcW w:w="1083" w:type="dxa"/>
            <w:gridSpan w:val="2"/>
          </w:tcPr>
          <w:p>
            <w:pPr>
              <w:pStyle w:val="TableParagraph"/>
              <w:spacing w:line="146" w:lineRule="exact" w:before="13"/>
              <w:ind w:right="74"/>
              <w:jc w:val="right"/>
              <w:rPr>
                <w:sz w:val="13"/>
              </w:rPr>
            </w:pPr>
            <w:r>
              <w:rPr>
                <w:color w:val="231F20"/>
                <w:w w:val="101"/>
                <w:sz w:val="13"/>
              </w:rPr>
              <w:t>-</w:t>
            </w:r>
          </w:p>
        </w:tc>
        <w:tc>
          <w:tcPr>
            <w:tcW w:w="191" w:type="dxa"/>
          </w:tcPr>
          <w:p>
            <w:pPr>
              <w:pStyle w:val="TableParagraph"/>
              <w:rPr>
                <w:rFonts w:ascii="Times New Roman"/>
                <w:sz w:val="12"/>
              </w:rPr>
            </w:pPr>
          </w:p>
        </w:tc>
        <w:tc>
          <w:tcPr>
            <w:tcW w:w="2353" w:type="dxa"/>
            <w:gridSpan w:val="4"/>
          </w:tcPr>
          <w:p>
            <w:pPr>
              <w:pStyle w:val="TableParagraph"/>
              <w:tabs>
                <w:tab w:pos="2235" w:val="left" w:leader="none"/>
              </w:tabs>
              <w:spacing w:line="146" w:lineRule="exact" w:before="13"/>
              <w:ind w:left="962"/>
              <w:rPr>
                <w:sz w:val="13"/>
              </w:rPr>
            </w:pPr>
            <w:r>
              <w:rPr>
                <w:color w:val="231F20"/>
                <w:spacing w:val="-10"/>
                <w:sz w:val="13"/>
              </w:rPr>
              <w:t>-</w:t>
            </w:r>
            <w:r>
              <w:rPr>
                <w:color w:val="231F20"/>
                <w:sz w:val="13"/>
              </w:rPr>
              <w:tab/>
            </w:r>
            <w:r>
              <w:rPr>
                <w:color w:val="231F20"/>
                <w:spacing w:val="-10"/>
                <w:sz w:val="13"/>
              </w:rPr>
              <w:t>-</w:t>
            </w:r>
          </w:p>
        </w:tc>
        <w:tc>
          <w:tcPr>
            <w:tcW w:w="190" w:type="dxa"/>
          </w:tcPr>
          <w:p>
            <w:pPr>
              <w:pStyle w:val="TableParagraph"/>
              <w:rPr>
                <w:rFonts w:ascii="Times New Roman"/>
                <w:sz w:val="12"/>
              </w:rPr>
            </w:pPr>
          </w:p>
        </w:tc>
        <w:tc>
          <w:tcPr>
            <w:tcW w:w="1100" w:type="dxa"/>
          </w:tcPr>
          <w:p>
            <w:pPr>
              <w:pStyle w:val="TableParagraph"/>
              <w:spacing w:line="146" w:lineRule="exact" w:before="13"/>
              <w:ind w:right="90"/>
              <w:jc w:val="right"/>
              <w:rPr>
                <w:sz w:val="13"/>
              </w:rPr>
            </w:pPr>
            <w:r>
              <w:rPr>
                <w:color w:val="231F20"/>
                <w:spacing w:val="-2"/>
                <w:sz w:val="13"/>
              </w:rPr>
              <w:t>1,780,118</w:t>
            </w:r>
          </w:p>
        </w:tc>
      </w:tr>
      <w:tr>
        <w:trPr>
          <w:trHeight w:val="179" w:hRule="atLeast"/>
        </w:trPr>
        <w:tc>
          <w:tcPr>
            <w:tcW w:w="3236" w:type="dxa"/>
          </w:tcPr>
          <w:p>
            <w:pPr>
              <w:pStyle w:val="TableParagraph"/>
              <w:spacing w:line="146" w:lineRule="exact" w:before="13"/>
              <w:ind w:left="226"/>
              <w:rPr>
                <w:sz w:val="13"/>
              </w:rPr>
            </w:pPr>
            <w:r>
              <w:rPr>
                <w:color w:val="231F20"/>
                <w:sz w:val="13"/>
              </w:rPr>
              <w:t>Library </w:t>
            </w:r>
            <w:r>
              <w:rPr>
                <w:color w:val="231F20"/>
                <w:spacing w:val="-2"/>
                <w:sz w:val="13"/>
              </w:rPr>
              <w:t>materials</w:t>
            </w:r>
          </w:p>
        </w:tc>
        <w:tc>
          <w:tcPr>
            <w:tcW w:w="1082" w:type="dxa"/>
          </w:tcPr>
          <w:p>
            <w:pPr>
              <w:pStyle w:val="TableParagraph"/>
              <w:spacing w:line="146" w:lineRule="exact" w:before="13"/>
              <w:ind w:right="73"/>
              <w:jc w:val="right"/>
              <w:rPr>
                <w:sz w:val="13"/>
              </w:rPr>
            </w:pPr>
            <w:r>
              <w:rPr>
                <w:color w:val="231F20"/>
                <w:spacing w:val="-2"/>
                <w:sz w:val="13"/>
              </w:rPr>
              <w:t>12,114,190</w:t>
            </w:r>
          </w:p>
        </w:tc>
        <w:tc>
          <w:tcPr>
            <w:tcW w:w="193" w:type="dxa"/>
          </w:tcPr>
          <w:p>
            <w:pPr>
              <w:pStyle w:val="TableParagraph"/>
              <w:rPr>
                <w:rFonts w:ascii="Times New Roman"/>
                <w:sz w:val="12"/>
              </w:rPr>
            </w:pPr>
          </w:p>
        </w:tc>
        <w:tc>
          <w:tcPr>
            <w:tcW w:w="1083" w:type="dxa"/>
            <w:gridSpan w:val="2"/>
          </w:tcPr>
          <w:p>
            <w:pPr>
              <w:pStyle w:val="TableParagraph"/>
              <w:spacing w:line="146" w:lineRule="exact" w:before="13"/>
              <w:ind w:left="677"/>
              <w:rPr>
                <w:sz w:val="13"/>
              </w:rPr>
            </w:pPr>
            <w:r>
              <w:rPr>
                <w:color w:val="231F20"/>
                <w:spacing w:val="-2"/>
                <w:sz w:val="13"/>
              </w:rPr>
              <w:t>9,688</w:t>
            </w:r>
          </w:p>
        </w:tc>
        <w:tc>
          <w:tcPr>
            <w:tcW w:w="191" w:type="dxa"/>
          </w:tcPr>
          <w:p>
            <w:pPr>
              <w:pStyle w:val="TableParagraph"/>
              <w:rPr>
                <w:rFonts w:ascii="Times New Roman"/>
                <w:sz w:val="12"/>
              </w:rPr>
            </w:pPr>
          </w:p>
        </w:tc>
        <w:tc>
          <w:tcPr>
            <w:tcW w:w="2353" w:type="dxa"/>
            <w:gridSpan w:val="4"/>
          </w:tcPr>
          <w:p>
            <w:pPr>
              <w:pStyle w:val="TableParagraph"/>
              <w:tabs>
                <w:tab w:pos="1905" w:val="left" w:leader="none"/>
              </w:tabs>
              <w:spacing w:line="146" w:lineRule="exact" w:before="13"/>
              <w:ind w:left="961"/>
              <w:rPr>
                <w:sz w:val="13"/>
              </w:rPr>
            </w:pPr>
            <w:r>
              <w:rPr>
                <w:color w:val="231F20"/>
                <w:spacing w:val="-10"/>
                <w:sz w:val="13"/>
              </w:rPr>
              <w:t>-</w:t>
            </w:r>
            <w:r>
              <w:rPr>
                <w:color w:val="231F20"/>
                <w:sz w:val="13"/>
              </w:rPr>
              <w:tab/>
            </w:r>
            <w:r>
              <w:rPr>
                <w:color w:val="231F20"/>
                <w:spacing w:val="-2"/>
                <w:sz w:val="13"/>
              </w:rPr>
              <w:t>(5,953)</w:t>
            </w:r>
          </w:p>
        </w:tc>
        <w:tc>
          <w:tcPr>
            <w:tcW w:w="190" w:type="dxa"/>
          </w:tcPr>
          <w:p>
            <w:pPr>
              <w:pStyle w:val="TableParagraph"/>
              <w:rPr>
                <w:rFonts w:ascii="Times New Roman"/>
                <w:sz w:val="12"/>
              </w:rPr>
            </w:pPr>
          </w:p>
        </w:tc>
        <w:tc>
          <w:tcPr>
            <w:tcW w:w="1100" w:type="dxa"/>
          </w:tcPr>
          <w:p>
            <w:pPr>
              <w:pStyle w:val="TableParagraph"/>
              <w:spacing w:line="146" w:lineRule="exact" w:before="13"/>
              <w:ind w:right="89"/>
              <w:jc w:val="right"/>
              <w:rPr>
                <w:sz w:val="13"/>
              </w:rPr>
            </w:pPr>
            <w:r>
              <w:rPr>
                <w:color w:val="231F20"/>
                <w:spacing w:val="-2"/>
                <w:sz w:val="13"/>
              </w:rPr>
              <w:t>12,117,925</w:t>
            </w:r>
          </w:p>
        </w:tc>
      </w:tr>
      <w:tr>
        <w:trPr>
          <w:trHeight w:val="162" w:hRule="atLeast"/>
        </w:trPr>
        <w:tc>
          <w:tcPr>
            <w:tcW w:w="3236" w:type="dxa"/>
          </w:tcPr>
          <w:p>
            <w:pPr>
              <w:pStyle w:val="TableParagraph"/>
              <w:spacing w:line="129" w:lineRule="exact" w:before="13"/>
              <w:ind w:left="227"/>
              <w:rPr>
                <w:sz w:val="13"/>
              </w:rPr>
            </w:pPr>
            <w:r>
              <w:rPr>
                <w:color w:val="231F20"/>
                <w:sz w:val="13"/>
              </w:rPr>
              <w:t>Right-to-use</w:t>
            </w:r>
            <w:r>
              <w:rPr>
                <w:color w:val="231F20"/>
                <w:spacing w:val="-2"/>
                <w:sz w:val="13"/>
              </w:rPr>
              <w:t> assets</w:t>
            </w:r>
          </w:p>
        </w:tc>
        <w:tc>
          <w:tcPr>
            <w:tcW w:w="1082" w:type="dxa"/>
            <w:tcBorders>
              <w:bottom w:val="single" w:sz="12" w:space="0" w:color="231F20"/>
            </w:tcBorders>
          </w:tcPr>
          <w:p>
            <w:pPr>
              <w:pStyle w:val="TableParagraph"/>
              <w:spacing w:line="129" w:lineRule="exact" w:before="13"/>
              <w:ind w:right="73"/>
              <w:jc w:val="right"/>
              <w:rPr>
                <w:sz w:val="13"/>
              </w:rPr>
            </w:pPr>
            <w:r>
              <w:rPr>
                <w:color w:val="231F20"/>
                <w:spacing w:val="-2"/>
                <w:sz w:val="13"/>
              </w:rPr>
              <w:t>2,413,760</w:t>
            </w:r>
          </w:p>
        </w:tc>
        <w:tc>
          <w:tcPr>
            <w:tcW w:w="193" w:type="dxa"/>
          </w:tcPr>
          <w:p>
            <w:pPr>
              <w:pStyle w:val="TableParagraph"/>
              <w:rPr>
                <w:rFonts w:ascii="Times New Roman"/>
                <w:sz w:val="10"/>
              </w:rPr>
            </w:pPr>
          </w:p>
        </w:tc>
        <w:tc>
          <w:tcPr>
            <w:tcW w:w="1083" w:type="dxa"/>
            <w:gridSpan w:val="2"/>
            <w:tcBorders>
              <w:bottom w:val="single" w:sz="12" w:space="0" w:color="231F20"/>
            </w:tcBorders>
          </w:tcPr>
          <w:p>
            <w:pPr>
              <w:pStyle w:val="TableParagraph"/>
              <w:spacing w:line="129" w:lineRule="exact" w:before="13"/>
              <w:ind w:right="74"/>
              <w:jc w:val="right"/>
              <w:rPr>
                <w:sz w:val="13"/>
              </w:rPr>
            </w:pPr>
            <w:r>
              <w:rPr>
                <w:color w:val="231F20"/>
                <w:w w:val="101"/>
                <w:sz w:val="13"/>
              </w:rPr>
              <w:t>-</w:t>
            </w:r>
          </w:p>
        </w:tc>
        <w:tc>
          <w:tcPr>
            <w:tcW w:w="191" w:type="dxa"/>
          </w:tcPr>
          <w:p>
            <w:pPr>
              <w:pStyle w:val="TableParagraph"/>
              <w:rPr>
                <w:rFonts w:ascii="Times New Roman"/>
                <w:sz w:val="10"/>
              </w:rPr>
            </w:pPr>
          </w:p>
        </w:tc>
        <w:tc>
          <w:tcPr>
            <w:tcW w:w="2353" w:type="dxa"/>
            <w:gridSpan w:val="4"/>
          </w:tcPr>
          <w:p>
            <w:pPr>
              <w:pStyle w:val="TableParagraph"/>
              <w:tabs>
                <w:tab w:pos="2235" w:val="left" w:leader="none"/>
              </w:tabs>
              <w:spacing w:line="129" w:lineRule="exact" w:before="13"/>
              <w:ind w:left="962"/>
              <w:rPr>
                <w:sz w:val="13"/>
              </w:rPr>
            </w:pPr>
            <w:r>
              <w:rPr>
                <w:color w:val="231F20"/>
                <w:spacing w:val="-10"/>
                <w:sz w:val="13"/>
              </w:rPr>
              <w:t>-</w:t>
            </w:r>
            <w:r>
              <w:rPr>
                <w:color w:val="231F20"/>
                <w:sz w:val="13"/>
              </w:rPr>
              <w:tab/>
            </w:r>
            <w:r>
              <w:rPr>
                <w:color w:val="231F20"/>
                <w:spacing w:val="-10"/>
                <w:sz w:val="13"/>
              </w:rPr>
              <w:t>-</w:t>
            </w:r>
          </w:p>
        </w:tc>
        <w:tc>
          <w:tcPr>
            <w:tcW w:w="190" w:type="dxa"/>
          </w:tcPr>
          <w:p>
            <w:pPr>
              <w:pStyle w:val="TableParagraph"/>
              <w:rPr>
                <w:rFonts w:ascii="Times New Roman"/>
                <w:sz w:val="10"/>
              </w:rPr>
            </w:pPr>
          </w:p>
        </w:tc>
        <w:tc>
          <w:tcPr>
            <w:tcW w:w="1100" w:type="dxa"/>
            <w:tcBorders>
              <w:bottom w:val="single" w:sz="12" w:space="0" w:color="231F20"/>
            </w:tcBorders>
          </w:tcPr>
          <w:p>
            <w:pPr>
              <w:pStyle w:val="TableParagraph"/>
              <w:spacing w:line="129" w:lineRule="exact" w:before="13"/>
              <w:ind w:right="90"/>
              <w:jc w:val="right"/>
              <w:rPr>
                <w:sz w:val="13"/>
              </w:rPr>
            </w:pPr>
            <w:r>
              <w:rPr>
                <w:color w:val="231F20"/>
                <w:spacing w:val="-2"/>
                <w:sz w:val="13"/>
              </w:rPr>
              <w:t>2,413,760</w:t>
            </w:r>
          </w:p>
        </w:tc>
      </w:tr>
      <w:tr>
        <w:trPr>
          <w:trHeight w:val="314" w:hRule="atLeast"/>
        </w:trPr>
        <w:tc>
          <w:tcPr>
            <w:tcW w:w="3236" w:type="dxa"/>
          </w:tcPr>
          <w:p>
            <w:pPr>
              <w:pStyle w:val="TableParagraph"/>
              <w:spacing w:before="9"/>
              <w:rPr>
                <w:sz w:val="13"/>
              </w:rPr>
            </w:pPr>
          </w:p>
          <w:p>
            <w:pPr>
              <w:pStyle w:val="TableParagraph"/>
              <w:spacing w:line="135" w:lineRule="exact"/>
              <w:ind w:left="420"/>
              <w:rPr>
                <w:sz w:val="13"/>
              </w:rPr>
            </w:pPr>
            <w:r>
              <w:rPr>
                <w:color w:val="231F20"/>
                <w:sz w:val="13"/>
              </w:rPr>
              <w:t>Total</w:t>
            </w:r>
            <w:r>
              <w:rPr>
                <w:color w:val="231F20"/>
                <w:spacing w:val="-1"/>
                <w:sz w:val="13"/>
              </w:rPr>
              <w:t> </w:t>
            </w:r>
            <w:r>
              <w:rPr>
                <w:color w:val="231F20"/>
                <w:sz w:val="13"/>
              </w:rPr>
              <w:t>depreciating</w:t>
            </w:r>
            <w:r>
              <w:rPr>
                <w:color w:val="231F20"/>
                <w:spacing w:val="-1"/>
                <w:sz w:val="13"/>
              </w:rPr>
              <w:t> </w:t>
            </w:r>
            <w:r>
              <w:rPr>
                <w:color w:val="231F20"/>
                <w:sz w:val="13"/>
              </w:rPr>
              <w:t>capital </w:t>
            </w:r>
            <w:r>
              <w:rPr>
                <w:color w:val="231F20"/>
                <w:spacing w:val="-2"/>
                <w:sz w:val="13"/>
              </w:rPr>
              <w:t>assets</w:t>
            </w:r>
          </w:p>
        </w:tc>
        <w:tc>
          <w:tcPr>
            <w:tcW w:w="1082" w:type="dxa"/>
            <w:tcBorders>
              <w:top w:val="single" w:sz="12" w:space="0" w:color="231F20"/>
              <w:bottom w:val="single" w:sz="8" w:space="0" w:color="231F20"/>
            </w:tcBorders>
          </w:tcPr>
          <w:p>
            <w:pPr>
              <w:pStyle w:val="TableParagraph"/>
              <w:spacing w:before="9"/>
              <w:rPr>
                <w:sz w:val="13"/>
              </w:rPr>
            </w:pPr>
          </w:p>
          <w:p>
            <w:pPr>
              <w:pStyle w:val="TableParagraph"/>
              <w:spacing w:line="135" w:lineRule="exact"/>
              <w:ind w:right="73"/>
              <w:jc w:val="right"/>
              <w:rPr>
                <w:sz w:val="13"/>
              </w:rPr>
            </w:pPr>
            <w:r>
              <w:rPr>
                <w:color w:val="231F20"/>
                <w:sz w:val="13"/>
              </w:rPr>
              <w:t>$</w:t>
            </w:r>
            <w:r>
              <w:rPr>
                <w:color w:val="231F20"/>
                <w:spacing w:val="75"/>
                <w:w w:val="150"/>
                <w:sz w:val="13"/>
              </w:rPr>
              <w:t> </w:t>
            </w:r>
            <w:r>
              <w:rPr>
                <w:color w:val="231F20"/>
                <w:spacing w:val="-2"/>
                <w:sz w:val="13"/>
              </w:rPr>
              <w:t>335,265,680</w:t>
            </w:r>
          </w:p>
        </w:tc>
        <w:tc>
          <w:tcPr>
            <w:tcW w:w="193" w:type="dxa"/>
          </w:tcPr>
          <w:p>
            <w:pPr>
              <w:pStyle w:val="TableParagraph"/>
              <w:rPr>
                <w:rFonts w:ascii="Times New Roman"/>
                <w:sz w:val="14"/>
              </w:rPr>
            </w:pPr>
          </w:p>
        </w:tc>
        <w:tc>
          <w:tcPr>
            <w:tcW w:w="1083" w:type="dxa"/>
            <w:gridSpan w:val="2"/>
            <w:tcBorders>
              <w:top w:val="single" w:sz="12" w:space="0" w:color="231F20"/>
              <w:bottom w:val="single" w:sz="8" w:space="0" w:color="231F20"/>
            </w:tcBorders>
          </w:tcPr>
          <w:p>
            <w:pPr>
              <w:pStyle w:val="TableParagraph"/>
              <w:spacing w:before="9"/>
              <w:rPr>
                <w:sz w:val="13"/>
              </w:rPr>
            </w:pPr>
          </w:p>
          <w:p>
            <w:pPr>
              <w:pStyle w:val="TableParagraph"/>
              <w:tabs>
                <w:tab w:pos="420" w:val="left" w:leader="none"/>
              </w:tabs>
              <w:spacing w:line="135" w:lineRule="exact"/>
              <w:ind w:left="69"/>
              <w:rPr>
                <w:sz w:val="13"/>
              </w:rPr>
            </w:pPr>
            <w:r>
              <w:rPr>
                <w:color w:val="231F20"/>
                <w:spacing w:val="-10"/>
                <w:sz w:val="13"/>
              </w:rPr>
              <w:t>$</w:t>
            </w:r>
            <w:r>
              <w:rPr>
                <w:color w:val="231F20"/>
                <w:sz w:val="13"/>
              </w:rPr>
              <w:tab/>
            </w:r>
            <w:r>
              <w:rPr>
                <w:color w:val="231F20"/>
                <w:spacing w:val="-2"/>
                <w:sz w:val="13"/>
              </w:rPr>
              <w:t>3,135,730</w:t>
            </w:r>
          </w:p>
        </w:tc>
        <w:tc>
          <w:tcPr>
            <w:tcW w:w="191" w:type="dxa"/>
          </w:tcPr>
          <w:p>
            <w:pPr>
              <w:pStyle w:val="TableParagraph"/>
              <w:rPr>
                <w:rFonts w:ascii="Times New Roman"/>
                <w:sz w:val="14"/>
              </w:rPr>
            </w:pPr>
          </w:p>
        </w:tc>
        <w:tc>
          <w:tcPr>
            <w:tcW w:w="2353" w:type="dxa"/>
            <w:gridSpan w:val="4"/>
          </w:tcPr>
          <w:p>
            <w:pPr>
              <w:pStyle w:val="TableParagraph"/>
              <w:spacing w:before="9"/>
              <w:rPr>
                <w:sz w:val="13"/>
              </w:rPr>
            </w:pPr>
          </w:p>
          <w:p>
            <w:pPr>
              <w:pStyle w:val="TableParagraph"/>
              <w:tabs>
                <w:tab w:pos="419" w:val="left" w:leader="none"/>
                <w:tab w:pos="1341" w:val="left" w:leader="none"/>
                <w:tab w:pos="1649" w:val="left" w:leader="none"/>
              </w:tabs>
              <w:spacing w:line="135" w:lineRule="exact"/>
              <w:ind w:left="68"/>
              <w:rPr>
                <w:sz w:val="13"/>
              </w:rPr>
            </w:pPr>
            <w:r>
              <w:rPr>
                <w:color w:val="231F20"/>
                <w:spacing w:val="-10"/>
                <w:sz w:val="13"/>
              </w:rPr>
              <w:t>$</w:t>
            </w:r>
            <w:r>
              <w:rPr>
                <w:color w:val="231F20"/>
                <w:sz w:val="13"/>
              </w:rPr>
              <w:tab/>
            </w:r>
            <w:r>
              <w:rPr>
                <w:color w:val="231F20"/>
                <w:spacing w:val="-2"/>
                <w:sz w:val="13"/>
              </w:rPr>
              <w:t>8,814,255</w:t>
            </w:r>
            <w:r>
              <w:rPr>
                <w:color w:val="231F20"/>
                <w:sz w:val="13"/>
              </w:rPr>
              <w:tab/>
            </w:r>
            <w:r>
              <w:rPr>
                <w:color w:val="231F20"/>
                <w:spacing w:val="-10"/>
                <w:sz w:val="13"/>
              </w:rPr>
              <w:t>$</w:t>
            </w:r>
            <w:r>
              <w:rPr>
                <w:color w:val="231F20"/>
                <w:sz w:val="13"/>
              </w:rPr>
              <w:tab/>
            </w:r>
            <w:r>
              <w:rPr>
                <w:color w:val="231F20"/>
                <w:spacing w:val="-2"/>
                <w:sz w:val="13"/>
              </w:rPr>
              <w:t>(1,436,212)</w:t>
            </w:r>
          </w:p>
        </w:tc>
        <w:tc>
          <w:tcPr>
            <w:tcW w:w="190" w:type="dxa"/>
          </w:tcPr>
          <w:p>
            <w:pPr>
              <w:pStyle w:val="TableParagraph"/>
              <w:rPr>
                <w:rFonts w:ascii="Times New Roman"/>
                <w:sz w:val="14"/>
              </w:rPr>
            </w:pPr>
          </w:p>
        </w:tc>
        <w:tc>
          <w:tcPr>
            <w:tcW w:w="1100" w:type="dxa"/>
            <w:tcBorders>
              <w:top w:val="single" w:sz="12" w:space="0" w:color="231F20"/>
              <w:bottom w:val="single" w:sz="8" w:space="0" w:color="231F20"/>
            </w:tcBorders>
          </w:tcPr>
          <w:p>
            <w:pPr>
              <w:pStyle w:val="TableParagraph"/>
              <w:spacing w:before="9"/>
              <w:rPr>
                <w:sz w:val="13"/>
              </w:rPr>
            </w:pPr>
          </w:p>
          <w:p>
            <w:pPr>
              <w:pStyle w:val="TableParagraph"/>
              <w:spacing w:line="135" w:lineRule="exact"/>
              <w:ind w:right="89"/>
              <w:jc w:val="right"/>
              <w:rPr>
                <w:sz w:val="13"/>
              </w:rPr>
            </w:pPr>
            <w:r>
              <w:rPr>
                <w:color w:val="231F20"/>
                <w:sz w:val="13"/>
              </w:rPr>
              <w:t>$</w:t>
            </w:r>
            <w:r>
              <w:rPr>
                <w:color w:val="231F20"/>
                <w:spacing w:val="75"/>
                <w:w w:val="150"/>
                <w:sz w:val="13"/>
              </w:rPr>
              <w:t> </w:t>
            </w:r>
            <w:r>
              <w:rPr>
                <w:color w:val="231F20"/>
                <w:spacing w:val="-2"/>
                <w:sz w:val="13"/>
              </w:rPr>
              <w:t>345,779,453</w:t>
            </w:r>
          </w:p>
        </w:tc>
      </w:tr>
      <w:tr>
        <w:trPr>
          <w:trHeight w:val="19" w:hRule="atLeast"/>
        </w:trPr>
        <w:tc>
          <w:tcPr>
            <w:tcW w:w="3236" w:type="dxa"/>
          </w:tcPr>
          <w:p>
            <w:pPr>
              <w:pStyle w:val="TableParagraph"/>
              <w:rPr>
                <w:rFonts w:ascii="Times New Roman"/>
                <w:sz w:val="2"/>
              </w:rPr>
            </w:pPr>
          </w:p>
        </w:tc>
        <w:tc>
          <w:tcPr>
            <w:tcW w:w="1082" w:type="dxa"/>
            <w:tcBorders>
              <w:top w:val="single" w:sz="8" w:space="0" w:color="231F20"/>
              <w:bottom w:val="single" w:sz="8" w:space="0" w:color="231F20"/>
            </w:tcBorders>
          </w:tcPr>
          <w:p>
            <w:pPr>
              <w:pStyle w:val="TableParagraph"/>
              <w:rPr>
                <w:rFonts w:ascii="Times New Roman"/>
                <w:sz w:val="2"/>
              </w:rPr>
            </w:pPr>
          </w:p>
        </w:tc>
        <w:tc>
          <w:tcPr>
            <w:tcW w:w="193" w:type="dxa"/>
          </w:tcPr>
          <w:p>
            <w:pPr>
              <w:pStyle w:val="TableParagraph"/>
              <w:rPr>
                <w:rFonts w:ascii="Times New Roman"/>
                <w:sz w:val="2"/>
              </w:rPr>
            </w:pPr>
          </w:p>
        </w:tc>
        <w:tc>
          <w:tcPr>
            <w:tcW w:w="1083" w:type="dxa"/>
            <w:gridSpan w:val="2"/>
            <w:tcBorders>
              <w:top w:val="single" w:sz="8" w:space="0" w:color="231F20"/>
              <w:bottom w:val="single" w:sz="8" w:space="0" w:color="231F20"/>
            </w:tcBorders>
          </w:tcPr>
          <w:p>
            <w:pPr>
              <w:pStyle w:val="TableParagraph"/>
              <w:rPr>
                <w:rFonts w:ascii="Times New Roman"/>
                <w:sz w:val="2"/>
              </w:rPr>
            </w:pPr>
          </w:p>
        </w:tc>
        <w:tc>
          <w:tcPr>
            <w:tcW w:w="191" w:type="dxa"/>
          </w:tcPr>
          <w:p>
            <w:pPr>
              <w:pStyle w:val="TableParagraph"/>
              <w:rPr>
                <w:rFonts w:ascii="Times New Roman"/>
                <w:sz w:val="2"/>
              </w:rPr>
            </w:pPr>
          </w:p>
        </w:tc>
        <w:tc>
          <w:tcPr>
            <w:tcW w:w="2353" w:type="dxa"/>
            <w:gridSpan w:val="4"/>
          </w:tcPr>
          <w:p>
            <w:pPr>
              <w:pStyle w:val="TableParagraph"/>
              <w:spacing w:line="58" w:lineRule="exact"/>
              <w:ind w:left="-4" w:right="-72"/>
              <w:rPr>
                <w:sz w:val="5"/>
              </w:rPr>
            </w:pPr>
            <w:r>
              <w:rPr>
                <w:position w:val="0"/>
                <w:sz w:val="5"/>
              </w:rPr>
              <w:pict>
                <v:group style="width:54.15pt;height:2.95pt;mso-position-horizontal-relative:char;mso-position-vertical-relative:line" id="docshapegroup323" coordorigin="0,0" coordsize="1083,59">
                  <v:shape style="position:absolute;left:0;top:0;width:1083;height:59" id="docshape324" coordorigin="0,0" coordsize="1083,59" path="m1082,40l0,40,0,59,1082,59,1082,40xm1082,0l0,0,0,19,1082,19,1082,0xe" filled="true" fillcolor="#231f20" stroked="false">
                    <v:path arrowok="t"/>
                    <v:fill type="solid"/>
                  </v:shape>
                </v:group>
              </w:pict>
            </w:r>
            <w:r>
              <w:rPr>
                <w:position w:val="0"/>
                <w:sz w:val="5"/>
              </w:rPr>
            </w:r>
            <w:r>
              <w:rPr>
                <w:rFonts w:ascii="Times New Roman"/>
                <w:spacing w:val="155"/>
                <w:position w:val="0"/>
                <w:sz w:val="5"/>
              </w:rPr>
              <w:t> </w:t>
            </w:r>
            <w:r>
              <w:rPr>
                <w:spacing w:val="155"/>
                <w:position w:val="0"/>
                <w:sz w:val="5"/>
              </w:rPr>
              <w:pict>
                <v:group style="width:54.15pt;height:2.95pt;mso-position-horizontal-relative:char;mso-position-vertical-relative:line" id="docshapegroup325" coordorigin="0,0" coordsize="1083,59">
                  <v:shape style="position:absolute;left:0;top:0;width:1083;height:59" id="docshape326" coordorigin="0,0" coordsize="1083,59" path="m1082,40l0,40,0,59,1082,59,1082,40xm1082,0l0,0,0,19,1082,19,1082,0xe" filled="true" fillcolor="#231f20" stroked="false">
                    <v:path arrowok="t"/>
                    <v:fill type="solid"/>
                  </v:shape>
                </v:group>
              </w:pict>
            </w:r>
            <w:r>
              <w:rPr>
                <w:spacing w:val="155"/>
                <w:position w:val="0"/>
                <w:sz w:val="5"/>
              </w:rPr>
            </w:r>
          </w:p>
        </w:tc>
        <w:tc>
          <w:tcPr>
            <w:tcW w:w="190" w:type="dxa"/>
          </w:tcPr>
          <w:p>
            <w:pPr>
              <w:pStyle w:val="TableParagraph"/>
              <w:rPr>
                <w:rFonts w:ascii="Times New Roman"/>
                <w:sz w:val="2"/>
              </w:rPr>
            </w:pPr>
          </w:p>
        </w:tc>
        <w:tc>
          <w:tcPr>
            <w:tcW w:w="1100" w:type="dxa"/>
            <w:tcBorders>
              <w:top w:val="single" w:sz="8" w:space="0" w:color="231F20"/>
              <w:bottom w:val="single" w:sz="8" w:space="0" w:color="231F20"/>
            </w:tcBorders>
          </w:tcPr>
          <w:p>
            <w:pPr>
              <w:pStyle w:val="TableParagraph"/>
              <w:rPr>
                <w:rFonts w:ascii="Times New Roman"/>
                <w:sz w:val="2"/>
              </w:rPr>
            </w:pPr>
          </w:p>
        </w:tc>
      </w:tr>
      <w:tr>
        <w:trPr>
          <w:trHeight w:val="302" w:hRule="atLeast"/>
        </w:trPr>
        <w:tc>
          <w:tcPr>
            <w:tcW w:w="3236" w:type="dxa"/>
          </w:tcPr>
          <w:p>
            <w:pPr>
              <w:pStyle w:val="TableParagraph"/>
              <w:spacing w:before="9"/>
              <w:rPr>
                <w:sz w:val="11"/>
              </w:rPr>
            </w:pPr>
          </w:p>
          <w:p>
            <w:pPr>
              <w:pStyle w:val="TableParagraph"/>
              <w:spacing w:line="146" w:lineRule="exact"/>
              <w:ind w:left="35"/>
              <w:rPr>
                <w:sz w:val="13"/>
              </w:rPr>
            </w:pPr>
            <w:r>
              <w:rPr>
                <w:color w:val="231F20"/>
                <w:sz w:val="13"/>
              </w:rPr>
              <w:t>Accumulated</w:t>
            </w:r>
            <w:r>
              <w:rPr>
                <w:color w:val="231F20"/>
                <w:spacing w:val="-2"/>
                <w:sz w:val="13"/>
              </w:rPr>
              <w:t> </w:t>
            </w:r>
            <w:r>
              <w:rPr>
                <w:color w:val="231F20"/>
                <w:sz w:val="13"/>
              </w:rPr>
              <w:t>depreciation</w:t>
            </w:r>
            <w:r>
              <w:rPr>
                <w:color w:val="231F20"/>
                <w:spacing w:val="-1"/>
                <w:sz w:val="13"/>
              </w:rPr>
              <w:t> </w:t>
            </w:r>
            <w:r>
              <w:rPr>
                <w:color w:val="231F20"/>
                <w:sz w:val="13"/>
              </w:rPr>
              <w:t>and</w:t>
            </w:r>
            <w:r>
              <w:rPr>
                <w:color w:val="231F20"/>
                <w:spacing w:val="-3"/>
                <w:sz w:val="13"/>
              </w:rPr>
              <w:t> </w:t>
            </w:r>
            <w:r>
              <w:rPr>
                <w:color w:val="231F20"/>
                <w:spacing w:val="-2"/>
                <w:sz w:val="13"/>
              </w:rPr>
              <w:t>amortization</w:t>
            </w:r>
          </w:p>
        </w:tc>
        <w:tc>
          <w:tcPr>
            <w:tcW w:w="1082" w:type="dxa"/>
            <w:tcBorders>
              <w:top w:val="single" w:sz="8" w:space="0" w:color="231F20"/>
            </w:tcBorders>
          </w:tcPr>
          <w:p>
            <w:pPr>
              <w:pStyle w:val="TableParagraph"/>
              <w:rPr>
                <w:rFonts w:ascii="Times New Roman"/>
                <w:sz w:val="14"/>
              </w:rPr>
            </w:pPr>
          </w:p>
        </w:tc>
        <w:tc>
          <w:tcPr>
            <w:tcW w:w="193" w:type="dxa"/>
          </w:tcPr>
          <w:p>
            <w:pPr>
              <w:pStyle w:val="TableParagraph"/>
              <w:rPr>
                <w:rFonts w:ascii="Times New Roman"/>
                <w:sz w:val="14"/>
              </w:rPr>
            </w:pPr>
          </w:p>
        </w:tc>
        <w:tc>
          <w:tcPr>
            <w:tcW w:w="1083" w:type="dxa"/>
            <w:gridSpan w:val="2"/>
            <w:tcBorders>
              <w:top w:val="single" w:sz="8" w:space="0" w:color="231F20"/>
            </w:tcBorders>
          </w:tcPr>
          <w:p>
            <w:pPr>
              <w:pStyle w:val="TableParagraph"/>
              <w:rPr>
                <w:rFonts w:ascii="Times New Roman"/>
                <w:sz w:val="14"/>
              </w:rPr>
            </w:pPr>
          </w:p>
        </w:tc>
        <w:tc>
          <w:tcPr>
            <w:tcW w:w="191" w:type="dxa"/>
          </w:tcPr>
          <w:p>
            <w:pPr>
              <w:pStyle w:val="TableParagraph"/>
              <w:rPr>
                <w:rFonts w:ascii="Times New Roman"/>
                <w:sz w:val="14"/>
              </w:rPr>
            </w:pPr>
          </w:p>
        </w:tc>
        <w:tc>
          <w:tcPr>
            <w:tcW w:w="2353" w:type="dxa"/>
            <w:gridSpan w:val="4"/>
          </w:tcPr>
          <w:p>
            <w:pPr>
              <w:pStyle w:val="TableParagraph"/>
              <w:rPr>
                <w:rFonts w:ascii="Times New Roman"/>
                <w:sz w:val="14"/>
              </w:rPr>
            </w:pPr>
          </w:p>
        </w:tc>
        <w:tc>
          <w:tcPr>
            <w:tcW w:w="190" w:type="dxa"/>
          </w:tcPr>
          <w:p>
            <w:pPr>
              <w:pStyle w:val="TableParagraph"/>
              <w:rPr>
                <w:rFonts w:ascii="Times New Roman"/>
                <w:sz w:val="14"/>
              </w:rPr>
            </w:pPr>
          </w:p>
        </w:tc>
        <w:tc>
          <w:tcPr>
            <w:tcW w:w="1100" w:type="dxa"/>
            <w:tcBorders>
              <w:top w:val="single" w:sz="8" w:space="0" w:color="231F20"/>
            </w:tcBorders>
          </w:tcPr>
          <w:p>
            <w:pPr>
              <w:pStyle w:val="TableParagraph"/>
              <w:rPr>
                <w:rFonts w:ascii="Times New Roman"/>
                <w:sz w:val="14"/>
              </w:rPr>
            </w:pPr>
          </w:p>
        </w:tc>
      </w:tr>
      <w:tr>
        <w:trPr>
          <w:trHeight w:val="179" w:hRule="atLeast"/>
        </w:trPr>
        <w:tc>
          <w:tcPr>
            <w:tcW w:w="3236" w:type="dxa"/>
          </w:tcPr>
          <w:p>
            <w:pPr>
              <w:pStyle w:val="TableParagraph"/>
              <w:spacing w:line="146" w:lineRule="exact" w:before="14"/>
              <w:ind w:left="227"/>
              <w:rPr>
                <w:sz w:val="13"/>
              </w:rPr>
            </w:pPr>
            <w:r>
              <w:rPr>
                <w:color w:val="231F20"/>
                <w:sz w:val="13"/>
              </w:rPr>
              <w:t>Non-major</w:t>
            </w:r>
            <w:r>
              <w:rPr>
                <w:color w:val="231F20"/>
                <w:spacing w:val="-2"/>
                <w:sz w:val="13"/>
              </w:rPr>
              <w:t> </w:t>
            </w:r>
            <w:r>
              <w:rPr>
                <w:color w:val="231F20"/>
                <w:sz w:val="13"/>
              </w:rPr>
              <w:t>infrastructure</w:t>
            </w:r>
            <w:r>
              <w:rPr>
                <w:color w:val="231F20"/>
                <w:spacing w:val="-2"/>
                <w:sz w:val="13"/>
              </w:rPr>
              <w:t> networks</w:t>
            </w:r>
          </w:p>
        </w:tc>
        <w:tc>
          <w:tcPr>
            <w:tcW w:w="1082" w:type="dxa"/>
          </w:tcPr>
          <w:p>
            <w:pPr>
              <w:pStyle w:val="TableParagraph"/>
              <w:spacing w:line="146" w:lineRule="exact" w:before="14"/>
              <w:ind w:right="29"/>
              <w:jc w:val="right"/>
              <w:rPr>
                <w:sz w:val="13"/>
              </w:rPr>
            </w:pPr>
            <w:r>
              <w:rPr>
                <w:color w:val="231F20"/>
                <w:sz w:val="13"/>
              </w:rPr>
              <w:t>$</w:t>
            </w:r>
            <w:r>
              <w:rPr>
                <w:color w:val="231F20"/>
                <w:spacing w:val="43"/>
                <w:sz w:val="13"/>
              </w:rPr>
              <w:t>  </w:t>
            </w:r>
            <w:r>
              <w:rPr>
                <w:color w:val="231F20"/>
                <w:spacing w:val="-2"/>
                <w:sz w:val="13"/>
              </w:rPr>
              <w:t>(18,541,717)</w:t>
            </w:r>
          </w:p>
        </w:tc>
        <w:tc>
          <w:tcPr>
            <w:tcW w:w="193" w:type="dxa"/>
          </w:tcPr>
          <w:p>
            <w:pPr>
              <w:pStyle w:val="TableParagraph"/>
              <w:rPr>
                <w:rFonts w:ascii="Times New Roman"/>
                <w:sz w:val="12"/>
              </w:rPr>
            </w:pPr>
          </w:p>
        </w:tc>
        <w:tc>
          <w:tcPr>
            <w:tcW w:w="1083" w:type="dxa"/>
            <w:gridSpan w:val="2"/>
          </w:tcPr>
          <w:p>
            <w:pPr>
              <w:pStyle w:val="TableParagraph"/>
              <w:tabs>
                <w:tab w:pos="486" w:val="left" w:leader="none"/>
              </w:tabs>
              <w:spacing w:line="146" w:lineRule="exact" w:before="14"/>
              <w:ind w:left="69"/>
              <w:rPr>
                <w:sz w:val="13"/>
              </w:rPr>
            </w:pPr>
            <w:r>
              <w:rPr>
                <w:color w:val="231F20"/>
                <w:spacing w:val="-10"/>
                <w:sz w:val="13"/>
              </w:rPr>
              <w:t>$</w:t>
            </w:r>
            <w:r>
              <w:rPr>
                <w:color w:val="231F20"/>
                <w:sz w:val="13"/>
              </w:rPr>
              <w:tab/>
            </w:r>
            <w:r>
              <w:rPr>
                <w:color w:val="231F20"/>
                <w:spacing w:val="-2"/>
                <w:sz w:val="13"/>
              </w:rPr>
              <w:t>(932,977)</w:t>
            </w:r>
          </w:p>
        </w:tc>
        <w:tc>
          <w:tcPr>
            <w:tcW w:w="191" w:type="dxa"/>
          </w:tcPr>
          <w:p>
            <w:pPr>
              <w:pStyle w:val="TableParagraph"/>
              <w:rPr>
                <w:rFonts w:ascii="Times New Roman"/>
                <w:sz w:val="12"/>
              </w:rPr>
            </w:pPr>
          </w:p>
        </w:tc>
        <w:tc>
          <w:tcPr>
            <w:tcW w:w="2353" w:type="dxa"/>
            <w:gridSpan w:val="4"/>
          </w:tcPr>
          <w:p>
            <w:pPr>
              <w:pStyle w:val="TableParagraph"/>
              <w:tabs>
                <w:tab w:pos="961" w:val="left" w:leader="none"/>
                <w:tab w:pos="1341" w:val="left" w:leader="none"/>
                <w:tab w:pos="2235" w:val="left" w:leader="none"/>
              </w:tabs>
              <w:spacing w:line="146" w:lineRule="exact" w:before="14"/>
              <w:ind w:left="69"/>
              <w:rPr>
                <w:sz w:val="13"/>
              </w:rPr>
            </w:pPr>
            <w:r>
              <w:rPr>
                <w:color w:val="231F20"/>
                <w:spacing w:val="-10"/>
                <w:sz w:val="13"/>
              </w:rPr>
              <w:t>$</w:t>
            </w:r>
            <w:r>
              <w:rPr>
                <w:color w:val="231F20"/>
                <w:sz w:val="13"/>
              </w:rPr>
              <w:tab/>
            </w:r>
            <w:r>
              <w:rPr>
                <w:color w:val="231F20"/>
                <w:spacing w:val="-10"/>
                <w:sz w:val="13"/>
              </w:rPr>
              <w:t>-</w:t>
            </w:r>
            <w:r>
              <w:rPr>
                <w:color w:val="231F20"/>
                <w:sz w:val="13"/>
              </w:rPr>
              <w:tab/>
            </w:r>
            <w:r>
              <w:rPr>
                <w:color w:val="231F20"/>
                <w:spacing w:val="-10"/>
                <w:sz w:val="13"/>
              </w:rPr>
              <w:t>$</w:t>
            </w:r>
            <w:r>
              <w:rPr>
                <w:color w:val="231F20"/>
                <w:sz w:val="13"/>
              </w:rPr>
              <w:tab/>
            </w:r>
            <w:r>
              <w:rPr>
                <w:color w:val="231F20"/>
                <w:spacing w:val="-10"/>
                <w:sz w:val="13"/>
              </w:rPr>
              <w:t>-</w:t>
            </w:r>
          </w:p>
        </w:tc>
        <w:tc>
          <w:tcPr>
            <w:tcW w:w="190" w:type="dxa"/>
          </w:tcPr>
          <w:p>
            <w:pPr>
              <w:pStyle w:val="TableParagraph"/>
              <w:rPr>
                <w:rFonts w:ascii="Times New Roman"/>
                <w:sz w:val="12"/>
              </w:rPr>
            </w:pPr>
          </w:p>
        </w:tc>
        <w:tc>
          <w:tcPr>
            <w:tcW w:w="1100" w:type="dxa"/>
          </w:tcPr>
          <w:p>
            <w:pPr>
              <w:pStyle w:val="TableParagraph"/>
              <w:spacing w:line="146" w:lineRule="exact" w:before="13"/>
              <w:ind w:right="46"/>
              <w:jc w:val="right"/>
              <w:rPr>
                <w:sz w:val="13"/>
              </w:rPr>
            </w:pPr>
            <w:r>
              <w:rPr>
                <w:color w:val="231F20"/>
                <w:sz w:val="13"/>
              </w:rPr>
              <w:t>$</w:t>
            </w:r>
            <w:r>
              <w:rPr>
                <w:color w:val="231F20"/>
                <w:spacing w:val="43"/>
                <w:sz w:val="13"/>
              </w:rPr>
              <w:t>  </w:t>
            </w:r>
            <w:r>
              <w:rPr>
                <w:color w:val="231F20"/>
                <w:spacing w:val="-2"/>
                <w:sz w:val="13"/>
              </w:rPr>
              <w:t>(19,474,694)</w:t>
            </w:r>
          </w:p>
        </w:tc>
      </w:tr>
      <w:tr>
        <w:trPr>
          <w:trHeight w:val="179" w:hRule="atLeast"/>
        </w:trPr>
        <w:tc>
          <w:tcPr>
            <w:tcW w:w="3236" w:type="dxa"/>
          </w:tcPr>
          <w:p>
            <w:pPr>
              <w:pStyle w:val="TableParagraph"/>
              <w:spacing w:line="146" w:lineRule="exact" w:before="13"/>
              <w:ind w:left="227"/>
              <w:rPr>
                <w:sz w:val="13"/>
              </w:rPr>
            </w:pPr>
            <w:r>
              <w:rPr>
                <w:color w:val="231F20"/>
                <w:sz w:val="13"/>
              </w:rPr>
              <w:t>Land</w:t>
            </w:r>
            <w:r>
              <w:rPr>
                <w:color w:val="231F20"/>
                <w:spacing w:val="-1"/>
                <w:sz w:val="13"/>
              </w:rPr>
              <w:t> </w:t>
            </w:r>
            <w:r>
              <w:rPr>
                <w:color w:val="231F20"/>
                <w:spacing w:val="-2"/>
                <w:sz w:val="13"/>
              </w:rPr>
              <w:t>improvements</w:t>
            </w:r>
          </w:p>
        </w:tc>
        <w:tc>
          <w:tcPr>
            <w:tcW w:w="1082" w:type="dxa"/>
          </w:tcPr>
          <w:p>
            <w:pPr>
              <w:pStyle w:val="TableParagraph"/>
              <w:spacing w:line="146" w:lineRule="exact" w:before="13"/>
              <w:ind w:right="30"/>
              <w:jc w:val="right"/>
              <w:rPr>
                <w:sz w:val="13"/>
              </w:rPr>
            </w:pPr>
            <w:r>
              <w:rPr>
                <w:color w:val="231F20"/>
                <w:spacing w:val="-2"/>
                <w:sz w:val="13"/>
              </w:rPr>
              <w:t>(4,322,164)</w:t>
            </w:r>
          </w:p>
        </w:tc>
        <w:tc>
          <w:tcPr>
            <w:tcW w:w="193" w:type="dxa"/>
          </w:tcPr>
          <w:p>
            <w:pPr>
              <w:pStyle w:val="TableParagraph"/>
              <w:rPr>
                <w:rFonts w:ascii="Times New Roman"/>
                <w:sz w:val="12"/>
              </w:rPr>
            </w:pPr>
          </w:p>
        </w:tc>
        <w:tc>
          <w:tcPr>
            <w:tcW w:w="1083" w:type="dxa"/>
            <w:gridSpan w:val="2"/>
          </w:tcPr>
          <w:p>
            <w:pPr>
              <w:pStyle w:val="TableParagraph"/>
              <w:spacing w:line="146" w:lineRule="exact" w:before="13"/>
              <w:ind w:left="486"/>
              <w:rPr>
                <w:sz w:val="13"/>
              </w:rPr>
            </w:pPr>
            <w:r>
              <w:rPr>
                <w:color w:val="231F20"/>
                <w:spacing w:val="-2"/>
                <w:sz w:val="13"/>
              </w:rPr>
              <w:t>(179,859)</w:t>
            </w:r>
          </w:p>
        </w:tc>
        <w:tc>
          <w:tcPr>
            <w:tcW w:w="191" w:type="dxa"/>
          </w:tcPr>
          <w:p>
            <w:pPr>
              <w:pStyle w:val="TableParagraph"/>
              <w:rPr>
                <w:rFonts w:ascii="Times New Roman"/>
                <w:sz w:val="12"/>
              </w:rPr>
            </w:pPr>
          </w:p>
        </w:tc>
        <w:tc>
          <w:tcPr>
            <w:tcW w:w="2353" w:type="dxa"/>
            <w:gridSpan w:val="4"/>
          </w:tcPr>
          <w:p>
            <w:pPr>
              <w:pStyle w:val="TableParagraph"/>
              <w:tabs>
                <w:tab w:pos="2235" w:val="left" w:leader="none"/>
              </w:tabs>
              <w:spacing w:line="146" w:lineRule="exact" w:before="13"/>
              <w:ind w:left="961"/>
              <w:rPr>
                <w:sz w:val="13"/>
              </w:rPr>
            </w:pPr>
            <w:r>
              <w:rPr>
                <w:color w:val="231F20"/>
                <w:spacing w:val="-10"/>
                <w:sz w:val="13"/>
              </w:rPr>
              <w:t>-</w:t>
            </w:r>
            <w:r>
              <w:rPr>
                <w:color w:val="231F20"/>
                <w:sz w:val="13"/>
              </w:rPr>
              <w:tab/>
            </w:r>
            <w:r>
              <w:rPr>
                <w:color w:val="231F20"/>
                <w:spacing w:val="-10"/>
                <w:sz w:val="13"/>
              </w:rPr>
              <w:t>-</w:t>
            </w:r>
          </w:p>
        </w:tc>
        <w:tc>
          <w:tcPr>
            <w:tcW w:w="190" w:type="dxa"/>
          </w:tcPr>
          <w:p>
            <w:pPr>
              <w:pStyle w:val="TableParagraph"/>
              <w:rPr>
                <w:rFonts w:ascii="Times New Roman"/>
                <w:sz w:val="12"/>
              </w:rPr>
            </w:pPr>
          </w:p>
        </w:tc>
        <w:tc>
          <w:tcPr>
            <w:tcW w:w="1100" w:type="dxa"/>
          </w:tcPr>
          <w:p>
            <w:pPr>
              <w:pStyle w:val="TableParagraph"/>
              <w:spacing w:line="146" w:lineRule="exact" w:before="13"/>
              <w:ind w:right="47"/>
              <w:jc w:val="right"/>
              <w:rPr>
                <w:sz w:val="13"/>
              </w:rPr>
            </w:pPr>
            <w:r>
              <w:rPr>
                <w:color w:val="231F20"/>
                <w:spacing w:val="-2"/>
                <w:sz w:val="13"/>
              </w:rPr>
              <w:t>(4,502,023)</w:t>
            </w:r>
          </w:p>
        </w:tc>
      </w:tr>
      <w:tr>
        <w:trPr>
          <w:trHeight w:val="179" w:hRule="atLeast"/>
        </w:trPr>
        <w:tc>
          <w:tcPr>
            <w:tcW w:w="3236" w:type="dxa"/>
          </w:tcPr>
          <w:p>
            <w:pPr>
              <w:pStyle w:val="TableParagraph"/>
              <w:spacing w:line="146" w:lineRule="exact" w:before="14"/>
              <w:ind w:left="226"/>
              <w:rPr>
                <w:sz w:val="13"/>
              </w:rPr>
            </w:pPr>
            <w:r>
              <w:rPr>
                <w:color w:val="231F20"/>
                <w:spacing w:val="-2"/>
                <w:sz w:val="13"/>
              </w:rPr>
              <w:t>Buildings</w:t>
            </w:r>
          </w:p>
        </w:tc>
        <w:tc>
          <w:tcPr>
            <w:tcW w:w="1082" w:type="dxa"/>
          </w:tcPr>
          <w:p>
            <w:pPr>
              <w:pStyle w:val="TableParagraph"/>
              <w:spacing w:line="146" w:lineRule="exact" w:before="14"/>
              <w:ind w:right="29"/>
              <w:jc w:val="right"/>
              <w:rPr>
                <w:sz w:val="13"/>
              </w:rPr>
            </w:pPr>
            <w:r>
              <w:rPr>
                <w:color w:val="231F20"/>
                <w:spacing w:val="-2"/>
                <w:sz w:val="13"/>
              </w:rPr>
              <w:t>(111,648,449)</w:t>
            </w:r>
          </w:p>
        </w:tc>
        <w:tc>
          <w:tcPr>
            <w:tcW w:w="193" w:type="dxa"/>
          </w:tcPr>
          <w:p>
            <w:pPr>
              <w:pStyle w:val="TableParagraph"/>
              <w:rPr>
                <w:rFonts w:ascii="Times New Roman"/>
                <w:sz w:val="12"/>
              </w:rPr>
            </w:pPr>
          </w:p>
        </w:tc>
        <w:tc>
          <w:tcPr>
            <w:tcW w:w="1083" w:type="dxa"/>
            <w:gridSpan w:val="2"/>
          </w:tcPr>
          <w:p>
            <w:pPr>
              <w:pStyle w:val="TableParagraph"/>
              <w:spacing w:line="146" w:lineRule="exact" w:before="14"/>
              <w:ind w:left="376"/>
              <w:rPr>
                <w:sz w:val="13"/>
              </w:rPr>
            </w:pPr>
            <w:r>
              <w:rPr>
                <w:color w:val="231F20"/>
                <w:spacing w:val="-2"/>
                <w:sz w:val="13"/>
              </w:rPr>
              <w:t>(6,697,353)</w:t>
            </w:r>
          </w:p>
        </w:tc>
        <w:tc>
          <w:tcPr>
            <w:tcW w:w="191" w:type="dxa"/>
          </w:tcPr>
          <w:p>
            <w:pPr>
              <w:pStyle w:val="TableParagraph"/>
              <w:rPr>
                <w:rFonts w:ascii="Times New Roman"/>
                <w:sz w:val="12"/>
              </w:rPr>
            </w:pPr>
          </w:p>
        </w:tc>
        <w:tc>
          <w:tcPr>
            <w:tcW w:w="2353" w:type="dxa"/>
            <w:gridSpan w:val="4"/>
          </w:tcPr>
          <w:p>
            <w:pPr>
              <w:pStyle w:val="TableParagraph"/>
              <w:tabs>
                <w:tab w:pos="2235" w:val="left" w:leader="none"/>
              </w:tabs>
              <w:spacing w:line="146" w:lineRule="exact" w:before="14"/>
              <w:ind w:left="961"/>
              <w:rPr>
                <w:sz w:val="13"/>
              </w:rPr>
            </w:pPr>
            <w:r>
              <w:rPr>
                <w:color w:val="231F20"/>
                <w:spacing w:val="-10"/>
                <w:sz w:val="13"/>
              </w:rPr>
              <w:t>-</w:t>
            </w:r>
            <w:r>
              <w:rPr>
                <w:color w:val="231F20"/>
                <w:sz w:val="13"/>
              </w:rPr>
              <w:tab/>
            </w:r>
            <w:r>
              <w:rPr>
                <w:color w:val="231F20"/>
                <w:spacing w:val="-10"/>
                <w:sz w:val="13"/>
              </w:rPr>
              <w:t>-</w:t>
            </w:r>
          </w:p>
        </w:tc>
        <w:tc>
          <w:tcPr>
            <w:tcW w:w="190" w:type="dxa"/>
          </w:tcPr>
          <w:p>
            <w:pPr>
              <w:pStyle w:val="TableParagraph"/>
              <w:rPr>
                <w:rFonts w:ascii="Times New Roman"/>
                <w:sz w:val="12"/>
              </w:rPr>
            </w:pPr>
          </w:p>
        </w:tc>
        <w:tc>
          <w:tcPr>
            <w:tcW w:w="1100" w:type="dxa"/>
          </w:tcPr>
          <w:p>
            <w:pPr>
              <w:pStyle w:val="TableParagraph"/>
              <w:spacing w:line="146" w:lineRule="exact" w:before="13"/>
              <w:ind w:right="46"/>
              <w:jc w:val="right"/>
              <w:rPr>
                <w:sz w:val="13"/>
              </w:rPr>
            </w:pPr>
            <w:r>
              <w:rPr>
                <w:color w:val="231F20"/>
                <w:spacing w:val="-2"/>
                <w:sz w:val="13"/>
              </w:rPr>
              <w:t>(118,345,802)</w:t>
            </w:r>
          </w:p>
        </w:tc>
      </w:tr>
      <w:tr>
        <w:trPr>
          <w:trHeight w:val="178" w:hRule="atLeast"/>
        </w:trPr>
        <w:tc>
          <w:tcPr>
            <w:tcW w:w="3236" w:type="dxa"/>
          </w:tcPr>
          <w:p>
            <w:pPr>
              <w:pStyle w:val="TableParagraph"/>
              <w:spacing w:line="146" w:lineRule="exact" w:before="13"/>
              <w:ind w:left="226"/>
              <w:rPr>
                <w:sz w:val="13"/>
              </w:rPr>
            </w:pPr>
            <w:r>
              <w:rPr>
                <w:color w:val="231F20"/>
                <w:sz w:val="13"/>
              </w:rPr>
              <w:t>Furniture,</w:t>
            </w:r>
            <w:r>
              <w:rPr>
                <w:color w:val="231F20"/>
                <w:spacing w:val="-2"/>
                <w:sz w:val="13"/>
              </w:rPr>
              <w:t> </w:t>
            </w:r>
            <w:r>
              <w:rPr>
                <w:color w:val="231F20"/>
                <w:sz w:val="13"/>
              </w:rPr>
              <w:t>fixtures,</w:t>
            </w:r>
            <w:r>
              <w:rPr>
                <w:color w:val="231F20"/>
                <w:spacing w:val="-1"/>
                <w:sz w:val="13"/>
              </w:rPr>
              <w:t> </w:t>
            </w:r>
            <w:r>
              <w:rPr>
                <w:color w:val="231F20"/>
                <w:sz w:val="13"/>
              </w:rPr>
              <w:t>and</w:t>
            </w:r>
            <w:r>
              <w:rPr>
                <w:color w:val="231F20"/>
                <w:spacing w:val="-1"/>
                <w:sz w:val="13"/>
              </w:rPr>
              <w:t> </w:t>
            </w:r>
            <w:r>
              <w:rPr>
                <w:color w:val="231F20"/>
                <w:spacing w:val="-2"/>
                <w:sz w:val="13"/>
              </w:rPr>
              <w:t>equipment</w:t>
            </w:r>
          </w:p>
        </w:tc>
        <w:tc>
          <w:tcPr>
            <w:tcW w:w="1082" w:type="dxa"/>
          </w:tcPr>
          <w:p>
            <w:pPr>
              <w:pStyle w:val="TableParagraph"/>
              <w:spacing w:line="146" w:lineRule="exact" w:before="13"/>
              <w:ind w:right="30"/>
              <w:jc w:val="right"/>
              <w:rPr>
                <w:sz w:val="13"/>
              </w:rPr>
            </w:pPr>
            <w:r>
              <w:rPr>
                <w:color w:val="231F20"/>
                <w:spacing w:val="-2"/>
                <w:sz w:val="13"/>
              </w:rPr>
              <w:t>(47,182,506)</w:t>
            </w:r>
          </w:p>
        </w:tc>
        <w:tc>
          <w:tcPr>
            <w:tcW w:w="193" w:type="dxa"/>
          </w:tcPr>
          <w:p>
            <w:pPr>
              <w:pStyle w:val="TableParagraph"/>
              <w:rPr>
                <w:rFonts w:ascii="Times New Roman"/>
                <w:sz w:val="12"/>
              </w:rPr>
            </w:pPr>
          </w:p>
        </w:tc>
        <w:tc>
          <w:tcPr>
            <w:tcW w:w="1083" w:type="dxa"/>
            <w:gridSpan w:val="2"/>
          </w:tcPr>
          <w:p>
            <w:pPr>
              <w:pStyle w:val="TableParagraph"/>
              <w:spacing w:line="146" w:lineRule="exact" w:before="13"/>
              <w:ind w:left="377"/>
              <w:rPr>
                <w:sz w:val="13"/>
              </w:rPr>
            </w:pPr>
            <w:r>
              <w:rPr>
                <w:color w:val="231F20"/>
                <w:spacing w:val="-2"/>
                <w:sz w:val="13"/>
              </w:rPr>
              <w:t>(2,384,789)</w:t>
            </w:r>
          </w:p>
        </w:tc>
        <w:tc>
          <w:tcPr>
            <w:tcW w:w="191" w:type="dxa"/>
          </w:tcPr>
          <w:p>
            <w:pPr>
              <w:pStyle w:val="TableParagraph"/>
              <w:rPr>
                <w:rFonts w:ascii="Times New Roman"/>
                <w:sz w:val="12"/>
              </w:rPr>
            </w:pPr>
          </w:p>
        </w:tc>
        <w:tc>
          <w:tcPr>
            <w:tcW w:w="2353" w:type="dxa"/>
            <w:gridSpan w:val="4"/>
          </w:tcPr>
          <w:p>
            <w:pPr>
              <w:pStyle w:val="TableParagraph"/>
              <w:tabs>
                <w:tab w:pos="1692" w:val="left" w:leader="none"/>
              </w:tabs>
              <w:spacing w:line="146" w:lineRule="exact" w:before="13"/>
              <w:ind w:left="961"/>
              <w:rPr>
                <w:sz w:val="13"/>
              </w:rPr>
            </w:pPr>
            <w:r>
              <w:rPr>
                <w:color w:val="231F20"/>
                <w:spacing w:val="-10"/>
                <w:sz w:val="13"/>
              </w:rPr>
              <w:t>-</w:t>
            </w:r>
            <w:r>
              <w:rPr>
                <w:color w:val="231F20"/>
                <w:sz w:val="13"/>
              </w:rPr>
              <w:tab/>
            </w:r>
            <w:r>
              <w:rPr>
                <w:color w:val="231F20"/>
                <w:spacing w:val="-2"/>
                <w:sz w:val="13"/>
              </w:rPr>
              <w:t>1,430,259</w:t>
            </w:r>
          </w:p>
        </w:tc>
        <w:tc>
          <w:tcPr>
            <w:tcW w:w="190" w:type="dxa"/>
          </w:tcPr>
          <w:p>
            <w:pPr>
              <w:pStyle w:val="TableParagraph"/>
              <w:rPr>
                <w:rFonts w:ascii="Times New Roman"/>
                <w:sz w:val="12"/>
              </w:rPr>
            </w:pPr>
          </w:p>
        </w:tc>
        <w:tc>
          <w:tcPr>
            <w:tcW w:w="1100" w:type="dxa"/>
          </w:tcPr>
          <w:p>
            <w:pPr>
              <w:pStyle w:val="TableParagraph"/>
              <w:spacing w:line="146" w:lineRule="exact" w:before="13"/>
              <w:ind w:right="46"/>
              <w:jc w:val="right"/>
              <w:rPr>
                <w:sz w:val="13"/>
              </w:rPr>
            </w:pPr>
            <w:r>
              <w:rPr>
                <w:color w:val="231F20"/>
                <w:spacing w:val="-2"/>
                <w:sz w:val="13"/>
              </w:rPr>
              <w:t>(48,137,036)</w:t>
            </w:r>
          </w:p>
        </w:tc>
      </w:tr>
      <w:tr>
        <w:trPr>
          <w:trHeight w:val="179" w:hRule="atLeast"/>
        </w:trPr>
        <w:tc>
          <w:tcPr>
            <w:tcW w:w="3236" w:type="dxa"/>
          </w:tcPr>
          <w:p>
            <w:pPr>
              <w:pStyle w:val="TableParagraph"/>
              <w:spacing w:line="146" w:lineRule="exact" w:before="13"/>
              <w:ind w:left="226"/>
              <w:rPr>
                <w:sz w:val="13"/>
              </w:rPr>
            </w:pPr>
            <w:r>
              <w:rPr>
                <w:color w:val="231F20"/>
                <w:spacing w:val="-2"/>
                <w:sz w:val="13"/>
              </w:rPr>
              <w:t>Software</w:t>
            </w:r>
          </w:p>
        </w:tc>
        <w:tc>
          <w:tcPr>
            <w:tcW w:w="1082" w:type="dxa"/>
          </w:tcPr>
          <w:p>
            <w:pPr>
              <w:pStyle w:val="TableParagraph"/>
              <w:spacing w:line="146" w:lineRule="exact" w:before="13"/>
              <w:ind w:right="29"/>
              <w:jc w:val="right"/>
              <w:rPr>
                <w:sz w:val="13"/>
              </w:rPr>
            </w:pPr>
            <w:r>
              <w:rPr>
                <w:color w:val="231F20"/>
                <w:spacing w:val="-2"/>
                <w:sz w:val="13"/>
              </w:rPr>
              <w:t>(1,757,994)</w:t>
            </w:r>
          </w:p>
        </w:tc>
        <w:tc>
          <w:tcPr>
            <w:tcW w:w="193" w:type="dxa"/>
          </w:tcPr>
          <w:p>
            <w:pPr>
              <w:pStyle w:val="TableParagraph"/>
              <w:rPr>
                <w:rFonts w:ascii="Times New Roman"/>
                <w:sz w:val="12"/>
              </w:rPr>
            </w:pPr>
          </w:p>
        </w:tc>
        <w:tc>
          <w:tcPr>
            <w:tcW w:w="1083" w:type="dxa"/>
            <w:gridSpan w:val="2"/>
          </w:tcPr>
          <w:p>
            <w:pPr>
              <w:pStyle w:val="TableParagraph"/>
              <w:spacing w:line="146" w:lineRule="exact" w:before="13"/>
              <w:ind w:left="559"/>
              <w:rPr>
                <w:sz w:val="13"/>
              </w:rPr>
            </w:pPr>
            <w:r>
              <w:rPr>
                <w:color w:val="231F20"/>
                <w:spacing w:val="-2"/>
                <w:sz w:val="13"/>
              </w:rPr>
              <w:t>(15,817)</w:t>
            </w:r>
          </w:p>
        </w:tc>
        <w:tc>
          <w:tcPr>
            <w:tcW w:w="191" w:type="dxa"/>
          </w:tcPr>
          <w:p>
            <w:pPr>
              <w:pStyle w:val="TableParagraph"/>
              <w:rPr>
                <w:rFonts w:ascii="Times New Roman"/>
                <w:sz w:val="12"/>
              </w:rPr>
            </w:pPr>
          </w:p>
        </w:tc>
        <w:tc>
          <w:tcPr>
            <w:tcW w:w="2353" w:type="dxa"/>
            <w:gridSpan w:val="4"/>
          </w:tcPr>
          <w:p>
            <w:pPr>
              <w:pStyle w:val="TableParagraph"/>
              <w:tabs>
                <w:tab w:pos="2235" w:val="left" w:leader="none"/>
              </w:tabs>
              <w:spacing w:line="146" w:lineRule="exact" w:before="13"/>
              <w:ind w:left="961"/>
              <w:rPr>
                <w:sz w:val="13"/>
              </w:rPr>
            </w:pPr>
            <w:r>
              <w:rPr>
                <w:color w:val="231F20"/>
                <w:spacing w:val="-10"/>
                <w:sz w:val="13"/>
              </w:rPr>
              <w:t>-</w:t>
            </w:r>
            <w:r>
              <w:rPr>
                <w:color w:val="231F20"/>
                <w:sz w:val="13"/>
              </w:rPr>
              <w:tab/>
            </w:r>
            <w:r>
              <w:rPr>
                <w:color w:val="231F20"/>
                <w:spacing w:val="-10"/>
                <w:sz w:val="13"/>
              </w:rPr>
              <w:t>-</w:t>
            </w:r>
          </w:p>
        </w:tc>
        <w:tc>
          <w:tcPr>
            <w:tcW w:w="190" w:type="dxa"/>
          </w:tcPr>
          <w:p>
            <w:pPr>
              <w:pStyle w:val="TableParagraph"/>
              <w:rPr>
                <w:rFonts w:ascii="Times New Roman"/>
                <w:sz w:val="12"/>
              </w:rPr>
            </w:pPr>
          </w:p>
        </w:tc>
        <w:tc>
          <w:tcPr>
            <w:tcW w:w="1100" w:type="dxa"/>
          </w:tcPr>
          <w:p>
            <w:pPr>
              <w:pStyle w:val="TableParagraph"/>
              <w:spacing w:line="146" w:lineRule="exact" w:before="13"/>
              <w:ind w:right="47"/>
              <w:jc w:val="right"/>
              <w:rPr>
                <w:sz w:val="13"/>
              </w:rPr>
            </w:pPr>
            <w:r>
              <w:rPr>
                <w:color w:val="231F20"/>
                <w:spacing w:val="-2"/>
                <w:sz w:val="13"/>
              </w:rPr>
              <w:t>(1,773,811)</w:t>
            </w:r>
          </w:p>
        </w:tc>
      </w:tr>
      <w:tr>
        <w:trPr>
          <w:trHeight w:val="179" w:hRule="atLeast"/>
        </w:trPr>
        <w:tc>
          <w:tcPr>
            <w:tcW w:w="3236" w:type="dxa"/>
          </w:tcPr>
          <w:p>
            <w:pPr>
              <w:pStyle w:val="TableParagraph"/>
              <w:spacing w:line="146" w:lineRule="exact" w:before="13"/>
              <w:ind w:left="227"/>
              <w:rPr>
                <w:sz w:val="13"/>
              </w:rPr>
            </w:pPr>
            <w:r>
              <w:rPr>
                <w:color w:val="231F20"/>
                <w:sz w:val="13"/>
              </w:rPr>
              <w:t>Library </w:t>
            </w:r>
            <w:r>
              <w:rPr>
                <w:color w:val="231F20"/>
                <w:spacing w:val="-2"/>
                <w:sz w:val="13"/>
              </w:rPr>
              <w:t>materials</w:t>
            </w:r>
          </w:p>
        </w:tc>
        <w:tc>
          <w:tcPr>
            <w:tcW w:w="1082" w:type="dxa"/>
          </w:tcPr>
          <w:p>
            <w:pPr>
              <w:pStyle w:val="TableParagraph"/>
              <w:spacing w:line="146" w:lineRule="exact" w:before="13"/>
              <w:ind w:right="29"/>
              <w:jc w:val="right"/>
              <w:rPr>
                <w:sz w:val="13"/>
              </w:rPr>
            </w:pPr>
            <w:r>
              <w:rPr>
                <w:color w:val="231F20"/>
                <w:spacing w:val="-2"/>
                <w:sz w:val="13"/>
              </w:rPr>
              <w:t>(7,247,622)</w:t>
            </w:r>
          </w:p>
        </w:tc>
        <w:tc>
          <w:tcPr>
            <w:tcW w:w="193" w:type="dxa"/>
          </w:tcPr>
          <w:p>
            <w:pPr>
              <w:pStyle w:val="TableParagraph"/>
              <w:rPr>
                <w:rFonts w:ascii="Times New Roman"/>
                <w:sz w:val="12"/>
              </w:rPr>
            </w:pPr>
          </w:p>
        </w:tc>
        <w:tc>
          <w:tcPr>
            <w:tcW w:w="1083" w:type="dxa"/>
            <w:gridSpan w:val="2"/>
          </w:tcPr>
          <w:p>
            <w:pPr>
              <w:pStyle w:val="TableParagraph"/>
              <w:spacing w:line="146" w:lineRule="exact" w:before="13"/>
              <w:ind w:left="486"/>
              <w:rPr>
                <w:sz w:val="13"/>
              </w:rPr>
            </w:pPr>
            <w:r>
              <w:rPr>
                <w:color w:val="231F20"/>
                <w:spacing w:val="-2"/>
                <w:sz w:val="13"/>
              </w:rPr>
              <w:t>(847,995)</w:t>
            </w:r>
          </w:p>
        </w:tc>
        <w:tc>
          <w:tcPr>
            <w:tcW w:w="191" w:type="dxa"/>
          </w:tcPr>
          <w:p>
            <w:pPr>
              <w:pStyle w:val="TableParagraph"/>
              <w:rPr>
                <w:rFonts w:ascii="Times New Roman"/>
                <w:sz w:val="12"/>
              </w:rPr>
            </w:pPr>
          </w:p>
        </w:tc>
        <w:tc>
          <w:tcPr>
            <w:tcW w:w="2353" w:type="dxa"/>
            <w:gridSpan w:val="4"/>
          </w:tcPr>
          <w:p>
            <w:pPr>
              <w:pStyle w:val="TableParagraph"/>
              <w:tabs>
                <w:tab w:pos="1949" w:val="left" w:leader="none"/>
              </w:tabs>
              <w:spacing w:line="146" w:lineRule="exact" w:before="13"/>
              <w:ind w:left="962"/>
              <w:rPr>
                <w:sz w:val="13"/>
              </w:rPr>
            </w:pPr>
            <w:r>
              <w:rPr>
                <w:color w:val="231F20"/>
                <w:spacing w:val="-10"/>
                <w:sz w:val="13"/>
              </w:rPr>
              <w:t>-</w:t>
            </w:r>
            <w:r>
              <w:rPr>
                <w:color w:val="231F20"/>
                <w:sz w:val="13"/>
              </w:rPr>
              <w:tab/>
            </w:r>
            <w:r>
              <w:rPr>
                <w:color w:val="231F20"/>
                <w:spacing w:val="-2"/>
                <w:sz w:val="13"/>
              </w:rPr>
              <w:t>5,953</w:t>
            </w:r>
          </w:p>
        </w:tc>
        <w:tc>
          <w:tcPr>
            <w:tcW w:w="190" w:type="dxa"/>
          </w:tcPr>
          <w:p>
            <w:pPr>
              <w:pStyle w:val="TableParagraph"/>
              <w:rPr>
                <w:rFonts w:ascii="Times New Roman"/>
                <w:sz w:val="12"/>
              </w:rPr>
            </w:pPr>
          </w:p>
        </w:tc>
        <w:tc>
          <w:tcPr>
            <w:tcW w:w="1100" w:type="dxa"/>
          </w:tcPr>
          <w:p>
            <w:pPr>
              <w:pStyle w:val="TableParagraph"/>
              <w:spacing w:line="146" w:lineRule="exact" w:before="13"/>
              <w:ind w:right="46"/>
              <w:jc w:val="right"/>
              <w:rPr>
                <w:sz w:val="13"/>
              </w:rPr>
            </w:pPr>
            <w:r>
              <w:rPr>
                <w:color w:val="231F20"/>
                <w:spacing w:val="-2"/>
                <w:sz w:val="13"/>
              </w:rPr>
              <w:t>(8,089,664)</w:t>
            </w:r>
          </w:p>
        </w:tc>
      </w:tr>
      <w:tr>
        <w:trPr>
          <w:trHeight w:val="167" w:hRule="atLeast"/>
        </w:trPr>
        <w:tc>
          <w:tcPr>
            <w:tcW w:w="3236" w:type="dxa"/>
          </w:tcPr>
          <w:p>
            <w:pPr>
              <w:pStyle w:val="TableParagraph"/>
              <w:spacing w:line="135" w:lineRule="exact" w:before="13"/>
              <w:ind w:left="227"/>
              <w:rPr>
                <w:sz w:val="13"/>
              </w:rPr>
            </w:pPr>
            <w:r>
              <w:rPr>
                <w:color w:val="231F20"/>
                <w:sz w:val="13"/>
              </w:rPr>
              <w:t>Right-to-use</w:t>
            </w:r>
            <w:r>
              <w:rPr>
                <w:color w:val="231F20"/>
                <w:spacing w:val="-2"/>
                <w:sz w:val="13"/>
              </w:rPr>
              <w:t> assets</w:t>
            </w:r>
          </w:p>
        </w:tc>
        <w:tc>
          <w:tcPr>
            <w:tcW w:w="1082" w:type="dxa"/>
            <w:tcBorders>
              <w:bottom w:val="single" w:sz="8" w:space="0" w:color="231F20"/>
            </w:tcBorders>
          </w:tcPr>
          <w:p>
            <w:pPr>
              <w:pStyle w:val="TableParagraph"/>
              <w:spacing w:line="135" w:lineRule="exact" w:before="13"/>
              <w:ind w:right="30"/>
              <w:jc w:val="right"/>
              <w:rPr>
                <w:sz w:val="13"/>
              </w:rPr>
            </w:pPr>
            <w:r>
              <w:rPr>
                <w:color w:val="231F20"/>
                <w:spacing w:val="-2"/>
                <w:sz w:val="13"/>
              </w:rPr>
              <w:t>(960,357)</w:t>
            </w:r>
          </w:p>
        </w:tc>
        <w:tc>
          <w:tcPr>
            <w:tcW w:w="193" w:type="dxa"/>
          </w:tcPr>
          <w:p>
            <w:pPr>
              <w:pStyle w:val="TableParagraph"/>
              <w:rPr>
                <w:rFonts w:ascii="Times New Roman"/>
                <w:sz w:val="10"/>
              </w:rPr>
            </w:pPr>
          </w:p>
        </w:tc>
        <w:tc>
          <w:tcPr>
            <w:tcW w:w="1083" w:type="dxa"/>
            <w:gridSpan w:val="2"/>
            <w:tcBorders>
              <w:bottom w:val="single" w:sz="8" w:space="0" w:color="231F20"/>
            </w:tcBorders>
          </w:tcPr>
          <w:p>
            <w:pPr>
              <w:pStyle w:val="TableParagraph"/>
              <w:spacing w:line="135" w:lineRule="exact" w:before="13"/>
              <w:ind w:left="486"/>
              <w:rPr>
                <w:sz w:val="13"/>
              </w:rPr>
            </w:pPr>
            <w:r>
              <w:rPr>
                <w:color w:val="231F20"/>
                <w:spacing w:val="-2"/>
                <w:sz w:val="13"/>
              </w:rPr>
              <w:t>(582,198)</w:t>
            </w:r>
          </w:p>
        </w:tc>
        <w:tc>
          <w:tcPr>
            <w:tcW w:w="191" w:type="dxa"/>
          </w:tcPr>
          <w:p>
            <w:pPr>
              <w:pStyle w:val="TableParagraph"/>
              <w:rPr>
                <w:rFonts w:ascii="Times New Roman"/>
                <w:sz w:val="10"/>
              </w:rPr>
            </w:pPr>
          </w:p>
        </w:tc>
        <w:tc>
          <w:tcPr>
            <w:tcW w:w="2353" w:type="dxa"/>
            <w:gridSpan w:val="4"/>
          </w:tcPr>
          <w:p>
            <w:pPr>
              <w:pStyle w:val="TableParagraph"/>
              <w:tabs>
                <w:tab w:pos="2235" w:val="left" w:leader="none"/>
              </w:tabs>
              <w:spacing w:line="135" w:lineRule="exact" w:before="13"/>
              <w:ind w:left="962"/>
              <w:rPr>
                <w:sz w:val="13"/>
              </w:rPr>
            </w:pPr>
            <w:r>
              <w:rPr>
                <w:color w:val="231F20"/>
                <w:spacing w:val="-10"/>
                <w:sz w:val="13"/>
              </w:rPr>
              <w:t>-</w:t>
            </w:r>
            <w:r>
              <w:rPr>
                <w:color w:val="231F20"/>
                <w:sz w:val="13"/>
              </w:rPr>
              <w:tab/>
            </w:r>
            <w:r>
              <w:rPr>
                <w:color w:val="231F20"/>
                <w:spacing w:val="-10"/>
                <w:sz w:val="13"/>
              </w:rPr>
              <w:t>-</w:t>
            </w:r>
          </w:p>
        </w:tc>
        <w:tc>
          <w:tcPr>
            <w:tcW w:w="190" w:type="dxa"/>
          </w:tcPr>
          <w:p>
            <w:pPr>
              <w:pStyle w:val="TableParagraph"/>
              <w:rPr>
                <w:rFonts w:ascii="Times New Roman"/>
                <w:sz w:val="10"/>
              </w:rPr>
            </w:pPr>
          </w:p>
        </w:tc>
        <w:tc>
          <w:tcPr>
            <w:tcW w:w="1100" w:type="dxa"/>
            <w:tcBorders>
              <w:bottom w:val="single" w:sz="8" w:space="0" w:color="231F20"/>
            </w:tcBorders>
          </w:tcPr>
          <w:p>
            <w:pPr>
              <w:pStyle w:val="TableParagraph"/>
              <w:spacing w:line="135" w:lineRule="exact" w:before="13"/>
              <w:ind w:right="47"/>
              <w:jc w:val="right"/>
              <w:rPr>
                <w:sz w:val="13"/>
              </w:rPr>
            </w:pPr>
            <w:r>
              <w:rPr>
                <w:color w:val="231F20"/>
                <w:spacing w:val="-2"/>
                <w:sz w:val="13"/>
              </w:rPr>
              <w:t>(1,542,555)</w:t>
            </w:r>
          </w:p>
        </w:tc>
      </w:tr>
      <w:tr>
        <w:trPr>
          <w:trHeight w:val="379" w:hRule="atLeast"/>
        </w:trPr>
        <w:tc>
          <w:tcPr>
            <w:tcW w:w="3236" w:type="dxa"/>
          </w:tcPr>
          <w:p>
            <w:pPr>
              <w:pStyle w:val="TableParagraph"/>
              <w:spacing w:line="256" w:lineRule="auto"/>
              <w:ind w:left="899" w:right="826" w:hanging="479"/>
              <w:rPr>
                <w:sz w:val="13"/>
              </w:rPr>
            </w:pPr>
            <w:r>
              <w:rPr>
                <w:color w:val="231F20"/>
                <w:sz w:val="13"/>
              </w:rPr>
              <w:t>Total</w:t>
            </w:r>
            <w:r>
              <w:rPr>
                <w:color w:val="231F20"/>
                <w:spacing w:val="-7"/>
                <w:sz w:val="13"/>
              </w:rPr>
              <w:t> </w:t>
            </w:r>
            <w:r>
              <w:rPr>
                <w:color w:val="231F20"/>
                <w:sz w:val="13"/>
              </w:rPr>
              <w:t>accumulated</w:t>
            </w:r>
            <w:r>
              <w:rPr>
                <w:color w:val="231F20"/>
                <w:spacing w:val="-7"/>
                <w:sz w:val="13"/>
              </w:rPr>
              <w:t> </w:t>
            </w:r>
            <w:r>
              <w:rPr>
                <w:color w:val="231F20"/>
                <w:sz w:val="13"/>
              </w:rPr>
              <w:t>depreciation</w:t>
            </w:r>
            <w:r>
              <w:rPr>
                <w:color w:val="231F20"/>
                <w:spacing w:val="40"/>
                <w:sz w:val="13"/>
              </w:rPr>
              <w:t> </w:t>
            </w:r>
            <w:r>
              <w:rPr>
                <w:color w:val="231F20"/>
                <w:sz w:val="13"/>
              </w:rPr>
              <w:t>and</w:t>
            </w:r>
            <w:r>
              <w:rPr>
                <w:color w:val="231F20"/>
                <w:spacing w:val="-7"/>
                <w:sz w:val="13"/>
              </w:rPr>
              <w:t> </w:t>
            </w:r>
            <w:r>
              <w:rPr>
                <w:color w:val="231F20"/>
                <w:sz w:val="13"/>
              </w:rPr>
              <w:t>amortization</w:t>
            </w:r>
          </w:p>
        </w:tc>
        <w:tc>
          <w:tcPr>
            <w:tcW w:w="1082" w:type="dxa"/>
          </w:tcPr>
          <w:p>
            <w:pPr>
              <w:pStyle w:val="TableParagraph"/>
              <w:spacing w:before="5"/>
              <w:rPr>
                <w:sz w:val="13"/>
              </w:rPr>
            </w:pPr>
          </w:p>
          <w:p>
            <w:pPr>
              <w:pStyle w:val="TableParagraph"/>
              <w:ind w:right="30"/>
              <w:jc w:val="right"/>
              <w:rPr>
                <w:sz w:val="13"/>
              </w:rPr>
            </w:pPr>
            <w:r>
              <w:rPr>
                <w:color w:val="231F20"/>
                <w:sz w:val="13"/>
              </w:rPr>
              <w:t>$</w:t>
            </w:r>
            <w:r>
              <w:rPr>
                <w:color w:val="231F20"/>
                <w:spacing w:val="49"/>
                <w:sz w:val="13"/>
              </w:rPr>
              <w:t> </w:t>
            </w:r>
            <w:r>
              <w:rPr>
                <w:color w:val="231F20"/>
                <w:spacing w:val="-2"/>
                <w:sz w:val="13"/>
              </w:rPr>
              <w:t>(191,660,809)</w:t>
            </w:r>
          </w:p>
        </w:tc>
        <w:tc>
          <w:tcPr>
            <w:tcW w:w="419" w:type="dxa"/>
            <w:gridSpan w:val="2"/>
          </w:tcPr>
          <w:p>
            <w:pPr>
              <w:pStyle w:val="TableParagraph"/>
              <w:spacing w:before="5"/>
              <w:rPr>
                <w:sz w:val="13"/>
              </w:rPr>
            </w:pPr>
          </w:p>
          <w:p>
            <w:pPr>
              <w:pStyle w:val="TableParagraph"/>
              <w:ind w:left="262"/>
              <w:rPr>
                <w:sz w:val="13"/>
              </w:rPr>
            </w:pPr>
            <w:r>
              <w:rPr>
                <w:color w:val="231F20"/>
                <w:w w:val="101"/>
                <w:sz w:val="13"/>
              </w:rPr>
              <w:t>$</w:t>
            </w:r>
          </w:p>
        </w:tc>
        <w:tc>
          <w:tcPr>
            <w:tcW w:w="857" w:type="dxa"/>
          </w:tcPr>
          <w:p>
            <w:pPr>
              <w:pStyle w:val="TableParagraph"/>
              <w:spacing w:before="5"/>
              <w:rPr>
                <w:sz w:val="13"/>
              </w:rPr>
            </w:pPr>
          </w:p>
          <w:p>
            <w:pPr>
              <w:pStyle w:val="TableParagraph"/>
              <w:ind w:left="77"/>
              <w:rPr>
                <w:sz w:val="13"/>
              </w:rPr>
            </w:pPr>
            <w:r>
              <w:rPr>
                <w:color w:val="231F20"/>
                <w:spacing w:val="-2"/>
                <w:sz w:val="13"/>
              </w:rPr>
              <w:t>(11,640,988)</w:t>
            </w:r>
          </w:p>
        </w:tc>
        <w:tc>
          <w:tcPr>
            <w:tcW w:w="453" w:type="dxa"/>
            <w:gridSpan w:val="2"/>
          </w:tcPr>
          <w:p>
            <w:pPr>
              <w:pStyle w:val="TableParagraph"/>
              <w:spacing w:before="5"/>
              <w:rPr>
                <w:sz w:val="13"/>
              </w:rPr>
            </w:pPr>
          </w:p>
          <w:p>
            <w:pPr>
              <w:pStyle w:val="TableParagraph"/>
              <w:ind w:left="259"/>
              <w:rPr>
                <w:sz w:val="13"/>
              </w:rPr>
            </w:pPr>
            <w:r>
              <w:rPr>
                <w:color w:val="231F20"/>
                <w:w w:val="101"/>
                <w:sz w:val="13"/>
              </w:rPr>
              <w:t>$</w:t>
            </w:r>
          </w:p>
        </w:tc>
        <w:tc>
          <w:tcPr>
            <w:tcW w:w="914" w:type="dxa"/>
          </w:tcPr>
          <w:p>
            <w:pPr>
              <w:pStyle w:val="TableParagraph"/>
              <w:spacing w:before="5"/>
              <w:rPr>
                <w:sz w:val="13"/>
              </w:rPr>
            </w:pPr>
          </w:p>
          <w:p>
            <w:pPr>
              <w:pStyle w:val="TableParagraph"/>
              <w:ind w:right="168"/>
              <w:jc w:val="right"/>
              <w:rPr>
                <w:sz w:val="13"/>
              </w:rPr>
            </w:pPr>
            <w:r>
              <w:rPr>
                <w:color w:val="231F20"/>
                <w:w w:val="101"/>
                <w:sz w:val="13"/>
              </w:rPr>
              <w:t>-</w:t>
            </w:r>
          </w:p>
        </w:tc>
        <w:tc>
          <w:tcPr>
            <w:tcW w:w="358" w:type="dxa"/>
          </w:tcPr>
          <w:p>
            <w:pPr>
              <w:pStyle w:val="TableParagraph"/>
              <w:spacing w:before="5"/>
              <w:rPr>
                <w:sz w:val="13"/>
              </w:rPr>
            </w:pPr>
          </w:p>
          <w:p>
            <w:pPr>
              <w:pStyle w:val="TableParagraph"/>
              <w:ind w:left="166"/>
              <w:rPr>
                <w:sz w:val="13"/>
              </w:rPr>
            </w:pPr>
            <w:r>
              <w:rPr>
                <w:color w:val="231F20"/>
                <w:w w:val="101"/>
                <w:sz w:val="13"/>
              </w:rPr>
              <w:t>$</w:t>
            </w:r>
          </w:p>
        </w:tc>
        <w:tc>
          <w:tcPr>
            <w:tcW w:w="819" w:type="dxa"/>
          </w:tcPr>
          <w:p>
            <w:pPr>
              <w:pStyle w:val="TableParagraph"/>
              <w:spacing w:before="5"/>
              <w:rPr>
                <w:sz w:val="13"/>
              </w:rPr>
            </w:pPr>
          </w:p>
          <w:p>
            <w:pPr>
              <w:pStyle w:val="TableParagraph"/>
              <w:ind w:right="73"/>
              <w:jc w:val="right"/>
              <w:rPr>
                <w:sz w:val="13"/>
              </w:rPr>
            </w:pPr>
            <w:r>
              <w:rPr>
                <w:color w:val="231F20"/>
                <w:spacing w:val="-2"/>
                <w:sz w:val="13"/>
              </w:rPr>
              <w:t>1,436,212</w:t>
            </w:r>
          </w:p>
        </w:tc>
        <w:tc>
          <w:tcPr>
            <w:tcW w:w="1290" w:type="dxa"/>
            <w:gridSpan w:val="2"/>
          </w:tcPr>
          <w:p>
            <w:pPr>
              <w:pStyle w:val="TableParagraph"/>
              <w:spacing w:before="5"/>
              <w:rPr>
                <w:sz w:val="13"/>
              </w:rPr>
            </w:pPr>
          </w:p>
          <w:p>
            <w:pPr>
              <w:pStyle w:val="TableParagraph"/>
              <w:ind w:left="263"/>
              <w:rPr>
                <w:sz w:val="13"/>
              </w:rPr>
            </w:pPr>
            <w:r>
              <w:rPr>
                <w:color w:val="231F20"/>
                <w:sz w:val="13"/>
              </w:rPr>
              <w:t>$</w:t>
            </w:r>
            <w:r>
              <w:rPr>
                <w:color w:val="231F20"/>
                <w:spacing w:val="50"/>
                <w:sz w:val="13"/>
              </w:rPr>
              <w:t> </w:t>
            </w:r>
            <w:r>
              <w:rPr>
                <w:color w:val="231F20"/>
                <w:spacing w:val="-2"/>
                <w:sz w:val="13"/>
              </w:rPr>
              <w:t>(201,865,585)</w:t>
            </w:r>
          </w:p>
        </w:tc>
      </w:tr>
      <w:tr>
        <w:trPr>
          <w:trHeight w:val="327" w:hRule="atLeast"/>
        </w:trPr>
        <w:tc>
          <w:tcPr>
            <w:tcW w:w="3236" w:type="dxa"/>
          </w:tcPr>
          <w:p>
            <w:pPr>
              <w:pStyle w:val="TableParagraph"/>
              <w:spacing w:before="5"/>
              <w:rPr>
                <w:sz w:val="15"/>
              </w:rPr>
            </w:pPr>
          </w:p>
          <w:p>
            <w:pPr>
              <w:pStyle w:val="TableParagraph"/>
              <w:spacing w:line="130" w:lineRule="exact"/>
              <w:ind w:left="35"/>
              <w:rPr>
                <w:sz w:val="13"/>
              </w:rPr>
            </w:pPr>
            <w:r>
              <w:rPr>
                <w:color w:val="231F20"/>
                <w:sz w:val="13"/>
              </w:rPr>
              <w:t>Capital</w:t>
            </w:r>
            <w:r>
              <w:rPr>
                <w:color w:val="231F20"/>
                <w:spacing w:val="-2"/>
                <w:sz w:val="13"/>
              </w:rPr>
              <w:t> </w:t>
            </w:r>
            <w:r>
              <w:rPr>
                <w:color w:val="231F20"/>
                <w:sz w:val="13"/>
              </w:rPr>
              <w:t>assets</w:t>
            </w:r>
            <w:r>
              <w:rPr>
                <w:color w:val="231F20"/>
                <w:spacing w:val="-1"/>
                <w:sz w:val="13"/>
              </w:rPr>
              <w:t> </w:t>
            </w:r>
            <w:r>
              <w:rPr>
                <w:color w:val="231F20"/>
                <w:spacing w:val="-2"/>
                <w:sz w:val="13"/>
              </w:rPr>
              <w:t>summary</w:t>
            </w:r>
          </w:p>
        </w:tc>
        <w:tc>
          <w:tcPr>
            <w:tcW w:w="1082" w:type="dxa"/>
          </w:tcPr>
          <w:p>
            <w:pPr>
              <w:pStyle w:val="TableParagraph"/>
              <w:rPr>
                <w:rFonts w:ascii="Times New Roman"/>
                <w:sz w:val="14"/>
              </w:rPr>
            </w:pPr>
          </w:p>
        </w:tc>
        <w:tc>
          <w:tcPr>
            <w:tcW w:w="193" w:type="dxa"/>
          </w:tcPr>
          <w:p>
            <w:pPr>
              <w:pStyle w:val="TableParagraph"/>
              <w:rPr>
                <w:rFonts w:ascii="Times New Roman"/>
                <w:sz w:val="14"/>
              </w:rPr>
            </w:pPr>
          </w:p>
        </w:tc>
        <w:tc>
          <w:tcPr>
            <w:tcW w:w="226" w:type="dxa"/>
          </w:tcPr>
          <w:p>
            <w:pPr>
              <w:pStyle w:val="TableParagraph"/>
              <w:rPr>
                <w:rFonts w:ascii="Times New Roman"/>
                <w:sz w:val="14"/>
              </w:rPr>
            </w:pPr>
          </w:p>
        </w:tc>
        <w:tc>
          <w:tcPr>
            <w:tcW w:w="857" w:type="dxa"/>
          </w:tcPr>
          <w:p>
            <w:pPr>
              <w:pStyle w:val="TableParagraph"/>
              <w:rPr>
                <w:rFonts w:ascii="Times New Roman"/>
                <w:sz w:val="14"/>
              </w:rPr>
            </w:pPr>
          </w:p>
        </w:tc>
        <w:tc>
          <w:tcPr>
            <w:tcW w:w="191" w:type="dxa"/>
          </w:tcPr>
          <w:p>
            <w:pPr>
              <w:pStyle w:val="TableParagraph"/>
              <w:rPr>
                <w:rFonts w:ascii="Times New Roman"/>
                <w:sz w:val="14"/>
              </w:rPr>
            </w:pPr>
          </w:p>
        </w:tc>
        <w:tc>
          <w:tcPr>
            <w:tcW w:w="262" w:type="dxa"/>
          </w:tcPr>
          <w:p>
            <w:pPr>
              <w:pStyle w:val="TableParagraph"/>
              <w:rPr>
                <w:rFonts w:ascii="Times New Roman"/>
                <w:sz w:val="14"/>
              </w:rPr>
            </w:pPr>
          </w:p>
        </w:tc>
        <w:tc>
          <w:tcPr>
            <w:tcW w:w="914" w:type="dxa"/>
          </w:tcPr>
          <w:p>
            <w:pPr>
              <w:pStyle w:val="TableParagraph"/>
              <w:rPr>
                <w:rFonts w:ascii="Times New Roman"/>
                <w:sz w:val="14"/>
              </w:rPr>
            </w:pPr>
          </w:p>
        </w:tc>
        <w:tc>
          <w:tcPr>
            <w:tcW w:w="358" w:type="dxa"/>
          </w:tcPr>
          <w:p>
            <w:pPr>
              <w:pStyle w:val="TableParagraph"/>
              <w:rPr>
                <w:rFonts w:ascii="Times New Roman"/>
                <w:sz w:val="14"/>
              </w:rPr>
            </w:pPr>
          </w:p>
        </w:tc>
        <w:tc>
          <w:tcPr>
            <w:tcW w:w="819" w:type="dxa"/>
          </w:tcPr>
          <w:p>
            <w:pPr>
              <w:pStyle w:val="TableParagraph"/>
              <w:rPr>
                <w:rFonts w:ascii="Times New Roman"/>
                <w:sz w:val="14"/>
              </w:rPr>
            </w:pPr>
          </w:p>
        </w:tc>
        <w:tc>
          <w:tcPr>
            <w:tcW w:w="190" w:type="dxa"/>
          </w:tcPr>
          <w:p>
            <w:pPr>
              <w:pStyle w:val="TableParagraph"/>
              <w:rPr>
                <w:rFonts w:ascii="Times New Roman"/>
                <w:sz w:val="14"/>
              </w:rPr>
            </w:pPr>
          </w:p>
        </w:tc>
        <w:tc>
          <w:tcPr>
            <w:tcW w:w="1100" w:type="dxa"/>
          </w:tcPr>
          <w:p>
            <w:pPr>
              <w:pStyle w:val="TableParagraph"/>
              <w:rPr>
                <w:rFonts w:ascii="Times New Roman"/>
                <w:sz w:val="14"/>
              </w:rPr>
            </w:pPr>
          </w:p>
        </w:tc>
      </w:tr>
      <w:tr>
        <w:trPr>
          <w:trHeight w:val="195" w:hRule="atLeast"/>
        </w:trPr>
        <w:tc>
          <w:tcPr>
            <w:tcW w:w="3236" w:type="dxa"/>
          </w:tcPr>
          <w:p>
            <w:pPr>
              <w:pStyle w:val="TableParagraph"/>
              <w:spacing w:line="146" w:lineRule="exact" w:before="29"/>
              <w:ind w:left="227"/>
              <w:rPr>
                <w:sz w:val="13"/>
              </w:rPr>
            </w:pPr>
            <w:r>
              <w:rPr>
                <w:color w:val="231F20"/>
                <w:sz w:val="13"/>
              </w:rPr>
              <w:t>Capital</w:t>
            </w:r>
            <w:r>
              <w:rPr>
                <w:color w:val="231F20"/>
                <w:spacing w:val="-1"/>
                <w:sz w:val="13"/>
              </w:rPr>
              <w:t> </w:t>
            </w:r>
            <w:r>
              <w:rPr>
                <w:color w:val="231F20"/>
                <w:sz w:val="13"/>
              </w:rPr>
              <w:t>assets not</w:t>
            </w:r>
            <w:r>
              <w:rPr>
                <w:color w:val="231F20"/>
                <w:spacing w:val="-1"/>
                <w:sz w:val="13"/>
              </w:rPr>
              <w:t> </w:t>
            </w:r>
            <w:r>
              <w:rPr>
                <w:color w:val="231F20"/>
                <w:spacing w:val="-2"/>
                <w:sz w:val="13"/>
              </w:rPr>
              <w:t>depreciating</w:t>
            </w:r>
          </w:p>
        </w:tc>
        <w:tc>
          <w:tcPr>
            <w:tcW w:w="1082" w:type="dxa"/>
          </w:tcPr>
          <w:p>
            <w:pPr>
              <w:pStyle w:val="TableParagraph"/>
              <w:tabs>
                <w:tab w:pos="275" w:val="left" w:leader="none"/>
              </w:tabs>
              <w:spacing w:line="146" w:lineRule="exact" w:before="29"/>
              <w:ind w:right="74"/>
              <w:jc w:val="right"/>
              <w:rPr>
                <w:sz w:val="13"/>
              </w:rPr>
            </w:pPr>
            <w:r>
              <w:rPr>
                <w:color w:val="231F20"/>
                <w:spacing w:val="-10"/>
                <w:sz w:val="13"/>
              </w:rPr>
              <w:t>$</w:t>
            </w:r>
            <w:r>
              <w:rPr>
                <w:color w:val="231F20"/>
                <w:sz w:val="13"/>
              </w:rPr>
              <w:tab/>
            </w:r>
            <w:r>
              <w:rPr>
                <w:color w:val="231F20"/>
                <w:spacing w:val="-2"/>
                <w:sz w:val="13"/>
              </w:rPr>
              <w:t>14,396,654</w:t>
            </w:r>
          </w:p>
        </w:tc>
        <w:tc>
          <w:tcPr>
            <w:tcW w:w="193" w:type="dxa"/>
          </w:tcPr>
          <w:p>
            <w:pPr>
              <w:pStyle w:val="TableParagraph"/>
              <w:rPr>
                <w:rFonts w:ascii="Times New Roman"/>
                <w:sz w:val="12"/>
              </w:rPr>
            </w:pPr>
          </w:p>
        </w:tc>
        <w:tc>
          <w:tcPr>
            <w:tcW w:w="1083" w:type="dxa"/>
            <w:gridSpan w:val="2"/>
          </w:tcPr>
          <w:p>
            <w:pPr>
              <w:pStyle w:val="TableParagraph"/>
              <w:tabs>
                <w:tab w:pos="419" w:val="left" w:leader="none"/>
              </w:tabs>
              <w:spacing w:line="146" w:lineRule="exact" w:before="29"/>
              <w:ind w:left="69"/>
              <w:rPr>
                <w:sz w:val="13"/>
              </w:rPr>
            </w:pPr>
            <w:r>
              <w:rPr>
                <w:color w:val="231F20"/>
                <w:spacing w:val="-10"/>
                <w:sz w:val="13"/>
              </w:rPr>
              <w:t>$</w:t>
            </w:r>
            <w:r>
              <w:rPr>
                <w:color w:val="231F20"/>
                <w:sz w:val="13"/>
              </w:rPr>
              <w:tab/>
            </w:r>
            <w:r>
              <w:rPr>
                <w:color w:val="231F20"/>
                <w:spacing w:val="-2"/>
                <w:sz w:val="13"/>
              </w:rPr>
              <w:t>6,525,731</w:t>
            </w:r>
          </w:p>
        </w:tc>
        <w:tc>
          <w:tcPr>
            <w:tcW w:w="191" w:type="dxa"/>
          </w:tcPr>
          <w:p>
            <w:pPr>
              <w:pStyle w:val="TableParagraph"/>
              <w:rPr>
                <w:rFonts w:ascii="Times New Roman"/>
                <w:sz w:val="12"/>
              </w:rPr>
            </w:pPr>
          </w:p>
        </w:tc>
        <w:tc>
          <w:tcPr>
            <w:tcW w:w="262" w:type="dxa"/>
          </w:tcPr>
          <w:p>
            <w:pPr>
              <w:pStyle w:val="TableParagraph"/>
              <w:spacing w:line="146" w:lineRule="exact" w:before="29"/>
              <w:ind w:left="68"/>
              <w:rPr>
                <w:sz w:val="13"/>
              </w:rPr>
            </w:pPr>
            <w:r>
              <w:rPr>
                <w:color w:val="231F20"/>
                <w:w w:val="101"/>
                <w:sz w:val="13"/>
              </w:rPr>
              <w:t>$</w:t>
            </w:r>
          </w:p>
        </w:tc>
        <w:tc>
          <w:tcPr>
            <w:tcW w:w="1272" w:type="dxa"/>
            <w:gridSpan w:val="2"/>
          </w:tcPr>
          <w:p>
            <w:pPr>
              <w:pStyle w:val="TableParagraph"/>
              <w:tabs>
                <w:tab w:pos="1080" w:val="left" w:leader="none"/>
              </w:tabs>
              <w:spacing w:line="146" w:lineRule="exact" w:before="29"/>
              <w:ind w:left="114"/>
              <w:rPr>
                <w:sz w:val="13"/>
              </w:rPr>
            </w:pPr>
            <w:r>
              <w:rPr>
                <w:color w:val="231F20"/>
                <w:spacing w:val="-2"/>
                <w:sz w:val="13"/>
              </w:rPr>
              <w:t>(8,814,255)</w:t>
            </w:r>
            <w:r>
              <w:rPr>
                <w:color w:val="231F20"/>
                <w:sz w:val="13"/>
              </w:rPr>
              <w:tab/>
            </w:r>
            <w:r>
              <w:rPr>
                <w:color w:val="231F20"/>
                <w:spacing w:val="-10"/>
                <w:sz w:val="13"/>
              </w:rPr>
              <w:t>$</w:t>
            </w:r>
          </w:p>
        </w:tc>
        <w:tc>
          <w:tcPr>
            <w:tcW w:w="819" w:type="dxa"/>
          </w:tcPr>
          <w:p>
            <w:pPr>
              <w:pStyle w:val="TableParagraph"/>
              <w:spacing w:line="146" w:lineRule="exact" w:before="29"/>
              <w:ind w:right="71"/>
              <w:jc w:val="right"/>
              <w:rPr>
                <w:sz w:val="13"/>
              </w:rPr>
            </w:pPr>
            <w:r>
              <w:rPr>
                <w:color w:val="231F20"/>
                <w:w w:val="101"/>
                <w:sz w:val="13"/>
              </w:rPr>
              <w:t>-</w:t>
            </w:r>
          </w:p>
        </w:tc>
        <w:tc>
          <w:tcPr>
            <w:tcW w:w="190" w:type="dxa"/>
          </w:tcPr>
          <w:p>
            <w:pPr>
              <w:pStyle w:val="TableParagraph"/>
              <w:rPr>
                <w:rFonts w:ascii="Times New Roman"/>
                <w:sz w:val="12"/>
              </w:rPr>
            </w:pPr>
          </w:p>
        </w:tc>
        <w:tc>
          <w:tcPr>
            <w:tcW w:w="1100" w:type="dxa"/>
          </w:tcPr>
          <w:p>
            <w:pPr>
              <w:pStyle w:val="TableParagraph"/>
              <w:tabs>
                <w:tab w:pos="276" w:val="left" w:leader="none"/>
              </w:tabs>
              <w:spacing w:line="146" w:lineRule="exact" w:before="29"/>
              <w:ind w:right="89"/>
              <w:jc w:val="right"/>
              <w:rPr>
                <w:sz w:val="13"/>
              </w:rPr>
            </w:pPr>
            <w:r>
              <w:rPr>
                <w:color w:val="231F20"/>
                <w:spacing w:val="-10"/>
                <w:sz w:val="13"/>
              </w:rPr>
              <w:t>$</w:t>
            </w:r>
            <w:r>
              <w:rPr>
                <w:color w:val="231F20"/>
                <w:sz w:val="13"/>
              </w:rPr>
              <w:tab/>
            </w:r>
            <w:r>
              <w:rPr>
                <w:color w:val="231F20"/>
                <w:spacing w:val="-2"/>
                <w:sz w:val="13"/>
              </w:rPr>
              <w:t>12,108,130</w:t>
            </w:r>
          </w:p>
        </w:tc>
      </w:tr>
      <w:tr>
        <w:trPr>
          <w:trHeight w:val="163" w:hRule="atLeast"/>
        </w:trPr>
        <w:tc>
          <w:tcPr>
            <w:tcW w:w="3236" w:type="dxa"/>
          </w:tcPr>
          <w:p>
            <w:pPr>
              <w:pStyle w:val="TableParagraph"/>
              <w:spacing w:line="129" w:lineRule="exact" w:before="13"/>
              <w:ind w:left="227"/>
              <w:rPr>
                <w:sz w:val="13"/>
              </w:rPr>
            </w:pPr>
            <w:r>
              <w:rPr>
                <w:color w:val="231F20"/>
                <w:sz w:val="13"/>
              </w:rPr>
              <w:t>Depreciating</w:t>
            </w:r>
            <w:r>
              <w:rPr>
                <w:color w:val="231F20"/>
                <w:spacing w:val="-2"/>
                <w:sz w:val="13"/>
              </w:rPr>
              <w:t> </w:t>
            </w:r>
            <w:r>
              <w:rPr>
                <w:color w:val="231F20"/>
                <w:sz w:val="13"/>
              </w:rPr>
              <w:t>capital assets,</w:t>
            </w:r>
            <w:r>
              <w:rPr>
                <w:color w:val="231F20"/>
                <w:spacing w:val="-1"/>
                <w:sz w:val="13"/>
              </w:rPr>
              <w:t> </w:t>
            </w:r>
            <w:r>
              <w:rPr>
                <w:color w:val="231F20"/>
                <w:sz w:val="13"/>
              </w:rPr>
              <w:t>at </w:t>
            </w:r>
            <w:r>
              <w:rPr>
                <w:color w:val="231F20"/>
                <w:spacing w:val="-4"/>
                <w:sz w:val="13"/>
              </w:rPr>
              <w:t>cost</w:t>
            </w:r>
          </w:p>
        </w:tc>
        <w:tc>
          <w:tcPr>
            <w:tcW w:w="1082" w:type="dxa"/>
            <w:tcBorders>
              <w:bottom w:val="single" w:sz="12" w:space="0" w:color="231F20"/>
            </w:tcBorders>
          </w:tcPr>
          <w:p>
            <w:pPr>
              <w:pStyle w:val="TableParagraph"/>
              <w:spacing w:line="129" w:lineRule="exact" w:before="13"/>
              <w:ind w:right="73"/>
              <w:jc w:val="right"/>
              <w:rPr>
                <w:sz w:val="13"/>
              </w:rPr>
            </w:pPr>
            <w:r>
              <w:rPr>
                <w:color w:val="231F20"/>
                <w:spacing w:val="-2"/>
                <w:sz w:val="13"/>
              </w:rPr>
              <w:t>335,265,680</w:t>
            </w:r>
          </w:p>
        </w:tc>
        <w:tc>
          <w:tcPr>
            <w:tcW w:w="193" w:type="dxa"/>
          </w:tcPr>
          <w:p>
            <w:pPr>
              <w:pStyle w:val="TableParagraph"/>
              <w:rPr>
                <w:rFonts w:ascii="Times New Roman"/>
                <w:sz w:val="10"/>
              </w:rPr>
            </w:pPr>
          </w:p>
        </w:tc>
        <w:tc>
          <w:tcPr>
            <w:tcW w:w="1083" w:type="dxa"/>
            <w:gridSpan w:val="2"/>
            <w:tcBorders>
              <w:bottom w:val="single" w:sz="12" w:space="0" w:color="231F20"/>
            </w:tcBorders>
          </w:tcPr>
          <w:p>
            <w:pPr>
              <w:pStyle w:val="TableParagraph"/>
              <w:spacing w:line="129" w:lineRule="exact" w:before="13"/>
              <w:ind w:left="420"/>
              <w:rPr>
                <w:sz w:val="13"/>
              </w:rPr>
            </w:pPr>
            <w:r>
              <w:rPr>
                <w:color w:val="231F20"/>
                <w:spacing w:val="-2"/>
                <w:sz w:val="13"/>
              </w:rPr>
              <w:t>3,135,730</w:t>
            </w:r>
          </w:p>
        </w:tc>
        <w:tc>
          <w:tcPr>
            <w:tcW w:w="191" w:type="dxa"/>
          </w:tcPr>
          <w:p>
            <w:pPr>
              <w:pStyle w:val="TableParagraph"/>
              <w:rPr>
                <w:rFonts w:ascii="Times New Roman"/>
                <w:sz w:val="10"/>
              </w:rPr>
            </w:pPr>
          </w:p>
        </w:tc>
        <w:tc>
          <w:tcPr>
            <w:tcW w:w="262" w:type="dxa"/>
            <w:tcBorders>
              <w:bottom w:val="single" w:sz="12" w:space="0" w:color="231F20"/>
            </w:tcBorders>
          </w:tcPr>
          <w:p>
            <w:pPr>
              <w:pStyle w:val="TableParagraph"/>
              <w:rPr>
                <w:rFonts w:ascii="Times New Roman"/>
                <w:sz w:val="10"/>
              </w:rPr>
            </w:pPr>
          </w:p>
        </w:tc>
        <w:tc>
          <w:tcPr>
            <w:tcW w:w="1272" w:type="dxa"/>
            <w:gridSpan w:val="2"/>
          </w:tcPr>
          <w:p>
            <w:pPr>
              <w:pStyle w:val="TableParagraph"/>
              <w:spacing w:line="129" w:lineRule="exact" w:before="13"/>
              <w:ind w:left="157"/>
              <w:rPr>
                <w:sz w:val="13"/>
              </w:rPr>
            </w:pPr>
            <w:r>
              <w:rPr>
                <w:color w:val="231F20"/>
                <w:spacing w:val="-2"/>
                <w:sz w:val="13"/>
              </w:rPr>
              <w:t>8,814,255</w:t>
            </w:r>
          </w:p>
        </w:tc>
        <w:tc>
          <w:tcPr>
            <w:tcW w:w="819" w:type="dxa"/>
            <w:tcBorders>
              <w:bottom w:val="single" w:sz="12" w:space="0" w:color="231F20"/>
            </w:tcBorders>
          </w:tcPr>
          <w:p>
            <w:pPr>
              <w:pStyle w:val="TableParagraph"/>
              <w:spacing w:line="129" w:lineRule="exact" w:before="13"/>
              <w:ind w:right="29"/>
              <w:jc w:val="right"/>
              <w:rPr>
                <w:sz w:val="13"/>
              </w:rPr>
            </w:pPr>
            <w:r>
              <w:rPr>
                <w:color w:val="231F20"/>
                <w:spacing w:val="-2"/>
                <w:sz w:val="13"/>
              </w:rPr>
              <w:t>(1,436,212)</w:t>
            </w:r>
          </w:p>
        </w:tc>
        <w:tc>
          <w:tcPr>
            <w:tcW w:w="190" w:type="dxa"/>
          </w:tcPr>
          <w:p>
            <w:pPr>
              <w:pStyle w:val="TableParagraph"/>
              <w:rPr>
                <w:rFonts w:ascii="Times New Roman"/>
                <w:sz w:val="10"/>
              </w:rPr>
            </w:pPr>
          </w:p>
        </w:tc>
        <w:tc>
          <w:tcPr>
            <w:tcW w:w="1100" w:type="dxa"/>
            <w:tcBorders>
              <w:bottom w:val="single" w:sz="12" w:space="0" w:color="231F20"/>
            </w:tcBorders>
          </w:tcPr>
          <w:p>
            <w:pPr>
              <w:pStyle w:val="TableParagraph"/>
              <w:spacing w:line="129" w:lineRule="exact" w:before="13"/>
              <w:ind w:right="89"/>
              <w:jc w:val="right"/>
              <w:rPr>
                <w:sz w:val="13"/>
              </w:rPr>
            </w:pPr>
            <w:r>
              <w:rPr>
                <w:color w:val="231F20"/>
                <w:spacing w:val="-2"/>
                <w:sz w:val="13"/>
              </w:rPr>
              <w:t>345,779,453</w:t>
            </w:r>
          </w:p>
        </w:tc>
      </w:tr>
      <w:tr>
        <w:trPr>
          <w:trHeight w:val="434" w:hRule="atLeast"/>
        </w:trPr>
        <w:tc>
          <w:tcPr>
            <w:tcW w:w="3236" w:type="dxa"/>
          </w:tcPr>
          <w:p>
            <w:pPr>
              <w:pStyle w:val="TableParagraph"/>
              <w:spacing w:before="6"/>
              <w:rPr>
                <w:sz w:val="15"/>
              </w:rPr>
            </w:pPr>
          </w:p>
          <w:p>
            <w:pPr>
              <w:pStyle w:val="TableParagraph"/>
              <w:spacing w:before="1"/>
              <w:ind w:left="420"/>
              <w:rPr>
                <w:sz w:val="13"/>
              </w:rPr>
            </w:pPr>
            <w:r>
              <w:rPr>
                <w:color w:val="231F20"/>
                <w:sz w:val="13"/>
              </w:rPr>
              <w:t>Total cost capital </w:t>
            </w:r>
            <w:r>
              <w:rPr>
                <w:color w:val="231F20"/>
                <w:spacing w:val="-2"/>
                <w:sz w:val="13"/>
              </w:rPr>
              <w:t>assets</w:t>
            </w:r>
          </w:p>
        </w:tc>
        <w:tc>
          <w:tcPr>
            <w:tcW w:w="1082" w:type="dxa"/>
            <w:tcBorders>
              <w:top w:val="single" w:sz="12" w:space="0" w:color="231F20"/>
            </w:tcBorders>
          </w:tcPr>
          <w:p>
            <w:pPr>
              <w:pStyle w:val="TableParagraph"/>
              <w:spacing w:before="6"/>
              <w:rPr>
                <w:sz w:val="15"/>
              </w:rPr>
            </w:pPr>
          </w:p>
          <w:p>
            <w:pPr>
              <w:pStyle w:val="TableParagraph"/>
              <w:spacing w:before="1"/>
              <w:ind w:right="73"/>
              <w:jc w:val="right"/>
              <w:rPr>
                <w:sz w:val="13"/>
              </w:rPr>
            </w:pPr>
            <w:r>
              <w:rPr>
                <w:color w:val="231F20"/>
                <w:spacing w:val="-2"/>
                <w:sz w:val="13"/>
              </w:rPr>
              <w:t>349,662,334</w:t>
            </w:r>
          </w:p>
        </w:tc>
        <w:tc>
          <w:tcPr>
            <w:tcW w:w="193" w:type="dxa"/>
          </w:tcPr>
          <w:p>
            <w:pPr>
              <w:pStyle w:val="TableParagraph"/>
              <w:rPr>
                <w:rFonts w:ascii="Times New Roman"/>
                <w:sz w:val="14"/>
              </w:rPr>
            </w:pPr>
          </w:p>
        </w:tc>
        <w:tc>
          <w:tcPr>
            <w:tcW w:w="1083" w:type="dxa"/>
            <w:gridSpan w:val="2"/>
            <w:tcBorders>
              <w:top w:val="single" w:sz="12" w:space="0" w:color="231F20"/>
            </w:tcBorders>
          </w:tcPr>
          <w:p>
            <w:pPr>
              <w:pStyle w:val="TableParagraph"/>
              <w:spacing w:before="6"/>
              <w:rPr>
                <w:sz w:val="15"/>
              </w:rPr>
            </w:pPr>
          </w:p>
          <w:p>
            <w:pPr>
              <w:pStyle w:val="TableParagraph"/>
              <w:spacing w:before="1"/>
              <w:ind w:left="420"/>
              <w:rPr>
                <w:sz w:val="13"/>
              </w:rPr>
            </w:pPr>
            <w:r>
              <w:rPr>
                <w:color w:val="231F20"/>
                <w:spacing w:val="-2"/>
                <w:sz w:val="13"/>
              </w:rPr>
              <w:t>9,661,461</w:t>
            </w:r>
          </w:p>
        </w:tc>
        <w:tc>
          <w:tcPr>
            <w:tcW w:w="191" w:type="dxa"/>
          </w:tcPr>
          <w:p>
            <w:pPr>
              <w:pStyle w:val="TableParagraph"/>
              <w:rPr>
                <w:rFonts w:ascii="Times New Roman"/>
                <w:sz w:val="14"/>
              </w:rPr>
            </w:pPr>
          </w:p>
        </w:tc>
        <w:tc>
          <w:tcPr>
            <w:tcW w:w="262" w:type="dxa"/>
            <w:tcBorders>
              <w:top w:val="single" w:sz="12" w:space="0" w:color="231F20"/>
            </w:tcBorders>
          </w:tcPr>
          <w:p>
            <w:pPr>
              <w:pStyle w:val="TableParagraph"/>
              <w:rPr>
                <w:rFonts w:ascii="Times New Roman"/>
                <w:sz w:val="14"/>
              </w:rPr>
            </w:pPr>
          </w:p>
        </w:tc>
        <w:tc>
          <w:tcPr>
            <w:tcW w:w="1272" w:type="dxa"/>
            <w:gridSpan w:val="2"/>
            <w:tcBorders>
              <w:top w:val="single" w:sz="12" w:space="0" w:color="231F20"/>
            </w:tcBorders>
          </w:tcPr>
          <w:p>
            <w:pPr>
              <w:pStyle w:val="TableParagraph"/>
              <w:spacing w:before="6"/>
              <w:rPr>
                <w:sz w:val="15"/>
              </w:rPr>
            </w:pPr>
          </w:p>
          <w:p>
            <w:pPr>
              <w:pStyle w:val="TableParagraph"/>
              <w:spacing w:before="1"/>
              <w:ind w:left="172"/>
              <w:jc w:val="center"/>
              <w:rPr>
                <w:sz w:val="13"/>
              </w:rPr>
            </w:pPr>
            <w:r>
              <w:rPr>
                <w:color w:val="231F20"/>
                <w:w w:val="101"/>
                <w:sz w:val="13"/>
              </w:rPr>
              <w:t>-</w:t>
            </w:r>
          </w:p>
        </w:tc>
        <w:tc>
          <w:tcPr>
            <w:tcW w:w="819" w:type="dxa"/>
            <w:tcBorders>
              <w:top w:val="single" w:sz="12" w:space="0" w:color="231F20"/>
            </w:tcBorders>
          </w:tcPr>
          <w:p>
            <w:pPr>
              <w:pStyle w:val="TableParagraph"/>
              <w:spacing w:before="7"/>
              <w:rPr>
                <w:sz w:val="15"/>
              </w:rPr>
            </w:pPr>
          </w:p>
          <w:p>
            <w:pPr>
              <w:pStyle w:val="TableParagraph"/>
              <w:ind w:right="29"/>
              <w:jc w:val="right"/>
              <w:rPr>
                <w:sz w:val="13"/>
              </w:rPr>
            </w:pPr>
            <w:r>
              <w:rPr>
                <w:color w:val="231F20"/>
                <w:spacing w:val="-2"/>
                <w:sz w:val="13"/>
              </w:rPr>
              <w:t>(1,436,212)</w:t>
            </w:r>
          </w:p>
        </w:tc>
        <w:tc>
          <w:tcPr>
            <w:tcW w:w="190" w:type="dxa"/>
          </w:tcPr>
          <w:p>
            <w:pPr>
              <w:pStyle w:val="TableParagraph"/>
              <w:rPr>
                <w:rFonts w:ascii="Times New Roman"/>
                <w:sz w:val="14"/>
              </w:rPr>
            </w:pPr>
          </w:p>
        </w:tc>
        <w:tc>
          <w:tcPr>
            <w:tcW w:w="1100" w:type="dxa"/>
            <w:tcBorders>
              <w:top w:val="single" w:sz="12" w:space="0" w:color="231F20"/>
            </w:tcBorders>
          </w:tcPr>
          <w:p>
            <w:pPr>
              <w:pStyle w:val="TableParagraph"/>
              <w:spacing w:before="7"/>
              <w:rPr>
                <w:sz w:val="15"/>
              </w:rPr>
            </w:pPr>
          </w:p>
          <w:p>
            <w:pPr>
              <w:pStyle w:val="TableParagraph"/>
              <w:ind w:right="89"/>
              <w:jc w:val="right"/>
              <w:rPr>
                <w:sz w:val="13"/>
              </w:rPr>
            </w:pPr>
            <w:r>
              <w:rPr>
                <w:color w:val="231F20"/>
                <w:spacing w:val="-2"/>
                <w:sz w:val="13"/>
              </w:rPr>
              <w:t>357,887,583</w:t>
            </w:r>
          </w:p>
        </w:tc>
      </w:tr>
      <w:tr>
        <w:trPr>
          <w:trHeight w:val="252" w:hRule="atLeast"/>
        </w:trPr>
        <w:tc>
          <w:tcPr>
            <w:tcW w:w="3236" w:type="dxa"/>
          </w:tcPr>
          <w:p>
            <w:pPr>
              <w:pStyle w:val="TableParagraph"/>
              <w:spacing w:line="130" w:lineRule="exact" w:before="102"/>
              <w:ind w:left="34"/>
              <w:rPr>
                <w:sz w:val="13"/>
              </w:rPr>
            </w:pPr>
            <w:r>
              <w:rPr>
                <w:color w:val="231F20"/>
                <w:sz w:val="13"/>
              </w:rPr>
              <w:t>Accumulated</w:t>
            </w:r>
            <w:r>
              <w:rPr>
                <w:color w:val="231F20"/>
                <w:spacing w:val="-2"/>
                <w:sz w:val="13"/>
              </w:rPr>
              <w:t> </w:t>
            </w:r>
            <w:r>
              <w:rPr>
                <w:color w:val="231F20"/>
                <w:sz w:val="13"/>
              </w:rPr>
              <w:t>depreciation</w:t>
            </w:r>
            <w:r>
              <w:rPr>
                <w:color w:val="231F20"/>
                <w:spacing w:val="-1"/>
                <w:sz w:val="13"/>
              </w:rPr>
              <w:t> </w:t>
            </w:r>
            <w:r>
              <w:rPr>
                <w:color w:val="231F20"/>
                <w:sz w:val="13"/>
              </w:rPr>
              <w:t>and</w:t>
            </w:r>
            <w:r>
              <w:rPr>
                <w:color w:val="231F20"/>
                <w:spacing w:val="-3"/>
                <w:sz w:val="13"/>
              </w:rPr>
              <w:t> </w:t>
            </w:r>
            <w:r>
              <w:rPr>
                <w:color w:val="231F20"/>
                <w:spacing w:val="-2"/>
                <w:sz w:val="13"/>
              </w:rPr>
              <w:t>amortization</w:t>
            </w:r>
          </w:p>
        </w:tc>
        <w:tc>
          <w:tcPr>
            <w:tcW w:w="1082" w:type="dxa"/>
            <w:tcBorders>
              <w:bottom w:val="single" w:sz="12" w:space="0" w:color="231F20"/>
            </w:tcBorders>
          </w:tcPr>
          <w:p>
            <w:pPr>
              <w:pStyle w:val="TableParagraph"/>
              <w:spacing w:line="130" w:lineRule="exact" w:before="102"/>
              <w:ind w:right="30"/>
              <w:jc w:val="right"/>
              <w:rPr>
                <w:sz w:val="13"/>
              </w:rPr>
            </w:pPr>
            <w:r>
              <w:rPr>
                <w:color w:val="231F20"/>
                <w:spacing w:val="-2"/>
                <w:sz w:val="13"/>
              </w:rPr>
              <w:t>(191,660,809)</w:t>
            </w:r>
          </w:p>
        </w:tc>
        <w:tc>
          <w:tcPr>
            <w:tcW w:w="193" w:type="dxa"/>
          </w:tcPr>
          <w:p>
            <w:pPr>
              <w:pStyle w:val="TableParagraph"/>
              <w:rPr>
                <w:rFonts w:ascii="Times New Roman"/>
                <w:sz w:val="14"/>
              </w:rPr>
            </w:pPr>
          </w:p>
        </w:tc>
        <w:tc>
          <w:tcPr>
            <w:tcW w:w="1083" w:type="dxa"/>
            <w:gridSpan w:val="2"/>
            <w:tcBorders>
              <w:bottom w:val="single" w:sz="12" w:space="0" w:color="231F20"/>
            </w:tcBorders>
          </w:tcPr>
          <w:p>
            <w:pPr>
              <w:pStyle w:val="TableParagraph"/>
              <w:spacing w:line="130" w:lineRule="exact" w:before="102"/>
              <w:ind w:left="303"/>
              <w:rPr>
                <w:sz w:val="13"/>
              </w:rPr>
            </w:pPr>
            <w:r>
              <w:rPr>
                <w:color w:val="231F20"/>
                <w:spacing w:val="-2"/>
                <w:sz w:val="13"/>
              </w:rPr>
              <w:t>(11,640,988)</w:t>
            </w:r>
          </w:p>
        </w:tc>
        <w:tc>
          <w:tcPr>
            <w:tcW w:w="191" w:type="dxa"/>
          </w:tcPr>
          <w:p>
            <w:pPr>
              <w:pStyle w:val="TableParagraph"/>
              <w:rPr>
                <w:rFonts w:ascii="Times New Roman"/>
                <w:sz w:val="14"/>
              </w:rPr>
            </w:pPr>
          </w:p>
        </w:tc>
        <w:tc>
          <w:tcPr>
            <w:tcW w:w="262" w:type="dxa"/>
            <w:tcBorders>
              <w:bottom w:val="single" w:sz="12" w:space="0" w:color="231F20"/>
            </w:tcBorders>
          </w:tcPr>
          <w:p>
            <w:pPr>
              <w:pStyle w:val="TableParagraph"/>
              <w:rPr>
                <w:rFonts w:ascii="Times New Roman"/>
                <w:sz w:val="14"/>
              </w:rPr>
            </w:pPr>
          </w:p>
        </w:tc>
        <w:tc>
          <w:tcPr>
            <w:tcW w:w="1272" w:type="dxa"/>
            <w:gridSpan w:val="2"/>
          </w:tcPr>
          <w:p>
            <w:pPr>
              <w:pStyle w:val="TableParagraph"/>
              <w:spacing w:line="130" w:lineRule="exact" w:before="102"/>
              <w:ind w:left="171"/>
              <w:jc w:val="center"/>
              <w:rPr>
                <w:sz w:val="13"/>
              </w:rPr>
            </w:pPr>
            <w:r>
              <w:rPr>
                <w:color w:val="231F20"/>
                <w:w w:val="101"/>
                <w:sz w:val="13"/>
              </w:rPr>
              <w:t>-</w:t>
            </w:r>
          </w:p>
        </w:tc>
        <w:tc>
          <w:tcPr>
            <w:tcW w:w="819" w:type="dxa"/>
            <w:tcBorders>
              <w:bottom w:val="single" w:sz="12" w:space="0" w:color="231F20"/>
            </w:tcBorders>
          </w:tcPr>
          <w:p>
            <w:pPr>
              <w:pStyle w:val="TableParagraph"/>
              <w:spacing w:line="130" w:lineRule="exact" w:before="102"/>
              <w:ind w:right="73"/>
              <w:jc w:val="right"/>
              <w:rPr>
                <w:sz w:val="13"/>
              </w:rPr>
            </w:pPr>
            <w:r>
              <w:rPr>
                <w:color w:val="231F20"/>
                <w:spacing w:val="-2"/>
                <w:sz w:val="13"/>
              </w:rPr>
              <w:t>1,436,212</w:t>
            </w:r>
          </w:p>
        </w:tc>
        <w:tc>
          <w:tcPr>
            <w:tcW w:w="190" w:type="dxa"/>
          </w:tcPr>
          <w:p>
            <w:pPr>
              <w:pStyle w:val="TableParagraph"/>
              <w:rPr>
                <w:rFonts w:ascii="Times New Roman"/>
                <w:sz w:val="14"/>
              </w:rPr>
            </w:pPr>
          </w:p>
        </w:tc>
        <w:tc>
          <w:tcPr>
            <w:tcW w:w="1100" w:type="dxa"/>
            <w:tcBorders>
              <w:bottom w:val="single" w:sz="12" w:space="0" w:color="231F20"/>
            </w:tcBorders>
          </w:tcPr>
          <w:p>
            <w:pPr>
              <w:pStyle w:val="TableParagraph"/>
              <w:spacing w:line="130" w:lineRule="exact" w:before="102"/>
              <w:ind w:right="46"/>
              <w:jc w:val="right"/>
              <w:rPr>
                <w:sz w:val="13"/>
              </w:rPr>
            </w:pPr>
            <w:r>
              <w:rPr>
                <w:color w:val="231F20"/>
                <w:spacing w:val="-2"/>
                <w:sz w:val="13"/>
              </w:rPr>
              <w:t>(201,865,585)</w:t>
            </w:r>
          </w:p>
        </w:tc>
      </w:tr>
      <w:tr>
        <w:trPr>
          <w:trHeight w:val="328" w:hRule="atLeast"/>
        </w:trPr>
        <w:tc>
          <w:tcPr>
            <w:tcW w:w="3236" w:type="dxa"/>
          </w:tcPr>
          <w:p>
            <w:pPr>
              <w:pStyle w:val="TableParagraph"/>
              <w:spacing w:before="1"/>
              <w:rPr>
                <w:sz w:val="15"/>
              </w:rPr>
            </w:pPr>
          </w:p>
          <w:p>
            <w:pPr>
              <w:pStyle w:val="TableParagraph"/>
              <w:spacing w:line="135" w:lineRule="exact"/>
              <w:ind w:left="34"/>
              <w:rPr>
                <w:sz w:val="13"/>
              </w:rPr>
            </w:pPr>
            <w:r>
              <w:rPr>
                <w:color w:val="231F20"/>
                <w:sz w:val="13"/>
              </w:rPr>
              <w:t>Capital</w:t>
            </w:r>
            <w:r>
              <w:rPr>
                <w:color w:val="231F20"/>
                <w:spacing w:val="-2"/>
                <w:sz w:val="13"/>
              </w:rPr>
              <w:t> </w:t>
            </w:r>
            <w:r>
              <w:rPr>
                <w:color w:val="231F20"/>
                <w:sz w:val="13"/>
              </w:rPr>
              <w:t>assets,</w:t>
            </w:r>
            <w:r>
              <w:rPr>
                <w:color w:val="231F20"/>
                <w:spacing w:val="-1"/>
                <w:sz w:val="13"/>
              </w:rPr>
              <w:t> </w:t>
            </w:r>
            <w:r>
              <w:rPr>
                <w:color w:val="231F20"/>
                <w:spacing w:val="-5"/>
                <w:sz w:val="13"/>
              </w:rPr>
              <w:t>net</w:t>
            </w:r>
          </w:p>
        </w:tc>
        <w:tc>
          <w:tcPr>
            <w:tcW w:w="1082" w:type="dxa"/>
            <w:tcBorders>
              <w:top w:val="single" w:sz="12" w:space="0" w:color="231F20"/>
              <w:bottom w:val="single" w:sz="8" w:space="0" w:color="231F20"/>
            </w:tcBorders>
          </w:tcPr>
          <w:p>
            <w:pPr>
              <w:pStyle w:val="TableParagraph"/>
              <w:spacing w:before="1"/>
              <w:rPr>
                <w:sz w:val="15"/>
              </w:rPr>
            </w:pPr>
          </w:p>
          <w:p>
            <w:pPr>
              <w:pStyle w:val="TableParagraph"/>
              <w:spacing w:line="135" w:lineRule="exact"/>
              <w:ind w:right="73"/>
              <w:jc w:val="right"/>
              <w:rPr>
                <w:sz w:val="13"/>
              </w:rPr>
            </w:pPr>
            <w:r>
              <w:rPr>
                <w:color w:val="231F20"/>
                <w:sz w:val="13"/>
              </w:rPr>
              <w:t>$</w:t>
            </w:r>
            <w:r>
              <w:rPr>
                <w:color w:val="231F20"/>
                <w:spacing w:val="75"/>
                <w:w w:val="150"/>
                <w:sz w:val="13"/>
              </w:rPr>
              <w:t> </w:t>
            </w:r>
            <w:r>
              <w:rPr>
                <w:color w:val="231F20"/>
                <w:spacing w:val="-2"/>
                <w:sz w:val="13"/>
              </w:rPr>
              <w:t>158,001,525</w:t>
            </w:r>
          </w:p>
        </w:tc>
        <w:tc>
          <w:tcPr>
            <w:tcW w:w="193" w:type="dxa"/>
          </w:tcPr>
          <w:p>
            <w:pPr>
              <w:pStyle w:val="TableParagraph"/>
              <w:rPr>
                <w:rFonts w:ascii="Times New Roman"/>
                <w:sz w:val="14"/>
              </w:rPr>
            </w:pPr>
          </w:p>
        </w:tc>
        <w:tc>
          <w:tcPr>
            <w:tcW w:w="1083" w:type="dxa"/>
            <w:gridSpan w:val="2"/>
            <w:tcBorders>
              <w:top w:val="single" w:sz="12" w:space="0" w:color="231F20"/>
              <w:bottom w:val="single" w:sz="8" w:space="0" w:color="231F20"/>
            </w:tcBorders>
          </w:tcPr>
          <w:p>
            <w:pPr>
              <w:pStyle w:val="TableParagraph"/>
              <w:spacing w:before="1"/>
              <w:rPr>
                <w:sz w:val="15"/>
              </w:rPr>
            </w:pPr>
          </w:p>
          <w:p>
            <w:pPr>
              <w:pStyle w:val="TableParagraph"/>
              <w:tabs>
                <w:tab w:pos="376" w:val="left" w:leader="none"/>
              </w:tabs>
              <w:spacing w:line="135" w:lineRule="exact"/>
              <w:ind w:left="69"/>
              <w:rPr>
                <w:sz w:val="13"/>
              </w:rPr>
            </w:pPr>
            <w:r>
              <w:rPr>
                <w:color w:val="231F20"/>
                <w:spacing w:val="-10"/>
                <w:sz w:val="13"/>
              </w:rPr>
              <w:t>$</w:t>
            </w:r>
            <w:r>
              <w:rPr>
                <w:color w:val="231F20"/>
                <w:sz w:val="13"/>
              </w:rPr>
              <w:tab/>
            </w:r>
            <w:r>
              <w:rPr>
                <w:color w:val="231F20"/>
                <w:spacing w:val="-2"/>
                <w:sz w:val="13"/>
              </w:rPr>
              <w:t>(1,979,527)</w:t>
            </w:r>
          </w:p>
        </w:tc>
        <w:tc>
          <w:tcPr>
            <w:tcW w:w="191" w:type="dxa"/>
          </w:tcPr>
          <w:p>
            <w:pPr>
              <w:pStyle w:val="TableParagraph"/>
              <w:rPr>
                <w:rFonts w:ascii="Times New Roman"/>
                <w:sz w:val="14"/>
              </w:rPr>
            </w:pPr>
          </w:p>
        </w:tc>
        <w:tc>
          <w:tcPr>
            <w:tcW w:w="262" w:type="dxa"/>
            <w:tcBorders>
              <w:top w:val="single" w:sz="12" w:space="0" w:color="231F20"/>
              <w:bottom w:val="single" w:sz="8" w:space="0" w:color="231F20"/>
            </w:tcBorders>
          </w:tcPr>
          <w:p>
            <w:pPr>
              <w:pStyle w:val="TableParagraph"/>
              <w:spacing w:before="1"/>
              <w:rPr>
                <w:sz w:val="15"/>
              </w:rPr>
            </w:pPr>
          </w:p>
          <w:p>
            <w:pPr>
              <w:pStyle w:val="TableParagraph"/>
              <w:spacing w:line="135" w:lineRule="exact"/>
              <w:ind w:left="68"/>
              <w:rPr>
                <w:sz w:val="13"/>
              </w:rPr>
            </w:pPr>
            <w:r>
              <w:rPr>
                <w:color w:val="231F20"/>
                <w:w w:val="101"/>
                <w:sz w:val="13"/>
              </w:rPr>
              <w:t>$</w:t>
            </w:r>
          </w:p>
        </w:tc>
        <w:tc>
          <w:tcPr>
            <w:tcW w:w="1272" w:type="dxa"/>
            <w:gridSpan w:val="2"/>
          </w:tcPr>
          <w:p>
            <w:pPr>
              <w:pStyle w:val="TableParagraph"/>
              <w:spacing w:before="1"/>
              <w:rPr>
                <w:sz w:val="15"/>
              </w:rPr>
            </w:pPr>
          </w:p>
          <w:p>
            <w:pPr>
              <w:pStyle w:val="TableParagraph"/>
              <w:tabs>
                <w:tab w:pos="1079" w:val="left" w:leader="none"/>
              </w:tabs>
              <w:spacing w:line="135" w:lineRule="exact"/>
              <w:ind w:left="699"/>
              <w:rPr>
                <w:sz w:val="13"/>
              </w:rPr>
            </w:pPr>
            <w:r>
              <w:rPr>
                <w:color w:val="231F20"/>
                <w:spacing w:val="-10"/>
                <w:sz w:val="13"/>
              </w:rPr>
              <w:t>-</w:t>
            </w:r>
            <w:r>
              <w:rPr>
                <w:color w:val="231F20"/>
                <w:sz w:val="13"/>
              </w:rPr>
              <w:tab/>
            </w:r>
            <w:r>
              <w:rPr>
                <w:color w:val="231F20"/>
                <w:spacing w:val="-10"/>
                <w:sz w:val="13"/>
              </w:rPr>
              <w:t>$</w:t>
            </w:r>
          </w:p>
        </w:tc>
        <w:tc>
          <w:tcPr>
            <w:tcW w:w="819" w:type="dxa"/>
            <w:tcBorders>
              <w:top w:val="single" w:sz="12" w:space="0" w:color="231F20"/>
              <w:bottom w:val="single" w:sz="8" w:space="0" w:color="231F20"/>
            </w:tcBorders>
          </w:tcPr>
          <w:p>
            <w:pPr>
              <w:pStyle w:val="TableParagraph"/>
              <w:spacing w:before="1"/>
              <w:rPr>
                <w:sz w:val="15"/>
              </w:rPr>
            </w:pPr>
          </w:p>
          <w:p>
            <w:pPr>
              <w:pStyle w:val="TableParagraph"/>
              <w:spacing w:line="135" w:lineRule="exact"/>
              <w:ind w:right="71"/>
              <w:jc w:val="right"/>
              <w:rPr>
                <w:sz w:val="13"/>
              </w:rPr>
            </w:pPr>
            <w:r>
              <w:rPr>
                <w:color w:val="231F20"/>
                <w:w w:val="101"/>
                <w:sz w:val="13"/>
              </w:rPr>
              <w:t>-</w:t>
            </w:r>
          </w:p>
        </w:tc>
        <w:tc>
          <w:tcPr>
            <w:tcW w:w="190" w:type="dxa"/>
          </w:tcPr>
          <w:p>
            <w:pPr>
              <w:pStyle w:val="TableParagraph"/>
              <w:rPr>
                <w:rFonts w:ascii="Times New Roman"/>
                <w:sz w:val="14"/>
              </w:rPr>
            </w:pPr>
          </w:p>
        </w:tc>
        <w:tc>
          <w:tcPr>
            <w:tcW w:w="1100" w:type="dxa"/>
            <w:tcBorders>
              <w:top w:val="single" w:sz="12" w:space="0" w:color="231F20"/>
              <w:bottom w:val="single" w:sz="8" w:space="0" w:color="231F20"/>
            </w:tcBorders>
          </w:tcPr>
          <w:p>
            <w:pPr>
              <w:pStyle w:val="TableParagraph"/>
              <w:spacing w:before="1"/>
              <w:rPr>
                <w:sz w:val="15"/>
              </w:rPr>
            </w:pPr>
          </w:p>
          <w:p>
            <w:pPr>
              <w:pStyle w:val="TableParagraph"/>
              <w:spacing w:line="135" w:lineRule="exact"/>
              <w:ind w:right="90"/>
              <w:jc w:val="right"/>
              <w:rPr>
                <w:sz w:val="13"/>
              </w:rPr>
            </w:pPr>
            <w:r>
              <w:rPr>
                <w:color w:val="231F20"/>
                <w:sz w:val="13"/>
              </w:rPr>
              <w:t>$</w:t>
            </w:r>
            <w:r>
              <w:rPr>
                <w:color w:val="231F20"/>
                <w:spacing w:val="75"/>
                <w:w w:val="150"/>
                <w:sz w:val="13"/>
              </w:rPr>
              <w:t> </w:t>
            </w:r>
            <w:r>
              <w:rPr>
                <w:color w:val="231F20"/>
                <w:spacing w:val="-2"/>
                <w:sz w:val="13"/>
              </w:rPr>
              <w:t>156,021,998</w:t>
            </w:r>
          </w:p>
        </w:tc>
      </w:tr>
      <w:tr>
        <w:trPr>
          <w:trHeight w:val="19" w:hRule="atLeast"/>
        </w:trPr>
        <w:tc>
          <w:tcPr>
            <w:tcW w:w="3236" w:type="dxa"/>
          </w:tcPr>
          <w:p>
            <w:pPr>
              <w:pStyle w:val="TableParagraph"/>
              <w:rPr>
                <w:rFonts w:ascii="Times New Roman"/>
                <w:sz w:val="2"/>
              </w:rPr>
            </w:pPr>
          </w:p>
        </w:tc>
        <w:tc>
          <w:tcPr>
            <w:tcW w:w="1082" w:type="dxa"/>
            <w:tcBorders>
              <w:top w:val="single" w:sz="8" w:space="0" w:color="231F20"/>
              <w:bottom w:val="single" w:sz="8" w:space="0" w:color="231F20"/>
            </w:tcBorders>
          </w:tcPr>
          <w:p>
            <w:pPr>
              <w:pStyle w:val="TableParagraph"/>
              <w:rPr>
                <w:rFonts w:ascii="Times New Roman"/>
                <w:sz w:val="2"/>
              </w:rPr>
            </w:pPr>
          </w:p>
        </w:tc>
        <w:tc>
          <w:tcPr>
            <w:tcW w:w="193" w:type="dxa"/>
          </w:tcPr>
          <w:p>
            <w:pPr>
              <w:pStyle w:val="TableParagraph"/>
              <w:rPr>
                <w:rFonts w:ascii="Times New Roman"/>
                <w:sz w:val="2"/>
              </w:rPr>
            </w:pPr>
          </w:p>
        </w:tc>
        <w:tc>
          <w:tcPr>
            <w:tcW w:w="1083" w:type="dxa"/>
            <w:gridSpan w:val="2"/>
            <w:tcBorders>
              <w:top w:val="single" w:sz="8" w:space="0" w:color="231F20"/>
              <w:bottom w:val="single" w:sz="8" w:space="0" w:color="231F20"/>
            </w:tcBorders>
          </w:tcPr>
          <w:p>
            <w:pPr>
              <w:pStyle w:val="TableParagraph"/>
              <w:rPr>
                <w:rFonts w:ascii="Times New Roman"/>
                <w:sz w:val="2"/>
              </w:rPr>
            </w:pPr>
          </w:p>
        </w:tc>
        <w:tc>
          <w:tcPr>
            <w:tcW w:w="191" w:type="dxa"/>
          </w:tcPr>
          <w:p>
            <w:pPr>
              <w:pStyle w:val="TableParagraph"/>
              <w:rPr>
                <w:rFonts w:ascii="Times New Roman"/>
                <w:sz w:val="2"/>
              </w:rPr>
            </w:pPr>
          </w:p>
        </w:tc>
        <w:tc>
          <w:tcPr>
            <w:tcW w:w="262" w:type="dxa"/>
            <w:tcBorders>
              <w:top w:val="single" w:sz="8" w:space="0" w:color="231F20"/>
              <w:bottom w:val="single" w:sz="8" w:space="0" w:color="231F20"/>
            </w:tcBorders>
          </w:tcPr>
          <w:p>
            <w:pPr>
              <w:pStyle w:val="TableParagraph"/>
              <w:rPr>
                <w:rFonts w:ascii="Times New Roman"/>
                <w:sz w:val="2"/>
              </w:rPr>
            </w:pPr>
          </w:p>
        </w:tc>
        <w:tc>
          <w:tcPr>
            <w:tcW w:w="1272" w:type="dxa"/>
            <w:gridSpan w:val="2"/>
            <w:tcBorders>
              <w:top w:val="single" w:sz="8" w:space="0" w:color="231F20"/>
              <w:bottom w:val="single" w:sz="8" w:space="0" w:color="231F20"/>
            </w:tcBorders>
          </w:tcPr>
          <w:p>
            <w:pPr>
              <w:pStyle w:val="TableParagraph"/>
              <w:rPr>
                <w:rFonts w:ascii="Times New Roman"/>
                <w:sz w:val="2"/>
              </w:rPr>
            </w:pPr>
          </w:p>
        </w:tc>
        <w:tc>
          <w:tcPr>
            <w:tcW w:w="819" w:type="dxa"/>
            <w:tcBorders>
              <w:top w:val="single" w:sz="8" w:space="0" w:color="231F20"/>
              <w:bottom w:val="single" w:sz="8" w:space="0" w:color="231F20"/>
            </w:tcBorders>
          </w:tcPr>
          <w:p>
            <w:pPr>
              <w:pStyle w:val="TableParagraph"/>
              <w:rPr>
                <w:rFonts w:ascii="Times New Roman"/>
                <w:sz w:val="2"/>
              </w:rPr>
            </w:pPr>
          </w:p>
        </w:tc>
        <w:tc>
          <w:tcPr>
            <w:tcW w:w="190" w:type="dxa"/>
          </w:tcPr>
          <w:p>
            <w:pPr>
              <w:pStyle w:val="TableParagraph"/>
              <w:rPr>
                <w:rFonts w:ascii="Times New Roman"/>
                <w:sz w:val="2"/>
              </w:rPr>
            </w:pPr>
          </w:p>
        </w:tc>
        <w:tc>
          <w:tcPr>
            <w:tcW w:w="1100" w:type="dxa"/>
            <w:tcBorders>
              <w:top w:val="single" w:sz="8" w:space="0" w:color="231F20"/>
              <w:bottom w:val="single" w:sz="8" w:space="0" w:color="231F20"/>
            </w:tcBorders>
          </w:tcPr>
          <w:p>
            <w:pPr>
              <w:pStyle w:val="TableParagraph"/>
              <w:rPr>
                <w:rFonts w:ascii="Times New Roman"/>
                <w:sz w:val="2"/>
              </w:rPr>
            </w:pPr>
          </w:p>
        </w:tc>
      </w:tr>
    </w:tbl>
    <w:p>
      <w:pPr>
        <w:spacing w:after="0"/>
        <w:rPr>
          <w:rFonts w:ascii="Times New Roman"/>
          <w:sz w:val="2"/>
        </w:rPr>
        <w:sectPr>
          <w:type w:val="continuous"/>
          <w:pgSz w:w="12240" w:h="15840"/>
          <w:pgMar w:header="1282" w:footer="1097" w:top="1460" w:bottom="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4"/>
        </w:rPr>
        <w:t> </w:t>
      </w:r>
      <w:r>
        <w:rPr>
          <w:color w:val="231F20"/>
        </w:rPr>
        <w:t>6</w:t>
      </w:r>
      <w:r>
        <w:rPr>
          <w:color w:val="231F20"/>
          <w:spacing w:val="-3"/>
        </w:rPr>
        <w:t> </w:t>
      </w:r>
      <w:r>
        <w:rPr>
          <w:color w:val="231F20"/>
        </w:rPr>
        <w:t>–</w:t>
      </w:r>
      <w:r>
        <w:rPr>
          <w:color w:val="231F20"/>
          <w:spacing w:val="-4"/>
        </w:rPr>
        <w:t> </w:t>
      </w:r>
      <w:r>
        <w:rPr>
          <w:color w:val="231F20"/>
        </w:rPr>
        <w:t>Long-Term</w:t>
      </w:r>
      <w:r>
        <w:rPr>
          <w:color w:val="231F20"/>
          <w:spacing w:val="-2"/>
        </w:rPr>
        <w:t> Liabilities</w:t>
      </w:r>
    </w:p>
    <w:p>
      <w:pPr>
        <w:pStyle w:val="BodyText"/>
        <w:spacing w:before="1"/>
        <w:rPr>
          <w:b/>
        </w:rPr>
      </w:pPr>
    </w:p>
    <w:p>
      <w:pPr>
        <w:pStyle w:val="BodyText"/>
        <w:ind w:left="1440"/>
      </w:pPr>
      <w:r>
        <w:rPr>
          <w:color w:val="231F20"/>
        </w:rPr>
        <w:t>Long-term</w:t>
      </w:r>
      <w:r>
        <w:rPr>
          <w:color w:val="231F20"/>
          <w:spacing w:val="-7"/>
        </w:rPr>
        <w:t> </w:t>
      </w:r>
      <w:r>
        <w:rPr>
          <w:color w:val="231F20"/>
        </w:rPr>
        <w:t>liability</w:t>
      </w:r>
      <w:r>
        <w:rPr>
          <w:color w:val="231F20"/>
          <w:spacing w:val="-5"/>
        </w:rPr>
        <w:t> </w:t>
      </w:r>
      <w:r>
        <w:rPr>
          <w:color w:val="231F20"/>
        </w:rPr>
        <w:t>activity</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year</w:t>
      </w:r>
      <w:r>
        <w:rPr>
          <w:color w:val="231F20"/>
          <w:spacing w:val="-5"/>
        </w:rPr>
        <w:t> </w:t>
      </w:r>
      <w:r>
        <w:rPr>
          <w:color w:val="231F20"/>
        </w:rPr>
        <w:t>ended</w:t>
      </w:r>
      <w:r>
        <w:rPr>
          <w:color w:val="231F20"/>
          <w:spacing w:val="-6"/>
        </w:rPr>
        <w:t> </w:t>
      </w:r>
      <w:r>
        <w:rPr>
          <w:color w:val="231F20"/>
        </w:rPr>
        <w:t>June</w:t>
      </w:r>
      <w:r>
        <w:rPr>
          <w:color w:val="231F20"/>
          <w:spacing w:val="-5"/>
        </w:rPr>
        <w:t> </w:t>
      </w:r>
      <w:r>
        <w:rPr>
          <w:color w:val="231F20"/>
        </w:rPr>
        <w:t>30,</w:t>
      </w:r>
      <w:r>
        <w:rPr>
          <w:color w:val="231F20"/>
          <w:spacing w:val="-5"/>
        </w:rPr>
        <w:t> </w:t>
      </w:r>
      <w:r>
        <w:rPr>
          <w:color w:val="231F20"/>
        </w:rPr>
        <w:t>2022</w:t>
      </w:r>
      <w:r>
        <w:rPr>
          <w:color w:val="231F20"/>
          <w:spacing w:val="-5"/>
        </w:rPr>
        <w:t> </w:t>
      </w:r>
      <w:r>
        <w:rPr>
          <w:color w:val="231F20"/>
        </w:rPr>
        <w:t>is</w:t>
      </w:r>
      <w:r>
        <w:rPr>
          <w:color w:val="231F20"/>
          <w:spacing w:val="-5"/>
        </w:rPr>
        <w:t> </w:t>
      </w:r>
      <w:r>
        <w:rPr>
          <w:color w:val="231F20"/>
        </w:rPr>
        <w:t>as</w:t>
      </w:r>
      <w:r>
        <w:rPr>
          <w:color w:val="231F20"/>
          <w:spacing w:val="-3"/>
        </w:rPr>
        <w:t> </w:t>
      </w:r>
      <w:r>
        <w:rPr>
          <w:color w:val="231F20"/>
          <w:spacing w:val="-2"/>
        </w:rPr>
        <w:t>follows:</w:t>
      </w:r>
    </w:p>
    <w:p>
      <w:pPr>
        <w:pStyle w:val="BodyText"/>
        <w:spacing w:before="3" w:after="1"/>
        <w:rPr>
          <w:sz w:val="22"/>
        </w:rPr>
      </w:pPr>
    </w:p>
    <w:tbl>
      <w:tblPr>
        <w:tblW w:w="0" w:type="auto"/>
        <w:jc w:val="left"/>
        <w:tblInd w:w="1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26"/>
        <w:gridCol w:w="188"/>
        <w:gridCol w:w="1238"/>
        <w:gridCol w:w="188"/>
        <w:gridCol w:w="1238"/>
        <w:gridCol w:w="189"/>
        <w:gridCol w:w="1238"/>
        <w:gridCol w:w="189"/>
        <w:gridCol w:w="1239"/>
        <w:gridCol w:w="188"/>
        <w:gridCol w:w="1238"/>
      </w:tblGrid>
      <w:tr>
        <w:trPr>
          <w:trHeight w:val="200" w:hRule="atLeast"/>
        </w:trPr>
        <w:tc>
          <w:tcPr>
            <w:tcW w:w="2414" w:type="dxa"/>
            <w:gridSpan w:val="2"/>
          </w:tcPr>
          <w:p>
            <w:pPr>
              <w:pStyle w:val="TableParagraph"/>
              <w:rPr>
                <w:rFonts w:ascii="Times New Roman"/>
                <w:sz w:val="12"/>
              </w:rPr>
            </w:pPr>
          </w:p>
        </w:tc>
        <w:tc>
          <w:tcPr>
            <w:tcW w:w="1238" w:type="dxa"/>
          </w:tcPr>
          <w:p>
            <w:pPr>
              <w:pStyle w:val="TableParagraph"/>
              <w:spacing w:line="179" w:lineRule="exact"/>
              <w:ind w:left="337"/>
              <w:rPr>
                <w:sz w:val="16"/>
              </w:rPr>
            </w:pPr>
            <w:r>
              <w:rPr>
                <w:color w:val="231F20"/>
                <w:spacing w:val="-2"/>
                <w:sz w:val="16"/>
              </w:rPr>
              <w:t>Balance</w:t>
            </w:r>
          </w:p>
        </w:tc>
        <w:tc>
          <w:tcPr>
            <w:tcW w:w="188" w:type="dxa"/>
          </w:tcPr>
          <w:p>
            <w:pPr>
              <w:pStyle w:val="TableParagraph"/>
              <w:rPr>
                <w:rFonts w:ascii="Times New Roman"/>
                <w:sz w:val="12"/>
              </w:rPr>
            </w:pPr>
          </w:p>
        </w:tc>
        <w:tc>
          <w:tcPr>
            <w:tcW w:w="1238" w:type="dxa"/>
          </w:tcPr>
          <w:p>
            <w:pPr>
              <w:pStyle w:val="TableParagraph"/>
              <w:rPr>
                <w:rFonts w:ascii="Times New Roman"/>
                <w:sz w:val="12"/>
              </w:rPr>
            </w:pPr>
          </w:p>
        </w:tc>
        <w:tc>
          <w:tcPr>
            <w:tcW w:w="189" w:type="dxa"/>
          </w:tcPr>
          <w:p>
            <w:pPr>
              <w:pStyle w:val="TableParagraph"/>
              <w:rPr>
                <w:rFonts w:ascii="Times New Roman"/>
                <w:sz w:val="12"/>
              </w:rPr>
            </w:pPr>
          </w:p>
        </w:tc>
        <w:tc>
          <w:tcPr>
            <w:tcW w:w="1238" w:type="dxa"/>
          </w:tcPr>
          <w:p>
            <w:pPr>
              <w:pStyle w:val="TableParagraph"/>
              <w:rPr>
                <w:rFonts w:ascii="Times New Roman"/>
                <w:sz w:val="12"/>
              </w:rPr>
            </w:pPr>
          </w:p>
        </w:tc>
        <w:tc>
          <w:tcPr>
            <w:tcW w:w="189" w:type="dxa"/>
          </w:tcPr>
          <w:p>
            <w:pPr>
              <w:pStyle w:val="TableParagraph"/>
              <w:rPr>
                <w:rFonts w:ascii="Times New Roman"/>
                <w:sz w:val="12"/>
              </w:rPr>
            </w:pPr>
          </w:p>
        </w:tc>
        <w:tc>
          <w:tcPr>
            <w:tcW w:w="1239" w:type="dxa"/>
          </w:tcPr>
          <w:p>
            <w:pPr>
              <w:pStyle w:val="TableParagraph"/>
              <w:spacing w:line="179" w:lineRule="exact"/>
              <w:ind w:left="334"/>
              <w:rPr>
                <w:sz w:val="16"/>
              </w:rPr>
            </w:pPr>
            <w:r>
              <w:rPr>
                <w:color w:val="231F20"/>
                <w:spacing w:val="-2"/>
                <w:sz w:val="16"/>
              </w:rPr>
              <w:t>Balance</w:t>
            </w:r>
          </w:p>
        </w:tc>
        <w:tc>
          <w:tcPr>
            <w:tcW w:w="188" w:type="dxa"/>
          </w:tcPr>
          <w:p>
            <w:pPr>
              <w:pStyle w:val="TableParagraph"/>
              <w:rPr>
                <w:rFonts w:ascii="Times New Roman"/>
                <w:sz w:val="12"/>
              </w:rPr>
            </w:pPr>
          </w:p>
        </w:tc>
        <w:tc>
          <w:tcPr>
            <w:tcW w:w="1238" w:type="dxa"/>
          </w:tcPr>
          <w:p>
            <w:pPr>
              <w:pStyle w:val="TableParagraph"/>
              <w:spacing w:line="179" w:lineRule="exact"/>
              <w:ind w:left="80"/>
              <w:rPr>
                <w:sz w:val="16"/>
              </w:rPr>
            </w:pPr>
            <w:r>
              <w:rPr>
                <w:color w:val="231F20"/>
                <w:sz w:val="16"/>
              </w:rPr>
              <w:t>Current</w:t>
            </w:r>
            <w:r>
              <w:rPr>
                <w:color w:val="231F20"/>
                <w:spacing w:val="-7"/>
                <w:sz w:val="16"/>
              </w:rPr>
              <w:t> </w:t>
            </w:r>
            <w:r>
              <w:rPr>
                <w:color w:val="231F20"/>
                <w:spacing w:val="-2"/>
                <w:sz w:val="16"/>
              </w:rPr>
              <w:t>Portion</w:t>
            </w:r>
          </w:p>
        </w:tc>
      </w:tr>
      <w:tr>
        <w:trPr>
          <w:trHeight w:val="209" w:hRule="atLeast"/>
        </w:trPr>
        <w:tc>
          <w:tcPr>
            <w:tcW w:w="2226" w:type="dxa"/>
            <w:tcBorders>
              <w:bottom w:val="single" w:sz="12" w:space="0" w:color="231F20"/>
            </w:tcBorders>
          </w:tcPr>
          <w:p>
            <w:pPr>
              <w:pStyle w:val="TableParagraph"/>
              <w:spacing w:line="173" w:lineRule="exact" w:before="16"/>
              <w:ind w:left="32"/>
              <w:rPr>
                <w:sz w:val="16"/>
              </w:rPr>
            </w:pPr>
            <w:r>
              <w:rPr>
                <w:color w:val="231F20"/>
                <w:sz w:val="16"/>
              </w:rPr>
              <w:t>Noncurrent</w:t>
            </w:r>
            <w:r>
              <w:rPr>
                <w:color w:val="231F20"/>
                <w:spacing w:val="-8"/>
                <w:sz w:val="16"/>
              </w:rPr>
              <w:t> </w:t>
            </w:r>
            <w:r>
              <w:rPr>
                <w:color w:val="231F20"/>
                <w:spacing w:val="-2"/>
                <w:sz w:val="16"/>
              </w:rPr>
              <w:t>Liabilities</w:t>
            </w:r>
          </w:p>
        </w:tc>
        <w:tc>
          <w:tcPr>
            <w:tcW w:w="188" w:type="dxa"/>
          </w:tcPr>
          <w:p>
            <w:pPr>
              <w:pStyle w:val="TableParagraph"/>
              <w:rPr>
                <w:rFonts w:ascii="Times New Roman"/>
                <w:sz w:val="14"/>
              </w:rPr>
            </w:pPr>
          </w:p>
        </w:tc>
        <w:tc>
          <w:tcPr>
            <w:tcW w:w="1238" w:type="dxa"/>
            <w:tcBorders>
              <w:bottom w:val="single" w:sz="12" w:space="0" w:color="231F20"/>
            </w:tcBorders>
          </w:tcPr>
          <w:p>
            <w:pPr>
              <w:pStyle w:val="TableParagraph"/>
              <w:spacing w:line="173" w:lineRule="exact" w:before="16"/>
              <w:ind w:right="104"/>
              <w:jc w:val="right"/>
              <w:rPr>
                <w:sz w:val="16"/>
              </w:rPr>
            </w:pPr>
            <w:r>
              <w:rPr>
                <w:color w:val="231F20"/>
                <w:sz w:val="16"/>
              </w:rPr>
              <w:t>June</w:t>
            </w:r>
            <w:r>
              <w:rPr>
                <w:color w:val="231F20"/>
                <w:spacing w:val="-4"/>
                <w:sz w:val="16"/>
              </w:rPr>
              <w:t> </w:t>
            </w:r>
            <w:r>
              <w:rPr>
                <w:color w:val="231F20"/>
                <w:sz w:val="16"/>
              </w:rPr>
              <w:t>30,</w:t>
            </w:r>
            <w:r>
              <w:rPr>
                <w:color w:val="231F20"/>
                <w:spacing w:val="-4"/>
                <w:sz w:val="16"/>
              </w:rPr>
              <w:t> 2021</w:t>
            </w:r>
          </w:p>
        </w:tc>
        <w:tc>
          <w:tcPr>
            <w:tcW w:w="188" w:type="dxa"/>
          </w:tcPr>
          <w:p>
            <w:pPr>
              <w:pStyle w:val="TableParagraph"/>
              <w:rPr>
                <w:rFonts w:ascii="Times New Roman"/>
                <w:sz w:val="14"/>
              </w:rPr>
            </w:pPr>
          </w:p>
        </w:tc>
        <w:tc>
          <w:tcPr>
            <w:tcW w:w="1238" w:type="dxa"/>
            <w:tcBorders>
              <w:bottom w:val="single" w:sz="12" w:space="0" w:color="231F20"/>
            </w:tcBorders>
          </w:tcPr>
          <w:p>
            <w:pPr>
              <w:pStyle w:val="TableParagraph"/>
              <w:spacing w:line="173" w:lineRule="exact" w:before="16"/>
              <w:ind w:left="278"/>
              <w:rPr>
                <w:sz w:val="16"/>
              </w:rPr>
            </w:pPr>
            <w:r>
              <w:rPr>
                <w:color w:val="231F20"/>
                <w:spacing w:val="-2"/>
                <w:sz w:val="16"/>
              </w:rPr>
              <w:t>Increases</w:t>
            </w:r>
          </w:p>
        </w:tc>
        <w:tc>
          <w:tcPr>
            <w:tcW w:w="189" w:type="dxa"/>
          </w:tcPr>
          <w:p>
            <w:pPr>
              <w:pStyle w:val="TableParagraph"/>
              <w:rPr>
                <w:rFonts w:ascii="Times New Roman"/>
                <w:sz w:val="14"/>
              </w:rPr>
            </w:pPr>
          </w:p>
        </w:tc>
        <w:tc>
          <w:tcPr>
            <w:tcW w:w="1238" w:type="dxa"/>
            <w:tcBorders>
              <w:bottom w:val="single" w:sz="12" w:space="0" w:color="231F20"/>
            </w:tcBorders>
          </w:tcPr>
          <w:p>
            <w:pPr>
              <w:pStyle w:val="TableParagraph"/>
              <w:spacing w:line="173" w:lineRule="exact" w:before="16"/>
              <w:ind w:left="242"/>
              <w:rPr>
                <w:sz w:val="16"/>
              </w:rPr>
            </w:pPr>
            <w:r>
              <w:rPr>
                <w:color w:val="231F20"/>
                <w:spacing w:val="-2"/>
                <w:sz w:val="16"/>
              </w:rPr>
              <w:t>Decreases</w:t>
            </w:r>
          </w:p>
        </w:tc>
        <w:tc>
          <w:tcPr>
            <w:tcW w:w="189" w:type="dxa"/>
          </w:tcPr>
          <w:p>
            <w:pPr>
              <w:pStyle w:val="TableParagraph"/>
              <w:rPr>
                <w:rFonts w:ascii="Times New Roman"/>
                <w:sz w:val="14"/>
              </w:rPr>
            </w:pPr>
          </w:p>
        </w:tc>
        <w:tc>
          <w:tcPr>
            <w:tcW w:w="1239" w:type="dxa"/>
            <w:tcBorders>
              <w:bottom w:val="single" w:sz="12" w:space="0" w:color="231F20"/>
            </w:tcBorders>
          </w:tcPr>
          <w:p>
            <w:pPr>
              <w:pStyle w:val="TableParagraph"/>
              <w:spacing w:line="173" w:lineRule="exact" w:before="16"/>
              <w:ind w:right="110"/>
              <w:jc w:val="right"/>
              <w:rPr>
                <w:sz w:val="16"/>
              </w:rPr>
            </w:pPr>
            <w:r>
              <w:rPr>
                <w:color w:val="231F20"/>
                <w:sz w:val="16"/>
              </w:rPr>
              <w:t>June</w:t>
            </w:r>
            <w:r>
              <w:rPr>
                <w:color w:val="231F20"/>
                <w:spacing w:val="-3"/>
                <w:sz w:val="16"/>
              </w:rPr>
              <w:t> </w:t>
            </w:r>
            <w:r>
              <w:rPr>
                <w:color w:val="231F20"/>
                <w:sz w:val="16"/>
              </w:rPr>
              <w:t>30,</w:t>
            </w:r>
            <w:r>
              <w:rPr>
                <w:color w:val="231F20"/>
                <w:spacing w:val="-3"/>
                <w:sz w:val="16"/>
              </w:rPr>
              <w:t> </w:t>
            </w:r>
            <w:r>
              <w:rPr>
                <w:color w:val="231F20"/>
                <w:spacing w:val="-4"/>
                <w:sz w:val="16"/>
              </w:rPr>
              <w:t>2022</w:t>
            </w:r>
          </w:p>
        </w:tc>
        <w:tc>
          <w:tcPr>
            <w:tcW w:w="188" w:type="dxa"/>
          </w:tcPr>
          <w:p>
            <w:pPr>
              <w:pStyle w:val="TableParagraph"/>
              <w:rPr>
                <w:rFonts w:ascii="Times New Roman"/>
                <w:sz w:val="14"/>
              </w:rPr>
            </w:pPr>
          </w:p>
        </w:tc>
        <w:tc>
          <w:tcPr>
            <w:tcW w:w="1238" w:type="dxa"/>
            <w:tcBorders>
              <w:bottom w:val="single" w:sz="12" w:space="0" w:color="231F20"/>
            </w:tcBorders>
          </w:tcPr>
          <w:p>
            <w:pPr>
              <w:pStyle w:val="TableParagraph"/>
              <w:spacing w:line="173" w:lineRule="exact" w:before="16"/>
              <w:ind w:left="136"/>
              <w:rPr>
                <w:sz w:val="16"/>
              </w:rPr>
            </w:pPr>
            <w:r>
              <w:rPr>
                <w:color w:val="231F20"/>
                <w:sz w:val="16"/>
              </w:rPr>
              <w:t>(Due</w:t>
            </w:r>
            <w:r>
              <w:rPr>
                <w:color w:val="231F20"/>
                <w:spacing w:val="-3"/>
                <w:sz w:val="16"/>
              </w:rPr>
              <w:t> </w:t>
            </w:r>
            <w:r>
              <w:rPr>
                <w:color w:val="231F20"/>
                <w:sz w:val="16"/>
              </w:rPr>
              <w:t>in</w:t>
            </w:r>
            <w:r>
              <w:rPr>
                <w:color w:val="231F20"/>
                <w:spacing w:val="-2"/>
                <w:sz w:val="16"/>
              </w:rPr>
              <w:t> 2023)</w:t>
            </w:r>
          </w:p>
        </w:tc>
      </w:tr>
      <w:tr>
        <w:trPr>
          <w:trHeight w:val="204" w:hRule="atLeast"/>
        </w:trPr>
        <w:tc>
          <w:tcPr>
            <w:tcW w:w="2226" w:type="dxa"/>
            <w:tcBorders>
              <w:top w:val="single" w:sz="12" w:space="0" w:color="231F20"/>
            </w:tcBorders>
          </w:tcPr>
          <w:p>
            <w:pPr>
              <w:pStyle w:val="TableParagraph"/>
              <w:spacing w:line="183" w:lineRule="exact"/>
              <w:ind w:left="32"/>
              <w:rPr>
                <w:sz w:val="16"/>
              </w:rPr>
            </w:pPr>
            <w:r>
              <w:rPr>
                <w:color w:val="231F20"/>
                <w:sz w:val="16"/>
              </w:rPr>
              <w:t>Accrued</w:t>
            </w:r>
            <w:r>
              <w:rPr>
                <w:color w:val="231F20"/>
                <w:spacing w:val="-6"/>
                <w:sz w:val="16"/>
              </w:rPr>
              <w:t> </w:t>
            </w:r>
            <w:r>
              <w:rPr>
                <w:color w:val="231F20"/>
                <w:spacing w:val="-2"/>
                <w:sz w:val="16"/>
              </w:rPr>
              <w:t>compensated</w:t>
            </w:r>
          </w:p>
        </w:tc>
        <w:tc>
          <w:tcPr>
            <w:tcW w:w="188" w:type="dxa"/>
          </w:tcPr>
          <w:p>
            <w:pPr>
              <w:pStyle w:val="TableParagraph"/>
              <w:rPr>
                <w:rFonts w:ascii="Times New Roman"/>
                <w:sz w:val="14"/>
              </w:rPr>
            </w:pPr>
          </w:p>
        </w:tc>
        <w:tc>
          <w:tcPr>
            <w:tcW w:w="1238" w:type="dxa"/>
            <w:tcBorders>
              <w:top w:val="single" w:sz="12" w:space="0" w:color="231F20"/>
            </w:tcBorders>
          </w:tcPr>
          <w:p>
            <w:pPr>
              <w:pStyle w:val="TableParagraph"/>
              <w:rPr>
                <w:rFonts w:ascii="Times New Roman"/>
                <w:sz w:val="14"/>
              </w:rPr>
            </w:pPr>
          </w:p>
        </w:tc>
        <w:tc>
          <w:tcPr>
            <w:tcW w:w="188" w:type="dxa"/>
          </w:tcPr>
          <w:p>
            <w:pPr>
              <w:pStyle w:val="TableParagraph"/>
              <w:rPr>
                <w:rFonts w:ascii="Times New Roman"/>
                <w:sz w:val="14"/>
              </w:rPr>
            </w:pPr>
          </w:p>
        </w:tc>
        <w:tc>
          <w:tcPr>
            <w:tcW w:w="1238" w:type="dxa"/>
            <w:tcBorders>
              <w:top w:val="single" w:sz="12" w:space="0" w:color="231F20"/>
            </w:tcBorders>
          </w:tcPr>
          <w:p>
            <w:pPr>
              <w:pStyle w:val="TableParagraph"/>
              <w:rPr>
                <w:rFonts w:ascii="Times New Roman"/>
                <w:sz w:val="14"/>
              </w:rPr>
            </w:pPr>
          </w:p>
        </w:tc>
        <w:tc>
          <w:tcPr>
            <w:tcW w:w="189" w:type="dxa"/>
          </w:tcPr>
          <w:p>
            <w:pPr>
              <w:pStyle w:val="TableParagraph"/>
              <w:rPr>
                <w:rFonts w:ascii="Times New Roman"/>
                <w:sz w:val="14"/>
              </w:rPr>
            </w:pPr>
          </w:p>
        </w:tc>
        <w:tc>
          <w:tcPr>
            <w:tcW w:w="1238" w:type="dxa"/>
            <w:tcBorders>
              <w:top w:val="single" w:sz="12" w:space="0" w:color="231F20"/>
            </w:tcBorders>
          </w:tcPr>
          <w:p>
            <w:pPr>
              <w:pStyle w:val="TableParagraph"/>
              <w:rPr>
                <w:rFonts w:ascii="Times New Roman"/>
                <w:sz w:val="14"/>
              </w:rPr>
            </w:pPr>
          </w:p>
        </w:tc>
        <w:tc>
          <w:tcPr>
            <w:tcW w:w="189" w:type="dxa"/>
          </w:tcPr>
          <w:p>
            <w:pPr>
              <w:pStyle w:val="TableParagraph"/>
              <w:rPr>
                <w:rFonts w:ascii="Times New Roman"/>
                <w:sz w:val="14"/>
              </w:rPr>
            </w:pPr>
          </w:p>
        </w:tc>
        <w:tc>
          <w:tcPr>
            <w:tcW w:w="1239" w:type="dxa"/>
            <w:tcBorders>
              <w:top w:val="single" w:sz="12" w:space="0" w:color="231F20"/>
            </w:tcBorders>
          </w:tcPr>
          <w:p>
            <w:pPr>
              <w:pStyle w:val="TableParagraph"/>
              <w:rPr>
                <w:rFonts w:ascii="Times New Roman"/>
                <w:sz w:val="14"/>
              </w:rPr>
            </w:pPr>
          </w:p>
        </w:tc>
        <w:tc>
          <w:tcPr>
            <w:tcW w:w="188" w:type="dxa"/>
          </w:tcPr>
          <w:p>
            <w:pPr>
              <w:pStyle w:val="TableParagraph"/>
              <w:rPr>
                <w:rFonts w:ascii="Times New Roman"/>
                <w:sz w:val="14"/>
              </w:rPr>
            </w:pPr>
          </w:p>
        </w:tc>
        <w:tc>
          <w:tcPr>
            <w:tcW w:w="1238" w:type="dxa"/>
            <w:tcBorders>
              <w:top w:val="single" w:sz="12" w:space="0" w:color="231F20"/>
            </w:tcBorders>
          </w:tcPr>
          <w:p>
            <w:pPr>
              <w:pStyle w:val="TableParagraph"/>
              <w:rPr>
                <w:rFonts w:ascii="Times New Roman"/>
                <w:sz w:val="14"/>
              </w:rPr>
            </w:pPr>
          </w:p>
        </w:tc>
      </w:tr>
      <w:tr>
        <w:trPr>
          <w:trHeight w:val="221" w:hRule="atLeast"/>
        </w:trPr>
        <w:tc>
          <w:tcPr>
            <w:tcW w:w="2226" w:type="dxa"/>
          </w:tcPr>
          <w:p>
            <w:pPr>
              <w:pStyle w:val="TableParagraph"/>
              <w:spacing w:before="16"/>
              <w:ind w:left="172"/>
              <w:rPr>
                <w:sz w:val="16"/>
              </w:rPr>
            </w:pPr>
            <w:r>
              <w:rPr>
                <w:color w:val="231F20"/>
                <w:spacing w:val="-2"/>
                <w:sz w:val="16"/>
              </w:rPr>
              <w:t>absences</w:t>
            </w:r>
          </w:p>
        </w:tc>
        <w:tc>
          <w:tcPr>
            <w:tcW w:w="188" w:type="dxa"/>
          </w:tcPr>
          <w:p>
            <w:pPr>
              <w:pStyle w:val="TableParagraph"/>
              <w:rPr>
                <w:rFonts w:ascii="Times New Roman"/>
                <w:sz w:val="14"/>
              </w:rPr>
            </w:pPr>
          </w:p>
        </w:tc>
        <w:tc>
          <w:tcPr>
            <w:tcW w:w="1238" w:type="dxa"/>
          </w:tcPr>
          <w:p>
            <w:pPr>
              <w:pStyle w:val="TableParagraph"/>
              <w:tabs>
                <w:tab w:pos="354" w:val="left" w:leader="none"/>
              </w:tabs>
              <w:spacing w:before="16"/>
              <w:ind w:right="85"/>
              <w:jc w:val="right"/>
              <w:rPr>
                <w:sz w:val="16"/>
              </w:rPr>
            </w:pPr>
            <w:r>
              <w:rPr>
                <w:color w:val="231F20"/>
                <w:spacing w:val="-10"/>
                <w:sz w:val="16"/>
              </w:rPr>
              <w:t>$</w:t>
            </w:r>
            <w:r>
              <w:rPr>
                <w:color w:val="231F20"/>
                <w:sz w:val="16"/>
              </w:rPr>
              <w:tab/>
            </w:r>
            <w:r>
              <w:rPr>
                <w:color w:val="231F20"/>
                <w:spacing w:val="-2"/>
                <w:sz w:val="16"/>
              </w:rPr>
              <w:t>8,979,805</w:t>
            </w:r>
          </w:p>
        </w:tc>
        <w:tc>
          <w:tcPr>
            <w:tcW w:w="188" w:type="dxa"/>
          </w:tcPr>
          <w:p>
            <w:pPr>
              <w:pStyle w:val="TableParagraph"/>
              <w:rPr>
                <w:rFonts w:ascii="Times New Roman"/>
                <w:sz w:val="14"/>
              </w:rPr>
            </w:pPr>
          </w:p>
        </w:tc>
        <w:tc>
          <w:tcPr>
            <w:tcW w:w="1238" w:type="dxa"/>
          </w:tcPr>
          <w:p>
            <w:pPr>
              <w:pStyle w:val="TableParagraph"/>
              <w:tabs>
                <w:tab w:pos="356" w:val="left" w:leader="none"/>
              </w:tabs>
              <w:spacing w:before="16"/>
              <w:ind w:right="85"/>
              <w:jc w:val="right"/>
              <w:rPr>
                <w:sz w:val="16"/>
              </w:rPr>
            </w:pPr>
            <w:r>
              <w:rPr>
                <w:color w:val="231F20"/>
                <w:spacing w:val="-10"/>
                <w:sz w:val="16"/>
              </w:rPr>
              <w:t>$</w:t>
            </w:r>
            <w:r>
              <w:rPr>
                <w:color w:val="231F20"/>
                <w:sz w:val="16"/>
              </w:rPr>
              <w:tab/>
            </w:r>
            <w:r>
              <w:rPr>
                <w:color w:val="231F20"/>
                <w:spacing w:val="-2"/>
                <w:sz w:val="16"/>
              </w:rPr>
              <w:t>4,676,196</w:t>
            </w:r>
          </w:p>
        </w:tc>
        <w:tc>
          <w:tcPr>
            <w:tcW w:w="189" w:type="dxa"/>
          </w:tcPr>
          <w:p>
            <w:pPr>
              <w:pStyle w:val="TableParagraph"/>
              <w:rPr>
                <w:rFonts w:ascii="Times New Roman"/>
                <w:sz w:val="14"/>
              </w:rPr>
            </w:pPr>
          </w:p>
        </w:tc>
        <w:tc>
          <w:tcPr>
            <w:tcW w:w="1238" w:type="dxa"/>
          </w:tcPr>
          <w:p>
            <w:pPr>
              <w:pStyle w:val="TableParagraph"/>
              <w:tabs>
                <w:tab w:pos="303" w:val="left" w:leader="none"/>
              </w:tabs>
              <w:spacing w:before="16"/>
              <w:ind w:right="33"/>
              <w:jc w:val="right"/>
              <w:rPr>
                <w:sz w:val="16"/>
              </w:rPr>
            </w:pPr>
            <w:r>
              <w:rPr>
                <w:color w:val="231F20"/>
                <w:spacing w:val="-10"/>
                <w:sz w:val="16"/>
              </w:rPr>
              <w:t>$</w:t>
            </w:r>
            <w:r>
              <w:rPr>
                <w:color w:val="231F20"/>
                <w:sz w:val="16"/>
              </w:rPr>
              <w:tab/>
            </w:r>
            <w:r>
              <w:rPr>
                <w:color w:val="231F20"/>
                <w:spacing w:val="-2"/>
                <w:sz w:val="16"/>
              </w:rPr>
              <w:t>(5,759,508)</w:t>
            </w:r>
          </w:p>
        </w:tc>
        <w:tc>
          <w:tcPr>
            <w:tcW w:w="189" w:type="dxa"/>
          </w:tcPr>
          <w:p>
            <w:pPr>
              <w:pStyle w:val="TableParagraph"/>
              <w:rPr>
                <w:rFonts w:ascii="Times New Roman"/>
                <w:sz w:val="14"/>
              </w:rPr>
            </w:pPr>
          </w:p>
        </w:tc>
        <w:tc>
          <w:tcPr>
            <w:tcW w:w="1239" w:type="dxa"/>
          </w:tcPr>
          <w:p>
            <w:pPr>
              <w:pStyle w:val="TableParagraph"/>
              <w:tabs>
                <w:tab w:pos="356" w:val="left" w:leader="none"/>
              </w:tabs>
              <w:spacing w:before="16"/>
              <w:ind w:right="88"/>
              <w:jc w:val="right"/>
              <w:rPr>
                <w:sz w:val="16"/>
              </w:rPr>
            </w:pPr>
            <w:r>
              <w:rPr>
                <w:color w:val="231F20"/>
                <w:spacing w:val="-10"/>
                <w:sz w:val="16"/>
              </w:rPr>
              <w:t>$</w:t>
            </w:r>
            <w:r>
              <w:rPr>
                <w:color w:val="231F20"/>
                <w:sz w:val="16"/>
              </w:rPr>
              <w:tab/>
            </w:r>
            <w:r>
              <w:rPr>
                <w:color w:val="231F20"/>
                <w:spacing w:val="-2"/>
                <w:sz w:val="16"/>
              </w:rPr>
              <w:t>7,896,493</w:t>
            </w:r>
          </w:p>
        </w:tc>
        <w:tc>
          <w:tcPr>
            <w:tcW w:w="188" w:type="dxa"/>
          </w:tcPr>
          <w:p>
            <w:pPr>
              <w:pStyle w:val="TableParagraph"/>
              <w:rPr>
                <w:rFonts w:ascii="Times New Roman"/>
                <w:sz w:val="14"/>
              </w:rPr>
            </w:pPr>
          </w:p>
        </w:tc>
        <w:tc>
          <w:tcPr>
            <w:tcW w:w="1238" w:type="dxa"/>
          </w:tcPr>
          <w:p>
            <w:pPr>
              <w:pStyle w:val="TableParagraph"/>
              <w:tabs>
                <w:tab w:pos="437" w:val="left" w:leader="none"/>
              </w:tabs>
              <w:spacing w:before="16"/>
              <w:ind w:left="80"/>
              <w:rPr>
                <w:sz w:val="16"/>
              </w:rPr>
            </w:pPr>
            <w:r>
              <w:rPr>
                <w:color w:val="231F20"/>
                <w:spacing w:val="-10"/>
                <w:sz w:val="16"/>
              </w:rPr>
              <w:t>$</w:t>
            </w:r>
            <w:r>
              <w:rPr>
                <w:color w:val="231F20"/>
                <w:sz w:val="16"/>
              </w:rPr>
              <w:tab/>
            </w:r>
            <w:r>
              <w:rPr>
                <w:color w:val="231F20"/>
                <w:spacing w:val="-2"/>
                <w:sz w:val="16"/>
              </w:rPr>
              <w:t>4,903,744</w:t>
            </w:r>
          </w:p>
        </w:tc>
      </w:tr>
      <w:tr>
        <w:trPr>
          <w:trHeight w:val="221" w:hRule="atLeast"/>
        </w:trPr>
        <w:tc>
          <w:tcPr>
            <w:tcW w:w="2226" w:type="dxa"/>
          </w:tcPr>
          <w:p>
            <w:pPr>
              <w:pStyle w:val="TableParagraph"/>
              <w:spacing w:before="16"/>
              <w:ind w:left="32"/>
              <w:rPr>
                <w:sz w:val="16"/>
              </w:rPr>
            </w:pPr>
            <w:r>
              <w:rPr>
                <w:color w:val="231F20"/>
                <w:sz w:val="16"/>
              </w:rPr>
              <w:t>Bonds</w:t>
            </w:r>
            <w:r>
              <w:rPr>
                <w:color w:val="231F20"/>
                <w:spacing w:val="-5"/>
                <w:sz w:val="16"/>
              </w:rPr>
              <w:t> </w:t>
            </w:r>
            <w:r>
              <w:rPr>
                <w:color w:val="231F20"/>
                <w:spacing w:val="-2"/>
                <w:sz w:val="16"/>
              </w:rPr>
              <w:t>payable</w:t>
            </w:r>
          </w:p>
        </w:tc>
        <w:tc>
          <w:tcPr>
            <w:tcW w:w="188" w:type="dxa"/>
          </w:tcPr>
          <w:p>
            <w:pPr>
              <w:pStyle w:val="TableParagraph"/>
              <w:rPr>
                <w:rFonts w:ascii="Times New Roman"/>
                <w:sz w:val="14"/>
              </w:rPr>
            </w:pPr>
          </w:p>
        </w:tc>
        <w:tc>
          <w:tcPr>
            <w:tcW w:w="1238" w:type="dxa"/>
          </w:tcPr>
          <w:p>
            <w:pPr>
              <w:pStyle w:val="TableParagraph"/>
              <w:spacing w:before="16"/>
              <w:ind w:right="85"/>
              <w:jc w:val="right"/>
              <w:rPr>
                <w:sz w:val="16"/>
              </w:rPr>
            </w:pPr>
            <w:r>
              <w:rPr>
                <w:color w:val="231F20"/>
                <w:spacing w:val="-2"/>
                <w:sz w:val="16"/>
              </w:rPr>
              <w:t>18,880,266</w:t>
            </w:r>
          </w:p>
        </w:tc>
        <w:tc>
          <w:tcPr>
            <w:tcW w:w="188" w:type="dxa"/>
          </w:tcPr>
          <w:p>
            <w:pPr>
              <w:pStyle w:val="TableParagraph"/>
              <w:rPr>
                <w:rFonts w:ascii="Times New Roman"/>
                <w:sz w:val="14"/>
              </w:rPr>
            </w:pPr>
          </w:p>
        </w:tc>
        <w:tc>
          <w:tcPr>
            <w:tcW w:w="1238" w:type="dxa"/>
          </w:tcPr>
          <w:p>
            <w:pPr>
              <w:pStyle w:val="TableParagraph"/>
              <w:spacing w:before="16"/>
              <w:ind w:right="85"/>
              <w:jc w:val="right"/>
              <w:rPr>
                <w:sz w:val="16"/>
              </w:rPr>
            </w:pPr>
            <w:r>
              <w:rPr>
                <w:color w:val="231F20"/>
                <w:spacing w:val="-2"/>
                <w:sz w:val="16"/>
              </w:rPr>
              <w:t>8,470,000</w:t>
            </w:r>
          </w:p>
        </w:tc>
        <w:tc>
          <w:tcPr>
            <w:tcW w:w="189" w:type="dxa"/>
          </w:tcPr>
          <w:p>
            <w:pPr>
              <w:pStyle w:val="TableParagraph"/>
              <w:rPr>
                <w:rFonts w:ascii="Times New Roman"/>
                <w:sz w:val="14"/>
              </w:rPr>
            </w:pPr>
          </w:p>
        </w:tc>
        <w:tc>
          <w:tcPr>
            <w:tcW w:w="1238" w:type="dxa"/>
          </w:tcPr>
          <w:p>
            <w:pPr>
              <w:pStyle w:val="TableParagraph"/>
              <w:spacing w:before="16"/>
              <w:ind w:right="33"/>
              <w:jc w:val="right"/>
              <w:rPr>
                <w:sz w:val="16"/>
              </w:rPr>
            </w:pPr>
            <w:r>
              <w:rPr>
                <w:color w:val="231F20"/>
                <w:spacing w:val="-2"/>
                <w:sz w:val="16"/>
              </w:rPr>
              <w:t>(10,092,816)</w:t>
            </w:r>
          </w:p>
        </w:tc>
        <w:tc>
          <w:tcPr>
            <w:tcW w:w="189" w:type="dxa"/>
          </w:tcPr>
          <w:p>
            <w:pPr>
              <w:pStyle w:val="TableParagraph"/>
              <w:rPr>
                <w:rFonts w:ascii="Times New Roman"/>
                <w:sz w:val="14"/>
              </w:rPr>
            </w:pPr>
          </w:p>
        </w:tc>
        <w:tc>
          <w:tcPr>
            <w:tcW w:w="1239" w:type="dxa"/>
          </w:tcPr>
          <w:p>
            <w:pPr>
              <w:pStyle w:val="TableParagraph"/>
              <w:spacing w:before="16"/>
              <w:ind w:right="88"/>
              <w:jc w:val="right"/>
              <w:rPr>
                <w:sz w:val="16"/>
              </w:rPr>
            </w:pPr>
            <w:r>
              <w:rPr>
                <w:color w:val="231F20"/>
                <w:spacing w:val="-2"/>
                <w:sz w:val="16"/>
              </w:rPr>
              <w:t>17,257,450</w:t>
            </w:r>
          </w:p>
        </w:tc>
        <w:tc>
          <w:tcPr>
            <w:tcW w:w="188" w:type="dxa"/>
          </w:tcPr>
          <w:p>
            <w:pPr>
              <w:pStyle w:val="TableParagraph"/>
              <w:rPr>
                <w:rFonts w:ascii="Times New Roman"/>
                <w:sz w:val="14"/>
              </w:rPr>
            </w:pPr>
          </w:p>
        </w:tc>
        <w:tc>
          <w:tcPr>
            <w:tcW w:w="1238" w:type="dxa"/>
          </w:tcPr>
          <w:p>
            <w:pPr>
              <w:pStyle w:val="TableParagraph"/>
              <w:spacing w:before="16"/>
              <w:ind w:right="88"/>
              <w:jc w:val="right"/>
              <w:rPr>
                <w:sz w:val="16"/>
              </w:rPr>
            </w:pPr>
            <w:r>
              <w:rPr>
                <w:color w:val="231F20"/>
                <w:spacing w:val="-2"/>
                <w:sz w:val="16"/>
              </w:rPr>
              <w:t>970,000</w:t>
            </w:r>
          </w:p>
        </w:tc>
      </w:tr>
      <w:tr>
        <w:trPr>
          <w:trHeight w:val="221" w:hRule="atLeast"/>
        </w:trPr>
        <w:tc>
          <w:tcPr>
            <w:tcW w:w="2226" w:type="dxa"/>
          </w:tcPr>
          <w:p>
            <w:pPr>
              <w:pStyle w:val="TableParagraph"/>
              <w:spacing w:before="16"/>
              <w:ind w:left="32"/>
              <w:rPr>
                <w:sz w:val="16"/>
              </w:rPr>
            </w:pPr>
            <w:r>
              <w:rPr>
                <w:color w:val="231F20"/>
                <w:spacing w:val="-2"/>
                <w:sz w:val="16"/>
              </w:rPr>
              <w:t>Environmental</w:t>
            </w:r>
            <w:r>
              <w:rPr>
                <w:color w:val="231F20"/>
                <w:spacing w:val="13"/>
                <w:sz w:val="16"/>
              </w:rPr>
              <w:t> </w:t>
            </w:r>
            <w:r>
              <w:rPr>
                <w:color w:val="231F20"/>
                <w:spacing w:val="-2"/>
                <w:sz w:val="16"/>
              </w:rPr>
              <w:t>remediation</w:t>
            </w:r>
          </w:p>
        </w:tc>
        <w:tc>
          <w:tcPr>
            <w:tcW w:w="188" w:type="dxa"/>
          </w:tcPr>
          <w:p>
            <w:pPr>
              <w:pStyle w:val="TableParagraph"/>
              <w:rPr>
                <w:rFonts w:ascii="Times New Roman"/>
                <w:sz w:val="14"/>
              </w:rPr>
            </w:pPr>
          </w:p>
        </w:tc>
        <w:tc>
          <w:tcPr>
            <w:tcW w:w="1238" w:type="dxa"/>
          </w:tcPr>
          <w:p>
            <w:pPr>
              <w:pStyle w:val="TableParagraph"/>
              <w:spacing w:before="16"/>
              <w:ind w:right="85"/>
              <w:jc w:val="right"/>
              <w:rPr>
                <w:sz w:val="16"/>
              </w:rPr>
            </w:pPr>
            <w:r>
              <w:rPr>
                <w:color w:val="231F20"/>
                <w:spacing w:val="-2"/>
                <w:sz w:val="16"/>
              </w:rPr>
              <w:t>5,434,223</w:t>
            </w:r>
          </w:p>
        </w:tc>
        <w:tc>
          <w:tcPr>
            <w:tcW w:w="188" w:type="dxa"/>
          </w:tcPr>
          <w:p>
            <w:pPr>
              <w:pStyle w:val="TableParagraph"/>
              <w:rPr>
                <w:rFonts w:ascii="Times New Roman"/>
                <w:sz w:val="14"/>
              </w:rPr>
            </w:pPr>
          </w:p>
        </w:tc>
        <w:tc>
          <w:tcPr>
            <w:tcW w:w="1238" w:type="dxa"/>
          </w:tcPr>
          <w:p>
            <w:pPr>
              <w:pStyle w:val="TableParagraph"/>
              <w:spacing w:before="16"/>
              <w:ind w:right="84"/>
              <w:jc w:val="right"/>
              <w:rPr>
                <w:sz w:val="16"/>
              </w:rPr>
            </w:pPr>
            <w:r>
              <w:rPr>
                <w:color w:val="231F20"/>
                <w:w w:val="99"/>
                <w:sz w:val="16"/>
              </w:rPr>
              <w:t>-</w:t>
            </w:r>
          </w:p>
        </w:tc>
        <w:tc>
          <w:tcPr>
            <w:tcW w:w="189" w:type="dxa"/>
          </w:tcPr>
          <w:p>
            <w:pPr>
              <w:pStyle w:val="TableParagraph"/>
              <w:rPr>
                <w:rFonts w:ascii="Times New Roman"/>
                <w:sz w:val="14"/>
              </w:rPr>
            </w:pPr>
          </w:p>
        </w:tc>
        <w:tc>
          <w:tcPr>
            <w:tcW w:w="1238" w:type="dxa"/>
          </w:tcPr>
          <w:p>
            <w:pPr>
              <w:pStyle w:val="TableParagraph"/>
              <w:spacing w:before="16"/>
              <w:ind w:right="85"/>
              <w:jc w:val="right"/>
              <w:rPr>
                <w:sz w:val="16"/>
              </w:rPr>
            </w:pPr>
            <w:r>
              <w:rPr>
                <w:color w:val="231F20"/>
                <w:w w:val="99"/>
                <w:sz w:val="16"/>
              </w:rPr>
              <w:t>-</w:t>
            </w:r>
          </w:p>
        </w:tc>
        <w:tc>
          <w:tcPr>
            <w:tcW w:w="189" w:type="dxa"/>
          </w:tcPr>
          <w:p>
            <w:pPr>
              <w:pStyle w:val="TableParagraph"/>
              <w:rPr>
                <w:rFonts w:ascii="Times New Roman"/>
                <w:sz w:val="14"/>
              </w:rPr>
            </w:pPr>
          </w:p>
        </w:tc>
        <w:tc>
          <w:tcPr>
            <w:tcW w:w="1239" w:type="dxa"/>
          </w:tcPr>
          <w:p>
            <w:pPr>
              <w:pStyle w:val="TableParagraph"/>
              <w:spacing w:before="16"/>
              <w:ind w:right="87"/>
              <w:jc w:val="right"/>
              <w:rPr>
                <w:sz w:val="16"/>
              </w:rPr>
            </w:pPr>
            <w:r>
              <w:rPr>
                <w:color w:val="231F20"/>
                <w:spacing w:val="-2"/>
                <w:sz w:val="16"/>
              </w:rPr>
              <w:t>5,434,223</w:t>
            </w:r>
          </w:p>
        </w:tc>
        <w:tc>
          <w:tcPr>
            <w:tcW w:w="188" w:type="dxa"/>
          </w:tcPr>
          <w:p>
            <w:pPr>
              <w:pStyle w:val="TableParagraph"/>
              <w:rPr>
                <w:rFonts w:ascii="Times New Roman"/>
                <w:sz w:val="14"/>
              </w:rPr>
            </w:pPr>
          </w:p>
        </w:tc>
        <w:tc>
          <w:tcPr>
            <w:tcW w:w="1238" w:type="dxa"/>
          </w:tcPr>
          <w:p>
            <w:pPr>
              <w:pStyle w:val="TableParagraph"/>
              <w:spacing w:before="16"/>
              <w:ind w:right="87"/>
              <w:jc w:val="right"/>
              <w:rPr>
                <w:sz w:val="16"/>
              </w:rPr>
            </w:pPr>
            <w:r>
              <w:rPr>
                <w:color w:val="231F20"/>
                <w:w w:val="99"/>
                <w:sz w:val="16"/>
              </w:rPr>
              <w:t>-</w:t>
            </w:r>
          </w:p>
        </w:tc>
      </w:tr>
      <w:tr>
        <w:trPr>
          <w:trHeight w:val="221" w:hRule="atLeast"/>
        </w:trPr>
        <w:tc>
          <w:tcPr>
            <w:tcW w:w="2226" w:type="dxa"/>
          </w:tcPr>
          <w:p>
            <w:pPr>
              <w:pStyle w:val="TableParagraph"/>
              <w:spacing w:before="16"/>
              <w:ind w:left="32"/>
              <w:rPr>
                <w:sz w:val="16"/>
              </w:rPr>
            </w:pPr>
            <w:r>
              <w:rPr>
                <w:color w:val="231F20"/>
                <w:sz w:val="16"/>
              </w:rPr>
              <w:t>Lease</w:t>
            </w:r>
            <w:r>
              <w:rPr>
                <w:color w:val="231F20"/>
                <w:spacing w:val="-5"/>
                <w:sz w:val="16"/>
              </w:rPr>
              <w:t> </w:t>
            </w:r>
            <w:r>
              <w:rPr>
                <w:color w:val="231F20"/>
                <w:spacing w:val="-2"/>
                <w:sz w:val="16"/>
              </w:rPr>
              <w:t>liability</w:t>
            </w:r>
          </w:p>
        </w:tc>
        <w:tc>
          <w:tcPr>
            <w:tcW w:w="188" w:type="dxa"/>
          </w:tcPr>
          <w:p>
            <w:pPr>
              <w:pStyle w:val="TableParagraph"/>
              <w:rPr>
                <w:rFonts w:ascii="Times New Roman"/>
                <w:sz w:val="14"/>
              </w:rPr>
            </w:pPr>
          </w:p>
        </w:tc>
        <w:tc>
          <w:tcPr>
            <w:tcW w:w="1238" w:type="dxa"/>
          </w:tcPr>
          <w:p>
            <w:pPr>
              <w:pStyle w:val="TableParagraph"/>
              <w:spacing w:before="16"/>
              <w:ind w:right="85"/>
              <w:jc w:val="right"/>
              <w:rPr>
                <w:sz w:val="16"/>
              </w:rPr>
            </w:pPr>
            <w:r>
              <w:rPr>
                <w:color w:val="231F20"/>
                <w:spacing w:val="-2"/>
                <w:sz w:val="16"/>
              </w:rPr>
              <w:t>1,575,233</w:t>
            </w:r>
          </w:p>
        </w:tc>
        <w:tc>
          <w:tcPr>
            <w:tcW w:w="188" w:type="dxa"/>
          </w:tcPr>
          <w:p>
            <w:pPr>
              <w:pStyle w:val="TableParagraph"/>
              <w:rPr>
                <w:rFonts w:ascii="Times New Roman"/>
                <w:sz w:val="14"/>
              </w:rPr>
            </w:pPr>
          </w:p>
        </w:tc>
        <w:tc>
          <w:tcPr>
            <w:tcW w:w="1238" w:type="dxa"/>
          </w:tcPr>
          <w:p>
            <w:pPr>
              <w:pStyle w:val="TableParagraph"/>
              <w:spacing w:before="16"/>
              <w:ind w:right="84"/>
              <w:jc w:val="right"/>
              <w:rPr>
                <w:sz w:val="16"/>
              </w:rPr>
            </w:pPr>
            <w:r>
              <w:rPr>
                <w:color w:val="231F20"/>
                <w:w w:val="99"/>
                <w:sz w:val="16"/>
              </w:rPr>
              <w:t>-</w:t>
            </w:r>
          </w:p>
        </w:tc>
        <w:tc>
          <w:tcPr>
            <w:tcW w:w="189" w:type="dxa"/>
          </w:tcPr>
          <w:p>
            <w:pPr>
              <w:pStyle w:val="TableParagraph"/>
              <w:rPr>
                <w:rFonts w:ascii="Times New Roman"/>
                <w:sz w:val="14"/>
              </w:rPr>
            </w:pPr>
          </w:p>
        </w:tc>
        <w:tc>
          <w:tcPr>
            <w:tcW w:w="1238" w:type="dxa"/>
          </w:tcPr>
          <w:p>
            <w:pPr>
              <w:pStyle w:val="TableParagraph"/>
              <w:spacing w:before="16"/>
              <w:ind w:right="32"/>
              <w:jc w:val="right"/>
              <w:rPr>
                <w:sz w:val="16"/>
              </w:rPr>
            </w:pPr>
            <w:r>
              <w:rPr>
                <w:color w:val="231F20"/>
                <w:spacing w:val="-2"/>
                <w:sz w:val="16"/>
              </w:rPr>
              <w:t>(568,894)</w:t>
            </w:r>
          </w:p>
        </w:tc>
        <w:tc>
          <w:tcPr>
            <w:tcW w:w="189" w:type="dxa"/>
          </w:tcPr>
          <w:p>
            <w:pPr>
              <w:pStyle w:val="TableParagraph"/>
              <w:rPr>
                <w:rFonts w:ascii="Times New Roman"/>
                <w:sz w:val="14"/>
              </w:rPr>
            </w:pPr>
          </w:p>
        </w:tc>
        <w:tc>
          <w:tcPr>
            <w:tcW w:w="1239" w:type="dxa"/>
          </w:tcPr>
          <w:p>
            <w:pPr>
              <w:pStyle w:val="TableParagraph"/>
              <w:spacing w:before="16"/>
              <w:ind w:right="88"/>
              <w:jc w:val="right"/>
              <w:rPr>
                <w:sz w:val="16"/>
              </w:rPr>
            </w:pPr>
            <w:r>
              <w:rPr>
                <w:color w:val="231F20"/>
                <w:spacing w:val="-2"/>
                <w:sz w:val="16"/>
              </w:rPr>
              <w:t>1,006,339</w:t>
            </w:r>
          </w:p>
        </w:tc>
        <w:tc>
          <w:tcPr>
            <w:tcW w:w="188" w:type="dxa"/>
          </w:tcPr>
          <w:p>
            <w:pPr>
              <w:pStyle w:val="TableParagraph"/>
              <w:rPr>
                <w:rFonts w:ascii="Times New Roman"/>
                <w:sz w:val="14"/>
              </w:rPr>
            </w:pPr>
          </w:p>
        </w:tc>
        <w:tc>
          <w:tcPr>
            <w:tcW w:w="1238" w:type="dxa"/>
          </w:tcPr>
          <w:p>
            <w:pPr>
              <w:pStyle w:val="TableParagraph"/>
              <w:spacing w:before="16"/>
              <w:ind w:right="87"/>
              <w:jc w:val="right"/>
              <w:rPr>
                <w:sz w:val="16"/>
              </w:rPr>
            </w:pPr>
            <w:r>
              <w:rPr>
                <w:color w:val="231F20"/>
                <w:spacing w:val="-2"/>
                <w:sz w:val="16"/>
              </w:rPr>
              <w:t>597,900</w:t>
            </w:r>
          </w:p>
        </w:tc>
      </w:tr>
      <w:tr>
        <w:trPr>
          <w:trHeight w:val="221" w:hRule="atLeast"/>
        </w:trPr>
        <w:tc>
          <w:tcPr>
            <w:tcW w:w="2226" w:type="dxa"/>
          </w:tcPr>
          <w:p>
            <w:pPr>
              <w:pStyle w:val="TableParagraph"/>
              <w:spacing w:before="16"/>
              <w:ind w:left="32"/>
              <w:rPr>
                <w:sz w:val="16"/>
              </w:rPr>
            </w:pPr>
            <w:r>
              <w:rPr>
                <w:color w:val="231F20"/>
                <w:sz w:val="16"/>
              </w:rPr>
              <w:t>Net</w:t>
            </w:r>
            <w:r>
              <w:rPr>
                <w:color w:val="231F20"/>
                <w:spacing w:val="-5"/>
                <w:sz w:val="16"/>
              </w:rPr>
              <w:t> </w:t>
            </w:r>
            <w:r>
              <w:rPr>
                <w:color w:val="231F20"/>
                <w:sz w:val="16"/>
              </w:rPr>
              <w:t>pension</w:t>
            </w:r>
            <w:r>
              <w:rPr>
                <w:color w:val="231F20"/>
                <w:spacing w:val="-4"/>
                <w:sz w:val="16"/>
              </w:rPr>
              <w:t> </w:t>
            </w:r>
            <w:r>
              <w:rPr>
                <w:color w:val="231F20"/>
                <w:spacing w:val="-2"/>
                <w:sz w:val="16"/>
              </w:rPr>
              <w:t>liability</w:t>
            </w:r>
          </w:p>
        </w:tc>
        <w:tc>
          <w:tcPr>
            <w:tcW w:w="188" w:type="dxa"/>
          </w:tcPr>
          <w:p>
            <w:pPr>
              <w:pStyle w:val="TableParagraph"/>
              <w:rPr>
                <w:rFonts w:ascii="Times New Roman"/>
                <w:sz w:val="14"/>
              </w:rPr>
            </w:pPr>
          </w:p>
        </w:tc>
        <w:tc>
          <w:tcPr>
            <w:tcW w:w="1238" w:type="dxa"/>
          </w:tcPr>
          <w:p>
            <w:pPr>
              <w:pStyle w:val="TableParagraph"/>
              <w:spacing w:before="16"/>
              <w:ind w:right="86"/>
              <w:jc w:val="right"/>
              <w:rPr>
                <w:sz w:val="16"/>
              </w:rPr>
            </w:pPr>
            <w:r>
              <w:rPr>
                <w:color w:val="231F20"/>
                <w:spacing w:val="-2"/>
                <w:sz w:val="16"/>
              </w:rPr>
              <w:t>262,966,133</w:t>
            </w:r>
          </w:p>
        </w:tc>
        <w:tc>
          <w:tcPr>
            <w:tcW w:w="188" w:type="dxa"/>
          </w:tcPr>
          <w:p>
            <w:pPr>
              <w:pStyle w:val="TableParagraph"/>
              <w:rPr>
                <w:rFonts w:ascii="Times New Roman"/>
                <w:sz w:val="14"/>
              </w:rPr>
            </w:pPr>
          </w:p>
        </w:tc>
        <w:tc>
          <w:tcPr>
            <w:tcW w:w="1238" w:type="dxa"/>
          </w:tcPr>
          <w:p>
            <w:pPr>
              <w:pStyle w:val="TableParagraph"/>
              <w:spacing w:before="16"/>
              <w:ind w:right="84"/>
              <w:jc w:val="right"/>
              <w:rPr>
                <w:sz w:val="16"/>
              </w:rPr>
            </w:pPr>
            <w:r>
              <w:rPr>
                <w:color w:val="231F20"/>
                <w:w w:val="99"/>
                <w:sz w:val="16"/>
              </w:rPr>
              <w:t>-</w:t>
            </w:r>
          </w:p>
        </w:tc>
        <w:tc>
          <w:tcPr>
            <w:tcW w:w="189" w:type="dxa"/>
          </w:tcPr>
          <w:p>
            <w:pPr>
              <w:pStyle w:val="TableParagraph"/>
              <w:rPr>
                <w:rFonts w:ascii="Times New Roman"/>
                <w:sz w:val="14"/>
              </w:rPr>
            </w:pPr>
          </w:p>
        </w:tc>
        <w:tc>
          <w:tcPr>
            <w:tcW w:w="1238" w:type="dxa"/>
          </w:tcPr>
          <w:p>
            <w:pPr>
              <w:pStyle w:val="TableParagraph"/>
              <w:spacing w:before="16"/>
              <w:ind w:right="32"/>
              <w:jc w:val="right"/>
              <w:rPr>
                <w:sz w:val="16"/>
              </w:rPr>
            </w:pPr>
            <w:r>
              <w:rPr>
                <w:color w:val="231F20"/>
                <w:spacing w:val="-2"/>
                <w:sz w:val="16"/>
              </w:rPr>
              <w:t>(171,834,069)</w:t>
            </w:r>
          </w:p>
        </w:tc>
        <w:tc>
          <w:tcPr>
            <w:tcW w:w="189" w:type="dxa"/>
          </w:tcPr>
          <w:p>
            <w:pPr>
              <w:pStyle w:val="TableParagraph"/>
              <w:rPr>
                <w:rFonts w:ascii="Times New Roman"/>
                <w:sz w:val="14"/>
              </w:rPr>
            </w:pPr>
          </w:p>
        </w:tc>
        <w:tc>
          <w:tcPr>
            <w:tcW w:w="1239" w:type="dxa"/>
          </w:tcPr>
          <w:p>
            <w:pPr>
              <w:pStyle w:val="TableParagraph"/>
              <w:spacing w:before="16"/>
              <w:ind w:right="88"/>
              <w:jc w:val="right"/>
              <w:rPr>
                <w:sz w:val="16"/>
              </w:rPr>
            </w:pPr>
            <w:r>
              <w:rPr>
                <w:color w:val="231F20"/>
                <w:spacing w:val="-2"/>
                <w:sz w:val="16"/>
              </w:rPr>
              <w:t>91,132,064</w:t>
            </w:r>
          </w:p>
        </w:tc>
        <w:tc>
          <w:tcPr>
            <w:tcW w:w="188" w:type="dxa"/>
          </w:tcPr>
          <w:p>
            <w:pPr>
              <w:pStyle w:val="TableParagraph"/>
              <w:rPr>
                <w:rFonts w:ascii="Times New Roman"/>
                <w:sz w:val="14"/>
              </w:rPr>
            </w:pPr>
          </w:p>
        </w:tc>
        <w:tc>
          <w:tcPr>
            <w:tcW w:w="1238" w:type="dxa"/>
          </w:tcPr>
          <w:p>
            <w:pPr>
              <w:pStyle w:val="TableParagraph"/>
              <w:spacing w:before="16"/>
              <w:ind w:right="87"/>
              <w:jc w:val="right"/>
              <w:rPr>
                <w:sz w:val="16"/>
              </w:rPr>
            </w:pPr>
            <w:r>
              <w:rPr>
                <w:color w:val="231F20"/>
                <w:w w:val="99"/>
                <w:sz w:val="16"/>
              </w:rPr>
              <w:t>-</w:t>
            </w:r>
          </w:p>
        </w:tc>
      </w:tr>
      <w:tr>
        <w:trPr>
          <w:trHeight w:val="213" w:hRule="atLeast"/>
        </w:trPr>
        <w:tc>
          <w:tcPr>
            <w:tcW w:w="2226" w:type="dxa"/>
          </w:tcPr>
          <w:p>
            <w:pPr>
              <w:pStyle w:val="TableParagraph"/>
              <w:spacing w:line="177" w:lineRule="exact" w:before="16"/>
              <w:ind w:left="32"/>
              <w:rPr>
                <w:sz w:val="16"/>
              </w:rPr>
            </w:pPr>
            <w:r>
              <w:rPr>
                <w:color w:val="231F20"/>
                <w:sz w:val="16"/>
              </w:rPr>
              <w:t>Net</w:t>
            </w:r>
            <w:r>
              <w:rPr>
                <w:color w:val="231F20"/>
                <w:spacing w:val="-4"/>
                <w:sz w:val="16"/>
              </w:rPr>
              <w:t> </w:t>
            </w:r>
            <w:r>
              <w:rPr>
                <w:color w:val="231F20"/>
                <w:sz w:val="16"/>
              </w:rPr>
              <w:t>OPEB</w:t>
            </w:r>
            <w:r>
              <w:rPr>
                <w:color w:val="231F20"/>
                <w:spacing w:val="-3"/>
                <w:sz w:val="16"/>
              </w:rPr>
              <w:t> </w:t>
            </w:r>
            <w:r>
              <w:rPr>
                <w:color w:val="231F20"/>
                <w:spacing w:val="-2"/>
                <w:sz w:val="16"/>
              </w:rPr>
              <w:t>obligation</w:t>
            </w:r>
          </w:p>
        </w:tc>
        <w:tc>
          <w:tcPr>
            <w:tcW w:w="188" w:type="dxa"/>
          </w:tcPr>
          <w:p>
            <w:pPr>
              <w:pStyle w:val="TableParagraph"/>
              <w:rPr>
                <w:rFonts w:ascii="Times New Roman"/>
                <w:sz w:val="14"/>
              </w:rPr>
            </w:pPr>
          </w:p>
        </w:tc>
        <w:tc>
          <w:tcPr>
            <w:tcW w:w="1238" w:type="dxa"/>
            <w:tcBorders>
              <w:bottom w:val="single" w:sz="8" w:space="0" w:color="231F20"/>
            </w:tcBorders>
          </w:tcPr>
          <w:p>
            <w:pPr>
              <w:pStyle w:val="TableParagraph"/>
              <w:spacing w:line="177" w:lineRule="exact" w:before="16"/>
              <w:ind w:right="85"/>
              <w:jc w:val="right"/>
              <w:rPr>
                <w:sz w:val="16"/>
              </w:rPr>
            </w:pPr>
            <w:r>
              <w:rPr>
                <w:color w:val="231F20"/>
                <w:spacing w:val="-2"/>
                <w:sz w:val="16"/>
              </w:rPr>
              <w:t>36,995,244</w:t>
            </w:r>
          </w:p>
        </w:tc>
        <w:tc>
          <w:tcPr>
            <w:tcW w:w="188" w:type="dxa"/>
          </w:tcPr>
          <w:p>
            <w:pPr>
              <w:pStyle w:val="TableParagraph"/>
              <w:rPr>
                <w:rFonts w:ascii="Times New Roman"/>
                <w:sz w:val="14"/>
              </w:rPr>
            </w:pPr>
          </w:p>
        </w:tc>
        <w:tc>
          <w:tcPr>
            <w:tcW w:w="1238" w:type="dxa"/>
            <w:tcBorders>
              <w:bottom w:val="single" w:sz="8" w:space="0" w:color="231F20"/>
            </w:tcBorders>
          </w:tcPr>
          <w:p>
            <w:pPr>
              <w:pStyle w:val="TableParagraph"/>
              <w:spacing w:line="177" w:lineRule="exact" w:before="16"/>
              <w:ind w:right="84"/>
              <w:jc w:val="right"/>
              <w:rPr>
                <w:sz w:val="16"/>
              </w:rPr>
            </w:pPr>
            <w:r>
              <w:rPr>
                <w:color w:val="231F20"/>
                <w:spacing w:val="-2"/>
                <w:sz w:val="16"/>
              </w:rPr>
              <w:t>22,258,458</w:t>
            </w:r>
          </w:p>
        </w:tc>
        <w:tc>
          <w:tcPr>
            <w:tcW w:w="189" w:type="dxa"/>
          </w:tcPr>
          <w:p>
            <w:pPr>
              <w:pStyle w:val="TableParagraph"/>
              <w:rPr>
                <w:rFonts w:ascii="Times New Roman"/>
                <w:sz w:val="14"/>
              </w:rPr>
            </w:pPr>
          </w:p>
        </w:tc>
        <w:tc>
          <w:tcPr>
            <w:tcW w:w="1238" w:type="dxa"/>
            <w:tcBorders>
              <w:bottom w:val="single" w:sz="8" w:space="0" w:color="231F20"/>
            </w:tcBorders>
          </w:tcPr>
          <w:p>
            <w:pPr>
              <w:pStyle w:val="TableParagraph"/>
              <w:spacing w:line="177" w:lineRule="exact" w:before="16"/>
              <w:ind w:right="85"/>
              <w:jc w:val="right"/>
              <w:rPr>
                <w:sz w:val="16"/>
              </w:rPr>
            </w:pPr>
            <w:r>
              <w:rPr>
                <w:color w:val="231F20"/>
                <w:w w:val="99"/>
                <w:sz w:val="16"/>
              </w:rPr>
              <w:t>-</w:t>
            </w:r>
          </w:p>
        </w:tc>
        <w:tc>
          <w:tcPr>
            <w:tcW w:w="189" w:type="dxa"/>
          </w:tcPr>
          <w:p>
            <w:pPr>
              <w:pStyle w:val="TableParagraph"/>
              <w:rPr>
                <w:rFonts w:ascii="Times New Roman"/>
                <w:sz w:val="14"/>
              </w:rPr>
            </w:pPr>
          </w:p>
        </w:tc>
        <w:tc>
          <w:tcPr>
            <w:tcW w:w="1239" w:type="dxa"/>
            <w:tcBorders>
              <w:bottom w:val="single" w:sz="8" w:space="0" w:color="231F20"/>
            </w:tcBorders>
          </w:tcPr>
          <w:p>
            <w:pPr>
              <w:pStyle w:val="TableParagraph"/>
              <w:spacing w:line="177" w:lineRule="exact" w:before="16"/>
              <w:ind w:right="87"/>
              <w:jc w:val="right"/>
              <w:rPr>
                <w:sz w:val="16"/>
              </w:rPr>
            </w:pPr>
            <w:r>
              <w:rPr>
                <w:color w:val="231F20"/>
                <w:spacing w:val="-2"/>
                <w:sz w:val="16"/>
              </w:rPr>
              <w:t>59,253,702</w:t>
            </w:r>
          </w:p>
        </w:tc>
        <w:tc>
          <w:tcPr>
            <w:tcW w:w="188" w:type="dxa"/>
          </w:tcPr>
          <w:p>
            <w:pPr>
              <w:pStyle w:val="TableParagraph"/>
              <w:rPr>
                <w:rFonts w:ascii="Times New Roman"/>
                <w:sz w:val="14"/>
              </w:rPr>
            </w:pPr>
          </w:p>
        </w:tc>
        <w:tc>
          <w:tcPr>
            <w:tcW w:w="1238" w:type="dxa"/>
            <w:tcBorders>
              <w:bottom w:val="single" w:sz="8" w:space="0" w:color="231F20"/>
            </w:tcBorders>
          </w:tcPr>
          <w:p>
            <w:pPr>
              <w:pStyle w:val="TableParagraph"/>
              <w:spacing w:line="177" w:lineRule="exact" w:before="16"/>
              <w:ind w:right="87"/>
              <w:jc w:val="right"/>
              <w:rPr>
                <w:sz w:val="16"/>
              </w:rPr>
            </w:pPr>
            <w:r>
              <w:rPr>
                <w:color w:val="231F20"/>
                <w:w w:val="99"/>
                <w:sz w:val="16"/>
              </w:rPr>
              <w:t>-</w:t>
            </w:r>
          </w:p>
        </w:tc>
      </w:tr>
      <w:tr>
        <w:trPr>
          <w:trHeight w:val="354" w:hRule="atLeast"/>
        </w:trPr>
        <w:tc>
          <w:tcPr>
            <w:tcW w:w="2226" w:type="dxa"/>
          </w:tcPr>
          <w:p>
            <w:pPr>
              <w:pStyle w:val="TableParagraph"/>
              <w:spacing w:before="117"/>
              <w:ind w:left="32"/>
              <w:rPr>
                <w:sz w:val="16"/>
              </w:rPr>
            </w:pPr>
            <w:r>
              <w:rPr>
                <w:color w:val="231F20"/>
                <w:sz w:val="16"/>
              </w:rPr>
              <w:t>Total</w:t>
            </w:r>
            <w:r>
              <w:rPr>
                <w:color w:val="231F20"/>
                <w:spacing w:val="-7"/>
                <w:sz w:val="16"/>
              </w:rPr>
              <w:t> </w:t>
            </w:r>
            <w:r>
              <w:rPr>
                <w:color w:val="231F20"/>
                <w:sz w:val="16"/>
              </w:rPr>
              <w:t>noncurrent</w:t>
            </w:r>
            <w:r>
              <w:rPr>
                <w:color w:val="231F20"/>
                <w:spacing w:val="-7"/>
                <w:sz w:val="16"/>
              </w:rPr>
              <w:t> </w:t>
            </w:r>
            <w:r>
              <w:rPr>
                <w:color w:val="231F20"/>
                <w:spacing w:val="-2"/>
                <w:sz w:val="16"/>
              </w:rPr>
              <w:t>liabilities</w:t>
            </w:r>
          </w:p>
        </w:tc>
        <w:tc>
          <w:tcPr>
            <w:tcW w:w="188" w:type="dxa"/>
          </w:tcPr>
          <w:p>
            <w:pPr>
              <w:pStyle w:val="TableParagraph"/>
              <w:rPr>
                <w:rFonts w:ascii="Times New Roman"/>
                <w:sz w:val="18"/>
              </w:rPr>
            </w:pPr>
          </w:p>
        </w:tc>
        <w:tc>
          <w:tcPr>
            <w:tcW w:w="1238" w:type="dxa"/>
            <w:tcBorders>
              <w:top w:val="single" w:sz="8" w:space="0" w:color="231F20"/>
              <w:bottom w:val="single" w:sz="8" w:space="0" w:color="231F20"/>
            </w:tcBorders>
          </w:tcPr>
          <w:p>
            <w:pPr>
              <w:pStyle w:val="TableParagraph"/>
              <w:spacing w:before="117"/>
              <w:ind w:right="86"/>
              <w:jc w:val="right"/>
              <w:rPr>
                <w:sz w:val="16"/>
              </w:rPr>
            </w:pPr>
            <w:r>
              <w:rPr>
                <w:color w:val="231F20"/>
                <w:sz w:val="16"/>
              </w:rPr>
              <w:t>$</w:t>
            </w:r>
            <w:r>
              <w:rPr>
                <w:color w:val="231F20"/>
                <w:spacing w:val="42"/>
                <w:sz w:val="16"/>
              </w:rPr>
              <w:t> </w:t>
            </w:r>
            <w:r>
              <w:rPr>
                <w:color w:val="231F20"/>
                <w:spacing w:val="-2"/>
                <w:sz w:val="16"/>
              </w:rPr>
              <w:t>334,830,904</w:t>
            </w:r>
          </w:p>
        </w:tc>
        <w:tc>
          <w:tcPr>
            <w:tcW w:w="188" w:type="dxa"/>
          </w:tcPr>
          <w:p>
            <w:pPr>
              <w:pStyle w:val="TableParagraph"/>
              <w:rPr>
                <w:rFonts w:ascii="Times New Roman"/>
                <w:sz w:val="18"/>
              </w:rPr>
            </w:pPr>
          </w:p>
        </w:tc>
        <w:tc>
          <w:tcPr>
            <w:tcW w:w="1238" w:type="dxa"/>
            <w:tcBorders>
              <w:top w:val="single" w:sz="8" w:space="0" w:color="231F20"/>
              <w:bottom w:val="single" w:sz="8" w:space="0" w:color="231F20"/>
            </w:tcBorders>
          </w:tcPr>
          <w:p>
            <w:pPr>
              <w:pStyle w:val="TableParagraph"/>
              <w:spacing w:before="117"/>
              <w:ind w:right="85"/>
              <w:jc w:val="right"/>
              <w:rPr>
                <w:sz w:val="16"/>
              </w:rPr>
            </w:pPr>
            <w:r>
              <w:rPr>
                <w:color w:val="231F20"/>
                <w:sz w:val="16"/>
              </w:rPr>
              <w:t>$</w:t>
            </w:r>
            <w:r>
              <w:rPr>
                <w:color w:val="231F20"/>
                <w:spacing w:val="44"/>
                <w:sz w:val="16"/>
              </w:rPr>
              <w:t>  </w:t>
            </w:r>
            <w:r>
              <w:rPr>
                <w:color w:val="231F20"/>
                <w:spacing w:val="-2"/>
                <w:sz w:val="16"/>
              </w:rPr>
              <w:t>35,404,654</w:t>
            </w:r>
          </w:p>
        </w:tc>
        <w:tc>
          <w:tcPr>
            <w:tcW w:w="189" w:type="dxa"/>
          </w:tcPr>
          <w:p>
            <w:pPr>
              <w:pStyle w:val="TableParagraph"/>
              <w:rPr>
                <w:rFonts w:ascii="Times New Roman"/>
                <w:sz w:val="18"/>
              </w:rPr>
            </w:pPr>
          </w:p>
        </w:tc>
        <w:tc>
          <w:tcPr>
            <w:tcW w:w="1238" w:type="dxa"/>
            <w:tcBorders>
              <w:top w:val="single" w:sz="8" w:space="0" w:color="231F20"/>
              <w:bottom w:val="single" w:sz="8" w:space="0" w:color="231F20"/>
            </w:tcBorders>
          </w:tcPr>
          <w:p>
            <w:pPr>
              <w:pStyle w:val="TableParagraph"/>
              <w:spacing w:before="117"/>
              <w:ind w:right="33"/>
              <w:jc w:val="right"/>
              <w:rPr>
                <w:sz w:val="16"/>
              </w:rPr>
            </w:pPr>
            <w:r>
              <w:rPr>
                <w:color w:val="231F20"/>
                <w:sz w:val="16"/>
              </w:rPr>
              <w:t>$</w:t>
            </w:r>
            <w:r>
              <w:rPr>
                <w:color w:val="231F20"/>
                <w:spacing w:val="-9"/>
                <w:sz w:val="16"/>
              </w:rPr>
              <w:t> </w:t>
            </w:r>
            <w:r>
              <w:rPr>
                <w:color w:val="231F20"/>
                <w:spacing w:val="-2"/>
                <w:sz w:val="16"/>
              </w:rPr>
              <w:t>(188,255,287)</w:t>
            </w:r>
          </w:p>
        </w:tc>
        <w:tc>
          <w:tcPr>
            <w:tcW w:w="189" w:type="dxa"/>
          </w:tcPr>
          <w:p>
            <w:pPr>
              <w:pStyle w:val="TableParagraph"/>
              <w:rPr>
                <w:rFonts w:ascii="Times New Roman"/>
                <w:sz w:val="18"/>
              </w:rPr>
            </w:pPr>
          </w:p>
        </w:tc>
        <w:tc>
          <w:tcPr>
            <w:tcW w:w="1239" w:type="dxa"/>
            <w:tcBorders>
              <w:top w:val="single" w:sz="8" w:space="0" w:color="231F20"/>
              <w:bottom w:val="single" w:sz="8" w:space="0" w:color="231F20"/>
            </w:tcBorders>
          </w:tcPr>
          <w:p>
            <w:pPr>
              <w:pStyle w:val="TableParagraph"/>
              <w:spacing w:before="117"/>
              <w:ind w:right="87"/>
              <w:jc w:val="right"/>
              <w:rPr>
                <w:sz w:val="16"/>
              </w:rPr>
            </w:pPr>
            <w:r>
              <w:rPr>
                <w:color w:val="231F20"/>
                <w:sz w:val="16"/>
              </w:rPr>
              <w:t>$</w:t>
            </w:r>
            <w:r>
              <w:rPr>
                <w:color w:val="231F20"/>
                <w:spacing w:val="44"/>
                <w:sz w:val="16"/>
              </w:rPr>
              <w:t> </w:t>
            </w:r>
            <w:r>
              <w:rPr>
                <w:color w:val="231F20"/>
                <w:spacing w:val="-2"/>
                <w:sz w:val="16"/>
              </w:rPr>
              <w:t>181,980,271</w:t>
            </w:r>
          </w:p>
        </w:tc>
        <w:tc>
          <w:tcPr>
            <w:tcW w:w="188" w:type="dxa"/>
          </w:tcPr>
          <w:p>
            <w:pPr>
              <w:pStyle w:val="TableParagraph"/>
              <w:rPr>
                <w:rFonts w:ascii="Times New Roman"/>
                <w:sz w:val="18"/>
              </w:rPr>
            </w:pPr>
          </w:p>
        </w:tc>
        <w:tc>
          <w:tcPr>
            <w:tcW w:w="1238" w:type="dxa"/>
            <w:tcBorders>
              <w:top w:val="single" w:sz="8" w:space="0" w:color="231F20"/>
              <w:bottom w:val="single" w:sz="8" w:space="0" w:color="231F20"/>
            </w:tcBorders>
          </w:tcPr>
          <w:p>
            <w:pPr>
              <w:pStyle w:val="TableParagraph"/>
              <w:tabs>
                <w:tab w:pos="437" w:val="left" w:leader="none"/>
              </w:tabs>
              <w:spacing w:before="117"/>
              <w:ind w:left="81"/>
              <w:rPr>
                <w:sz w:val="16"/>
              </w:rPr>
            </w:pPr>
            <w:r>
              <w:rPr>
                <w:color w:val="231F20"/>
                <w:spacing w:val="-10"/>
                <w:sz w:val="16"/>
              </w:rPr>
              <w:t>$</w:t>
            </w:r>
            <w:r>
              <w:rPr>
                <w:color w:val="231F20"/>
                <w:sz w:val="16"/>
              </w:rPr>
              <w:tab/>
            </w:r>
            <w:r>
              <w:rPr>
                <w:color w:val="231F20"/>
                <w:spacing w:val="-2"/>
                <w:sz w:val="16"/>
              </w:rPr>
              <w:t>6,471,644</w:t>
            </w:r>
          </w:p>
        </w:tc>
      </w:tr>
    </w:tbl>
    <w:p>
      <w:pPr>
        <w:pStyle w:val="BodyText"/>
        <w:spacing w:before="8"/>
        <w:rPr>
          <w:sz w:val="19"/>
        </w:rPr>
      </w:pPr>
    </w:p>
    <w:p>
      <w:pPr>
        <w:pStyle w:val="Heading4"/>
        <w:spacing w:line="230" w:lineRule="exact"/>
      </w:pPr>
      <w:r>
        <w:rPr/>
        <w:pict>
          <v:rect style="position:absolute;margin-left:193.199997pt;margin-top:-13.839746pt;width:61.86pt;height:.96002pt;mso-position-horizontal-relative:page;mso-position-vertical-relative:paragraph;z-index:-28333568" id="docshape327" filled="true" fillcolor="#231f20" stroked="false">
            <v:fill type="solid"/>
            <w10:wrap type="none"/>
          </v:rect>
        </w:pict>
      </w:r>
      <w:r>
        <w:rPr/>
        <w:pict>
          <v:rect style="position:absolute;margin-left:264.480988pt;margin-top:-13.839746pt;width:61.86pt;height:.96002pt;mso-position-horizontal-relative:page;mso-position-vertical-relative:paragraph;z-index:-28333056" id="docshape328" filled="true" fillcolor="#231f20" stroked="false">
            <v:fill type="solid"/>
            <w10:wrap type="none"/>
          </v:rect>
        </w:pict>
      </w:r>
      <w:r>
        <w:rPr/>
        <w:pict>
          <v:rect style="position:absolute;margin-left:335.760986pt;margin-top:-13.839746pt;width:61.86pt;height:.96002pt;mso-position-horizontal-relative:page;mso-position-vertical-relative:paragraph;z-index:-28332544" id="docshape329" filled="true" fillcolor="#231f20" stroked="false">
            <v:fill type="solid"/>
            <w10:wrap type="none"/>
          </v:rect>
        </w:pict>
      </w:r>
      <w:r>
        <w:rPr/>
        <w:pict>
          <v:rect style="position:absolute;margin-left:407.040985pt;margin-top:-13.839746pt;width:61.92pt;height:.96002pt;mso-position-horizontal-relative:page;mso-position-vertical-relative:paragraph;z-index:-28332032" id="docshape330" filled="true" fillcolor="#231f20" stroked="false">
            <v:fill type="solid"/>
            <w10:wrap type="none"/>
          </v:rect>
        </w:pict>
      </w:r>
      <w:r>
        <w:rPr/>
        <w:pict>
          <v:rect style="position:absolute;margin-left:478.381012pt;margin-top:-13.839746pt;width:61.86pt;height:.96002pt;mso-position-horizontal-relative:page;mso-position-vertical-relative:paragraph;z-index:-28331520" id="docshape331" filled="true" fillcolor="#231f20" stroked="false">
            <v:fill type="solid"/>
            <w10:wrap type="none"/>
          </v:rect>
        </w:pict>
      </w:r>
      <w:r>
        <w:rPr>
          <w:color w:val="231F20"/>
        </w:rPr>
        <w:t>Environmental</w:t>
      </w:r>
      <w:r>
        <w:rPr>
          <w:color w:val="231F20"/>
          <w:spacing w:val="-13"/>
        </w:rPr>
        <w:t> </w:t>
      </w:r>
      <w:r>
        <w:rPr>
          <w:color w:val="231F20"/>
          <w:spacing w:val="-2"/>
        </w:rPr>
        <w:t>Remediation</w:t>
      </w:r>
    </w:p>
    <w:p>
      <w:pPr>
        <w:pStyle w:val="BodyText"/>
        <w:spacing w:line="276" w:lineRule="auto"/>
        <w:ind w:left="1439" w:right="913" w:hanging="1"/>
      </w:pPr>
      <w:r>
        <w:rPr>
          <w:color w:val="231F20"/>
        </w:rPr>
        <w:t>As</w:t>
      </w:r>
      <w:r>
        <w:rPr>
          <w:color w:val="231F20"/>
          <w:spacing w:val="-1"/>
        </w:rPr>
        <w:t> </w:t>
      </w:r>
      <w:r>
        <w:rPr>
          <w:color w:val="231F20"/>
        </w:rPr>
        <w:t>part</w:t>
      </w:r>
      <w:r>
        <w:rPr>
          <w:color w:val="231F20"/>
          <w:spacing w:val="-1"/>
        </w:rPr>
        <w:t> </w:t>
      </w:r>
      <w:r>
        <w:rPr>
          <w:color w:val="231F20"/>
        </w:rPr>
        <w:t>of</w:t>
      </w:r>
      <w:r>
        <w:rPr>
          <w:color w:val="231F20"/>
          <w:spacing w:val="-1"/>
        </w:rPr>
        <w:t> </w:t>
      </w:r>
      <w:r>
        <w:rPr>
          <w:color w:val="231F20"/>
        </w:rPr>
        <w:t>the</w:t>
      </w:r>
      <w:r>
        <w:rPr>
          <w:color w:val="231F20"/>
          <w:spacing w:val="-2"/>
        </w:rPr>
        <w:t> </w:t>
      </w:r>
      <w:r>
        <w:rPr>
          <w:color w:val="231F20"/>
        </w:rPr>
        <w:t>Government’s weapons</w:t>
      </w:r>
      <w:r>
        <w:rPr>
          <w:color w:val="231F20"/>
          <w:spacing w:val="-1"/>
        </w:rPr>
        <w:t> </w:t>
      </w:r>
      <w:r>
        <w:rPr>
          <w:color w:val="231F20"/>
        </w:rPr>
        <w:t>and</w:t>
      </w:r>
      <w:r>
        <w:rPr>
          <w:color w:val="231F20"/>
          <w:spacing w:val="-1"/>
        </w:rPr>
        <w:t> </w:t>
      </w:r>
      <w:r>
        <w:rPr>
          <w:color w:val="231F20"/>
        </w:rPr>
        <w:t>munitions</w:t>
      </w:r>
      <w:r>
        <w:rPr>
          <w:color w:val="231F20"/>
          <w:spacing w:val="-2"/>
        </w:rPr>
        <w:t> </w:t>
      </w:r>
      <w:r>
        <w:rPr>
          <w:color w:val="231F20"/>
        </w:rPr>
        <w:t>research</w:t>
      </w:r>
      <w:r>
        <w:rPr>
          <w:color w:val="231F20"/>
          <w:spacing w:val="-1"/>
        </w:rPr>
        <w:t> </w:t>
      </w:r>
      <w:r>
        <w:rPr>
          <w:color w:val="231F20"/>
        </w:rPr>
        <w:t>and</w:t>
      </w:r>
      <w:r>
        <w:rPr>
          <w:color w:val="231F20"/>
          <w:spacing w:val="-2"/>
        </w:rPr>
        <w:t> </w:t>
      </w:r>
      <w:r>
        <w:rPr>
          <w:color w:val="231F20"/>
        </w:rPr>
        <w:t>development</w:t>
      </w:r>
      <w:r>
        <w:rPr>
          <w:color w:val="231F20"/>
          <w:spacing w:val="-1"/>
        </w:rPr>
        <w:t> </w:t>
      </w:r>
      <w:r>
        <w:rPr>
          <w:color w:val="231F20"/>
        </w:rPr>
        <w:t>during</w:t>
      </w:r>
      <w:r>
        <w:rPr>
          <w:color w:val="231F20"/>
          <w:spacing w:val="-1"/>
        </w:rPr>
        <w:t> </w:t>
      </w:r>
      <w:r>
        <w:rPr>
          <w:color w:val="231F20"/>
        </w:rPr>
        <w:t>the</w:t>
      </w:r>
      <w:r>
        <w:rPr>
          <w:color w:val="231F20"/>
          <w:spacing w:val="-1"/>
        </w:rPr>
        <w:t> </w:t>
      </w:r>
      <w:r>
        <w:rPr>
          <w:color w:val="231F20"/>
        </w:rPr>
        <w:t>years</w:t>
      </w:r>
      <w:r>
        <w:rPr>
          <w:color w:val="231F20"/>
          <w:spacing w:val="-1"/>
        </w:rPr>
        <w:t> </w:t>
      </w:r>
      <w:r>
        <w:rPr>
          <w:color w:val="231F20"/>
        </w:rPr>
        <w:t>1972</w:t>
      </w:r>
      <w:r>
        <w:rPr>
          <w:color w:val="231F20"/>
          <w:spacing w:val="-1"/>
        </w:rPr>
        <w:t> </w:t>
      </w:r>
      <w:r>
        <w:rPr>
          <w:color w:val="231F20"/>
        </w:rPr>
        <w:t>to 1992, munitions containing depleted uranium (DU), which is a heavy metal and has very low level radioactivity, were tested at the Energetic Materials Research and Testing Center (EMRTC). The Institute’s Radioactive Material License issued by the State of New Mexico for possession of the DU requires decommissioning of sites and facilities. The Institute had submitted its claim for breach of express contracts, pursuant to the Contract Disputes Act (CDA) breach of implied contracts, and negligence requiring restoration of property, to the contracting officers of various US government and military related organizations in May 2011. The claim under the CDA was denied on April 13, 2012. A claim was also submitted to Government contracting officers for cleanup of DU at the Institute under the Federal</w:t>
      </w:r>
      <w:r>
        <w:rPr>
          <w:color w:val="231F20"/>
          <w:spacing w:val="-3"/>
        </w:rPr>
        <w:t> </w:t>
      </w:r>
      <w:r>
        <w:rPr>
          <w:color w:val="231F20"/>
        </w:rPr>
        <w:t>Tort</w:t>
      </w:r>
      <w:r>
        <w:rPr>
          <w:color w:val="231F20"/>
          <w:spacing w:val="-3"/>
        </w:rPr>
        <w:t> </w:t>
      </w:r>
      <w:r>
        <w:rPr>
          <w:color w:val="231F20"/>
        </w:rPr>
        <w:t>Claims</w:t>
      </w:r>
      <w:r>
        <w:rPr>
          <w:color w:val="231F20"/>
          <w:spacing w:val="-3"/>
        </w:rPr>
        <w:t> </w:t>
      </w:r>
      <w:r>
        <w:rPr>
          <w:color w:val="231F20"/>
        </w:rPr>
        <w:t>Act.</w:t>
      </w:r>
      <w:r>
        <w:rPr>
          <w:color w:val="231F20"/>
          <w:spacing w:val="-3"/>
        </w:rPr>
        <w:t> </w:t>
      </w:r>
      <w:r>
        <w:rPr>
          <w:color w:val="231F20"/>
        </w:rPr>
        <w:t>The</w:t>
      </w:r>
      <w:r>
        <w:rPr>
          <w:color w:val="231F20"/>
          <w:spacing w:val="-3"/>
        </w:rPr>
        <w:t> </w:t>
      </w:r>
      <w:r>
        <w:rPr>
          <w:color w:val="231F20"/>
        </w:rPr>
        <w:t>Government’s</w:t>
      </w:r>
      <w:r>
        <w:rPr>
          <w:color w:val="231F20"/>
          <w:spacing w:val="-3"/>
        </w:rPr>
        <w:t> </w:t>
      </w:r>
      <w:r>
        <w:rPr>
          <w:color w:val="231F20"/>
        </w:rPr>
        <w:t>agency</w:t>
      </w:r>
      <w:r>
        <w:rPr>
          <w:color w:val="231F20"/>
          <w:spacing w:val="-3"/>
        </w:rPr>
        <w:t> </w:t>
      </w:r>
      <w:r>
        <w:rPr>
          <w:color w:val="231F20"/>
        </w:rPr>
        <w:t>handling</w:t>
      </w:r>
      <w:r>
        <w:rPr>
          <w:color w:val="231F20"/>
          <w:spacing w:val="-3"/>
        </w:rPr>
        <w:t> </w:t>
      </w:r>
      <w:r>
        <w:rPr>
          <w:color w:val="231F20"/>
        </w:rPr>
        <w:t>the</w:t>
      </w:r>
      <w:r>
        <w:rPr>
          <w:color w:val="231F20"/>
          <w:spacing w:val="-3"/>
        </w:rPr>
        <w:t> </w:t>
      </w:r>
      <w:r>
        <w:rPr>
          <w:color w:val="231F20"/>
        </w:rPr>
        <w:t>claim</w:t>
      </w:r>
      <w:r>
        <w:rPr>
          <w:color w:val="231F20"/>
          <w:spacing w:val="-3"/>
        </w:rPr>
        <w:t> </w:t>
      </w:r>
      <w:r>
        <w:rPr>
          <w:color w:val="231F20"/>
        </w:rPr>
        <w:t>did</w:t>
      </w:r>
      <w:r>
        <w:rPr>
          <w:color w:val="231F20"/>
          <w:spacing w:val="-3"/>
        </w:rPr>
        <w:t> </w:t>
      </w:r>
      <w:r>
        <w:rPr>
          <w:color w:val="231F20"/>
        </w:rPr>
        <w:t>not</w:t>
      </w:r>
      <w:r>
        <w:rPr>
          <w:color w:val="231F20"/>
          <w:spacing w:val="-3"/>
        </w:rPr>
        <w:t> </w:t>
      </w:r>
      <w:r>
        <w:rPr>
          <w:color w:val="231F20"/>
        </w:rPr>
        <w:t>respond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claim</w:t>
      </w:r>
      <w:r>
        <w:rPr>
          <w:color w:val="231F20"/>
          <w:spacing w:val="-3"/>
        </w:rPr>
        <w:t> </w:t>
      </w:r>
      <w:r>
        <w:rPr>
          <w:color w:val="231F20"/>
        </w:rPr>
        <w:t>within the prescribed time which may be deemed by the Institute a final denial of the claim.</w:t>
      </w:r>
    </w:p>
    <w:p>
      <w:pPr>
        <w:pStyle w:val="BodyText"/>
        <w:spacing w:before="11"/>
        <w:rPr>
          <w:sz w:val="22"/>
        </w:rPr>
      </w:pPr>
    </w:p>
    <w:p>
      <w:pPr>
        <w:pStyle w:val="BodyText"/>
        <w:spacing w:line="276" w:lineRule="auto"/>
        <w:ind w:left="1439" w:right="891"/>
      </w:pPr>
      <w:r>
        <w:rPr>
          <w:color w:val="231F20"/>
        </w:rPr>
        <w:t>NMT/EMRTC elected not to pursue the Tort Claim filed in accordance with the Contract Disputes Act of 1978 for breach of contract, breach of implied contract, negligence, violation of Federal Tort Claims Act (FTCA),</w:t>
      </w:r>
      <w:r>
        <w:rPr>
          <w:color w:val="231F20"/>
          <w:spacing w:val="-3"/>
        </w:rPr>
        <w:t> </w:t>
      </w:r>
      <w:r>
        <w:rPr>
          <w:color w:val="231F20"/>
        </w:rPr>
        <w:t>equitable</w:t>
      </w:r>
      <w:r>
        <w:rPr>
          <w:color w:val="231F20"/>
          <w:spacing w:val="-3"/>
        </w:rPr>
        <w:t> </w:t>
      </w:r>
      <w:r>
        <w:rPr>
          <w:color w:val="231F20"/>
        </w:rPr>
        <w:t>claims,</w:t>
      </w:r>
      <w:r>
        <w:rPr>
          <w:color w:val="231F20"/>
          <w:spacing w:val="-3"/>
        </w:rPr>
        <w:t> </w:t>
      </w:r>
      <w:r>
        <w:rPr>
          <w:color w:val="231F20"/>
        </w:rPr>
        <w:t>and</w:t>
      </w:r>
      <w:r>
        <w:rPr>
          <w:color w:val="231F20"/>
          <w:spacing w:val="-3"/>
        </w:rPr>
        <w:t> </w:t>
      </w:r>
      <w:r>
        <w:rPr>
          <w:color w:val="231F20"/>
        </w:rPr>
        <w:t>damages.</w:t>
      </w:r>
      <w:r>
        <w:rPr>
          <w:color w:val="231F20"/>
          <w:spacing w:val="-3"/>
        </w:rPr>
        <w:t> </w:t>
      </w:r>
      <w:r>
        <w:rPr>
          <w:color w:val="231F20"/>
        </w:rPr>
        <w:t>EMRTC</w:t>
      </w:r>
      <w:r>
        <w:rPr>
          <w:color w:val="231F20"/>
          <w:spacing w:val="-4"/>
        </w:rPr>
        <w:t> </w:t>
      </w:r>
      <w:r>
        <w:rPr>
          <w:color w:val="231F20"/>
        </w:rPr>
        <w:t>determined</w:t>
      </w:r>
      <w:r>
        <w:rPr>
          <w:color w:val="231F20"/>
          <w:spacing w:val="-3"/>
        </w:rPr>
        <w:t> </w:t>
      </w:r>
      <w:r>
        <w:rPr>
          <w:color w:val="231F20"/>
        </w:rPr>
        <w:t>that</w:t>
      </w:r>
      <w:r>
        <w:rPr>
          <w:color w:val="231F20"/>
          <w:spacing w:val="-3"/>
        </w:rPr>
        <w:t> </w:t>
      </w:r>
      <w:r>
        <w:rPr>
          <w:color w:val="231F20"/>
        </w:rPr>
        <w:t>costs</w:t>
      </w:r>
      <w:r>
        <w:rPr>
          <w:color w:val="231F20"/>
          <w:spacing w:val="-3"/>
        </w:rPr>
        <w:t> </w:t>
      </w:r>
      <w:r>
        <w:rPr>
          <w:color w:val="231F20"/>
        </w:rPr>
        <w:t>involved</w:t>
      </w:r>
      <w:r>
        <w:rPr>
          <w:color w:val="231F20"/>
          <w:spacing w:val="-3"/>
        </w:rPr>
        <w:t> </w:t>
      </w:r>
      <w:r>
        <w:rPr>
          <w:color w:val="231F20"/>
        </w:rPr>
        <w:t>in</w:t>
      </w:r>
      <w:r>
        <w:rPr>
          <w:color w:val="231F20"/>
          <w:spacing w:val="-3"/>
        </w:rPr>
        <w:t> </w:t>
      </w:r>
      <w:r>
        <w:rPr>
          <w:color w:val="231F20"/>
        </w:rPr>
        <w:t>this</w:t>
      </w:r>
      <w:r>
        <w:rPr>
          <w:color w:val="231F20"/>
          <w:spacing w:val="-3"/>
        </w:rPr>
        <w:t> </w:t>
      </w:r>
      <w:r>
        <w:rPr>
          <w:color w:val="231F20"/>
        </w:rPr>
        <w:t>activity</w:t>
      </w:r>
      <w:r>
        <w:rPr>
          <w:color w:val="231F20"/>
          <w:spacing w:val="-4"/>
        </w:rPr>
        <w:t> </w:t>
      </w:r>
      <w:r>
        <w:rPr>
          <w:color w:val="231F20"/>
        </w:rPr>
        <w:t>have</w:t>
      </w:r>
      <w:r>
        <w:rPr>
          <w:color w:val="231F20"/>
          <w:spacing w:val="-3"/>
        </w:rPr>
        <w:t> </w:t>
      </w:r>
      <w:r>
        <w:rPr>
          <w:color w:val="231F20"/>
        </w:rPr>
        <w:t>little or no probability of being recovered.</w:t>
      </w:r>
    </w:p>
    <w:p>
      <w:pPr>
        <w:pStyle w:val="BodyText"/>
        <w:rPr>
          <w:sz w:val="23"/>
        </w:rPr>
      </w:pPr>
    </w:p>
    <w:p>
      <w:pPr>
        <w:pStyle w:val="BodyText"/>
        <w:spacing w:line="276" w:lineRule="auto"/>
        <w:ind w:left="1439" w:right="891"/>
      </w:pPr>
      <w:r>
        <w:rPr>
          <w:color w:val="231F20"/>
        </w:rPr>
        <w:t>The Institute may be liable for all or part of the cleanup cost. The cleanup cost has not been definitely estimated, but preliminary</w:t>
      </w:r>
      <w:r>
        <w:rPr>
          <w:color w:val="231F20"/>
          <w:spacing w:val="-1"/>
        </w:rPr>
        <w:t> </w:t>
      </w:r>
      <w:r>
        <w:rPr>
          <w:color w:val="231F20"/>
        </w:rPr>
        <w:t>estimates range from approximately $5,000,000 to $19,000,000. It is uncertain at the date of these financial statements as to the outcome of the Institute’s recovery actions against the United</w:t>
      </w:r>
      <w:r>
        <w:rPr>
          <w:color w:val="231F20"/>
          <w:spacing w:val="-3"/>
        </w:rPr>
        <w:t> </w:t>
      </w:r>
      <w:r>
        <w:rPr>
          <w:color w:val="231F20"/>
        </w:rPr>
        <w:t>States</w:t>
      </w:r>
      <w:r>
        <w:rPr>
          <w:color w:val="231F20"/>
          <w:spacing w:val="-3"/>
        </w:rPr>
        <w:t> </w:t>
      </w:r>
      <w:r>
        <w:rPr>
          <w:color w:val="231F20"/>
        </w:rPr>
        <w:t>or</w:t>
      </w:r>
      <w:r>
        <w:rPr>
          <w:color w:val="231F20"/>
          <w:spacing w:val="-3"/>
        </w:rPr>
        <w:t> </w:t>
      </w:r>
      <w:r>
        <w:rPr>
          <w:color w:val="231F20"/>
        </w:rPr>
        <w:t>the</w:t>
      </w:r>
      <w:r>
        <w:rPr>
          <w:color w:val="231F20"/>
          <w:spacing w:val="-3"/>
        </w:rPr>
        <w:t> </w:t>
      </w:r>
      <w:r>
        <w:rPr>
          <w:color w:val="231F20"/>
        </w:rPr>
        <w:t>potential</w:t>
      </w:r>
      <w:r>
        <w:rPr>
          <w:color w:val="231F20"/>
          <w:spacing w:val="-3"/>
        </w:rPr>
        <w:t> </w:t>
      </w:r>
      <w:r>
        <w:rPr>
          <w:color w:val="231F20"/>
        </w:rPr>
        <w:t>cleanup</w:t>
      </w:r>
      <w:r>
        <w:rPr>
          <w:color w:val="231F20"/>
          <w:spacing w:val="-3"/>
        </w:rPr>
        <w:t> </w:t>
      </w:r>
      <w:r>
        <w:rPr>
          <w:color w:val="231F20"/>
        </w:rPr>
        <w:t>amount</w:t>
      </w:r>
      <w:r>
        <w:rPr>
          <w:color w:val="231F20"/>
          <w:spacing w:val="-3"/>
        </w:rPr>
        <w:t> </w:t>
      </w:r>
      <w:r>
        <w:rPr>
          <w:color w:val="231F20"/>
        </w:rPr>
        <w:t>that</w:t>
      </w:r>
      <w:r>
        <w:rPr>
          <w:color w:val="231F20"/>
          <w:spacing w:val="-3"/>
        </w:rPr>
        <w:t> </w:t>
      </w:r>
      <w:r>
        <w:rPr>
          <w:color w:val="231F20"/>
        </w:rPr>
        <w:t>might</w:t>
      </w:r>
      <w:r>
        <w:rPr>
          <w:color w:val="231F20"/>
          <w:spacing w:val="-3"/>
        </w:rPr>
        <w:t> </w:t>
      </w:r>
      <w:r>
        <w:rPr>
          <w:color w:val="231F20"/>
        </w:rPr>
        <w:t>be</w:t>
      </w:r>
      <w:r>
        <w:rPr>
          <w:color w:val="231F20"/>
          <w:spacing w:val="-3"/>
        </w:rPr>
        <w:t> </w:t>
      </w:r>
      <w:r>
        <w:rPr>
          <w:color w:val="231F20"/>
        </w:rPr>
        <w:t>ultimately</w:t>
      </w:r>
      <w:r>
        <w:rPr>
          <w:color w:val="231F20"/>
          <w:spacing w:val="-3"/>
        </w:rPr>
        <w:t> </w:t>
      </w:r>
      <w:r>
        <w:rPr>
          <w:color w:val="231F20"/>
        </w:rPr>
        <w:t>required.</w:t>
      </w:r>
      <w:r>
        <w:rPr>
          <w:color w:val="231F20"/>
          <w:spacing w:val="-4"/>
        </w:rPr>
        <w:t> </w:t>
      </w:r>
      <w:r>
        <w:rPr>
          <w:color w:val="231F20"/>
        </w:rPr>
        <w:t>The</w:t>
      </w:r>
      <w:r>
        <w:rPr>
          <w:color w:val="231F20"/>
          <w:spacing w:val="-3"/>
        </w:rPr>
        <w:t> </w:t>
      </w:r>
      <w:r>
        <w:rPr>
          <w:color w:val="231F20"/>
        </w:rPr>
        <w:t>Institute</w:t>
      </w:r>
      <w:r>
        <w:rPr>
          <w:color w:val="231F20"/>
          <w:spacing w:val="-4"/>
        </w:rPr>
        <w:t> </w:t>
      </w:r>
      <w:r>
        <w:rPr>
          <w:color w:val="231F20"/>
        </w:rPr>
        <w:t>has</w:t>
      </w:r>
      <w:r>
        <w:rPr>
          <w:color w:val="231F20"/>
          <w:spacing w:val="-3"/>
        </w:rPr>
        <w:t> </w:t>
      </w:r>
      <w:r>
        <w:rPr>
          <w:color w:val="231F20"/>
        </w:rPr>
        <w:t>accrued</w:t>
      </w:r>
    </w:p>
    <w:p>
      <w:pPr>
        <w:pStyle w:val="BodyText"/>
        <w:ind w:left="1439"/>
      </w:pPr>
      <w:r>
        <w:rPr>
          <w:color w:val="231F20"/>
        </w:rPr>
        <w:t>$5,434,223</w:t>
      </w:r>
      <w:r>
        <w:rPr>
          <w:color w:val="231F20"/>
          <w:spacing w:val="-6"/>
        </w:rPr>
        <w:t> </w:t>
      </w:r>
      <w:r>
        <w:rPr>
          <w:color w:val="231F20"/>
        </w:rPr>
        <w:t>as</w:t>
      </w:r>
      <w:r>
        <w:rPr>
          <w:color w:val="231F20"/>
          <w:spacing w:val="-4"/>
        </w:rPr>
        <w:t> </w:t>
      </w:r>
      <w:r>
        <w:rPr>
          <w:color w:val="231F20"/>
        </w:rPr>
        <w:t>a</w:t>
      </w:r>
      <w:r>
        <w:rPr>
          <w:color w:val="231F20"/>
          <w:spacing w:val="-6"/>
        </w:rPr>
        <w:t> </w:t>
      </w:r>
      <w:r>
        <w:rPr>
          <w:color w:val="231F20"/>
        </w:rPr>
        <w:t>non-current</w:t>
      </w:r>
      <w:r>
        <w:rPr>
          <w:color w:val="231F20"/>
          <w:spacing w:val="-5"/>
        </w:rPr>
        <w:t> </w:t>
      </w:r>
      <w:r>
        <w:rPr>
          <w:color w:val="231F20"/>
        </w:rPr>
        <w:t>liability</w:t>
      </w:r>
      <w:r>
        <w:rPr>
          <w:color w:val="231F20"/>
          <w:spacing w:val="-5"/>
        </w:rPr>
        <w:t> </w:t>
      </w:r>
      <w:r>
        <w:rPr>
          <w:color w:val="231F20"/>
        </w:rPr>
        <w:t>as</w:t>
      </w:r>
      <w:r>
        <w:rPr>
          <w:color w:val="231F20"/>
          <w:spacing w:val="-6"/>
        </w:rPr>
        <w:t> </w:t>
      </w:r>
      <w:r>
        <w:rPr>
          <w:color w:val="231F20"/>
        </w:rPr>
        <w:t>of</w:t>
      </w:r>
      <w:r>
        <w:rPr>
          <w:color w:val="231F20"/>
          <w:spacing w:val="-6"/>
        </w:rPr>
        <w:t> </w:t>
      </w:r>
      <w:r>
        <w:rPr>
          <w:color w:val="231F20"/>
        </w:rPr>
        <w:t>June</w:t>
      </w:r>
      <w:r>
        <w:rPr>
          <w:color w:val="231F20"/>
          <w:spacing w:val="-5"/>
        </w:rPr>
        <w:t> </w:t>
      </w:r>
      <w:r>
        <w:rPr>
          <w:color w:val="231F20"/>
        </w:rPr>
        <w:t>30,</w:t>
      </w:r>
      <w:r>
        <w:rPr>
          <w:color w:val="231F20"/>
          <w:spacing w:val="-5"/>
        </w:rPr>
        <w:t> </w:t>
      </w:r>
      <w:r>
        <w:rPr>
          <w:color w:val="231F20"/>
          <w:spacing w:val="-4"/>
        </w:rPr>
        <w:t>2022.</w:t>
      </w:r>
    </w:p>
    <w:p>
      <w:pPr>
        <w:spacing w:after="0"/>
        <w:sectPr>
          <w:pgSz w:w="12240" w:h="15840"/>
          <w:pgMar w:header="1282" w:footer="1097" w:top="1900" w:bottom="1280" w:left="0" w:right="580"/>
        </w:sectPr>
      </w:pPr>
    </w:p>
    <w:p>
      <w:pPr>
        <w:pStyle w:val="BodyText"/>
      </w:pPr>
      <w:r>
        <w:rPr/>
        <w:pict>
          <v:rect style="position:absolute;margin-left:268.200989pt;margin-top:695.16095pt;width:80.1pt;height:.96008pt;mso-position-horizontal-relative:page;mso-position-vertical-relative:page;z-index:15783936" id="docshape332" filled="true" fillcolor="#231f20" stroked="false">
            <v:fill type="solid"/>
            <w10:wrap type="none"/>
          </v:rect>
        </w:pict>
      </w:r>
      <w:r>
        <w:rPr/>
        <w:pict>
          <v:rect style="position:absolute;margin-left:363.540985pt;margin-top:695.16095pt;width:80.1pt;height:.96008pt;mso-position-horizontal-relative:page;mso-position-vertical-relative:page;z-index:15784448" id="docshape333" filled="true" fillcolor="#231f20" stroked="false">
            <v:fill type="solid"/>
            <w10:wrap type="none"/>
          </v:rect>
        </w:pict>
      </w:r>
    </w:p>
    <w:p>
      <w:pPr>
        <w:pStyle w:val="BodyText"/>
        <w:spacing w:before="10"/>
        <w:rPr>
          <w:sz w:val="17"/>
        </w:rPr>
      </w:pPr>
    </w:p>
    <w:p>
      <w:pPr>
        <w:pStyle w:val="Heading4"/>
        <w:spacing w:before="94"/>
      </w:pPr>
      <w:r>
        <w:rPr>
          <w:color w:val="231F20"/>
        </w:rPr>
        <w:t>Note</w:t>
      </w:r>
      <w:r>
        <w:rPr>
          <w:color w:val="231F20"/>
          <w:spacing w:val="-6"/>
        </w:rPr>
        <w:t> </w:t>
      </w:r>
      <w:r>
        <w:rPr>
          <w:color w:val="231F20"/>
        </w:rPr>
        <w:t>6</w:t>
      </w:r>
      <w:r>
        <w:rPr>
          <w:color w:val="231F20"/>
          <w:spacing w:val="-5"/>
        </w:rPr>
        <w:t> </w:t>
      </w:r>
      <w:r>
        <w:rPr>
          <w:color w:val="231F20"/>
        </w:rPr>
        <w:t>–</w:t>
      </w:r>
      <w:r>
        <w:rPr>
          <w:color w:val="231F20"/>
          <w:spacing w:val="-5"/>
        </w:rPr>
        <w:t> </w:t>
      </w:r>
      <w:r>
        <w:rPr>
          <w:color w:val="231F20"/>
        </w:rPr>
        <w:t>Long-Term</w:t>
      </w:r>
      <w:r>
        <w:rPr>
          <w:color w:val="231F20"/>
          <w:spacing w:val="-4"/>
        </w:rPr>
        <w:t> </w:t>
      </w:r>
      <w:r>
        <w:rPr>
          <w:color w:val="231F20"/>
        </w:rPr>
        <w:t>Liabilities</w:t>
      </w:r>
      <w:r>
        <w:rPr>
          <w:color w:val="231F20"/>
          <w:spacing w:val="-5"/>
        </w:rPr>
        <w:t> </w:t>
      </w:r>
      <w:r>
        <w:rPr>
          <w:color w:val="231F20"/>
          <w:spacing w:val="-2"/>
        </w:rPr>
        <w:t>(continued)</w:t>
      </w:r>
    </w:p>
    <w:p>
      <w:pPr>
        <w:pStyle w:val="BodyText"/>
        <w:spacing w:before="1"/>
        <w:rPr>
          <w:b/>
        </w:rPr>
      </w:pPr>
    </w:p>
    <w:p>
      <w:pPr>
        <w:spacing w:line="230" w:lineRule="exact" w:before="0"/>
        <w:ind w:left="1440" w:right="0" w:firstLine="0"/>
        <w:jc w:val="left"/>
        <w:rPr>
          <w:b/>
          <w:sz w:val="20"/>
        </w:rPr>
      </w:pPr>
      <w:r>
        <w:rPr>
          <w:b/>
          <w:color w:val="231F20"/>
          <w:sz w:val="20"/>
        </w:rPr>
        <w:t>Lease</w:t>
      </w:r>
      <w:r>
        <w:rPr>
          <w:b/>
          <w:color w:val="231F20"/>
          <w:spacing w:val="-5"/>
          <w:sz w:val="20"/>
        </w:rPr>
        <w:t> </w:t>
      </w:r>
      <w:r>
        <w:rPr>
          <w:b/>
          <w:color w:val="231F20"/>
          <w:spacing w:val="-2"/>
          <w:sz w:val="20"/>
        </w:rPr>
        <w:t>Liability</w:t>
      </w:r>
    </w:p>
    <w:p>
      <w:pPr>
        <w:pStyle w:val="BodyText"/>
        <w:spacing w:line="230" w:lineRule="exact"/>
        <w:ind w:left="1440"/>
      </w:pPr>
      <w:r>
        <w:rPr>
          <w:color w:val="231F20"/>
        </w:rPr>
        <w:t>Future</w:t>
      </w:r>
      <w:r>
        <w:rPr>
          <w:color w:val="231F20"/>
          <w:spacing w:val="-7"/>
        </w:rPr>
        <w:t> </w:t>
      </w:r>
      <w:r>
        <w:rPr>
          <w:color w:val="231F20"/>
        </w:rPr>
        <w:t>principal</w:t>
      </w:r>
      <w:r>
        <w:rPr>
          <w:color w:val="231F20"/>
          <w:spacing w:val="-5"/>
        </w:rPr>
        <w:t> </w:t>
      </w:r>
      <w:r>
        <w:rPr>
          <w:color w:val="231F20"/>
        </w:rPr>
        <w:t>and</w:t>
      </w:r>
      <w:r>
        <w:rPr>
          <w:color w:val="231F20"/>
          <w:spacing w:val="-5"/>
        </w:rPr>
        <w:t> </w:t>
      </w:r>
      <w:r>
        <w:rPr>
          <w:color w:val="231F20"/>
        </w:rPr>
        <w:t>lease</w:t>
      </w:r>
      <w:r>
        <w:rPr>
          <w:color w:val="231F20"/>
          <w:spacing w:val="-5"/>
        </w:rPr>
        <w:t> </w:t>
      </w:r>
      <w:r>
        <w:rPr>
          <w:color w:val="231F20"/>
        </w:rPr>
        <w:t>payments</w:t>
      </w:r>
      <w:r>
        <w:rPr>
          <w:color w:val="231F20"/>
          <w:spacing w:val="-6"/>
        </w:rPr>
        <w:t> </w:t>
      </w:r>
      <w:r>
        <w:rPr>
          <w:color w:val="231F20"/>
        </w:rPr>
        <w:t>required</w:t>
      </w:r>
      <w:r>
        <w:rPr>
          <w:color w:val="231F20"/>
          <w:spacing w:val="-5"/>
        </w:rPr>
        <w:t> </w:t>
      </w:r>
      <w:r>
        <w:rPr>
          <w:color w:val="231F20"/>
        </w:rPr>
        <w:t>as</w:t>
      </w:r>
      <w:r>
        <w:rPr>
          <w:color w:val="231F20"/>
          <w:spacing w:val="-4"/>
        </w:rPr>
        <w:t> </w:t>
      </w:r>
      <w:r>
        <w:rPr>
          <w:color w:val="231F20"/>
        </w:rPr>
        <w:t>of</w:t>
      </w:r>
      <w:r>
        <w:rPr>
          <w:color w:val="231F20"/>
          <w:spacing w:val="-5"/>
        </w:rPr>
        <w:t> </w:t>
      </w:r>
      <w:r>
        <w:rPr>
          <w:color w:val="231F20"/>
        </w:rPr>
        <w:t>June</w:t>
      </w:r>
      <w:r>
        <w:rPr>
          <w:color w:val="231F20"/>
          <w:spacing w:val="-4"/>
        </w:rPr>
        <w:t> </w:t>
      </w:r>
      <w:r>
        <w:rPr>
          <w:color w:val="231F20"/>
        </w:rPr>
        <w:t>30,</w:t>
      </w:r>
      <w:r>
        <w:rPr>
          <w:color w:val="231F20"/>
          <w:spacing w:val="-5"/>
        </w:rPr>
        <w:t> </w:t>
      </w:r>
      <w:r>
        <w:rPr>
          <w:color w:val="231F20"/>
        </w:rPr>
        <w:t>2022,</w:t>
      </w:r>
      <w:r>
        <w:rPr>
          <w:color w:val="231F20"/>
          <w:spacing w:val="-5"/>
        </w:rPr>
        <w:t> </w:t>
      </w:r>
      <w:r>
        <w:rPr>
          <w:color w:val="231F20"/>
        </w:rPr>
        <w:t>are</w:t>
      </w:r>
      <w:r>
        <w:rPr>
          <w:color w:val="231F20"/>
          <w:spacing w:val="-5"/>
        </w:rPr>
        <w:t> </w:t>
      </w:r>
      <w:r>
        <w:rPr>
          <w:color w:val="231F20"/>
        </w:rPr>
        <w:t>as</w:t>
      </w:r>
      <w:r>
        <w:rPr>
          <w:color w:val="231F20"/>
          <w:spacing w:val="-3"/>
        </w:rPr>
        <w:t> </w:t>
      </w:r>
      <w:r>
        <w:rPr>
          <w:color w:val="231F20"/>
          <w:spacing w:val="-2"/>
        </w:rPr>
        <w:t>follows:</w:t>
      </w:r>
    </w:p>
    <w:p>
      <w:pPr>
        <w:pStyle w:val="BodyText"/>
        <w:spacing w:before="7"/>
        <w:rPr>
          <w:sz w:val="27"/>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71"/>
        <w:gridCol w:w="2378"/>
        <w:gridCol w:w="1902"/>
        <w:gridCol w:w="1800"/>
      </w:tblGrid>
      <w:tr>
        <w:trPr>
          <w:trHeight w:val="579" w:hRule="atLeast"/>
        </w:trPr>
        <w:tc>
          <w:tcPr>
            <w:tcW w:w="3371" w:type="dxa"/>
          </w:tcPr>
          <w:p>
            <w:pPr>
              <w:pStyle w:val="TableParagraph"/>
              <w:spacing w:before="4"/>
              <w:rPr>
                <w:sz w:val="21"/>
              </w:rPr>
            </w:pPr>
          </w:p>
          <w:p>
            <w:pPr>
              <w:pStyle w:val="TableParagraph"/>
              <w:tabs>
                <w:tab w:pos="307" w:val="left" w:leader="none"/>
                <w:tab w:pos="2692" w:val="left" w:leader="none"/>
              </w:tabs>
              <w:ind w:right="576"/>
              <w:jc w:val="center"/>
              <w:rPr>
                <w:sz w:val="20"/>
              </w:rPr>
            </w:pPr>
            <w:r>
              <w:rPr>
                <w:color w:val="231F20"/>
                <w:sz w:val="20"/>
                <w:u w:val="single" w:color="231F20"/>
              </w:rPr>
              <w:tab/>
              <w:t>Years</w:t>
            </w:r>
            <w:r>
              <w:rPr>
                <w:color w:val="231F20"/>
                <w:spacing w:val="-2"/>
                <w:sz w:val="20"/>
                <w:u w:val="single" w:color="231F20"/>
              </w:rPr>
              <w:t> </w:t>
            </w:r>
            <w:r>
              <w:rPr>
                <w:color w:val="231F20"/>
                <w:sz w:val="20"/>
                <w:u w:val="single" w:color="231F20"/>
              </w:rPr>
              <w:t>Ending</w:t>
            </w:r>
            <w:r>
              <w:rPr>
                <w:color w:val="231F20"/>
                <w:spacing w:val="-2"/>
                <w:sz w:val="20"/>
                <w:u w:val="single" w:color="231F20"/>
              </w:rPr>
              <w:t> </w:t>
            </w:r>
            <w:r>
              <w:rPr>
                <w:color w:val="231F20"/>
                <w:sz w:val="20"/>
                <w:u w:val="single" w:color="231F20"/>
              </w:rPr>
              <w:t>June</w:t>
            </w:r>
            <w:r>
              <w:rPr>
                <w:color w:val="231F20"/>
                <w:spacing w:val="-2"/>
                <w:sz w:val="20"/>
                <w:u w:val="single" w:color="231F20"/>
              </w:rPr>
              <w:t> </w:t>
            </w:r>
            <w:r>
              <w:rPr>
                <w:color w:val="231F20"/>
                <w:spacing w:val="-5"/>
                <w:sz w:val="20"/>
                <w:u w:val="single" w:color="231F20"/>
              </w:rPr>
              <w:t>30,</w:t>
            </w:r>
            <w:r>
              <w:rPr>
                <w:color w:val="231F20"/>
                <w:sz w:val="20"/>
                <w:u w:val="single" w:color="231F20"/>
              </w:rPr>
              <w:tab/>
            </w:r>
          </w:p>
        </w:tc>
        <w:tc>
          <w:tcPr>
            <w:tcW w:w="2378" w:type="dxa"/>
          </w:tcPr>
          <w:p>
            <w:pPr>
              <w:pStyle w:val="TableParagraph"/>
              <w:spacing w:before="4"/>
              <w:rPr>
                <w:sz w:val="21"/>
              </w:rPr>
            </w:pPr>
          </w:p>
          <w:p>
            <w:pPr>
              <w:pStyle w:val="TableParagraph"/>
              <w:tabs>
                <w:tab w:pos="420" w:val="left" w:leader="none"/>
                <w:tab w:pos="1597" w:val="left" w:leader="none"/>
              </w:tabs>
              <w:ind w:right="150"/>
              <w:jc w:val="right"/>
              <w:rPr>
                <w:sz w:val="20"/>
              </w:rPr>
            </w:pPr>
            <w:r>
              <w:rPr>
                <w:color w:val="231F20"/>
                <w:sz w:val="20"/>
                <w:u w:val="single" w:color="231F20"/>
              </w:rPr>
              <w:tab/>
            </w:r>
            <w:r>
              <w:rPr>
                <w:color w:val="231F20"/>
                <w:spacing w:val="-2"/>
                <w:sz w:val="20"/>
                <w:u w:val="single" w:color="231F20"/>
              </w:rPr>
              <w:t>Principal</w:t>
            </w:r>
            <w:r>
              <w:rPr>
                <w:color w:val="231F20"/>
                <w:sz w:val="20"/>
                <w:u w:val="single" w:color="231F20"/>
              </w:rPr>
              <w:tab/>
            </w:r>
          </w:p>
        </w:tc>
        <w:tc>
          <w:tcPr>
            <w:tcW w:w="1902" w:type="dxa"/>
          </w:tcPr>
          <w:p>
            <w:pPr>
              <w:pStyle w:val="TableParagraph"/>
              <w:spacing w:before="4"/>
              <w:rPr>
                <w:sz w:val="21"/>
              </w:rPr>
            </w:pPr>
          </w:p>
          <w:p>
            <w:pPr>
              <w:pStyle w:val="TableParagraph"/>
              <w:tabs>
                <w:tab w:pos="468" w:val="left" w:leader="none"/>
                <w:tab w:pos="1595" w:val="left" w:leader="none"/>
              </w:tabs>
              <w:ind w:right="150"/>
              <w:jc w:val="right"/>
              <w:rPr>
                <w:sz w:val="20"/>
              </w:rPr>
            </w:pPr>
            <w:r>
              <w:rPr>
                <w:color w:val="231F20"/>
                <w:sz w:val="20"/>
                <w:u w:val="single" w:color="231F20"/>
              </w:rPr>
              <w:tab/>
            </w:r>
            <w:r>
              <w:rPr>
                <w:color w:val="231F20"/>
                <w:spacing w:val="-2"/>
                <w:sz w:val="20"/>
                <w:u w:val="single" w:color="231F20"/>
              </w:rPr>
              <w:t>Interest</w:t>
            </w:r>
            <w:r>
              <w:rPr>
                <w:color w:val="231F20"/>
                <w:sz w:val="20"/>
                <w:u w:val="single" w:color="231F20"/>
              </w:rPr>
              <w:tab/>
            </w:r>
          </w:p>
        </w:tc>
        <w:tc>
          <w:tcPr>
            <w:tcW w:w="1800" w:type="dxa"/>
          </w:tcPr>
          <w:p>
            <w:pPr>
              <w:pStyle w:val="TableParagraph"/>
              <w:spacing w:line="225" w:lineRule="exact"/>
              <w:ind w:left="120"/>
              <w:jc w:val="center"/>
              <w:rPr>
                <w:sz w:val="20"/>
              </w:rPr>
            </w:pPr>
            <w:r>
              <w:rPr>
                <w:color w:val="231F20"/>
                <w:spacing w:val="-2"/>
                <w:sz w:val="20"/>
              </w:rPr>
              <w:t>Minimum</w:t>
            </w:r>
          </w:p>
          <w:p>
            <w:pPr>
              <w:pStyle w:val="TableParagraph"/>
              <w:tabs>
                <w:tab w:pos="463" w:val="left" w:leader="none"/>
                <w:tab w:pos="1701" w:val="left" w:leader="none"/>
              </w:tabs>
              <w:spacing w:before="20"/>
              <w:ind w:left="104"/>
              <w:jc w:val="center"/>
              <w:rPr>
                <w:sz w:val="20"/>
              </w:rPr>
            </w:pPr>
            <w:r>
              <w:rPr>
                <w:color w:val="231F20"/>
                <w:sz w:val="20"/>
                <w:u w:val="single" w:color="231F20"/>
              </w:rPr>
              <w:tab/>
            </w:r>
            <w:r>
              <w:rPr>
                <w:color w:val="231F20"/>
                <w:spacing w:val="-2"/>
                <w:sz w:val="20"/>
                <w:u w:val="single" w:color="231F20"/>
              </w:rPr>
              <w:t>Payments</w:t>
            </w:r>
            <w:r>
              <w:rPr>
                <w:color w:val="231F20"/>
                <w:sz w:val="20"/>
                <w:u w:val="single" w:color="231F20"/>
              </w:rPr>
              <w:tab/>
            </w:r>
          </w:p>
        </w:tc>
      </w:tr>
      <w:tr>
        <w:trPr>
          <w:trHeight w:val="341" w:hRule="atLeast"/>
        </w:trPr>
        <w:tc>
          <w:tcPr>
            <w:tcW w:w="3371" w:type="dxa"/>
          </w:tcPr>
          <w:p>
            <w:pPr>
              <w:pStyle w:val="TableParagraph"/>
              <w:spacing w:line="223" w:lineRule="exact" w:before="99"/>
              <w:ind w:right="558"/>
              <w:jc w:val="center"/>
              <w:rPr>
                <w:sz w:val="20"/>
              </w:rPr>
            </w:pPr>
            <w:r>
              <w:rPr>
                <w:color w:val="231F20"/>
                <w:spacing w:val="-4"/>
                <w:sz w:val="20"/>
              </w:rPr>
              <w:t>2023</w:t>
            </w:r>
          </w:p>
        </w:tc>
        <w:tc>
          <w:tcPr>
            <w:tcW w:w="2378" w:type="dxa"/>
          </w:tcPr>
          <w:p>
            <w:pPr>
              <w:pStyle w:val="TableParagraph"/>
              <w:tabs>
                <w:tab w:pos="653" w:val="left" w:leader="none"/>
              </w:tabs>
              <w:spacing w:line="223" w:lineRule="exact" w:before="99"/>
              <w:ind w:right="258"/>
              <w:jc w:val="right"/>
              <w:rPr>
                <w:sz w:val="20"/>
              </w:rPr>
            </w:pPr>
            <w:r>
              <w:rPr>
                <w:color w:val="231F20"/>
                <w:spacing w:val="-10"/>
                <w:sz w:val="20"/>
              </w:rPr>
              <w:t>$</w:t>
            </w:r>
            <w:r>
              <w:rPr>
                <w:color w:val="231F20"/>
                <w:sz w:val="20"/>
              </w:rPr>
              <w:tab/>
            </w:r>
            <w:r>
              <w:rPr>
                <w:color w:val="231F20"/>
                <w:spacing w:val="-2"/>
                <w:sz w:val="20"/>
              </w:rPr>
              <w:t>597,900</w:t>
            </w:r>
          </w:p>
        </w:tc>
        <w:tc>
          <w:tcPr>
            <w:tcW w:w="1902" w:type="dxa"/>
          </w:tcPr>
          <w:p>
            <w:pPr>
              <w:pStyle w:val="TableParagraph"/>
              <w:tabs>
                <w:tab w:pos="1026" w:val="left" w:leader="none"/>
              </w:tabs>
              <w:spacing w:line="223" w:lineRule="exact" w:before="99"/>
              <w:ind w:left="260"/>
              <w:rPr>
                <w:sz w:val="20"/>
              </w:rPr>
            </w:pPr>
            <w:r>
              <w:rPr>
                <w:color w:val="231F20"/>
                <w:spacing w:val="-10"/>
                <w:sz w:val="20"/>
              </w:rPr>
              <w:t>$</w:t>
            </w:r>
            <w:r>
              <w:rPr>
                <w:color w:val="231F20"/>
                <w:sz w:val="20"/>
              </w:rPr>
              <w:tab/>
            </w:r>
            <w:r>
              <w:rPr>
                <w:color w:val="231F20"/>
                <w:spacing w:val="-2"/>
                <w:sz w:val="20"/>
              </w:rPr>
              <w:t>20,567</w:t>
            </w:r>
          </w:p>
        </w:tc>
        <w:tc>
          <w:tcPr>
            <w:tcW w:w="1800" w:type="dxa"/>
          </w:tcPr>
          <w:p>
            <w:pPr>
              <w:pStyle w:val="TableParagraph"/>
              <w:tabs>
                <w:tab w:pos="914" w:val="left" w:leader="none"/>
              </w:tabs>
              <w:spacing w:line="223" w:lineRule="exact" w:before="99"/>
              <w:ind w:left="260"/>
              <w:rPr>
                <w:sz w:val="20"/>
              </w:rPr>
            </w:pPr>
            <w:r>
              <w:rPr>
                <w:color w:val="231F20"/>
                <w:spacing w:val="-10"/>
                <w:sz w:val="20"/>
              </w:rPr>
              <w:t>$</w:t>
            </w:r>
            <w:r>
              <w:rPr>
                <w:color w:val="231F20"/>
                <w:sz w:val="20"/>
              </w:rPr>
              <w:tab/>
            </w:r>
            <w:r>
              <w:rPr>
                <w:color w:val="231F20"/>
                <w:spacing w:val="-2"/>
                <w:sz w:val="20"/>
              </w:rPr>
              <w:t>618,467</w:t>
            </w:r>
          </w:p>
        </w:tc>
      </w:tr>
      <w:tr>
        <w:trPr>
          <w:trHeight w:val="250" w:hRule="atLeast"/>
        </w:trPr>
        <w:tc>
          <w:tcPr>
            <w:tcW w:w="3371" w:type="dxa"/>
          </w:tcPr>
          <w:p>
            <w:pPr>
              <w:pStyle w:val="TableParagraph"/>
              <w:spacing w:line="223" w:lineRule="exact" w:before="7"/>
              <w:ind w:right="558"/>
              <w:jc w:val="center"/>
              <w:rPr>
                <w:sz w:val="20"/>
              </w:rPr>
            </w:pPr>
            <w:r>
              <w:rPr>
                <w:color w:val="231F20"/>
                <w:spacing w:val="-4"/>
                <w:sz w:val="20"/>
              </w:rPr>
              <w:t>2024</w:t>
            </w:r>
          </w:p>
        </w:tc>
        <w:tc>
          <w:tcPr>
            <w:tcW w:w="2378" w:type="dxa"/>
          </w:tcPr>
          <w:p>
            <w:pPr>
              <w:pStyle w:val="TableParagraph"/>
              <w:spacing w:line="223" w:lineRule="exact" w:before="7"/>
              <w:ind w:right="258"/>
              <w:jc w:val="right"/>
              <w:rPr>
                <w:sz w:val="20"/>
              </w:rPr>
            </w:pPr>
            <w:r>
              <w:rPr>
                <w:color w:val="231F20"/>
                <w:spacing w:val="-2"/>
                <w:sz w:val="20"/>
              </w:rPr>
              <w:t>176,380</w:t>
            </w:r>
          </w:p>
        </w:tc>
        <w:tc>
          <w:tcPr>
            <w:tcW w:w="1902" w:type="dxa"/>
          </w:tcPr>
          <w:p>
            <w:pPr>
              <w:pStyle w:val="TableParagraph"/>
              <w:spacing w:line="223" w:lineRule="exact" w:before="7"/>
              <w:ind w:right="257"/>
              <w:jc w:val="right"/>
              <w:rPr>
                <w:sz w:val="20"/>
              </w:rPr>
            </w:pPr>
            <w:r>
              <w:rPr>
                <w:color w:val="231F20"/>
                <w:spacing w:val="-2"/>
                <w:sz w:val="20"/>
              </w:rPr>
              <w:t>8,828</w:t>
            </w:r>
          </w:p>
        </w:tc>
        <w:tc>
          <w:tcPr>
            <w:tcW w:w="1800" w:type="dxa"/>
          </w:tcPr>
          <w:p>
            <w:pPr>
              <w:pStyle w:val="TableParagraph"/>
              <w:spacing w:line="223" w:lineRule="exact" w:before="7"/>
              <w:ind w:right="154"/>
              <w:jc w:val="right"/>
              <w:rPr>
                <w:sz w:val="20"/>
              </w:rPr>
            </w:pPr>
            <w:r>
              <w:rPr>
                <w:color w:val="231F20"/>
                <w:spacing w:val="-2"/>
                <w:sz w:val="20"/>
              </w:rPr>
              <w:t>185,208</w:t>
            </w:r>
          </w:p>
        </w:tc>
      </w:tr>
      <w:tr>
        <w:trPr>
          <w:trHeight w:val="250" w:hRule="atLeast"/>
        </w:trPr>
        <w:tc>
          <w:tcPr>
            <w:tcW w:w="3371" w:type="dxa"/>
          </w:tcPr>
          <w:p>
            <w:pPr>
              <w:pStyle w:val="TableParagraph"/>
              <w:spacing w:line="223" w:lineRule="exact" w:before="7"/>
              <w:ind w:right="558"/>
              <w:jc w:val="center"/>
              <w:rPr>
                <w:sz w:val="20"/>
              </w:rPr>
            </w:pPr>
            <w:r>
              <w:rPr>
                <w:color w:val="231F20"/>
                <w:spacing w:val="-4"/>
                <w:sz w:val="20"/>
              </w:rPr>
              <w:t>2025</w:t>
            </w:r>
          </w:p>
        </w:tc>
        <w:tc>
          <w:tcPr>
            <w:tcW w:w="2378" w:type="dxa"/>
          </w:tcPr>
          <w:p>
            <w:pPr>
              <w:pStyle w:val="TableParagraph"/>
              <w:spacing w:line="223" w:lineRule="exact" w:before="7"/>
              <w:ind w:right="258"/>
              <w:jc w:val="right"/>
              <w:rPr>
                <w:sz w:val="20"/>
              </w:rPr>
            </w:pPr>
            <w:r>
              <w:rPr>
                <w:color w:val="231F20"/>
                <w:spacing w:val="-2"/>
                <w:sz w:val="20"/>
              </w:rPr>
              <w:t>127,131</w:t>
            </w:r>
          </w:p>
        </w:tc>
        <w:tc>
          <w:tcPr>
            <w:tcW w:w="1902" w:type="dxa"/>
          </w:tcPr>
          <w:p>
            <w:pPr>
              <w:pStyle w:val="TableParagraph"/>
              <w:spacing w:line="223" w:lineRule="exact" w:before="7"/>
              <w:ind w:right="257"/>
              <w:jc w:val="right"/>
              <w:rPr>
                <w:sz w:val="20"/>
              </w:rPr>
            </w:pPr>
            <w:r>
              <w:rPr>
                <w:color w:val="231F20"/>
                <w:spacing w:val="-2"/>
                <w:sz w:val="20"/>
              </w:rPr>
              <w:t>4,845</w:t>
            </w:r>
          </w:p>
        </w:tc>
        <w:tc>
          <w:tcPr>
            <w:tcW w:w="1800" w:type="dxa"/>
          </w:tcPr>
          <w:p>
            <w:pPr>
              <w:pStyle w:val="TableParagraph"/>
              <w:spacing w:line="223" w:lineRule="exact" w:before="7"/>
              <w:ind w:right="154"/>
              <w:jc w:val="right"/>
              <w:rPr>
                <w:sz w:val="20"/>
              </w:rPr>
            </w:pPr>
            <w:r>
              <w:rPr>
                <w:color w:val="231F20"/>
                <w:spacing w:val="-2"/>
                <w:sz w:val="20"/>
              </w:rPr>
              <w:t>131,976</w:t>
            </w:r>
          </w:p>
        </w:tc>
      </w:tr>
      <w:tr>
        <w:trPr>
          <w:trHeight w:val="250" w:hRule="atLeast"/>
        </w:trPr>
        <w:tc>
          <w:tcPr>
            <w:tcW w:w="3371" w:type="dxa"/>
          </w:tcPr>
          <w:p>
            <w:pPr>
              <w:pStyle w:val="TableParagraph"/>
              <w:spacing w:line="223" w:lineRule="exact" w:before="7"/>
              <w:ind w:right="558"/>
              <w:jc w:val="center"/>
              <w:rPr>
                <w:sz w:val="20"/>
              </w:rPr>
            </w:pPr>
            <w:r>
              <w:rPr>
                <w:color w:val="231F20"/>
                <w:spacing w:val="-4"/>
                <w:sz w:val="20"/>
              </w:rPr>
              <w:t>2026</w:t>
            </w:r>
          </w:p>
        </w:tc>
        <w:tc>
          <w:tcPr>
            <w:tcW w:w="2378" w:type="dxa"/>
          </w:tcPr>
          <w:p>
            <w:pPr>
              <w:pStyle w:val="TableParagraph"/>
              <w:spacing w:line="223" w:lineRule="exact" w:before="7"/>
              <w:ind w:right="257"/>
              <w:jc w:val="right"/>
              <w:rPr>
                <w:sz w:val="20"/>
              </w:rPr>
            </w:pPr>
            <w:r>
              <w:rPr>
                <w:color w:val="231F20"/>
                <w:spacing w:val="-2"/>
                <w:sz w:val="20"/>
              </w:rPr>
              <w:t>96,372</w:t>
            </w:r>
          </w:p>
        </w:tc>
        <w:tc>
          <w:tcPr>
            <w:tcW w:w="1902" w:type="dxa"/>
          </w:tcPr>
          <w:p>
            <w:pPr>
              <w:pStyle w:val="TableParagraph"/>
              <w:spacing w:line="223" w:lineRule="exact" w:before="7"/>
              <w:ind w:right="257"/>
              <w:jc w:val="right"/>
              <w:rPr>
                <w:sz w:val="20"/>
              </w:rPr>
            </w:pPr>
            <w:r>
              <w:rPr>
                <w:color w:val="231F20"/>
                <w:spacing w:val="-2"/>
                <w:sz w:val="20"/>
              </w:rPr>
              <w:t>1,690</w:t>
            </w:r>
          </w:p>
        </w:tc>
        <w:tc>
          <w:tcPr>
            <w:tcW w:w="1800" w:type="dxa"/>
          </w:tcPr>
          <w:p>
            <w:pPr>
              <w:pStyle w:val="TableParagraph"/>
              <w:spacing w:line="223" w:lineRule="exact" w:before="7"/>
              <w:ind w:right="154"/>
              <w:jc w:val="right"/>
              <w:rPr>
                <w:sz w:val="20"/>
              </w:rPr>
            </w:pPr>
            <w:r>
              <w:rPr>
                <w:color w:val="231F20"/>
                <w:spacing w:val="-2"/>
                <w:sz w:val="20"/>
              </w:rPr>
              <w:t>98,062</w:t>
            </w:r>
          </w:p>
        </w:tc>
      </w:tr>
      <w:tr>
        <w:trPr>
          <w:trHeight w:val="308" w:hRule="atLeast"/>
        </w:trPr>
        <w:tc>
          <w:tcPr>
            <w:tcW w:w="3371" w:type="dxa"/>
          </w:tcPr>
          <w:p>
            <w:pPr>
              <w:pStyle w:val="TableParagraph"/>
              <w:spacing w:before="7"/>
              <w:ind w:right="558"/>
              <w:jc w:val="center"/>
              <w:rPr>
                <w:sz w:val="20"/>
              </w:rPr>
            </w:pPr>
            <w:r>
              <w:rPr>
                <w:color w:val="231F20"/>
                <w:spacing w:val="-4"/>
                <w:sz w:val="20"/>
              </w:rPr>
              <w:t>2027</w:t>
            </w:r>
          </w:p>
        </w:tc>
        <w:tc>
          <w:tcPr>
            <w:tcW w:w="2378" w:type="dxa"/>
          </w:tcPr>
          <w:p>
            <w:pPr>
              <w:pStyle w:val="TableParagraph"/>
              <w:tabs>
                <w:tab w:pos="984" w:val="left" w:leader="none"/>
              </w:tabs>
              <w:spacing w:before="7"/>
              <w:ind w:right="150"/>
              <w:jc w:val="right"/>
              <w:rPr>
                <w:sz w:val="20"/>
              </w:rPr>
            </w:pPr>
            <w:r>
              <w:rPr>
                <w:color w:val="231F20"/>
                <w:sz w:val="20"/>
                <w:u w:val="single" w:color="231F20"/>
              </w:rPr>
              <w:tab/>
            </w:r>
            <w:r>
              <w:rPr>
                <w:color w:val="231F20"/>
                <w:spacing w:val="-2"/>
                <w:sz w:val="20"/>
                <w:u w:val="single" w:color="231F20"/>
              </w:rPr>
              <w:t>8,556</w:t>
            </w:r>
            <w:r>
              <w:rPr>
                <w:color w:val="231F20"/>
                <w:spacing w:val="80"/>
                <w:sz w:val="20"/>
                <w:u w:val="single" w:color="231F20"/>
              </w:rPr>
              <w:t> </w:t>
            </w:r>
          </w:p>
        </w:tc>
        <w:tc>
          <w:tcPr>
            <w:tcW w:w="1902" w:type="dxa"/>
          </w:tcPr>
          <w:p>
            <w:pPr>
              <w:pStyle w:val="TableParagraph"/>
              <w:tabs>
                <w:tab w:pos="1153" w:val="left" w:leader="none"/>
              </w:tabs>
              <w:spacing w:before="7"/>
              <w:ind w:right="150"/>
              <w:jc w:val="right"/>
              <w:rPr>
                <w:sz w:val="20"/>
              </w:rPr>
            </w:pPr>
            <w:r>
              <w:rPr>
                <w:color w:val="231F20"/>
                <w:sz w:val="20"/>
                <w:u w:val="single" w:color="231F20"/>
              </w:rPr>
              <w:tab/>
            </w:r>
            <w:r>
              <w:rPr>
                <w:color w:val="231F20"/>
                <w:spacing w:val="-5"/>
                <w:sz w:val="20"/>
                <w:u w:val="single" w:color="231F20"/>
              </w:rPr>
              <w:t>209</w:t>
            </w:r>
            <w:r>
              <w:rPr>
                <w:color w:val="231F20"/>
                <w:spacing w:val="80"/>
                <w:sz w:val="20"/>
                <w:u w:val="single" w:color="231F20"/>
              </w:rPr>
              <w:t> </w:t>
            </w:r>
          </w:p>
        </w:tc>
        <w:tc>
          <w:tcPr>
            <w:tcW w:w="1800" w:type="dxa"/>
          </w:tcPr>
          <w:p>
            <w:pPr>
              <w:pStyle w:val="TableParagraph"/>
              <w:tabs>
                <w:tab w:pos="986" w:val="left" w:leader="none"/>
              </w:tabs>
              <w:spacing w:before="7"/>
              <w:ind w:right="47"/>
              <w:jc w:val="right"/>
              <w:rPr>
                <w:sz w:val="20"/>
              </w:rPr>
            </w:pPr>
            <w:r>
              <w:rPr>
                <w:color w:val="231F20"/>
                <w:sz w:val="20"/>
                <w:u w:val="single" w:color="231F20"/>
              </w:rPr>
              <w:tab/>
            </w:r>
            <w:r>
              <w:rPr>
                <w:color w:val="231F20"/>
                <w:spacing w:val="-2"/>
                <w:sz w:val="20"/>
                <w:u w:val="single" w:color="231F20"/>
              </w:rPr>
              <w:t>8,765</w:t>
            </w:r>
            <w:r>
              <w:rPr>
                <w:color w:val="231F20"/>
                <w:spacing w:val="80"/>
                <w:sz w:val="20"/>
                <w:u w:val="single" w:color="231F20"/>
              </w:rPr>
              <w:t> </w:t>
            </w:r>
          </w:p>
        </w:tc>
      </w:tr>
      <w:tr>
        <w:trPr>
          <w:trHeight w:val="359" w:hRule="atLeast"/>
        </w:trPr>
        <w:tc>
          <w:tcPr>
            <w:tcW w:w="3371" w:type="dxa"/>
          </w:tcPr>
          <w:p>
            <w:pPr>
              <w:pStyle w:val="TableParagraph"/>
              <w:rPr>
                <w:rFonts w:ascii="Times New Roman"/>
                <w:sz w:val="20"/>
              </w:rPr>
            </w:pPr>
          </w:p>
        </w:tc>
        <w:tc>
          <w:tcPr>
            <w:tcW w:w="2378" w:type="dxa"/>
          </w:tcPr>
          <w:p>
            <w:pPr>
              <w:pStyle w:val="TableParagraph"/>
              <w:tabs>
                <w:tab w:pos="591" w:val="left" w:leader="none"/>
              </w:tabs>
              <w:spacing w:before="65"/>
              <w:ind w:right="150"/>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1,006,339</w:t>
            </w:r>
            <w:r>
              <w:rPr>
                <w:color w:val="231F20"/>
                <w:spacing w:val="80"/>
                <w:sz w:val="20"/>
                <w:u w:val="single" w:color="231F20"/>
              </w:rPr>
              <w:t> </w:t>
            </w:r>
          </w:p>
        </w:tc>
        <w:tc>
          <w:tcPr>
            <w:tcW w:w="1902" w:type="dxa"/>
          </w:tcPr>
          <w:p>
            <w:pPr>
              <w:pStyle w:val="TableParagraph"/>
              <w:tabs>
                <w:tab w:pos="872" w:val="left" w:leader="none"/>
              </w:tabs>
              <w:spacing w:before="65"/>
              <w:ind w:right="150"/>
              <w:jc w:val="right"/>
              <w:rPr>
                <w:sz w:val="20"/>
              </w:rPr>
            </w:pPr>
            <w:r>
              <w:rPr>
                <w:color w:val="231F20"/>
                <w:spacing w:val="50"/>
                <w:sz w:val="20"/>
                <w:u w:val="single" w:color="231F20"/>
              </w:rPr>
              <w:t> </w:t>
            </w:r>
            <w:r>
              <w:rPr>
                <w:color w:val="231F20"/>
                <w:spacing w:val="-10"/>
                <w:sz w:val="20"/>
                <w:u w:val="single" w:color="231F20"/>
              </w:rPr>
              <w:t>$</w:t>
            </w:r>
            <w:r>
              <w:rPr>
                <w:color w:val="231F20"/>
                <w:sz w:val="20"/>
                <w:u w:val="single" w:color="231F20"/>
              </w:rPr>
              <w:tab/>
            </w:r>
            <w:r>
              <w:rPr>
                <w:color w:val="231F20"/>
                <w:spacing w:val="-2"/>
                <w:sz w:val="20"/>
                <w:u w:val="single" w:color="231F20"/>
              </w:rPr>
              <w:t>36,139</w:t>
            </w:r>
            <w:r>
              <w:rPr>
                <w:color w:val="231F20"/>
                <w:spacing w:val="80"/>
                <w:sz w:val="20"/>
                <w:u w:val="single" w:color="231F20"/>
              </w:rPr>
              <w:t> </w:t>
            </w:r>
          </w:p>
        </w:tc>
        <w:tc>
          <w:tcPr>
            <w:tcW w:w="1800" w:type="dxa"/>
          </w:tcPr>
          <w:p>
            <w:pPr>
              <w:pStyle w:val="TableParagraph"/>
              <w:tabs>
                <w:tab w:pos="592" w:val="left" w:leader="none"/>
              </w:tabs>
              <w:spacing w:before="65"/>
              <w:ind w:right="47"/>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1,042,478</w:t>
            </w:r>
            <w:r>
              <w:rPr>
                <w:color w:val="231F20"/>
                <w:spacing w:val="80"/>
                <w:sz w:val="20"/>
                <w:u w:val="single" w:color="231F20"/>
              </w:rPr>
              <w:t> </w:t>
            </w:r>
          </w:p>
        </w:tc>
      </w:tr>
    </w:tbl>
    <w:p>
      <w:pPr>
        <w:tabs>
          <w:tab w:pos="7302" w:val="left" w:leader="none"/>
          <w:tab w:pos="9205" w:val="left" w:leader="none"/>
        </w:tabs>
        <w:spacing w:line="20" w:lineRule="exact"/>
        <w:ind w:left="5400" w:right="0" w:firstLine="0"/>
        <w:jc w:val="left"/>
        <w:rPr>
          <w:sz w:val="2"/>
        </w:rPr>
      </w:pPr>
      <w:r>
        <w:rPr>
          <w:sz w:val="2"/>
        </w:rPr>
        <w:pict>
          <v:group style="width:79.8pt;height:1pt;mso-position-horizontal-relative:char;mso-position-vertical-relative:line" id="docshapegroup334" coordorigin="0,0" coordsize="1596,20">
            <v:rect style="position:absolute;left:0;top:0;width:1596;height:20" id="docshape335" filled="true" fillcolor="#231f20" stroked="false">
              <v:fill type="solid"/>
            </v:rect>
          </v:group>
        </w:pict>
      </w:r>
      <w:r>
        <w:rPr>
          <w:sz w:val="2"/>
        </w:rPr>
      </w:r>
      <w:r>
        <w:rPr>
          <w:sz w:val="2"/>
        </w:rPr>
        <w:tab/>
      </w:r>
      <w:r>
        <w:rPr>
          <w:sz w:val="2"/>
        </w:rPr>
        <w:pict>
          <v:group style="width:79.8pt;height:1pt;mso-position-horizontal-relative:char;mso-position-vertical-relative:line" id="docshapegroup336" coordorigin="0,0" coordsize="1596,20">
            <v:rect style="position:absolute;left:0;top:0;width:1596;height:20" id="docshape337" filled="true" fillcolor="#231f20" stroked="false">
              <v:fill type="solid"/>
            </v:rect>
          </v:group>
        </w:pict>
      </w:r>
      <w:r>
        <w:rPr>
          <w:sz w:val="2"/>
        </w:rPr>
      </w:r>
      <w:r>
        <w:rPr>
          <w:sz w:val="2"/>
        </w:rPr>
        <w:tab/>
      </w:r>
      <w:r>
        <w:rPr>
          <w:sz w:val="2"/>
        </w:rPr>
        <w:pict>
          <v:group style="width:79.8pt;height:1pt;mso-position-horizontal-relative:char;mso-position-vertical-relative:line" id="docshapegroup338" coordorigin="0,0" coordsize="1596,20">
            <v:rect style="position:absolute;left:0;top:0;width:1596;height:20" id="docshape339" filled="true" fillcolor="#231f20" stroked="false">
              <v:fill type="solid"/>
            </v:rect>
          </v:group>
        </w:pict>
      </w:r>
      <w:r>
        <w:rPr>
          <w:sz w:val="2"/>
        </w:rPr>
      </w:r>
    </w:p>
    <w:p>
      <w:pPr>
        <w:pStyle w:val="BodyText"/>
        <w:rPr>
          <w:sz w:val="22"/>
        </w:rPr>
      </w:pPr>
    </w:p>
    <w:p>
      <w:pPr>
        <w:pStyle w:val="BodyText"/>
        <w:spacing w:before="5"/>
        <w:rPr>
          <w:sz w:val="21"/>
        </w:rPr>
      </w:pPr>
    </w:p>
    <w:p>
      <w:pPr>
        <w:pStyle w:val="Heading4"/>
        <w:ind w:left="1439"/>
      </w:pPr>
      <w:r>
        <w:rPr>
          <w:color w:val="231F20"/>
        </w:rPr>
        <w:t>Note</w:t>
      </w:r>
      <w:r>
        <w:rPr>
          <w:color w:val="231F20"/>
          <w:spacing w:val="-5"/>
        </w:rPr>
        <w:t> </w:t>
      </w:r>
      <w:r>
        <w:rPr>
          <w:color w:val="231F20"/>
        </w:rPr>
        <w:t>7</w:t>
      </w:r>
      <w:r>
        <w:rPr>
          <w:color w:val="231F20"/>
          <w:spacing w:val="-3"/>
        </w:rPr>
        <w:t> </w:t>
      </w:r>
      <w:r>
        <w:rPr>
          <w:color w:val="231F20"/>
        </w:rPr>
        <w:t>–</w:t>
      </w:r>
      <w:r>
        <w:rPr>
          <w:color w:val="231F20"/>
          <w:spacing w:val="-3"/>
        </w:rPr>
        <w:t> </w:t>
      </w:r>
      <w:r>
        <w:rPr>
          <w:color w:val="231F20"/>
        </w:rPr>
        <w:t>Bonds</w:t>
      </w:r>
      <w:r>
        <w:rPr>
          <w:color w:val="231F20"/>
          <w:spacing w:val="-2"/>
        </w:rPr>
        <w:t> Payable</w:t>
      </w:r>
    </w:p>
    <w:p>
      <w:pPr>
        <w:pStyle w:val="BodyText"/>
        <w:spacing w:before="10"/>
        <w:rPr>
          <w:b/>
          <w:sz w:val="19"/>
        </w:rPr>
      </w:pPr>
    </w:p>
    <w:p>
      <w:pPr>
        <w:pStyle w:val="BodyText"/>
        <w:spacing w:line="276" w:lineRule="auto"/>
        <w:ind w:left="1439" w:right="891"/>
      </w:pPr>
      <w:r>
        <w:rPr>
          <w:color w:val="231F20"/>
        </w:rPr>
        <w:t>Long-term debt of the Institute at June 30, 2022, consists of revenue bonds. On December 18, 2019, the Institute issued System Revenue Bonds, Series 2019, in the par amount of $8,555,000, maturing December</w:t>
      </w:r>
      <w:r>
        <w:rPr>
          <w:color w:val="231F20"/>
          <w:spacing w:val="-3"/>
        </w:rPr>
        <w:t> </w:t>
      </w:r>
      <w:r>
        <w:rPr>
          <w:color w:val="231F20"/>
        </w:rPr>
        <w:t>2040,</w:t>
      </w:r>
      <w:r>
        <w:rPr>
          <w:color w:val="231F20"/>
          <w:spacing w:val="-3"/>
        </w:rPr>
        <w:t> </w:t>
      </w:r>
      <w:r>
        <w:rPr>
          <w:color w:val="231F20"/>
        </w:rPr>
        <w:t>and</w:t>
      </w:r>
      <w:r>
        <w:rPr>
          <w:color w:val="231F20"/>
          <w:spacing w:val="-3"/>
        </w:rPr>
        <w:t> </w:t>
      </w:r>
      <w:r>
        <w:rPr>
          <w:color w:val="231F20"/>
        </w:rPr>
        <w:t>carrying</w:t>
      </w:r>
      <w:r>
        <w:rPr>
          <w:color w:val="231F20"/>
          <w:spacing w:val="-3"/>
        </w:rPr>
        <w:t> </w:t>
      </w:r>
      <w:r>
        <w:rPr>
          <w:color w:val="231F20"/>
        </w:rPr>
        <w:t>interest</w:t>
      </w:r>
      <w:r>
        <w:rPr>
          <w:color w:val="231F20"/>
          <w:spacing w:val="-3"/>
        </w:rPr>
        <w:t> </w:t>
      </w:r>
      <w:r>
        <w:rPr>
          <w:color w:val="231F20"/>
        </w:rPr>
        <w:t>of</w:t>
      </w:r>
      <w:r>
        <w:rPr>
          <w:color w:val="231F20"/>
          <w:spacing w:val="-3"/>
        </w:rPr>
        <w:t> </w:t>
      </w:r>
      <w:r>
        <w:rPr>
          <w:color w:val="231F20"/>
        </w:rPr>
        <w:t>4%.</w:t>
      </w:r>
      <w:r>
        <w:rPr>
          <w:color w:val="231F20"/>
          <w:spacing w:val="-3"/>
        </w:rPr>
        <w:t> </w:t>
      </w:r>
      <w:r>
        <w:rPr>
          <w:color w:val="231F20"/>
        </w:rPr>
        <w:t>These</w:t>
      </w:r>
      <w:r>
        <w:rPr>
          <w:color w:val="231F20"/>
          <w:spacing w:val="-3"/>
        </w:rPr>
        <w:t> </w:t>
      </w:r>
      <w:r>
        <w:rPr>
          <w:color w:val="231F20"/>
        </w:rPr>
        <w:t>bonds</w:t>
      </w:r>
      <w:r>
        <w:rPr>
          <w:color w:val="231F20"/>
          <w:spacing w:val="-3"/>
        </w:rPr>
        <w:t> </w:t>
      </w:r>
      <w:r>
        <w:rPr>
          <w:color w:val="231F20"/>
        </w:rPr>
        <w:t>were</w:t>
      </w:r>
      <w:r>
        <w:rPr>
          <w:color w:val="231F20"/>
          <w:spacing w:val="-3"/>
        </w:rPr>
        <w:t> </w:t>
      </w:r>
      <w:r>
        <w:rPr>
          <w:color w:val="231F20"/>
        </w:rPr>
        <w:t>issued</w:t>
      </w:r>
      <w:r>
        <w:rPr>
          <w:color w:val="231F20"/>
          <w:spacing w:val="-3"/>
        </w:rPr>
        <w:t> </w:t>
      </w:r>
      <w:r>
        <w:rPr>
          <w:color w:val="231F20"/>
        </w:rPr>
        <w:t>in</w:t>
      </w:r>
      <w:r>
        <w:rPr>
          <w:color w:val="231F20"/>
          <w:spacing w:val="-3"/>
        </w:rPr>
        <w:t> </w:t>
      </w:r>
      <w:r>
        <w:rPr>
          <w:color w:val="231F20"/>
        </w:rPr>
        <w:t>accordance</w:t>
      </w:r>
      <w:r>
        <w:rPr>
          <w:color w:val="231F20"/>
          <w:spacing w:val="-3"/>
        </w:rPr>
        <w:t> </w:t>
      </w:r>
      <w:r>
        <w:rPr>
          <w:color w:val="231F20"/>
        </w:rPr>
        <w:t>with</w:t>
      </w:r>
      <w:r>
        <w:rPr>
          <w:color w:val="231F20"/>
          <w:spacing w:val="-3"/>
        </w:rPr>
        <w:t> </w:t>
      </w:r>
      <w:r>
        <w:rPr>
          <w:color w:val="231F20"/>
        </w:rPr>
        <w:t>the</w:t>
      </w:r>
      <w:r>
        <w:rPr>
          <w:color w:val="231F20"/>
          <w:spacing w:val="-4"/>
        </w:rPr>
        <w:t> </w:t>
      </w:r>
      <w:r>
        <w:rPr>
          <w:color w:val="231F20"/>
        </w:rPr>
        <w:t>provisions of resolution adopted by the Board of Regents in October 2019, for the purpose of acquiring, installing, constructing and equipping energy efficiency improvements on the facilities of NMIMT.</w:t>
      </w:r>
    </w:p>
    <w:p>
      <w:pPr>
        <w:pStyle w:val="BodyText"/>
        <w:rPr>
          <w:sz w:val="23"/>
        </w:rPr>
      </w:pPr>
    </w:p>
    <w:p>
      <w:pPr>
        <w:pStyle w:val="BodyText"/>
        <w:spacing w:line="276" w:lineRule="auto"/>
        <w:ind w:left="1439" w:right="919"/>
      </w:pPr>
      <w:r>
        <w:rPr>
          <w:color w:val="231F20"/>
        </w:rPr>
        <w:t>On December 3, 2021, the Institute issued System Refunding Revenue Bonds, Series 2021, in the par amount</w:t>
      </w:r>
      <w:r>
        <w:rPr>
          <w:color w:val="231F20"/>
          <w:spacing w:val="-2"/>
        </w:rPr>
        <w:t> </w:t>
      </w:r>
      <w:r>
        <w:rPr>
          <w:color w:val="231F20"/>
        </w:rPr>
        <w:t>of</w:t>
      </w:r>
      <w:r>
        <w:rPr>
          <w:color w:val="231F20"/>
          <w:spacing w:val="-2"/>
        </w:rPr>
        <w:t> </w:t>
      </w:r>
      <w:r>
        <w:rPr>
          <w:color w:val="231F20"/>
        </w:rPr>
        <w:t>$8,470,000,</w:t>
      </w:r>
      <w:r>
        <w:rPr>
          <w:color w:val="231F20"/>
          <w:spacing w:val="-2"/>
        </w:rPr>
        <w:t> </w:t>
      </w:r>
      <w:r>
        <w:rPr>
          <w:color w:val="231F20"/>
        </w:rPr>
        <w:t>maturing</w:t>
      </w:r>
      <w:r>
        <w:rPr>
          <w:color w:val="231F20"/>
          <w:spacing w:val="-3"/>
        </w:rPr>
        <w:t> </w:t>
      </w:r>
      <w:r>
        <w:rPr>
          <w:color w:val="231F20"/>
        </w:rPr>
        <w:t>June</w:t>
      </w:r>
      <w:r>
        <w:rPr>
          <w:color w:val="231F20"/>
          <w:spacing w:val="-2"/>
        </w:rPr>
        <w:t> </w:t>
      </w:r>
      <w:r>
        <w:rPr>
          <w:color w:val="231F20"/>
        </w:rPr>
        <w:t>2031,</w:t>
      </w:r>
      <w:r>
        <w:rPr>
          <w:color w:val="231F20"/>
          <w:spacing w:val="-2"/>
        </w:rPr>
        <w:t> </w:t>
      </w:r>
      <w:r>
        <w:rPr>
          <w:color w:val="231F20"/>
        </w:rPr>
        <w:t>and</w:t>
      </w:r>
      <w:r>
        <w:rPr>
          <w:color w:val="231F20"/>
          <w:spacing w:val="-2"/>
        </w:rPr>
        <w:t> </w:t>
      </w:r>
      <w:r>
        <w:rPr>
          <w:color w:val="231F20"/>
        </w:rPr>
        <w:t>carrying</w:t>
      </w:r>
      <w:r>
        <w:rPr>
          <w:color w:val="231F20"/>
          <w:spacing w:val="-2"/>
        </w:rPr>
        <w:t> </w:t>
      </w:r>
      <w:r>
        <w:rPr>
          <w:color w:val="231F20"/>
        </w:rPr>
        <w:t>interest</w:t>
      </w:r>
      <w:r>
        <w:rPr>
          <w:color w:val="231F20"/>
          <w:spacing w:val="-2"/>
        </w:rPr>
        <w:t> </w:t>
      </w:r>
      <w:r>
        <w:rPr>
          <w:color w:val="231F20"/>
        </w:rPr>
        <w:t>of</w:t>
      </w:r>
      <w:r>
        <w:rPr>
          <w:color w:val="231F20"/>
          <w:spacing w:val="-2"/>
        </w:rPr>
        <w:t> </w:t>
      </w:r>
      <w:r>
        <w:rPr>
          <w:color w:val="231F20"/>
        </w:rPr>
        <w:t>1.0097%.</w:t>
      </w:r>
      <w:r>
        <w:rPr>
          <w:color w:val="231F20"/>
          <w:spacing w:val="-2"/>
        </w:rPr>
        <w:t> </w:t>
      </w:r>
      <w:r>
        <w:rPr>
          <w:color w:val="231F20"/>
        </w:rPr>
        <w:t>These</w:t>
      </w:r>
      <w:r>
        <w:rPr>
          <w:color w:val="231F20"/>
          <w:spacing w:val="-2"/>
        </w:rPr>
        <w:t> </w:t>
      </w:r>
      <w:r>
        <w:rPr>
          <w:color w:val="231F20"/>
        </w:rPr>
        <w:t>bonds</w:t>
      </w:r>
      <w:r>
        <w:rPr>
          <w:color w:val="231F20"/>
          <w:spacing w:val="-2"/>
        </w:rPr>
        <w:t> </w:t>
      </w:r>
      <w:r>
        <w:rPr>
          <w:color w:val="231F20"/>
        </w:rPr>
        <w:t>were</w:t>
      </w:r>
      <w:r>
        <w:rPr>
          <w:color w:val="231F20"/>
          <w:spacing w:val="-2"/>
        </w:rPr>
        <w:t> </w:t>
      </w:r>
      <w:r>
        <w:rPr>
          <w:color w:val="231F20"/>
        </w:rPr>
        <w:t>issued in</w:t>
      </w:r>
      <w:r>
        <w:rPr>
          <w:color w:val="231F20"/>
          <w:spacing w:val="-3"/>
        </w:rPr>
        <w:t> </w:t>
      </w:r>
      <w:r>
        <w:rPr>
          <w:color w:val="231F20"/>
        </w:rPr>
        <w:t>accordance</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provisions</w:t>
      </w:r>
      <w:r>
        <w:rPr>
          <w:color w:val="231F20"/>
          <w:spacing w:val="-2"/>
        </w:rPr>
        <w:t> </w:t>
      </w:r>
      <w:r>
        <w:rPr>
          <w:color w:val="231F20"/>
        </w:rPr>
        <w:t>of</w:t>
      </w:r>
      <w:r>
        <w:rPr>
          <w:color w:val="231F20"/>
          <w:spacing w:val="-3"/>
        </w:rPr>
        <w:t> </w:t>
      </w:r>
      <w:r>
        <w:rPr>
          <w:color w:val="231F20"/>
        </w:rPr>
        <w:t>resolution</w:t>
      </w:r>
      <w:r>
        <w:rPr>
          <w:color w:val="231F20"/>
          <w:spacing w:val="-3"/>
        </w:rPr>
        <w:t> </w:t>
      </w:r>
      <w:r>
        <w:rPr>
          <w:color w:val="231F20"/>
        </w:rPr>
        <w:t>adopted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Board</w:t>
      </w:r>
      <w:r>
        <w:rPr>
          <w:color w:val="231F20"/>
          <w:spacing w:val="-3"/>
        </w:rPr>
        <w:t> </w:t>
      </w:r>
      <w:r>
        <w:rPr>
          <w:color w:val="231F20"/>
        </w:rPr>
        <w:t>of</w:t>
      </w:r>
      <w:r>
        <w:rPr>
          <w:color w:val="231F20"/>
          <w:spacing w:val="-3"/>
        </w:rPr>
        <w:t> </w:t>
      </w:r>
      <w:r>
        <w:rPr>
          <w:color w:val="231F20"/>
        </w:rPr>
        <w:t>Regents</w:t>
      </w:r>
      <w:r>
        <w:rPr>
          <w:color w:val="231F20"/>
          <w:spacing w:val="-3"/>
        </w:rPr>
        <w:t> </w:t>
      </w:r>
      <w:r>
        <w:rPr>
          <w:color w:val="231F20"/>
        </w:rPr>
        <w:t>in</w:t>
      </w:r>
      <w:r>
        <w:rPr>
          <w:color w:val="231F20"/>
          <w:spacing w:val="-3"/>
        </w:rPr>
        <w:t> </w:t>
      </w:r>
      <w:r>
        <w:rPr>
          <w:color w:val="231F20"/>
        </w:rPr>
        <w:t>September,</w:t>
      </w:r>
      <w:r>
        <w:rPr>
          <w:color w:val="231F20"/>
          <w:spacing w:val="-3"/>
        </w:rPr>
        <w:t> </w:t>
      </w:r>
      <w:r>
        <w:rPr>
          <w:color w:val="231F20"/>
        </w:rPr>
        <w:t>2021,</w:t>
      </w:r>
      <w:r>
        <w:rPr>
          <w:color w:val="231F20"/>
          <w:spacing w:val="-3"/>
        </w:rPr>
        <w:t> </w:t>
      </w:r>
      <w:r>
        <w:rPr>
          <w:color w:val="231F20"/>
        </w:rPr>
        <w:t>for the purpose of refinancing System Revenue Bonds, Series 2011.</w:t>
      </w:r>
    </w:p>
    <w:p>
      <w:pPr>
        <w:pStyle w:val="BodyText"/>
        <w:spacing w:before="3"/>
        <w:rPr>
          <w:sz w:val="21"/>
        </w:rPr>
      </w:pPr>
    </w:p>
    <w:p>
      <w:pPr>
        <w:pStyle w:val="BodyText"/>
        <w:tabs>
          <w:tab w:pos="2422" w:val="left" w:leader="none"/>
          <w:tab w:pos="4126" w:val="left" w:leader="none"/>
          <w:tab w:pos="5360" w:val="left" w:leader="none"/>
          <w:tab w:pos="7265" w:val="left" w:leader="none"/>
          <w:tab w:pos="7729" w:val="left" w:leader="none"/>
          <w:tab w:pos="8867" w:val="left" w:leader="none"/>
        </w:tabs>
        <w:ind w:left="1449"/>
      </w:pPr>
      <w:r>
        <w:rPr>
          <w:color w:val="231F20"/>
          <w:u w:val="thick" w:color="231F20"/>
        </w:rPr>
        <w:tab/>
      </w:r>
      <w:r>
        <w:rPr>
          <w:color w:val="231F20"/>
          <w:spacing w:val="-2"/>
          <w:u w:val="thick" w:color="231F20"/>
        </w:rPr>
        <w:t>Purpose</w:t>
      </w:r>
      <w:r>
        <w:rPr>
          <w:color w:val="231F20"/>
          <w:u w:val="thick" w:color="231F20"/>
        </w:rPr>
        <w:tab/>
      </w:r>
      <w:r>
        <w:rPr>
          <w:color w:val="231F20"/>
        </w:rPr>
        <w:tab/>
      </w:r>
      <w:r>
        <w:rPr>
          <w:color w:val="231F20"/>
          <w:spacing w:val="80"/>
          <w:u w:val="thick" w:color="231F20"/>
        </w:rPr>
        <w:t> </w:t>
      </w:r>
      <w:r>
        <w:rPr>
          <w:color w:val="231F20"/>
          <w:u w:val="thick" w:color="231F20"/>
        </w:rPr>
        <w:t>Interest Rates</w:t>
      </w:r>
      <w:r>
        <w:rPr>
          <w:color w:val="231F20"/>
          <w:spacing w:val="80"/>
          <w:u w:val="thick" w:color="231F20"/>
        </w:rPr>
        <w:t> </w:t>
      </w:r>
      <w:r>
        <w:rPr>
          <w:color w:val="231F20"/>
        </w:rPr>
        <w:tab/>
      </w:r>
      <w:r>
        <w:rPr>
          <w:color w:val="231F20"/>
          <w:u w:val="thick" w:color="231F20"/>
        </w:rPr>
        <w:tab/>
      </w:r>
      <w:r>
        <w:rPr>
          <w:color w:val="231F20"/>
          <w:spacing w:val="-2"/>
          <w:u w:val="thick" w:color="231F20"/>
        </w:rPr>
        <w:t>Amount</w:t>
      </w:r>
      <w:r>
        <w:rPr>
          <w:color w:val="231F20"/>
          <w:u w:val="thick" w:color="231F20"/>
        </w:rPr>
        <w:tab/>
      </w:r>
    </w:p>
    <w:p>
      <w:pPr>
        <w:pStyle w:val="BodyText"/>
        <w:tabs>
          <w:tab w:pos="5568" w:val="left" w:leader="none"/>
          <w:tab w:pos="7372" w:val="left" w:leader="none"/>
          <w:tab w:pos="7756" w:val="left" w:leader="none"/>
        </w:tabs>
        <w:spacing w:before="112"/>
        <w:ind w:left="1828"/>
      </w:pPr>
      <w:r>
        <w:rPr>
          <w:color w:val="231F20"/>
        </w:rPr>
        <w:t>Capital</w:t>
      </w:r>
      <w:r>
        <w:rPr>
          <w:color w:val="231F20"/>
          <w:spacing w:val="-7"/>
        </w:rPr>
        <w:t> </w:t>
      </w:r>
      <w:r>
        <w:rPr>
          <w:color w:val="231F20"/>
          <w:spacing w:val="-2"/>
        </w:rPr>
        <w:t>improvements</w:t>
      </w:r>
      <w:r>
        <w:rPr>
          <w:color w:val="231F20"/>
        </w:rPr>
        <w:tab/>
      </w:r>
      <w:r>
        <w:rPr>
          <w:color w:val="231F20"/>
          <w:spacing w:val="-2"/>
        </w:rPr>
        <w:t>1.01%-4.00%</w:t>
      </w:r>
      <w:r>
        <w:rPr>
          <w:color w:val="231F20"/>
        </w:rPr>
        <w:tab/>
      </w:r>
      <w:r>
        <w:rPr>
          <w:color w:val="231F20"/>
          <w:spacing w:val="-10"/>
        </w:rPr>
        <w:t>$</w:t>
      </w:r>
      <w:r>
        <w:rPr>
          <w:color w:val="231F20"/>
        </w:rPr>
        <w:tab/>
      </w:r>
      <w:r>
        <w:rPr>
          <w:color w:val="231F20"/>
          <w:spacing w:val="-2"/>
        </w:rPr>
        <w:t>17,257,450</w:t>
      </w:r>
    </w:p>
    <w:p>
      <w:pPr>
        <w:pStyle w:val="BodyText"/>
        <w:spacing w:before="5"/>
        <w:rPr>
          <w:sz w:val="14"/>
        </w:rPr>
      </w:pPr>
    </w:p>
    <w:p>
      <w:pPr>
        <w:pStyle w:val="BodyText"/>
        <w:spacing w:before="94"/>
        <w:ind w:left="1439"/>
      </w:pPr>
      <w:r>
        <w:rPr>
          <w:color w:val="231F20"/>
        </w:rPr>
        <w:t>Annual</w:t>
      </w:r>
      <w:r>
        <w:rPr>
          <w:color w:val="231F20"/>
          <w:spacing w:val="-6"/>
        </w:rPr>
        <w:t> </w:t>
      </w:r>
      <w:r>
        <w:rPr>
          <w:color w:val="231F20"/>
        </w:rPr>
        <w:t>debt</w:t>
      </w:r>
      <w:r>
        <w:rPr>
          <w:color w:val="231F20"/>
          <w:spacing w:val="-4"/>
        </w:rPr>
        <w:t> </w:t>
      </w:r>
      <w:r>
        <w:rPr>
          <w:color w:val="231F20"/>
        </w:rPr>
        <w:t>service</w:t>
      </w:r>
      <w:r>
        <w:rPr>
          <w:color w:val="231F20"/>
          <w:spacing w:val="-5"/>
        </w:rPr>
        <w:t> </w:t>
      </w:r>
      <w:r>
        <w:rPr>
          <w:color w:val="231F20"/>
        </w:rPr>
        <w:t>requirements</w:t>
      </w:r>
      <w:r>
        <w:rPr>
          <w:color w:val="231F20"/>
          <w:spacing w:val="-4"/>
        </w:rPr>
        <w:t> </w:t>
      </w:r>
      <w:r>
        <w:rPr>
          <w:color w:val="231F20"/>
        </w:rPr>
        <w:t>for</w:t>
      </w:r>
      <w:r>
        <w:rPr>
          <w:color w:val="231F20"/>
          <w:spacing w:val="-3"/>
        </w:rPr>
        <w:t> </w:t>
      </w:r>
      <w:r>
        <w:rPr>
          <w:color w:val="231F20"/>
        </w:rPr>
        <w:t>the</w:t>
      </w:r>
      <w:r>
        <w:rPr>
          <w:color w:val="231F20"/>
          <w:spacing w:val="-5"/>
        </w:rPr>
        <w:t> </w:t>
      </w:r>
      <w:r>
        <w:rPr>
          <w:color w:val="231F20"/>
        </w:rPr>
        <w:t>institute’s</w:t>
      </w:r>
      <w:r>
        <w:rPr>
          <w:color w:val="231F20"/>
          <w:spacing w:val="-4"/>
        </w:rPr>
        <w:t> </w:t>
      </w:r>
      <w:r>
        <w:rPr>
          <w:color w:val="231F20"/>
        </w:rPr>
        <w:t>revenue</w:t>
      </w:r>
      <w:r>
        <w:rPr>
          <w:color w:val="231F20"/>
          <w:spacing w:val="-4"/>
        </w:rPr>
        <w:t> </w:t>
      </w:r>
      <w:r>
        <w:rPr>
          <w:color w:val="231F20"/>
        </w:rPr>
        <w:t>bonds</w:t>
      </w:r>
      <w:r>
        <w:rPr>
          <w:color w:val="231F20"/>
          <w:spacing w:val="-3"/>
        </w:rPr>
        <w:t> </w:t>
      </w:r>
      <w:r>
        <w:rPr>
          <w:color w:val="231F20"/>
        </w:rPr>
        <w:t>to</w:t>
      </w:r>
      <w:r>
        <w:rPr>
          <w:color w:val="231F20"/>
          <w:spacing w:val="-4"/>
        </w:rPr>
        <w:t> </w:t>
      </w:r>
      <w:r>
        <w:rPr>
          <w:color w:val="231F20"/>
        </w:rPr>
        <w:t>maturity</w:t>
      </w:r>
      <w:r>
        <w:rPr>
          <w:color w:val="231F20"/>
          <w:spacing w:val="-4"/>
        </w:rPr>
        <w:t> </w:t>
      </w:r>
      <w:r>
        <w:rPr>
          <w:color w:val="231F20"/>
        </w:rPr>
        <w:t>are</w:t>
      </w:r>
      <w:r>
        <w:rPr>
          <w:color w:val="231F20"/>
          <w:spacing w:val="-5"/>
        </w:rPr>
        <w:t> </w:t>
      </w:r>
      <w:r>
        <w:rPr>
          <w:color w:val="231F20"/>
        </w:rPr>
        <w:t>as</w:t>
      </w:r>
      <w:r>
        <w:rPr>
          <w:color w:val="231F20"/>
          <w:spacing w:val="-3"/>
        </w:rPr>
        <w:t> </w:t>
      </w:r>
      <w:r>
        <w:rPr>
          <w:color w:val="231F20"/>
          <w:spacing w:val="-2"/>
        </w:rPr>
        <w:t>follows:</w:t>
      </w:r>
    </w:p>
    <w:p>
      <w:pPr>
        <w:pStyle w:val="BodyText"/>
        <w:spacing w:before="6"/>
        <w:rPr>
          <w:sz w:val="21"/>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46"/>
        <w:gridCol w:w="2372"/>
        <w:gridCol w:w="1804"/>
      </w:tblGrid>
      <w:tr>
        <w:trPr>
          <w:trHeight w:val="288" w:hRule="atLeast"/>
        </w:trPr>
        <w:tc>
          <w:tcPr>
            <w:tcW w:w="3346" w:type="dxa"/>
          </w:tcPr>
          <w:p>
            <w:pPr>
              <w:pStyle w:val="TableParagraph"/>
              <w:tabs>
                <w:tab w:pos="333" w:val="left" w:leader="none"/>
                <w:tab w:pos="2678" w:val="left" w:leader="none"/>
              </w:tabs>
              <w:spacing w:line="224" w:lineRule="exact"/>
              <w:ind w:right="565"/>
              <w:jc w:val="center"/>
              <w:rPr>
                <w:sz w:val="20"/>
              </w:rPr>
            </w:pPr>
            <w:r>
              <w:rPr>
                <w:color w:val="231F20"/>
                <w:sz w:val="20"/>
                <w:u w:val="single" w:color="231F20"/>
              </w:rPr>
              <w:tab/>
              <w:t>Years</w:t>
            </w:r>
            <w:r>
              <w:rPr>
                <w:color w:val="231F20"/>
                <w:spacing w:val="-3"/>
                <w:sz w:val="20"/>
                <w:u w:val="single" w:color="231F20"/>
              </w:rPr>
              <w:t> </w:t>
            </w:r>
            <w:r>
              <w:rPr>
                <w:color w:val="231F20"/>
                <w:sz w:val="20"/>
                <w:u w:val="single" w:color="231F20"/>
              </w:rPr>
              <w:t>Ending</w:t>
            </w:r>
            <w:r>
              <w:rPr>
                <w:color w:val="231F20"/>
                <w:spacing w:val="-1"/>
                <w:sz w:val="20"/>
                <w:u w:val="single" w:color="231F20"/>
              </w:rPr>
              <w:t> </w:t>
            </w:r>
            <w:r>
              <w:rPr>
                <w:color w:val="231F20"/>
                <w:sz w:val="20"/>
                <w:u w:val="single" w:color="231F20"/>
              </w:rPr>
              <w:t>June</w:t>
            </w:r>
            <w:r>
              <w:rPr>
                <w:color w:val="231F20"/>
                <w:spacing w:val="-1"/>
                <w:sz w:val="20"/>
                <w:u w:val="single" w:color="231F20"/>
              </w:rPr>
              <w:t> </w:t>
            </w:r>
            <w:r>
              <w:rPr>
                <w:color w:val="231F20"/>
                <w:spacing w:val="-5"/>
                <w:sz w:val="20"/>
                <w:u w:val="single" w:color="231F20"/>
              </w:rPr>
              <w:t>30,</w:t>
            </w:r>
            <w:r>
              <w:rPr>
                <w:color w:val="231F20"/>
                <w:sz w:val="20"/>
                <w:u w:val="single" w:color="231F20"/>
              </w:rPr>
              <w:tab/>
            </w:r>
          </w:p>
        </w:tc>
        <w:tc>
          <w:tcPr>
            <w:tcW w:w="2372" w:type="dxa"/>
          </w:tcPr>
          <w:p>
            <w:pPr>
              <w:pStyle w:val="TableParagraph"/>
              <w:tabs>
                <w:tab w:pos="424" w:val="left" w:leader="none"/>
                <w:tab w:pos="1601" w:val="left" w:leader="none"/>
              </w:tabs>
              <w:spacing w:line="224" w:lineRule="exact"/>
              <w:ind w:right="149"/>
              <w:jc w:val="right"/>
              <w:rPr>
                <w:sz w:val="20"/>
              </w:rPr>
            </w:pPr>
            <w:r>
              <w:rPr>
                <w:color w:val="231F20"/>
                <w:sz w:val="20"/>
                <w:u w:val="single" w:color="231F20"/>
              </w:rPr>
              <w:tab/>
            </w:r>
            <w:r>
              <w:rPr>
                <w:color w:val="231F20"/>
                <w:spacing w:val="-2"/>
                <w:sz w:val="20"/>
                <w:u w:val="single" w:color="231F20"/>
              </w:rPr>
              <w:t>Principal</w:t>
            </w:r>
            <w:r>
              <w:rPr>
                <w:color w:val="231F20"/>
                <w:sz w:val="20"/>
                <w:u w:val="single" w:color="231F20"/>
              </w:rPr>
              <w:tab/>
            </w:r>
          </w:p>
        </w:tc>
        <w:tc>
          <w:tcPr>
            <w:tcW w:w="1804" w:type="dxa"/>
          </w:tcPr>
          <w:p>
            <w:pPr>
              <w:pStyle w:val="TableParagraph"/>
              <w:tabs>
                <w:tab w:pos="475" w:val="left" w:leader="none"/>
                <w:tab w:pos="1601" w:val="left" w:leader="none"/>
              </w:tabs>
              <w:spacing w:line="224" w:lineRule="exact"/>
              <w:ind w:right="46"/>
              <w:jc w:val="right"/>
              <w:rPr>
                <w:sz w:val="20"/>
              </w:rPr>
            </w:pPr>
            <w:r>
              <w:rPr>
                <w:color w:val="231F20"/>
                <w:sz w:val="20"/>
                <w:u w:val="single" w:color="231F20"/>
              </w:rPr>
              <w:tab/>
            </w:r>
            <w:r>
              <w:rPr>
                <w:color w:val="231F20"/>
                <w:spacing w:val="-2"/>
                <w:sz w:val="20"/>
                <w:u w:val="single" w:color="231F20"/>
              </w:rPr>
              <w:t>Interest</w:t>
            </w:r>
            <w:r>
              <w:rPr>
                <w:color w:val="231F20"/>
                <w:sz w:val="20"/>
                <w:u w:val="single" w:color="231F20"/>
              </w:rPr>
              <w:tab/>
            </w:r>
          </w:p>
        </w:tc>
      </w:tr>
      <w:tr>
        <w:trPr>
          <w:trHeight w:val="301" w:hRule="atLeast"/>
        </w:trPr>
        <w:tc>
          <w:tcPr>
            <w:tcW w:w="3346" w:type="dxa"/>
          </w:tcPr>
          <w:p>
            <w:pPr>
              <w:pStyle w:val="TableParagraph"/>
              <w:spacing w:line="223" w:lineRule="exact" w:before="58"/>
              <w:ind w:right="549"/>
              <w:jc w:val="center"/>
              <w:rPr>
                <w:sz w:val="20"/>
              </w:rPr>
            </w:pPr>
            <w:r>
              <w:rPr>
                <w:color w:val="231F20"/>
                <w:spacing w:val="-4"/>
                <w:sz w:val="20"/>
              </w:rPr>
              <w:t>2023</w:t>
            </w:r>
          </w:p>
        </w:tc>
        <w:tc>
          <w:tcPr>
            <w:tcW w:w="2372" w:type="dxa"/>
          </w:tcPr>
          <w:p>
            <w:pPr>
              <w:pStyle w:val="TableParagraph"/>
              <w:tabs>
                <w:tab w:pos="664" w:val="left" w:leader="none"/>
              </w:tabs>
              <w:spacing w:line="223" w:lineRule="exact" w:before="58"/>
              <w:ind w:right="257"/>
              <w:jc w:val="right"/>
              <w:rPr>
                <w:sz w:val="20"/>
              </w:rPr>
            </w:pPr>
            <w:r>
              <w:rPr>
                <w:color w:val="231F20"/>
                <w:spacing w:val="-10"/>
                <w:sz w:val="20"/>
              </w:rPr>
              <w:t>$</w:t>
            </w:r>
            <w:r>
              <w:rPr>
                <w:color w:val="231F20"/>
                <w:sz w:val="20"/>
              </w:rPr>
              <w:tab/>
            </w:r>
            <w:r>
              <w:rPr>
                <w:color w:val="231F20"/>
                <w:spacing w:val="-2"/>
                <w:sz w:val="20"/>
              </w:rPr>
              <w:t>970,000</w:t>
            </w:r>
          </w:p>
        </w:tc>
        <w:tc>
          <w:tcPr>
            <w:tcW w:w="1804" w:type="dxa"/>
          </w:tcPr>
          <w:p>
            <w:pPr>
              <w:pStyle w:val="TableParagraph"/>
              <w:tabs>
                <w:tab w:pos="923" w:val="left" w:leader="none"/>
              </w:tabs>
              <w:spacing w:line="223" w:lineRule="exact" w:before="58"/>
              <w:ind w:left="258"/>
              <w:rPr>
                <w:sz w:val="20"/>
              </w:rPr>
            </w:pPr>
            <w:r>
              <w:rPr>
                <w:color w:val="231F20"/>
                <w:spacing w:val="-10"/>
                <w:sz w:val="20"/>
              </w:rPr>
              <w:t>$</w:t>
            </w:r>
            <w:r>
              <w:rPr>
                <w:color w:val="231F20"/>
                <w:sz w:val="20"/>
              </w:rPr>
              <w:tab/>
            </w:r>
            <w:r>
              <w:rPr>
                <w:color w:val="231F20"/>
                <w:spacing w:val="-2"/>
                <w:sz w:val="20"/>
              </w:rPr>
              <w:t>397,822</w:t>
            </w:r>
          </w:p>
        </w:tc>
      </w:tr>
      <w:tr>
        <w:trPr>
          <w:trHeight w:val="249" w:hRule="atLeast"/>
        </w:trPr>
        <w:tc>
          <w:tcPr>
            <w:tcW w:w="3346" w:type="dxa"/>
          </w:tcPr>
          <w:p>
            <w:pPr>
              <w:pStyle w:val="TableParagraph"/>
              <w:spacing w:line="223" w:lineRule="exact" w:before="6"/>
              <w:ind w:right="549"/>
              <w:jc w:val="center"/>
              <w:rPr>
                <w:sz w:val="20"/>
              </w:rPr>
            </w:pPr>
            <w:r>
              <w:rPr>
                <w:color w:val="231F20"/>
                <w:spacing w:val="-4"/>
                <w:sz w:val="20"/>
              </w:rPr>
              <w:t>2024</w:t>
            </w:r>
          </w:p>
        </w:tc>
        <w:tc>
          <w:tcPr>
            <w:tcW w:w="2372" w:type="dxa"/>
          </w:tcPr>
          <w:p>
            <w:pPr>
              <w:pStyle w:val="TableParagraph"/>
              <w:spacing w:line="223" w:lineRule="exact" w:before="6"/>
              <w:ind w:right="257"/>
              <w:jc w:val="right"/>
              <w:rPr>
                <w:sz w:val="20"/>
              </w:rPr>
            </w:pPr>
            <w:r>
              <w:rPr>
                <w:color w:val="231F20"/>
                <w:spacing w:val="-2"/>
                <w:sz w:val="20"/>
              </w:rPr>
              <w:t>1,084,120</w:t>
            </w:r>
          </w:p>
        </w:tc>
        <w:tc>
          <w:tcPr>
            <w:tcW w:w="1804" w:type="dxa"/>
          </w:tcPr>
          <w:p>
            <w:pPr>
              <w:pStyle w:val="TableParagraph"/>
              <w:spacing w:line="223" w:lineRule="exact" w:before="6"/>
              <w:ind w:right="157"/>
              <w:jc w:val="right"/>
              <w:rPr>
                <w:sz w:val="20"/>
              </w:rPr>
            </w:pPr>
            <w:r>
              <w:rPr>
                <w:color w:val="231F20"/>
                <w:spacing w:val="-2"/>
                <w:sz w:val="20"/>
              </w:rPr>
              <w:t>389,312</w:t>
            </w:r>
          </w:p>
        </w:tc>
      </w:tr>
      <w:tr>
        <w:trPr>
          <w:trHeight w:val="249" w:hRule="atLeast"/>
        </w:trPr>
        <w:tc>
          <w:tcPr>
            <w:tcW w:w="3346" w:type="dxa"/>
          </w:tcPr>
          <w:p>
            <w:pPr>
              <w:pStyle w:val="TableParagraph"/>
              <w:spacing w:line="223" w:lineRule="exact" w:before="6"/>
              <w:ind w:right="549"/>
              <w:jc w:val="center"/>
              <w:rPr>
                <w:sz w:val="20"/>
              </w:rPr>
            </w:pPr>
            <w:r>
              <w:rPr>
                <w:color w:val="231F20"/>
                <w:spacing w:val="-4"/>
                <w:sz w:val="20"/>
              </w:rPr>
              <w:t>2025</w:t>
            </w:r>
          </w:p>
        </w:tc>
        <w:tc>
          <w:tcPr>
            <w:tcW w:w="2372" w:type="dxa"/>
          </w:tcPr>
          <w:p>
            <w:pPr>
              <w:pStyle w:val="TableParagraph"/>
              <w:spacing w:line="223" w:lineRule="exact" w:before="6"/>
              <w:ind w:right="257"/>
              <w:jc w:val="right"/>
              <w:rPr>
                <w:sz w:val="20"/>
              </w:rPr>
            </w:pPr>
            <w:r>
              <w:rPr>
                <w:color w:val="231F20"/>
                <w:spacing w:val="-2"/>
                <w:sz w:val="20"/>
              </w:rPr>
              <w:t>1,109,120</w:t>
            </w:r>
          </w:p>
        </w:tc>
        <w:tc>
          <w:tcPr>
            <w:tcW w:w="1804" w:type="dxa"/>
          </w:tcPr>
          <w:p>
            <w:pPr>
              <w:pStyle w:val="TableParagraph"/>
              <w:spacing w:line="223" w:lineRule="exact" w:before="6"/>
              <w:ind w:right="157"/>
              <w:jc w:val="right"/>
              <w:rPr>
                <w:sz w:val="20"/>
              </w:rPr>
            </w:pPr>
            <w:r>
              <w:rPr>
                <w:color w:val="231F20"/>
                <w:spacing w:val="-2"/>
                <w:sz w:val="20"/>
              </w:rPr>
              <w:t>379,058</w:t>
            </w:r>
          </w:p>
        </w:tc>
      </w:tr>
      <w:tr>
        <w:trPr>
          <w:trHeight w:val="249" w:hRule="atLeast"/>
        </w:trPr>
        <w:tc>
          <w:tcPr>
            <w:tcW w:w="3346" w:type="dxa"/>
          </w:tcPr>
          <w:p>
            <w:pPr>
              <w:pStyle w:val="TableParagraph"/>
              <w:spacing w:line="223" w:lineRule="exact" w:before="6"/>
              <w:ind w:right="549"/>
              <w:jc w:val="center"/>
              <w:rPr>
                <w:sz w:val="20"/>
              </w:rPr>
            </w:pPr>
            <w:r>
              <w:rPr>
                <w:color w:val="231F20"/>
                <w:spacing w:val="-4"/>
                <w:sz w:val="20"/>
              </w:rPr>
              <w:t>2026</w:t>
            </w:r>
          </w:p>
        </w:tc>
        <w:tc>
          <w:tcPr>
            <w:tcW w:w="2372" w:type="dxa"/>
          </w:tcPr>
          <w:p>
            <w:pPr>
              <w:pStyle w:val="TableParagraph"/>
              <w:spacing w:line="223" w:lineRule="exact" w:before="6"/>
              <w:ind w:right="257"/>
              <w:jc w:val="right"/>
              <w:rPr>
                <w:sz w:val="20"/>
              </w:rPr>
            </w:pPr>
            <w:r>
              <w:rPr>
                <w:color w:val="231F20"/>
                <w:spacing w:val="-2"/>
                <w:sz w:val="20"/>
              </w:rPr>
              <w:t>1,139,120</w:t>
            </w:r>
          </w:p>
        </w:tc>
        <w:tc>
          <w:tcPr>
            <w:tcW w:w="1804" w:type="dxa"/>
          </w:tcPr>
          <w:p>
            <w:pPr>
              <w:pStyle w:val="TableParagraph"/>
              <w:spacing w:line="223" w:lineRule="exact" w:before="6"/>
              <w:ind w:right="157"/>
              <w:jc w:val="right"/>
              <w:rPr>
                <w:sz w:val="20"/>
              </w:rPr>
            </w:pPr>
            <w:r>
              <w:rPr>
                <w:color w:val="231F20"/>
                <w:spacing w:val="-2"/>
                <w:sz w:val="20"/>
              </w:rPr>
              <w:t>366,476</w:t>
            </w:r>
          </w:p>
        </w:tc>
      </w:tr>
      <w:tr>
        <w:trPr>
          <w:trHeight w:val="249" w:hRule="atLeast"/>
        </w:trPr>
        <w:tc>
          <w:tcPr>
            <w:tcW w:w="3346" w:type="dxa"/>
          </w:tcPr>
          <w:p>
            <w:pPr>
              <w:pStyle w:val="TableParagraph"/>
              <w:spacing w:line="223" w:lineRule="exact" w:before="6"/>
              <w:ind w:right="549"/>
              <w:jc w:val="center"/>
              <w:rPr>
                <w:sz w:val="20"/>
              </w:rPr>
            </w:pPr>
            <w:r>
              <w:rPr>
                <w:color w:val="231F20"/>
                <w:spacing w:val="-4"/>
                <w:sz w:val="20"/>
              </w:rPr>
              <w:t>2027</w:t>
            </w:r>
          </w:p>
        </w:tc>
        <w:tc>
          <w:tcPr>
            <w:tcW w:w="2372" w:type="dxa"/>
          </w:tcPr>
          <w:p>
            <w:pPr>
              <w:pStyle w:val="TableParagraph"/>
              <w:spacing w:line="223" w:lineRule="exact" w:before="6"/>
              <w:ind w:right="257"/>
              <w:jc w:val="right"/>
              <w:rPr>
                <w:sz w:val="20"/>
              </w:rPr>
            </w:pPr>
            <w:r>
              <w:rPr>
                <w:color w:val="231F20"/>
                <w:spacing w:val="-2"/>
                <w:sz w:val="20"/>
              </w:rPr>
              <w:t>1,169,120</w:t>
            </w:r>
          </w:p>
        </w:tc>
        <w:tc>
          <w:tcPr>
            <w:tcW w:w="1804" w:type="dxa"/>
          </w:tcPr>
          <w:p>
            <w:pPr>
              <w:pStyle w:val="TableParagraph"/>
              <w:spacing w:line="223" w:lineRule="exact" w:before="6"/>
              <w:ind w:right="157"/>
              <w:jc w:val="right"/>
              <w:rPr>
                <w:sz w:val="20"/>
              </w:rPr>
            </w:pPr>
            <w:r>
              <w:rPr>
                <w:color w:val="231F20"/>
                <w:spacing w:val="-2"/>
                <w:sz w:val="20"/>
              </w:rPr>
              <w:t>351,447</w:t>
            </w:r>
          </w:p>
        </w:tc>
      </w:tr>
      <w:tr>
        <w:trPr>
          <w:trHeight w:val="249" w:hRule="atLeast"/>
        </w:trPr>
        <w:tc>
          <w:tcPr>
            <w:tcW w:w="3346" w:type="dxa"/>
          </w:tcPr>
          <w:p>
            <w:pPr>
              <w:pStyle w:val="TableParagraph"/>
              <w:spacing w:line="223" w:lineRule="exact" w:before="6"/>
              <w:ind w:right="549"/>
              <w:jc w:val="center"/>
              <w:rPr>
                <w:sz w:val="20"/>
              </w:rPr>
            </w:pPr>
            <w:r>
              <w:rPr>
                <w:color w:val="231F20"/>
                <w:sz w:val="20"/>
              </w:rPr>
              <w:t>2028-</w:t>
            </w:r>
            <w:r>
              <w:rPr>
                <w:color w:val="231F20"/>
                <w:spacing w:val="-4"/>
                <w:sz w:val="20"/>
              </w:rPr>
              <w:t>2032</w:t>
            </w:r>
          </w:p>
        </w:tc>
        <w:tc>
          <w:tcPr>
            <w:tcW w:w="2372" w:type="dxa"/>
          </w:tcPr>
          <w:p>
            <w:pPr>
              <w:pStyle w:val="TableParagraph"/>
              <w:spacing w:line="223" w:lineRule="exact" w:before="6"/>
              <w:ind w:right="257"/>
              <w:jc w:val="right"/>
              <w:rPr>
                <w:sz w:val="20"/>
              </w:rPr>
            </w:pPr>
            <w:r>
              <w:rPr>
                <w:color w:val="231F20"/>
                <w:spacing w:val="-2"/>
                <w:sz w:val="20"/>
              </w:rPr>
              <w:t>5,545,867</w:t>
            </w:r>
          </w:p>
        </w:tc>
        <w:tc>
          <w:tcPr>
            <w:tcW w:w="1804" w:type="dxa"/>
          </w:tcPr>
          <w:p>
            <w:pPr>
              <w:pStyle w:val="TableParagraph"/>
              <w:spacing w:line="223" w:lineRule="exact" w:before="6"/>
              <w:ind w:right="156"/>
              <w:jc w:val="right"/>
              <w:rPr>
                <w:sz w:val="20"/>
              </w:rPr>
            </w:pPr>
            <w:r>
              <w:rPr>
                <w:color w:val="231F20"/>
                <w:spacing w:val="-2"/>
                <w:sz w:val="20"/>
              </w:rPr>
              <w:t>1,443,832</w:t>
            </w:r>
          </w:p>
        </w:tc>
      </w:tr>
      <w:tr>
        <w:trPr>
          <w:trHeight w:val="249" w:hRule="atLeast"/>
        </w:trPr>
        <w:tc>
          <w:tcPr>
            <w:tcW w:w="3346" w:type="dxa"/>
          </w:tcPr>
          <w:p>
            <w:pPr>
              <w:pStyle w:val="TableParagraph"/>
              <w:spacing w:line="223" w:lineRule="exact" w:before="6"/>
              <w:ind w:right="549"/>
              <w:jc w:val="center"/>
              <w:rPr>
                <w:sz w:val="20"/>
              </w:rPr>
            </w:pPr>
            <w:r>
              <w:rPr>
                <w:color w:val="231F20"/>
                <w:sz w:val="20"/>
              </w:rPr>
              <w:t>2033-</w:t>
            </w:r>
            <w:r>
              <w:rPr>
                <w:color w:val="231F20"/>
                <w:spacing w:val="-4"/>
                <w:sz w:val="20"/>
              </w:rPr>
              <w:t>2037</w:t>
            </w:r>
          </w:p>
        </w:tc>
        <w:tc>
          <w:tcPr>
            <w:tcW w:w="2372" w:type="dxa"/>
          </w:tcPr>
          <w:p>
            <w:pPr>
              <w:pStyle w:val="TableParagraph"/>
              <w:spacing w:line="223" w:lineRule="exact" w:before="6"/>
              <w:ind w:right="257"/>
              <w:jc w:val="right"/>
              <w:rPr>
                <w:sz w:val="20"/>
              </w:rPr>
            </w:pPr>
            <w:r>
              <w:rPr>
                <w:color w:val="231F20"/>
                <w:spacing w:val="-2"/>
                <w:sz w:val="20"/>
              </w:rPr>
              <w:t>2,976,945</w:t>
            </w:r>
          </w:p>
        </w:tc>
        <w:tc>
          <w:tcPr>
            <w:tcW w:w="1804" w:type="dxa"/>
          </w:tcPr>
          <w:p>
            <w:pPr>
              <w:pStyle w:val="TableParagraph"/>
              <w:spacing w:line="223" w:lineRule="exact" w:before="6"/>
              <w:ind w:right="157"/>
              <w:jc w:val="right"/>
              <w:rPr>
                <w:sz w:val="20"/>
              </w:rPr>
            </w:pPr>
            <w:r>
              <w:rPr>
                <w:color w:val="231F20"/>
                <w:spacing w:val="-2"/>
                <w:sz w:val="20"/>
              </w:rPr>
              <w:t>903,400</w:t>
            </w:r>
          </w:p>
        </w:tc>
      </w:tr>
      <w:tr>
        <w:trPr>
          <w:trHeight w:val="291" w:hRule="atLeast"/>
        </w:trPr>
        <w:tc>
          <w:tcPr>
            <w:tcW w:w="3346" w:type="dxa"/>
          </w:tcPr>
          <w:p>
            <w:pPr>
              <w:pStyle w:val="TableParagraph"/>
              <w:spacing w:before="6"/>
              <w:ind w:right="549"/>
              <w:jc w:val="center"/>
              <w:rPr>
                <w:sz w:val="20"/>
              </w:rPr>
            </w:pPr>
            <w:r>
              <w:rPr>
                <w:color w:val="231F20"/>
                <w:sz w:val="20"/>
              </w:rPr>
              <w:t>2038-</w:t>
            </w:r>
            <w:r>
              <w:rPr>
                <w:color w:val="231F20"/>
                <w:spacing w:val="-4"/>
                <w:sz w:val="20"/>
              </w:rPr>
              <w:t>2041</w:t>
            </w:r>
          </w:p>
        </w:tc>
        <w:tc>
          <w:tcPr>
            <w:tcW w:w="2372" w:type="dxa"/>
          </w:tcPr>
          <w:p>
            <w:pPr>
              <w:pStyle w:val="TableParagraph"/>
              <w:tabs>
                <w:tab w:pos="602" w:val="left" w:leader="none"/>
              </w:tabs>
              <w:spacing w:before="6"/>
              <w:ind w:right="149"/>
              <w:jc w:val="right"/>
              <w:rPr>
                <w:sz w:val="20"/>
              </w:rPr>
            </w:pPr>
            <w:r>
              <w:rPr>
                <w:color w:val="231F20"/>
                <w:sz w:val="20"/>
                <w:u w:val="single" w:color="231F20"/>
              </w:rPr>
              <w:tab/>
            </w:r>
            <w:r>
              <w:rPr>
                <w:color w:val="231F20"/>
                <w:spacing w:val="-2"/>
                <w:sz w:val="20"/>
                <w:u w:val="single" w:color="231F20"/>
              </w:rPr>
              <w:t>3,263,158</w:t>
            </w:r>
            <w:r>
              <w:rPr>
                <w:color w:val="231F20"/>
                <w:spacing w:val="80"/>
                <w:sz w:val="20"/>
                <w:u w:val="single" w:color="231F20"/>
              </w:rPr>
              <w:t> </w:t>
            </w:r>
          </w:p>
        </w:tc>
        <w:tc>
          <w:tcPr>
            <w:tcW w:w="1804" w:type="dxa"/>
          </w:tcPr>
          <w:p>
            <w:pPr>
              <w:pStyle w:val="TableParagraph"/>
              <w:tabs>
                <w:tab w:pos="770" w:val="left" w:leader="none"/>
              </w:tabs>
              <w:spacing w:before="6"/>
              <w:ind w:right="46"/>
              <w:jc w:val="right"/>
              <w:rPr>
                <w:sz w:val="20"/>
              </w:rPr>
            </w:pPr>
            <w:r>
              <w:rPr>
                <w:color w:val="231F20"/>
                <w:sz w:val="20"/>
                <w:u w:val="single" w:color="231F20"/>
              </w:rPr>
              <w:tab/>
            </w:r>
            <w:r>
              <w:rPr>
                <w:color w:val="231F20"/>
                <w:spacing w:val="-2"/>
                <w:sz w:val="20"/>
                <w:u w:val="single" w:color="231F20"/>
              </w:rPr>
              <w:t>258,500</w:t>
            </w:r>
            <w:r>
              <w:rPr>
                <w:color w:val="231F20"/>
                <w:spacing w:val="80"/>
                <w:sz w:val="20"/>
                <w:u w:val="single" w:color="231F20"/>
              </w:rPr>
              <w:t> </w:t>
            </w:r>
          </w:p>
        </w:tc>
      </w:tr>
      <w:tr>
        <w:trPr>
          <w:trHeight w:val="343" w:hRule="atLeast"/>
        </w:trPr>
        <w:tc>
          <w:tcPr>
            <w:tcW w:w="3346" w:type="dxa"/>
          </w:tcPr>
          <w:p>
            <w:pPr>
              <w:pStyle w:val="TableParagraph"/>
              <w:spacing w:before="48"/>
              <w:ind w:right="547"/>
              <w:jc w:val="center"/>
              <w:rPr>
                <w:sz w:val="20"/>
              </w:rPr>
            </w:pPr>
            <w:r>
              <w:rPr>
                <w:color w:val="231F20"/>
                <w:spacing w:val="-2"/>
                <w:sz w:val="20"/>
              </w:rPr>
              <w:t>Total</w:t>
            </w:r>
          </w:p>
        </w:tc>
        <w:tc>
          <w:tcPr>
            <w:tcW w:w="2372" w:type="dxa"/>
          </w:tcPr>
          <w:p>
            <w:pPr>
              <w:pStyle w:val="TableParagraph"/>
              <w:tabs>
                <w:tab w:pos="492" w:val="left" w:leader="none"/>
              </w:tabs>
              <w:spacing w:before="48"/>
              <w:ind w:right="149"/>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17,257,450</w:t>
            </w:r>
            <w:r>
              <w:rPr>
                <w:color w:val="231F20"/>
                <w:spacing w:val="80"/>
                <w:sz w:val="20"/>
                <w:u w:val="single" w:color="231F20"/>
              </w:rPr>
              <w:t> </w:t>
            </w:r>
          </w:p>
        </w:tc>
        <w:tc>
          <w:tcPr>
            <w:tcW w:w="1804" w:type="dxa"/>
          </w:tcPr>
          <w:p>
            <w:pPr>
              <w:pStyle w:val="TableParagraph"/>
              <w:tabs>
                <w:tab w:pos="603" w:val="left" w:leader="none"/>
              </w:tabs>
              <w:spacing w:before="48"/>
              <w:ind w:right="46"/>
              <w:jc w:val="right"/>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4,489,847</w:t>
            </w:r>
            <w:r>
              <w:rPr>
                <w:color w:val="231F20"/>
                <w:spacing w:val="80"/>
                <w:sz w:val="20"/>
                <w:u w:val="single" w:color="231F20"/>
              </w:rPr>
              <w:t> </w:t>
            </w:r>
          </w:p>
        </w:tc>
      </w:tr>
    </w:tbl>
    <w:p>
      <w:pPr>
        <w:spacing w:after="0"/>
        <w:jc w:val="right"/>
        <w:rPr>
          <w:sz w:val="20"/>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4"/>
        </w:rPr>
        <w:t> </w:t>
      </w:r>
      <w:r>
        <w:rPr>
          <w:color w:val="231F20"/>
        </w:rPr>
        <w:t>7</w:t>
      </w:r>
      <w:r>
        <w:rPr>
          <w:color w:val="231F20"/>
          <w:spacing w:val="-4"/>
        </w:rPr>
        <w:t> </w:t>
      </w:r>
      <w:r>
        <w:rPr>
          <w:color w:val="231F20"/>
        </w:rPr>
        <w:t>–</w:t>
      </w:r>
      <w:r>
        <w:rPr>
          <w:color w:val="231F20"/>
          <w:spacing w:val="-3"/>
        </w:rPr>
        <w:t> </w:t>
      </w:r>
      <w:r>
        <w:rPr>
          <w:color w:val="231F20"/>
        </w:rPr>
        <w:t>Bonds</w:t>
      </w:r>
      <w:r>
        <w:rPr>
          <w:color w:val="231F20"/>
          <w:spacing w:val="-4"/>
        </w:rPr>
        <w:t> </w:t>
      </w:r>
      <w:r>
        <w:rPr>
          <w:color w:val="231F20"/>
        </w:rPr>
        <w:t>Payable</w:t>
      </w:r>
      <w:r>
        <w:rPr>
          <w:color w:val="231F20"/>
          <w:spacing w:val="-3"/>
        </w:rPr>
        <w:t> </w:t>
      </w:r>
      <w:r>
        <w:rPr>
          <w:color w:val="231F20"/>
          <w:spacing w:val="-2"/>
        </w:rPr>
        <w:t>(continued)</w:t>
      </w:r>
    </w:p>
    <w:p>
      <w:pPr>
        <w:pStyle w:val="BodyText"/>
        <w:rPr>
          <w:b/>
        </w:rPr>
      </w:pPr>
    </w:p>
    <w:p>
      <w:pPr>
        <w:pStyle w:val="BodyText"/>
        <w:spacing w:line="276" w:lineRule="auto"/>
        <w:ind w:left="1440" w:right="891"/>
      </w:pPr>
      <w:r>
        <w:rPr>
          <w:color w:val="231F20"/>
        </w:rPr>
        <w:t>The Institute has pledged future net income and net revenues received from Institute-owned Auxiliary Enterprises</w:t>
      </w:r>
      <w:r>
        <w:rPr>
          <w:color w:val="231F20"/>
          <w:spacing w:val="-2"/>
        </w:rPr>
        <w:t> </w:t>
      </w:r>
      <w:r>
        <w:rPr>
          <w:color w:val="231F20"/>
        </w:rPr>
        <w:t>and</w:t>
      </w:r>
      <w:r>
        <w:rPr>
          <w:color w:val="231F20"/>
          <w:spacing w:val="-2"/>
        </w:rPr>
        <w:t> </w:t>
      </w:r>
      <w:r>
        <w:rPr>
          <w:color w:val="231F20"/>
        </w:rPr>
        <w:t>from</w:t>
      </w:r>
      <w:r>
        <w:rPr>
          <w:color w:val="231F20"/>
          <w:spacing w:val="-2"/>
        </w:rPr>
        <w:t> </w:t>
      </w:r>
      <w:r>
        <w:rPr>
          <w:color w:val="231F20"/>
        </w:rPr>
        <w:t>the</w:t>
      </w:r>
      <w:r>
        <w:rPr>
          <w:color w:val="231F20"/>
          <w:spacing w:val="-2"/>
        </w:rPr>
        <w:t> </w:t>
      </w:r>
      <w:r>
        <w:rPr>
          <w:color w:val="231F20"/>
        </w:rPr>
        <w:t>System;</w:t>
      </w:r>
      <w:r>
        <w:rPr>
          <w:color w:val="231F20"/>
          <w:spacing w:val="-2"/>
        </w:rPr>
        <w:t> </w:t>
      </w:r>
      <w:r>
        <w:rPr>
          <w:color w:val="231F20"/>
        </w:rPr>
        <w:t>all</w:t>
      </w:r>
      <w:r>
        <w:rPr>
          <w:color w:val="231F20"/>
          <w:spacing w:val="-2"/>
        </w:rPr>
        <w:t> </w:t>
      </w:r>
      <w:r>
        <w:rPr>
          <w:color w:val="231F20"/>
        </w:rPr>
        <w:t>gross</w:t>
      </w:r>
      <w:r>
        <w:rPr>
          <w:color w:val="231F20"/>
          <w:spacing w:val="-2"/>
        </w:rPr>
        <w:t> </w:t>
      </w:r>
      <w:r>
        <w:rPr>
          <w:color w:val="231F20"/>
        </w:rPr>
        <w:t>proceeds</w:t>
      </w:r>
      <w:r>
        <w:rPr>
          <w:color w:val="231F20"/>
          <w:spacing w:val="-2"/>
        </w:rPr>
        <w:t> </w:t>
      </w:r>
      <w:r>
        <w:rPr>
          <w:color w:val="231F20"/>
        </w:rPr>
        <w:t>of</w:t>
      </w:r>
      <w:r>
        <w:rPr>
          <w:color w:val="231F20"/>
          <w:spacing w:val="-2"/>
        </w:rPr>
        <w:t> </w:t>
      </w:r>
      <w:r>
        <w:rPr>
          <w:color w:val="231F20"/>
        </w:rPr>
        <w:t>student</w:t>
      </w:r>
      <w:r>
        <w:rPr>
          <w:color w:val="231F20"/>
          <w:spacing w:val="-2"/>
        </w:rPr>
        <w:t> </w:t>
      </w:r>
      <w:r>
        <w:rPr>
          <w:color w:val="231F20"/>
        </w:rPr>
        <w:t>tuition</w:t>
      </w:r>
      <w:r>
        <w:rPr>
          <w:color w:val="231F20"/>
          <w:spacing w:val="-2"/>
        </w:rPr>
        <w:t> </w:t>
      </w:r>
      <w:r>
        <w:rPr>
          <w:color w:val="231F20"/>
        </w:rPr>
        <w:t>and</w:t>
      </w:r>
      <w:r>
        <w:rPr>
          <w:color w:val="231F20"/>
          <w:spacing w:val="-2"/>
        </w:rPr>
        <w:t> </w:t>
      </w:r>
      <w:r>
        <w:rPr>
          <w:color w:val="231F20"/>
        </w:rPr>
        <w:t>fees</w:t>
      </w:r>
      <w:r>
        <w:rPr>
          <w:color w:val="231F20"/>
          <w:spacing w:val="-2"/>
        </w:rPr>
        <w:t> </w:t>
      </w:r>
      <w:r>
        <w:rPr>
          <w:color w:val="231F20"/>
        </w:rPr>
        <w:t>except</w:t>
      </w:r>
      <w:r>
        <w:rPr>
          <w:color w:val="231F20"/>
          <w:spacing w:val="-2"/>
        </w:rPr>
        <w:t> </w:t>
      </w:r>
      <w:r>
        <w:rPr>
          <w:color w:val="231F20"/>
        </w:rPr>
        <w:t>student</w:t>
      </w:r>
      <w:r>
        <w:rPr>
          <w:color w:val="231F20"/>
          <w:spacing w:val="-2"/>
        </w:rPr>
        <w:t> </w:t>
      </w:r>
      <w:r>
        <w:rPr>
          <w:color w:val="231F20"/>
        </w:rPr>
        <w:t>social</w:t>
      </w:r>
      <w:r>
        <w:rPr>
          <w:color w:val="231F20"/>
          <w:spacing w:val="-2"/>
        </w:rPr>
        <w:t> </w:t>
      </w:r>
      <w:r>
        <w:rPr>
          <w:color w:val="231F20"/>
        </w:rPr>
        <w:t>and cultural activities fees; the gross amount received by the Institute from the income from the Permanent fund and Income fund; and all income or revenues received by the Institute as indirect cost recovery and fixed</w:t>
      </w:r>
      <w:r>
        <w:rPr>
          <w:color w:val="231F20"/>
          <w:spacing w:val="-3"/>
        </w:rPr>
        <w:t> </w:t>
      </w:r>
      <w:r>
        <w:rPr>
          <w:color w:val="231F20"/>
        </w:rPr>
        <w:t>fee</w:t>
      </w:r>
      <w:r>
        <w:rPr>
          <w:color w:val="231F20"/>
          <w:spacing w:val="-3"/>
        </w:rPr>
        <w:t> </w:t>
      </w:r>
      <w:r>
        <w:rPr>
          <w:color w:val="231F20"/>
        </w:rPr>
        <w:t>reimbursement</w:t>
      </w:r>
      <w:r>
        <w:rPr>
          <w:color w:val="231F20"/>
          <w:spacing w:val="-3"/>
        </w:rPr>
        <w:t> </w:t>
      </w:r>
      <w:r>
        <w:rPr>
          <w:color w:val="231F20"/>
        </w:rPr>
        <w:t>from</w:t>
      </w:r>
      <w:r>
        <w:rPr>
          <w:color w:val="231F20"/>
          <w:spacing w:val="-3"/>
        </w:rPr>
        <w:t> </w:t>
      </w:r>
      <w:r>
        <w:rPr>
          <w:color w:val="231F20"/>
        </w:rPr>
        <w:t>restricted</w:t>
      </w:r>
      <w:r>
        <w:rPr>
          <w:color w:val="231F20"/>
          <w:spacing w:val="-4"/>
        </w:rPr>
        <w:t> </w:t>
      </w:r>
      <w:r>
        <w:rPr>
          <w:color w:val="231F20"/>
        </w:rPr>
        <w:t>grants</w:t>
      </w:r>
      <w:r>
        <w:rPr>
          <w:color w:val="231F20"/>
          <w:spacing w:val="-3"/>
        </w:rPr>
        <w:t> </w:t>
      </w:r>
      <w:r>
        <w:rPr>
          <w:color w:val="231F20"/>
        </w:rPr>
        <w:t>and</w:t>
      </w:r>
      <w:r>
        <w:rPr>
          <w:color w:val="231F20"/>
          <w:spacing w:val="-4"/>
        </w:rPr>
        <w:t> </w:t>
      </w:r>
      <w:r>
        <w:rPr>
          <w:color w:val="231F20"/>
        </w:rPr>
        <w:t>contracts</w:t>
      </w:r>
      <w:r>
        <w:rPr>
          <w:color w:val="231F20"/>
          <w:spacing w:val="-3"/>
        </w:rPr>
        <w:t> </w:t>
      </w:r>
      <w:r>
        <w:rPr>
          <w:color w:val="231F20"/>
        </w:rPr>
        <w:t>to</w:t>
      </w:r>
      <w:r>
        <w:rPr>
          <w:color w:val="231F20"/>
          <w:spacing w:val="-3"/>
        </w:rPr>
        <w:t> </w:t>
      </w:r>
      <w:r>
        <w:rPr>
          <w:color w:val="231F20"/>
        </w:rPr>
        <w:t>repay</w:t>
      </w:r>
      <w:r>
        <w:rPr>
          <w:color w:val="231F20"/>
          <w:spacing w:val="-3"/>
        </w:rPr>
        <w:t> </w:t>
      </w:r>
      <w:r>
        <w:rPr>
          <w:color w:val="231F20"/>
        </w:rPr>
        <w:t>the</w:t>
      </w:r>
      <w:r>
        <w:rPr>
          <w:color w:val="231F20"/>
          <w:spacing w:val="-3"/>
        </w:rPr>
        <w:t> </w:t>
      </w:r>
      <w:r>
        <w:rPr>
          <w:color w:val="231F20"/>
        </w:rPr>
        <w:t>bond</w:t>
      </w:r>
      <w:r>
        <w:rPr>
          <w:color w:val="231F20"/>
          <w:spacing w:val="-3"/>
        </w:rPr>
        <w:t> </w:t>
      </w:r>
      <w:r>
        <w:rPr>
          <w:color w:val="231F20"/>
        </w:rPr>
        <w:t>debt.</w:t>
      </w:r>
      <w:r>
        <w:rPr>
          <w:color w:val="231F20"/>
          <w:spacing w:val="-3"/>
        </w:rPr>
        <w:t> </w:t>
      </w:r>
      <w:r>
        <w:rPr>
          <w:color w:val="231F20"/>
        </w:rPr>
        <w:t>Annual</w:t>
      </w:r>
      <w:r>
        <w:rPr>
          <w:color w:val="231F20"/>
          <w:spacing w:val="-3"/>
        </w:rPr>
        <w:t> </w:t>
      </w:r>
      <w:r>
        <w:rPr>
          <w:color w:val="231F20"/>
        </w:rPr>
        <w:t>principal</w:t>
      </w:r>
      <w:r>
        <w:rPr>
          <w:color w:val="231F20"/>
          <w:spacing w:val="-3"/>
        </w:rPr>
        <w:t> </w:t>
      </w:r>
      <w:r>
        <w:rPr>
          <w:color w:val="231F20"/>
        </w:rPr>
        <w:t>and interest payments on the bond are expected to require about 17% of pledged revenues. Interest paid during the current year totaled $533,603. Pledged revenues received during 2022 were $9,220,766.</w:t>
      </w:r>
    </w:p>
    <w:p>
      <w:pPr>
        <w:pStyle w:val="BodyText"/>
        <w:spacing w:before="11"/>
        <w:rPr>
          <w:sz w:val="22"/>
        </w:rPr>
      </w:pPr>
    </w:p>
    <w:p>
      <w:pPr>
        <w:pStyle w:val="BodyText"/>
        <w:spacing w:line="276" w:lineRule="auto"/>
        <w:ind w:left="1440" w:right="1048"/>
      </w:pPr>
      <w:r>
        <w:rPr>
          <w:color w:val="231F20"/>
        </w:rPr>
        <w:t>A</w:t>
      </w:r>
      <w:r>
        <w:rPr>
          <w:color w:val="231F20"/>
          <w:spacing w:val="-3"/>
        </w:rPr>
        <w:t> </w:t>
      </w:r>
      <w:r>
        <w:rPr>
          <w:color w:val="231F20"/>
        </w:rPr>
        <w:t>bond</w:t>
      </w:r>
      <w:r>
        <w:rPr>
          <w:color w:val="231F20"/>
          <w:spacing w:val="-3"/>
        </w:rPr>
        <w:t> </w:t>
      </w:r>
      <w:r>
        <w:rPr>
          <w:color w:val="231F20"/>
        </w:rPr>
        <w:t>premium</w:t>
      </w:r>
      <w:r>
        <w:rPr>
          <w:color w:val="231F20"/>
          <w:spacing w:val="-3"/>
        </w:rPr>
        <w:t> </w:t>
      </w:r>
      <w:r>
        <w:rPr>
          <w:color w:val="231F20"/>
        </w:rPr>
        <w:t>of</w:t>
      </w:r>
      <w:r>
        <w:rPr>
          <w:color w:val="231F20"/>
          <w:spacing w:val="-3"/>
        </w:rPr>
        <w:t> </w:t>
      </w:r>
      <w:r>
        <w:rPr>
          <w:color w:val="231F20"/>
        </w:rPr>
        <w:t>$237,846</w:t>
      </w:r>
      <w:r>
        <w:rPr>
          <w:color w:val="231F20"/>
          <w:spacing w:val="-3"/>
        </w:rPr>
        <w:t> </w:t>
      </w:r>
      <w:r>
        <w:rPr>
          <w:color w:val="231F20"/>
        </w:rPr>
        <w:t>remains</w:t>
      </w:r>
      <w:r>
        <w:rPr>
          <w:color w:val="231F20"/>
          <w:spacing w:val="-3"/>
        </w:rPr>
        <w:t> </w:t>
      </w:r>
      <w:r>
        <w:rPr>
          <w:color w:val="231F20"/>
        </w:rPr>
        <w:t>unamortized</w:t>
      </w:r>
      <w:r>
        <w:rPr>
          <w:color w:val="231F20"/>
          <w:spacing w:val="-3"/>
        </w:rPr>
        <w:t> </w:t>
      </w:r>
      <w:r>
        <w:rPr>
          <w:color w:val="231F20"/>
        </w:rPr>
        <w:t>as</w:t>
      </w:r>
      <w:r>
        <w:rPr>
          <w:color w:val="231F20"/>
          <w:spacing w:val="-2"/>
        </w:rPr>
        <w:t> </w:t>
      </w:r>
      <w:r>
        <w:rPr>
          <w:color w:val="231F20"/>
        </w:rPr>
        <w:t>of</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2022,</w:t>
      </w:r>
      <w:r>
        <w:rPr>
          <w:color w:val="231F20"/>
          <w:spacing w:val="-3"/>
        </w:rPr>
        <w:t> </w:t>
      </w:r>
      <w:r>
        <w:rPr>
          <w:color w:val="231F20"/>
        </w:rPr>
        <w:t>with</w:t>
      </w:r>
      <w:r>
        <w:rPr>
          <w:color w:val="231F20"/>
          <w:spacing w:val="-3"/>
        </w:rPr>
        <w:t> </w:t>
      </w:r>
      <w:r>
        <w:rPr>
          <w:color w:val="231F20"/>
        </w:rPr>
        <w:t>$59,389</w:t>
      </w:r>
      <w:r>
        <w:rPr>
          <w:color w:val="231F20"/>
          <w:spacing w:val="-3"/>
        </w:rPr>
        <w:t> </w:t>
      </w:r>
      <w:r>
        <w:rPr>
          <w:color w:val="231F20"/>
        </w:rPr>
        <w:t>being</w:t>
      </w:r>
      <w:r>
        <w:rPr>
          <w:color w:val="231F20"/>
          <w:spacing w:val="-3"/>
        </w:rPr>
        <w:t> </w:t>
      </w:r>
      <w:r>
        <w:rPr>
          <w:color w:val="231F20"/>
        </w:rPr>
        <w:t>amortized during the year. Amortization of the bond premium in future years is approximately $29,731 per year.</w:t>
      </w:r>
    </w:p>
    <w:p>
      <w:pPr>
        <w:pStyle w:val="BodyText"/>
        <w:rPr>
          <w:sz w:val="22"/>
        </w:rPr>
      </w:pPr>
    </w:p>
    <w:p>
      <w:pPr>
        <w:pStyle w:val="BodyText"/>
        <w:rPr>
          <w:sz w:val="24"/>
        </w:rPr>
      </w:pPr>
    </w:p>
    <w:p>
      <w:pPr>
        <w:pStyle w:val="Heading4"/>
      </w:pPr>
      <w:r>
        <w:rPr>
          <w:color w:val="231F20"/>
        </w:rPr>
        <w:t>Note</w:t>
      </w:r>
      <w:r>
        <w:rPr>
          <w:color w:val="231F20"/>
          <w:spacing w:val="-4"/>
        </w:rPr>
        <w:t> </w:t>
      </w:r>
      <w:r>
        <w:rPr>
          <w:color w:val="231F20"/>
        </w:rPr>
        <w:t>8</w:t>
      </w:r>
      <w:r>
        <w:rPr>
          <w:color w:val="231F20"/>
          <w:spacing w:val="-4"/>
        </w:rPr>
        <w:t> </w:t>
      </w:r>
      <w:r>
        <w:rPr>
          <w:color w:val="231F20"/>
        </w:rPr>
        <w:t>–</w:t>
      </w:r>
      <w:r>
        <w:rPr>
          <w:color w:val="231F20"/>
          <w:spacing w:val="-4"/>
        </w:rPr>
        <w:t> </w:t>
      </w:r>
      <w:r>
        <w:rPr>
          <w:color w:val="231F20"/>
        </w:rPr>
        <w:t>Other</w:t>
      </w:r>
      <w:r>
        <w:rPr>
          <w:color w:val="231F20"/>
          <w:spacing w:val="-4"/>
        </w:rPr>
        <w:t> </w:t>
      </w:r>
      <w:r>
        <w:rPr>
          <w:color w:val="231F20"/>
        </w:rPr>
        <w:t>Postemployment</w:t>
      </w:r>
      <w:r>
        <w:rPr>
          <w:color w:val="231F20"/>
          <w:spacing w:val="-5"/>
        </w:rPr>
        <w:t> </w:t>
      </w:r>
      <w:r>
        <w:rPr>
          <w:color w:val="231F20"/>
        </w:rPr>
        <w:t>Benefits</w:t>
      </w:r>
      <w:r>
        <w:rPr>
          <w:color w:val="231F20"/>
          <w:spacing w:val="-3"/>
        </w:rPr>
        <w:t> </w:t>
      </w:r>
      <w:r>
        <w:rPr>
          <w:color w:val="231F20"/>
          <w:spacing w:val="-4"/>
        </w:rPr>
        <w:t>Plan</w:t>
      </w:r>
    </w:p>
    <w:p>
      <w:pPr>
        <w:pStyle w:val="BodyText"/>
        <w:rPr>
          <w:b/>
          <w:sz w:val="26"/>
        </w:rPr>
      </w:pPr>
    </w:p>
    <w:p>
      <w:pPr>
        <w:pStyle w:val="BodyText"/>
        <w:spacing w:line="276" w:lineRule="auto"/>
        <w:ind w:left="1440" w:right="857"/>
      </w:pPr>
      <w:r>
        <w:rPr>
          <w:color w:val="231F20"/>
        </w:rPr>
        <w:t>The Board of Regents authorized the creation of the New Mexico Tech Employee Benefit Trust (Trust or Plan),</w:t>
      </w:r>
      <w:r>
        <w:rPr>
          <w:color w:val="231F20"/>
          <w:spacing w:val="-3"/>
        </w:rPr>
        <w:t> </w:t>
      </w:r>
      <w:r>
        <w:rPr>
          <w:color w:val="231F20"/>
        </w:rPr>
        <w:t>a</w:t>
      </w:r>
      <w:r>
        <w:rPr>
          <w:color w:val="231F20"/>
          <w:spacing w:val="-3"/>
        </w:rPr>
        <w:t> </w:t>
      </w:r>
      <w:r>
        <w:rPr>
          <w:color w:val="231F20"/>
        </w:rPr>
        <w:t>contributory</w:t>
      </w:r>
      <w:r>
        <w:rPr>
          <w:color w:val="231F20"/>
          <w:spacing w:val="-3"/>
        </w:rPr>
        <w:t> </w:t>
      </w:r>
      <w:r>
        <w:rPr>
          <w:color w:val="231F20"/>
        </w:rPr>
        <w:t>benefit</w:t>
      </w:r>
      <w:r>
        <w:rPr>
          <w:color w:val="231F20"/>
          <w:spacing w:val="-3"/>
        </w:rPr>
        <w:t> </w:t>
      </w:r>
      <w:r>
        <w:rPr>
          <w:color w:val="231F20"/>
        </w:rPr>
        <w:t>plan,</w:t>
      </w:r>
      <w:r>
        <w:rPr>
          <w:color w:val="231F20"/>
          <w:spacing w:val="-3"/>
        </w:rPr>
        <w:t> </w:t>
      </w:r>
      <w:r>
        <w:rPr>
          <w:color w:val="231F20"/>
        </w:rPr>
        <w:t>to</w:t>
      </w:r>
      <w:r>
        <w:rPr>
          <w:color w:val="231F20"/>
          <w:spacing w:val="-3"/>
        </w:rPr>
        <w:t> </w:t>
      </w:r>
      <w:r>
        <w:rPr>
          <w:color w:val="231F20"/>
        </w:rPr>
        <w:t>operate,</w:t>
      </w:r>
      <w:r>
        <w:rPr>
          <w:color w:val="231F20"/>
          <w:spacing w:val="-3"/>
        </w:rPr>
        <w:t> </w:t>
      </w:r>
      <w:r>
        <w:rPr>
          <w:color w:val="231F20"/>
        </w:rPr>
        <w:t>control</w:t>
      </w:r>
      <w:r>
        <w:rPr>
          <w:color w:val="231F20"/>
          <w:spacing w:val="-3"/>
        </w:rPr>
        <w:t> </w:t>
      </w:r>
      <w:r>
        <w:rPr>
          <w:color w:val="231F20"/>
        </w:rPr>
        <w:t>and</w:t>
      </w:r>
      <w:r>
        <w:rPr>
          <w:color w:val="231F20"/>
          <w:spacing w:val="-3"/>
        </w:rPr>
        <w:t> </w:t>
      </w:r>
      <w:r>
        <w:rPr>
          <w:color w:val="231F20"/>
        </w:rPr>
        <w:t>maintain</w:t>
      </w:r>
      <w:r>
        <w:rPr>
          <w:color w:val="231F20"/>
          <w:spacing w:val="-3"/>
        </w:rPr>
        <w:t> </w:t>
      </w:r>
      <w:r>
        <w:rPr>
          <w:color w:val="231F20"/>
        </w:rPr>
        <w:t>a</w:t>
      </w:r>
      <w:r>
        <w:rPr>
          <w:color w:val="231F20"/>
          <w:spacing w:val="-4"/>
        </w:rPr>
        <w:t> </w:t>
      </w:r>
      <w:r>
        <w:rPr>
          <w:color w:val="231F20"/>
        </w:rPr>
        <w:t>program</w:t>
      </w:r>
      <w:r>
        <w:rPr>
          <w:color w:val="231F20"/>
          <w:spacing w:val="-3"/>
        </w:rPr>
        <w:t> </w:t>
      </w:r>
      <w:r>
        <w:rPr>
          <w:color w:val="231F20"/>
        </w:rPr>
        <w:t>to</w:t>
      </w:r>
      <w:r>
        <w:rPr>
          <w:color w:val="231F20"/>
          <w:spacing w:val="-3"/>
        </w:rPr>
        <w:t> </w:t>
      </w:r>
      <w:r>
        <w:rPr>
          <w:color w:val="231F20"/>
        </w:rPr>
        <w:t>provide</w:t>
      </w:r>
      <w:r>
        <w:rPr>
          <w:color w:val="231F20"/>
          <w:spacing w:val="-3"/>
        </w:rPr>
        <w:t> </w:t>
      </w:r>
      <w:r>
        <w:rPr>
          <w:color w:val="231F20"/>
        </w:rPr>
        <w:t>certain</w:t>
      </w:r>
      <w:r>
        <w:rPr>
          <w:color w:val="231F20"/>
          <w:spacing w:val="-4"/>
        </w:rPr>
        <w:t> </w:t>
      </w:r>
      <w:r>
        <w:rPr>
          <w:color w:val="231F20"/>
        </w:rPr>
        <w:t>health</w:t>
      </w:r>
      <w:r>
        <w:rPr>
          <w:color w:val="231F20"/>
          <w:spacing w:val="-3"/>
        </w:rPr>
        <w:t> </w:t>
      </w:r>
      <w:r>
        <w:rPr>
          <w:color w:val="231F20"/>
        </w:rPr>
        <w:t>and life insurance benefits to the employees of the Institute and their families. Retired employees may participate in the Plan. The Plan is considered a postemployment benefit plan as defined by GASB 74, </w:t>
      </w:r>
      <w:r>
        <w:rPr>
          <w:i/>
          <w:color w:val="231F20"/>
        </w:rPr>
        <w:t>Financial Reporting for Postemployment Benefit Other than Pension Plans</w:t>
      </w:r>
      <w:r>
        <w:rPr>
          <w:color w:val="231F20"/>
        </w:rPr>
        <w:t>. The Trust is recorded as a blended component unit. The Board of Regents serves as trustee and has delegated the day-to-day operations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Trust</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executive</w:t>
      </w:r>
      <w:r>
        <w:rPr>
          <w:color w:val="231F20"/>
          <w:spacing w:val="-4"/>
        </w:rPr>
        <w:t> </w:t>
      </w:r>
      <w:r>
        <w:rPr>
          <w:color w:val="231F20"/>
        </w:rPr>
        <w:t>staff</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The</w:t>
      </w:r>
      <w:r>
        <w:rPr>
          <w:color w:val="231F20"/>
          <w:spacing w:val="-3"/>
        </w:rPr>
        <w:t> </w:t>
      </w:r>
      <w:r>
        <w:rPr>
          <w:color w:val="231F20"/>
        </w:rPr>
        <w:t>Trustees</w:t>
      </w:r>
      <w:r>
        <w:rPr>
          <w:color w:val="231F20"/>
          <w:spacing w:val="-3"/>
        </w:rPr>
        <w:t> </w:t>
      </w:r>
      <w:r>
        <w:rPr>
          <w:color w:val="231F20"/>
        </w:rPr>
        <w:t>and</w:t>
      </w:r>
      <w:r>
        <w:rPr>
          <w:color w:val="231F20"/>
          <w:spacing w:val="-3"/>
        </w:rPr>
        <w:t> </w:t>
      </w:r>
      <w:r>
        <w:rPr>
          <w:color w:val="231F20"/>
        </w:rPr>
        <w:t>Institute</w:t>
      </w:r>
      <w:r>
        <w:rPr>
          <w:color w:val="231F20"/>
          <w:spacing w:val="-3"/>
        </w:rPr>
        <w:t> </w:t>
      </w:r>
      <w:r>
        <w:rPr>
          <w:color w:val="231F20"/>
        </w:rPr>
        <w:t>management</w:t>
      </w:r>
      <w:r>
        <w:rPr>
          <w:color w:val="231F20"/>
          <w:spacing w:val="-3"/>
        </w:rPr>
        <w:t> </w:t>
      </w:r>
      <w:r>
        <w:rPr>
          <w:color w:val="231F20"/>
        </w:rPr>
        <w:t>have designated a third-party administrator to process the claims submitted by covered participants.</w:t>
      </w:r>
    </w:p>
    <w:p>
      <w:pPr>
        <w:pStyle w:val="BodyText"/>
        <w:spacing w:before="10"/>
        <w:rPr>
          <w:sz w:val="22"/>
        </w:rPr>
      </w:pPr>
    </w:p>
    <w:p>
      <w:pPr>
        <w:pStyle w:val="BodyText"/>
        <w:spacing w:line="276" w:lineRule="auto"/>
        <w:ind w:left="1440" w:right="857"/>
      </w:pPr>
      <w:r>
        <w:rPr>
          <w:color w:val="231F20"/>
        </w:rPr>
        <w:t>Effective</w:t>
      </w:r>
      <w:r>
        <w:rPr>
          <w:color w:val="231F20"/>
          <w:spacing w:val="-3"/>
        </w:rPr>
        <w:t> </w:t>
      </w:r>
      <w:r>
        <w:rPr>
          <w:color w:val="231F20"/>
        </w:rPr>
        <w:t>January</w:t>
      </w:r>
      <w:r>
        <w:rPr>
          <w:color w:val="231F20"/>
          <w:spacing w:val="-3"/>
        </w:rPr>
        <w:t> </w:t>
      </w:r>
      <w:r>
        <w:rPr>
          <w:color w:val="231F20"/>
        </w:rPr>
        <w:t>1,</w:t>
      </w:r>
      <w:r>
        <w:rPr>
          <w:color w:val="231F20"/>
          <w:spacing w:val="-3"/>
        </w:rPr>
        <w:t> </w:t>
      </w:r>
      <w:r>
        <w:rPr>
          <w:color w:val="231F20"/>
        </w:rPr>
        <w:t>2019,</w:t>
      </w:r>
      <w:r>
        <w:rPr>
          <w:color w:val="231F20"/>
          <w:spacing w:val="-4"/>
        </w:rPr>
        <w:t> </w:t>
      </w:r>
      <w:r>
        <w:rPr>
          <w:color w:val="231F20"/>
        </w:rPr>
        <w:t>the</w:t>
      </w:r>
      <w:r>
        <w:rPr>
          <w:color w:val="231F20"/>
          <w:spacing w:val="-3"/>
        </w:rPr>
        <w:t> </w:t>
      </w:r>
      <w:r>
        <w:rPr>
          <w:color w:val="231F20"/>
        </w:rPr>
        <w:t>Institute</w:t>
      </w:r>
      <w:r>
        <w:rPr>
          <w:color w:val="231F20"/>
          <w:spacing w:val="-3"/>
        </w:rPr>
        <w:t> </w:t>
      </w:r>
      <w:r>
        <w:rPr>
          <w:color w:val="231F20"/>
        </w:rPr>
        <w:t>is</w:t>
      </w:r>
      <w:r>
        <w:rPr>
          <w:color w:val="231F20"/>
          <w:spacing w:val="-3"/>
        </w:rPr>
        <w:t> </w:t>
      </w:r>
      <w:r>
        <w:rPr>
          <w:color w:val="231F20"/>
        </w:rPr>
        <w:t>no</w:t>
      </w:r>
      <w:r>
        <w:rPr>
          <w:color w:val="231F20"/>
          <w:spacing w:val="-3"/>
        </w:rPr>
        <w:t> </w:t>
      </w:r>
      <w:r>
        <w:rPr>
          <w:color w:val="231F20"/>
        </w:rPr>
        <w:t>longer</w:t>
      </w:r>
      <w:r>
        <w:rPr>
          <w:color w:val="231F20"/>
          <w:spacing w:val="-3"/>
        </w:rPr>
        <w:t> </w:t>
      </w:r>
      <w:r>
        <w:rPr>
          <w:color w:val="231F20"/>
        </w:rPr>
        <w:t>using</w:t>
      </w:r>
      <w:r>
        <w:rPr>
          <w:color w:val="231F20"/>
          <w:spacing w:val="-3"/>
        </w:rPr>
        <w:t> </w:t>
      </w:r>
      <w:r>
        <w:rPr>
          <w:color w:val="231F20"/>
        </w:rPr>
        <w:t>the</w:t>
      </w:r>
      <w:r>
        <w:rPr>
          <w:color w:val="231F20"/>
          <w:spacing w:val="-3"/>
        </w:rPr>
        <w:t> </w:t>
      </w:r>
      <w:r>
        <w:rPr>
          <w:color w:val="231F20"/>
        </w:rPr>
        <w:t>Trust,</w:t>
      </w:r>
      <w:r>
        <w:rPr>
          <w:color w:val="231F20"/>
          <w:spacing w:val="-3"/>
        </w:rPr>
        <w:t> </w:t>
      </w:r>
      <w:r>
        <w:rPr>
          <w:color w:val="231F20"/>
        </w:rPr>
        <w:t>a</w:t>
      </w:r>
      <w:r>
        <w:rPr>
          <w:color w:val="231F20"/>
          <w:spacing w:val="-3"/>
        </w:rPr>
        <w:t> </w:t>
      </w:r>
      <w:r>
        <w:rPr>
          <w:color w:val="231F20"/>
        </w:rPr>
        <w:t>contributory</w:t>
      </w:r>
      <w:r>
        <w:rPr>
          <w:color w:val="231F20"/>
          <w:spacing w:val="-3"/>
        </w:rPr>
        <w:t> </w:t>
      </w:r>
      <w:r>
        <w:rPr>
          <w:color w:val="231F20"/>
        </w:rPr>
        <w:t>benefit</w:t>
      </w:r>
      <w:r>
        <w:rPr>
          <w:color w:val="231F20"/>
          <w:spacing w:val="-3"/>
        </w:rPr>
        <w:t> </w:t>
      </w:r>
      <w:r>
        <w:rPr>
          <w:color w:val="231F20"/>
        </w:rPr>
        <w:t>plan,</w:t>
      </w:r>
      <w:r>
        <w:rPr>
          <w:color w:val="231F20"/>
          <w:spacing w:val="-3"/>
        </w:rPr>
        <w:t> </w:t>
      </w:r>
      <w:r>
        <w:rPr>
          <w:color w:val="231F20"/>
        </w:rPr>
        <w:t>to</w:t>
      </w:r>
      <w:r>
        <w:rPr>
          <w:color w:val="231F20"/>
          <w:spacing w:val="-3"/>
        </w:rPr>
        <w:t> </w:t>
      </w:r>
      <w:r>
        <w:rPr>
          <w:color w:val="231F20"/>
        </w:rPr>
        <w:t>operate, control and maintain a program to provide the health insurance benefits to the employees of the Institute and their families. The Board of Regents made a resolution approving an agreement for participating with New</w:t>
      </w:r>
      <w:r>
        <w:rPr>
          <w:color w:val="231F20"/>
          <w:spacing w:val="-2"/>
        </w:rPr>
        <w:t> </w:t>
      </w:r>
      <w:r>
        <w:rPr>
          <w:color w:val="231F20"/>
        </w:rPr>
        <w:t>Mexico</w:t>
      </w:r>
      <w:r>
        <w:rPr>
          <w:color w:val="231F20"/>
          <w:spacing w:val="-3"/>
        </w:rPr>
        <w:t> </w:t>
      </w:r>
      <w:r>
        <w:rPr>
          <w:color w:val="231F20"/>
        </w:rPr>
        <w:t>Public</w:t>
      </w:r>
      <w:r>
        <w:rPr>
          <w:color w:val="231F20"/>
          <w:spacing w:val="-2"/>
        </w:rPr>
        <w:t> </w:t>
      </w:r>
      <w:r>
        <w:rPr>
          <w:color w:val="231F20"/>
        </w:rPr>
        <w:t>School</w:t>
      </w:r>
      <w:r>
        <w:rPr>
          <w:color w:val="231F20"/>
          <w:spacing w:val="-3"/>
        </w:rPr>
        <w:t> </w:t>
      </w:r>
      <w:r>
        <w:rPr>
          <w:color w:val="231F20"/>
        </w:rPr>
        <w:t>Insurance</w:t>
      </w:r>
      <w:r>
        <w:rPr>
          <w:color w:val="231F20"/>
          <w:spacing w:val="-2"/>
        </w:rPr>
        <w:t> </w:t>
      </w:r>
      <w:r>
        <w:rPr>
          <w:color w:val="231F20"/>
        </w:rPr>
        <w:t>Authority</w:t>
      </w:r>
      <w:r>
        <w:rPr>
          <w:color w:val="231F20"/>
          <w:spacing w:val="-3"/>
        </w:rPr>
        <w:t> </w:t>
      </w:r>
      <w:r>
        <w:rPr>
          <w:color w:val="231F20"/>
        </w:rPr>
        <w:t>(NMPSIA),</w:t>
      </w:r>
      <w:r>
        <w:rPr>
          <w:color w:val="231F20"/>
          <w:spacing w:val="-2"/>
        </w:rPr>
        <w:t> </w:t>
      </w:r>
      <w:r>
        <w:rPr>
          <w:color w:val="231F20"/>
        </w:rPr>
        <w:t>for</w:t>
      </w:r>
      <w:r>
        <w:rPr>
          <w:color w:val="231F20"/>
          <w:spacing w:val="-2"/>
        </w:rPr>
        <w:t> </w:t>
      </w:r>
      <w:r>
        <w:rPr>
          <w:color w:val="231F20"/>
        </w:rPr>
        <w:t>employee</w:t>
      </w:r>
      <w:r>
        <w:rPr>
          <w:color w:val="231F20"/>
          <w:spacing w:val="-2"/>
        </w:rPr>
        <w:t> </w:t>
      </w:r>
      <w:r>
        <w:rPr>
          <w:color w:val="231F20"/>
        </w:rPr>
        <w:t>health</w:t>
      </w:r>
      <w:r>
        <w:rPr>
          <w:color w:val="231F20"/>
          <w:spacing w:val="-2"/>
        </w:rPr>
        <w:t> </w:t>
      </w:r>
      <w:r>
        <w:rPr>
          <w:color w:val="231F20"/>
        </w:rPr>
        <w:t>benefits</w:t>
      </w:r>
      <w:r>
        <w:rPr>
          <w:color w:val="231F20"/>
          <w:spacing w:val="-2"/>
        </w:rPr>
        <w:t> </w:t>
      </w:r>
      <w:r>
        <w:rPr>
          <w:color w:val="231F20"/>
        </w:rPr>
        <w:t>for</w:t>
      </w:r>
      <w:r>
        <w:rPr>
          <w:color w:val="231F20"/>
          <w:spacing w:val="-2"/>
        </w:rPr>
        <w:t> </w:t>
      </w:r>
      <w:r>
        <w:rPr>
          <w:color w:val="231F20"/>
        </w:rPr>
        <w:t>its</w:t>
      </w:r>
      <w:r>
        <w:rPr>
          <w:color w:val="231F20"/>
          <w:spacing w:val="-3"/>
        </w:rPr>
        <w:t> </w:t>
      </w:r>
      <w:r>
        <w:rPr>
          <w:color w:val="231F20"/>
        </w:rPr>
        <w:t>employees, retirees and their families. The Trust will continue to operate, control and maintain the life insurance and flexible benefits to the employees of the Institute and their families.</w:t>
      </w:r>
    </w:p>
    <w:p>
      <w:pPr>
        <w:pStyle w:val="BodyText"/>
      </w:pPr>
    </w:p>
    <w:p>
      <w:pPr>
        <w:pStyle w:val="BodyText"/>
        <w:spacing w:line="276" w:lineRule="auto"/>
        <w:ind w:left="1440" w:right="1048"/>
      </w:pPr>
      <w:r>
        <w:rPr>
          <w:color w:val="231F20"/>
        </w:rPr>
        <w:t>The</w:t>
      </w:r>
      <w:r>
        <w:rPr>
          <w:color w:val="231F20"/>
          <w:spacing w:val="-3"/>
        </w:rPr>
        <w:t> </w:t>
      </w:r>
      <w:r>
        <w:rPr>
          <w:color w:val="231F20"/>
        </w:rPr>
        <w:t>Trust</w:t>
      </w:r>
      <w:r>
        <w:rPr>
          <w:color w:val="231F20"/>
          <w:spacing w:val="-3"/>
        </w:rPr>
        <w:t> </w:t>
      </w:r>
      <w:r>
        <w:rPr>
          <w:color w:val="231F20"/>
        </w:rPr>
        <w:t>issues</w:t>
      </w:r>
      <w:r>
        <w:rPr>
          <w:color w:val="231F20"/>
          <w:spacing w:val="-4"/>
        </w:rPr>
        <w:t> </w:t>
      </w:r>
      <w:r>
        <w:rPr>
          <w:color w:val="231F20"/>
        </w:rPr>
        <w:t>standalone</w:t>
      </w:r>
      <w:r>
        <w:rPr>
          <w:color w:val="231F20"/>
          <w:spacing w:val="-3"/>
        </w:rPr>
        <w:t> </w:t>
      </w:r>
      <w:r>
        <w:rPr>
          <w:color w:val="231F20"/>
        </w:rPr>
        <w:t>audited</w:t>
      </w:r>
      <w:r>
        <w:rPr>
          <w:color w:val="231F20"/>
          <w:spacing w:val="-3"/>
        </w:rPr>
        <w:t> </w:t>
      </w:r>
      <w:r>
        <w:rPr>
          <w:color w:val="231F20"/>
        </w:rPr>
        <w:t>financial</w:t>
      </w:r>
      <w:r>
        <w:rPr>
          <w:color w:val="231F20"/>
          <w:spacing w:val="-3"/>
        </w:rPr>
        <w:t> </w:t>
      </w:r>
      <w:r>
        <w:rPr>
          <w:color w:val="231F20"/>
        </w:rPr>
        <w:t>statements</w:t>
      </w:r>
      <w:r>
        <w:rPr>
          <w:color w:val="231F20"/>
          <w:spacing w:val="-3"/>
        </w:rPr>
        <w:t> </w:t>
      </w:r>
      <w:r>
        <w:rPr>
          <w:color w:val="231F20"/>
        </w:rPr>
        <w:t>that</w:t>
      </w:r>
      <w:r>
        <w:rPr>
          <w:color w:val="231F20"/>
          <w:spacing w:val="-3"/>
        </w:rPr>
        <w:t> </w:t>
      </w:r>
      <w:r>
        <w:rPr>
          <w:color w:val="231F20"/>
        </w:rPr>
        <w:t>can</w:t>
      </w:r>
      <w:r>
        <w:rPr>
          <w:color w:val="231F20"/>
          <w:spacing w:val="-3"/>
        </w:rPr>
        <w:t> </w:t>
      </w:r>
      <w:r>
        <w:rPr>
          <w:color w:val="231F20"/>
        </w:rPr>
        <w:t>be</w:t>
      </w:r>
      <w:r>
        <w:rPr>
          <w:color w:val="231F20"/>
          <w:spacing w:val="-3"/>
        </w:rPr>
        <w:t> </w:t>
      </w:r>
      <w:r>
        <w:rPr>
          <w:color w:val="231F20"/>
        </w:rPr>
        <w:t>obtained</w:t>
      </w:r>
      <w:r>
        <w:rPr>
          <w:color w:val="231F20"/>
          <w:spacing w:val="-3"/>
        </w:rPr>
        <w:t> </w:t>
      </w:r>
      <w:r>
        <w:rPr>
          <w:color w:val="231F20"/>
        </w:rPr>
        <w:t>by</w:t>
      </w:r>
      <w:r>
        <w:rPr>
          <w:color w:val="231F20"/>
          <w:spacing w:val="-2"/>
        </w:rPr>
        <w:t> </w:t>
      </w:r>
      <w:r>
        <w:rPr>
          <w:color w:val="231F20"/>
        </w:rPr>
        <w:t>request</w:t>
      </w:r>
      <w:r>
        <w:rPr>
          <w:color w:val="231F20"/>
          <w:spacing w:val="-3"/>
        </w:rPr>
        <w:t> </w:t>
      </w:r>
      <w:r>
        <w:rPr>
          <w:color w:val="231F20"/>
        </w:rPr>
        <w:t>or</w:t>
      </w:r>
      <w:r>
        <w:rPr>
          <w:color w:val="231F20"/>
          <w:spacing w:val="-3"/>
        </w:rPr>
        <w:t> </w:t>
      </w:r>
      <w:r>
        <w:rPr>
          <w:color w:val="231F20"/>
        </w:rPr>
        <w:t>via</w:t>
      </w:r>
      <w:r>
        <w:rPr>
          <w:color w:val="231F20"/>
          <w:spacing w:val="-3"/>
        </w:rPr>
        <w:t> </w:t>
      </w:r>
      <w:r>
        <w:rPr>
          <w:color w:val="231F20"/>
        </w:rPr>
        <w:t>the Office of the State Auditor’s website at </w:t>
      </w:r>
      <w:hyperlink r:id="rId45">
        <w:r>
          <w:rPr>
            <w:color w:val="2864B0"/>
            <w:u w:val="single" w:color="2864B0"/>
          </w:rPr>
          <w:t>www.saonm.org</w:t>
        </w:r>
        <w:r>
          <w:rPr>
            <w:color w:val="231F20"/>
          </w:rPr>
          <w:t>.</w:t>
        </w:r>
      </w:hyperlink>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8</w:t>
      </w:r>
      <w:r>
        <w:rPr>
          <w:color w:val="231F20"/>
          <w:spacing w:val="-4"/>
        </w:rPr>
        <w:t> </w:t>
      </w:r>
      <w:r>
        <w:rPr>
          <w:color w:val="231F20"/>
        </w:rPr>
        <w:t>–</w:t>
      </w:r>
      <w:r>
        <w:rPr>
          <w:color w:val="231F20"/>
          <w:spacing w:val="-5"/>
        </w:rPr>
        <w:t> </w:t>
      </w:r>
      <w:r>
        <w:rPr>
          <w:color w:val="231F20"/>
        </w:rPr>
        <w:t>Other</w:t>
      </w:r>
      <w:r>
        <w:rPr>
          <w:color w:val="231F20"/>
          <w:spacing w:val="-4"/>
        </w:rPr>
        <w:t> </w:t>
      </w:r>
      <w:r>
        <w:rPr>
          <w:color w:val="231F20"/>
        </w:rPr>
        <w:t>Postemployment</w:t>
      </w:r>
      <w:r>
        <w:rPr>
          <w:color w:val="231F20"/>
          <w:spacing w:val="-6"/>
        </w:rPr>
        <w:t> </w:t>
      </w:r>
      <w:r>
        <w:rPr>
          <w:color w:val="231F20"/>
        </w:rPr>
        <w:t>Benefits</w:t>
      </w:r>
      <w:r>
        <w:rPr>
          <w:color w:val="231F20"/>
          <w:spacing w:val="-4"/>
        </w:rPr>
        <w:t> </w:t>
      </w:r>
      <w:r>
        <w:rPr>
          <w:color w:val="231F20"/>
        </w:rPr>
        <w:t>Plan</w:t>
      </w:r>
      <w:r>
        <w:rPr>
          <w:color w:val="231F20"/>
          <w:spacing w:val="-4"/>
        </w:rPr>
        <w:t> </w:t>
      </w:r>
      <w:r>
        <w:rPr>
          <w:color w:val="231F20"/>
          <w:spacing w:val="-2"/>
        </w:rPr>
        <w:t>(continued)</w:t>
      </w:r>
    </w:p>
    <w:p>
      <w:pPr>
        <w:pStyle w:val="BodyText"/>
        <w:rPr>
          <w:b/>
          <w:sz w:val="26"/>
        </w:rPr>
      </w:pPr>
    </w:p>
    <w:p>
      <w:pPr>
        <w:spacing w:before="0"/>
        <w:ind w:left="1440" w:right="0" w:firstLine="0"/>
        <w:jc w:val="left"/>
        <w:rPr>
          <w:b/>
          <w:sz w:val="20"/>
        </w:rPr>
      </w:pPr>
      <w:r>
        <w:rPr>
          <w:b/>
          <w:color w:val="231F20"/>
          <w:sz w:val="20"/>
        </w:rPr>
        <w:t>Plan</w:t>
      </w:r>
      <w:r>
        <w:rPr>
          <w:b/>
          <w:color w:val="231F20"/>
          <w:spacing w:val="-4"/>
          <w:sz w:val="20"/>
        </w:rPr>
        <w:t> </w:t>
      </w:r>
      <w:r>
        <w:rPr>
          <w:b/>
          <w:color w:val="231F20"/>
          <w:spacing w:val="-2"/>
          <w:sz w:val="20"/>
        </w:rPr>
        <w:t>Description</w:t>
      </w:r>
    </w:p>
    <w:p>
      <w:pPr>
        <w:pStyle w:val="BodyText"/>
        <w:spacing w:before="34"/>
        <w:ind w:left="1440"/>
      </w:pPr>
      <w:r>
        <w:rPr>
          <w:i/>
          <w:color w:val="231F20"/>
        </w:rPr>
        <w:t>Benefits</w:t>
      </w:r>
      <w:r>
        <w:rPr>
          <w:i/>
          <w:color w:val="231F20"/>
          <w:spacing w:val="-7"/>
        </w:rPr>
        <w:t> </w:t>
      </w:r>
      <w:r>
        <w:rPr>
          <w:i/>
          <w:color w:val="231F20"/>
        </w:rPr>
        <w:t>Provided</w:t>
      </w:r>
      <w:r>
        <w:rPr>
          <w:i/>
          <w:color w:val="231F20"/>
          <w:spacing w:val="-5"/>
        </w:rPr>
        <w:t> </w:t>
      </w:r>
      <w:r>
        <w:rPr>
          <w:i/>
          <w:color w:val="231F20"/>
        </w:rPr>
        <w:t>–</w:t>
      </w:r>
      <w:r>
        <w:rPr>
          <w:i/>
          <w:color w:val="231F20"/>
          <w:spacing w:val="-5"/>
        </w:rPr>
        <w:t> </w:t>
      </w:r>
      <w:r>
        <w:rPr>
          <w:color w:val="231F20"/>
        </w:rPr>
        <w:t>Eligible</w:t>
      </w:r>
      <w:r>
        <w:rPr>
          <w:color w:val="231F20"/>
          <w:spacing w:val="-5"/>
        </w:rPr>
        <w:t> </w:t>
      </w:r>
      <w:r>
        <w:rPr>
          <w:color w:val="231F20"/>
        </w:rPr>
        <w:t>retirees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Institute</w:t>
      </w:r>
      <w:r>
        <w:rPr>
          <w:color w:val="231F20"/>
          <w:spacing w:val="-4"/>
        </w:rPr>
        <w:t> </w:t>
      </w:r>
      <w:r>
        <w:rPr>
          <w:color w:val="231F20"/>
        </w:rPr>
        <w:t>are</w:t>
      </w:r>
      <w:r>
        <w:rPr>
          <w:color w:val="231F20"/>
          <w:spacing w:val="-5"/>
        </w:rPr>
        <w:t> </w:t>
      </w:r>
      <w:r>
        <w:rPr>
          <w:color w:val="231F20"/>
        </w:rPr>
        <w:t>offered</w:t>
      </w:r>
      <w:r>
        <w:rPr>
          <w:color w:val="231F20"/>
          <w:spacing w:val="-5"/>
        </w:rPr>
        <w:t> </w:t>
      </w:r>
      <w:r>
        <w:rPr>
          <w:color w:val="231F20"/>
        </w:rPr>
        <w:t>$10,000</w:t>
      </w:r>
      <w:r>
        <w:rPr>
          <w:color w:val="231F20"/>
          <w:spacing w:val="-5"/>
        </w:rPr>
        <w:t> </w:t>
      </w:r>
      <w:r>
        <w:rPr>
          <w:color w:val="231F20"/>
        </w:rPr>
        <w:t>of</w:t>
      </w:r>
      <w:r>
        <w:rPr>
          <w:color w:val="231F20"/>
          <w:spacing w:val="-5"/>
        </w:rPr>
        <w:t> </w:t>
      </w:r>
      <w:r>
        <w:rPr>
          <w:color w:val="231F20"/>
        </w:rPr>
        <w:t>retiree</w:t>
      </w:r>
      <w:r>
        <w:rPr>
          <w:color w:val="231F20"/>
          <w:spacing w:val="-5"/>
        </w:rPr>
        <w:t> </w:t>
      </w:r>
      <w:r>
        <w:rPr>
          <w:color w:val="231F20"/>
        </w:rPr>
        <w:t>basic</w:t>
      </w:r>
      <w:r>
        <w:rPr>
          <w:color w:val="231F20"/>
          <w:spacing w:val="-4"/>
        </w:rPr>
        <w:t> </w:t>
      </w:r>
      <w:r>
        <w:rPr>
          <w:color w:val="231F20"/>
        </w:rPr>
        <w:t>life</w:t>
      </w:r>
      <w:r>
        <w:rPr>
          <w:color w:val="231F20"/>
          <w:spacing w:val="-4"/>
        </w:rPr>
        <w:t> </w:t>
      </w:r>
      <w:r>
        <w:rPr>
          <w:color w:val="231F20"/>
          <w:spacing w:val="-2"/>
        </w:rPr>
        <w:t>insurance.</w:t>
      </w:r>
    </w:p>
    <w:p>
      <w:pPr>
        <w:pStyle w:val="BodyText"/>
        <w:rPr>
          <w:sz w:val="26"/>
        </w:rPr>
      </w:pPr>
    </w:p>
    <w:p>
      <w:pPr>
        <w:pStyle w:val="BodyText"/>
        <w:spacing w:line="276" w:lineRule="auto"/>
        <w:ind w:left="1440" w:right="891"/>
      </w:pPr>
      <w:r>
        <w:rPr>
          <w:color w:val="231F20"/>
        </w:rPr>
        <w:t>In addition, the Trust is used to pay premiums for life insurance coverage on eligible participants and to administer</w:t>
      </w:r>
      <w:r>
        <w:rPr>
          <w:color w:val="231F20"/>
          <w:spacing w:val="-3"/>
        </w:rPr>
        <w:t> </w:t>
      </w:r>
      <w:r>
        <w:rPr>
          <w:color w:val="231F20"/>
        </w:rPr>
        <w:t>the</w:t>
      </w:r>
      <w:r>
        <w:rPr>
          <w:color w:val="231F20"/>
          <w:spacing w:val="-3"/>
        </w:rPr>
        <w:t> </w:t>
      </w:r>
      <w:r>
        <w:rPr>
          <w:color w:val="231F20"/>
        </w:rPr>
        <w:t>Flexible</w:t>
      </w:r>
      <w:r>
        <w:rPr>
          <w:color w:val="231F20"/>
          <w:spacing w:val="-3"/>
        </w:rPr>
        <w:t> </w:t>
      </w:r>
      <w:r>
        <w:rPr>
          <w:color w:val="231F20"/>
        </w:rPr>
        <w:t>Benefits</w:t>
      </w:r>
      <w:r>
        <w:rPr>
          <w:color w:val="231F20"/>
          <w:spacing w:val="-3"/>
        </w:rPr>
        <w:t> </w:t>
      </w:r>
      <w:r>
        <w:rPr>
          <w:color w:val="231F20"/>
        </w:rPr>
        <w:t>Plan</w:t>
      </w:r>
      <w:r>
        <w:rPr>
          <w:color w:val="231F20"/>
          <w:spacing w:val="-3"/>
        </w:rPr>
        <w:t> </w:t>
      </w:r>
      <w:r>
        <w:rPr>
          <w:color w:val="231F20"/>
        </w:rPr>
        <w:t>(the</w:t>
      </w:r>
      <w:r>
        <w:rPr>
          <w:color w:val="231F20"/>
          <w:spacing w:val="-3"/>
        </w:rPr>
        <w:t> </w:t>
      </w:r>
      <w:r>
        <w:rPr>
          <w:color w:val="231F20"/>
        </w:rPr>
        <w:t>Flex</w:t>
      </w:r>
      <w:r>
        <w:rPr>
          <w:color w:val="231F20"/>
          <w:spacing w:val="-3"/>
        </w:rPr>
        <w:t> </w:t>
      </w:r>
      <w:r>
        <w:rPr>
          <w:color w:val="231F20"/>
        </w:rPr>
        <w:t>Plan).</w:t>
      </w:r>
      <w:r>
        <w:rPr>
          <w:color w:val="231F20"/>
          <w:spacing w:val="-1"/>
        </w:rPr>
        <w:t> </w:t>
      </w:r>
      <w:r>
        <w:rPr>
          <w:color w:val="231F20"/>
        </w:rPr>
        <w:t>The</w:t>
      </w:r>
      <w:r>
        <w:rPr>
          <w:color w:val="231F20"/>
          <w:spacing w:val="-3"/>
        </w:rPr>
        <w:t> </w:t>
      </w:r>
      <w:r>
        <w:rPr>
          <w:color w:val="231F20"/>
        </w:rPr>
        <w:t>Flex</w:t>
      </w:r>
      <w:r>
        <w:rPr>
          <w:color w:val="231F20"/>
          <w:spacing w:val="-2"/>
        </w:rPr>
        <w:t> </w:t>
      </w:r>
      <w:r>
        <w:rPr>
          <w:color w:val="231F20"/>
        </w:rPr>
        <w:t>Plan,</w:t>
      </w:r>
      <w:r>
        <w:rPr>
          <w:color w:val="231F20"/>
          <w:spacing w:val="-3"/>
        </w:rPr>
        <w:t> </w:t>
      </w:r>
      <w:r>
        <w:rPr>
          <w:color w:val="231F20"/>
        </w:rPr>
        <w:t>which</w:t>
      </w:r>
      <w:r>
        <w:rPr>
          <w:color w:val="231F20"/>
          <w:spacing w:val="-3"/>
        </w:rPr>
        <w:t> </w:t>
      </w:r>
      <w:r>
        <w:rPr>
          <w:color w:val="231F20"/>
        </w:rPr>
        <w:t>is</w:t>
      </w:r>
      <w:r>
        <w:rPr>
          <w:color w:val="231F20"/>
          <w:spacing w:val="-3"/>
        </w:rPr>
        <w:t> </w:t>
      </w:r>
      <w:r>
        <w:rPr>
          <w:color w:val="231F20"/>
        </w:rPr>
        <w:t>fully</w:t>
      </w:r>
      <w:r>
        <w:rPr>
          <w:color w:val="231F20"/>
          <w:spacing w:val="-3"/>
        </w:rPr>
        <w:t> </w:t>
      </w:r>
      <w:r>
        <w:rPr>
          <w:color w:val="231F20"/>
        </w:rPr>
        <w:t>funded</w:t>
      </w:r>
      <w:r>
        <w:rPr>
          <w:color w:val="231F20"/>
          <w:spacing w:val="-3"/>
        </w:rPr>
        <w:t> </w:t>
      </w:r>
      <w:r>
        <w:rPr>
          <w:color w:val="231F20"/>
        </w:rPr>
        <w:t>by</w:t>
      </w:r>
      <w:r>
        <w:rPr>
          <w:color w:val="231F20"/>
          <w:spacing w:val="-4"/>
        </w:rPr>
        <w:t> </w:t>
      </w:r>
      <w:r>
        <w:rPr>
          <w:color w:val="231F20"/>
        </w:rPr>
        <w:t>employees, provides reimbursement of certain employee health and dependent care expenses.</w:t>
      </w:r>
    </w:p>
    <w:p>
      <w:pPr>
        <w:pStyle w:val="BodyText"/>
        <w:spacing w:before="11"/>
        <w:rPr>
          <w:sz w:val="22"/>
        </w:rPr>
      </w:pPr>
    </w:p>
    <w:p>
      <w:pPr>
        <w:pStyle w:val="BodyText"/>
        <w:ind w:left="1440"/>
      </w:pPr>
      <w:r>
        <w:rPr>
          <w:color w:val="231F20"/>
        </w:rPr>
        <w:t>The</w:t>
      </w:r>
      <w:r>
        <w:rPr>
          <w:color w:val="231F20"/>
          <w:spacing w:val="-9"/>
        </w:rPr>
        <w:t> </w:t>
      </w:r>
      <w:r>
        <w:rPr>
          <w:color w:val="231F20"/>
        </w:rPr>
        <w:t>Trust</w:t>
      </w:r>
      <w:r>
        <w:rPr>
          <w:color w:val="231F20"/>
          <w:spacing w:val="-6"/>
        </w:rPr>
        <w:t> </w:t>
      </w:r>
      <w:r>
        <w:rPr>
          <w:color w:val="231F20"/>
        </w:rPr>
        <w:t>also</w:t>
      </w:r>
      <w:r>
        <w:rPr>
          <w:color w:val="231F20"/>
          <w:spacing w:val="-6"/>
        </w:rPr>
        <w:t> </w:t>
      </w:r>
      <w:r>
        <w:rPr>
          <w:color w:val="231F20"/>
        </w:rPr>
        <w:t>holds</w:t>
      </w:r>
      <w:r>
        <w:rPr>
          <w:color w:val="231F20"/>
          <w:spacing w:val="-6"/>
        </w:rPr>
        <w:t> </w:t>
      </w:r>
      <w:r>
        <w:rPr>
          <w:color w:val="231F20"/>
        </w:rPr>
        <w:t>Employee</w:t>
      </w:r>
      <w:r>
        <w:rPr>
          <w:color w:val="231F20"/>
          <w:spacing w:val="-6"/>
        </w:rPr>
        <w:t> </w:t>
      </w:r>
      <w:r>
        <w:rPr>
          <w:color w:val="231F20"/>
        </w:rPr>
        <w:t>Assistance</w:t>
      </w:r>
      <w:r>
        <w:rPr>
          <w:color w:val="231F20"/>
          <w:spacing w:val="-7"/>
        </w:rPr>
        <w:t> </w:t>
      </w:r>
      <w:r>
        <w:rPr>
          <w:color w:val="231F20"/>
        </w:rPr>
        <w:t>Plan</w:t>
      </w:r>
      <w:r>
        <w:rPr>
          <w:color w:val="231F20"/>
          <w:spacing w:val="-7"/>
        </w:rPr>
        <w:t> </w:t>
      </w:r>
      <w:r>
        <w:rPr>
          <w:color w:val="231F20"/>
        </w:rPr>
        <w:t>(EAP)</w:t>
      </w:r>
      <w:r>
        <w:rPr>
          <w:color w:val="231F20"/>
          <w:spacing w:val="-6"/>
        </w:rPr>
        <w:t> </w:t>
      </w:r>
      <w:r>
        <w:rPr>
          <w:color w:val="231F20"/>
        </w:rPr>
        <w:t>and</w:t>
      </w:r>
      <w:r>
        <w:rPr>
          <w:color w:val="231F20"/>
          <w:spacing w:val="-6"/>
        </w:rPr>
        <w:t> </w:t>
      </w:r>
      <w:r>
        <w:rPr>
          <w:color w:val="231F20"/>
        </w:rPr>
        <w:t>Commuter</w:t>
      </w:r>
      <w:r>
        <w:rPr>
          <w:color w:val="231F20"/>
          <w:spacing w:val="-6"/>
        </w:rPr>
        <w:t> </w:t>
      </w:r>
      <w:r>
        <w:rPr>
          <w:color w:val="231F20"/>
        </w:rPr>
        <w:t>Benefits</w:t>
      </w:r>
      <w:r>
        <w:rPr>
          <w:color w:val="231F20"/>
          <w:spacing w:val="-6"/>
        </w:rPr>
        <w:t> </w:t>
      </w:r>
      <w:r>
        <w:rPr>
          <w:color w:val="231F20"/>
        </w:rPr>
        <w:t>Holding</w:t>
      </w:r>
      <w:r>
        <w:rPr>
          <w:color w:val="231F20"/>
          <w:spacing w:val="-6"/>
        </w:rPr>
        <w:t> </w:t>
      </w:r>
      <w:r>
        <w:rPr>
          <w:color w:val="231F20"/>
          <w:spacing w:val="-2"/>
        </w:rPr>
        <w:t>funds.</w:t>
      </w:r>
    </w:p>
    <w:p>
      <w:pPr>
        <w:pStyle w:val="BodyText"/>
        <w:rPr>
          <w:sz w:val="26"/>
        </w:rPr>
      </w:pPr>
    </w:p>
    <w:p>
      <w:pPr>
        <w:pStyle w:val="BodyText"/>
        <w:spacing w:line="276" w:lineRule="auto"/>
        <w:ind w:left="1440" w:right="857"/>
      </w:pPr>
      <w:r>
        <w:rPr>
          <w:i/>
          <w:color w:val="231F20"/>
        </w:rPr>
        <w:t>Contributions</w:t>
      </w:r>
      <w:r>
        <w:rPr>
          <w:i/>
          <w:color w:val="231F20"/>
          <w:spacing w:val="-3"/>
        </w:rPr>
        <w:t> </w:t>
      </w:r>
      <w:r>
        <w:rPr>
          <w:i/>
          <w:color w:val="231F20"/>
        </w:rPr>
        <w:t>–</w:t>
      </w:r>
      <w:r>
        <w:rPr>
          <w:i/>
          <w:color w:val="231F20"/>
          <w:spacing w:val="-1"/>
        </w:rPr>
        <w:t> </w:t>
      </w:r>
      <w:r>
        <w:rPr>
          <w:color w:val="231F20"/>
        </w:rPr>
        <w:t>The</w:t>
      </w:r>
      <w:r>
        <w:rPr>
          <w:color w:val="231F20"/>
          <w:spacing w:val="-3"/>
        </w:rPr>
        <w:t> </w:t>
      </w:r>
      <w:r>
        <w:rPr>
          <w:color w:val="231F20"/>
        </w:rPr>
        <w:t>Trust</w:t>
      </w:r>
      <w:r>
        <w:rPr>
          <w:color w:val="231F20"/>
          <w:spacing w:val="-3"/>
        </w:rPr>
        <w:t> </w:t>
      </w:r>
      <w:r>
        <w:rPr>
          <w:color w:val="231F20"/>
        </w:rPr>
        <w:t>is</w:t>
      </w:r>
      <w:r>
        <w:rPr>
          <w:color w:val="231F20"/>
          <w:spacing w:val="-3"/>
        </w:rPr>
        <w:t> </w:t>
      </w:r>
      <w:r>
        <w:rPr>
          <w:color w:val="231F20"/>
        </w:rPr>
        <w:t>funded</w:t>
      </w:r>
      <w:r>
        <w:rPr>
          <w:color w:val="231F20"/>
          <w:spacing w:val="-3"/>
        </w:rPr>
        <w:t> </w:t>
      </w:r>
      <w:r>
        <w:rPr>
          <w:color w:val="231F20"/>
        </w:rPr>
        <w:t>by</w:t>
      </w:r>
      <w:r>
        <w:rPr>
          <w:color w:val="231F20"/>
          <w:spacing w:val="-4"/>
        </w:rPr>
        <w:t> </w:t>
      </w:r>
      <w:r>
        <w:rPr>
          <w:color w:val="231F20"/>
        </w:rPr>
        <w:t>contributions</w:t>
      </w:r>
      <w:r>
        <w:rPr>
          <w:color w:val="231F20"/>
          <w:spacing w:val="-3"/>
        </w:rPr>
        <w:t> </w:t>
      </w:r>
      <w:r>
        <w:rPr>
          <w:color w:val="231F20"/>
        </w:rPr>
        <w:t>from</w:t>
      </w:r>
      <w:r>
        <w:rPr>
          <w:color w:val="231F20"/>
          <w:spacing w:val="-3"/>
        </w:rPr>
        <w:t> </w:t>
      </w:r>
      <w:r>
        <w:rPr>
          <w:color w:val="231F20"/>
        </w:rPr>
        <w:t>both</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and</w:t>
      </w:r>
      <w:r>
        <w:rPr>
          <w:color w:val="231F20"/>
          <w:spacing w:val="-3"/>
        </w:rPr>
        <w:t> </w:t>
      </w:r>
      <w:r>
        <w:rPr>
          <w:color w:val="231F20"/>
        </w:rPr>
        <w:t>employees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Institute. Flex Plan contributions consist of employee-only contributions and are based on amounts elected by the employees up to specified limits, and are withheld from employee pay. All other contributions, including employee and employer contributions, are based on amounts determined by the Trust Committee as necessary to cover the expenses of the Trust. Contributions are funded on a monthly basis.</w:t>
      </w:r>
    </w:p>
    <w:p>
      <w:pPr>
        <w:pStyle w:val="BodyText"/>
        <w:spacing w:before="11"/>
        <w:rPr>
          <w:sz w:val="22"/>
        </w:rPr>
      </w:pPr>
    </w:p>
    <w:p>
      <w:pPr>
        <w:pStyle w:val="Heading4"/>
      </w:pPr>
      <w:r>
        <w:rPr>
          <w:color w:val="231F20"/>
        </w:rPr>
        <w:t>Net</w:t>
      </w:r>
      <w:r>
        <w:rPr>
          <w:color w:val="231F20"/>
          <w:spacing w:val="-8"/>
        </w:rPr>
        <w:t> </w:t>
      </w:r>
      <w:r>
        <w:rPr>
          <w:color w:val="231F20"/>
        </w:rPr>
        <w:t>Other</w:t>
      </w:r>
      <w:r>
        <w:rPr>
          <w:color w:val="231F20"/>
          <w:spacing w:val="-7"/>
        </w:rPr>
        <w:t> </w:t>
      </w:r>
      <w:r>
        <w:rPr>
          <w:color w:val="231F20"/>
        </w:rPr>
        <w:t>Postemployment</w:t>
      </w:r>
      <w:r>
        <w:rPr>
          <w:color w:val="231F20"/>
          <w:spacing w:val="-7"/>
        </w:rPr>
        <w:t> </w:t>
      </w:r>
      <w:r>
        <w:rPr>
          <w:color w:val="231F20"/>
        </w:rPr>
        <w:t>Benefits</w:t>
      </w:r>
      <w:r>
        <w:rPr>
          <w:color w:val="231F20"/>
          <w:spacing w:val="-6"/>
        </w:rPr>
        <w:t> </w:t>
      </w:r>
      <w:r>
        <w:rPr>
          <w:color w:val="231F20"/>
          <w:spacing w:val="-2"/>
        </w:rPr>
        <w:t>Liability</w:t>
      </w:r>
    </w:p>
    <w:p>
      <w:pPr>
        <w:pStyle w:val="BodyText"/>
        <w:spacing w:line="276" w:lineRule="auto" w:before="35"/>
        <w:ind w:left="1440" w:right="1048"/>
      </w:pPr>
      <w:r>
        <w:rPr>
          <w:color w:val="231F20"/>
        </w:rPr>
        <w:t>The</w:t>
      </w:r>
      <w:r>
        <w:rPr>
          <w:color w:val="231F20"/>
          <w:spacing w:val="-2"/>
        </w:rPr>
        <w:t> </w:t>
      </w:r>
      <w:r>
        <w:rPr>
          <w:color w:val="231F20"/>
        </w:rPr>
        <w:t>Institute’s</w:t>
      </w:r>
      <w:r>
        <w:rPr>
          <w:color w:val="231F20"/>
          <w:spacing w:val="-2"/>
        </w:rPr>
        <w:t> </w:t>
      </w:r>
      <w:r>
        <w:rPr>
          <w:color w:val="231F20"/>
        </w:rPr>
        <w:t>net</w:t>
      </w:r>
      <w:r>
        <w:rPr>
          <w:color w:val="231F20"/>
          <w:spacing w:val="-3"/>
        </w:rPr>
        <w:t> </w:t>
      </w:r>
      <w:r>
        <w:rPr>
          <w:color w:val="231F20"/>
        </w:rPr>
        <w:t>OPEB</w:t>
      </w:r>
      <w:r>
        <w:rPr>
          <w:color w:val="231F20"/>
          <w:spacing w:val="-2"/>
        </w:rPr>
        <w:t> </w:t>
      </w:r>
      <w:r>
        <w:rPr>
          <w:color w:val="231F20"/>
        </w:rPr>
        <w:t>liability</w:t>
      </w:r>
      <w:r>
        <w:rPr>
          <w:color w:val="231F20"/>
          <w:spacing w:val="-2"/>
        </w:rPr>
        <w:t> </w:t>
      </w:r>
      <w:r>
        <w:rPr>
          <w:color w:val="231F20"/>
        </w:rPr>
        <w:t>was</w:t>
      </w:r>
      <w:r>
        <w:rPr>
          <w:color w:val="231F20"/>
          <w:spacing w:val="-3"/>
        </w:rPr>
        <w:t> </w:t>
      </w:r>
      <w:r>
        <w:rPr>
          <w:color w:val="231F20"/>
        </w:rPr>
        <w:t>measured</w:t>
      </w:r>
      <w:r>
        <w:rPr>
          <w:color w:val="231F20"/>
          <w:spacing w:val="-2"/>
        </w:rPr>
        <w:t> </w:t>
      </w:r>
      <w:r>
        <w:rPr>
          <w:color w:val="231F20"/>
        </w:rPr>
        <w:t>as</w:t>
      </w:r>
      <w:r>
        <w:rPr>
          <w:color w:val="231F20"/>
          <w:spacing w:val="-2"/>
        </w:rPr>
        <w:t> </w:t>
      </w:r>
      <w:r>
        <w:rPr>
          <w:color w:val="231F20"/>
        </w:rPr>
        <w:t>of</w:t>
      </w:r>
      <w:r>
        <w:rPr>
          <w:color w:val="231F20"/>
          <w:spacing w:val="-4"/>
        </w:rPr>
        <w:t> </w:t>
      </w:r>
      <w:r>
        <w:rPr>
          <w:color w:val="231F20"/>
        </w:rPr>
        <w:t>July</w:t>
      </w:r>
      <w:r>
        <w:rPr>
          <w:color w:val="231F20"/>
          <w:spacing w:val="-2"/>
        </w:rPr>
        <w:t> </w:t>
      </w:r>
      <w:r>
        <w:rPr>
          <w:color w:val="231F20"/>
        </w:rPr>
        <w:t>1,</w:t>
      </w:r>
      <w:r>
        <w:rPr>
          <w:color w:val="231F20"/>
          <w:spacing w:val="-2"/>
        </w:rPr>
        <w:t> </w:t>
      </w:r>
      <w:r>
        <w:rPr>
          <w:color w:val="231F20"/>
        </w:rPr>
        <w:t>2021,</w:t>
      </w:r>
      <w:r>
        <w:rPr>
          <w:color w:val="231F20"/>
          <w:spacing w:val="-3"/>
        </w:rPr>
        <w:t> </w:t>
      </w:r>
      <w:r>
        <w:rPr>
          <w:color w:val="231F20"/>
        </w:rPr>
        <w:t>and</w:t>
      </w:r>
      <w:r>
        <w:rPr>
          <w:color w:val="231F20"/>
          <w:spacing w:val="-2"/>
        </w:rPr>
        <w:t> </w:t>
      </w:r>
      <w:r>
        <w:rPr>
          <w:color w:val="231F20"/>
        </w:rPr>
        <w:t>the</w:t>
      </w:r>
      <w:r>
        <w:rPr>
          <w:color w:val="231F20"/>
          <w:spacing w:val="-2"/>
        </w:rPr>
        <w:t> </w:t>
      </w:r>
      <w:r>
        <w:rPr>
          <w:color w:val="231F20"/>
        </w:rPr>
        <w:t>total</w:t>
      </w:r>
      <w:r>
        <w:rPr>
          <w:color w:val="231F20"/>
          <w:spacing w:val="-3"/>
        </w:rPr>
        <w:t> </w:t>
      </w:r>
      <w:r>
        <w:rPr>
          <w:color w:val="231F20"/>
        </w:rPr>
        <w:t>OPEB</w:t>
      </w:r>
      <w:r>
        <w:rPr>
          <w:color w:val="231F20"/>
          <w:spacing w:val="-2"/>
        </w:rPr>
        <w:t> </w:t>
      </w:r>
      <w:r>
        <w:rPr>
          <w:color w:val="231F20"/>
        </w:rPr>
        <w:t>liability</w:t>
      </w:r>
      <w:r>
        <w:rPr>
          <w:color w:val="231F20"/>
          <w:spacing w:val="-2"/>
        </w:rPr>
        <w:t> </w:t>
      </w:r>
      <w:r>
        <w:rPr>
          <w:color w:val="231F20"/>
        </w:rPr>
        <w:t>used</w:t>
      </w:r>
      <w:r>
        <w:rPr>
          <w:color w:val="231F20"/>
          <w:spacing w:val="-3"/>
        </w:rPr>
        <w:t> </w:t>
      </w:r>
      <w:r>
        <w:rPr>
          <w:color w:val="231F20"/>
        </w:rPr>
        <w:t>to calculate the net OPEB liability was determined by an actuarial valuation as of January 1, 2022.</w:t>
      </w:r>
    </w:p>
    <w:p>
      <w:pPr>
        <w:pStyle w:val="BodyText"/>
        <w:spacing w:before="5" w:after="1"/>
        <w:rPr>
          <w:sz w:val="23"/>
        </w:r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11"/>
        <w:gridCol w:w="1660"/>
      </w:tblGrid>
      <w:tr>
        <w:trPr>
          <w:trHeight w:val="355" w:hRule="atLeast"/>
        </w:trPr>
        <w:tc>
          <w:tcPr>
            <w:tcW w:w="7611" w:type="dxa"/>
          </w:tcPr>
          <w:p>
            <w:pPr>
              <w:pStyle w:val="TableParagraph"/>
              <w:spacing w:line="224" w:lineRule="exact"/>
              <w:ind w:left="50"/>
              <w:rPr>
                <w:sz w:val="20"/>
              </w:rPr>
            </w:pPr>
            <w:r>
              <w:rPr>
                <w:color w:val="231F20"/>
                <w:sz w:val="20"/>
              </w:rPr>
              <w:t>The</w:t>
            </w:r>
            <w:r>
              <w:rPr>
                <w:color w:val="231F20"/>
                <w:spacing w:val="-7"/>
                <w:sz w:val="20"/>
              </w:rPr>
              <w:t> </w:t>
            </w:r>
            <w:r>
              <w:rPr>
                <w:color w:val="231F20"/>
                <w:sz w:val="20"/>
              </w:rPr>
              <w:t>components</w:t>
            </w:r>
            <w:r>
              <w:rPr>
                <w:color w:val="231F20"/>
                <w:spacing w:val="-5"/>
                <w:sz w:val="20"/>
              </w:rPr>
              <w:t> </w:t>
            </w:r>
            <w:r>
              <w:rPr>
                <w:color w:val="231F20"/>
                <w:sz w:val="20"/>
              </w:rPr>
              <w:t>of</w:t>
            </w:r>
            <w:r>
              <w:rPr>
                <w:color w:val="231F20"/>
                <w:spacing w:val="-5"/>
                <w:sz w:val="20"/>
              </w:rPr>
              <w:t> </w:t>
            </w:r>
            <w:r>
              <w:rPr>
                <w:color w:val="231F20"/>
                <w:sz w:val="20"/>
              </w:rPr>
              <w:t>the</w:t>
            </w:r>
            <w:r>
              <w:rPr>
                <w:color w:val="231F20"/>
                <w:spacing w:val="-4"/>
                <w:sz w:val="20"/>
              </w:rPr>
              <w:t> </w:t>
            </w:r>
            <w:r>
              <w:rPr>
                <w:color w:val="231F20"/>
                <w:sz w:val="20"/>
              </w:rPr>
              <w:t>Institute’s</w:t>
            </w:r>
            <w:r>
              <w:rPr>
                <w:color w:val="231F20"/>
                <w:spacing w:val="-5"/>
                <w:sz w:val="20"/>
              </w:rPr>
              <w:t> </w:t>
            </w:r>
            <w:r>
              <w:rPr>
                <w:color w:val="231F20"/>
                <w:sz w:val="20"/>
              </w:rPr>
              <w:t>net</w:t>
            </w:r>
            <w:r>
              <w:rPr>
                <w:color w:val="231F20"/>
                <w:spacing w:val="-5"/>
                <w:sz w:val="20"/>
              </w:rPr>
              <w:t> </w:t>
            </w:r>
            <w:r>
              <w:rPr>
                <w:color w:val="231F20"/>
                <w:sz w:val="20"/>
              </w:rPr>
              <w:t>OPEB</w:t>
            </w:r>
            <w:r>
              <w:rPr>
                <w:color w:val="231F20"/>
                <w:spacing w:val="-4"/>
                <w:sz w:val="20"/>
              </w:rPr>
              <w:t> </w:t>
            </w:r>
            <w:r>
              <w:rPr>
                <w:color w:val="231F20"/>
                <w:sz w:val="20"/>
              </w:rPr>
              <w:t>liability</w:t>
            </w:r>
            <w:r>
              <w:rPr>
                <w:color w:val="231F20"/>
                <w:spacing w:val="-5"/>
                <w:sz w:val="20"/>
              </w:rPr>
              <w:t> </w:t>
            </w:r>
            <w:r>
              <w:rPr>
                <w:color w:val="231F20"/>
                <w:sz w:val="20"/>
              </w:rPr>
              <w:t>at</w:t>
            </w:r>
            <w:r>
              <w:rPr>
                <w:color w:val="231F20"/>
                <w:spacing w:val="-5"/>
                <w:sz w:val="20"/>
              </w:rPr>
              <w:t> </w:t>
            </w:r>
            <w:r>
              <w:rPr>
                <w:color w:val="231F20"/>
                <w:sz w:val="20"/>
              </w:rPr>
              <w:t>June</w:t>
            </w:r>
            <w:r>
              <w:rPr>
                <w:color w:val="231F20"/>
                <w:spacing w:val="-4"/>
                <w:sz w:val="20"/>
              </w:rPr>
              <w:t> </w:t>
            </w:r>
            <w:r>
              <w:rPr>
                <w:color w:val="231F20"/>
                <w:sz w:val="20"/>
              </w:rPr>
              <w:t>30,</w:t>
            </w:r>
            <w:r>
              <w:rPr>
                <w:color w:val="231F20"/>
                <w:spacing w:val="-5"/>
                <w:sz w:val="20"/>
              </w:rPr>
              <w:t> </w:t>
            </w:r>
            <w:r>
              <w:rPr>
                <w:color w:val="231F20"/>
                <w:sz w:val="20"/>
              </w:rPr>
              <w:t>were</w:t>
            </w:r>
            <w:r>
              <w:rPr>
                <w:color w:val="231F20"/>
                <w:spacing w:val="-5"/>
                <w:sz w:val="20"/>
              </w:rPr>
              <w:t> </w:t>
            </w:r>
            <w:r>
              <w:rPr>
                <w:color w:val="231F20"/>
                <w:sz w:val="20"/>
              </w:rPr>
              <w:t>as</w:t>
            </w:r>
            <w:r>
              <w:rPr>
                <w:color w:val="231F20"/>
                <w:spacing w:val="-4"/>
                <w:sz w:val="20"/>
              </w:rPr>
              <w:t> </w:t>
            </w:r>
            <w:r>
              <w:rPr>
                <w:color w:val="231F20"/>
                <w:spacing w:val="-2"/>
                <w:sz w:val="20"/>
              </w:rPr>
              <w:t>follows:</w:t>
            </w:r>
          </w:p>
        </w:tc>
        <w:tc>
          <w:tcPr>
            <w:tcW w:w="1660" w:type="dxa"/>
          </w:tcPr>
          <w:p>
            <w:pPr>
              <w:pStyle w:val="TableParagraph"/>
              <w:rPr>
                <w:rFonts w:ascii="Times New Roman"/>
                <w:sz w:val="20"/>
              </w:rPr>
            </w:pPr>
          </w:p>
        </w:tc>
      </w:tr>
      <w:tr>
        <w:trPr>
          <w:trHeight w:val="420" w:hRule="atLeast"/>
        </w:trPr>
        <w:tc>
          <w:tcPr>
            <w:tcW w:w="7611" w:type="dxa"/>
          </w:tcPr>
          <w:p>
            <w:pPr>
              <w:pStyle w:val="TableParagraph"/>
              <w:spacing w:before="125"/>
              <w:ind w:left="59"/>
              <w:rPr>
                <w:sz w:val="20"/>
              </w:rPr>
            </w:pPr>
            <w:r>
              <w:rPr>
                <w:color w:val="231F20"/>
                <w:spacing w:val="-18"/>
                <w:sz w:val="20"/>
                <w:u w:val="single" w:color="231F20"/>
              </w:rPr>
              <w:t> </w:t>
            </w:r>
            <w:r>
              <w:rPr>
                <w:color w:val="231F20"/>
                <w:sz w:val="20"/>
                <w:u w:val="single" w:color="231F20"/>
              </w:rPr>
              <w:t>Component</w:t>
            </w:r>
            <w:r>
              <w:rPr>
                <w:color w:val="231F20"/>
                <w:spacing w:val="-8"/>
                <w:sz w:val="20"/>
                <w:u w:val="single" w:color="231F20"/>
              </w:rPr>
              <w:t> </w:t>
            </w:r>
            <w:r>
              <w:rPr>
                <w:color w:val="231F20"/>
                <w:sz w:val="20"/>
                <w:u w:val="single" w:color="231F20"/>
              </w:rPr>
              <w:t>of</w:t>
            </w:r>
            <w:r>
              <w:rPr>
                <w:color w:val="231F20"/>
                <w:spacing w:val="-5"/>
                <w:sz w:val="20"/>
                <w:u w:val="single" w:color="231F20"/>
              </w:rPr>
              <w:t> </w:t>
            </w:r>
            <w:r>
              <w:rPr>
                <w:color w:val="231F20"/>
                <w:sz w:val="20"/>
                <w:u w:val="single" w:color="231F20"/>
              </w:rPr>
              <w:t>the</w:t>
            </w:r>
            <w:r>
              <w:rPr>
                <w:color w:val="231F20"/>
                <w:spacing w:val="-5"/>
                <w:sz w:val="20"/>
                <w:u w:val="single" w:color="231F20"/>
              </w:rPr>
              <w:t> </w:t>
            </w:r>
            <w:r>
              <w:rPr>
                <w:color w:val="231F20"/>
                <w:sz w:val="20"/>
                <w:u w:val="single" w:color="231F20"/>
              </w:rPr>
              <w:t>Institute's</w:t>
            </w:r>
            <w:r>
              <w:rPr>
                <w:color w:val="231F20"/>
                <w:spacing w:val="-5"/>
                <w:sz w:val="20"/>
                <w:u w:val="single" w:color="231F20"/>
              </w:rPr>
              <w:t> </w:t>
            </w:r>
            <w:r>
              <w:rPr>
                <w:color w:val="231F20"/>
                <w:sz w:val="20"/>
                <w:u w:val="single" w:color="231F20"/>
              </w:rPr>
              <w:t>Net</w:t>
            </w:r>
            <w:r>
              <w:rPr>
                <w:color w:val="231F20"/>
                <w:spacing w:val="-5"/>
                <w:sz w:val="20"/>
                <w:u w:val="single" w:color="231F20"/>
              </w:rPr>
              <w:t> </w:t>
            </w:r>
            <w:r>
              <w:rPr>
                <w:color w:val="231F20"/>
                <w:sz w:val="20"/>
                <w:u w:val="single" w:color="231F20"/>
              </w:rPr>
              <w:t>OPEB</w:t>
            </w:r>
            <w:r>
              <w:rPr>
                <w:color w:val="231F20"/>
                <w:spacing w:val="-4"/>
                <w:sz w:val="20"/>
                <w:u w:val="single" w:color="231F20"/>
              </w:rPr>
              <w:t> </w:t>
            </w:r>
            <w:r>
              <w:rPr>
                <w:color w:val="231F20"/>
                <w:spacing w:val="-2"/>
                <w:sz w:val="20"/>
                <w:u w:val="single" w:color="231F20"/>
              </w:rPr>
              <w:t>Liability</w:t>
            </w:r>
            <w:r>
              <w:rPr>
                <w:color w:val="231F20"/>
                <w:spacing w:val="80"/>
                <w:sz w:val="20"/>
                <w:u w:val="single" w:color="231F20"/>
              </w:rPr>
              <w:t> </w:t>
            </w:r>
          </w:p>
        </w:tc>
        <w:tc>
          <w:tcPr>
            <w:tcW w:w="1660" w:type="dxa"/>
          </w:tcPr>
          <w:p>
            <w:pPr>
              <w:pStyle w:val="TableParagraph"/>
              <w:spacing w:before="125"/>
              <w:ind w:left="-1"/>
              <w:jc w:val="center"/>
              <w:rPr>
                <w:sz w:val="20"/>
              </w:rPr>
            </w:pPr>
            <w:r>
              <w:rPr>
                <w:color w:val="231F20"/>
                <w:spacing w:val="45"/>
                <w:sz w:val="20"/>
                <w:u w:val="single" w:color="231F20"/>
              </w:rPr>
              <w:t>  </w:t>
            </w:r>
            <w:r>
              <w:rPr>
                <w:color w:val="231F20"/>
                <w:sz w:val="20"/>
                <w:u w:val="single" w:color="231F20"/>
              </w:rPr>
              <w:t>June</w:t>
            </w:r>
            <w:r>
              <w:rPr>
                <w:color w:val="231F20"/>
                <w:spacing w:val="-1"/>
                <w:sz w:val="20"/>
                <w:u w:val="single" w:color="231F20"/>
              </w:rPr>
              <w:t> </w:t>
            </w:r>
            <w:r>
              <w:rPr>
                <w:color w:val="231F20"/>
                <w:sz w:val="20"/>
                <w:u w:val="single" w:color="231F20"/>
              </w:rPr>
              <w:t>30,</w:t>
            </w:r>
            <w:r>
              <w:rPr>
                <w:color w:val="231F20"/>
                <w:spacing w:val="-1"/>
                <w:sz w:val="20"/>
                <w:u w:val="single" w:color="231F20"/>
              </w:rPr>
              <w:t> </w:t>
            </w:r>
            <w:r>
              <w:rPr>
                <w:color w:val="231F20"/>
                <w:spacing w:val="-4"/>
                <w:sz w:val="20"/>
                <w:u w:val="single" w:color="231F20"/>
              </w:rPr>
              <w:t>2022</w:t>
            </w:r>
            <w:r>
              <w:rPr>
                <w:color w:val="231F20"/>
                <w:spacing w:val="40"/>
                <w:sz w:val="20"/>
                <w:u w:val="single" w:color="231F20"/>
              </w:rPr>
              <w:t> </w:t>
            </w:r>
          </w:p>
        </w:tc>
      </w:tr>
      <w:tr>
        <w:trPr>
          <w:trHeight w:val="301" w:hRule="atLeast"/>
        </w:trPr>
        <w:tc>
          <w:tcPr>
            <w:tcW w:w="7611" w:type="dxa"/>
          </w:tcPr>
          <w:p>
            <w:pPr>
              <w:pStyle w:val="TableParagraph"/>
              <w:spacing w:line="223" w:lineRule="exact" w:before="58"/>
              <w:ind w:left="97"/>
              <w:rPr>
                <w:sz w:val="20"/>
              </w:rPr>
            </w:pPr>
            <w:r>
              <w:rPr>
                <w:color w:val="231F20"/>
                <w:sz w:val="20"/>
              </w:rPr>
              <w:t>Total</w:t>
            </w:r>
            <w:r>
              <w:rPr>
                <w:color w:val="231F20"/>
                <w:spacing w:val="-5"/>
                <w:sz w:val="20"/>
              </w:rPr>
              <w:t> </w:t>
            </w:r>
            <w:r>
              <w:rPr>
                <w:color w:val="231F20"/>
                <w:sz w:val="20"/>
              </w:rPr>
              <w:t>OPEB</w:t>
            </w:r>
            <w:r>
              <w:rPr>
                <w:color w:val="231F20"/>
                <w:spacing w:val="-4"/>
                <w:sz w:val="20"/>
              </w:rPr>
              <w:t> </w:t>
            </w:r>
            <w:r>
              <w:rPr>
                <w:color w:val="231F20"/>
                <w:spacing w:val="-2"/>
                <w:sz w:val="20"/>
              </w:rPr>
              <w:t>liability</w:t>
            </w:r>
          </w:p>
        </w:tc>
        <w:tc>
          <w:tcPr>
            <w:tcW w:w="1660" w:type="dxa"/>
          </w:tcPr>
          <w:p>
            <w:pPr>
              <w:pStyle w:val="TableParagraph"/>
              <w:tabs>
                <w:tab w:pos="444" w:val="left" w:leader="none"/>
              </w:tabs>
              <w:spacing w:line="223" w:lineRule="exact" w:before="58"/>
              <w:ind w:right="1"/>
              <w:jc w:val="center"/>
              <w:rPr>
                <w:sz w:val="20"/>
              </w:rPr>
            </w:pPr>
            <w:r>
              <w:rPr>
                <w:color w:val="231F20"/>
                <w:spacing w:val="-10"/>
                <w:sz w:val="20"/>
              </w:rPr>
              <w:t>$</w:t>
            </w:r>
            <w:r>
              <w:rPr>
                <w:color w:val="231F20"/>
                <w:sz w:val="20"/>
              </w:rPr>
              <w:tab/>
            </w:r>
            <w:r>
              <w:rPr>
                <w:color w:val="231F20"/>
                <w:spacing w:val="-2"/>
                <w:sz w:val="20"/>
              </w:rPr>
              <w:t>64,293,784</w:t>
            </w:r>
          </w:p>
        </w:tc>
      </w:tr>
      <w:tr>
        <w:trPr>
          <w:trHeight w:val="372" w:hRule="atLeast"/>
        </w:trPr>
        <w:tc>
          <w:tcPr>
            <w:tcW w:w="7611" w:type="dxa"/>
          </w:tcPr>
          <w:p>
            <w:pPr>
              <w:pStyle w:val="TableParagraph"/>
              <w:spacing w:before="6"/>
              <w:ind w:left="97"/>
              <w:rPr>
                <w:sz w:val="20"/>
              </w:rPr>
            </w:pPr>
            <w:r>
              <w:rPr>
                <w:color w:val="231F20"/>
                <w:sz w:val="20"/>
              </w:rPr>
              <w:t>Plan</w:t>
            </w:r>
            <w:r>
              <w:rPr>
                <w:color w:val="231F20"/>
                <w:spacing w:val="-5"/>
                <w:sz w:val="20"/>
              </w:rPr>
              <w:t> </w:t>
            </w:r>
            <w:r>
              <w:rPr>
                <w:color w:val="231F20"/>
                <w:sz w:val="20"/>
              </w:rPr>
              <w:t>fiduciary</w:t>
            </w:r>
            <w:r>
              <w:rPr>
                <w:color w:val="231F20"/>
                <w:spacing w:val="-3"/>
                <w:sz w:val="20"/>
              </w:rPr>
              <w:t> </w:t>
            </w:r>
            <w:r>
              <w:rPr>
                <w:color w:val="231F20"/>
                <w:sz w:val="20"/>
              </w:rPr>
              <w:t>net</w:t>
            </w:r>
            <w:r>
              <w:rPr>
                <w:color w:val="231F20"/>
                <w:spacing w:val="-2"/>
                <w:sz w:val="20"/>
              </w:rPr>
              <w:t> position</w:t>
            </w:r>
          </w:p>
        </w:tc>
        <w:tc>
          <w:tcPr>
            <w:tcW w:w="1660" w:type="dxa"/>
          </w:tcPr>
          <w:p>
            <w:pPr>
              <w:pStyle w:val="TableParagraph"/>
              <w:tabs>
                <w:tab w:pos="660" w:val="left" w:leader="none"/>
              </w:tabs>
              <w:spacing w:before="6"/>
              <w:ind w:left="-1"/>
              <w:jc w:val="center"/>
              <w:rPr>
                <w:sz w:val="20"/>
              </w:rPr>
            </w:pPr>
            <w:r>
              <w:rPr>
                <w:color w:val="231F20"/>
                <w:sz w:val="20"/>
                <w:u w:val="single" w:color="231F20"/>
              </w:rPr>
              <w:tab/>
            </w:r>
            <w:r>
              <w:rPr>
                <w:color w:val="231F20"/>
                <w:spacing w:val="-2"/>
                <w:sz w:val="20"/>
                <w:u w:val="single" w:color="231F20"/>
              </w:rPr>
              <w:t>5,040,082</w:t>
            </w:r>
            <w:r>
              <w:rPr>
                <w:color w:val="231F20"/>
                <w:spacing w:val="80"/>
                <w:sz w:val="20"/>
                <w:u w:val="single" w:color="231F20"/>
              </w:rPr>
              <w:t> </w:t>
            </w:r>
          </w:p>
        </w:tc>
      </w:tr>
      <w:tr>
        <w:trPr>
          <w:trHeight w:val="404" w:hRule="atLeast"/>
        </w:trPr>
        <w:tc>
          <w:tcPr>
            <w:tcW w:w="7611" w:type="dxa"/>
          </w:tcPr>
          <w:p>
            <w:pPr>
              <w:pStyle w:val="TableParagraph"/>
              <w:spacing w:before="129"/>
              <w:ind w:left="97"/>
              <w:rPr>
                <w:sz w:val="20"/>
              </w:rPr>
            </w:pPr>
            <w:r>
              <w:rPr>
                <w:color w:val="231F20"/>
                <w:sz w:val="20"/>
              </w:rPr>
              <w:t>The</w:t>
            </w:r>
            <w:r>
              <w:rPr>
                <w:color w:val="231F20"/>
                <w:spacing w:val="-6"/>
                <w:sz w:val="20"/>
              </w:rPr>
              <w:t> </w:t>
            </w:r>
            <w:r>
              <w:rPr>
                <w:color w:val="231F20"/>
                <w:sz w:val="20"/>
              </w:rPr>
              <w:t>Institute's</w:t>
            </w:r>
            <w:r>
              <w:rPr>
                <w:color w:val="231F20"/>
                <w:spacing w:val="-5"/>
                <w:sz w:val="20"/>
              </w:rPr>
              <w:t> </w:t>
            </w:r>
            <w:r>
              <w:rPr>
                <w:color w:val="231F20"/>
                <w:sz w:val="20"/>
              </w:rPr>
              <w:t>net</w:t>
            </w:r>
            <w:r>
              <w:rPr>
                <w:color w:val="231F20"/>
                <w:spacing w:val="-5"/>
                <w:sz w:val="20"/>
              </w:rPr>
              <w:t> </w:t>
            </w:r>
            <w:r>
              <w:rPr>
                <w:color w:val="231F20"/>
                <w:sz w:val="20"/>
              </w:rPr>
              <w:t>OPEB</w:t>
            </w:r>
            <w:r>
              <w:rPr>
                <w:color w:val="231F20"/>
                <w:spacing w:val="-5"/>
                <w:sz w:val="20"/>
              </w:rPr>
              <w:t> </w:t>
            </w:r>
            <w:r>
              <w:rPr>
                <w:color w:val="231F20"/>
                <w:spacing w:val="-2"/>
                <w:sz w:val="20"/>
              </w:rPr>
              <w:t>liability</w:t>
            </w:r>
          </w:p>
        </w:tc>
        <w:tc>
          <w:tcPr>
            <w:tcW w:w="1660" w:type="dxa"/>
            <w:tcBorders>
              <w:bottom w:val="single" w:sz="8" w:space="0" w:color="231F20"/>
            </w:tcBorders>
          </w:tcPr>
          <w:p>
            <w:pPr>
              <w:pStyle w:val="TableParagraph"/>
              <w:tabs>
                <w:tab w:pos="549" w:val="left" w:leader="none"/>
              </w:tabs>
              <w:spacing w:before="129"/>
              <w:ind w:left="-1"/>
              <w:jc w:val="center"/>
              <w:rPr>
                <w:sz w:val="20"/>
              </w:rPr>
            </w:pPr>
            <w:r>
              <w:rPr>
                <w:color w:val="231F20"/>
                <w:spacing w:val="47"/>
                <w:sz w:val="20"/>
                <w:u w:val="single" w:color="231F20"/>
              </w:rPr>
              <w:t> </w:t>
            </w:r>
            <w:r>
              <w:rPr>
                <w:color w:val="231F20"/>
                <w:spacing w:val="-12"/>
                <w:sz w:val="20"/>
                <w:u w:val="single" w:color="231F20"/>
              </w:rPr>
              <w:t>$</w:t>
            </w:r>
            <w:r>
              <w:rPr>
                <w:color w:val="231F20"/>
                <w:sz w:val="20"/>
                <w:u w:val="single" w:color="231F20"/>
              </w:rPr>
              <w:tab/>
            </w:r>
            <w:r>
              <w:rPr>
                <w:color w:val="231F20"/>
                <w:spacing w:val="-2"/>
                <w:sz w:val="20"/>
                <w:u w:val="single" w:color="231F20"/>
              </w:rPr>
              <w:t>59,253,702</w:t>
            </w:r>
            <w:r>
              <w:rPr>
                <w:color w:val="231F20"/>
                <w:spacing w:val="80"/>
                <w:sz w:val="20"/>
                <w:u w:val="single" w:color="231F20"/>
              </w:rPr>
              <w:t> </w:t>
            </w:r>
          </w:p>
        </w:tc>
      </w:tr>
      <w:tr>
        <w:trPr>
          <w:trHeight w:val="510" w:hRule="atLeast"/>
        </w:trPr>
        <w:tc>
          <w:tcPr>
            <w:tcW w:w="7611" w:type="dxa"/>
          </w:tcPr>
          <w:p>
            <w:pPr>
              <w:pStyle w:val="TableParagraph"/>
              <w:spacing w:before="5"/>
              <w:rPr>
                <w:sz w:val="20"/>
              </w:rPr>
            </w:pPr>
          </w:p>
          <w:p>
            <w:pPr>
              <w:pStyle w:val="TableParagraph"/>
              <w:ind w:left="97"/>
              <w:rPr>
                <w:sz w:val="20"/>
              </w:rPr>
            </w:pPr>
            <w:r>
              <w:rPr>
                <w:color w:val="231F20"/>
                <w:sz w:val="20"/>
              </w:rPr>
              <w:t>Plan</w:t>
            </w:r>
            <w:r>
              <w:rPr>
                <w:color w:val="231F20"/>
                <w:spacing w:val="-7"/>
                <w:sz w:val="20"/>
              </w:rPr>
              <w:t> </w:t>
            </w:r>
            <w:r>
              <w:rPr>
                <w:color w:val="231F20"/>
                <w:sz w:val="20"/>
              </w:rPr>
              <w:t>fiduciary</w:t>
            </w:r>
            <w:r>
              <w:rPr>
                <w:color w:val="231F20"/>
                <w:spacing w:val="-5"/>
                <w:sz w:val="20"/>
              </w:rPr>
              <w:t> </w:t>
            </w:r>
            <w:r>
              <w:rPr>
                <w:color w:val="231F20"/>
                <w:sz w:val="20"/>
              </w:rPr>
              <w:t>net</w:t>
            </w:r>
            <w:r>
              <w:rPr>
                <w:color w:val="231F20"/>
                <w:spacing w:val="-5"/>
                <w:sz w:val="20"/>
              </w:rPr>
              <w:t> </w:t>
            </w:r>
            <w:r>
              <w:rPr>
                <w:color w:val="231F20"/>
                <w:sz w:val="20"/>
              </w:rPr>
              <w:t>position</w:t>
            </w:r>
            <w:r>
              <w:rPr>
                <w:color w:val="231F20"/>
                <w:spacing w:val="-5"/>
                <w:sz w:val="20"/>
              </w:rPr>
              <w:t> </w:t>
            </w:r>
            <w:r>
              <w:rPr>
                <w:color w:val="231F20"/>
                <w:sz w:val="20"/>
              </w:rPr>
              <w:t>as</w:t>
            </w:r>
            <w:r>
              <w:rPr>
                <w:color w:val="231F20"/>
                <w:spacing w:val="-4"/>
                <w:sz w:val="20"/>
              </w:rPr>
              <w:t> </w:t>
            </w:r>
            <w:r>
              <w:rPr>
                <w:color w:val="231F20"/>
                <w:sz w:val="20"/>
              </w:rPr>
              <w:t>a</w:t>
            </w:r>
            <w:r>
              <w:rPr>
                <w:color w:val="231F20"/>
                <w:spacing w:val="-5"/>
                <w:sz w:val="20"/>
              </w:rPr>
              <w:t> </w:t>
            </w:r>
            <w:r>
              <w:rPr>
                <w:color w:val="231F20"/>
                <w:sz w:val="20"/>
              </w:rPr>
              <w:t>percentage</w:t>
            </w:r>
            <w:r>
              <w:rPr>
                <w:color w:val="231F20"/>
                <w:spacing w:val="-5"/>
                <w:sz w:val="20"/>
              </w:rPr>
              <w:t> </w:t>
            </w:r>
            <w:r>
              <w:rPr>
                <w:color w:val="231F20"/>
                <w:sz w:val="20"/>
              </w:rPr>
              <w:t>of</w:t>
            </w:r>
            <w:r>
              <w:rPr>
                <w:color w:val="231F20"/>
                <w:spacing w:val="-5"/>
                <w:sz w:val="20"/>
              </w:rPr>
              <w:t> </w:t>
            </w:r>
            <w:r>
              <w:rPr>
                <w:color w:val="231F20"/>
                <w:sz w:val="20"/>
              </w:rPr>
              <w:t>total</w:t>
            </w:r>
            <w:r>
              <w:rPr>
                <w:color w:val="231F20"/>
                <w:spacing w:val="-5"/>
                <w:sz w:val="20"/>
              </w:rPr>
              <w:t> </w:t>
            </w:r>
            <w:r>
              <w:rPr>
                <w:color w:val="231F20"/>
                <w:sz w:val="20"/>
              </w:rPr>
              <w:t>OPEB</w:t>
            </w:r>
            <w:r>
              <w:rPr>
                <w:color w:val="231F20"/>
                <w:spacing w:val="-4"/>
                <w:sz w:val="20"/>
              </w:rPr>
              <w:t> </w:t>
            </w:r>
            <w:r>
              <w:rPr>
                <w:color w:val="231F20"/>
                <w:spacing w:val="-2"/>
                <w:sz w:val="20"/>
              </w:rPr>
              <w:t>liability</w:t>
            </w:r>
          </w:p>
        </w:tc>
        <w:tc>
          <w:tcPr>
            <w:tcW w:w="1660" w:type="dxa"/>
            <w:tcBorders>
              <w:top w:val="single" w:sz="8" w:space="0" w:color="231F20"/>
              <w:bottom w:val="single" w:sz="8" w:space="0" w:color="231F20"/>
            </w:tcBorders>
          </w:tcPr>
          <w:p>
            <w:pPr>
              <w:pStyle w:val="TableParagraph"/>
              <w:spacing w:before="5"/>
              <w:rPr>
                <w:sz w:val="20"/>
              </w:rPr>
            </w:pPr>
          </w:p>
          <w:p>
            <w:pPr>
              <w:pStyle w:val="TableParagraph"/>
              <w:tabs>
                <w:tab w:pos="1326" w:val="left" w:leader="none"/>
              </w:tabs>
              <w:ind w:left="-1" w:right="41"/>
              <w:jc w:val="center"/>
              <w:rPr>
                <w:sz w:val="20"/>
              </w:rPr>
            </w:pPr>
            <w:r>
              <w:rPr>
                <w:color w:val="231F20"/>
                <w:sz w:val="20"/>
                <w:u w:val="single" w:color="231F20"/>
              </w:rPr>
              <w:tab/>
            </w:r>
            <w:r>
              <w:rPr>
                <w:color w:val="231F20"/>
                <w:spacing w:val="-5"/>
                <w:sz w:val="20"/>
                <w:u w:val="single" w:color="231F20"/>
              </w:rPr>
              <w:t>8%</w:t>
            </w:r>
          </w:p>
        </w:tc>
      </w:tr>
    </w:tbl>
    <w:p>
      <w:pPr>
        <w:spacing w:after="0"/>
        <w:jc w:val="center"/>
        <w:rPr>
          <w:sz w:val="20"/>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8</w:t>
      </w:r>
      <w:r>
        <w:rPr>
          <w:color w:val="231F20"/>
          <w:spacing w:val="-4"/>
        </w:rPr>
        <w:t> </w:t>
      </w:r>
      <w:r>
        <w:rPr>
          <w:color w:val="231F20"/>
        </w:rPr>
        <w:t>–</w:t>
      </w:r>
      <w:r>
        <w:rPr>
          <w:color w:val="231F20"/>
          <w:spacing w:val="-5"/>
        </w:rPr>
        <w:t> </w:t>
      </w:r>
      <w:r>
        <w:rPr>
          <w:color w:val="231F20"/>
        </w:rPr>
        <w:t>Other</w:t>
      </w:r>
      <w:r>
        <w:rPr>
          <w:color w:val="231F20"/>
          <w:spacing w:val="-4"/>
        </w:rPr>
        <w:t> </w:t>
      </w:r>
      <w:r>
        <w:rPr>
          <w:color w:val="231F20"/>
        </w:rPr>
        <w:t>Postemployment</w:t>
      </w:r>
      <w:r>
        <w:rPr>
          <w:color w:val="231F20"/>
          <w:spacing w:val="-6"/>
        </w:rPr>
        <w:t> </w:t>
      </w:r>
      <w:r>
        <w:rPr>
          <w:color w:val="231F20"/>
        </w:rPr>
        <w:t>Benefits</w:t>
      </w:r>
      <w:r>
        <w:rPr>
          <w:color w:val="231F20"/>
          <w:spacing w:val="-4"/>
        </w:rPr>
        <w:t> </w:t>
      </w:r>
      <w:r>
        <w:rPr>
          <w:color w:val="231F20"/>
        </w:rPr>
        <w:t>Plan</w:t>
      </w:r>
      <w:r>
        <w:rPr>
          <w:color w:val="231F20"/>
          <w:spacing w:val="-4"/>
        </w:rPr>
        <w:t> </w:t>
      </w:r>
      <w:r>
        <w:rPr>
          <w:color w:val="231F20"/>
          <w:spacing w:val="-2"/>
        </w:rPr>
        <w:t>(continued)</w:t>
      </w:r>
    </w:p>
    <w:p>
      <w:pPr>
        <w:pStyle w:val="BodyText"/>
        <w:rPr>
          <w:b/>
          <w:sz w:val="26"/>
        </w:rPr>
      </w:pPr>
    </w:p>
    <w:p>
      <w:pPr>
        <w:spacing w:before="0"/>
        <w:ind w:left="1440" w:right="0" w:firstLine="0"/>
        <w:jc w:val="left"/>
        <w:rPr>
          <w:b/>
          <w:sz w:val="20"/>
        </w:rPr>
      </w:pPr>
      <w:r>
        <w:rPr>
          <w:b/>
          <w:color w:val="231F20"/>
          <w:sz w:val="20"/>
        </w:rPr>
        <w:t>Actuarial</w:t>
      </w:r>
      <w:r>
        <w:rPr>
          <w:b/>
          <w:color w:val="231F20"/>
          <w:spacing w:val="-7"/>
          <w:sz w:val="20"/>
        </w:rPr>
        <w:t> </w:t>
      </w:r>
      <w:r>
        <w:rPr>
          <w:b/>
          <w:color w:val="231F20"/>
          <w:sz w:val="20"/>
        </w:rPr>
        <w:t>Methods</w:t>
      </w:r>
      <w:r>
        <w:rPr>
          <w:b/>
          <w:color w:val="231F20"/>
          <w:spacing w:val="-7"/>
          <w:sz w:val="20"/>
        </w:rPr>
        <w:t> </w:t>
      </w:r>
      <w:r>
        <w:rPr>
          <w:b/>
          <w:color w:val="231F20"/>
          <w:sz w:val="20"/>
        </w:rPr>
        <w:t>and</w:t>
      </w:r>
      <w:r>
        <w:rPr>
          <w:b/>
          <w:color w:val="231F20"/>
          <w:spacing w:val="-6"/>
          <w:sz w:val="20"/>
        </w:rPr>
        <w:t> </w:t>
      </w:r>
      <w:r>
        <w:rPr>
          <w:b/>
          <w:color w:val="231F20"/>
          <w:spacing w:val="-2"/>
          <w:sz w:val="20"/>
        </w:rPr>
        <w:t>Assumptions</w:t>
      </w:r>
    </w:p>
    <w:p>
      <w:pPr>
        <w:pStyle w:val="BodyText"/>
        <w:spacing w:line="276" w:lineRule="auto" w:before="35"/>
        <w:ind w:left="1440" w:right="891"/>
      </w:pPr>
      <w:r>
        <w:rPr>
          <w:color w:val="231F20"/>
        </w:rPr>
        <w:t>Projections of benefits for financial reporting purposes are based on the substantive plan (the plan as understood</w:t>
      </w:r>
      <w:r>
        <w:rPr>
          <w:color w:val="231F20"/>
          <w:spacing w:val="-3"/>
        </w:rPr>
        <w:t> </w:t>
      </w:r>
      <w:r>
        <w:rPr>
          <w:color w:val="231F20"/>
        </w:rPr>
        <w:t>by</w:t>
      </w:r>
      <w:r>
        <w:rPr>
          <w:color w:val="231F20"/>
          <w:spacing w:val="-2"/>
        </w:rPr>
        <w:t> </w:t>
      </w:r>
      <w:r>
        <w:rPr>
          <w:color w:val="231F20"/>
        </w:rPr>
        <w:t>the</w:t>
      </w:r>
      <w:r>
        <w:rPr>
          <w:color w:val="231F20"/>
          <w:spacing w:val="-3"/>
        </w:rPr>
        <w:t> </w:t>
      </w:r>
      <w:r>
        <w:rPr>
          <w:color w:val="231F20"/>
        </w:rPr>
        <w:t>employer</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plan</w:t>
      </w:r>
      <w:r>
        <w:rPr>
          <w:color w:val="231F20"/>
          <w:spacing w:val="-3"/>
        </w:rPr>
        <w:t> </w:t>
      </w:r>
      <w:r>
        <w:rPr>
          <w:color w:val="231F20"/>
        </w:rPr>
        <w:t>members)</w:t>
      </w:r>
      <w:r>
        <w:rPr>
          <w:color w:val="231F20"/>
          <w:spacing w:val="-4"/>
        </w:rPr>
        <w:t> </w:t>
      </w:r>
      <w:r>
        <w:rPr>
          <w:color w:val="231F20"/>
        </w:rPr>
        <w:t>and</w:t>
      </w:r>
      <w:r>
        <w:rPr>
          <w:color w:val="231F20"/>
          <w:spacing w:val="-1"/>
        </w:rPr>
        <w:t> </w:t>
      </w:r>
      <w:r>
        <w:rPr>
          <w:color w:val="231F20"/>
        </w:rPr>
        <w:t>include</w:t>
      </w:r>
      <w:r>
        <w:rPr>
          <w:color w:val="231F20"/>
          <w:spacing w:val="-3"/>
        </w:rPr>
        <w:t> </w:t>
      </w:r>
      <w:r>
        <w:rPr>
          <w:color w:val="231F20"/>
        </w:rPr>
        <w:t>the</w:t>
      </w:r>
      <w:r>
        <w:rPr>
          <w:color w:val="231F20"/>
          <w:spacing w:val="-3"/>
        </w:rPr>
        <w:t> </w:t>
      </w:r>
      <w:r>
        <w:rPr>
          <w:color w:val="231F20"/>
        </w:rPr>
        <w:t>types</w:t>
      </w:r>
      <w:r>
        <w:rPr>
          <w:color w:val="231F20"/>
          <w:spacing w:val="-3"/>
        </w:rPr>
        <w:t> </w:t>
      </w:r>
      <w:r>
        <w:rPr>
          <w:color w:val="231F20"/>
        </w:rPr>
        <w:t>of</w:t>
      </w:r>
      <w:r>
        <w:rPr>
          <w:color w:val="231F20"/>
          <w:spacing w:val="-3"/>
        </w:rPr>
        <w:t> </w:t>
      </w:r>
      <w:r>
        <w:rPr>
          <w:color w:val="231F20"/>
        </w:rPr>
        <w:t>benefits</w:t>
      </w:r>
      <w:r>
        <w:rPr>
          <w:color w:val="231F20"/>
          <w:spacing w:val="-3"/>
        </w:rPr>
        <w:t> </w:t>
      </w:r>
      <w:r>
        <w:rPr>
          <w:color w:val="231F20"/>
        </w:rPr>
        <w:t>provided</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time of each valuation and the historical pattern of sharing of benefit costs between the employer and plan members to that point.</w:t>
      </w:r>
    </w:p>
    <w:p>
      <w:pPr>
        <w:pStyle w:val="BodyText"/>
        <w:spacing w:before="11"/>
        <w:rPr>
          <w:sz w:val="22"/>
        </w:rPr>
      </w:pPr>
    </w:p>
    <w:p>
      <w:pPr>
        <w:pStyle w:val="BodyText"/>
        <w:spacing w:line="276" w:lineRule="auto"/>
        <w:ind w:left="1440" w:right="1505"/>
      </w:pPr>
      <w:r>
        <w:rPr>
          <w:color w:val="231F20"/>
        </w:rPr>
        <w:t>The</w:t>
      </w:r>
      <w:r>
        <w:rPr>
          <w:color w:val="231F20"/>
          <w:spacing w:val="-3"/>
        </w:rPr>
        <w:t> </w:t>
      </w:r>
      <w:r>
        <w:rPr>
          <w:color w:val="231F20"/>
        </w:rPr>
        <w:t>total</w:t>
      </w:r>
      <w:r>
        <w:rPr>
          <w:color w:val="231F20"/>
          <w:spacing w:val="-3"/>
        </w:rPr>
        <w:t> </w:t>
      </w:r>
      <w:r>
        <w:rPr>
          <w:color w:val="231F20"/>
        </w:rPr>
        <w:t>OPEB</w:t>
      </w:r>
      <w:r>
        <w:rPr>
          <w:color w:val="231F20"/>
          <w:spacing w:val="-3"/>
        </w:rPr>
        <w:t> </w:t>
      </w:r>
      <w:r>
        <w:rPr>
          <w:color w:val="231F20"/>
        </w:rPr>
        <w:t>liability</w:t>
      </w:r>
      <w:r>
        <w:rPr>
          <w:color w:val="231F20"/>
          <w:spacing w:val="-3"/>
        </w:rPr>
        <w:t> </w:t>
      </w:r>
      <w:r>
        <w:rPr>
          <w:color w:val="231F20"/>
        </w:rPr>
        <w:t>was</w:t>
      </w:r>
      <w:r>
        <w:rPr>
          <w:color w:val="231F20"/>
          <w:spacing w:val="-3"/>
        </w:rPr>
        <w:t> </w:t>
      </w:r>
      <w:r>
        <w:rPr>
          <w:color w:val="231F20"/>
        </w:rPr>
        <w:t>determined</w:t>
      </w:r>
      <w:r>
        <w:rPr>
          <w:color w:val="231F20"/>
          <w:spacing w:val="-3"/>
        </w:rPr>
        <w:t> </w:t>
      </w:r>
      <w:r>
        <w:rPr>
          <w:color w:val="231F20"/>
        </w:rPr>
        <w:t>by</w:t>
      </w:r>
      <w:r>
        <w:rPr>
          <w:color w:val="231F20"/>
          <w:spacing w:val="-3"/>
        </w:rPr>
        <w:t> </w:t>
      </w:r>
      <w:r>
        <w:rPr>
          <w:color w:val="231F20"/>
        </w:rPr>
        <w:t>an</w:t>
      </w:r>
      <w:r>
        <w:rPr>
          <w:color w:val="231F20"/>
          <w:spacing w:val="-3"/>
        </w:rPr>
        <w:t> </w:t>
      </w:r>
      <w:r>
        <w:rPr>
          <w:color w:val="231F20"/>
        </w:rPr>
        <w:t>actuarial</w:t>
      </w:r>
      <w:r>
        <w:rPr>
          <w:color w:val="231F20"/>
          <w:spacing w:val="-3"/>
        </w:rPr>
        <w:t> </w:t>
      </w:r>
      <w:r>
        <w:rPr>
          <w:color w:val="231F20"/>
        </w:rPr>
        <w:t>valuation</w:t>
      </w:r>
      <w:r>
        <w:rPr>
          <w:color w:val="231F20"/>
          <w:spacing w:val="-4"/>
        </w:rPr>
        <w:t> </w:t>
      </w:r>
      <w:r>
        <w:rPr>
          <w:color w:val="231F20"/>
        </w:rPr>
        <w:t>as</w:t>
      </w:r>
      <w:r>
        <w:rPr>
          <w:color w:val="231F20"/>
          <w:spacing w:val="-2"/>
        </w:rPr>
        <w:t> </w:t>
      </w:r>
      <w:r>
        <w:rPr>
          <w:color w:val="231F20"/>
        </w:rPr>
        <w:t>of</w:t>
      </w:r>
      <w:r>
        <w:rPr>
          <w:color w:val="231F20"/>
          <w:spacing w:val="-3"/>
        </w:rPr>
        <w:t> </w:t>
      </w:r>
      <w:r>
        <w:rPr>
          <w:color w:val="231F20"/>
        </w:rPr>
        <w:t>January</w:t>
      </w:r>
      <w:r>
        <w:rPr>
          <w:color w:val="231F20"/>
          <w:spacing w:val="-3"/>
        </w:rPr>
        <w:t> </w:t>
      </w:r>
      <w:r>
        <w:rPr>
          <w:color w:val="231F20"/>
        </w:rPr>
        <w:t>1,</w:t>
      </w:r>
      <w:r>
        <w:rPr>
          <w:color w:val="231F20"/>
          <w:spacing w:val="-3"/>
        </w:rPr>
        <w:t> </w:t>
      </w:r>
      <w:r>
        <w:rPr>
          <w:color w:val="231F20"/>
        </w:rPr>
        <w:t>2022,</w:t>
      </w:r>
      <w:r>
        <w:rPr>
          <w:color w:val="231F20"/>
          <w:spacing w:val="-3"/>
        </w:rPr>
        <w:t> </w:t>
      </w:r>
      <w:r>
        <w:rPr>
          <w:color w:val="231F20"/>
        </w:rPr>
        <w:t>using</w:t>
      </w:r>
      <w:r>
        <w:rPr>
          <w:color w:val="231F20"/>
          <w:spacing w:val="-3"/>
        </w:rPr>
        <w:t> </w:t>
      </w:r>
      <w:r>
        <w:rPr>
          <w:color w:val="231F20"/>
        </w:rPr>
        <w:t>the following actuarial assumptions, applied to all prior periods included in the measurement, unless otherwise specified:</w:t>
      </w:r>
    </w:p>
    <w:p>
      <w:pPr>
        <w:pStyle w:val="BodyText"/>
        <w:spacing w:before="10"/>
        <w:rPr>
          <w:sz w:val="22"/>
        </w:rPr>
      </w:pPr>
    </w:p>
    <w:p>
      <w:pPr>
        <w:pStyle w:val="BodyText"/>
        <w:tabs>
          <w:tab w:pos="5039" w:val="left" w:leader="none"/>
        </w:tabs>
        <w:ind w:left="2160"/>
      </w:pPr>
      <w:r>
        <w:rPr>
          <w:color w:val="231F20"/>
        </w:rPr>
        <w:t>Salary</w:t>
      </w:r>
      <w:r>
        <w:rPr>
          <w:color w:val="231F20"/>
          <w:spacing w:val="-6"/>
        </w:rPr>
        <w:t> </w:t>
      </w:r>
      <w:r>
        <w:rPr>
          <w:color w:val="231F20"/>
          <w:spacing w:val="-2"/>
        </w:rPr>
        <w:t>increases</w:t>
      </w:r>
      <w:r>
        <w:rPr>
          <w:color w:val="231F20"/>
        </w:rPr>
        <w:tab/>
      </w:r>
      <w:r>
        <w:rPr>
          <w:color w:val="231F20"/>
          <w:spacing w:val="-4"/>
        </w:rPr>
        <w:t>3.0%</w:t>
      </w:r>
    </w:p>
    <w:p>
      <w:pPr>
        <w:pStyle w:val="BodyText"/>
        <w:tabs>
          <w:tab w:pos="5038" w:val="left" w:leader="none"/>
        </w:tabs>
        <w:spacing w:before="36"/>
        <w:ind w:left="2160"/>
      </w:pPr>
      <w:r>
        <w:rPr>
          <w:color w:val="231F20"/>
        </w:rPr>
        <w:t>Investment</w:t>
      </w:r>
      <w:r>
        <w:rPr>
          <w:color w:val="231F20"/>
          <w:spacing w:val="-6"/>
        </w:rPr>
        <w:t> </w:t>
      </w:r>
      <w:r>
        <w:rPr>
          <w:color w:val="231F20"/>
        </w:rPr>
        <w:t>rate</w:t>
      </w:r>
      <w:r>
        <w:rPr>
          <w:color w:val="231F20"/>
          <w:spacing w:val="-5"/>
        </w:rPr>
        <w:t> </w:t>
      </w:r>
      <w:r>
        <w:rPr>
          <w:color w:val="231F20"/>
        </w:rPr>
        <w:t>of</w:t>
      </w:r>
      <w:r>
        <w:rPr>
          <w:color w:val="231F20"/>
          <w:spacing w:val="-5"/>
        </w:rPr>
        <w:t> </w:t>
      </w:r>
      <w:r>
        <w:rPr>
          <w:color w:val="231F20"/>
          <w:spacing w:val="-2"/>
        </w:rPr>
        <w:t>return</w:t>
      </w:r>
      <w:r>
        <w:rPr>
          <w:color w:val="231F20"/>
        </w:rPr>
        <w:tab/>
      </w:r>
      <w:r>
        <w:rPr>
          <w:color w:val="231F20"/>
          <w:spacing w:val="-4"/>
        </w:rPr>
        <w:t>6.0%</w:t>
      </w:r>
    </w:p>
    <w:p>
      <w:pPr>
        <w:pStyle w:val="BodyText"/>
        <w:tabs>
          <w:tab w:pos="5037" w:val="left" w:leader="none"/>
        </w:tabs>
        <w:spacing w:line="276" w:lineRule="auto" w:before="34"/>
        <w:ind w:left="5040" w:right="919" w:hanging="2881"/>
      </w:pPr>
      <w:r>
        <w:rPr>
          <w:color w:val="231F20"/>
        </w:rPr>
        <w:t>Healthcare cost trend rates</w:t>
        <w:tab/>
        <w:t>Medical</w:t>
      </w:r>
      <w:r>
        <w:rPr>
          <w:color w:val="231F20"/>
          <w:spacing w:val="-6"/>
        </w:rPr>
        <w:t> </w:t>
      </w:r>
      <w:r>
        <w:rPr>
          <w:color w:val="231F20"/>
        </w:rPr>
        <w:t>Pre-Medicare:</w:t>
      </w:r>
      <w:r>
        <w:rPr>
          <w:color w:val="231F20"/>
          <w:spacing w:val="-6"/>
        </w:rPr>
        <w:t> </w:t>
      </w:r>
      <w:r>
        <w:rPr>
          <w:color w:val="231F20"/>
        </w:rPr>
        <w:t>7.00%</w:t>
      </w:r>
      <w:r>
        <w:rPr>
          <w:color w:val="231F20"/>
          <w:spacing w:val="-6"/>
        </w:rPr>
        <w:t> </w:t>
      </w:r>
      <w:r>
        <w:rPr>
          <w:color w:val="231F20"/>
        </w:rPr>
        <w:t>initially,</w:t>
      </w:r>
      <w:r>
        <w:rPr>
          <w:color w:val="231F20"/>
          <w:spacing w:val="-6"/>
        </w:rPr>
        <w:t> </w:t>
      </w:r>
      <w:r>
        <w:rPr>
          <w:color w:val="231F20"/>
        </w:rPr>
        <w:t>reduced</w:t>
      </w:r>
      <w:r>
        <w:rPr>
          <w:color w:val="231F20"/>
          <w:spacing w:val="-6"/>
        </w:rPr>
        <w:t> </w:t>
      </w:r>
      <w:r>
        <w:rPr>
          <w:color w:val="231F20"/>
        </w:rPr>
        <w:t>by</w:t>
      </w:r>
      <w:r>
        <w:rPr>
          <w:color w:val="231F20"/>
          <w:spacing w:val="-5"/>
        </w:rPr>
        <w:t> </w:t>
      </w:r>
      <w:r>
        <w:rPr>
          <w:color w:val="231F20"/>
        </w:rPr>
        <w:t>decrements</w:t>
      </w:r>
      <w:r>
        <w:rPr>
          <w:color w:val="231F20"/>
          <w:spacing w:val="-6"/>
        </w:rPr>
        <w:t> </w:t>
      </w:r>
      <w:r>
        <w:rPr>
          <w:color w:val="231F20"/>
        </w:rPr>
        <w:t>to a rate of 4.50% after nine years</w:t>
      </w:r>
    </w:p>
    <w:p>
      <w:pPr>
        <w:pStyle w:val="BodyText"/>
        <w:spacing w:line="276" w:lineRule="auto"/>
        <w:ind w:left="5040" w:right="1505"/>
      </w:pPr>
      <w:r>
        <w:rPr>
          <w:color w:val="231F20"/>
        </w:rPr>
        <w:t>Medical</w:t>
      </w:r>
      <w:r>
        <w:rPr>
          <w:color w:val="231F20"/>
          <w:spacing w:val="-7"/>
        </w:rPr>
        <w:t> </w:t>
      </w:r>
      <w:r>
        <w:rPr>
          <w:color w:val="231F20"/>
        </w:rPr>
        <w:t>Post-Medicare:</w:t>
      </w:r>
      <w:r>
        <w:rPr>
          <w:color w:val="231F20"/>
          <w:spacing w:val="-7"/>
        </w:rPr>
        <w:t> </w:t>
      </w:r>
      <w:r>
        <w:rPr>
          <w:color w:val="231F20"/>
        </w:rPr>
        <w:t>6.50%</w:t>
      </w:r>
      <w:r>
        <w:rPr>
          <w:color w:val="231F20"/>
          <w:spacing w:val="-7"/>
        </w:rPr>
        <w:t> </w:t>
      </w:r>
      <w:r>
        <w:rPr>
          <w:color w:val="231F20"/>
        </w:rPr>
        <w:t>%</w:t>
      </w:r>
      <w:r>
        <w:rPr>
          <w:color w:val="231F20"/>
          <w:spacing w:val="-7"/>
        </w:rPr>
        <w:t> </w:t>
      </w:r>
      <w:r>
        <w:rPr>
          <w:color w:val="231F20"/>
        </w:rPr>
        <w:t>initially,</w:t>
      </w:r>
      <w:r>
        <w:rPr>
          <w:color w:val="231F20"/>
          <w:spacing w:val="-7"/>
        </w:rPr>
        <w:t> </w:t>
      </w:r>
      <w:r>
        <w:rPr>
          <w:color w:val="231F20"/>
        </w:rPr>
        <w:t>reduced</w:t>
      </w:r>
      <w:r>
        <w:rPr>
          <w:color w:val="231F20"/>
          <w:spacing w:val="-7"/>
        </w:rPr>
        <w:t> </w:t>
      </w:r>
      <w:r>
        <w:rPr>
          <w:color w:val="231F20"/>
        </w:rPr>
        <w:t>by decrements to a rate of 4.50% after nine years</w:t>
      </w:r>
    </w:p>
    <w:p>
      <w:pPr>
        <w:pStyle w:val="BodyText"/>
        <w:spacing w:line="276" w:lineRule="auto"/>
        <w:ind w:left="5040" w:right="1048"/>
      </w:pPr>
      <w:r>
        <w:rPr>
          <w:color w:val="231F20"/>
        </w:rPr>
        <w:t>Pharmacy:</w:t>
      </w:r>
      <w:r>
        <w:rPr>
          <w:color w:val="231F20"/>
          <w:spacing w:val="-5"/>
        </w:rPr>
        <w:t> </w:t>
      </w:r>
      <w:r>
        <w:rPr>
          <w:color w:val="231F20"/>
        </w:rPr>
        <w:t>8.500%</w:t>
      </w:r>
      <w:r>
        <w:rPr>
          <w:color w:val="231F20"/>
          <w:spacing w:val="-5"/>
        </w:rPr>
        <w:t> </w:t>
      </w:r>
      <w:r>
        <w:rPr>
          <w:color w:val="231F20"/>
        </w:rPr>
        <w:t>initially,</w:t>
      </w:r>
      <w:r>
        <w:rPr>
          <w:color w:val="231F20"/>
          <w:spacing w:val="-6"/>
        </w:rPr>
        <w:t> </w:t>
      </w:r>
      <w:r>
        <w:rPr>
          <w:color w:val="231F20"/>
        </w:rPr>
        <w:t>reduced</w:t>
      </w:r>
      <w:r>
        <w:rPr>
          <w:color w:val="231F20"/>
          <w:spacing w:val="-5"/>
        </w:rPr>
        <w:t> </w:t>
      </w:r>
      <w:r>
        <w:rPr>
          <w:color w:val="231F20"/>
        </w:rPr>
        <w:t>by</w:t>
      </w:r>
      <w:r>
        <w:rPr>
          <w:color w:val="231F20"/>
          <w:spacing w:val="-4"/>
        </w:rPr>
        <w:t> </w:t>
      </w:r>
      <w:r>
        <w:rPr>
          <w:color w:val="231F20"/>
        </w:rPr>
        <w:t>decrement</w:t>
      </w:r>
      <w:r>
        <w:rPr>
          <w:color w:val="231F20"/>
          <w:spacing w:val="-5"/>
        </w:rPr>
        <w:t> </w:t>
      </w:r>
      <w:r>
        <w:rPr>
          <w:color w:val="231F20"/>
        </w:rPr>
        <w:t>to</w:t>
      </w:r>
      <w:r>
        <w:rPr>
          <w:color w:val="231F20"/>
          <w:spacing w:val="-5"/>
        </w:rPr>
        <w:t> </w:t>
      </w:r>
      <w:r>
        <w:rPr>
          <w:color w:val="231F20"/>
        </w:rPr>
        <w:t>a</w:t>
      </w:r>
      <w:r>
        <w:rPr>
          <w:color w:val="231F20"/>
          <w:spacing w:val="-5"/>
        </w:rPr>
        <w:t> </w:t>
      </w:r>
      <w:r>
        <w:rPr>
          <w:color w:val="231F20"/>
        </w:rPr>
        <w:t>rate</w:t>
      </w:r>
      <w:r>
        <w:rPr>
          <w:color w:val="231F20"/>
          <w:spacing w:val="-5"/>
        </w:rPr>
        <w:t> </w:t>
      </w:r>
      <w:r>
        <w:rPr>
          <w:color w:val="231F20"/>
        </w:rPr>
        <w:t>of 4.50% after nine years</w:t>
      </w:r>
    </w:p>
    <w:p>
      <w:pPr>
        <w:pStyle w:val="BodyText"/>
        <w:ind w:left="5040"/>
      </w:pPr>
      <w:r>
        <w:rPr>
          <w:color w:val="231F20"/>
        </w:rPr>
        <w:t>Dental</w:t>
      </w:r>
      <w:r>
        <w:rPr>
          <w:color w:val="231F20"/>
          <w:spacing w:val="-6"/>
        </w:rPr>
        <w:t> </w:t>
      </w:r>
      <w:r>
        <w:rPr>
          <w:color w:val="231F20"/>
        </w:rPr>
        <w:t>and</w:t>
      </w:r>
      <w:r>
        <w:rPr>
          <w:color w:val="231F20"/>
          <w:spacing w:val="-5"/>
        </w:rPr>
        <w:t> </w:t>
      </w:r>
      <w:r>
        <w:rPr>
          <w:color w:val="231F20"/>
        </w:rPr>
        <w:t>Vision:</w:t>
      </w:r>
      <w:r>
        <w:rPr>
          <w:color w:val="231F20"/>
          <w:spacing w:val="-5"/>
        </w:rPr>
        <w:t> </w:t>
      </w:r>
      <w:r>
        <w:rPr>
          <w:color w:val="231F20"/>
          <w:spacing w:val="-2"/>
        </w:rPr>
        <w:t>3.00%</w:t>
      </w:r>
    </w:p>
    <w:p>
      <w:pPr>
        <w:pStyle w:val="BodyText"/>
        <w:spacing w:before="10"/>
        <w:rPr>
          <w:sz w:val="25"/>
        </w:rPr>
      </w:pPr>
    </w:p>
    <w:p>
      <w:pPr>
        <w:pStyle w:val="BodyText"/>
        <w:spacing w:line="276" w:lineRule="auto"/>
        <w:ind w:left="1440" w:right="1048"/>
      </w:pPr>
      <w:r>
        <w:rPr>
          <w:color w:val="231F20"/>
        </w:rPr>
        <w:t>Mortality</w:t>
      </w:r>
      <w:r>
        <w:rPr>
          <w:color w:val="231F20"/>
          <w:spacing w:val="-5"/>
        </w:rPr>
        <w:t> </w:t>
      </w:r>
      <w:r>
        <w:rPr>
          <w:color w:val="231F20"/>
        </w:rPr>
        <w:t>rate</w:t>
      </w:r>
      <w:r>
        <w:rPr>
          <w:color w:val="231F20"/>
          <w:spacing w:val="-5"/>
        </w:rPr>
        <w:t> </w:t>
      </w:r>
      <w:r>
        <w:rPr>
          <w:color w:val="231F20"/>
        </w:rPr>
        <w:t>was</w:t>
      </w:r>
      <w:r>
        <w:rPr>
          <w:color w:val="231F20"/>
          <w:spacing w:val="-4"/>
        </w:rPr>
        <w:t> </w:t>
      </w:r>
      <w:r>
        <w:rPr>
          <w:color w:val="231F20"/>
        </w:rPr>
        <w:t>based</w:t>
      </w:r>
      <w:r>
        <w:rPr>
          <w:color w:val="231F20"/>
          <w:spacing w:val="-4"/>
        </w:rPr>
        <w:t> </w:t>
      </w:r>
      <w:r>
        <w:rPr>
          <w:color w:val="231F20"/>
        </w:rPr>
        <w:t>on</w:t>
      </w:r>
      <w:r>
        <w:rPr>
          <w:color w:val="231F20"/>
          <w:spacing w:val="-4"/>
        </w:rPr>
        <w:t> </w:t>
      </w:r>
      <w:r>
        <w:rPr>
          <w:color w:val="231F20"/>
        </w:rPr>
        <w:t>the</w:t>
      </w:r>
      <w:r>
        <w:rPr>
          <w:color w:val="231F20"/>
          <w:spacing w:val="-4"/>
        </w:rPr>
        <w:t> </w:t>
      </w:r>
      <w:r>
        <w:rPr>
          <w:color w:val="231F20"/>
        </w:rPr>
        <w:t>PUB-2010</w:t>
      </w:r>
      <w:r>
        <w:rPr>
          <w:color w:val="231F20"/>
          <w:spacing w:val="-4"/>
        </w:rPr>
        <w:t> </w:t>
      </w:r>
      <w:r>
        <w:rPr>
          <w:color w:val="231F20"/>
        </w:rPr>
        <w:t>“General”</w:t>
      </w:r>
      <w:r>
        <w:rPr>
          <w:color w:val="231F20"/>
          <w:spacing w:val="-5"/>
        </w:rPr>
        <w:t> </w:t>
      </w:r>
      <w:r>
        <w:rPr>
          <w:color w:val="231F20"/>
        </w:rPr>
        <w:t>classification</w:t>
      </w:r>
      <w:r>
        <w:rPr>
          <w:color w:val="231F20"/>
          <w:spacing w:val="-5"/>
        </w:rPr>
        <w:t> </w:t>
      </w:r>
      <w:r>
        <w:rPr>
          <w:color w:val="231F20"/>
        </w:rPr>
        <w:t>headcount-weighted</w:t>
      </w:r>
      <w:r>
        <w:rPr>
          <w:color w:val="231F20"/>
          <w:spacing w:val="-4"/>
        </w:rPr>
        <w:t> </w:t>
      </w:r>
      <w:r>
        <w:rPr>
          <w:color w:val="231F20"/>
        </w:rPr>
        <w:t>mortality</w:t>
      </w:r>
      <w:r>
        <w:rPr>
          <w:color w:val="231F20"/>
          <w:spacing w:val="-4"/>
        </w:rPr>
        <w:t> </w:t>
      </w:r>
      <w:r>
        <w:rPr>
          <w:color w:val="231F20"/>
        </w:rPr>
        <w:t>table with fully generational mortality improvement projections from the central year using Scale MP-2021.</w:t>
      </w:r>
    </w:p>
    <w:p>
      <w:pPr>
        <w:pStyle w:val="BodyText"/>
        <w:spacing w:before="1"/>
        <w:rPr>
          <w:sz w:val="23"/>
        </w:rPr>
      </w:pPr>
    </w:p>
    <w:p>
      <w:pPr>
        <w:pStyle w:val="Heading4"/>
      </w:pPr>
      <w:r>
        <w:rPr>
          <w:color w:val="231F20"/>
        </w:rPr>
        <w:t>Discount</w:t>
      </w:r>
      <w:r>
        <w:rPr>
          <w:color w:val="231F20"/>
          <w:spacing w:val="-5"/>
        </w:rPr>
        <w:t> </w:t>
      </w:r>
      <w:r>
        <w:rPr>
          <w:color w:val="231F20"/>
          <w:spacing w:val="-4"/>
        </w:rPr>
        <w:t>Rate</w:t>
      </w:r>
    </w:p>
    <w:p>
      <w:pPr>
        <w:pStyle w:val="BodyText"/>
        <w:spacing w:line="276" w:lineRule="auto" w:before="34"/>
        <w:ind w:left="1440" w:right="857"/>
      </w:pPr>
      <w:r>
        <w:rPr>
          <w:color w:val="231F20"/>
        </w:rPr>
        <w:t>The discount rate used to measure the total OPEB liability was 2.17%, which is a blended rate of the Institute’s long-term rate of return on assets and the interest rate reported under the 20-Year Municipal Bond Index. A blended discount rate was calculated based on separating the projected future payments between those paid from the Trust and those paid from general assets. The Trust assets were projected using the expected long-term rate of return. Payments from the Trust were assumed to begin when the projected</w:t>
      </w:r>
      <w:r>
        <w:rPr>
          <w:color w:val="231F20"/>
          <w:spacing w:val="-3"/>
        </w:rPr>
        <w:t> </w:t>
      </w:r>
      <w:r>
        <w:rPr>
          <w:color w:val="231F20"/>
        </w:rPr>
        <w:t>assets</w:t>
      </w:r>
      <w:r>
        <w:rPr>
          <w:color w:val="231F20"/>
          <w:spacing w:val="-3"/>
        </w:rPr>
        <w:t> </w:t>
      </w:r>
      <w:r>
        <w:rPr>
          <w:color w:val="231F20"/>
        </w:rPr>
        <w:t>value</w:t>
      </w:r>
      <w:r>
        <w:rPr>
          <w:color w:val="231F20"/>
          <w:spacing w:val="-3"/>
        </w:rPr>
        <w:t> </w:t>
      </w:r>
      <w:r>
        <w:rPr>
          <w:color w:val="231F20"/>
        </w:rPr>
        <w:t>is</w:t>
      </w:r>
      <w:r>
        <w:rPr>
          <w:color w:val="231F20"/>
          <w:spacing w:val="-3"/>
        </w:rPr>
        <w:t> </w:t>
      </w:r>
      <w:r>
        <w:rPr>
          <w:color w:val="231F20"/>
        </w:rPr>
        <w:t>fully-funded</w:t>
      </w:r>
      <w:r>
        <w:rPr>
          <w:color w:val="231F20"/>
          <w:spacing w:val="-3"/>
        </w:rPr>
        <w:t> </w:t>
      </w:r>
      <w:r>
        <w:rPr>
          <w:color w:val="231F20"/>
        </w:rPr>
        <w:t>and</w:t>
      </w:r>
      <w:r>
        <w:rPr>
          <w:color w:val="231F20"/>
          <w:spacing w:val="-3"/>
        </w:rPr>
        <w:t> </w:t>
      </w:r>
      <w:r>
        <w:rPr>
          <w:color w:val="231F20"/>
        </w:rPr>
        <w:t>all</w:t>
      </w:r>
      <w:r>
        <w:rPr>
          <w:color w:val="231F20"/>
          <w:spacing w:val="-3"/>
        </w:rPr>
        <w:t> </w:t>
      </w:r>
      <w:r>
        <w:rPr>
          <w:color w:val="231F20"/>
        </w:rPr>
        <w:t>future projected</w:t>
      </w:r>
      <w:r>
        <w:rPr>
          <w:color w:val="231F20"/>
          <w:spacing w:val="-3"/>
        </w:rPr>
        <w:t> </w:t>
      </w:r>
      <w:r>
        <w:rPr>
          <w:color w:val="231F20"/>
        </w:rPr>
        <w:t>benefit</w:t>
      </w:r>
      <w:r>
        <w:rPr>
          <w:color w:val="231F20"/>
          <w:spacing w:val="-3"/>
        </w:rPr>
        <w:t> </w:t>
      </w:r>
      <w:r>
        <w:rPr>
          <w:color w:val="231F20"/>
        </w:rPr>
        <w:t>payments</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paid</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Trust.</w:t>
      </w:r>
    </w:p>
    <w:p>
      <w:pPr>
        <w:spacing w:after="0" w:line="276" w:lineRule="auto"/>
        <w:sectPr>
          <w:pgSz w:w="12240" w:h="15840"/>
          <w:pgMar w:header="1282" w:footer="1097" w:top="1900" w:bottom="1280" w:left="0" w:right="580"/>
        </w:sectPr>
      </w:pPr>
    </w:p>
    <w:p>
      <w:pPr>
        <w:pStyle w:val="BodyText"/>
      </w:pPr>
    </w:p>
    <w:p>
      <w:pPr>
        <w:pStyle w:val="BodyText"/>
        <w:spacing w:before="7"/>
        <w:rPr>
          <w:sz w:val="26"/>
        </w:r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6"/>
        <w:gridCol w:w="636"/>
        <w:gridCol w:w="1081"/>
        <w:gridCol w:w="575"/>
        <w:gridCol w:w="1277"/>
        <w:gridCol w:w="278"/>
        <w:gridCol w:w="1082"/>
      </w:tblGrid>
      <w:tr>
        <w:trPr>
          <w:trHeight w:val="344" w:hRule="atLeast"/>
        </w:trPr>
        <w:tc>
          <w:tcPr>
            <w:tcW w:w="6173" w:type="dxa"/>
            <w:gridSpan w:val="3"/>
          </w:tcPr>
          <w:p>
            <w:pPr>
              <w:pStyle w:val="TableParagraph"/>
              <w:spacing w:line="224" w:lineRule="exact"/>
              <w:ind w:left="50"/>
              <w:rPr>
                <w:b/>
                <w:sz w:val="20"/>
              </w:rPr>
            </w:pPr>
            <w:r>
              <w:rPr>
                <w:b/>
                <w:color w:val="231F20"/>
                <w:sz w:val="20"/>
              </w:rPr>
              <w:t>Note</w:t>
            </w:r>
            <w:r>
              <w:rPr>
                <w:b/>
                <w:color w:val="231F20"/>
                <w:spacing w:val="-7"/>
                <w:sz w:val="20"/>
              </w:rPr>
              <w:t> </w:t>
            </w:r>
            <w:r>
              <w:rPr>
                <w:b/>
                <w:color w:val="231F20"/>
                <w:sz w:val="20"/>
              </w:rPr>
              <w:t>8</w:t>
            </w:r>
            <w:r>
              <w:rPr>
                <w:b/>
                <w:color w:val="231F20"/>
                <w:spacing w:val="-4"/>
                <w:sz w:val="20"/>
              </w:rPr>
              <w:t> </w:t>
            </w:r>
            <w:r>
              <w:rPr>
                <w:b/>
                <w:color w:val="231F20"/>
                <w:sz w:val="20"/>
              </w:rPr>
              <w:t>–</w:t>
            </w:r>
            <w:r>
              <w:rPr>
                <w:b/>
                <w:color w:val="231F20"/>
                <w:spacing w:val="-5"/>
                <w:sz w:val="20"/>
              </w:rPr>
              <w:t> </w:t>
            </w:r>
            <w:r>
              <w:rPr>
                <w:b/>
                <w:color w:val="231F20"/>
                <w:sz w:val="20"/>
              </w:rPr>
              <w:t>Other</w:t>
            </w:r>
            <w:r>
              <w:rPr>
                <w:b/>
                <w:color w:val="231F20"/>
                <w:spacing w:val="-4"/>
                <w:sz w:val="20"/>
              </w:rPr>
              <w:t> </w:t>
            </w:r>
            <w:r>
              <w:rPr>
                <w:b/>
                <w:color w:val="231F20"/>
                <w:sz w:val="20"/>
              </w:rPr>
              <w:t>Postemployment</w:t>
            </w:r>
            <w:r>
              <w:rPr>
                <w:b/>
                <w:color w:val="231F20"/>
                <w:spacing w:val="-6"/>
                <w:sz w:val="20"/>
              </w:rPr>
              <w:t> </w:t>
            </w:r>
            <w:r>
              <w:rPr>
                <w:b/>
                <w:color w:val="231F20"/>
                <w:sz w:val="20"/>
              </w:rPr>
              <w:t>Benefits</w:t>
            </w:r>
            <w:r>
              <w:rPr>
                <w:b/>
                <w:color w:val="231F20"/>
                <w:spacing w:val="-4"/>
                <w:sz w:val="20"/>
              </w:rPr>
              <w:t> </w:t>
            </w:r>
            <w:r>
              <w:rPr>
                <w:b/>
                <w:color w:val="231F20"/>
                <w:sz w:val="20"/>
              </w:rPr>
              <w:t>Plan</w:t>
            </w:r>
            <w:r>
              <w:rPr>
                <w:b/>
                <w:color w:val="231F20"/>
                <w:spacing w:val="-4"/>
                <w:sz w:val="20"/>
              </w:rPr>
              <w:t> </w:t>
            </w:r>
            <w:r>
              <w:rPr>
                <w:b/>
                <w:color w:val="231F20"/>
                <w:spacing w:val="-2"/>
                <w:sz w:val="20"/>
              </w:rPr>
              <w:t>(continued)</w:t>
            </w:r>
          </w:p>
        </w:tc>
        <w:tc>
          <w:tcPr>
            <w:tcW w:w="1852" w:type="dxa"/>
            <w:gridSpan w:val="2"/>
          </w:tcPr>
          <w:p>
            <w:pPr>
              <w:pStyle w:val="TableParagraph"/>
              <w:rPr>
                <w:rFonts w:ascii="Times New Roman"/>
                <w:sz w:val="18"/>
              </w:rPr>
            </w:pPr>
          </w:p>
        </w:tc>
        <w:tc>
          <w:tcPr>
            <w:tcW w:w="1360" w:type="dxa"/>
            <w:gridSpan w:val="2"/>
            <w:vMerge w:val="restart"/>
            <w:tcBorders>
              <w:bottom w:val="single" w:sz="12" w:space="0" w:color="231F20"/>
            </w:tcBorders>
          </w:tcPr>
          <w:p>
            <w:pPr>
              <w:pStyle w:val="TableParagraph"/>
              <w:rPr>
                <w:rFonts w:ascii="Times New Roman"/>
                <w:sz w:val="18"/>
              </w:rPr>
            </w:pPr>
          </w:p>
        </w:tc>
      </w:tr>
      <w:tr>
        <w:trPr>
          <w:trHeight w:val="489" w:hRule="atLeast"/>
        </w:trPr>
        <w:tc>
          <w:tcPr>
            <w:tcW w:w="6173" w:type="dxa"/>
            <w:gridSpan w:val="3"/>
          </w:tcPr>
          <w:p>
            <w:pPr>
              <w:pStyle w:val="TableParagraph"/>
              <w:spacing w:before="114"/>
              <w:ind w:left="50"/>
              <w:rPr>
                <w:b/>
                <w:sz w:val="20"/>
              </w:rPr>
            </w:pPr>
            <w:r>
              <w:rPr>
                <w:b/>
                <w:color w:val="231F20"/>
                <w:sz w:val="20"/>
              </w:rPr>
              <w:t>Changes</w:t>
            </w:r>
            <w:r>
              <w:rPr>
                <w:b/>
                <w:color w:val="231F20"/>
                <w:spacing w:val="-4"/>
                <w:sz w:val="20"/>
              </w:rPr>
              <w:t> </w:t>
            </w:r>
            <w:r>
              <w:rPr>
                <w:b/>
                <w:color w:val="231F20"/>
                <w:sz w:val="20"/>
              </w:rPr>
              <w:t>in</w:t>
            </w:r>
            <w:r>
              <w:rPr>
                <w:b/>
                <w:color w:val="231F20"/>
                <w:spacing w:val="-4"/>
                <w:sz w:val="20"/>
              </w:rPr>
              <w:t> </w:t>
            </w:r>
            <w:r>
              <w:rPr>
                <w:b/>
                <w:color w:val="231F20"/>
                <w:sz w:val="20"/>
              </w:rPr>
              <w:t>the</w:t>
            </w:r>
            <w:r>
              <w:rPr>
                <w:b/>
                <w:color w:val="231F20"/>
                <w:spacing w:val="-4"/>
                <w:sz w:val="20"/>
              </w:rPr>
              <w:t> </w:t>
            </w:r>
            <w:r>
              <w:rPr>
                <w:b/>
                <w:color w:val="231F20"/>
                <w:sz w:val="20"/>
              </w:rPr>
              <w:t>Net</w:t>
            </w:r>
            <w:r>
              <w:rPr>
                <w:b/>
                <w:color w:val="231F20"/>
                <w:spacing w:val="-4"/>
                <w:sz w:val="20"/>
              </w:rPr>
              <w:t> </w:t>
            </w:r>
            <w:r>
              <w:rPr>
                <w:b/>
                <w:color w:val="231F20"/>
                <w:sz w:val="20"/>
              </w:rPr>
              <w:t>OPEB</w:t>
            </w:r>
            <w:r>
              <w:rPr>
                <w:b/>
                <w:color w:val="231F20"/>
                <w:spacing w:val="-3"/>
                <w:sz w:val="20"/>
              </w:rPr>
              <w:t> </w:t>
            </w:r>
            <w:r>
              <w:rPr>
                <w:b/>
                <w:color w:val="231F20"/>
                <w:spacing w:val="-2"/>
                <w:sz w:val="20"/>
              </w:rPr>
              <w:t>Liability</w:t>
            </w:r>
          </w:p>
        </w:tc>
        <w:tc>
          <w:tcPr>
            <w:tcW w:w="1852" w:type="dxa"/>
            <w:gridSpan w:val="2"/>
          </w:tcPr>
          <w:p>
            <w:pPr>
              <w:pStyle w:val="TableParagraph"/>
              <w:rPr>
                <w:rFonts w:ascii="Times New Roman"/>
                <w:sz w:val="18"/>
              </w:rPr>
            </w:pPr>
          </w:p>
        </w:tc>
        <w:tc>
          <w:tcPr>
            <w:tcW w:w="1360" w:type="dxa"/>
            <w:gridSpan w:val="2"/>
            <w:vMerge/>
            <w:tcBorders>
              <w:top w:val="nil"/>
              <w:bottom w:val="single" w:sz="12" w:space="0" w:color="231F20"/>
            </w:tcBorders>
          </w:tcPr>
          <w:p>
            <w:pPr>
              <w:rPr>
                <w:sz w:val="2"/>
                <w:szCs w:val="2"/>
              </w:rPr>
            </w:pPr>
          </w:p>
        </w:tc>
      </w:tr>
      <w:tr>
        <w:trPr>
          <w:trHeight w:val="350" w:hRule="atLeast"/>
        </w:trPr>
        <w:tc>
          <w:tcPr>
            <w:tcW w:w="6173" w:type="dxa"/>
            <w:gridSpan w:val="3"/>
          </w:tcPr>
          <w:p>
            <w:pPr>
              <w:pStyle w:val="TableParagraph"/>
              <w:rPr>
                <w:rFonts w:ascii="Times New Roman"/>
                <w:sz w:val="18"/>
              </w:rPr>
            </w:pPr>
          </w:p>
        </w:tc>
        <w:tc>
          <w:tcPr>
            <w:tcW w:w="1852" w:type="dxa"/>
            <w:gridSpan w:val="2"/>
            <w:tcBorders>
              <w:bottom w:val="single" w:sz="12" w:space="0" w:color="231F20"/>
            </w:tcBorders>
          </w:tcPr>
          <w:p>
            <w:pPr>
              <w:pStyle w:val="TableParagraph"/>
              <w:spacing w:line="193" w:lineRule="exact" w:before="137"/>
              <w:ind w:left="119"/>
              <w:rPr>
                <w:sz w:val="18"/>
              </w:rPr>
            </w:pPr>
            <w:r>
              <w:rPr>
                <w:color w:val="231F20"/>
                <w:sz w:val="18"/>
              </w:rPr>
              <w:t>Increase</w:t>
            </w:r>
            <w:r>
              <w:rPr>
                <w:color w:val="231F20"/>
                <w:spacing w:val="-7"/>
                <w:sz w:val="18"/>
              </w:rPr>
              <w:t> </w:t>
            </w:r>
            <w:r>
              <w:rPr>
                <w:color w:val="231F20"/>
                <w:spacing w:val="-2"/>
                <w:sz w:val="18"/>
              </w:rPr>
              <w:t>(Decrease)</w:t>
            </w:r>
          </w:p>
        </w:tc>
        <w:tc>
          <w:tcPr>
            <w:tcW w:w="1360" w:type="dxa"/>
            <w:gridSpan w:val="2"/>
            <w:vMerge/>
            <w:tcBorders>
              <w:top w:val="nil"/>
              <w:bottom w:val="single" w:sz="12" w:space="0" w:color="231F20"/>
            </w:tcBorders>
          </w:tcPr>
          <w:p>
            <w:pPr>
              <w:rPr>
                <w:sz w:val="2"/>
                <w:szCs w:val="2"/>
              </w:rPr>
            </w:pPr>
          </w:p>
        </w:tc>
      </w:tr>
      <w:tr>
        <w:trPr>
          <w:trHeight w:val="213" w:hRule="atLeast"/>
        </w:trPr>
        <w:tc>
          <w:tcPr>
            <w:tcW w:w="6173" w:type="dxa"/>
            <w:gridSpan w:val="3"/>
            <w:tcBorders>
              <w:top w:val="single" w:sz="12" w:space="0" w:color="231F20"/>
            </w:tcBorders>
          </w:tcPr>
          <w:p>
            <w:pPr>
              <w:pStyle w:val="TableParagraph"/>
              <w:spacing w:line="193" w:lineRule="exact"/>
              <w:ind w:right="191"/>
              <w:jc w:val="right"/>
              <w:rPr>
                <w:sz w:val="18"/>
              </w:rPr>
            </w:pPr>
            <w:r>
              <w:rPr>
                <w:color w:val="231F20"/>
                <w:sz w:val="18"/>
              </w:rPr>
              <w:t>Total </w:t>
            </w:r>
            <w:r>
              <w:rPr>
                <w:color w:val="231F20"/>
                <w:spacing w:val="-4"/>
                <w:sz w:val="18"/>
              </w:rPr>
              <w:t>OPEB</w:t>
            </w:r>
          </w:p>
        </w:tc>
        <w:tc>
          <w:tcPr>
            <w:tcW w:w="1852" w:type="dxa"/>
            <w:gridSpan w:val="2"/>
            <w:tcBorders>
              <w:top w:val="single" w:sz="12" w:space="0" w:color="231F20"/>
            </w:tcBorders>
          </w:tcPr>
          <w:p>
            <w:pPr>
              <w:pStyle w:val="TableParagraph"/>
              <w:spacing w:line="193" w:lineRule="exact"/>
              <w:ind w:left="199"/>
              <w:rPr>
                <w:sz w:val="18"/>
              </w:rPr>
            </w:pPr>
            <w:r>
              <w:rPr>
                <w:color w:val="231F20"/>
                <w:sz w:val="18"/>
              </w:rPr>
              <w:t>Plan</w:t>
            </w:r>
            <w:r>
              <w:rPr>
                <w:color w:val="231F20"/>
                <w:spacing w:val="-5"/>
                <w:sz w:val="18"/>
              </w:rPr>
              <w:t> </w:t>
            </w:r>
            <w:r>
              <w:rPr>
                <w:color w:val="231F20"/>
                <w:sz w:val="18"/>
              </w:rPr>
              <w:t>Fiduciary</w:t>
            </w:r>
            <w:r>
              <w:rPr>
                <w:color w:val="231F20"/>
                <w:spacing w:val="-7"/>
                <w:sz w:val="18"/>
              </w:rPr>
              <w:t> </w:t>
            </w:r>
            <w:r>
              <w:rPr>
                <w:color w:val="231F20"/>
                <w:spacing w:val="-5"/>
                <w:sz w:val="18"/>
              </w:rPr>
              <w:t>Net</w:t>
            </w:r>
          </w:p>
        </w:tc>
        <w:tc>
          <w:tcPr>
            <w:tcW w:w="1360" w:type="dxa"/>
            <w:gridSpan w:val="2"/>
            <w:tcBorders>
              <w:top w:val="single" w:sz="12" w:space="0" w:color="231F20"/>
            </w:tcBorders>
          </w:tcPr>
          <w:p>
            <w:pPr>
              <w:pStyle w:val="TableParagraph"/>
              <w:spacing w:line="193" w:lineRule="exact"/>
              <w:ind w:left="272"/>
              <w:rPr>
                <w:sz w:val="18"/>
              </w:rPr>
            </w:pPr>
            <w:r>
              <w:rPr>
                <w:color w:val="231F20"/>
                <w:sz w:val="18"/>
              </w:rPr>
              <w:t>Net</w:t>
            </w:r>
            <w:r>
              <w:rPr>
                <w:color w:val="231F20"/>
                <w:spacing w:val="-2"/>
                <w:sz w:val="18"/>
              </w:rPr>
              <w:t> </w:t>
            </w:r>
            <w:r>
              <w:rPr>
                <w:color w:val="231F20"/>
                <w:spacing w:val="-4"/>
                <w:sz w:val="18"/>
              </w:rPr>
              <w:t>OPEB</w:t>
            </w:r>
          </w:p>
        </w:tc>
      </w:tr>
      <w:tr>
        <w:trPr>
          <w:trHeight w:val="222" w:hRule="atLeast"/>
        </w:trPr>
        <w:tc>
          <w:tcPr>
            <w:tcW w:w="6173" w:type="dxa"/>
            <w:gridSpan w:val="3"/>
          </w:tcPr>
          <w:p>
            <w:pPr>
              <w:pStyle w:val="TableParagraph"/>
              <w:spacing w:line="193" w:lineRule="exact" w:before="9"/>
              <w:ind w:right="234"/>
              <w:jc w:val="right"/>
              <w:rPr>
                <w:sz w:val="18"/>
              </w:rPr>
            </w:pPr>
            <w:r>
              <w:rPr>
                <w:color w:val="231F20"/>
                <w:sz w:val="18"/>
              </w:rPr>
              <w:t>Liability</w:t>
            </w:r>
            <w:r>
              <w:rPr>
                <w:color w:val="231F20"/>
                <w:spacing w:val="-11"/>
                <w:sz w:val="18"/>
              </w:rPr>
              <w:t> </w:t>
            </w:r>
            <w:r>
              <w:rPr>
                <w:color w:val="231F20"/>
                <w:spacing w:val="-5"/>
                <w:sz w:val="18"/>
              </w:rPr>
              <w:t>(a)</w:t>
            </w:r>
          </w:p>
        </w:tc>
        <w:tc>
          <w:tcPr>
            <w:tcW w:w="1852" w:type="dxa"/>
            <w:gridSpan w:val="2"/>
          </w:tcPr>
          <w:p>
            <w:pPr>
              <w:pStyle w:val="TableParagraph"/>
              <w:spacing w:line="193" w:lineRule="exact" w:before="9"/>
              <w:ind w:left="478"/>
              <w:rPr>
                <w:sz w:val="18"/>
              </w:rPr>
            </w:pPr>
            <w:r>
              <w:rPr>
                <w:color w:val="231F20"/>
                <w:sz w:val="18"/>
              </w:rPr>
              <w:t>Position</w:t>
            </w:r>
            <w:r>
              <w:rPr>
                <w:color w:val="231F20"/>
                <w:spacing w:val="-6"/>
                <w:sz w:val="18"/>
              </w:rPr>
              <w:t> </w:t>
            </w:r>
            <w:r>
              <w:rPr>
                <w:color w:val="231F20"/>
                <w:spacing w:val="-5"/>
                <w:sz w:val="18"/>
              </w:rPr>
              <w:t>(b)</w:t>
            </w:r>
          </w:p>
        </w:tc>
        <w:tc>
          <w:tcPr>
            <w:tcW w:w="1360" w:type="dxa"/>
            <w:gridSpan w:val="2"/>
            <w:tcBorders>
              <w:bottom w:val="single" w:sz="12" w:space="0" w:color="231F20"/>
            </w:tcBorders>
          </w:tcPr>
          <w:p>
            <w:pPr>
              <w:pStyle w:val="TableParagraph"/>
              <w:spacing w:line="193" w:lineRule="exact" w:before="9"/>
              <w:ind w:left="63"/>
              <w:rPr>
                <w:sz w:val="18"/>
              </w:rPr>
            </w:pPr>
            <w:r>
              <w:rPr>
                <w:color w:val="231F20"/>
                <w:sz w:val="18"/>
              </w:rPr>
              <w:t>Liability</w:t>
            </w:r>
            <w:r>
              <w:rPr>
                <w:color w:val="231F20"/>
                <w:spacing w:val="-7"/>
                <w:sz w:val="18"/>
              </w:rPr>
              <w:t> </w:t>
            </w:r>
            <w:r>
              <w:rPr>
                <w:color w:val="231F20"/>
                <w:sz w:val="18"/>
              </w:rPr>
              <w:t>(a)</w:t>
            </w:r>
            <w:r>
              <w:rPr>
                <w:color w:val="231F20"/>
                <w:spacing w:val="-3"/>
                <w:sz w:val="18"/>
              </w:rPr>
              <w:t> </w:t>
            </w:r>
            <w:r>
              <w:rPr>
                <w:color w:val="231F20"/>
                <w:sz w:val="18"/>
              </w:rPr>
              <w:t>-</w:t>
            </w:r>
            <w:r>
              <w:rPr>
                <w:color w:val="231F20"/>
                <w:spacing w:val="-3"/>
                <w:sz w:val="18"/>
              </w:rPr>
              <w:t> </w:t>
            </w:r>
            <w:r>
              <w:rPr>
                <w:color w:val="231F20"/>
                <w:spacing w:val="-5"/>
                <w:sz w:val="18"/>
              </w:rPr>
              <w:t>(b)</w:t>
            </w:r>
          </w:p>
        </w:tc>
      </w:tr>
      <w:tr>
        <w:trPr>
          <w:trHeight w:val="440" w:hRule="atLeast"/>
        </w:trPr>
        <w:tc>
          <w:tcPr>
            <w:tcW w:w="6173" w:type="dxa"/>
            <w:gridSpan w:val="3"/>
          </w:tcPr>
          <w:p>
            <w:pPr>
              <w:pStyle w:val="TableParagraph"/>
              <w:spacing w:line="197" w:lineRule="exact"/>
              <w:ind w:left="94"/>
              <w:rPr>
                <w:sz w:val="18"/>
              </w:rPr>
            </w:pPr>
            <w:r>
              <w:rPr>
                <w:color w:val="231F20"/>
                <w:sz w:val="18"/>
              </w:rPr>
              <w:t>Balance</w:t>
            </w:r>
            <w:r>
              <w:rPr>
                <w:color w:val="231F20"/>
                <w:spacing w:val="-5"/>
                <w:sz w:val="18"/>
              </w:rPr>
              <w:t> </w:t>
            </w:r>
            <w:r>
              <w:rPr>
                <w:color w:val="231F20"/>
                <w:sz w:val="18"/>
              </w:rPr>
              <w:t>at</w:t>
            </w:r>
            <w:r>
              <w:rPr>
                <w:color w:val="231F20"/>
                <w:spacing w:val="-2"/>
                <w:sz w:val="18"/>
              </w:rPr>
              <w:t> </w:t>
            </w:r>
            <w:r>
              <w:rPr>
                <w:color w:val="231F20"/>
                <w:sz w:val="18"/>
              </w:rPr>
              <w:t>June</w:t>
            </w:r>
            <w:r>
              <w:rPr>
                <w:color w:val="231F20"/>
                <w:spacing w:val="-3"/>
                <w:sz w:val="18"/>
              </w:rPr>
              <w:t> </w:t>
            </w:r>
            <w:r>
              <w:rPr>
                <w:color w:val="231F20"/>
                <w:sz w:val="18"/>
              </w:rPr>
              <w:t>30,</w:t>
            </w:r>
            <w:r>
              <w:rPr>
                <w:color w:val="231F20"/>
                <w:spacing w:val="-2"/>
                <w:sz w:val="18"/>
              </w:rPr>
              <w:t> </w:t>
            </w:r>
            <w:r>
              <w:rPr>
                <w:color w:val="231F20"/>
                <w:sz w:val="18"/>
              </w:rPr>
              <w:t>2021</w:t>
            </w:r>
            <w:r>
              <w:rPr>
                <w:color w:val="231F20"/>
                <w:spacing w:val="-4"/>
                <w:sz w:val="18"/>
              </w:rPr>
              <w:t> </w:t>
            </w:r>
            <w:r>
              <w:rPr>
                <w:color w:val="231F20"/>
                <w:sz w:val="18"/>
              </w:rPr>
              <w:t>(based</w:t>
            </w:r>
            <w:r>
              <w:rPr>
                <w:color w:val="231F20"/>
                <w:spacing w:val="-2"/>
                <w:sz w:val="18"/>
              </w:rPr>
              <w:t> </w:t>
            </w:r>
            <w:r>
              <w:rPr>
                <w:color w:val="231F20"/>
                <w:sz w:val="18"/>
              </w:rPr>
              <w:t>on</w:t>
            </w:r>
            <w:r>
              <w:rPr>
                <w:color w:val="231F20"/>
                <w:spacing w:val="-4"/>
                <w:sz w:val="18"/>
              </w:rPr>
              <w:t> </w:t>
            </w:r>
            <w:r>
              <w:rPr>
                <w:color w:val="231F20"/>
                <w:sz w:val="18"/>
              </w:rPr>
              <w:t>July</w:t>
            </w:r>
            <w:r>
              <w:rPr>
                <w:color w:val="231F20"/>
                <w:spacing w:val="-3"/>
                <w:sz w:val="18"/>
              </w:rPr>
              <w:t> </w:t>
            </w:r>
            <w:r>
              <w:rPr>
                <w:color w:val="231F20"/>
                <w:sz w:val="18"/>
              </w:rPr>
              <w:t>1,</w:t>
            </w:r>
            <w:r>
              <w:rPr>
                <w:color w:val="231F20"/>
                <w:spacing w:val="-2"/>
                <w:sz w:val="18"/>
              </w:rPr>
              <w:t> </w:t>
            </w:r>
            <w:r>
              <w:rPr>
                <w:color w:val="231F20"/>
                <w:spacing w:val="-4"/>
                <w:sz w:val="18"/>
              </w:rPr>
              <w:t>2020</w:t>
            </w:r>
          </w:p>
          <w:p>
            <w:pPr>
              <w:pStyle w:val="TableParagraph"/>
              <w:tabs>
                <w:tab w:pos="4909" w:val="left" w:leader="none"/>
              </w:tabs>
              <w:spacing w:line="199" w:lineRule="exact" w:before="24"/>
              <w:ind w:left="234"/>
              <w:rPr>
                <w:sz w:val="18"/>
              </w:rPr>
            </w:pPr>
            <w:r>
              <w:rPr>
                <w:color w:val="231F20"/>
                <w:sz w:val="18"/>
              </w:rPr>
              <w:t>measurement</w:t>
            </w:r>
            <w:r>
              <w:rPr>
                <w:color w:val="231F20"/>
                <w:spacing w:val="-8"/>
                <w:sz w:val="18"/>
              </w:rPr>
              <w:t> </w:t>
            </w:r>
            <w:r>
              <w:rPr>
                <w:color w:val="231F20"/>
                <w:spacing w:val="-4"/>
                <w:sz w:val="18"/>
              </w:rPr>
              <w:t>date)</w:t>
            </w:r>
            <w:r>
              <w:rPr>
                <w:color w:val="231F20"/>
                <w:sz w:val="18"/>
              </w:rPr>
              <w:tab/>
              <w:t>$</w:t>
            </w:r>
            <w:r>
              <w:rPr>
                <w:color w:val="231F20"/>
                <w:spacing w:val="32"/>
                <w:sz w:val="18"/>
              </w:rPr>
              <w:t>  </w:t>
            </w:r>
            <w:r>
              <w:rPr>
                <w:color w:val="231F20"/>
                <w:spacing w:val="-2"/>
                <w:sz w:val="18"/>
              </w:rPr>
              <w:t>41,323,584</w:t>
            </w:r>
          </w:p>
        </w:tc>
        <w:tc>
          <w:tcPr>
            <w:tcW w:w="1852" w:type="dxa"/>
            <w:gridSpan w:val="2"/>
          </w:tcPr>
          <w:p>
            <w:pPr>
              <w:pStyle w:val="TableParagraph"/>
              <w:spacing w:before="2"/>
              <w:rPr>
                <w:sz w:val="19"/>
              </w:rPr>
            </w:pPr>
          </w:p>
          <w:p>
            <w:pPr>
              <w:pStyle w:val="TableParagraph"/>
              <w:tabs>
                <w:tab w:pos="708" w:val="left" w:leader="none"/>
              </w:tabs>
              <w:spacing w:line="199" w:lineRule="exact" w:before="1"/>
              <w:ind w:left="341"/>
              <w:rPr>
                <w:sz w:val="18"/>
              </w:rPr>
            </w:pPr>
            <w:r>
              <w:rPr>
                <w:color w:val="231F20"/>
                <w:spacing w:val="-10"/>
                <w:sz w:val="18"/>
              </w:rPr>
              <w:t>$</w:t>
            </w:r>
            <w:r>
              <w:rPr>
                <w:color w:val="231F20"/>
                <w:sz w:val="18"/>
              </w:rPr>
              <w:tab/>
            </w:r>
            <w:r>
              <w:rPr>
                <w:color w:val="231F20"/>
                <w:spacing w:val="-2"/>
                <w:sz w:val="18"/>
              </w:rPr>
              <w:t>4,328,340</w:t>
            </w:r>
          </w:p>
        </w:tc>
        <w:tc>
          <w:tcPr>
            <w:tcW w:w="1360" w:type="dxa"/>
            <w:gridSpan w:val="2"/>
            <w:tcBorders>
              <w:top w:val="single" w:sz="12" w:space="0" w:color="231F20"/>
              <w:bottom w:val="single" w:sz="8" w:space="0" w:color="231F20"/>
            </w:tcBorders>
          </w:tcPr>
          <w:p>
            <w:pPr>
              <w:pStyle w:val="TableParagraph"/>
              <w:spacing w:before="2"/>
              <w:rPr>
                <w:sz w:val="19"/>
              </w:rPr>
            </w:pPr>
          </w:p>
          <w:p>
            <w:pPr>
              <w:pStyle w:val="TableParagraph"/>
              <w:spacing w:line="199" w:lineRule="exact" w:before="1"/>
              <w:ind w:left="93"/>
              <w:rPr>
                <w:sz w:val="18"/>
              </w:rPr>
            </w:pPr>
            <w:r>
              <w:rPr>
                <w:color w:val="231F20"/>
                <w:sz w:val="18"/>
              </w:rPr>
              <w:t>$</w:t>
            </w:r>
            <w:r>
              <w:rPr>
                <w:color w:val="231F20"/>
                <w:spacing w:val="33"/>
                <w:sz w:val="18"/>
              </w:rPr>
              <w:t>  </w:t>
            </w:r>
            <w:r>
              <w:rPr>
                <w:color w:val="231F20"/>
                <w:spacing w:val="-2"/>
                <w:sz w:val="18"/>
              </w:rPr>
              <w:t>36,995,244</w:t>
            </w:r>
          </w:p>
        </w:tc>
      </w:tr>
      <w:tr>
        <w:trPr>
          <w:trHeight w:val="566" w:hRule="atLeast"/>
        </w:trPr>
        <w:tc>
          <w:tcPr>
            <w:tcW w:w="6173" w:type="dxa"/>
            <w:gridSpan w:val="3"/>
          </w:tcPr>
          <w:p>
            <w:pPr>
              <w:pStyle w:val="TableParagraph"/>
              <w:spacing w:line="20" w:lineRule="exact"/>
              <w:ind w:left="4812" w:right="-72"/>
              <w:rPr>
                <w:sz w:val="2"/>
              </w:rPr>
            </w:pPr>
            <w:r>
              <w:rPr>
                <w:sz w:val="2"/>
              </w:rPr>
              <w:pict>
                <v:group style="width:67.95pt;height:1pt;mso-position-horizontal-relative:char;mso-position-vertical-relative:line" id="docshapegroup340" coordorigin="0,0" coordsize="1359,20">
                  <v:line style="position:absolute" from="0,1" to="1358,1" stroked="true" strokeweight=".06pt" strokecolor="#231f20">
                    <v:stroke dashstyle="solid"/>
                  </v:line>
                  <v:rect style="position:absolute;left:1;top:1;width:1358;height:18" id="docshape341" filled="true" fillcolor="#231f20" stroked="false">
                    <v:fill type="solid"/>
                  </v:rect>
                </v:group>
              </w:pict>
            </w:r>
            <w:r>
              <w:rPr>
                <w:sz w:val="2"/>
              </w:rPr>
            </w:r>
          </w:p>
          <w:p>
            <w:pPr>
              <w:pStyle w:val="TableParagraph"/>
              <w:spacing w:before="90"/>
              <w:ind w:left="94"/>
              <w:rPr>
                <w:sz w:val="18"/>
              </w:rPr>
            </w:pPr>
            <w:r>
              <w:rPr>
                <w:color w:val="231F20"/>
                <w:sz w:val="18"/>
              </w:rPr>
              <w:t>Changes</w:t>
            </w:r>
            <w:r>
              <w:rPr>
                <w:color w:val="231F20"/>
                <w:spacing w:val="-2"/>
                <w:sz w:val="18"/>
              </w:rPr>
              <w:t> </w:t>
            </w:r>
            <w:r>
              <w:rPr>
                <w:color w:val="231F20"/>
                <w:sz w:val="18"/>
              </w:rPr>
              <w:t>for</w:t>
            </w:r>
            <w:r>
              <w:rPr>
                <w:color w:val="231F20"/>
                <w:spacing w:val="-3"/>
                <w:sz w:val="18"/>
              </w:rPr>
              <w:t> </w:t>
            </w:r>
            <w:r>
              <w:rPr>
                <w:color w:val="231F20"/>
                <w:sz w:val="18"/>
              </w:rPr>
              <w:t>the</w:t>
            </w:r>
            <w:r>
              <w:rPr>
                <w:color w:val="231F20"/>
                <w:spacing w:val="-2"/>
                <w:sz w:val="18"/>
              </w:rPr>
              <w:t> year:</w:t>
            </w:r>
          </w:p>
          <w:p>
            <w:pPr>
              <w:pStyle w:val="TableParagraph"/>
              <w:tabs>
                <w:tab w:pos="5275" w:val="left" w:leader="none"/>
              </w:tabs>
              <w:spacing w:line="203" w:lineRule="exact" w:before="26"/>
              <w:ind w:left="234"/>
              <w:rPr>
                <w:sz w:val="18"/>
              </w:rPr>
            </w:pPr>
            <w:r>
              <w:rPr>
                <w:color w:val="231F20"/>
                <w:sz w:val="18"/>
              </w:rPr>
              <w:t>Service</w:t>
            </w:r>
            <w:r>
              <w:rPr>
                <w:color w:val="231F20"/>
                <w:spacing w:val="-7"/>
                <w:sz w:val="18"/>
              </w:rPr>
              <w:t> </w:t>
            </w:r>
            <w:r>
              <w:rPr>
                <w:color w:val="231F20"/>
                <w:spacing w:val="-4"/>
                <w:sz w:val="18"/>
              </w:rPr>
              <w:t>cost</w:t>
            </w:r>
            <w:r>
              <w:rPr>
                <w:color w:val="231F20"/>
                <w:sz w:val="18"/>
              </w:rPr>
              <w:tab/>
            </w:r>
            <w:r>
              <w:rPr>
                <w:color w:val="231F20"/>
                <w:spacing w:val="-2"/>
                <w:sz w:val="18"/>
              </w:rPr>
              <w:t>2,993,435</w:t>
            </w:r>
          </w:p>
        </w:tc>
        <w:tc>
          <w:tcPr>
            <w:tcW w:w="1852" w:type="dxa"/>
            <w:gridSpan w:val="2"/>
          </w:tcPr>
          <w:p>
            <w:pPr>
              <w:pStyle w:val="TableParagraph"/>
              <w:spacing w:line="20" w:lineRule="exact"/>
              <w:ind w:left="244"/>
              <w:rPr>
                <w:sz w:val="2"/>
              </w:rPr>
            </w:pPr>
            <w:r>
              <w:rPr>
                <w:sz w:val="2"/>
              </w:rPr>
              <w:pict>
                <v:group style="width:68pt;height:1pt;mso-position-horizontal-relative:char;mso-position-vertical-relative:line" id="docshapegroup342" coordorigin="0,0" coordsize="1360,20">
                  <v:line style="position:absolute" from="0,1" to="1358,1" stroked="true" strokeweight=".06pt" strokecolor="#231f20">
                    <v:stroke dashstyle="solid"/>
                  </v:line>
                  <v:rect style="position:absolute;left:1;top:1;width:1359;height:18" id="docshape343" filled="true" fillcolor="#231f20" stroked="false">
                    <v:fill type="solid"/>
                  </v:rect>
                </v:group>
              </w:pict>
            </w:r>
            <w:r>
              <w:rPr>
                <w:sz w:val="2"/>
              </w:rPr>
            </w:r>
          </w:p>
          <w:p>
            <w:pPr>
              <w:pStyle w:val="TableParagraph"/>
              <w:spacing w:before="1"/>
              <w:rPr>
                <w:sz w:val="28"/>
              </w:rPr>
            </w:pPr>
          </w:p>
          <w:p>
            <w:pPr>
              <w:pStyle w:val="TableParagraph"/>
              <w:spacing w:line="203" w:lineRule="exact"/>
              <w:ind w:left="1207"/>
              <w:rPr>
                <w:sz w:val="18"/>
              </w:rPr>
            </w:pPr>
            <w:r>
              <w:rPr>
                <w:color w:val="231F20"/>
                <w:spacing w:val="-5"/>
                <w:sz w:val="18"/>
              </w:rPr>
              <w:t>N/A</w:t>
            </w:r>
          </w:p>
        </w:tc>
        <w:tc>
          <w:tcPr>
            <w:tcW w:w="1360" w:type="dxa"/>
            <w:gridSpan w:val="2"/>
            <w:tcBorders>
              <w:top w:val="single" w:sz="8" w:space="0" w:color="231F20"/>
            </w:tcBorders>
          </w:tcPr>
          <w:p>
            <w:pPr>
              <w:pStyle w:val="TableParagraph"/>
              <w:spacing w:before="9"/>
              <w:rPr>
                <w:sz w:val="29"/>
              </w:rPr>
            </w:pPr>
          </w:p>
          <w:p>
            <w:pPr>
              <w:pStyle w:val="TableParagraph"/>
              <w:spacing w:line="203" w:lineRule="exact" w:before="1"/>
              <w:ind w:left="461"/>
              <w:rPr>
                <w:sz w:val="18"/>
              </w:rPr>
            </w:pPr>
            <w:r>
              <w:rPr>
                <w:color w:val="231F20"/>
                <w:spacing w:val="-2"/>
                <w:sz w:val="18"/>
              </w:rPr>
              <w:t>2,993,435</w:t>
            </w:r>
          </w:p>
        </w:tc>
      </w:tr>
      <w:tr>
        <w:trPr>
          <w:trHeight w:val="232" w:hRule="atLeast"/>
        </w:trPr>
        <w:tc>
          <w:tcPr>
            <w:tcW w:w="6173" w:type="dxa"/>
            <w:gridSpan w:val="3"/>
          </w:tcPr>
          <w:p>
            <w:pPr>
              <w:pStyle w:val="TableParagraph"/>
              <w:tabs>
                <w:tab w:pos="5275" w:val="left" w:leader="none"/>
              </w:tabs>
              <w:spacing w:line="203" w:lineRule="exact" w:before="9"/>
              <w:ind w:left="234"/>
              <w:rPr>
                <w:sz w:val="18"/>
              </w:rPr>
            </w:pPr>
            <w:r>
              <w:rPr>
                <w:color w:val="231F20"/>
                <w:sz w:val="18"/>
              </w:rPr>
              <w:t>Interest</w:t>
            </w:r>
            <w:r>
              <w:rPr>
                <w:color w:val="231F20"/>
                <w:spacing w:val="-4"/>
                <w:sz w:val="18"/>
              </w:rPr>
              <w:t> </w:t>
            </w:r>
            <w:r>
              <w:rPr>
                <w:color w:val="231F20"/>
                <w:sz w:val="18"/>
              </w:rPr>
              <w:t>on</w:t>
            </w:r>
            <w:r>
              <w:rPr>
                <w:color w:val="231F20"/>
                <w:spacing w:val="-3"/>
                <w:sz w:val="18"/>
              </w:rPr>
              <w:t> </w:t>
            </w:r>
            <w:r>
              <w:rPr>
                <w:color w:val="231F20"/>
                <w:sz w:val="18"/>
              </w:rPr>
              <w:t>the</w:t>
            </w:r>
            <w:r>
              <w:rPr>
                <w:color w:val="231F20"/>
                <w:spacing w:val="-2"/>
                <w:sz w:val="18"/>
              </w:rPr>
              <w:t> </w:t>
            </w:r>
            <w:r>
              <w:rPr>
                <w:color w:val="231F20"/>
                <w:sz w:val="18"/>
              </w:rPr>
              <w:t>total</w:t>
            </w:r>
            <w:r>
              <w:rPr>
                <w:color w:val="231F20"/>
                <w:spacing w:val="-1"/>
                <w:sz w:val="18"/>
              </w:rPr>
              <w:t> </w:t>
            </w:r>
            <w:r>
              <w:rPr>
                <w:color w:val="231F20"/>
                <w:sz w:val="18"/>
              </w:rPr>
              <w:t>OPEB </w:t>
            </w:r>
            <w:r>
              <w:rPr>
                <w:color w:val="231F20"/>
                <w:spacing w:val="-2"/>
                <w:sz w:val="18"/>
              </w:rPr>
              <w:t>liability</w:t>
            </w:r>
            <w:r>
              <w:rPr>
                <w:color w:val="231F20"/>
                <w:sz w:val="18"/>
              </w:rPr>
              <w:tab/>
            </w:r>
            <w:r>
              <w:rPr>
                <w:color w:val="231F20"/>
                <w:spacing w:val="-2"/>
                <w:sz w:val="18"/>
              </w:rPr>
              <w:t>1,377,260</w:t>
            </w:r>
          </w:p>
        </w:tc>
        <w:tc>
          <w:tcPr>
            <w:tcW w:w="1852" w:type="dxa"/>
            <w:gridSpan w:val="2"/>
          </w:tcPr>
          <w:p>
            <w:pPr>
              <w:pStyle w:val="TableParagraph"/>
              <w:spacing w:line="203" w:lineRule="exact" w:before="9"/>
              <w:ind w:left="1207"/>
              <w:rPr>
                <w:sz w:val="18"/>
              </w:rPr>
            </w:pPr>
            <w:r>
              <w:rPr>
                <w:color w:val="231F20"/>
                <w:spacing w:val="-5"/>
                <w:sz w:val="18"/>
              </w:rPr>
              <w:t>N/A</w:t>
            </w:r>
          </w:p>
        </w:tc>
        <w:tc>
          <w:tcPr>
            <w:tcW w:w="1360" w:type="dxa"/>
            <w:gridSpan w:val="2"/>
          </w:tcPr>
          <w:p>
            <w:pPr>
              <w:pStyle w:val="TableParagraph"/>
              <w:spacing w:line="203" w:lineRule="exact" w:before="9"/>
              <w:ind w:left="461"/>
              <w:rPr>
                <w:sz w:val="18"/>
              </w:rPr>
            </w:pPr>
            <w:r>
              <w:rPr>
                <w:color w:val="231F20"/>
                <w:spacing w:val="-2"/>
                <w:sz w:val="18"/>
              </w:rPr>
              <w:t>1,377,260</w:t>
            </w:r>
          </w:p>
        </w:tc>
      </w:tr>
      <w:tr>
        <w:trPr>
          <w:trHeight w:val="232" w:hRule="atLeast"/>
        </w:trPr>
        <w:tc>
          <w:tcPr>
            <w:tcW w:w="6173" w:type="dxa"/>
            <w:gridSpan w:val="3"/>
          </w:tcPr>
          <w:p>
            <w:pPr>
              <w:pStyle w:val="TableParagraph"/>
              <w:tabs>
                <w:tab w:pos="6015" w:val="left" w:leader="none"/>
              </w:tabs>
              <w:spacing w:line="203" w:lineRule="exact" w:before="9"/>
              <w:ind w:left="234"/>
              <w:rPr>
                <w:sz w:val="18"/>
              </w:rPr>
            </w:pPr>
            <w:r>
              <w:rPr>
                <w:color w:val="231F20"/>
                <w:sz w:val="18"/>
              </w:rPr>
              <w:t>Changes</w:t>
            </w:r>
            <w:r>
              <w:rPr>
                <w:color w:val="231F20"/>
                <w:spacing w:val="-6"/>
                <w:sz w:val="18"/>
              </w:rPr>
              <w:t> </w:t>
            </w:r>
            <w:r>
              <w:rPr>
                <w:color w:val="231F20"/>
                <w:sz w:val="18"/>
              </w:rPr>
              <w:t>of</w:t>
            </w:r>
            <w:r>
              <w:rPr>
                <w:color w:val="231F20"/>
                <w:spacing w:val="-3"/>
                <w:sz w:val="18"/>
              </w:rPr>
              <w:t> </w:t>
            </w:r>
            <w:r>
              <w:rPr>
                <w:color w:val="231F20"/>
                <w:sz w:val="18"/>
              </w:rPr>
              <w:t>benefit</w:t>
            </w:r>
            <w:r>
              <w:rPr>
                <w:color w:val="231F20"/>
                <w:spacing w:val="-1"/>
                <w:sz w:val="18"/>
              </w:rPr>
              <w:t> </w:t>
            </w:r>
            <w:r>
              <w:rPr>
                <w:color w:val="231F20"/>
                <w:spacing w:val="-4"/>
                <w:sz w:val="18"/>
              </w:rPr>
              <w:t>terms</w:t>
            </w:r>
            <w:r>
              <w:rPr>
                <w:color w:val="231F20"/>
                <w:sz w:val="18"/>
              </w:rPr>
              <w:tab/>
            </w:r>
            <w:r>
              <w:rPr>
                <w:color w:val="231F20"/>
                <w:spacing w:val="-10"/>
                <w:sz w:val="18"/>
              </w:rPr>
              <w:t>-</w:t>
            </w:r>
          </w:p>
        </w:tc>
        <w:tc>
          <w:tcPr>
            <w:tcW w:w="1852" w:type="dxa"/>
            <w:gridSpan w:val="2"/>
          </w:tcPr>
          <w:p>
            <w:pPr>
              <w:pStyle w:val="TableParagraph"/>
              <w:spacing w:line="203" w:lineRule="exact" w:before="9"/>
              <w:ind w:left="1207"/>
              <w:rPr>
                <w:sz w:val="18"/>
              </w:rPr>
            </w:pPr>
            <w:r>
              <w:rPr>
                <w:color w:val="231F20"/>
                <w:spacing w:val="-5"/>
                <w:sz w:val="18"/>
              </w:rPr>
              <w:t>N/A</w:t>
            </w:r>
          </w:p>
        </w:tc>
        <w:tc>
          <w:tcPr>
            <w:tcW w:w="1360" w:type="dxa"/>
            <w:gridSpan w:val="2"/>
          </w:tcPr>
          <w:p>
            <w:pPr>
              <w:pStyle w:val="TableParagraph"/>
              <w:spacing w:line="203" w:lineRule="exact" w:before="9"/>
              <w:ind w:right="97"/>
              <w:jc w:val="right"/>
              <w:rPr>
                <w:sz w:val="18"/>
              </w:rPr>
            </w:pPr>
            <w:r>
              <w:rPr>
                <w:color w:val="231F20"/>
                <w:w w:val="100"/>
                <w:sz w:val="18"/>
              </w:rPr>
              <w:t>-</w:t>
            </w:r>
          </w:p>
        </w:tc>
      </w:tr>
      <w:tr>
        <w:trPr>
          <w:trHeight w:val="232" w:hRule="atLeast"/>
        </w:trPr>
        <w:tc>
          <w:tcPr>
            <w:tcW w:w="6173" w:type="dxa"/>
            <w:gridSpan w:val="3"/>
          </w:tcPr>
          <w:p>
            <w:pPr>
              <w:pStyle w:val="TableParagraph"/>
              <w:tabs>
                <w:tab w:pos="5173" w:val="left" w:leader="none"/>
              </w:tabs>
              <w:spacing w:line="203" w:lineRule="exact" w:before="9"/>
              <w:ind w:left="234"/>
              <w:rPr>
                <w:sz w:val="18"/>
              </w:rPr>
            </w:pPr>
            <w:r>
              <w:rPr>
                <w:color w:val="231F20"/>
                <w:sz w:val="18"/>
              </w:rPr>
              <w:t>Differences</w:t>
            </w:r>
            <w:r>
              <w:rPr>
                <w:color w:val="231F20"/>
                <w:spacing w:val="-6"/>
                <w:sz w:val="18"/>
              </w:rPr>
              <w:t> </w:t>
            </w:r>
            <w:r>
              <w:rPr>
                <w:color w:val="231F20"/>
                <w:sz w:val="18"/>
              </w:rPr>
              <w:t>between</w:t>
            </w:r>
            <w:r>
              <w:rPr>
                <w:color w:val="231F20"/>
                <w:spacing w:val="-5"/>
                <w:sz w:val="18"/>
              </w:rPr>
              <w:t> </w:t>
            </w:r>
            <w:r>
              <w:rPr>
                <w:color w:val="231F20"/>
                <w:sz w:val="18"/>
              </w:rPr>
              <w:t>expected</w:t>
            </w:r>
            <w:r>
              <w:rPr>
                <w:color w:val="231F20"/>
                <w:spacing w:val="-5"/>
                <w:sz w:val="18"/>
              </w:rPr>
              <w:t> </w:t>
            </w:r>
            <w:r>
              <w:rPr>
                <w:color w:val="231F20"/>
                <w:sz w:val="18"/>
              </w:rPr>
              <w:t>and</w:t>
            </w:r>
            <w:r>
              <w:rPr>
                <w:color w:val="231F20"/>
                <w:spacing w:val="-6"/>
                <w:sz w:val="18"/>
              </w:rPr>
              <w:t> </w:t>
            </w:r>
            <w:r>
              <w:rPr>
                <w:color w:val="231F20"/>
                <w:sz w:val="18"/>
              </w:rPr>
              <w:t>actual</w:t>
            </w:r>
            <w:r>
              <w:rPr>
                <w:color w:val="231F20"/>
                <w:spacing w:val="-5"/>
                <w:sz w:val="18"/>
              </w:rPr>
              <w:t> </w:t>
            </w:r>
            <w:r>
              <w:rPr>
                <w:color w:val="231F20"/>
                <w:spacing w:val="-2"/>
                <w:sz w:val="18"/>
              </w:rPr>
              <w:t>experience</w:t>
            </w:r>
            <w:r>
              <w:rPr>
                <w:color w:val="231F20"/>
                <w:sz w:val="18"/>
              </w:rPr>
              <w:tab/>
            </w:r>
            <w:r>
              <w:rPr>
                <w:color w:val="231F20"/>
                <w:spacing w:val="-2"/>
                <w:sz w:val="18"/>
              </w:rPr>
              <w:t>12,356,550</w:t>
            </w:r>
          </w:p>
        </w:tc>
        <w:tc>
          <w:tcPr>
            <w:tcW w:w="1852" w:type="dxa"/>
            <w:gridSpan w:val="2"/>
          </w:tcPr>
          <w:p>
            <w:pPr>
              <w:pStyle w:val="TableParagraph"/>
              <w:spacing w:line="203" w:lineRule="exact" w:before="9"/>
              <w:ind w:left="1207"/>
              <w:rPr>
                <w:sz w:val="18"/>
              </w:rPr>
            </w:pPr>
            <w:r>
              <w:rPr>
                <w:color w:val="231F20"/>
                <w:spacing w:val="-5"/>
                <w:sz w:val="18"/>
              </w:rPr>
              <w:t>N/A</w:t>
            </w:r>
          </w:p>
        </w:tc>
        <w:tc>
          <w:tcPr>
            <w:tcW w:w="1360" w:type="dxa"/>
            <w:gridSpan w:val="2"/>
          </w:tcPr>
          <w:p>
            <w:pPr>
              <w:pStyle w:val="TableParagraph"/>
              <w:spacing w:line="203" w:lineRule="exact" w:before="9"/>
              <w:ind w:left="361"/>
              <w:rPr>
                <w:sz w:val="18"/>
              </w:rPr>
            </w:pPr>
            <w:r>
              <w:rPr>
                <w:color w:val="231F20"/>
                <w:spacing w:val="-2"/>
                <w:sz w:val="18"/>
              </w:rPr>
              <w:t>12,356,550</w:t>
            </w:r>
          </w:p>
        </w:tc>
      </w:tr>
      <w:tr>
        <w:trPr>
          <w:trHeight w:val="232" w:hRule="atLeast"/>
        </w:trPr>
        <w:tc>
          <w:tcPr>
            <w:tcW w:w="6173" w:type="dxa"/>
            <w:gridSpan w:val="3"/>
          </w:tcPr>
          <w:p>
            <w:pPr>
              <w:pStyle w:val="TableParagraph"/>
              <w:tabs>
                <w:tab w:pos="5275" w:val="left" w:leader="none"/>
              </w:tabs>
              <w:spacing w:line="203" w:lineRule="exact" w:before="9"/>
              <w:ind w:left="234"/>
              <w:rPr>
                <w:sz w:val="18"/>
              </w:rPr>
            </w:pPr>
            <w:r>
              <w:rPr>
                <w:color w:val="231F20"/>
                <w:sz w:val="18"/>
              </w:rPr>
              <w:t>Changes</w:t>
            </w:r>
            <w:r>
              <w:rPr>
                <w:color w:val="231F20"/>
                <w:spacing w:val="-4"/>
                <w:sz w:val="18"/>
              </w:rPr>
              <w:t> </w:t>
            </w:r>
            <w:r>
              <w:rPr>
                <w:color w:val="231F20"/>
                <w:sz w:val="18"/>
              </w:rPr>
              <w:t>of</w:t>
            </w:r>
            <w:r>
              <w:rPr>
                <w:color w:val="231F20"/>
                <w:spacing w:val="-2"/>
                <w:sz w:val="18"/>
              </w:rPr>
              <w:t> assumptions*</w:t>
            </w:r>
            <w:r>
              <w:rPr>
                <w:color w:val="231F20"/>
                <w:sz w:val="18"/>
              </w:rPr>
              <w:tab/>
            </w:r>
            <w:r>
              <w:rPr>
                <w:color w:val="231F20"/>
                <w:spacing w:val="-2"/>
                <w:sz w:val="18"/>
              </w:rPr>
              <w:t>7,720,129</w:t>
            </w:r>
          </w:p>
        </w:tc>
        <w:tc>
          <w:tcPr>
            <w:tcW w:w="1852" w:type="dxa"/>
            <w:gridSpan w:val="2"/>
          </w:tcPr>
          <w:p>
            <w:pPr>
              <w:pStyle w:val="TableParagraph"/>
              <w:spacing w:line="203" w:lineRule="exact" w:before="9"/>
              <w:ind w:left="1207"/>
              <w:rPr>
                <w:sz w:val="18"/>
              </w:rPr>
            </w:pPr>
            <w:r>
              <w:rPr>
                <w:color w:val="231F20"/>
                <w:spacing w:val="-5"/>
                <w:sz w:val="18"/>
              </w:rPr>
              <w:t>N/A</w:t>
            </w:r>
          </w:p>
        </w:tc>
        <w:tc>
          <w:tcPr>
            <w:tcW w:w="1360" w:type="dxa"/>
            <w:gridSpan w:val="2"/>
          </w:tcPr>
          <w:p>
            <w:pPr>
              <w:pStyle w:val="TableParagraph"/>
              <w:spacing w:line="203" w:lineRule="exact" w:before="9"/>
              <w:ind w:left="460"/>
              <w:rPr>
                <w:sz w:val="18"/>
              </w:rPr>
            </w:pPr>
            <w:r>
              <w:rPr>
                <w:color w:val="231F20"/>
                <w:spacing w:val="-2"/>
                <w:sz w:val="18"/>
              </w:rPr>
              <w:t>7,720,129</w:t>
            </w:r>
          </w:p>
        </w:tc>
      </w:tr>
      <w:tr>
        <w:trPr>
          <w:trHeight w:val="250" w:hRule="atLeast"/>
        </w:trPr>
        <w:tc>
          <w:tcPr>
            <w:tcW w:w="6173" w:type="dxa"/>
            <w:gridSpan w:val="3"/>
          </w:tcPr>
          <w:p>
            <w:pPr>
              <w:pStyle w:val="TableParagraph"/>
              <w:tabs>
                <w:tab w:pos="5214" w:val="left" w:leader="none"/>
              </w:tabs>
              <w:spacing w:before="9"/>
              <w:ind w:left="234"/>
              <w:rPr>
                <w:sz w:val="18"/>
              </w:rPr>
            </w:pPr>
            <w:r>
              <w:rPr>
                <w:color w:val="231F20"/>
                <w:sz w:val="18"/>
              </w:rPr>
              <w:t>Gross</w:t>
            </w:r>
            <w:r>
              <w:rPr>
                <w:color w:val="231F20"/>
                <w:spacing w:val="-4"/>
                <w:sz w:val="18"/>
              </w:rPr>
              <w:t> </w:t>
            </w:r>
            <w:r>
              <w:rPr>
                <w:color w:val="231F20"/>
                <w:sz w:val="18"/>
              </w:rPr>
              <w:t>benefit</w:t>
            </w:r>
            <w:r>
              <w:rPr>
                <w:color w:val="231F20"/>
                <w:spacing w:val="-2"/>
                <w:sz w:val="18"/>
              </w:rPr>
              <w:t> payments</w:t>
            </w:r>
            <w:r>
              <w:rPr>
                <w:color w:val="231F20"/>
                <w:sz w:val="18"/>
              </w:rPr>
              <w:tab/>
            </w:r>
            <w:r>
              <w:rPr>
                <w:color w:val="231F20"/>
                <w:spacing w:val="-2"/>
                <w:sz w:val="18"/>
              </w:rPr>
              <w:t>(1,477,174)</w:t>
            </w:r>
          </w:p>
        </w:tc>
        <w:tc>
          <w:tcPr>
            <w:tcW w:w="1852" w:type="dxa"/>
            <w:gridSpan w:val="2"/>
          </w:tcPr>
          <w:p>
            <w:pPr>
              <w:pStyle w:val="TableParagraph"/>
              <w:spacing w:before="9"/>
              <w:ind w:left="648"/>
              <w:rPr>
                <w:sz w:val="18"/>
              </w:rPr>
            </w:pPr>
            <w:r>
              <w:rPr>
                <w:color w:val="231F20"/>
                <w:spacing w:val="-2"/>
                <w:sz w:val="18"/>
              </w:rPr>
              <w:t>(1,477,174)</w:t>
            </w:r>
          </w:p>
        </w:tc>
        <w:tc>
          <w:tcPr>
            <w:tcW w:w="1360" w:type="dxa"/>
            <w:gridSpan w:val="2"/>
          </w:tcPr>
          <w:p>
            <w:pPr>
              <w:pStyle w:val="TableParagraph"/>
              <w:spacing w:before="9"/>
              <w:ind w:right="98"/>
              <w:jc w:val="right"/>
              <w:rPr>
                <w:sz w:val="18"/>
              </w:rPr>
            </w:pPr>
            <w:r>
              <w:rPr>
                <w:color w:val="231F20"/>
                <w:w w:val="100"/>
                <w:sz w:val="18"/>
              </w:rPr>
              <w:t>-</w:t>
            </w:r>
          </w:p>
        </w:tc>
      </w:tr>
      <w:tr>
        <w:trPr>
          <w:trHeight w:val="250" w:hRule="atLeast"/>
        </w:trPr>
        <w:tc>
          <w:tcPr>
            <w:tcW w:w="6173" w:type="dxa"/>
            <w:gridSpan w:val="3"/>
          </w:tcPr>
          <w:p>
            <w:pPr>
              <w:pStyle w:val="TableParagraph"/>
              <w:tabs>
                <w:tab w:pos="5773" w:val="left" w:leader="none"/>
              </w:tabs>
              <w:spacing w:line="203" w:lineRule="exact" w:before="27"/>
              <w:ind w:left="234"/>
              <w:rPr>
                <w:sz w:val="18"/>
              </w:rPr>
            </w:pPr>
            <w:r>
              <w:rPr>
                <w:color w:val="231F20"/>
                <w:sz w:val="18"/>
              </w:rPr>
              <w:t>Contributions</w:t>
            </w:r>
            <w:r>
              <w:rPr>
                <w:color w:val="231F20"/>
                <w:spacing w:val="-3"/>
                <w:sz w:val="18"/>
              </w:rPr>
              <w:t> </w:t>
            </w:r>
            <w:r>
              <w:rPr>
                <w:color w:val="231F20"/>
                <w:sz w:val="18"/>
              </w:rPr>
              <w:t>from</w:t>
            </w:r>
            <w:r>
              <w:rPr>
                <w:color w:val="231F20"/>
                <w:spacing w:val="-4"/>
                <w:sz w:val="18"/>
              </w:rPr>
              <w:t> </w:t>
            </w:r>
            <w:r>
              <w:rPr>
                <w:color w:val="231F20"/>
                <w:sz w:val="18"/>
              </w:rPr>
              <w:t>the</w:t>
            </w:r>
            <w:r>
              <w:rPr>
                <w:color w:val="231F20"/>
                <w:spacing w:val="-4"/>
                <w:sz w:val="18"/>
              </w:rPr>
              <w:t> </w:t>
            </w:r>
            <w:r>
              <w:rPr>
                <w:color w:val="231F20"/>
                <w:spacing w:val="-2"/>
                <w:sz w:val="18"/>
              </w:rPr>
              <w:t>employer</w:t>
            </w:r>
            <w:r>
              <w:rPr>
                <w:color w:val="231F20"/>
                <w:sz w:val="18"/>
              </w:rPr>
              <w:tab/>
            </w:r>
            <w:r>
              <w:rPr>
                <w:color w:val="231F20"/>
                <w:spacing w:val="-5"/>
                <w:sz w:val="18"/>
              </w:rPr>
              <w:t>N/A</w:t>
            </w:r>
          </w:p>
        </w:tc>
        <w:tc>
          <w:tcPr>
            <w:tcW w:w="1852" w:type="dxa"/>
            <w:gridSpan w:val="2"/>
          </w:tcPr>
          <w:p>
            <w:pPr>
              <w:pStyle w:val="TableParagraph"/>
              <w:spacing w:line="203" w:lineRule="exact" w:before="27"/>
              <w:ind w:left="856"/>
              <w:rPr>
                <w:sz w:val="18"/>
              </w:rPr>
            </w:pPr>
            <w:r>
              <w:rPr>
                <w:color w:val="231F20"/>
                <w:spacing w:val="-2"/>
                <w:sz w:val="18"/>
              </w:rPr>
              <w:t>689,092</w:t>
            </w:r>
          </w:p>
        </w:tc>
        <w:tc>
          <w:tcPr>
            <w:tcW w:w="1360" w:type="dxa"/>
            <w:gridSpan w:val="2"/>
          </w:tcPr>
          <w:p>
            <w:pPr>
              <w:pStyle w:val="TableParagraph"/>
              <w:spacing w:line="203" w:lineRule="exact" w:before="27"/>
              <w:ind w:left="550"/>
              <w:rPr>
                <w:sz w:val="18"/>
              </w:rPr>
            </w:pPr>
            <w:r>
              <w:rPr>
                <w:color w:val="231F20"/>
                <w:spacing w:val="-2"/>
                <w:sz w:val="18"/>
              </w:rPr>
              <w:t>(689,092)</w:t>
            </w:r>
          </w:p>
        </w:tc>
      </w:tr>
      <w:tr>
        <w:trPr>
          <w:trHeight w:val="232" w:hRule="atLeast"/>
        </w:trPr>
        <w:tc>
          <w:tcPr>
            <w:tcW w:w="6173" w:type="dxa"/>
            <w:gridSpan w:val="3"/>
          </w:tcPr>
          <w:p>
            <w:pPr>
              <w:pStyle w:val="TableParagraph"/>
              <w:tabs>
                <w:tab w:pos="5773" w:val="left" w:leader="none"/>
              </w:tabs>
              <w:spacing w:line="203" w:lineRule="exact" w:before="9"/>
              <w:ind w:left="234"/>
              <w:rPr>
                <w:sz w:val="18"/>
              </w:rPr>
            </w:pPr>
            <w:r>
              <w:rPr>
                <w:color w:val="231F20"/>
                <w:sz w:val="18"/>
              </w:rPr>
              <w:t>Contributions</w:t>
            </w:r>
            <w:r>
              <w:rPr>
                <w:color w:val="231F20"/>
                <w:spacing w:val="-3"/>
                <w:sz w:val="18"/>
              </w:rPr>
              <w:t> </w:t>
            </w:r>
            <w:r>
              <w:rPr>
                <w:color w:val="231F20"/>
                <w:sz w:val="18"/>
              </w:rPr>
              <w:t>from</w:t>
            </w:r>
            <w:r>
              <w:rPr>
                <w:color w:val="231F20"/>
                <w:spacing w:val="-4"/>
                <w:sz w:val="18"/>
              </w:rPr>
              <w:t> </w:t>
            </w:r>
            <w:r>
              <w:rPr>
                <w:color w:val="231F20"/>
                <w:sz w:val="18"/>
              </w:rPr>
              <w:t>the</w:t>
            </w:r>
            <w:r>
              <w:rPr>
                <w:color w:val="231F20"/>
                <w:spacing w:val="-4"/>
                <w:sz w:val="18"/>
              </w:rPr>
              <w:t> </w:t>
            </w:r>
            <w:r>
              <w:rPr>
                <w:color w:val="231F20"/>
                <w:spacing w:val="-2"/>
                <w:sz w:val="18"/>
              </w:rPr>
              <w:t>employee</w:t>
            </w:r>
            <w:r>
              <w:rPr>
                <w:color w:val="231F20"/>
                <w:sz w:val="18"/>
              </w:rPr>
              <w:tab/>
            </w:r>
            <w:r>
              <w:rPr>
                <w:color w:val="231F20"/>
                <w:spacing w:val="-5"/>
                <w:sz w:val="18"/>
              </w:rPr>
              <w:t>N/A</w:t>
            </w:r>
          </w:p>
        </w:tc>
        <w:tc>
          <w:tcPr>
            <w:tcW w:w="1852" w:type="dxa"/>
            <w:gridSpan w:val="2"/>
          </w:tcPr>
          <w:p>
            <w:pPr>
              <w:pStyle w:val="TableParagraph"/>
              <w:spacing w:line="203" w:lineRule="exact" w:before="9"/>
              <w:ind w:left="856"/>
              <w:rPr>
                <w:sz w:val="18"/>
              </w:rPr>
            </w:pPr>
            <w:r>
              <w:rPr>
                <w:color w:val="231F20"/>
                <w:spacing w:val="-2"/>
                <w:sz w:val="18"/>
              </w:rPr>
              <w:t>735,022</w:t>
            </w:r>
          </w:p>
        </w:tc>
        <w:tc>
          <w:tcPr>
            <w:tcW w:w="1360" w:type="dxa"/>
            <w:gridSpan w:val="2"/>
          </w:tcPr>
          <w:p>
            <w:pPr>
              <w:pStyle w:val="TableParagraph"/>
              <w:spacing w:line="203" w:lineRule="exact" w:before="9"/>
              <w:ind w:left="550"/>
              <w:rPr>
                <w:sz w:val="18"/>
              </w:rPr>
            </w:pPr>
            <w:r>
              <w:rPr>
                <w:color w:val="231F20"/>
                <w:spacing w:val="-2"/>
                <w:sz w:val="18"/>
              </w:rPr>
              <w:t>(735,022)</w:t>
            </w:r>
          </w:p>
        </w:tc>
      </w:tr>
      <w:tr>
        <w:trPr>
          <w:trHeight w:val="232" w:hRule="atLeast"/>
        </w:trPr>
        <w:tc>
          <w:tcPr>
            <w:tcW w:w="6173" w:type="dxa"/>
            <w:gridSpan w:val="3"/>
          </w:tcPr>
          <w:p>
            <w:pPr>
              <w:pStyle w:val="TableParagraph"/>
              <w:tabs>
                <w:tab w:pos="5775" w:val="left" w:leader="none"/>
              </w:tabs>
              <w:spacing w:line="203" w:lineRule="exact" w:before="9"/>
              <w:ind w:left="234"/>
              <w:rPr>
                <w:sz w:val="18"/>
              </w:rPr>
            </w:pPr>
            <w:r>
              <w:rPr>
                <w:color w:val="231F20"/>
                <w:sz w:val="18"/>
              </w:rPr>
              <w:t>Net</w:t>
            </w:r>
            <w:r>
              <w:rPr>
                <w:color w:val="231F20"/>
                <w:spacing w:val="-4"/>
                <w:sz w:val="18"/>
              </w:rPr>
              <w:t> </w:t>
            </w:r>
            <w:r>
              <w:rPr>
                <w:color w:val="231F20"/>
                <w:sz w:val="18"/>
              </w:rPr>
              <w:t>investment</w:t>
            </w:r>
            <w:r>
              <w:rPr>
                <w:color w:val="231F20"/>
                <w:spacing w:val="-4"/>
                <w:sz w:val="18"/>
              </w:rPr>
              <w:t> </w:t>
            </w:r>
            <w:r>
              <w:rPr>
                <w:color w:val="231F20"/>
                <w:spacing w:val="-2"/>
                <w:sz w:val="18"/>
              </w:rPr>
              <w:t>income</w:t>
            </w:r>
            <w:r>
              <w:rPr>
                <w:color w:val="231F20"/>
                <w:sz w:val="18"/>
              </w:rPr>
              <w:tab/>
            </w:r>
            <w:r>
              <w:rPr>
                <w:color w:val="231F20"/>
                <w:spacing w:val="-5"/>
                <w:sz w:val="18"/>
              </w:rPr>
              <w:t>N/A</w:t>
            </w:r>
          </w:p>
        </w:tc>
        <w:tc>
          <w:tcPr>
            <w:tcW w:w="1852" w:type="dxa"/>
            <w:gridSpan w:val="2"/>
          </w:tcPr>
          <w:p>
            <w:pPr>
              <w:pStyle w:val="TableParagraph"/>
              <w:spacing w:line="203" w:lineRule="exact" w:before="9"/>
              <w:ind w:left="857"/>
              <w:rPr>
                <w:sz w:val="18"/>
              </w:rPr>
            </w:pPr>
            <w:r>
              <w:rPr>
                <w:color w:val="231F20"/>
                <w:spacing w:val="-2"/>
                <w:sz w:val="18"/>
              </w:rPr>
              <w:t>714,655</w:t>
            </w:r>
          </w:p>
        </w:tc>
        <w:tc>
          <w:tcPr>
            <w:tcW w:w="1360" w:type="dxa"/>
            <w:gridSpan w:val="2"/>
          </w:tcPr>
          <w:p>
            <w:pPr>
              <w:pStyle w:val="TableParagraph"/>
              <w:spacing w:line="203" w:lineRule="exact" w:before="9"/>
              <w:ind w:left="550"/>
              <w:rPr>
                <w:sz w:val="18"/>
              </w:rPr>
            </w:pPr>
            <w:r>
              <w:rPr>
                <w:color w:val="231F20"/>
                <w:spacing w:val="-2"/>
                <w:sz w:val="18"/>
              </w:rPr>
              <w:t>(714,655)</w:t>
            </w:r>
          </w:p>
        </w:tc>
      </w:tr>
      <w:tr>
        <w:trPr>
          <w:trHeight w:val="232" w:hRule="atLeast"/>
        </w:trPr>
        <w:tc>
          <w:tcPr>
            <w:tcW w:w="6173" w:type="dxa"/>
            <w:gridSpan w:val="3"/>
          </w:tcPr>
          <w:p>
            <w:pPr>
              <w:pStyle w:val="TableParagraph"/>
              <w:tabs>
                <w:tab w:pos="5775" w:val="left" w:leader="none"/>
              </w:tabs>
              <w:spacing w:line="203" w:lineRule="exact" w:before="9"/>
              <w:ind w:left="234"/>
              <w:rPr>
                <w:sz w:val="18"/>
              </w:rPr>
            </w:pPr>
            <w:r>
              <w:rPr>
                <w:color w:val="231F20"/>
                <w:sz w:val="18"/>
              </w:rPr>
              <w:t>Administrative</w:t>
            </w:r>
            <w:r>
              <w:rPr>
                <w:color w:val="231F20"/>
                <w:spacing w:val="-11"/>
                <w:sz w:val="18"/>
              </w:rPr>
              <w:t> </w:t>
            </w:r>
            <w:r>
              <w:rPr>
                <w:color w:val="231F20"/>
                <w:spacing w:val="-2"/>
                <w:sz w:val="18"/>
              </w:rPr>
              <w:t>expense</w:t>
            </w:r>
            <w:r>
              <w:rPr>
                <w:color w:val="231F20"/>
                <w:sz w:val="18"/>
              </w:rPr>
              <w:tab/>
            </w:r>
            <w:r>
              <w:rPr>
                <w:color w:val="231F20"/>
                <w:spacing w:val="-5"/>
                <w:sz w:val="18"/>
              </w:rPr>
              <w:t>N/A</w:t>
            </w:r>
          </w:p>
        </w:tc>
        <w:tc>
          <w:tcPr>
            <w:tcW w:w="1852" w:type="dxa"/>
            <w:gridSpan w:val="2"/>
          </w:tcPr>
          <w:p>
            <w:pPr>
              <w:pStyle w:val="TableParagraph"/>
              <w:spacing w:line="203" w:lineRule="exact" w:before="9"/>
              <w:ind w:left="896"/>
              <w:rPr>
                <w:sz w:val="18"/>
              </w:rPr>
            </w:pPr>
            <w:r>
              <w:rPr>
                <w:color w:val="231F20"/>
                <w:spacing w:val="-2"/>
                <w:sz w:val="18"/>
              </w:rPr>
              <w:t>(97,012)</w:t>
            </w:r>
          </w:p>
        </w:tc>
        <w:tc>
          <w:tcPr>
            <w:tcW w:w="1360" w:type="dxa"/>
            <w:gridSpan w:val="2"/>
          </w:tcPr>
          <w:p>
            <w:pPr>
              <w:pStyle w:val="TableParagraph"/>
              <w:spacing w:line="203" w:lineRule="exact" w:before="9"/>
              <w:ind w:left="710"/>
              <w:rPr>
                <w:sz w:val="18"/>
              </w:rPr>
            </w:pPr>
            <w:r>
              <w:rPr>
                <w:color w:val="231F20"/>
                <w:spacing w:val="-2"/>
                <w:sz w:val="18"/>
              </w:rPr>
              <w:t>97,012</w:t>
            </w:r>
          </w:p>
        </w:tc>
      </w:tr>
      <w:tr>
        <w:trPr>
          <w:trHeight w:val="223" w:hRule="atLeast"/>
        </w:trPr>
        <w:tc>
          <w:tcPr>
            <w:tcW w:w="6173" w:type="dxa"/>
            <w:gridSpan w:val="3"/>
          </w:tcPr>
          <w:p>
            <w:pPr>
              <w:pStyle w:val="TableParagraph"/>
              <w:tabs>
                <w:tab w:pos="5774" w:val="left" w:leader="none"/>
              </w:tabs>
              <w:spacing w:line="194" w:lineRule="exact" w:before="9"/>
              <w:ind w:left="234"/>
              <w:rPr>
                <w:sz w:val="18"/>
              </w:rPr>
            </w:pPr>
            <w:r>
              <w:rPr>
                <w:color w:val="231F20"/>
                <w:sz w:val="18"/>
              </w:rPr>
              <w:t>Other</w:t>
            </w:r>
            <w:r>
              <w:rPr>
                <w:color w:val="231F20"/>
                <w:spacing w:val="-2"/>
                <w:sz w:val="18"/>
              </w:rPr>
              <w:t> changes</w:t>
            </w:r>
            <w:r>
              <w:rPr>
                <w:color w:val="231F20"/>
                <w:sz w:val="18"/>
              </w:rPr>
              <w:tab/>
            </w:r>
            <w:r>
              <w:rPr>
                <w:color w:val="231F20"/>
                <w:spacing w:val="-5"/>
                <w:sz w:val="18"/>
              </w:rPr>
              <w:t>N/A</w:t>
            </w:r>
          </w:p>
        </w:tc>
        <w:tc>
          <w:tcPr>
            <w:tcW w:w="1852" w:type="dxa"/>
            <w:gridSpan w:val="2"/>
          </w:tcPr>
          <w:p>
            <w:pPr>
              <w:pStyle w:val="TableParagraph"/>
              <w:spacing w:line="194" w:lineRule="exact" w:before="9"/>
              <w:ind w:left="857"/>
              <w:rPr>
                <w:sz w:val="18"/>
              </w:rPr>
            </w:pPr>
            <w:r>
              <w:rPr>
                <w:color w:val="231F20"/>
                <w:spacing w:val="-2"/>
                <w:sz w:val="18"/>
              </w:rPr>
              <w:t>147,159</w:t>
            </w:r>
          </w:p>
        </w:tc>
        <w:tc>
          <w:tcPr>
            <w:tcW w:w="1360" w:type="dxa"/>
            <w:gridSpan w:val="2"/>
            <w:tcBorders>
              <w:bottom w:val="single" w:sz="12" w:space="0" w:color="231F20"/>
            </w:tcBorders>
          </w:tcPr>
          <w:p>
            <w:pPr>
              <w:pStyle w:val="TableParagraph"/>
              <w:spacing w:line="194" w:lineRule="exact" w:before="9"/>
              <w:ind w:left="550"/>
              <w:rPr>
                <w:sz w:val="18"/>
              </w:rPr>
            </w:pPr>
            <w:r>
              <w:rPr>
                <w:color w:val="231F20"/>
                <w:spacing w:val="-2"/>
                <w:sz w:val="18"/>
              </w:rPr>
              <w:t>(147,159)</w:t>
            </w:r>
          </w:p>
        </w:tc>
      </w:tr>
      <w:tr>
        <w:trPr>
          <w:trHeight w:val="319" w:hRule="atLeast"/>
        </w:trPr>
        <w:tc>
          <w:tcPr>
            <w:tcW w:w="6173" w:type="dxa"/>
            <w:gridSpan w:val="3"/>
          </w:tcPr>
          <w:p>
            <w:pPr>
              <w:pStyle w:val="TableParagraph"/>
              <w:tabs>
                <w:tab w:pos="5175" w:val="left" w:leader="none"/>
              </w:tabs>
              <w:spacing w:line="194" w:lineRule="exact" w:before="105"/>
              <w:ind w:left="375"/>
              <w:rPr>
                <w:sz w:val="18"/>
              </w:rPr>
            </w:pPr>
            <w:r>
              <w:rPr>
                <w:color w:val="231F20"/>
                <w:sz w:val="18"/>
              </w:rPr>
              <w:t>Net</w:t>
            </w:r>
            <w:r>
              <w:rPr>
                <w:color w:val="231F20"/>
                <w:spacing w:val="-2"/>
                <w:sz w:val="18"/>
              </w:rPr>
              <w:t> changes</w:t>
            </w:r>
            <w:r>
              <w:rPr>
                <w:color w:val="231F20"/>
                <w:sz w:val="18"/>
              </w:rPr>
              <w:tab/>
            </w:r>
            <w:r>
              <w:rPr>
                <w:color w:val="231F20"/>
                <w:spacing w:val="-2"/>
                <w:sz w:val="18"/>
              </w:rPr>
              <w:t>22,970,200</w:t>
            </w:r>
          </w:p>
        </w:tc>
        <w:tc>
          <w:tcPr>
            <w:tcW w:w="1852" w:type="dxa"/>
            <w:gridSpan w:val="2"/>
          </w:tcPr>
          <w:p>
            <w:pPr>
              <w:pStyle w:val="TableParagraph"/>
              <w:spacing w:line="194" w:lineRule="exact" w:before="105"/>
              <w:ind w:left="857"/>
              <w:rPr>
                <w:sz w:val="18"/>
              </w:rPr>
            </w:pPr>
            <w:r>
              <w:rPr>
                <w:color w:val="231F20"/>
                <w:spacing w:val="-2"/>
                <w:sz w:val="18"/>
              </w:rPr>
              <w:t>711,742</w:t>
            </w:r>
          </w:p>
        </w:tc>
        <w:tc>
          <w:tcPr>
            <w:tcW w:w="1360" w:type="dxa"/>
            <w:gridSpan w:val="2"/>
            <w:tcBorders>
              <w:top w:val="single" w:sz="12" w:space="0" w:color="231F20"/>
              <w:bottom w:val="single" w:sz="12" w:space="0" w:color="231F20"/>
            </w:tcBorders>
          </w:tcPr>
          <w:p>
            <w:pPr>
              <w:pStyle w:val="TableParagraph"/>
              <w:spacing w:line="194" w:lineRule="exact" w:before="105"/>
              <w:ind w:left="361"/>
              <w:rPr>
                <w:sz w:val="18"/>
              </w:rPr>
            </w:pPr>
            <w:r>
              <w:rPr>
                <w:color w:val="231F20"/>
                <w:spacing w:val="-2"/>
                <w:sz w:val="18"/>
              </w:rPr>
              <w:t>22,258,458</w:t>
            </w:r>
          </w:p>
        </w:tc>
      </w:tr>
      <w:tr>
        <w:trPr>
          <w:trHeight w:val="493" w:hRule="atLeast"/>
        </w:trPr>
        <w:tc>
          <w:tcPr>
            <w:tcW w:w="4456" w:type="dxa"/>
          </w:tcPr>
          <w:p>
            <w:pPr>
              <w:pStyle w:val="TableParagraph"/>
              <w:spacing w:line="185" w:lineRule="exact"/>
              <w:ind w:left="93"/>
              <w:rPr>
                <w:sz w:val="18"/>
              </w:rPr>
            </w:pPr>
            <w:r>
              <w:rPr>
                <w:color w:val="231F20"/>
                <w:sz w:val="18"/>
              </w:rPr>
              <w:t>Balance</w:t>
            </w:r>
            <w:r>
              <w:rPr>
                <w:color w:val="231F20"/>
                <w:spacing w:val="-5"/>
                <w:sz w:val="18"/>
              </w:rPr>
              <w:t> </w:t>
            </w:r>
            <w:r>
              <w:rPr>
                <w:color w:val="231F20"/>
                <w:sz w:val="18"/>
              </w:rPr>
              <w:t>at</w:t>
            </w:r>
            <w:r>
              <w:rPr>
                <w:color w:val="231F20"/>
                <w:spacing w:val="-2"/>
                <w:sz w:val="18"/>
              </w:rPr>
              <w:t> </w:t>
            </w:r>
            <w:r>
              <w:rPr>
                <w:color w:val="231F20"/>
                <w:sz w:val="18"/>
              </w:rPr>
              <w:t>June</w:t>
            </w:r>
            <w:r>
              <w:rPr>
                <w:color w:val="231F20"/>
                <w:spacing w:val="-3"/>
                <w:sz w:val="18"/>
              </w:rPr>
              <w:t> </w:t>
            </w:r>
            <w:r>
              <w:rPr>
                <w:color w:val="231F20"/>
                <w:sz w:val="18"/>
              </w:rPr>
              <w:t>30,</w:t>
            </w:r>
            <w:r>
              <w:rPr>
                <w:color w:val="231F20"/>
                <w:spacing w:val="-2"/>
                <w:sz w:val="18"/>
              </w:rPr>
              <w:t> </w:t>
            </w:r>
            <w:r>
              <w:rPr>
                <w:color w:val="231F20"/>
                <w:sz w:val="18"/>
              </w:rPr>
              <w:t>2022</w:t>
            </w:r>
            <w:r>
              <w:rPr>
                <w:color w:val="231F20"/>
                <w:spacing w:val="-4"/>
                <w:sz w:val="18"/>
              </w:rPr>
              <w:t> </w:t>
            </w:r>
            <w:r>
              <w:rPr>
                <w:color w:val="231F20"/>
                <w:sz w:val="18"/>
              </w:rPr>
              <w:t>(based</w:t>
            </w:r>
            <w:r>
              <w:rPr>
                <w:color w:val="231F20"/>
                <w:spacing w:val="-2"/>
                <w:sz w:val="18"/>
              </w:rPr>
              <w:t> </w:t>
            </w:r>
            <w:r>
              <w:rPr>
                <w:color w:val="231F20"/>
                <w:sz w:val="18"/>
              </w:rPr>
              <w:t>on</w:t>
            </w:r>
            <w:r>
              <w:rPr>
                <w:color w:val="231F20"/>
                <w:spacing w:val="-4"/>
                <w:sz w:val="18"/>
              </w:rPr>
              <w:t> </w:t>
            </w:r>
            <w:r>
              <w:rPr>
                <w:color w:val="231F20"/>
                <w:sz w:val="18"/>
              </w:rPr>
              <w:t>July</w:t>
            </w:r>
            <w:r>
              <w:rPr>
                <w:color w:val="231F20"/>
                <w:spacing w:val="-3"/>
                <w:sz w:val="18"/>
              </w:rPr>
              <w:t> </w:t>
            </w:r>
            <w:r>
              <w:rPr>
                <w:color w:val="231F20"/>
                <w:sz w:val="18"/>
              </w:rPr>
              <w:t>1,</w:t>
            </w:r>
            <w:r>
              <w:rPr>
                <w:color w:val="231F20"/>
                <w:spacing w:val="-2"/>
                <w:sz w:val="18"/>
              </w:rPr>
              <w:t> </w:t>
            </w:r>
            <w:r>
              <w:rPr>
                <w:color w:val="231F20"/>
                <w:spacing w:val="-4"/>
                <w:sz w:val="18"/>
              </w:rPr>
              <w:t>2021</w:t>
            </w:r>
          </w:p>
          <w:p>
            <w:pPr>
              <w:pStyle w:val="TableParagraph"/>
              <w:spacing w:before="21"/>
              <w:ind w:left="233"/>
              <w:rPr>
                <w:sz w:val="18"/>
              </w:rPr>
            </w:pPr>
            <w:r>
              <w:rPr>
                <w:color w:val="231F20"/>
                <w:sz w:val="18"/>
              </w:rPr>
              <w:t>measurement</w:t>
            </w:r>
            <w:r>
              <w:rPr>
                <w:color w:val="231F20"/>
                <w:spacing w:val="-6"/>
                <w:sz w:val="18"/>
              </w:rPr>
              <w:t> </w:t>
            </w:r>
            <w:r>
              <w:rPr>
                <w:color w:val="231F20"/>
                <w:spacing w:val="-2"/>
                <w:sz w:val="18"/>
              </w:rPr>
              <w:t>date)</w:t>
            </w:r>
          </w:p>
        </w:tc>
        <w:tc>
          <w:tcPr>
            <w:tcW w:w="636" w:type="dxa"/>
          </w:tcPr>
          <w:p>
            <w:pPr>
              <w:pStyle w:val="TableParagraph"/>
              <w:spacing w:before="10"/>
              <w:rPr>
                <w:sz w:val="17"/>
              </w:rPr>
            </w:pPr>
          </w:p>
          <w:p>
            <w:pPr>
              <w:pStyle w:val="TableParagraph"/>
              <w:spacing w:before="1"/>
              <w:ind w:right="80"/>
              <w:jc w:val="right"/>
              <w:rPr>
                <w:sz w:val="18"/>
              </w:rPr>
            </w:pPr>
            <w:r>
              <w:rPr>
                <w:color w:val="231F20"/>
                <w:w w:val="100"/>
                <w:sz w:val="18"/>
              </w:rPr>
              <w:t>$</w:t>
            </w:r>
          </w:p>
        </w:tc>
        <w:tc>
          <w:tcPr>
            <w:tcW w:w="1081" w:type="dxa"/>
          </w:tcPr>
          <w:p>
            <w:pPr>
              <w:pStyle w:val="TableParagraph"/>
              <w:spacing w:before="10"/>
              <w:rPr>
                <w:sz w:val="17"/>
              </w:rPr>
            </w:pPr>
          </w:p>
          <w:p>
            <w:pPr>
              <w:pStyle w:val="TableParagraph"/>
              <w:spacing w:before="1"/>
              <w:ind w:left="82"/>
              <w:rPr>
                <w:sz w:val="18"/>
              </w:rPr>
            </w:pPr>
            <w:r>
              <w:rPr>
                <w:color w:val="231F20"/>
                <w:spacing w:val="-2"/>
                <w:sz w:val="18"/>
              </w:rPr>
              <w:t>64,293,784</w:t>
            </w:r>
          </w:p>
        </w:tc>
        <w:tc>
          <w:tcPr>
            <w:tcW w:w="575" w:type="dxa"/>
          </w:tcPr>
          <w:p>
            <w:pPr>
              <w:pStyle w:val="TableParagraph"/>
              <w:spacing w:before="10"/>
              <w:rPr>
                <w:sz w:val="17"/>
              </w:rPr>
            </w:pPr>
          </w:p>
          <w:p>
            <w:pPr>
              <w:pStyle w:val="TableParagraph"/>
              <w:spacing w:before="1"/>
              <w:ind w:left="340"/>
              <w:rPr>
                <w:sz w:val="18"/>
              </w:rPr>
            </w:pPr>
            <w:r>
              <w:rPr>
                <w:color w:val="231F20"/>
                <w:w w:val="100"/>
                <w:sz w:val="18"/>
              </w:rPr>
              <w:t>$</w:t>
            </w:r>
          </w:p>
        </w:tc>
        <w:tc>
          <w:tcPr>
            <w:tcW w:w="1277" w:type="dxa"/>
          </w:tcPr>
          <w:p>
            <w:pPr>
              <w:pStyle w:val="TableParagraph"/>
              <w:spacing w:before="10"/>
              <w:rPr>
                <w:sz w:val="17"/>
              </w:rPr>
            </w:pPr>
          </w:p>
          <w:p>
            <w:pPr>
              <w:pStyle w:val="TableParagraph"/>
              <w:spacing w:before="1"/>
              <w:ind w:left="132"/>
              <w:rPr>
                <w:sz w:val="18"/>
              </w:rPr>
            </w:pPr>
            <w:r>
              <w:rPr>
                <w:color w:val="231F20"/>
                <w:spacing w:val="-2"/>
                <w:sz w:val="18"/>
              </w:rPr>
              <w:t>5,040,082</w:t>
            </w:r>
          </w:p>
        </w:tc>
        <w:tc>
          <w:tcPr>
            <w:tcW w:w="278" w:type="dxa"/>
          </w:tcPr>
          <w:p>
            <w:pPr>
              <w:pStyle w:val="TableParagraph"/>
              <w:spacing w:before="10"/>
              <w:rPr>
                <w:sz w:val="17"/>
              </w:rPr>
            </w:pPr>
          </w:p>
          <w:p>
            <w:pPr>
              <w:pStyle w:val="TableParagraph"/>
              <w:spacing w:before="1"/>
              <w:ind w:left="92"/>
              <w:rPr>
                <w:sz w:val="18"/>
              </w:rPr>
            </w:pPr>
            <w:r>
              <w:rPr>
                <w:color w:val="231F20"/>
                <w:w w:val="100"/>
                <w:sz w:val="18"/>
              </w:rPr>
              <w:t>$</w:t>
            </w:r>
          </w:p>
        </w:tc>
        <w:tc>
          <w:tcPr>
            <w:tcW w:w="1082" w:type="dxa"/>
          </w:tcPr>
          <w:p>
            <w:pPr>
              <w:pStyle w:val="TableParagraph"/>
              <w:spacing w:before="10"/>
              <w:rPr>
                <w:sz w:val="17"/>
              </w:rPr>
            </w:pPr>
          </w:p>
          <w:p>
            <w:pPr>
              <w:pStyle w:val="TableParagraph"/>
              <w:spacing w:before="1"/>
              <w:ind w:left="82"/>
              <w:rPr>
                <w:sz w:val="18"/>
              </w:rPr>
            </w:pPr>
            <w:r>
              <w:rPr>
                <w:color w:val="231F20"/>
                <w:spacing w:val="-2"/>
                <w:sz w:val="18"/>
              </w:rPr>
              <w:t>59,253,702</w:t>
            </w:r>
          </w:p>
        </w:tc>
      </w:tr>
    </w:tbl>
    <w:p>
      <w:pPr>
        <w:pStyle w:val="BodyText"/>
        <w:spacing w:before="1"/>
        <w:rPr>
          <w:sz w:val="12"/>
        </w:rPr>
      </w:pPr>
    </w:p>
    <w:p>
      <w:pPr>
        <w:spacing w:before="93"/>
        <w:ind w:left="1484" w:right="0" w:firstLine="0"/>
        <w:jc w:val="left"/>
        <w:rPr>
          <w:sz w:val="18"/>
        </w:rPr>
      </w:pPr>
      <w:r>
        <w:rPr/>
        <w:pict>
          <v:group style="position:absolute;margin-left:310.200989pt;margin-top:-49.87664pt;width:67.95pt;height:1.05pt;mso-position-horizontal-relative:page;mso-position-vertical-relative:paragraph;z-index:-28326400" id="docshapegroup344" coordorigin="6204,-998" coordsize="1359,21">
            <v:line style="position:absolute" from="6204,-997" to="7562,-997" stroked="true" strokeweight=".06pt" strokecolor="#231f20">
              <v:stroke dashstyle="solid"/>
            </v:line>
            <v:rect style="position:absolute;left:6205;top:-996;width:1358;height:20" id="docshape345" filled="true" fillcolor="#231f20" stroked="false">
              <v:fill type="solid"/>
            </v:rect>
            <w10:wrap type="none"/>
          </v:group>
        </w:pict>
      </w:r>
      <w:r>
        <w:rPr/>
        <w:pict>
          <v:group style="position:absolute;margin-left:390.42099pt;margin-top:-49.87664pt;width:68pt;height:1.05pt;mso-position-horizontal-relative:page;mso-position-vertical-relative:paragraph;z-index:-28325888" id="docshapegroup346" coordorigin="7808,-998" coordsize="1360,21">
            <v:line style="position:absolute" from="7808,-997" to="9167,-997" stroked="true" strokeweight=".06pt" strokecolor="#231f20">
              <v:stroke dashstyle="solid"/>
            </v:line>
            <v:rect style="position:absolute;left:7809;top:-996;width:1359;height:20" id="docshape347" filled="true" fillcolor="#231f20" stroked="false">
              <v:fill type="solid"/>
            </v:rect>
            <w10:wrap type="none"/>
          </v:group>
        </w:pict>
      </w:r>
      <w:r>
        <w:rPr/>
        <w:pict>
          <v:group style="position:absolute;margin-left:310.200989pt;margin-top:-32.416637pt;width:67.95pt;height:1.05pt;mso-position-horizontal-relative:page;mso-position-vertical-relative:paragraph;z-index:-28325376" id="docshapegroup348" coordorigin="6204,-648" coordsize="1359,21">
            <v:line style="position:absolute" from="6204,-648" to="7562,-648" stroked="true" strokeweight=".06pt" strokecolor="#231f20">
              <v:stroke dashstyle="solid"/>
            </v:line>
            <v:rect style="position:absolute;left:6205;top:-647;width:1358;height:20" id="docshape349" filled="true" fillcolor="#231f20" stroked="false">
              <v:fill type="solid"/>
            </v:rect>
            <w10:wrap type="none"/>
          </v:group>
        </w:pict>
      </w:r>
      <w:r>
        <w:rPr/>
        <w:pict>
          <v:group style="position:absolute;margin-left:390.42099pt;margin-top:-32.416637pt;width:68pt;height:1.05pt;mso-position-horizontal-relative:page;mso-position-vertical-relative:paragraph;z-index:-28324864" id="docshapegroup350" coordorigin="7808,-648" coordsize="1360,21">
            <v:line style="position:absolute" from="7808,-648" to="9167,-648" stroked="true" strokeweight=".06pt" strokecolor="#231f20">
              <v:stroke dashstyle="solid"/>
            </v:line>
            <v:rect style="position:absolute;left:7809;top:-647;width:1359;height:20" id="docshape351" filled="true" fillcolor="#231f20" stroked="false">
              <v:fill type="solid"/>
            </v:rect>
            <w10:wrap type="none"/>
          </v:group>
        </w:pict>
      </w:r>
      <w:r>
        <w:rPr/>
        <w:pict>
          <v:shape style="position:absolute;margin-left:310.261017pt;margin-top:-9.286656pt;width:67.9pt;height:2.85pt;mso-position-horizontal-relative:page;mso-position-vertical-relative:paragraph;z-index:-28324352" id="docshape352" coordorigin="6205,-186" coordsize="1358,57" path="m7562,-149l6205,-149,6205,-129,7562,-129,7562,-149xm7562,-186l6205,-186,6205,-168,7562,-168,7562,-186xe" filled="true" fillcolor="#231f20" stroked="false">
            <v:path arrowok="t"/>
            <v:fill type="solid"/>
            <w10:wrap type="none"/>
          </v:shape>
        </w:pict>
      </w:r>
      <w:r>
        <w:rPr/>
        <w:pict>
          <v:shape style="position:absolute;margin-left:390.481018pt;margin-top:-9.286656pt;width:67.95pt;height:2.85pt;mso-position-horizontal-relative:page;mso-position-vertical-relative:paragraph;z-index:-28323840" id="docshape353" coordorigin="7810,-186" coordsize="1359,57" path="m9168,-149l7810,-149,7810,-129,9168,-129,9168,-149xm9168,-186l7810,-186,7810,-168,9168,-168,9168,-186xe" filled="true" fillcolor="#231f20" stroked="false">
            <v:path arrowok="t"/>
            <v:fill type="solid"/>
            <w10:wrap type="none"/>
          </v:shape>
        </w:pict>
      </w:r>
      <w:r>
        <w:rPr/>
        <w:pict>
          <v:shape style="position:absolute;margin-left:470.701019pt;margin-top:-9.286656pt;width:67.95pt;height:2.85pt;mso-position-horizontal-relative:page;mso-position-vertical-relative:paragraph;z-index:-28323328" id="docshape354" coordorigin="9414,-186" coordsize="1359,57" path="m10772,-149l9414,-149,9414,-129,10772,-129,10772,-149xm10772,-186l9414,-186,9414,-168,10772,-168,10772,-186xe" filled="true" fillcolor="#231f20" stroked="false">
            <v:path arrowok="t"/>
            <v:fill type="solid"/>
            <w10:wrap type="none"/>
          </v:shape>
        </w:pict>
      </w:r>
      <w:r>
        <w:rPr>
          <w:color w:val="231F20"/>
          <w:sz w:val="18"/>
        </w:rPr>
        <w:t>*</w:t>
      </w:r>
      <w:r>
        <w:rPr>
          <w:color w:val="231F20"/>
          <w:spacing w:val="-6"/>
          <w:sz w:val="18"/>
        </w:rPr>
        <w:t> </w:t>
      </w:r>
      <w:r>
        <w:rPr>
          <w:color w:val="231F20"/>
          <w:sz w:val="18"/>
        </w:rPr>
        <w:t>The</w:t>
      </w:r>
      <w:r>
        <w:rPr>
          <w:color w:val="231F20"/>
          <w:spacing w:val="-3"/>
          <w:sz w:val="18"/>
        </w:rPr>
        <w:t> </w:t>
      </w:r>
      <w:r>
        <w:rPr>
          <w:color w:val="231F20"/>
          <w:sz w:val="18"/>
        </w:rPr>
        <w:t>assumed</w:t>
      </w:r>
      <w:r>
        <w:rPr>
          <w:color w:val="231F20"/>
          <w:spacing w:val="-2"/>
          <w:sz w:val="18"/>
        </w:rPr>
        <w:t> </w:t>
      </w:r>
      <w:r>
        <w:rPr>
          <w:color w:val="231F20"/>
          <w:sz w:val="18"/>
        </w:rPr>
        <w:t>discount</w:t>
      </w:r>
      <w:r>
        <w:rPr>
          <w:color w:val="231F20"/>
          <w:spacing w:val="-2"/>
          <w:sz w:val="18"/>
        </w:rPr>
        <w:t> </w:t>
      </w:r>
      <w:r>
        <w:rPr>
          <w:color w:val="231F20"/>
          <w:sz w:val="18"/>
        </w:rPr>
        <w:t>rate</w:t>
      </w:r>
      <w:r>
        <w:rPr>
          <w:color w:val="231F20"/>
          <w:spacing w:val="-3"/>
          <w:sz w:val="18"/>
        </w:rPr>
        <w:t> </w:t>
      </w:r>
      <w:r>
        <w:rPr>
          <w:color w:val="231F20"/>
          <w:sz w:val="18"/>
        </w:rPr>
        <w:t>decreased</w:t>
      </w:r>
      <w:r>
        <w:rPr>
          <w:color w:val="231F20"/>
          <w:spacing w:val="-2"/>
          <w:sz w:val="18"/>
        </w:rPr>
        <w:t> </w:t>
      </w:r>
      <w:r>
        <w:rPr>
          <w:color w:val="231F20"/>
          <w:sz w:val="18"/>
        </w:rPr>
        <w:t>from</w:t>
      </w:r>
      <w:r>
        <w:rPr>
          <w:color w:val="231F20"/>
          <w:spacing w:val="-3"/>
          <w:sz w:val="18"/>
        </w:rPr>
        <w:t> </w:t>
      </w:r>
      <w:r>
        <w:rPr>
          <w:color w:val="231F20"/>
          <w:sz w:val="18"/>
        </w:rPr>
        <w:t>3.16%</w:t>
      </w:r>
      <w:r>
        <w:rPr>
          <w:color w:val="231F20"/>
          <w:spacing w:val="-2"/>
          <w:sz w:val="18"/>
        </w:rPr>
        <w:t> </w:t>
      </w:r>
      <w:r>
        <w:rPr>
          <w:color w:val="231F20"/>
          <w:sz w:val="18"/>
        </w:rPr>
        <w:t>at</w:t>
      </w:r>
      <w:r>
        <w:rPr>
          <w:color w:val="231F20"/>
          <w:spacing w:val="-2"/>
          <w:sz w:val="18"/>
        </w:rPr>
        <w:t> </w:t>
      </w:r>
      <w:r>
        <w:rPr>
          <w:color w:val="231F20"/>
          <w:sz w:val="18"/>
        </w:rPr>
        <w:t>June</w:t>
      </w:r>
      <w:r>
        <w:rPr>
          <w:color w:val="231F20"/>
          <w:spacing w:val="-3"/>
          <w:sz w:val="18"/>
        </w:rPr>
        <w:t> </w:t>
      </w:r>
      <w:r>
        <w:rPr>
          <w:color w:val="231F20"/>
          <w:sz w:val="18"/>
        </w:rPr>
        <w:t>30,</w:t>
      </w:r>
      <w:r>
        <w:rPr>
          <w:color w:val="231F20"/>
          <w:spacing w:val="-2"/>
          <w:sz w:val="18"/>
        </w:rPr>
        <w:t> </w:t>
      </w:r>
      <w:r>
        <w:rPr>
          <w:color w:val="231F20"/>
          <w:sz w:val="18"/>
        </w:rPr>
        <w:t>2021</w:t>
      </w:r>
      <w:r>
        <w:rPr>
          <w:color w:val="231F20"/>
          <w:spacing w:val="-3"/>
          <w:sz w:val="18"/>
        </w:rPr>
        <w:t> </w:t>
      </w:r>
      <w:r>
        <w:rPr>
          <w:color w:val="231F20"/>
          <w:sz w:val="18"/>
        </w:rPr>
        <w:t>to</w:t>
      </w:r>
      <w:r>
        <w:rPr>
          <w:color w:val="231F20"/>
          <w:spacing w:val="-2"/>
          <w:sz w:val="18"/>
        </w:rPr>
        <w:t> </w:t>
      </w:r>
      <w:r>
        <w:rPr>
          <w:color w:val="231F20"/>
          <w:sz w:val="18"/>
        </w:rPr>
        <w:t>2.17%</w:t>
      </w:r>
      <w:r>
        <w:rPr>
          <w:color w:val="231F20"/>
          <w:spacing w:val="-2"/>
          <w:sz w:val="18"/>
        </w:rPr>
        <w:t> </w:t>
      </w:r>
      <w:r>
        <w:rPr>
          <w:color w:val="231F20"/>
          <w:sz w:val="18"/>
        </w:rPr>
        <w:t>at</w:t>
      </w:r>
      <w:r>
        <w:rPr>
          <w:color w:val="231F20"/>
          <w:spacing w:val="-2"/>
          <w:sz w:val="18"/>
        </w:rPr>
        <w:t> </w:t>
      </w:r>
      <w:r>
        <w:rPr>
          <w:color w:val="231F20"/>
          <w:sz w:val="18"/>
        </w:rPr>
        <w:t>June</w:t>
      </w:r>
      <w:r>
        <w:rPr>
          <w:color w:val="231F20"/>
          <w:spacing w:val="-3"/>
          <w:sz w:val="18"/>
        </w:rPr>
        <w:t> </w:t>
      </w:r>
      <w:r>
        <w:rPr>
          <w:color w:val="231F20"/>
          <w:sz w:val="18"/>
        </w:rPr>
        <w:t>30,</w:t>
      </w:r>
      <w:r>
        <w:rPr>
          <w:color w:val="231F20"/>
          <w:spacing w:val="-2"/>
          <w:sz w:val="18"/>
        </w:rPr>
        <w:t> 2022.</w:t>
      </w:r>
    </w:p>
    <w:p>
      <w:pPr>
        <w:pStyle w:val="BodyText"/>
        <w:spacing w:before="10"/>
        <w:rPr>
          <w:sz w:val="14"/>
        </w:rPr>
      </w:pPr>
    </w:p>
    <w:p>
      <w:pPr>
        <w:pStyle w:val="Heading4"/>
        <w:spacing w:before="94"/>
        <w:ind w:left="1439"/>
      </w:pPr>
      <w:r>
        <w:rPr>
          <w:color w:val="231F20"/>
        </w:rPr>
        <w:t>Sensitivity</w:t>
      </w:r>
      <w:r>
        <w:rPr>
          <w:color w:val="231F20"/>
          <w:spacing w:val="-5"/>
        </w:rPr>
        <w:t> </w:t>
      </w:r>
      <w:r>
        <w:rPr>
          <w:color w:val="231F20"/>
        </w:rPr>
        <w:t>of</w:t>
      </w:r>
      <w:r>
        <w:rPr>
          <w:color w:val="231F20"/>
          <w:spacing w:val="-6"/>
        </w:rPr>
        <w:t> </w:t>
      </w:r>
      <w:r>
        <w:rPr>
          <w:color w:val="231F20"/>
        </w:rPr>
        <w:t>the</w:t>
      </w:r>
      <w:r>
        <w:rPr>
          <w:color w:val="231F20"/>
          <w:spacing w:val="-5"/>
        </w:rPr>
        <w:t> </w:t>
      </w:r>
      <w:r>
        <w:rPr>
          <w:color w:val="231F20"/>
        </w:rPr>
        <w:t>Net</w:t>
      </w:r>
      <w:r>
        <w:rPr>
          <w:color w:val="231F20"/>
          <w:spacing w:val="-5"/>
        </w:rPr>
        <w:t> </w:t>
      </w:r>
      <w:r>
        <w:rPr>
          <w:color w:val="231F20"/>
        </w:rPr>
        <w:t>OPEB</w:t>
      </w:r>
      <w:r>
        <w:rPr>
          <w:color w:val="231F20"/>
          <w:spacing w:val="-5"/>
        </w:rPr>
        <w:t> </w:t>
      </w:r>
      <w:r>
        <w:rPr>
          <w:color w:val="231F20"/>
        </w:rPr>
        <w:t>Liability</w:t>
      </w:r>
      <w:r>
        <w:rPr>
          <w:color w:val="231F20"/>
          <w:spacing w:val="-5"/>
        </w:rPr>
        <w:t> </w:t>
      </w:r>
      <w:r>
        <w:rPr>
          <w:color w:val="231F20"/>
        </w:rPr>
        <w:t>to</w:t>
      </w:r>
      <w:r>
        <w:rPr>
          <w:color w:val="231F20"/>
          <w:spacing w:val="-5"/>
        </w:rPr>
        <w:t> </w:t>
      </w:r>
      <w:r>
        <w:rPr>
          <w:color w:val="231F20"/>
        </w:rPr>
        <w:t>Changes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Discount</w:t>
      </w:r>
      <w:r>
        <w:rPr>
          <w:color w:val="231F20"/>
          <w:spacing w:val="-5"/>
        </w:rPr>
        <w:t> </w:t>
      </w:r>
      <w:r>
        <w:rPr>
          <w:color w:val="231F20"/>
          <w:spacing w:val="-4"/>
        </w:rPr>
        <w:t>Rate</w:t>
      </w:r>
    </w:p>
    <w:p>
      <w:pPr>
        <w:pStyle w:val="BodyText"/>
        <w:spacing w:line="276" w:lineRule="auto" w:before="34"/>
        <w:ind w:left="1439" w:right="891"/>
      </w:pPr>
      <w:r>
        <w:rPr>
          <w:color w:val="231F20"/>
        </w:rPr>
        <w:t>The</w:t>
      </w:r>
      <w:r>
        <w:rPr>
          <w:color w:val="231F20"/>
          <w:spacing w:val="-2"/>
        </w:rPr>
        <w:t> </w:t>
      </w:r>
      <w:r>
        <w:rPr>
          <w:color w:val="231F20"/>
        </w:rPr>
        <w:t>following</w:t>
      </w:r>
      <w:r>
        <w:rPr>
          <w:color w:val="231F20"/>
          <w:spacing w:val="-2"/>
        </w:rPr>
        <w:t> </w:t>
      </w:r>
      <w:r>
        <w:rPr>
          <w:color w:val="231F20"/>
        </w:rPr>
        <w:t>presents</w:t>
      </w:r>
      <w:r>
        <w:rPr>
          <w:color w:val="231F20"/>
          <w:spacing w:val="-2"/>
        </w:rPr>
        <w:t> </w:t>
      </w:r>
      <w:r>
        <w:rPr>
          <w:color w:val="231F20"/>
        </w:rPr>
        <w:t>the</w:t>
      </w:r>
      <w:r>
        <w:rPr>
          <w:color w:val="231F20"/>
          <w:spacing w:val="-3"/>
        </w:rPr>
        <w:t> </w:t>
      </w:r>
      <w:r>
        <w:rPr>
          <w:color w:val="231F20"/>
        </w:rPr>
        <w:t>Institute’s</w:t>
      </w:r>
      <w:r>
        <w:rPr>
          <w:color w:val="231F20"/>
          <w:spacing w:val="-2"/>
        </w:rPr>
        <w:t> </w:t>
      </w:r>
      <w:r>
        <w:rPr>
          <w:color w:val="231F20"/>
        </w:rPr>
        <w:t>net</w:t>
      </w:r>
      <w:r>
        <w:rPr>
          <w:color w:val="231F20"/>
          <w:spacing w:val="-3"/>
        </w:rPr>
        <w:t> </w:t>
      </w:r>
      <w:r>
        <w:rPr>
          <w:color w:val="231F20"/>
        </w:rPr>
        <w:t>OPEB</w:t>
      </w:r>
      <w:r>
        <w:rPr>
          <w:color w:val="231F20"/>
          <w:spacing w:val="-2"/>
        </w:rPr>
        <w:t> </w:t>
      </w:r>
      <w:r>
        <w:rPr>
          <w:color w:val="231F20"/>
        </w:rPr>
        <w:t>liability</w:t>
      </w:r>
      <w:r>
        <w:rPr>
          <w:color w:val="231F20"/>
          <w:spacing w:val="-2"/>
        </w:rPr>
        <w:t> </w:t>
      </w:r>
      <w:r>
        <w:rPr>
          <w:color w:val="231F20"/>
        </w:rPr>
        <w:t>at</w:t>
      </w:r>
      <w:r>
        <w:rPr>
          <w:color w:val="231F20"/>
          <w:spacing w:val="-2"/>
        </w:rPr>
        <w:t> </w:t>
      </w:r>
      <w:r>
        <w:rPr>
          <w:color w:val="231F20"/>
        </w:rPr>
        <w:t>June</w:t>
      </w:r>
      <w:r>
        <w:rPr>
          <w:color w:val="231F20"/>
          <w:spacing w:val="-2"/>
        </w:rPr>
        <w:t> </w:t>
      </w:r>
      <w:r>
        <w:rPr>
          <w:color w:val="231F20"/>
        </w:rPr>
        <w:t>30,</w:t>
      </w:r>
      <w:r>
        <w:rPr>
          <w:color w:val="231F20"/>
          <w:spacing w:val="-1"/>
        </w:rPr>
        <w:t> </w:t>
      </w:r>
      <w:r>
        <w:rPr>
          <w:color w:val="231F20"/>
        </w:rPr>
        <w:t>2022,</w:t>
      </w:r>
      <w:r>
        <w:rPr>
          <w:color w:val="231F20"/>
          <w:spacing w:val="-2"/>
        </w:rPr>
        <w:t> </w:t>
      </w:r>
      <w:r>
        <w:rPr>
          <w:color w:val="231F20"/>
        </w:rPr>
        <w:t>which</w:t>
      </w:r>
      <w:r>
        <w:rPr>
          <w:color w:val="231F20"/>
          <w:spacing w:val="-2"/>
        </w:rPr>
        <w:t> </w:t>
      </w:r>
      <w:r>
        <w:rPr>
          <w:color w:val="231F20"/>
        </w:rPr>
        <w:t>was</w:t>
      </w:r>
      <w:r>
        <w:rPr>
          <w:color w:val="231F20"/>
          <w:spacing w:val="-2"/>
        </w:rPr>
        <w:t> </w:t>
      </w:r>
      <w:r>
        <w:rPr>
          <w:color w:val="231F20"/>
        </w:rPr>
        <w:t>measured</w:t>
      </w:r>
      <w:r>
        <w:rPr>
          <w:color w:val="231F20"/>
          <w:spacing w:val="-2"/>
        </w:rPr>
        <w:t> </w:t>
      </w:r>
      <w:r>
        <w:rPr>
          <w:color w:val="231F20"/>
        </w:rPr>
        <w:t>using</w:t>
      </w:r>
      <w:r>
        <w:rPr>
          <w:color w:val="231F20"/>
          <w:spacing w:val="-2"/>
        </w:rPr>
        <w:t> </w:t>
      </w:r>
      <w:r>
        <w:rPr>
          <w:color w:val="231F20"/>
        </w:rPr>
        <w:t>the discount</w:t>
      </w:r>
      <w:r>
        <w:rPr>
          <w:color w:val="231F20"/>
          <w:spacing w:val="-3"/>
        </w:rPr>
        <w:t> </w:t>
      </w:r>
      <w:r>
        <w:rPr>
          <w:color w:val="231F20"/>
        </w:rPr>
        <w:t>rate</w:t>
      </w:r>
      <w:r>
        <w:rPr>
          <w:color w:val="231F20"/>
          <w:spacing w:val="-3"/>
        </w:rPr>
        <w:t> </w:t>
      </w:r>
      <w:r>
        <w:rPr>
          <w:color w:val="231F20"/>
        </w:rPr>
        <w:t>of</w:t>
      </w:r>
      <w:r>
        <w:rPr>
          <w:color w:val="231F20"/>
          <w:spacing w:val="-3"/>
        </w:rPr>
        <w:t> </w:t>
      </w:r>
      <w:r>
        <w:rPr>
          <w:color w:val="231F20"/>
        </w:rPr>
        <w:t>3.16</w:t>
      </w:r>
      <w:r>
        <w:rPr>
          <w:color w:val="231F20"/>
          <w:spacing w:val="-3"/>
        </w:rPr>
        <w:t> </w:t>
      </w:r>
      <w:r>
        <w:rPr>
          <w:color w:val="231F20"/>
        </w:rPr>
        <w:t>percent,</w:t>
      </w:r>
      <w:r>
        <w:rPr>
          <w:color w:val="231F20"/>
          <w:spacing w:val="-3"/>
        </w:rPr>
        <w:t> </w:t>
      </w:r>
      <w:r>
        <w:rPr>
          <w:color w:val="231F20"/>
        </w:rPr>
        <w:t>as</w:t>
      </w:r>
      <w:r>
        <w:rPr>
          <w:color w:val="231F20"/>
          <w:spacing w:val="-3"/>
        </w:rPr>
        <w:t> </w:t>
      </w:r>
      <w:r>
        <w:rPr>
          <w:color w:val="231F20"/>
        </w:rPr>
        <w:t>well</w:t>
      </w:r>
      <w:r>
        <w:rPr>
          <w:color w:val="231F20"/>
          <w:spacing w:val="-3"/>
        </w:rPr>
        <w:t> </w:t>
      </w:r>
      <w:r>
        <w:rPr>
          <w:color w:val="231F20"/>
        </w:rPr>
        <w:t>as</w:t>
      </w:r>
      <w:r>
        <w:rPr>
          <w:color w:val="231F20"/>
          <w:spacing w:val="-3"/>
        </w:rPr>
        <w:t> </w:t>
      </w:r>
      <w:r>
        <w:rPr>
          <w:color w:val="231F20"/>
        </w:rPr>
        <w:t>what</w:t>
      </w:r>
      <w:r>
        <w:rPr>
          <w:color w:val="231F20"/>
          <w:spacing w:val="-3"/>
        </w:rPr>
        <w:t> </w:t>
      </w:r>
      <w:r>
        <w:rPr>
          <w:color w:val="231F20"/>
        </w:rPr>
        <w:t>the</w:t>
      </w:r>
      <w:r>
        <w:rPr>
          <w:color w:val="231F20"/>
          <w:spacing w:val="-3"/>
        </w:rPr>
        <w:t> </w:t>
      </w:r>
      <w:r>
        <w:rPr>
          <w:color w:val="231F20"/>
        </w:rPr>
        <w:t>net</w:t>
      </w:r>
      <w:r>
        <w:rPr>
          <w:color w:val="231F20"/>
          <w:spacing w:val="-4"/>
        </w:rPr>
        <w:t> </w:t>
      </w:r>
      <w:r>
        <w:rPr>
          <w:color w:val="231F20"/>
        </w:rPr>
        <w:t>OPEB</w:t>
      </w:r>
      <w:r>
        <w:rPr>
          <w:color w:val="231F20"/>
          <w:spacing w:val="-3"/>
        </w:rPr>
        <w:t> </w:t>
      </w:r>
      <w:r>
        <w:rPr>
          <w:color w:val="231F20"/>
        </w:rPr>
        <w:t>liability</w:t>
      </w:r>
      <w:r>
        <w:rPr>
          <w:color w:val="231F20"/>
          <w:spacing w:val="-3"/>
        </w:rPr>
        <w:t> </w:t>
      </w:r>
      <w:r>
        <w:rPr>
          <w:color w:val="231F20"/>
        </w:rPr>
        <w:t>would</w:t>
      </w:r>
      <w:r>
        <w:rPr>
          <w:color w:val="231F20"/>
          <w:spacing w:val="-3"/>
        </w:rPr>
        <w:t> </w:t>
      </w:r>
      <w:r>
        <w:rPr>
          <w:color w:val="231F20"/>
        </w:rPr>
        <w:t>be</w:t>
      </w:r>
      <w:r>
        <w:rPr>
          <w:color w:val="231F20"/>
          <w:spacing w:val="-3"/>
        </w:rPr>
        <w:t> </w:t>
      </w:r>
      <w:r>
        <w:rPr>
          <w:color w:val="231F20"/>
        </w:rPr>
        <w:t>if</w:t>
      </w:r>
      <w:r>
        <w:rPr>
          <w:color w:val="231F20"/>
          <w:spacing w:val="-3"/>
        </w:rPr>
        <w:t> </w:t>
      </w:r>
      <w:r>
        <w:rPr>
          <w:color w:val="231F20"/>
        </w:rPr>
        <w:t>it</w:t>
      </w:r>
      <w:r>
        <w:rPr>
          <w:color w:val="231F20"/>
          <w:spacing w:val="-2"/>
        </w:rPr>
        <w:t> </w:t>
      </w:r>
      <w:r>
        <w:rPr>
          <w:color w:val="231F20"/>
        </w:rPr>
        <w:t>were</w:t>
      </w:r>
      <w:r>
        <w:rPr>
          <w:color w:val="231F20"/>
          <w:spacing w:val="-3"/>
        </w:rPr>
        <w:t> </w:t>
      </w:r>
      <w:r>
        <w:rPr>
          <w:color w:val="231F20"/>
        </w:rPr>
        <w:t>calculated</w:t>
      </w:r>
      <w:r>
        <w:rPr>
          <w:color w:val="231F20"/>
          <w:spacing w:val="-3"/>
        </w:rPr>
        <w:t> </w:t>
      </w:r>
      <w:r>
        <w:rPr>
          <w:color w:val="231F20"/>
        </w:rPr>
        <w:t>using</w:t>
      </w:r>
      <w:r>
        <w:rPr>
          <w:color w:val="231F20"/>
          <w:spacing w:val="-3"/>
        </w:rPr>
        <w:t> </w:t>
      </w:r>
      <w:r>
        <w:rPr>
          <w:color w:val="231F20"/>
        </w:rPr>
        <w:t>a discount rate that is 1-percentage-point lower (1.17 percent) or 1-percentage-point higher (3.17 percent) than the current rate:</w:t>
      </w:r>
    </w:p>
    <w:p>
      <w:pPr>
        <w:pStyle w:val="BodyText"/>
        <w:spacing w:before="4"/>
        <w:rPr>
          <w:sz w:val="24"/>
        </w:rPr>
      </w:pPr>
    </w:p>
    <w:p>
      <w:pPr>
        <w:pStyle w:val="BodyText"/>
        <w:tabs>
          <w:tab w:pos="7565" w:val="left" w:leader="none"/>
          <w:tab w:pos="9397" w:val="left" w:leader="none"/>
        </w:tabs>
        <w:ind w:left="5836"/>
      </w:pPr>
      <w:r>
        <w:rPr>
          <w:color w:val="231F20"/>
        </w:rPr>
        <w:t>1%</w:t>
      </w:r>
      <w:r>
        <w:rPr>
          <w:color w:val="231F20"/>
          <w:spacing w:val="-3"/>
        </w:rPr>
        <w:t> </w:t>
      </w:r>
      <w:r>
        <w:rPr>
          <w:color w:val="231F20"/>
          <w:spacing w:val="-2"/>
        </w:rPr>
        <w:t>Decrease</w:t>
      </w:r>
      <w:r>
        <w:rPr>
          <w:color w:val="231F20"/>
        </w:rPr>
        <w:tab/>
        <w:t>Discount</w:t>
      </w:r>
      <w:r>
        <w:rPr>
          <w:color w:val="231F20"/>
          <w:spacing w:val="-3"/>
        </w:rPr>
        <w:t> </w:t>
      </w:r>
      <w:r>
        <w:rPr>
          <w:color w:val="231F20"/>
          <w:spacing w:val="-4"/>
        </w:rPr>
        <w:t>Rate</w:t>
      </w:r>
      <w:r>
        <w:rPr>
          <w:color w:val="231F20"/>
        </w:rPr>
        <w:tab/>
        <w:t>1%</w:t>
      </w:r>
      <w:r>
        <w:rPr>
          <w:color w:val="231F20"/>
          <w:spacing w:val="-1"/>
        </w:rPr>
        <w:t> </w:t>
      </w:r>
      <w:r>
        <w:rPr>
          <w:color w:val="231F20"/>
          <w:spacing w:val="-2"/>
        </w:rPr>
        <w:t>Increase</w:t>
      </w:r>
    </w:p>
    <w:p>
      <w:pPr>
        <w:pStyle w:val="BodyText"/>
        <w:tabs>
          <w:tab w:pos="5449" w:val="left" w:leader="none"/>
          <w:tab w:pos="5650" w:val="left" w:leader="none"/>
          <w:tab w:pos="6082" w:val="left" w:leader="none"/>
          <w:tab w:pos="7208" w:val="left" w:leader="none"/>
          <w:tab w:pos="7409" w:val="left" w:leader="none"/>
          <w:tab w:pos="7842" w:val="left" w:leader="none"/>
          <w:tab w:pos="8967" w:val="left" w:leader="none"/>
          <w:tab w:pos="9169" w:val="left" w:leader="none"/>
          <w:tab w:pos="9601" w:val="left" w:leader="none"/>
          <w:tab w:pos="10726" w:val="left" w:leader="none"/>
        </w:tabs>
        <w:spacing w:before="25"/>
        <w:ind w:left="1449"/>
      </w:pPr>
      <w:r>
        <w:rPr>
          <w:color w:val="231F20"/>
          <w:spacing w:val="-18"/>
          <w:u w:val="thick" w:color="231F20"/>
        </w:rPr>
        <w:t> </w:t>
      </w:r>
      <w:r>
        <w:rPr>
          <w:color w:val="231F20"/>
          <w:u w:val="thick" w:color="231F20"/>
        </w:rPr>
        <w:t>Changes</w:t>
      </w:r>
      <w:r>
        <w:rPr>
          <w:color w:val="231F20"/>
          <w:spacing w:val="-8"/>
          <w:u w:val="thick" w:color="231F20"/>
        </w:rPr>
        <w:t> </w:t>
      </w:r>
      <w:r>
        <w:rPr>
          <w:color w:val="231F20"/>
          <w:u w:val="thick" w:color="231F20"/>
        </w:rPr>
        <w:t>in</w:t>
      </w:r>
      <w:r>
        <w:rPr>
          <w:color w:val="231F20"/>
          <w:spacing w:val="-6"/>
          <w:u w:val="thick" w:color="231F20"/>
        </w:rPr>
        <w:t> </w:t>
      </w:r>
      <w:r>
        <w:rPr>
          <w:color w:val="231F20"/>
          <w:u w:val="thick" w:color="231F20"/>
        </w:rPr>
        <w:t>Discount</w:t>
      </w:r>
      <w:r>
        <w:rPr>
          <w:color w:val="231F20"/>
          <w:spacing w:val="-4"/>
          <w:u w:val="thick" w:color="231F20"/>
        </w:rPr>
        <w:t> Rate</w:t>
      </w:r>
      <w:r>
        <w:rPr>
          <w:color w:val="231F20"/>
          <w:u w:val="thick" w:color="231F20"/>
        </w:rPr>
        <w:tab/>
      </w:r>
      <w:r>
        <w:rPr>
          <w:color w:val="231F20"/>
        </w:rPr>
        <w:tab/>
      </w:r>
      <w:r>
        <w:rPr>
          <w:color w:val="231F20"/>
          <w:u w:val="thick" w:color="231F20"/>
        </w:rPr>
        <w:tab/>
      </w:r>
      <w:r>
        <w:rPr>
          <w:color w:val="231F20"/>
          <w:spacing w:val="-2"/>
          <w:u w:val="thick" w:color="231F20"/>
        </w:rPr>
        <w:t>(1.17%)</w:t>
      </w:r>
      <w:r>
        <w:rPr>
          <w:color w:val="231F20"/>
          <w:u w:val="thick" w:color="231F20"/>
        </w:rPr>
        <w:tab/>
      </w:r>
      <w:r>
        <w:rPr>
          <w:color w:val="231F20"/>
        </w:rPr>
        <w:tab/>
      </w:r>
      <w:r>
        <w:rPr>
          <w:color w:val="231F20"/>
          <w:u w:val="thick" w:color="231F20"/>
        </w:rPr>
        <w:tab/>
      </w:r>
      <w:r>
        <w:rPr>
          <w:color w:val="231F20"/>
          <w:spacing w:val="-2"/>
          <w:u w:val="thick" w:color="231F20"/>
        </w:rPr>
        <w:t>(2.17%)</w:t>
      </w:r>
      <w:r>
        <w:rPr>
          <w:color w:val="231F20"/>
          <w:u w:val="thick" w:color="231F20"/>
        </w:rPr>
        <w:tab/>
      </w:r>
      <w:r>
        <w:rPr>
          <w:color w:val="231F20"/>
        </w:rPr>
        <w:tab/>
      </w:r>
      <w:r>
        <w:rPr>
          <w:color w:val="231F20"/>
          <w:u w:val="thick" w:color="231F20"/>
        </w:rPr>
        <w:tab/>
      </w:r>
      <w:r>
        <w:rPr>
          <w:color w:val="231F20"/>
          <w:spacing w:val="-2"/>
          <w:u w:val="thick" w:color="231F20"/>
        </w:rPr>
        <w:t>(3.17%)</w:t>
      </w:r>
      <w:r>
        <w:rPr>
          <w:color w:val="231F20"/>
          <w:u w:val="thick" w:color="231F20"/>
        </w:rPr>
        <w:tab/>
      </w:r>
    </w:p>
    <w:p>
      <w:pPr>
        <w:spacing w:after="0"/>
        <w:sectPr>
          <w:pgSz w:w="12240" w:h="15840"/>
          <w:pgMar w:header="1282" w:footer="1097" w:top="1900" w:bottom="1280" w:left="0" w:right="580"/>
        </w:sectPr>
      </w:pPr>
    </w:p>
    <w:p>
      <w:pPr>
        <w:pStyle w:val="BodyText"/>
        <w:spacing w:before="127"/>
        <w:ind w:left="1487"/>
      </w:pPr>
      <w:r>
        <w:rPr>
          <w:color w:val="231F20"/>
        </w:rPr>
        <w:t>Net</w:t>
      </w:r>
      <w:r>
        <w:rPr>
          <w:color w:val="231F20"/>
          <w:spacing w:val="-4"/>
        </w:rPr>
        <w:t> </w:t>
      </w:r>
      <w:r>
        <w:rPr>
          <w:color w:val="231F20"/>
        </w:rPr>
        <w:t>OPEB</w:t>
      </w:r>
      <w:r>
        <w:rPr>
          <w:color w:val="231F20"/>
          <w:spacing w:val="-4"/>
        </w:rPr>
        <w:t> </w:t>
      </w:r>
      <w:r>
        <w:rPr>
          <w:color w:val="231F20"/>
          <w:spacing w:val="-2"/>
        </w:rPr>
        <w:t>liability</w:t>
      </w:r>
    </w:p>
    <w:p>
      <w:pPr>
        <w:pStyle w:val="BodyText"/>
        <w:tabs>
          <w:tab w:pos="1828" w:val="left" w:leader="none"/>
        </w:tabs>
        <w:spacing w:before="127"/>
        <w:ind w:left="1487"/>
      </w:pPr>
      <w:r>
        <w:rPr/>
        <w:br w:type="column"/>
      </w:r>
      <w:r>
        <w:rPr>
          <w:color w:val="231F20"/>
          <w:spacing w:val="-10"/>
        </w:rPr>
        <w:t>$</w:t>
      </w:r>
      <w:r>
        <w:rPr>
          <w:color w:val="231F20"/>
        </w:rPr>
        <w:tab/>
      </w:r>
      <w:r>
        <w:rPr>
          <w:color w:val="231F20"/>
          <w:spacing w:val="-2"/>
        </w:rPr>
        <w:t>73,012,067</w:t>
      </w:r>
    </w:p>
    <w:p>
      <w:pPr>
        <w:pStyle w:val="BodyText"/>
        <w:tabs>
          <w:tab w:pos="719" w:val="left" w:leader="none"/>
        </w:tabs>
        <w:spacing w:before="127"/>
        <w:ind w:left="377"/>
      </w:pPr>
      <w:r>
        <w:rPr/>
        <w:br w:type="column"/>
      </w:r>
      <w:r>
        <w:rPr>
          <w:color w:val="231F20"/>
          <w:spacing w:val="-10"/>
        </w:rPr>
        <w:t>$</w:t>
      </w:r>
      <w:r>
        <w:rPr>
          <w:color w:val="231F20"/>
        </w:rPr>
        <w:tab/>
      </w:r>
      <w:r>
        <w:rPr>
          <w:color w:val="231F20"/>
          <w:spacing w:val="-2"/>
        </w:rPr>
        <w:t>59,253,702</w:t>
      </w:r>
    </w:p>
    <w:p>
      <w:pPr>
        <w:pStyle w:val="BodyText"/>
        <w:tabs>
          <w:tab w:pos="718" w:val="left" w:leader="none"/>
        </w:tabs>
        <w:spacing w:before="127"/>
        <w:ind w:left="376"/>
      </w:pPr>
      <w:r>
        <w:rPr/>
        <w:br w:type="column"/>
      </w:r>
      <w:r>
        <w:rPr>
          <w:color w:val="231F20"/>
          <w:spacing w:val="-10"/>
        </w:rPr>
        <w:t>$</w:t>
      </w:r>
      <w:r>
        <w:rPr>
          <w:color w:val="231F20"/>
        </w:rPr>
        <w:tab/>
      </w:r>
      <w:r>
        <w:rPr>
          <w:color w:val="231F20"/>
          <w:spacing w:val="-2"/>
        </w:rPr>
        <w:t>48,582,541</w:t>
      </w:r>
    </w:p>
    <w:p>
      <w:pPr>
        <w:spacing w:after="0"/>
        <w:sectPr>
          <w:type w:val="continuous"/>
          <w:pgSz w:w="12240" w:h="15840"/>
          <w:pgMar w:header="1282" w:footer="1097" w:top="1460" w:bottom="280" w:left="0" w:right="580"/>
          <w:cols w:num="4" w:equalWidth="0">
            <w:col w:w="3105" w:space="1164"/>
            <w:col w:w="2830" w:space="40"/>
            <w:col w:w="1720" w:space="40"/>
            <w:col w:w="2761"/>
          </w:cols>
        </w:sectPr>
      </w:pPr>
    </w:p>
    <w:p>
      <w:pPr>
        <w:pStyle w:val="BodyText"/>
        <w:spacing w:before="5"/>
        <w:rPr>
          <w:sz w:val="19"/>
        </w:rPr>
      </w:pPr>
      <w:r>
        <w:rPr/>
        <w:pict>
          <v:group style="position:absolute;margin-left:310.200989pt;margin-top:208.470001pt;width:67.95pt;height:1.05pt;mso-position-horizontal-relative:page;mso-position-vertical-relative:page;z-index:-28327424" id="docshapegroup355" coordorigin="6204,4169" coordsize="1359,21">
            <v:line style="position:absolute" from="6204,4170" to="7562,4170" stroked="true" strokeweight=".06pt" strokecolor="#231f20">
              <v:stroke dashstyle="solid"/>
            </v:line>
            <v:rect style="position:absolute;left:6205;top:4171;width:1358;height:20" id="docshape356" filled="true" fillcolor="#231f20" stroked="false">
              <v:fill type="solid"/>
            </v:rect>
            <w10:wrap type="none"/>
          </v:group>
        </w:pict>
      </w:r>
      <w:r>
        <w:rPr/>
        <w:pict>
          <v:group style="position:absolute;margin-left:390.42099pt;margin-top:208.470001pt;width:68pt;height:1.05pt;mso-position-horizontal-relative:page;mso-position-vertical-relative:page;z-index:-28326912" id="docshapegroup357" coordorigin="7808,4169" coordsize="1360,21">
            <v:line style="position:absolute" from="7808,4170" to="9167,4170" stroked="true" strokeweight=".06pt" strokecolor="#231f20">
              <v:stroke dashstyle="solid"/>
            </v:line>
            <v:rect style="position:absolute;left:7809;top:4171;width:1359;height:20" id="docshape358" filled="true" fillcolor="#231f20" stroked="false">
              <v:fill type="solid"/>
            </v:rect>
            <w10:wrap type="none"/>
          </v:group>
        </w:pict>
      </w:r>
    </w:p>
    <w:p>
      <w:pPr>
        <w:pStyle w:val="Heading4"/>
        <w:spacing w:before="94"/>
      </w:pPr>
      <w:r>
        <w:rPr>
          <w:color w:val="231F20"/>
        </w:rPr>
        <w:t>Sensitivity</w:t>
      </w:r>
      <w:r>
        <w:rPr>
          <w:color w:val="231F20"/>
          <w:spacing w:val="-7"/>
        </w:rPr>
        <w:t> </w:t>
      </w:r>
      <w:r>
        <w:rPr>
          <w:color w:val="231F20"/>
        </w:rPr>
        <w:t>of</w:t>
      </w:r>
      <w:r>
        <w:rPr>
          <w:color w:val="231F20"/>
          <w:spacing w:val="-5"/>
        </w:rPr>
        <w:t> </w:t>
      </w:r>
      <w:r>
        <w:rPr>
          <w:color w:val="231F20"/>
        </w:rPr>
        <w:t>the</w:t>
      </w:r>
      <w:r>
        <w:rPr>
          <w:color w:val="231F20"/>
          <w:spacing w:val="-6"/>
        </w:rPr>
        <w:t> </w:t>
      </w:r>
      <w:r>
        <w:rPr>
          <w:color w:val="231F20"/>
        </w:rPr>
        <w:t>Net</w:t>
      </w:r>
      <w:r>
        <w:rPr>
          <w:color w:val="231F20"/>
          <w:spacing w:val="-5"/>
        </w:rPr>
        <w:t> </w:t>
      </w:r>
      <w:r>
        <w:rPr>
          <w:color w:val="231F20"/>
        </w:rPr>
        <w:t>OPEB</w:t>
      </w:r>
      <w:r>
        <w:rPr>
          <w:color w:val="231F20"/>
          <w:spacing w:val="-5"/>
        </w:rPr>
        <w:t> </w:t>
      </w:r>
      <w:r>
        <w:rPr>
          <w:color w:val="231F20"/>
        </w:rPr>
        <w:t>Liability</w:t>
      </w:r>
      <w:r>
        <w:rPr>
          <w:color w:val="231F20"/>
          <w:spacing w:val="-5"/>
        </w:rPr>
        <w:t> </w:t>
      </w:r>
      <w:r>
        <w:rPr>
          <w:color w:val="231F20"/>
        </w:rPr>
        <w:t>to</w:t>
      </w:r>
      <w:r>
        <w:rPr>
          <w:color w:val="231F20"/>
          <w:spacing w:val="-5"/>
        </w:rPr>
        <w:t> </w:t>
      </w:r>
      <w:r>
        <w:rPr>
          <w:color w:val="231F20"/>
        </w:rPr>
        <w:t>Changes</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Healthcare</w:t>
      </w:r>
      <w:r>
        <w:rPr>
          <w:color w:val="231F20"/>
          <w:spacing w:val="-5"/>
        </w:rPr>
        <w:t> </w:t>
      </w:r>
      <w:r>
        <w:rPr>
          <w:color w:val="231F20"/>
        </w:rPr>
        <w:t>Cost</w:t>
      </w:r>
      <w:r>
        <w:rPr>
          <w:color w:val="231F20"/>
          <w:spacing w:val="-6"/>
        </w:rPr>
        <w:t> </w:t>
      </w:r>
      <w:r>
        <w:rPr>
          <w:color w:val="231F20"/>
        </w:rPr>
        <w:t>Trend</w:t>
      </w:r>
      <w:r>
        <w:rPr>
          <w:color w:val="231F20"/>
          <w:spacing w:val="-4"/>
        </w:rPr>
        <w:t> </w:t>
      </w:r>
      <w:r>
        <w:rPr>
          <w:color w:val="231F20"/>
          <w:spacing w:val="-2"/>
        </w:rPr>
        <w:t>Rates</w:t>
      </w:r>
    </w:p>
    <w:p>
      <w:pPr>
        <w:pStyle w:val="BodyText"/>
        <w:spacing w:line="276" w:lineRule="auto" w:before="35"/>
        <w:ind w:left="1440" w:right="991"/>
      </w:pPr>
      <w:r>
        <w:rPr>
          <w:color w:val="231F20"/>
        </w:rPr>
        <w:t>The</w:t>
      </w:r>
      <w:r>
        <w:rPr>
          <w:color w:val="231F20"/>
          <w:spacing w:val="-3"/>
        </w:rPr>
        <w:t> </w:t>
      </w:r>
      <w:r>
        <w:rPr>
          <w:color w:val="231F20"/>
        </w:rPr>
        <w:t>following</w:t>
      </w:r>
      <w:r>
        <w:rPr>
          <w:color w:val="231F20"/>
          <w:spacing w:val="-3"/>
        </w:rPr>
        <w:t> </w:t>
      </w:r>
      <w:r>
        <w:rPr>
          <w:color w:val="231F20"/>
        </w:rPr>
        <w:t>presents</w:t>
      </w:r>
      <w:r>
        <w:rPr>
          <w:color w:val="231F20"/>
          <w:spacing w:val="-3"/>
        </w:rPr>
        <w:t> </w:t>
      </w:r>
      <w:r>
        <w:rPr>
          <w:color w:val="231F20"/>
        </w:rPr>
        <w:t>the</w:t>
      </w:r>
      <w:r>
        <w:rPr>
          <w:color w:val="231F20"/>
          <w:spacing w:val="-4"/>
        </w:rPr>
        <w:t> </w:t>
      </w:r>
      <w:r>
        <w:rPr>
          <w:color w:val="231F20"/>
        </w:rPr>
        <w:t>Institute’s</w:t>
      </w:r>
      <w:r>
        <w:rPr>
          <w:color w:val="231F20"/>
          <w:spacing w:val="-3"/>
        </w:rPr>
        <w:t> </w:t>
      </w:r>
      <w:r>
        <w:rPr>
          <w:color w:val="231F20"/>
        </w:rPr>
        <w:t>net</w:t>
      </w:r>
      <w:r>
        <w:rPr>
          <w:color w:val="231F20"/>
          <w:spacing w:val="-4"/>
        </w:rPr>
        <w:t> </w:t>
      </w:r>
      <w:r>
        <w:rPr>
          <w:color w:val="231F20"/>
        </w:rPr>
        <w:t>OPEB</w:t>
      </w:r>
      <w:r>
        <w:rPr>
          <w:color w:val="231F20"/>
          <w:spacing w:val="-3"/>
        </w:rPr>
        <w:t> </w:t>
      </w:r>
      <w:r>
        <w:rPr>
          <w:color w:val="231F20"/>
        </w:rPr>
        <w:t>liability</w:t>
      </w:r>
      <w:r>
        <w:rPr>
          <w:color w:val="231F20"/>
          <w:spacing w:val="-3"/>
        </w:rPr>
        <w:t> </w:t>
      </w:r>
      <w:r>
        <w:rPr>
          <w:color w:val="231F20"/>
        </w:rPr>
        <w:t>at</w:t>
      </w:r>
      <w:r>
        <w:rPr>
          <w:color w:val="231F20"/>
          <w:spacing w:val="-3"/>
        </w:rPr>
        <w:t> </w:t>
      </w:r>
      <w:r>
        <w:rPr>
          <w:color w:val="231F20"/>
        </w:rPr>
        <w:t>June</w:t>
      </w:r>
      <w:r>
        <w:rPr>
          <w:color w:val="231F20"/>
          <w:spacing w:val="-3"/>
        </w:rPr>
        <w:t> </w:t>
      </w:r>
      <w:r>
        <w:rPr>
          <w:color w:val="231F20"/>
        </w:rPr>
        <w:t>30,</w:t>
      </w:r>
      <w:r>
        <w:rPr>
          <w:color w:val="231F20"/>
          <w:spacing w:val="-2"/>
        </w:rPr>
        <w:t> </w:t>
      </w:r>
      <w:r>
        <w:rPr>
          <w:color w:val="231F20"/>
        </w:rPr>
        <w:t>2022,</w:t>
      </w:r>
      <w:r>
        <w:rPr>
          <w:color w:val="231F20"/>
          <w:spacing w:val="-3"/>
        </w:rPr>
        <w:t> </w:t>
      </w:r>
      <w:r>
        <w:rPr>
          <w:color w:val="231F20"/>
        </w:rPr>
        <w:t>which</w:t>
      </w:r>
      <w:r>
        <w:rPr>
          <w:color w:val="231F20"/>
          <w:spacing w:val="-3"/>
        </w:rPr>
        <w:t> </w:t>
      </w:r>
      <w:r>
        <w:rPr>
          <w:color w:val="231F20"/>
        </w:rPr>
        <w:t>was</w:t>
      </w:r>
      <w:r>
        <w:rPr>
          <w:color w:val="231F20"/>
          <w:spacing w:val="-3"/>
        </w:rPr>
        <w:t> </w:t>
      </w:r>
      <w:r>
        <w:rPr>
          <w:color w:val="231F20"/>
        </w:rPr>
        <w:t>measured</w:t>
      </w:r>
      <w:r>
        <w:rPr>
          <w:color w:val="231F20"/>
          <w:spacing w:val="-3"/>
        </w:rPr>
        <w:t> </w:t>
      </w:r>
      <w:r>
        <w:rPr>
          <w:color w:val="231F20"/>
        </w:rPr>
        <w:t>using</w:t>
      </w:r>
      <w:r>
        <w:rPr>
          <w:color w:val="231F20"/>
          <w:spacing w:val="-3"/>
        </w:rPr>
        <w:t> </w:t>
      </w:r>
      <w:r>
        <w:rPr>
          <w:color w:val="231F20"/>
        </w:rPr>
        <w:t>the current healthcare cost trend rate of (Pre-Medicare: 7.00% decreasing to 4.50%, Post-Medicare: 6.50% decreasing to 4.50%, Pharmacy: 8.50% decreasing to 4.50%, and Dental and Vision: 3%), as well as what the net OPEB liability would be if it were calculated using healthcare cost trend rates that are 1- percentage-point lower or 1-percentage-point higher than the current rate:</w:t>
      </w:r>
    </w:p>
    <w:p>
      <w:pPr>
        <w:spacing w:after="0" w:line="276" w:lineRule="auto"/>
        <w:sectPr>
          <w:type w:val="continuous"/>
          <w:pgSz w:w="12240" w:h="15840"/>
          <w:pgMar w:header="1282" w:footer="1097" w:top="1460" w:bottom="280" w:left="0" w:right="580"/>
        </w:sectPr>
      </w:pPr>
    </w:p>
    <w:p>
      <w:pPr>
        <w:pStyle w:val="BodyText"/>
      </w:pPr>
      <w:r>
        <w:rPr/>
        <w:pict>
          <v:rect style="position:absolute;margin-left:342.960999pt;margin-top:648.360962pt;width:91.62pt;height:.90001pt;mso-position-horizontal-relative:page;mso-position-vertical-relative:page;z-index:15790592" id="docshape359" filled="true" fillcolor="#231f20" stroked="false">
            <v:fill type="solid"/>
            <w10:wrap type="none"/>
          </v:rect>
        </w:pict>
      </w:r>
      <w:r>
        <w:rPr/>
        <w:pict>
          <v:rect style="position:absolute;margin-left:451.860992pt;margin-top:648.360962pt;width:86.76pt;height:.90001pt;mso-position-horizontal-relative:page;mso-position-vertical-relative:page;z-index:15791104" id="docshape360" filled="true" fillcolor="#231f20" stroked="false">
            <v:fill type="solid"/>
            <w10:wrap type="none"/>
          </v:rect>
        </w:pict>
      </w:r>
    </w:p>
    <w:p>
      <w:pPr>
        <w:pStyle w:val="BodyText"/>
        <w:spacing w:before="10"/>
        <w:rPr>
          <w:sz w:val="17"/>
        </w:rPr>
      </w:pPr>
    </w:p>
    <w:p>
      <w:pPr>
        <w:pStyle w:val="Heading4"/>
        <w:spacing w:before="94"/>
      </w:pPr>
      <w:r>
        <w:rPr>
          <w:color w:val="231F20"/>
        </w:rPr>
        <w:t>Note</w:t>
      </w:r>
      <w:r>
        <w:rPr>
          <w:color w:val="231F20"/>
          <w:spacing w:val="-7"/>
        </w:rPr>
        <w:t> </w:t>
      </w:r>
      <w:r>
        <w:rPr>
          <w:color w:val="231F20"/>
        </w:rPr>
        <w:t>8</w:t>
      </w:r>
      <w:r>
        <w:rPr>
          <w:color w:val="231F20"/>
          <w:spacing w:val="-4"/>
        </w:rPr>
        <w:t> </w:t>
      </w:r>
      <w:r>
        <w:rPr>
          <w:color w:val="231F20"/>
        </w:rPr>
        <w:t>–</w:t>
      </w:r>
      <w:r>
        <w:rPr>
          <w:color w:val="231F20"/>
          <w:spacing w:val="-5"/>
        </w:rPr>
        <w:t> </w:t>
      </w:r>
      <w:r>
        <w:rPr>
          <w:color w:val="231F20"/>
        </w:rPr>
        <w:t>Other</w:t>
      </w:r>
      <w:r>
        <w:rPr>
          <w:color w:val="231F20"/>
          <w:spacing w:val="-4"/>
        </w:rPr>
        <w:t> </w:t>
      </w:r>
      <w:r>
        <w:rPr>
          <w:color w:val="231F20"/>
        </w:rPr>
        <w:t>Postemployment</w:t>
      </w:r>
      <w:r>
        <w:rPr>
          <w:color w:val="231F20"/>
          <w:spacing w:val="-6"/>
        </w:rPr>
        <w:t> </w:t>
      </w:r>
      <w:r>
        <w:rPr>
          <w:color w:val="231F20"/>
        </w:rPr>
        <w:t>Benefits</w:t>
      </w:r>
      <w:r>
        <w:rPr>
          <w:color w:val="231F20"/>
          <w:spacing w:val="-4"/>
        </w:rPr>
        <w:t> </w:t>
      </w:r>
      <w:r>
        <w:rPr>
          <w:color w:val="231F20"/>
        </w:rPr>
        <w:t>Plan</w:t>
      </w:r>
      <w:r>
        <w:rPr>
          <w:color w:val="231F20"/>
          <w:spacing w:val="-4"/>
        </w:rPr>
        <w:t> </w:t>
      </w:r>
      <w:r>
        <w:rPr>
          <w:color w:val="231F20"/>
          <w:spacing w:val="-2"/>
        </w:rPr>
        <w:t>(continued)</w:t>
      </w:r>
    </w:p>
    <w:p>
      <w:pPr>
        <w:pStyle w:val="BodyText"/>
        <w:rPr>
          <w:b/>
          <w:sz w:val="23"/>
        </w:rPr>
      </w:pPr>
    </w:p>
    <w:p>
      <w:pPr>
        <w:spacing w:before="0"/>
        <w:ind w:left="1440" w:right="0" w:firstLine="0"/>
        <w:jc w:val="left"/>
        <w:rPr>
          <w:b/>
          <w:sz w:val="20"/>
        </w:rPr>
      </w:pPr>
      <w:r>
        <w:rPr>
          <w:b/>
          <w:color w:val="231F20"/>
          <w:sz w:val="20"/>
        </w:rPr>
        <w:t>Sensitivity</w:t>
      </w:r>
      <w:r>
        <w:rPr>
          <w:b/>
          <w:color w:val="231F20"/>
          <w:spacing w:val="-7"/>
          <w:sz w:val="20"/>
        </w:rPr>
        <w:t> </w:t>
      </w:r>
      <w:r>
        <w:rPr>
          <w:b/>
          <w:color w:val="231F20"/>
          <w:sz w:val="20"/>
        </w:rPr>
        <w:t>of</w:t>
      </w:r>
      <w:r>
        <w:rPr>
          <w:b/>
          <w:color w:val="231F20"/>
          <w:spacing w:val="-5"/>
          <w:sz w:val="20"/>
        </w:rPr>
        <w:t> </w:t>
      </w:r>
      <w:r>
        <w:rPr>
          <w:b/>
          <w:color w:val="231F20"/>
          <w:sz w:val="20"/>
        </w:rPr>
        <w:t>the</w:t>
      </w:r>
      <w:r>
        <w:rPr>
          <w:b/>
          <w:color w:val="231F20"/>
          <w:spacing w:val="-6"/>
          <w:sz w:val="20"/>
        </w:rPr>
        <w:t> </w:t>
      </w:r>
      <w:r>
        <w:rPr>
          <w:b/>
          <w:color w:val="231F20"/>
          <w:sz w:val="20"/>
        </w:rPr>
        <w:t>Net</w:t>
      </w:r>
      <w:r>
        <w:rPr>
          <w:b/>
          <w:color w:val="231F20"/>
          <w:spacing w:val="-5"/>
          <w:sz w:val="20"/>
        </w:rPr>
        <w:t> </w:t>
      </w:r>
      <w:r>
        <w:rPr>
          <w:b/>
          <w:color w:val="231F20"/>
          <w:sz w:val="20"/>
        </w:rPr>
        <w:t>OPEB</w:t>
      </w:r>
      <w:r>
        <w:rPr>
          <w:b/>
          <w:color w:val="231F20"/>
          <w:spacing w:val="-5"/>
          <w:sz w:val="20"/>
        </w:rPr>
        <w:t> </w:t>
      </w:r>
      <w:r>
        <w:rPr>
          <w:b/>
          <w:color w:val="231F20"/>
          <w:sz w:val="20"/>
        </w:rPr>
        <w:t>Liability</w:t>
      </w:r>
      <w:r>
        <w:rPr>
          <w:b/>
          <w:color w:val="231F20"/>
          <w:spacing w:val="-5"/>
          <w:sz w:val="20"/>
        </w:rPr>
        <w:t> </w:t>
      </w:r>
      <w:r>
        <w:rPr>
          <w:b/>
          <w:color w:val="231F20"/>
          <w:sz w:val="20"/>
        </w:rPr>
        <w:t>to</w:t>
      </w:r>
      <w:r>
        <w:rPr>
          <w:b/>
          <w:color w:val="231F20"/>
          <w:spacing w:val="-5"/>
          <w:sz w:val="20"/>
        </w:rPr>
        <w:t> </w:t>
      </w:r>
      <w:r>
        <w:rPr>
          <w:b/>
          <w:color w:val="231F20"/>
          <w:sz w:val="20"/>
        </w:rPr>
        <w:t>Changes</w:t>
      </w:r>
      <w:r>
        <w:rPr>
          <w:b/>
          <w:color w:val="231F20"/>
          <w:spacing w:val="-5"/>
          <w:sz w:val="20"/>
        </w:rPr>
        <w:t> </w:t>
      </w:r>
      <w:r>
        <w:rPr>
          <w:b/>
          <w:color w:val="231F20"/>
          <w:sz w:val="20"/>
        </w:rPr>
        <w:t>in</w:t>
      </w:r>
      <w:r>
        <w:rPr>
          <w:b/>
          <w:color w:val="231F20"/>
          <w:spacing w:val="-5"/>
          <w:sz w:val="20"/>
        </w:rPr>
        <w:t> </w:t>
      </w:r>
      <w:r>
        <w:rPr>
          <w:b/>
          <w:color w:val="231F20"/>
          <w:sz w:val="20"/>
        </w:rPr>
        <w:t>the</w:t>
      </w:r>
      <w:r>
        <w:rPr>
          <w:b/>
          <w:color w:val="231F20"/>
          <w:spacing w:val="-5"/>
          <w:sz w:val="20"/>
        </w:rPr>
        <w:t> </w:t>
      </w:r>
      <w:r>
        <w:rPr>
          <w:b/>
          <w:color w:val="231F20"/>
          <w:sz w:val="20"/>
        </w:rPr>
        <w:t>Healthcare</w:t>
      </w:r>
      <w:r>
        <w:rPr>
          <w:b/>
          <w:color w:val="231F20"/>
          <w:spacing w:val="-5"/>
          <w:sz w:val="20"/>
        </w:rPr>
        <w:t> </w:t>
      </w:r>
      <w:r>
        <w:rPr>
          <w:b/>
          <w:color w:val="231F20"/>
          <w:sz w:val="20"/>
        </w:rPr>
        <w:t>Cost</w:t>
      </w:r>
      <w:r>
        <w:rPr>
          <w:b/>
          <w:color w:val="231F20"/>
          <w:spacing w:val="-6"/>
          <w:sz w:val="20"/>
        </w:rPr>
        <w:t> </w:t>
      </w:r>
      <w:r>
        <w:rPr>
          <w:b/>
          <w:color w:val="231F20"/>
          <w:sz w:val="20"/>
        </w:rPr>
        <w:t>Trend</w:t>
      </w:r>
      <w:r>
        <w:rPr>
          <w:b/>
          <w:color w:val="231F20"/>
          <w:spacing w:val="-4"/>
          <w:sz w:val="20"/>
        </w:rPr>
        <w:t> </w:t>
      </w:r>
      <w:r>
        <w:rPr>
          <w:b/>
          <w:color w:val="231F20"/>
          <w:spacing w:val="-2"/>
          <w:sz w:val="20"/>
        </w:rPr>
        <w:t>Rates</w:t>
      </w:r>
    </w:p>
    <w:p>
      <w:pPr>
        <w:pStyle w:val="BodyText"/>
        <w:spacing w:line="276" w:lineRule="auto" w:before="34"/>
        <w:ind w:left="1440" w:right="991"/>
      </w:pPr>
      <w:r>
        <w:rPr>
          <w:color w:val="231F20"/>
        </w:rPr>
        <w:t>The</w:t>
      </w:r>
      <w:r>
        <w:rPr>
          <w:color w:val="231F20"/>
          <w:spacing w:val="-3"/>
        </w:rPr>
        <w:t> </w:t>
      </w:r>
      <w:r>
        <w:rPr>
          <w:color w:val="231F20"/>
        </w:rPr>
        <w:t>following</w:t>
      </w:r>
      <w:r>
        <w:rPr>
          <w:color w:val="231F20"/>
          <w:spacing w:val="-3"/>
        </w:rPr>
        <w:t> </w:t>
      </w:r>
      <w:r>
        <w:rPr>
          <w:color w:val="231F20"/>
        </w:rPr>
        <w:t>presents</w:t>
      </w:r>
      <w:r>
        <w:rPr>
          <w:color w:val="231F20"/>
          <w:spacing w:val="-3"/>
        </w:rPr>
        <w:t> </w:t>
      </w:r>
      <w:r>
        <w:rPr>
          <w:color w:val="231F20"/>
        </w:rPr>
        <w:t>the</w:t>
      </w:r>
      <w:r>
        <w:rPr>
          <w:color w:val="231F20"/>
          <w:spacing w:val="-4"/>
        </w:rPr>
        <w:t> </w:t>
      </w:r>
      <w:r>
        <w:rPr>
          <w:color w:val="231F20"/>
        </w:rPr>
        <w:t>Institute’s</w:t>
      </w:r>
      <w:r>
        <w:rPr>
          <w:color w:val="231F20"/>
          <w:spacing w:val="-3"/>
        </w:rPr>
        <w:t> </w:t>
      </w:r>
      <w:r>
        <w:rPr>
          <w:color w:val="231F20"/>
        </w:rPr>
        <w:t>net</w:t>
      </w:r>
      <w:r>
        <w:rPr>
          <w:color w:val="231F20"/>
          <w:spacing w:val="-4"/>
        </w:rPr>
        <w:t> </w:t>
      </w:r>
      <w:r>
        <w:rPr>
          <w:color w:val="231F20"/>
        </w:rPr>
        <w:t>OPEB</w:t>
      </w:r>
      <w:r>
        <w:rPr>
          <w:color w:val="231F20"/>
          <w:spacing w:val="-3"/>
        </w:rPr>
        <w:t> </w:t>
      </w:r>
      <w:r>
        <w:rPr>
          <w:color w:val="231F20"/>
        </w:rPr>
        <w:t>liability</w:t>
      </w:r>
      <w:r>
        <w:rPr>
          <w:color w:val="231F20"/>
          <w:spacing w:val="-3"/>
        </w:rPr>
        <w:t> </w:t>
      </w:r>
      <w:r>
        <w:rPr>
          <w:color w:val="231F20"/>
        </w:rPr>
        <w:t>at</w:t>
      </w:r>
      <w:r>
        <w:rPr>
          <w:color w:val="231F20"/>
          <w:spacing w:val="-3"/>
        </w:rPr>
        <w:t> </w:t>
      </w:r>
      <w:r>
        <w:rPr>
          <w:color w:val="231F20"/>
        </w:rPr>
        <w:t>June</w:t>
      </w:r>
      <w:r>
        <w:rPr>
          <w:color w:val="231F20"/>
          <w:spacing w:val="-3"/>
        </w:rPr>
        <w:t> </w:t>
      </w:r>
      <w:r>
        <w:rPr>
          <w:color w:val="231F20"/>
        </w:rPr>
        <w:t>30,</w:t>
      </w:r>
      <w:r>
        <w:rPr>
          <w:color w:val="231F20"/>
          <w:spacing w:val="-2"/>
        </w:rPr>
        <w:t> </w:t>
      </w:r>
      <w:r>
        <w:rPr>
          <w:color w:val="231F20"/>
        </w:rPr>
        <w:t>2022,</w:t>
      </w:r>
      <w:r>
        <w:rPr>
          <w:color w:val="231F20"/>
          <w:spacing w:val="-3"/>
        </w:rPr>
        <w:t> </w:t>
      </w:r>
      <w:r>
        <w:rPr>
          <w:color w:val="231F20"/>
        </w:rPr>
        <w:t>which</w:t>
      </w:r>
      <w:r>
        <w:rPr>
          <w:color w:val="231F20"/>
          <w:spacing w:val="-3"/>
        </w:rPr>
        <w:t> </w:t>
      </w:r>
      <w:r>
        <w:rPr>
          <w:color w:val="231F20"/>
        </w:rPr>
        <w:t>was</w:t>
      </w:r>
      <w:r>
        <w:rPr>
          <w:color w:val="231F20"/>
          <w:spacing w:val="-3"/>
        </w:rPr>
        <w:t> </w:t>
      </w:r>
      <w:r>
        <w:rPr>
          <w:color w:val="231F20"/>
        </w:rPr>
        <w:t>measured</w:t>
      </w:r>
      <w:r>
        <w:rPr>
          <w:color w:val="231F20"/>
          <w:spacing w:val="-3"/>
        </w:rPr>
        <w:t> </w:t>
      </w:r>
      <w:r>
        <w:rPr>
          <w:color w:val="231F20"/>
        </w:rPr>
        <w:t>using</w:t>
      </w:r>
      <w:r>
        <w:rPr>
          <w:color w:val="231F20"/>
          <w:spacing w:val="-3"/>
        </w:rPr>
        <w:t> </w:t>
      </w:r>
      <w:r>
        <w:rPr>
          <w:color w:val="231F20"/>
        </w:rPr>
        <w:t>the current healthcare cost trend rate of (Pre-Medicare: 7.00% decreasing to 4.50%, Post-Medicare: 6.50% decreasing to 4.50%, Pharmacy: 8.50% decreasing to 4.50%, and Dental and Vision: 3%), as well as what the net OPEB liability would be if it were calculated using healthcare cost trend rates that are 1- percentage-point lower or 1-percentage-point higher than the current rate:</w:t>
      </w:r>
    </w:p>
    <w:p>
      <w:pPr>
        <w:pStyle w:val="BodyText"/>
        <w:spacing w:before="6"/>
        <w:rPr>
          <w:sz w:val="25"/>
        </w:rPr>
      </w:pPr>
    </w:p>
    <w:tbl>
      <w:tblPr>
        <w:tblW w:w="0" w:type="auto"/>
        <w:jc w:val="left"/>
        <w:tblInd w:w="1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4"/>
        <w:gridCol w:w="205"/>
        <w:gridCol w:w="188"/>
        <w:gridCol w:w="1902"/>
        <w:gridCol w:w="205"/>
        <w:gridCol w:w="187"/>
        <w:gridCol w:w="1902"/>
        <w:gridCol w:w="206"/>
        <w:gridCol w:w="185"/>
        <w:gridCol w:w="1903"/>
      </w:tblGrid>
      <w:tr>
        <w:trPr>
          <w:trHeight w:val="202" w:hRule="atLeast"/>
        </w:trPr>
        <w:tc>
          <w:tcPr>
            <w:tcW w:w="2837" w:type="dxa"/>
            <w:gridSpan w:val="3"/>
            <w:vMerge w:val="restart"/>
          </w:tcPr>
          <w:p>
            <w:pPr>
              <w:pStyle w:val="TableParagraph"/>
              <w:rPr>
                <w:rFonts w:ascii="Times New Roman"/>
                <w:sz w:val="18"/>
              </w:rPr>
            </w:pPr>
          </w:p>
        </w:tc>
        <w:tc>
          <w:tcPr>
            <w:tcW w:w="1902" w:type="dxa"/>
          </w:tcPr>
          <w:p>
            <w:pPr>
              <w:pStyle w:val="TableParagraph"/>
              <w:spacing w:line="180" w:lineRule="exact"/>
              <w:ind w:left="379"/>
              <w:rPr>
                <w:sz w:val="16"/>
              </w:rPr>
            </w:pPr>
            <w:r>
              <w:rPr>
                <w:color w:val="231F20"/>
                <w:sz w:val="16"/>
              </w:rPr>
              <w:t>1%</w:t>
            </w:r>
            <w:r>
              <w:rPr>
                <w:color w:val="231F20"/>
                <w:spacing w:val="2"/>
                <w:sz w:val="16"/>
              </w:rPr>
              <w:t> </w:t>
            </w:r>
            <w:r>
              <w:rPr>
                <w:color w:val="231F20"/>
                <w:spacing w:val="-2"/>
                <w:sz w:val="16"/>
              </w:rPr>
              <w:t>Decrease</w:t>
            </w:r>
          </w:p>
        </w:tc>
        <w:tc>
          <w:tcPr>
            <w:tcW w:w="205" w:type="dxa"/>
          </w:tcPr>
          <w:p>
            <w:pPr>
              <w:pStyle w:val="TableParagraph"/>
              <w:rPr>
                <w:rFonts w:ascii="Times New Roman"/>
                <w:sz w:val="14"/>
              </w:rPr>
            </w:pPr>
          </w:p>
        </w:tc>
        <w:tc>
          <w:tcPr>
            <w:tcW w:w="187" w:type="dxa"/>
          </w:tcPr>
          <w:p>
            <w:pPr>
              <w:pStyle w:val="TableParagraph"/>
              <w:rPr>
                <w:rFonts w:ascii="Times New Roman"/>
                <w:sz w:val="14"/>
              </w:rPr>
            </w:pPr>
          </w:p>
        </w:tc>
        <w:tc>
          <w:tcPr>
            <w:tcW w:w="1902" w:type="dxa"/>
          </w:tcPr>
          <w:p>
            <w:pPr>
              <w:pStyle w:val="TableParagraph"/>
              <w:spacing w:line="180" w:lineRule="exact"/>
              <w:ind w:left="63"/>
              <w:rPr>
                <w:sz w:val="16"/>
              </w:rPr>
            </w:pPr>
            <w:r>
              <w:rPr>
                <w:color w:val="231F20"/>
                <w:sz w:val="16"/>
              </w:rPr>
              <w:t>Current Discount</w:t>
            </w:r>
            <w:r>
              <w:rPr>
                <w:color w:val="231F20"/>
                <w:spacing w:val="2"/>
                <w:sz w:val="16"/>
              </w:rPr>
              <w:t> </w:t>
            </w:r>
            <w:r>
              <w:rPr>
                <w:color w:val="231F20"/>
                <w:spacing w:val="-4"/>
                <w:sz w:val="16"/>
              </w:rPr>
              <w:t>Rate</w:t>
            </w:r>
          </w:p>
        </w:tc>
        <w:tc>
          <w:tcPr>
            <w:tcW w:w="206" w:type="dxa"/>
          </w:tcPr>
          <w:p>
            <w:pPr>
              <w:pStyle w:val="TableParagraph"/>
              <w:rPr>
                <w:rFonts w:ascii="Times New Roman"/>
                <w:sz w:val="14"/>
              </w:rPr>
            </w:pPr>
          </w:p>
        </w:tc>
        <w:tc>
          <w:tcPr>
            <w:tcW w:w="185" w:type="dxa"/>
          </w:tcPr>
          <w:p>
            <w:pPr>
              <w:pStyle w:val="TableParagraph"/>
              <w:rPr>
                <w:rFonts w:ascii="Times New Roman"/>
                <w:sz w:val="14"/>
              </w:rPr>
            </w:pPr>
          </w:p>
        </w:tc>
        <w:tc>
          <w:tcPr>
            <w:tcW w:w="1903" w:type="dxa"/>
          </w:tcPr>
          <w:p>
            <w:pPr>
              <w:pStyle w:val="TableParagraph"/>
              <w:spacing w:line="180" w:lineRule="exact"/>
              <w:ind w:left="417"/>
              <w:rPr>
                <w:sz w:val="16"/>
              </w:rPr>
            </w:pPr>
            <w:r>
              <w:rPr>
                <w:color w:val="231F20"/>
                <w:sz w:val="16"/>
              </w:rPr>
              <w:t>1%</w:t>
            </w:r>
            <w:r>
              <w:rPr>
                <w:color w:val="231F20"/>
                <w:spacing w:val="2"/>
                <w:sz w:val="16"/>
              </w:rPr>
              <w:t> </w:t>
            </w:r>
            <w:r>
              <w:rPr>
                <w:color w:val="231F20"/>
                <w:spacing w:val="-2"/>
                <w:sz w:val="16"/>
              </w:rPr>
              <w:t>Increase</w:t>
            </w:r>
          </w:p>
        </w:tc>
      </w:tr>
      <w:tr>
        <w:trPr>
          <w:trHeight w:val="223" w:hRule="atLeast"/>
        </w:trPr>
        <w:tc>
          <w:tcPr>
            <w:tcW w:w="2837" w:type="dxa"/>
            <w:gridSpan w:val="3"/>
            <w:vMerge/>
            <w:tcBorders>
              <w:top w:val="nil"/>
            </w:tcBorders>
          </w:tcPr>
          <w:p>
            <w:pPr>
              <w:rPr>
                <w:sz w:val="2"/>
                <w:szCs w:val="2"/>
              </w:rPr>
            </w:pPr>
          </w:p>
        </w:tc>
        <w:tc>
          <w:tcPr>
            <w:tcW w:w="1902" w:type="dxa"/>
          </w:tcPr>
          <w:p>
            <w:pPr>
              <w:pStyle w:val="TableParagraph"/>
              <w:spacing w:before="18"/>
              <w:ind w:left="53"/>
              <w:rPr>
                <w:sz w:val="16"/>
              </w:rPr>
            </w:pPr>
            <w:r>
              <w:rPr>
                <w:color w:val="231F20"/>
                <w:sz w:val="16"/>
              </w:rPr>
              <w:t>(Pre-Medicare: </w:t>
            </w:r>
            <w:r>
              <w:rPr>
                <w:color w:val="231F20"/>
                <w:spacing w:val="-2"/>
                <w:sz w:val="16"/>
              </w:rPr>
              <w:t>6.00%</w:t>
            </w:r>
          </w:p>
        </w:tc>
        <w:tc>
          <w:tcPr>
            <w:tcW w:w="205" w:type="dxa"/>
          </w:tcPr>
          <w:p>
            <w:pPr>
              <w:pStyle w:val="TableParagraph"/>
              <w:rPr>
                <w:rFonts w:ascii="Times New Roman"/>
                <w:sz w:val="14"/>
              </w:rPr>
            </w:pPr>
          </w:p>
        </w:tc>
        <w:tc>
          <w:tcPr>
            <w:tcW w:w="187" w:type="dxa"/>
          </w:tcPr>
          <w:p>
            <w:pPr>
              <w:pStyle w:val="TableParagraph"/>
              <w:rPr>
                <w:rFonts w:ascii="Times New Roman"/>
                <w:sz w:val="14"/>
              </w:rPr>
            </w:pPr>
          </w:p>
        </w:tc>
        <w:tc>
          <w:tcPr>
            <w:tcW w:w="1902" w:type="dxa"/>
          </w:tcPr>
          <w:p>
            <w:pPr>
              <w:pStyle w:val="TableParagraph"/>
              <w:spacing w:before="18"/>
              <w:ind w:left="54"/>
              <w:rPr>
                <w:sz w:val="16"/>
              </w:rPr>
            </w:pPr>
            <w:r>
              <w:rPr>
                <w:color w:val="231F20"/>
                <w:sz w:val="16"/>
              </w:rPr>
              <w:t>(Pre-Medicare: </w:t>
            </w:r>
            <w:r>
              <w:rPr>
                <w:color w:val="231F20"/>
                <w:spacing w:val="-4"/>
                <w:sz w:val="16"/>
              </w:rPr>
              <w:t>7.00%</w:t>
            </w:r>
          </w:p>
        </w:tc>
        <w:tc>
          <w:tcPr>
            <w:tcW w:w="206" w:type="dxa"/>
          </w:tcPr>
          <w:p>
            <w:pPr>
              <w:pStyle w:val="TableParagraph"/>
              <w:rPr>
                <w:rFonts w:ascii="Times New Roman"/>
                <w:sz w:val="14"/>
              </w:rPr>
            </w:pPr>
          </w:p>
        </w:tc>
        <w:tc>
          <w:tcPr>
            <w:tcW w:w="185" w:type="dxa"/>
          </w:tcPr>
          <w:p>
            <w:pPr>
              <w:pStyle w:val="TableParagraph"/>
              <w:rPr>
                <w:rFonts w:ascii="Times New Roman"/>
                <w:sz w:val="14"/>
              </w:rPr>
            </w:pPr>
          </w:p>
        </w:tc>
        <w:tc>
          <w:tcPr>
            <w:tcW w:w="1903" w:type="dxa"/>
          </w:tcPr>
          <w:p>
            <w:pPr>
              <w:pStyle w:val="TableParagraph"/>
              <w:spacing w:before="18"/>
              <w:ind w:left="56"/>
              <w:rPr>
                <w:sz w:val="16"/>
              </w:rPr>
            </w:pPr>
            <w:r>
              <w:rPr>
                <w:color w:val="231F20"/>
                <w:sz w:val="16"/>
              </w:rPr>
              <w:t>(Pre-Medicare:</w:t>
            </w:r>
            <w:r>
              <w:rPr>
                <w:color w:val="231F20"/>
                <w:spacing w:val="-2"/>
                <w:sz w:val="16"/>
              </w:rPr>
              <w:t> </w:t>
            </w:r>
            <w:r>
              <w:rPr>
                <w:color w:val="231F20"/>
                <w:spacing w:val="-4"/>
                <w:sz w:val="16"/>
              </w:rPr>
              <w:t>8.00%</w:t>
            </w:r>
          </w:p>
        </w:tc>
      </w:tr>
      <w:tr>
        <w:trPr>
          <w:trHeight w:val="223" w:hRule="atLeast"/>
        </w:trPr>
        <w:tc>
          <w:tcPr>
            <w:tcW w:w="2837" w:type="dxa"/>
            <w:gridSpan w:val="3"/>
            <w:vMerge/>
            <w:tcBorders>
              <w:top w:val="nil"/>
            </w:tcBorders>
          </w:tcPr>
          <w:p>
            <w:pPr>
              <w:rPr>
                <w:sz w:val="2"/>
                <w:szCs w:val="2"/>
              </w:rPr>
            </w:pPr>
          </w:p>
        </w:tc>
        <w:tc>
          <w:tcPr>
            <w:tcW w:w="1902" w:type="dxa"/>
          </w:tcPr>
          <w:p>
            <w:pPr>
              <w:pStyle w:val="TableParagraph"/>
              <w:spacing w:before="17"/>
              <w:ind w:left="102"/>
              <w:rPr>
                <w:sz w:val="16"/>
              </w:rPr>
            </w:pPr>
            <w:r>
              <w:rPr>
                <w:color w:val="231F20"/>
                <w:sz w:val="16"/>
              </w:rPr>
              <w:t>decreasing</w:t>
            </w:r>
            <w:r>
              <w:rPr>
                <w:color w:val="231F20"/>
                <w:spacing w:val="2"/>
                <w:sz w:val="16"/>
              </w:rPr>
              <w:t> </w:t>
            </w:r>
            <w:r>
              <w:rPr>
                <w:color w:val="231F20"/>
                <w:sz w:val="16"/>
              </w:rPr>
              <w:t>to </w:t>
            </w:r>
            <w:r>
              <w:rPr>
                <w:color w:val="231F20"/>
                <w:spacing w:val="-2"/>
                <w:sz w:val="16"/>
              </w:rPr>
              <w:t>3.50%,</w:t>
            </w:r>
          </w:p>
        </w:tc>
        <w:tc>
          <w:tcPr>
            <w:tcW w:w="205" w:type="dxa"/>
          </w:tcPr>
          <w:p>
            <w:pPr>
              <w:pStyle w:val="TableParagraph"/>
              <w:rPr>
                <w:rFonts w:ascii="Times New Roman"/>
                <w:sz w:val="14"/>
              </w:rPr>
            </w:pPr>
          </w:p>
        </w:tc>
        <w:tc>
          <w:tcPr>
            <w:tcW w:w="187" w:type="dxa"/>
          </w:tcPr>
          <w:p>
            <w:pPr>
              <w:pStyle w:val="TableParagraph"/>
              <w:rPr>
                <w:rFonts w:ascii="Times New Roman"/>
                <w:sz w:val="14"/>
              </w:rPr>
            </w:pPr>
          </w:p>
        </w:tc>
        <w:tc>
          <w:tcPr>
            <w:tcW w:w="1902" w:type="dxa"/>
          </w:tcPr>
          <w:p>
            <w:pPr>
              <w:pStyle w:val="TableParagraph"/>
              <w:spacing w:before="17"/>
              <w:ind w:left="103"/>
              <w:rPr>
                <w:sz w:val="16"/>
              </w:rPr>
            </w:pPr>
            <w:r>
              <w:rPr>
                <w:color w:val="231F20"/>
                <w:sz w:val="16"/>
              </w:rPr>
              <w:t>decreasing</w:t>
            </w:r>
            <w:r>
              <w:rPr>
                <w:color w:val="231F20"/>
                <w:spacing w:val="2"/>
                <w:sz w:val="16"/>
              </w:rPr>
              <w:t> </w:t>
            </w:r>
            <w:r>
              <w:rPr>
                <w:color w:val="231F20"/>
                <w:sz w:val="16"/>
              </w:rPr>
              <w:t>to</w:t>
            </w:r>
            <w:r>
              <w:rPr>
                <w:color w:val="231F20"/>
                <w:spacing w:val="2"/>
                <w:sz w:val="16"/>
              </w:rPr>
              <w:t> </w:t>
            </w:r>
            <w:r>
              <w:rPr>
                <w:color w:val="231F20"/>
                <w:spacing w:val="-2"/>
                <w:sz w:val="16"/>
              </w:rPr>
              <w:t>4.50%,</w:t>
            </w:r>
          </w:p>
        </w:tc>
        <w:tc>
          <w:tcPr>
            <w:tcW w:w="206" w:type="dxa"/>
          </w:tcPr>
          <w:p>
            <w:pPr>
              <w:pStyle w:val="TableParagraph"/>
              <w:rPr>
                <w:rFonts w:ascii="Times New Roman"/>
                <w:sz w:val="14"/>
              </w:rPr>
            </w:pPr>
          </w:p>
        </w:tc>
        <w:tc>
          <w:tcPr>
            <w:tcW w:w="185" w:type="dxa"/>
          </w:tcPr>
          <w:p>
            <w:pPr>
              <w:pStyle w:val="TableParagraph"/>
              <w:rPr>
                <w:rFonts w:ascii="Times New Roman"/>
                <w:sz w:val="14"/>
              </w:rPr>
            </w:pPr>
          </w:p>
        </w:tc>
        <w:tc>
          <w:tcPr>
            <w:tcW w:w="1903" w:type="dxa"/>
          </w:tcPr>
          <w:p>
            <w:pPr>
              <w:pStyle w:val="TableParagraph"/>
              <w:spacing w:before="17"/>
              <w:ind w:left="106"/>
              <w:rPr>
                <w:sz w:val="16"/>
              </w:rPr>
            </w:pPr>
            <w:r>
              <w:rPr>
                <w:color w:val="231F20"/>
                <w:sz w:val="16"/>
              </w:rPr>
              <w:t>decreasing</w:t>
            </w:r>
            <w:r>
              <w:rPr>
                <w:color w:val="231F20"/>
                <w:spacing w:val="1"/>
                <w:sz w:val="16"/>
              </w:rPr>
              <w:t> </w:t>
            </w:r>
            <w:r>
              <w:rPr>
                <w:color w:val="231F20"/>
                <w:sz w:val="16"/>
              </w:rPr>
              <w:t>to</w:t>
            </w:r>
            <w:r>
              <w:rPr>
                <w:color w:val="231F20"/>
                <w:spacing w:val="2"/>
                <w:sz w:val="16"/>
              </w:rPr>
              <w:t> </w:t>
            </w:r>
            <w:r>
              <w:rPr>
                <w:color w:val="231F20"/>
                <w:spacing w:val="-2"/>
                <w:sz w:val="16"/>
              </w:rPr>
              <w:t>5.50%,</w:t>
            </w:r>
          </w:p>
        </w:tc>
      </w:tr>
      <w:tr>
        <w:trPr>
          <w:trHeight w:val="223" w:hRule="atLeast"/>
        </w:trPr>
        <w:tc>
          <w:tcPr>
            <w:tcW w:w="2837" w:type="dxa"/>
            <w:gridSpan w:val="3"/>
            <w:vMerge/>
            <w:tcBorders>
              <w:top w:val="nil"/>
            </w:tcBorders>
          </w:tcPr>
          <w:p>
            <w:pPr>
              <w:rPr>
                <w:sz w:val="2"/>
                <w:szCs w:val="2"/>
              </w:rPr>
            </w:pPr>
          </w:p>
        </w:tc>
        <w:tc>
          <w:tcPr>
            <w:tcW w:w="1902" w:type="dxa"/>
          </w:tcPr>
          <w:p>
            <w:pPr>
              <w:pStyle w:val="TableParagraph"/>
              <w:spacing w:before="18"/>
              <w:ind w:left="89"/>
              <w:rPr>
                <w:sz w:val="16"/>
              </w:rPr>
            </w:pPr>
            <w:r>
              <w:rPr>
                <w:color w:val="231F20"/>
                <w:sz w:val="16"/>
              </w:rPr>
              <w:t>Post-Medicare:</w:t>
            </w:r>
            <w:r>
              <w:rPr>
                <w:color w:val="231F20"/>
                <w:spacing w:val="1"/>
                <w:sz w:val="16"/>
              </w:rPr>
              <w:t> </w:t>
            </w:r>
            <w:r>
              <w:rPr>
                <w:color w:val="231F20"/>
                <w:spacing w:val="-2"/>
                <w:sz w:val="16"/>
              </w:rPr>
              <w:t>5.50%</w:t>
            </w:r>
          </w:p>
        </w:tc>
        <w:tc>
          <w:tcPr>
            <w:tcW w:w="205" w:type="dxa"/>
          </w:tcPr>
          <w:p>
            <w:pPr>
              <w:pStyle w:val="TableParagraph"/>
              <w:rPr>
                <w:rFonts w:ascii="Times New Roman"/>
                <w:sz w:val="14"/>
              </w:rPr>
            </w:pPr>
          </w:p>
        </w:tc>
        <w:tc>
          <w:tcPr>
            <w:tcW w:w="187" w:type="dxa"/>
          </w:tcPr>
          <w:p>
            <w:pPr>
              <w:pStyle w:val="TableParagraph"/>
              <w:rPr>
                <w:rFonts w:ascii="Times New Roman"/>
                <w:sz w:val="14"/>
              </w:rPr>
            </w:pPr>
          </w:p>
        </w:tc>
        <w:tc>
          <w:tcPr>
            <w:tcW w:w="1902" w:type="dxa"/>
          </w:tcPr>
          <w:p>
            <w:pPr>
              <w:pStyle w:val="TableParagraph"/>
              <w:spacing w:before="18"/>
              <w:ind w:left="90"/>
              <w:rPr>
                <w:sz w:val="16"/>
              </w:rPr>
            </w:pPr>
            <w:r>
              <w:rPr>
                <w:color w:val="231F20"/>
                <w:sz w:val="16"/>
              </w:rPr>
              <w:t>Post-Medicare:</w:t>
            </w:r>
            <w:r>
              <w:rPr>
                <w:color w:val="231F20"/>
                <w:spacing w:val="2"/>
                <w:sz w:val="16"/>
              </w:rPr>
              <w:t> </w:t>
            </w:r>
            <w:r>
              <w:rPr>
                <w:color w:val="231F20"/>
                <w:spacing w:val="-2"/>
                <w:sz w:val="16"/>
              </w:rPr>
              <w:t>6.50%</w:t>
            </w:r>
          </w:p>
        </w:tc>
        <w:tc>
          <w:tcPr>
            <w:tcW w:w="206" w:type="dxa"/>
          </w:tcPr>
          <w:p>
            <w:pPr>
              <w:pStyle w:val="TableParagraph"/>
              <w:rPr>
                <w:rFonts w:ascii="Times New Roman"/>
                <w:sz w:val="14"/>
              </w:rPr>
            </w:pPr>
          </w:p>
        </w:tc>
        <w:tc>
          <w:tcPr>
            <w:tcW w:w="185" w:type="dxa"/>
          </w:tcPr>
          <w:p>
            <w:pPr>
              <w:pStyle w:val="TableParagraph"/>
              <w:rPr>
                <w:rFonts w:ascii="Times New Roman"/>
                <w:sz w:val="14"/>
              </w:rPr>
            </w:pPr>
          </w:p>
        </w:tc>
        <w:tc>
          <w:tcPr>
            <w:tcW w:w="1903" w:type="dxa"/>
          </w:tcPr>
          <w:p>
            <w:pPr>
              <w:pStyle w:val="TableParagraph"/>
              <w:spacing w:before="18"/>
              <w:ind w:left="70"/>
              <w:rPr>
                <w:sz w:val="16"/>
              </w:rPr>
            </w:pPr>
            <w:r>
              <w:rPr>
                <w:color w:val="231F20"/>
                <w:sz w:val="16"/>
              </w:rPr>
              <w:t>Post-Medicare:</w:t>
            </w:r>
            <w:r>
              <w:rPr>
                <w:color w:val="231F20"/>
                <w:spacing w:val="1"/>
                <w:sz w:val="16"/>
              </w:rPr>
              <w:t> </w:t>
            </w:r>
            <w:r>
              <w:rPr>
                <w:color w:val="231F20"/>
                <w:spacing w:val="-2"/>
                <w:sz w:val="16"/>
              </w:rPr>
              <w:t>7.50%</w:t>
            </w:r>
          </w:p>
        </w:tc>
      </w:tr>
      <w:tr>
        <w:trPr>
          <w:trHeight w:val="223" w:hRule="atLeast"/>
        </w:trPr>
        <w:tc>
          <w:tcPr>
            <w:tcW w:w="2837" w:type="dxa"/>
            <w:gridSpan w:val="3"/>
            <w:vMerge/>
            <w:tcBorders>
              <w:top w:val="nil"/>
            </w:tcBorders>
          </w:tcPr>
          <w:p>
            <w:pPr>
              <w:rPr>
                <w:sz w:val="2"/>
                <w:szCs w:val="2"/>
              </w:rPr>
            </w:pPr>
          </w:p>
        </w:tc>
        <w:tc>
          <w:tcPr>
            <w:tcW w:w="1902" w:type="dxa"/>
          </w:tcPr>
          <w:p>
            <w:pPr>
              <w:pStyle w:val="TableParagraph"/>
              <w:spacing w:before="17"/>
              <w:ind w:left="102"/>
              <w:rPr>
                <w:sz w:val="16"/>
              </w:rPr>
            </w:pPr>
            <w:r>
              <w:rPr>
                <w:color w:val="231F20"/>
                <w:sz w:val="16"/>
              </w:rPr>
              <w:t>decreasing</w:t>
            </w:r>
            <w:r>
              <w:rPr>
                <w:color w:val="231F20"/>
                <w:spacing w:val="2"/>
                <w:sz w:val="16"/>
              </w:rPr>
              <w:t> </w:t>
            </w:r>
            <w:r>
              <w:rPr>
                <w:color w:val="231F20"/>
                <w:sz w:val="16"/>
              </w:rPr>
              <w:t>to </w:t>
            </w:r>
            <w:r>
              <w:rPr>
                <w:color w:val="231F20"/>
                <w:spacing w:val="-2"/>
                <w:sz w:val="16"/>
              </w:rPr>
              <w:t>3.50%,</w:t>
            </w:r>
          </w:p>
        </w:tc>
        <w:tc>
          <w:tcPr>
            <w:tcW w:w="205" w:type="dxa"/>
          </w:tcPr>
          <w:p>
            <w:pPr>
              <w:pStyle w:val="TableParagraph"/>
              <w:rPr>
                <w:rFonts w:ascii="Times New Roman"/>
                <w:sz w:val="14"/>
              </w:rPr>
            </w:pPr>
          </w:p>
        </w:tc>
        <w:tc>
          <w:tcPr>
            <w:tcW w:w="187" w:type="dxa"/>
          </w:tcPr>
          <w:p>
            <w:pPr>
              <w:pStyle w:val="TableParagraph"/>
              <w:rPr>
                <w:rFonts w:ascii="Times New Roman"/>
                <w:sz w:val="14"/>
              </w:rPr>
            </w:pPr>
          </w:p>
        </w:tc>
        <w:tc>
          <w:tcPr>
            <w:tcW w:w="1902" w:type="dxa"/>
          </w:tcPr>
          <w:p>
            <w:pPr>
              <w:pStyle w:val="TableParagraph"/>
              <w:spacing w:before="17"/>
              <w:ind w:left="103"/>
              <w:rPr>
                <w:sz w:val="16"/>
              </w:rPr>
            </w:pPr>
            <w:r>
              <w:rPr>
                <w:color w:val="231F20"/>
                <w:sz w:val="16"/>
              </w:rPr>
              <w:t>decreasing</w:t>
            </w:r>
            <w:r>
              <w:rPr>
                <w:color w:val="231F20"/>
                <w:spacing w:val="2"/>
                <w:sz w:val="16"/>
              </w:rPr>
              <w:t> </w:t>
            </w:r>
            <w:r>
              <w:rPr>
                <w:color w:val="231F20"/>
                <w:sz w:val="16"/>
              </w:rPr>
              <w:t>to</w:t>
            </w:r>
            <w:r>
              <w:rPr>
                <w:color w:val="231F20"/>
                <w:spacing w:val="2"/>
                <w:sz w:val="16"/>
              </w:rPr>
              <w:t> </w:t>
            </w:r>
            <w:r>
              <w:rPr>
                <w:color w:val="231F20"/>
                <w:spacing w:val="-2"/>
                <w:sz w:val="16"/>
              </w:rPr>
              <w:t>4.50%,</w:t>
            </w:r>
          </w:p>
        </w:tc>
        <w:tc>
          <w:tcPr>
            <w:tcW w:w="206" w:type="dxa"/>
          </w:tcPr>
          <w:p>
            <w:pPr>
              <w:pStyle w:val="TableParagraph"/>
              <w:rPr>
                <w:rFonts w:ascii="Times New Roman"/>
                <w:sz w:val="14"/>
              </w:rPr>
            </w:pPr>
          </w:p>
        </w:tc>
        <w:tc>
          <w:tcPr>
            <w:tcW w:w="185" w:type="dxa"/>
          </w:tcPr>
          <w:p>
            <w:pPr>
              <w:pStyle w:val="TableParagraph"/>
              <w:rPr>
                <w:rFonts w:ascii="Times New Roman"/>
                <w:sz w:val="14"/>
              </w:rPr>
            </w:pPr>
          </w:p>
        </w:tc>
        <w:tc>
          <w:tcPr>
            <w:tcW w:w="1903" w:type="dxa"/>
          </w:tcPr>
          <w:p>
            <w:pPr>
              <w:pStyle w:val="TableParagraph"/>
              <w:spacing w:before="17"/>
              <w:ind w:left="106"/>
              <w:rPr>
                <w:sz w:val="16"/>
              </w:rPr>
            </w:pPr>
            <w:r>
              <w:rPr>
                <w:color w:val="231F20"/>
                <w:sz w:val="16"/>
              </w:rPr>
              <w:t>decreasing</w:t>
            </w:r>
            <w:r>
              <w:rPr>
                <w:color w:val="231F20"/>
                <w:spacing w:val="1"/>
                <w:sz w:val="16"/>
              </w:rPr>
              <w:t> </w:t>
            </w:r>
            <w:r>
              <w:rPr>
                <w:color w:val="231F20"/>
                <w:sz w:val="16"/>
              </w:rPr>
              <w:t>to</w:t>
            </w:r>
            <w:r>
              <w:rPr>
                <w:color w:val="231F20"/>
                <w:spacing w:val="2"/>
                <w:sz w:val="16"/>
              </w:rPr>
              <w:t> </w:t>
            </w:r>
            <w:r>
              <w:rPr>
                <w:color w:val="231F20"/>
                <w:spacing w:val="-2"/>
                <w:sz w:val="16"/>
              </w:rPr>
              <w:t>5.50%,</w:t>
            </w:r>
          </w:p>
        </w:tc>
      </w:tr>
      <w:tr>
        <w:trPr>
          <w:trHeight w:val="223" w:hRule="atLeast"/>
        </w:trPr>
        <w:tc>
          <w:tcPr>
            <w:tcW w:w="2837" w:type="dxa"/>
            <w:gridSpan w:val="3"/>
            <w:vMerge/>
            <w:tcBorders>
              <w:top w:val="nil"/>
            </w:tcBorders>
          </w:tcPr>
          <w:p>
            <w:pPr>
              <w:rPr>
                <w:sz w:val="2"/>
                <w:szCs w:val="2"/>
              </w:rPr>
            </w:pPr>
          </w:p>
        </w:tc>
        <w:tc>
          <w:tcPr>
            <w:tcW w:w="1902" w:type="dxa"/>
          </w:tcPr>
          <w:p>
            <w:pPr>
              <w:pStyle w:val="TableParagraph"/>
              <w:spacing w:before="17"/>
              <w:ind w:left="226"/>
              <w:rPr>
                <w:sz w:val="16"/>
              </w:rPr>
            </w:pPr>
            <w:r>
              <w:rPr>
                <w:color w:val="231F20"/>
                <w:sz w:val="16"/>
              </w:rPr>
              <w:t>Pharmacy:</w:t>
            </w:r>
            <w:r>
              <w:rPr>
                <w:color w:val="231F20"/>
                <w:spacing w:val="-1"/>
                <w:sz w:val="16"/>
              </w:rPr>
              <w:t> </w:t>
            </w:r>
            <w:r>
              <w:rPr>
                <w:color w:val="231F20"/>
                <w:spacing w:val="-2"/>
                <w:sz w:val="16"/>
              </w:rPr>
              <w:t>7.50%</w:t>
            </w:r>
          </w:p>
        </w:tc>
        <w:tc>
          <w:tcPr>
            <w:tcW w:w="205" w:type="dxa"/>
          </w:tcPr>
          <w:p>
            <w:pPr>
              <w:pStyle w:val="TableParagraph"/>
              <w:rPr>
                <w:rFonts w:ascii="Times New Roman"/>
                <w:sz w:val="14"/>
              </w:rPr>
            </w:pPr>
          </w:p>
        </w:tc>
        <w:tc>
          <w:tcPr>
            <w:tcW w:w="187" w:type="dxa"/>
          </w:tcPr>
          <w:p>
            <w:pPr>
              <w:pStyle w:val="TableParagraph"/>
              <w:rPr>
                <w:rFonts w:ascii="Times New Roman"/>
                <w:sz w:val="14"/>
              </w:rPr>
            </w:pPr>
          </w:p>
        </w:tc>
        <w:tc>
          <w:tcPr>
            <w:tcW w:w="1902" w:type="dxa"/>
          </w:tcPr>
          <w:p>
            <w:pPr>
              <w:pStyle w:val="TableParagraph"/>
              <w:spacing w:before="17"/>
              <w:ind w:left="226"/>
              <w:rPr>
                <w:sz w:val="16"/>
              </w:rPr>
            </w:pPr>
            <w:r>
              <w:rPr>
                <w:color w:val="231F20"/>
                <w:sz w:val="16"/>
              </w:rPr>
              <w:t>Pharmacy:</w:t>
            </w:r>
            <w:r>
              <w:rPr>
                <w:color w:val="231F20"/>
                <w:spacing w:val="2"/>
                <w:sz w:val="16"/>
              </w:rPr>
              <w:t> </w:t>
            </w:r>
            <w:r>
              <w:rPr>
                <w:color w:val="231F20"/>
                <w:spacing w:val="-4"/>
                <w:sz w:val="16"/>
              </w:rPr>
              <w:t>8.50%</w:t>
            </w:r>
          </w:p>
        </w:tc>
        <w:tc>
          <w:tcPr>
            <w:tcW w:w="206" w:type="dxa"/>
          </w:tcPr>
          <w:p>
            <w:pPr>
              <w:pStyle w:val="TableParagraph"/>
              <w:rPr>
                <w:rFonts w:ascii="Times New Roman"/>
                <w:sz w:val="14"/>
              </w:rPr>
            </w:pPr>
          </w:p>
        </w:tc>
        <w:tc>
          <w:tcPr>
            <w:tcW w:w="185" w:type="dxa"/>
          </w:tcPr>
          <w:p>
            <w:pPr>
              <w:pStyle w:val="TableParagraph"/>
              <w:rPr>
                <w:rFonts w:ascii="Times New Roman"/>
                <w:sz w:val="14"/>
              </w:rPr>
            </w:pPr>
          </w:p>
        </w:tc>
        <w:tc>
          <w:tcPr>
            <w:tcW w:w="1903" w:type="dxa"/>
          </w:tcPr>
          <w:p>
            <w:pPr>
              <w:pStyle w:val="TableParagraph"/>
              <w:spacing w:before="17"/>
              <w:ind w:left="229"/>
              <w:rPr>
                <w:sz w:val="16"/>
              </w:rPr>
            </w:pPr>
            <w:r>
              <w:rPr>
                <w:color w:val="231F20"/>
                <w:sz w:val="16"/>
              </w:rPr>
              <w:t>Pharmacy: </w:t>
            </w:r>
            <w:r>
              <w:rPr>
                <w:color w:val="231F20"/>
                <w:spacing w:val="-4"/>
                <w:sz w:val="16"/>
              </w:rPr>
              <w:t>9.50%</w:t>
            </w:r>
          </w:p>
        </w:tc>
      </w:tr>
      <w:tr>
        <w:trPr>
          <w:trHeight w:val="223" w:hRule="atLeast"/>
        </w:trPr>
        <w:tc>
          <w:tcPr>
            <w:tcW w:w="2444" w:type="dxa"/>
          </w:tcPr>
          <w:p>
            <w:pPr>
              <w:pStyle w:val="TableParagraph"/>
              <w:spacing w:before="18"/>
              <w:ind w:left="33"/>
              <w:rPr>
                <w:sz w:val="16"/>
              </w:rPr>
            </w:pPr>
            <w:r>
              <w:rPr>
                <w:color w:val="231F20"/>
                <w:sz w:val="16"/>
              </w:rPr>
              <w:t>Changes</w:t>
            </w:r>
            <w:r>
              <w:rPr>
                <w:color w:val="231F20"/>
                <w:spacing w:val="1"/>
                <w:sz w:val="16"/>
              </w:rPr>
              <w:t> </w:t>
            </w:r>
            <w:r>
              <w:rPr>
                <w:color w:val="231F20"/>
                <w:sz w:val="16"/>
              </w:rPr>
              <w:t>in</w:t>
            </w:r>
            <w:r>
              <w:rPr>
                <w:color w:val="231F20"/>
                <w:spacing w:val="2"/>
                <w:sz w:val="16"/>
              </w:rPr>
              <w:t> </w:t>
            </w:r>
            <w:r>
              <w:rPr>
                <w:color w:val="231F20"/>
                <w:sz w:val="16"/>
              </w:rPr>
              <w:t>the</w:t>
            </w:r>
            <w:r>
              <w:rPr>
                <w:color w:val="231F20"/>
                <w:spacing w:val="2"/>
                <w:sz w:val="16"/>
              </w:rPr>
              <w:t> </w:t>
            </w:r>
            <w:r>
              <w:rPr>
                <w:color w:val="231F20"/>
                <w:spacing w:val="-2"/>
                <w:sz w:val="16"/>
              </w:rPr>
              <w:t>Healthcare</w:t>
            </w:r>
          </w:p>
        </w:tc>
        <w:tc>
          <w:tcPr>
            <w:tcW w:w="205" w:type="dxa"/>
          </w:tcPr>
          <w:p>
            <w:pPr>
              <w:pStyle w:val="TableParagraph"/>
              <w:rPr>
                <w:rFonts w:ascii="Times New Roman"/>
                <w:sz w:val="14"/>
              </w:rPr>
            </w:pPr>
          </w:p>
        </w:tc>
        <w:tc>
          <w:tcPr>
            <w:tcW w:w="188" w:type="dxa"/>
          </w:tcPr>
          <w:p>
            <w:pPr>
              <w:pStyle w:val="TableParagraph"/>
              <w:rPr>
                <w:rFonts w:ascii="Times New Roman"/>
                <w:sz w:val="14"/>
              </w:rPr>
            </w:pPr>
          </w:p>
        </w:tc>
        <w:tc>
          <w:tcPr>
            <w:tcW w:w="1902" w:type="dxa"/>
          </w:tcPr>
          <w:p>
            <w:pPr>
              <w:pStyle w:val="TableParagraph"/>
              <w:spacing w:before="18"/>
              <w:ind w:left="103"/>
              <w:rPr>
                <w:sz w:val="16"/>
              </w:rPr>
            </w:pPr>
            <w:r>
              <w:rPr>
                <w:color w:val="231F20"/>
                <w:sz w:val="16"/>
              </w:rPr>
              <w:t>decreasing</w:t>
            </w:r>
            <w:r>
              <w:rPr>
                <w:color w:val="231F20"/>
                <w:spacing w:val="2"/>
                <w:sz w:val="16"/>
              </w:rPr>
              <w:t> </w:t>
            </w:r>
            <w:r>
              <w:rPr>
                <w:color w:val="231F20"/>
                <w:sz w:val="16"/>
              </w:rPr>
              <w:t>to </w:t>
            </w:r>
            <w:r>
              <w:rPr>
                <w:color w:val="231F20"/>
                <w:spacing w:val="-2"/>
                <w:sz w:val="16"/>
              </w:rPr>
              <w:t>3.50%,</w:t>
            </w:r>
          </w:p>
        </w:tc>
        <w:tc>
          <w:tcPr>
            <w:tcW w:w="205" w:type="dxa"/>
          </w:tcPr>
          <w:p>
            <w:pPr>
              <w:pStyle w:val="TableParagraph"/>
              <w:rPr>
                <w:rFonts w:ascii="Times New Roman"/>
                <w:sz w:val="14"/>
              </w:rPr>
            </w:pPr>
          </w:p>
        </w:tc>
        <w:tc>
          <w:tcPr>
            <w:tcW w:w="187" w:type="dxa"/>
          </w:tcPr>
          <w:p>
            <w:pPr>
              <w:pStyle w:val="TableParagraph"/>
              <w:rPr>
                <w:rFonts w:ascii="Times New Roman"/>
                <w:sz w:val="14"/>
              </w:rPr>
            </w:pPr>
          </w:p>
        </w:tc>
        <w:tc>
          <w:tcPr>
            <w:tcW w:w="1902" w:type="dxa"/>
          </w:tcPr>
          <w:p>
            <w:pPr>
              <w:pStyle w:val="TableParagraph"/>
              <w:spacing w:before="18"/>
              <w:ind w:left="105"/>
              <w:rPr>
                <w:sz w:val="16"/>
              </w:rPr>
            </w:pPr>
            <w:r>
              <w:rPr>
                <w:color w:val="231F20"/>
                <w:sz w:val="16"/>
              </w:rPr>
              <w:t>decreasing</w:t>
            </w:r>
            <w:r>
              <w:rPr>
                <w:color w:val="231F20"/>
                <w:spacing w:val="2"/>
                <w:sz w:val="16"/>
              </w:rPr>
              <w:t> </w:t>
            </w:r>
            <w:r>
              <w:rPr>
                <w:color w:val="231F20"/>
                <w:sz w:val="16"/>
              </w:rPr>
              <w:t>to</w:t>
            </w:r>
            <w:r>
              <w:rPr>
                <w:color w:val="231F20"/>
                <w:spacing w:val="2"/>
                <w:sz w:val="16"/>
              </w:rPr>
              <w:t> </w:t>
            </w:r>
            <w:r>
              <w:rPr>
                <w:color w:val="231F20"/>
                <w:spacing w:val="-2"/>
                <w:sz w:val="16"/>
              </w:rPr>
              <w:t>4.50%,</w:t>
            </w:r>
          </w:p>
        </w:tc>
        <w:tc>
          <w:tcPr>
            <w:tcW w:w="206" w:type="dxa"/>
          </w:tcPr>
          <w:p>
            <w:pPr>
              <w:pStyle w:val="TableParagraph"/>
              <w:rPr>
                <w:rFonts w:ascii="Times New Roman"/>
                <w:sz w:val="14"/>
              </w:rPr>
            </w:pPr>
          </w:p>
        </w:tc>
        <w:tc>
          <w:tcPr>
            <w:tcW w:w="185" w:type="dxa"/>
          </w:tcPr>
          <w:p>
            <w:pPr>
              <w:pStyle w:val="TableParagraph"/>
              <w:rPr>
                <w:rFonts w:ascii="Times New Roman"/>
                <w:sz w:val="14"/>
              </w:rPr>
            </w:pPr>
          </w:p>
        </w:tc>
        <w:tc>
          <w:tcPr>
            <w:tcW w:w="1903" w:type="dxa"/>
          </w:tcPr>
          <w:p>
            <w:pPr>
              <w:pStyle w:val="TableParagraph"/>
              <w:spacing w:before="18"/>
              <w:ind w:left="106"/>
              <w:rPr>
                <w:sz w:val="16"/>
              </w:rPr>
            </w:pPr>
            <w:r>
              <w:rPr>
                <w:color w:val="231F20"/>
                <w:sz w:val="16"/>
              </w:rPr>
              <w:t>decreasing</w:t>
            </w:r>
            <w:r>
              <w:rPr>
                <w:color w:val="231F20"/>
                <w:spacing w:val="1"/>
                <w:sz w:val="16"/>
              </w:rPr>
              <w:t> </w:t>
            </w:r>
            <w:r>
              <w:rPr>
                <w:color w:val="231F20"/>
                <w:sz w:val="16"/>
              </w:rPr>
              <w:t>to</w:t>
            </w:r>
            <w:r>
              <w:rPr>
                <w:color w:val="231F20"/>
                <w:spacing w:val="2"/>
                <w:sz w:val="16"/>
              </w:rPr>
              <w:t> </w:t>
            </w:r>
            <w:r>
              <w:rPr>
                <w:color w:val="231F20"/>
                <w:spacing w:val="-2"/>
                <w:sz w:val="16"/>
              </w:rPr>
              <w:t>5.50%,</w:t>
            </w:r>
          </w:p>
        </w:tc>
      </w:tr>
      <w:tr>
        <w:trPr>
          <w:trHeight w:val="211" w:hRule="atLeast"/>
        </w:trPr>
        <w:tc>
          <w:tcPr>
            <w:tcW w:w="2444" w:type="dxa"/>
            <w:tcBorders>
              <w:bottom w:val="single" w:sz="12" w:space="0" w:color="231F20"/>
            </w:tcBorders>
          </w:tcPr>
          <w:p>
            <w:pPr>
              <w:pStyle w:val="TableParagraph"/>
              <w:spacing w:line="174" w:lineRule="exact" w:before="17"/>
              <w:ind w:left="33"/>
              <w:rPr>
                <w:sz w:val="16"/>
              </w:rPr>
            </w:pPr>
            <w:r>
              <w:rPr>
                <w:color w:val="231F20"/>
                <w:sz w:val="16"/>
              </w:rPr>
              <w:t>Cost</w:t>
            </w:r>
            <w:r>
              <w:rPr>
                <w:color w:val="231F20"/>
                <w:spacing w:val="2"/>
                <w:sz w:val="16"/>
              </w:rPr>
              <w:t> </w:t>
            </w:r>
            <w:r>
              <w:rPr>
                <w:color w:val="231F20"/>
                <w:sz w:val="16"/>
              </w:rPr>
              <w:t>Trend</w:t>
            </w:r>
            <w:r>
              <w:rPr>
                <w:color w:val="231F20"/>
                <w:spacing w:val="1"/>
                <w:sz w:val="16"/>
              </w:rPr>
              <w:t> </w:t>
            </w:r>
            <w:r>
              <w:rPr>
                <w:color w:val="231F20"/>
                <w:spacing w:val="-4"/>
                <w:sz w:val="16"/>
              </w:rPr>
              <w:t>Rates</w:t>
            </w:r>
          </w:p>
        </w:tc>
        <w:tc>
          <w:tcPr>
            <w:tcW w:w="205" w:type="dxa"/>
          </w:tcPr>
          <w:p>
            <w:pPr>
              <w:pStyle w:val="TableParagraph"/>
              <w:rPr>
                <w:rFonts w:ascii="Times New Roman"/>
                <w:sz w:val="14"/>
              </w:rPr>
            </w:pPr>
          </w:p>
        </w:tc>
        <w:tc>
          <w:tcPr>
            <w:tcW w:w="188" w:type="dxa"/>
            <w:tcBorders>
              <w:bottom w:val="single" w:sz="12" w:space="0" w:color="231F20"/>
            </w:tcBorders>
          </w:tcPr>
          <w:p>
            <w:pPr>
              <w:pStyle w:val="TableParagraph"/>
              <w:rPr>
                <w:rFonts w:ascii="Times New Roman"/>
                <w:sz w:val="14"/>
              </w:rPr>
            </w:pPr>
          </w:p>
        </w:tc>
        <w:tc>
          <w:tcPr>
            <w:tcW w:w="1902" w:type="dxa"/>
            <w:tcBorders>
              <w:bottom w:val="single" w:sz="12" w:space="0" w:color="231F20"/>
            </w:tcBorders>
          </w:tcPr>
          <w:p>
            <w:pPr>
              <w:pStyle w:val="TableParagraph"/>
              <w:spacing w:line="174" w:lineRule="exact" w:before="17"/>
              <w:ind w:left="10"/>
              <w:rPr>
                <w:sz w:val="16"/>
              </w:rPr>
            </w:pPr>
            <w:r>
              <w:rPr>
                <w:color w:val="231F20"/>
                <w:sz w:val="16"/>
              </w:rPr>
              <w:t>Dental</w:t>
            </w:r>
            <w:r>
              <w:rPr>
                <w:color w:val="231F20"/>
                <w:spacing w:val="1"/>
                <w:sz w:val="16"/>
              </w:rPr>
              <w:t> </w:t>
            </w:r>
            <w:r>
              <w:rPr>
                <w:color w:val="231F20"/>
                <w:sz w:val="16"/>
              </w:rPr>
              <w:t>&amp;</w:t>
            </w:r>
            <w:r>
              <w:rPr>
                <w:color w:val="231F20"/>
                <w:spacing w:val="3"/>
                <w:sz w:val="16"/>
              </w:rPr>
              <w:t> </w:t>
            </w:r>
            <w:r>
              <w:rPr>
                <w:color w:val="231F20"/>
                <w:sz w:val="16"/>
              </w:rPr>
              <w:t>Vision:</w:t>
            </w:r>
            <w:r>
              <w:rPr>
                <w:color w:val="231F20"/>
                <w:spacing w:val="1"/>
                <w:sz w:val="16"/>
              </w:rPr>
              <w:t> </w:t>
            </w:r>
            <w:r>
              <w:rPr>
                <w:color w:val="231F20"/>
                <w:spacing w:val="-2"/>
                <w:sz w:val="16"/>
              </w:rPr>
              <w:t>2.00%)</w:t>
            </w:r>
          </w:p>
        </w:tc>
        <w:tc>
          <w:tcPr>
            <w:tcW w:w="205" w:type="dxa"/>
          </w:tcPr>
          <w:p>
            <w:pPr>
              <w:pStyle w:val="TableParagraph"/>
              <w:rPr>
                <w:rFonts w:ascii="Times New Roman"/>
                <w:sz w:val="14"/>
              </w:rPr>
            </w:pPr>
          </w:p>
        </w:tc>
        <w:tc>
          <w:tcPr>
            <w:tcW w:w="187" w:type="dxa"/>
            <w:tcBorders>
              <w:bottom w:val="single" w:sz="12" w:space="0" w:color="231F20"/>
            </w:tcBorders>
          </w:tcPr>
          <w:p>
            <w:pPr>
              <w:pStyle w:val="TableParagraph"/>
              <w:rPr>
                <w:rFonts w:ascii="Times New Roman"/>
                <w:sz w:val="14"/>
              </w:rPr>
            </w:pPr>
          </w:p>
        </w:tc>
        <w:tc>
          <w:tcPr>
            <w:tcW w:w="1902" w:type="dxa"/>
            <w:tcBorders>
              <w:bottom w:val="single" w:sz="12" w:space="0" w:color="231F20"/>
            </w:tcBorders>
          </w:tcPr>
          <w:p>
            <w:pPr>
              <w:pStyle w:val="TableParagraph"/>
              <w:spacing w:line="174" w:lineRule="exact" w:before="17"/>
              <w:ind w:left="10"/>
              <w:rPr>
                <w:sz w:val="16"/>
              </w:rPr>
            </w:pPr>
            <w:r>
              <w:rPr>
                <w:color w:val="231F20"/>
                <w:sz w:val="16"/>
              </w:rPr>
              <w:t>Dental</w:t>
            </w:r>
            <w:r>
              <w:rPr>
                <w:color w:val="231F20"/>
                <w:spacing w:val="2"/>
                <w:sz w:val="16"/>
              </w:rPr>
              <w:t> </w:t>
            </w:r>
            <w:r>
              <w:rPr>
                <w:color w:val="231F20"/>
                <w:sz w:val="16"/>
              </w:rPr>
              <w:t>&amp;</w:t>
            </w:r>
            <w:r>
              <w:rPr>
                <w:color w:val="231F20"/>
                <w:spacing w:val="2"/>
                <w:sz w:val="16"/>
              </w:rPr>
              <w:t> </w:t>
            </w:r>
            <w:r>
              <w:rPr>
                <w:color w:val="231F20"/>
                <w:sz w:val="16"/>
              </w:rPr>
              <w:t>Vision: </w:t>
            </w:r>
            <w:r>
              <w:rPr>
                <w:color w:val="231F20"/>
                <w:spacing w:val="-2"/>
                <w:sz w:val="16"/>
              </w:rPr>
              <w:t>3.00%)</w:t>
            </w:r>
          </w:p>
        </w:tc>
        <w:tc>
          <w:tcPr>
            <w:tcW w:w="206" w:type="dxa"/>
          </w:tcPr>
          <w:p>
            <w:pPr>
              <w:pStyle w:val="TableParagraph"/>
              <w:rPr>
                <w:rFonts w:ascii="Times New Roman"/>
                <w:sz w:val="14"/>
              </w:rPr>
            </w:pPr>
          </w:p>
        </w:tc>
        <w:tc>
          <w:tcPr>
            <w:tcW w:w="185" w:type="dxa"/>
            <w:tcBorders>
              <w:bottom w:val="single" w:sz="12" w:space="0" w:color="231F20"/>
            </w:tcBorders>
          </w:tcPr>
          <w:p>
            <w:pPr>
              <w:pStyle w:val="TableParagraph"/>
              <w:rPr>
                <w:rFonts w:ascii="Times New Roman"/>
                <w:sz w:val="14"/>
              </w:rPr>
            </w:pPr>
          </w:p>
        </w:tc>
        <w:tc>
          <w:tcPr>
            <w:tcW w:w="1903" w:type="dxa"/>
            <w:tcBorders>
              <w:bottom w:val="single" w:sz="12" w:space="0" w:color="231F20"/>
            </w:tcBorders>
          </w:tcPr>
          <w:p>
            <w:pPr>
              <w:pStyle w:val="TableParagraph"/>
              <w:spacing w:line="174" w:lineRule="exact" w:before="17"/>
              <w:ind w:left="11"/>
              <w:rPr>
                <w:sz w:val="16"/>
              </w:rPr>
            </w:pPr>
            <w:r>
              <w:rPr>
                <w:color w:val="231F20"/>
                <w:sz w:val="16"/>
              </w:rPr>
              <w:t>Dental</w:t>
            </w:r>
            <w:r>
              <w:rPr>
                <w:color w:val="231F20"/>
                <w:spacing w:val="2"/>
                <w:sz w:val="16"/>
              </w:rPr>
              <w:t> </w:t>
            </w:r>
            <w:r>
              <w:rPr>
                <w:color w:val="231F20"/>
                <w:sz w:val="16"/>
              </w:rPr>
              <w:t>&amp;</w:t>
            </w:r>
            <w:r>
              <w:rPr>
                <w:color w:val="231F20"/>
                <w:spacing w:val="1"/>
                <w:sz w:val="16"/>
              </w:rPr>
              <w:t> </w:t>
            </w:r>
            <w:r>
              <w:rPr>
                <w:color w:val="231F20"/>
                <w:sz w:val="16"/>
              </w:rPr>
              <w:t>Vision:</w:t>
            </w:r>
            <w:r>
              <w:rPr>
                <w:color w:val="231F20"/>
                <w:spacing w:val="2"/>
                <w:sz w:val="16"/>
              </w:rPr>
              <w:t> </w:t>
            </w:r>
            <w:r>
              <w:rPr>
                <w:color w:val="231F20"/>
                <w:spacing w:val="-2"/>
                <w:sz w:val="16"/>
              </w:rPr>
              <w:t>4.00%)</w:t>
            </w:r>
          </w:p>
        </w:tc>
      </w:tr>
      <w:tr>
        <w:trPr>
          <w:trHeight w:val="407" w:hRule="atLeast"/>
        </w:trPr>
        <w:tc>
          <w:tcPr>
            <w:tcW w:w="2444" w:type="dxa"/>
            <w:tcBorders>
              <w:top w:val="single" w:sz="12" w:space="0" w:color="231F20"/>
            </w:tcBorders>
          </w:tcPr>
          <w:p>
            <w:pPr>
              <w:pStyle w:val="TableParagraph"/>
              <w:spacing w:before="4"/>
              <w:rPr>
                <w:sz w:val="19"/>
              </w:rPr>
            </w:pPr>
          </w:p>
          <w:p>
            <w:pPr>
              <w:pStyle w:val="TableParagraph"/>
              <w:spacing w:line="164" w:lineRule="exact" w:before="1"/>
              <w:ind w:left="33"/>
              <w:rPr>
                <w:sz w:val="16"/>
              </w:rPr>
            </w:pPr>
            <w:r>
              <w:rPr>
                <w:color w:val="231F20"/>
                <w:sz w:val="16"/>
              </w:rPr>
              <w:t>Net</w:t>
            </w:r>
            <w:r>
              <w:rPr>
                <w:color w:val="231F20"/>
                <w:spacing w:val="1"/>
                <w:sz w:val="16"/>
              </w:rPr>
              <w:t> </w:t>
            </w:r>
            <w:r>
              <w:rPr>
                <w:color w:val="231F20"/>
                <w:sz w:val="16"/>
              </w:rPr>
              <w:t>OPEB</w:t>
            </w:r>
            <w:r>
              <w:rPr>
                <w:color w:val="231F20"/>
                <w:spacing w:val="2"/>
                <w:sz w:val="16"/>
              </w:rPr>
              <w:t> </w:t>
            </w:r>
            <w:r>
              <w:rPr>
                <w:color w:val="231F20"/>
                <w:spacing w:val="-2"/>
                <w:sz w:val="16"/>
              </w:rPr>
              <w:t>liability</w:t>
            </w:r>
          </w:p>
        </w:tc>
        <w:tc>
          <w:tcPr>
            <w:tcW w:w="205" w:type="dxa"/>
          </w:tcPr>
          <w:p>
            <w:pPr>
              <w:pStyle w:val="TableParagraph"/>
              <w:rPr>
                <w:rFonts w:ascii="Times New Roman"/>
                <w:sz w:val="18"/>
              </w:rPr>
            </w:pPr>
          </w:p>
        </w:tc>
        <w:tc>
          <w:tcPr>
            <w:tcW w:w="188" w:type="dxa"/>
            <w:tcBorders>
              <w:top w:val="single" w:sz="12" w:space="0" w:color="231F20"/>
            </w:tcBorders>
          </w:tcPr>
          <w:p>
            <w:pPr>
              <w:pStyle w:val="TableParagraph"/>
              <w:spacing w:before="4"/>
              <w:rPr>
                <w:sz w:val="19"/>
              </w:rPr>
            </w:pPr>
          </w:p>
          <w:p>
            <w:pPr>
              <w:pStyle w:val="TableParagraph"/>
              <w:spacing w:line="164" w:lineRule="exact" w:before="1"/>
              <w:ind w:left="88"/>
              <w:rPr>
                <w:sz w:val="16"/>
              </w:rPr>
            </w:pPr>
            <w:r>
              <w:rPr>
                <w:color w:val="231F20"/>
                <w:w w:val="101"/>
                <w:sz w:val="16"/>
              </w:rPr>
              <w:t>$</w:t>
            </w:r>
          </w:p>
        </w:tc>
        <w:tc>
          <w:tcPr>
            <w:tcW w:w="1902" w:type="dxa"/>
            <w:tcBorders>
              <w:top w:val="single" w:sz="12" w:space="0" w:color="231F20"/>
            </w:tcBorders>
          </w:tcPr>
          <w:p>
            <w:pPr>
              <w:pStyle w:val="TableParagraph"/>
              <w:spacing w:before="4"/>
              <w:rPr>
                <w:sz w:val="19"/>
              </w:rPr>
            </w:pPr>
          </w:p>
          <w:p>
            <w:pPr>
              <w:pStyle w:val="TableParagraph"/>
              <w:spacing w:line="164" w:lineRule="exact" w:before="1"/>
              <w:ind w:left="1000"/>
              <w:rPr>
                <w:sz w:val="16"/>
              </w:rPr>
            </w:pPr>
            <w:r>
              <w:rPr>
                <w:color w:val="231F20"/>
                <w:spacing w:val="-2"/>
                <w:sz w:val="16"/>
              </w:rPr>
              <w:t>47,636,950</w:t>
            </w:r>
          </w:p>
        </w:tc>
        <w:tc>
          <w:tcPr>
            <w:tcW w:w="205" w:type="dxa"/>
          </w:tcPr>
          <w:p>
            <w:pPr>
              <w:pStyle w:val="TableParagraph"/>
              <w:rPr>
                <w:rFonts w:ascii="Times New Roman"/>
                <w:sz w:val="18"/>
              </w:rPr>
            </w:pPr>
          </w:p>
        </w:tc>
        <w:tc>
          <w:tcPr>
            <w:tcW w:w="187" w:type="dxa"/>
            <w:tcBorders>
              <w:top w:val="single" w:sz="12" w:space="0" w:color="231F20"/>
            </w:tcBorders>
          </w:tcPr>
          <w:p>
            <w:pPr>
              <w:pStyle w:val="TableParagraph"/>
              <w:spacing w:before="4"/>
              <w:rPr>
                <w:sz w:val="19"/>
              </w:rPr>
            </w:pPr>
          </w:p>
          <w:p>
            <w:pPr>
              <w:pStyle w:val="TableParagraph"/>
              <w:spacing w:line="164" w:lineRule="exact" w:before="1"/>
              <w:ind w:left="88"/>
              <w:rPr>
                <w:sz w:val="16"/>
              </w:rPr>
            </w:pPr>
            <w:r>
              <w:rPr>
                <w:color w:val="231F20"/>
                <w:w w:val="101"/>
                <w:sz w:val="16"/>
              </w:rPr>
              <w:t>$</w:t>
            </w:r>
          </w:p>
        </w:tc>
        <w:tc>
          <w:tcPr>
            <w:tcW w:w="1902" w:type="dxa"/>
            <w:tcBorders>
              <w:top w:val="single" w:sz="12" w:space="0" w:color="231F20"/>
            </w:tcBorders>
          </w:tcPr>
          <w:p>
            <w:pPr>
              <w:pStyle w:val="TableParagraph"/>
              <w:spacing w:before="4"/>
              <w:rPr>
                <w:sz w:val="19"/>
              </w:rPr>
            </w:pPr>
          </w:p>
          <w:p>
            <w:pPr>
              <w:pStyle w:val="TableParagraph"/>
              <w:spacing w:line="164" w:lineRule="exact" w:before="1"/>
              <w:ind w:left="1003"/>
              <w:rPr>
                <w:sz w:val="16"/>
              </w:rPr>
            </w:pPr>
            <w:r>
              <w:rPr>
                <w:color w:val="231F20"/>
                <w:spacing w:val="-2"/>
                <w:sz w:val="16"/>
              </w:rPr>
              <w:t>59,253,702</w:t>
            </w:r>
          </w:p>
        </w:tc>
        <w:tc>
          <w:tcPr>
            <w:tcW w:w="206" w:type="dxa"/>
          </w:tcPr>
          <w:p>
            <w:pPr>
              <w:pStyle w:val="TableParagraph"/>
              <w:rPr>
                <w:rFonts w:ascii="Times New Roman"/>
                <w:sz w:val="18"/>
              </w:rPr>
            </w:pPr>
          </w:p>
        </w:tc>
        <w:tc>
          <w:tcPr>
            <w:tcW w:w="185" w:type="dxa"/>
            <w:tcBorders>
              <w:top w:val="single" w:sz="12" w:space="0" w:color="231F20"/>
            </w:tcBorders>
          </w:tcPr>
          <w:p>
            <w:pPr>
              <w:pStyle w:val="TableParagraph"/>
              <w:spacing w:before="4"/>
              <w:rPr>
                <w:sz w:val="19"/>
              </w:rPr>
            </w:pPr>
          </w:p>
          <w:p>
            <w:pPr>
              <w:pStyle w:val="TableParagraph"/>
              <w:spacing w:line="164" w:lineRule="exact" w:before="1"/>
              <w:ind w:left="88"/>
              <w:rPr>
                <w:sz w:val="16"/>
              </w:rPr>
            </w:pPr>
            <w:r>
              <w:rPr>
                <w:color w:val="231F20"/>
                <w:w w:val="101"/>
                <w:sz w:val="16"/>
              </w:rPr>
              <w:t>$</w:t>
            </w:r>
          </w:p>
        </w:tc>
        <w:tc>
          <w:tcPr>
            <w:tcW w:w="1903" w:type="dxa"/>
            <w:tcBorders>
              <w:top w:val="single" w:sz="12" w:space="0" w:color="231F20"/>
            </w:tcBorders>
          </w:tcPr>
          <w:p>
            <w:pPr>
              <w:pStyle w:val="TableParagraph"/>
              <w:spacing w:before="4"/>
              <w:rPr>
                <w:sz w:val="19"/>
              </w:rPr>
            </w:pPr>
          </w:p>
          <w:p>
            <w:pPr>
              <w:pStyle w:val="TableParagraph"/>
              <w:spacing w:line="164" w:lineRule="exact" w:before="1"/>
              <w:ind w:left="1006"/>
              <w:rPr>
                <w:sz w:val="16"/>
              </w:rPr>
            </w:pPr>
            <w:r>
              <w:rPr>
                <w:color w:val="231F20"/>
                <w:spacing w:val="-2"/>
                <w:sz w:val="16"/>
              </w:rPr>
              <w:t>74,708,670</w:t>
            </w:r>
          </w:p>
        </w:tc>
      </w:tr>
    </w:tbl>
    <w:p>
      <w:pPr>
        <w:pStyle w:val="BodyText"/>
        <w:spacing w:before="1"/>
        <w:rPr>
          <w:sz w:val="23"/>
        </w:rPr>
      </w:pPr>
    </w:p>
    <w:p>
      <w:pPr>
        <w:pStyle w:val="Heading4"/>
      </w:pPr>
      <w:r>
        <w:rPr>
          <w:color w:val="231F20"/>
        </w:rPr>
        <w:t>OPEB</w:t>
      </w:r>
      <w:r>
        <w:rPr>
          <w:color w:val="231F20"/>
          <w:spacing w:val="-6"/>
        </w:rPr>
        <w:t> </w:t>
      </w:r>
      <w:r>
        <w:rPr>
          <w:color w:val="231F20"/>
        </w:rPr>
        <w:t>Plan</w:t>
      </w:r>
      <w:r>
        <w:rPr>
          <w:color w:val="231F20"/>
          <w:spacing w:val="-5"/>
        </w:rPr>
        <w:t> </w:t>
      </w:r>
      <w:r>
        <w:rPr>
          <w:color w:val="231F20"/>
        </w:rPr>
        <w:t>Fiduciary</w:t>
      </w:r>
      <w:r>
        <w:rPr>
          <w:color w:val="231F20"/>
          <w:spacing w:val="-5"/>
        </w:rPr>
        <w:t> </w:t>
      </w:r>
      <w:r>
        <w:rPr>
          <w:color w:val="231F20"/>
        </w:rPr>
        <w:t>Net</w:t>
      </w:r>
      <w:r>
        <w:rPr>
          <w:color w:val="231F20"/>
          <w:spacing w:val="-5"/>
        </w:rPr>
        <w:t> </w:t>
      </w:r>
      <w:r>
        <w:rPr>
          <w:color w:val="231F20"/>
          <w:spacing w:val="-2"/>
        </w:rPr>
        <w:t>Position</w:t>
      </w:r>
    </w:p>
    <w:p>
      <w:pPr>
        <w:pStyle w:val="BodyText"/>
        <w:spacing w:line="276" w:lineRule="auto" w:before="34"/>
        <w:ind w:left="1439" w:right="1048"/>
      </w:pPr>
      <w:r>
        <w:rPr>
          <w:color w:val="231F20"/>
        </w:rPr>
        <w:t>The</w:t>
      </w:r>
      <w:r>
        <w:rPr>
          <w:color w:val="231F20"/>
          <w:spacing w:val="-3"/>
        </w:rPr>
        <w:t> </w:t>
      </w:r>
      <w:r>
        <w:rPr>
          <w:color w:val="231F20"/>
        </w:rPr>
        <w:t>Institute</w:t>
      </w:r>
      <w:r>
        <w:rPr>
          <w:color w:val="231F20"/>
          <w:spacing w:val="-3"/>
        </w:rPr>
        <w:t> </w:t>
      </w:r>
      <w:r>
        <w:rPr>
          <w:color w:val="231F20"/>
        </w:rPr>
        <w:t>is</w:t>
      </w:r>
      <w:r>
        <w:rPr>
          <w:color w:val="231F20"/>
          <w:spacing w:val="-3"/>
        </w:rPr>
        <w:t> </w:t>
      </w:r>
      <w:r>
        <w:rPr>
          <w:color w:val="231F20"/>
        </w:rPr>
        <w:t>the</w:t>
      </w:r>
      <w:r>
        <w:rPr>
          <w:color w:val="231F20"/>
          <w:spacing w:val="-3"/>
        </w:rPr>
        <w:t> </w:t>
      </w:r>
      <w:r>
        <w:rPr>
          <w:color w:val="231F20"/>
        </w:rPr>
        <w:t>fiduciary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Trust,</w:t>
      </w:r>
      <w:r>
        <w:rPr>
          <w:color w:val="231F20"/>
          <w:spacing w:val="-3"/>
        </w:rPr>
        <w:t> </w:t>
      </w:r>
      <w:r>
        <w:rPr>
          <w:color w:val="231F20"/>
        </w:rPr>
        <w:t>and</w:t>
      </w:r>
      <w:r>
        <w:rPr>
          <w:color w:val="231F20"/>
          <w:spacing w:val="-3"/>
        </w:rPr>
        <w:t> </w:t>
      </w:r>
      <w:r>
        <w:rPr>
          <w:color w:val="231F20"/>
        </w:rPr>
        <w:t>detailed</w:t>
      </w:r>
      <w:r>
        <w:rPr>
          <w:color w:val="231F20"/>
          <w:spacing w:val="-3"/>
        </w:rPr>
        <w:t> </w:t>
      </w:r>
      <w:r>
        <w:rPr>
          <w:color w:val="231F20"/>
        </w:rPr>
        <w:t>information</w:t>
      </w:r>
      <w:r>
        <w:rPr>
          <w:color w:val="231F20"/>
          <w:spacing w:val="-3"/>
        </w:rPr>
        <w:t> </w:t>
      </w:r>
      <w:r>
        <w:rPr>
          <w:color w:val="231F20"/>
        </w:rPr>
        <w:t>about</w:t>
      </w:r>
      <w:r>
        <w:rPr>
          <w:color w:val="231F20"/>
          <w:spacing w:val="-3"/>
        </w:rPr>
        <w:t> </w:t>
      </w:r>
      <w:r>
        <w:rPr>
          <w:color w:val="231F20"/>
        </w:rPr>
        <w:t>the</w:t>
      </w:r>
      <w:r>
        <w:rPr>
          <w:color w:val="231F20"/>
          <w:spacing w:val="-3"/>
        </w:rPr>
        <w:t> </w:t>
      </w:r>
      <w:r>
        <w:rPr>
          <w:color w:val="231F20"/>
        </w:rPr>
        <w:t>Trust’s</w:t>
      </w:r>
      <w:r>
        <w:rPr>
          <w:color w:val="231F20"/>
          <w:spacing w:val="-3"/>
        </w:rPr>
        <w:t> </w:t>
      </w:r>
      <w:r>
        <w:rPr>
          <w:color w:val="231F20"/>
        </w:rPr>
        <w:t>fiduciary</w:t>
      </w:r>
      <w:r>
        <w:rPr>
          <w:color w:val="231F20"/>
          <w:spacing w:val="-3"/>
        </w:rPr>
        <w:t> </w:t>
      </w:r>
      <w:r>
        <w:rPr>
          <w:color w:val="231F20"/>
        </w:rPr>
        <w:t>net</w:t>
      </w:r>
      <w:r>
        <w:rPr>
          <w:color w:val="231F20"/>
          <w:spacing w:val="-3"/>
        </w:rPr>
        <w:t> </w:t>
      </w:r>
      <w:r>
        <w:rPr>
          <w:color w:val="231F20"/>
        </w:rPr>
        <w:t>position is included this financial report.</w:t>
      </w:r>
    </w:p>
    <w:p>
      <w:pPr>
        <w:pStyle w:val="BodyText"/>
        <w:spacing w:before="11"/>
        <w:rPr>
          <w:sz w:val="22"/>
        </w:rPr>
      </w:pPr>
    </w:p>
    <w:p>
      <w:pPr>
        <w:pStyle w:val="Heading4"/>
        <w:spacing w:line="276" w:lineRule="auto"/>
        <w:ind w:left="1439" w:right="1048"/>
      </w:pPr>
      <w:r>
        <w:rPr>
          <w:color w:val="231F20"/>
        </w:rPr>
        <w:t>OPEB</w:t>
      </w:r>
      <w:r>
        <w:rPr>
          <w:color w:val="231F20"/>
          <w:spacing w:val="-4"/>
        </w:rPr>
        <w:t> </w:t>
      </w:r>
      <w:r>
        <w:rPr>
          <w:color w:val="231F20"/>
        </w:rPr>
        <w:t>Expense</w:t>
      </w:r>
      <w:r>
        <w:rPr>
          <w:color w:val="231F20"/>
          <w:spacing w:val="-4"/>
        </w:rPr>
        <w:t> </w:t>
      </w:r>
      <w:r>
        <w:rPr>
          <w:color w:val="231F20"/>
        </w:rPr>
        <w:t>and</w:t>
      </w:r>
      <w:r>
        <w:rPr>
          <w:color w:val="231F20"/>
          <w:spacing w:val="-4"/>
        </w:rPr>
        <w:t> </w:t>
      </w:r>
      <w:r>
        <w:rPr>
          <w:color w:val="231F20"/>
        </w:rPr>
        <w:t>Deferred</w:t>
      </w:r>
      <w:r>
        <w:rPr>
          <w:color w:val="231F20"/>
          <w:spacing w:val="-4"/>
        </w:rPr>
        <w:t> </w:t>
      </w:r>
      <w:r>
        <w:rPr>
          <w:color w:val="231F20"/>
        </w:rPr>
        <w:t>Outflows</w:t>
      </w:r>
      <w:r>
        <w:rPr>
          <w:color w:val="231F20"/>
          <w:spacing w:val="-5"/>
        </w:rPr>
        <w:t> </w:t>
      </w:r>
      <w:r>
        <w:rPr>
          <w:color w:val="231F20"/>
        </w:rPr>
        <w:t>of</w:t>
      </w:r>
      <w:r>
        <w:rPr>
          <w:color w:val="231F20"/>
          <w:spacing w:val="-4"/>
        </w:rPr>
        <w:t> </w:t>
      </w:r>
      <w:r>
        <w:rPr>
          <w:color w:val="231F20"/>
        </w:rPr>
        <w:t>Resources</w:t>
      </w:r>
      <w:r>
        <w:rPr>
          <w:color w:val="231F20"/>
          <w:spacing w:val="-4"/>
        </w:rPr>
        <w:t> </w:t>
      </w:r>
      <w:r>
        <w:rPr>
          <w:color w:val="231F20"/>
        </w:rPr>
        <w:t>and</w:t>
      </w:r>
      <w:r>
        <w:rPr>
          <w:color w:val="231F20"/>
          <w:spacing w:val="-4"/>
        </w:rPr>
        <w:t> </w:t>
      </w:r>
      <w:r>
        <w:rPr>
          <w:color w:val="231F20"/>
        </w:rPr>
        <w:t>Deferred</w:t>
      </w:r>
      <w:r>
        <w:rPr>
          <w:color w:val="231F20"/>
          <w:spacing w:val="-4"/>
        </w:rPr>
        <w:t> </w:t>
      </w:r>
      <w:r>
        <w:rPr>
          <w:color w:val="231F20"/>
        </w:rPr>
        <w:t>Inflows</w:t>
      </w:r>
      <w:r>
        <w:rPr>
          <w:color w:val="231F20"/>
          <w:spacing w:val="-4"/>
        </w:rPr>
        <w:t> </w:t>
      </w:r>
      <w:r>
        <w:rPr>
          <w:color w:val="231F20"/>
        </w:rPr>
        <w:t>of</w:t>
      </w:r>
      <w:r>
        <w:rPr>
          <w:color w:val="231F20"/>
          <w:spacing w:val="-5"/>
        </w:rPr>
        <w:t> </w:t>
      </w:r>
      <w:r>
        <w:rPr>
          <w:color w:val="231F20"/>
        </w:rPr>
        <w:t>Resources</w:t>
      </w:r>
      <w:r>
        <w:rPr>
          <w:color w:val="231F20"/>
          <w:spacing w:val="-5"/>
        </w:rPr>
        <w:t> </w:t>
      </w:r>
      <w:r>
        <w:rPr>
          <w:color w:val="231F20"/>
        </w:rPr>
        <w:t>Related to OPEB</w:t>
      </w:r>
    </w:p>
    <w:p>
      <w:pPr>
        <w:pStyle w:val="BodyText"/>
        <w:spacing w:line="276" w:lineRule="auto"/>
        <w:ind w:left="1439" w:right="1183"/>
        <w:jc w:val="both"/>
      </w:pPr>
      <w:r>
        <w:rPr>
          <w:color w:val="231F20"/>
        </w:rPr>
        <w:t>For</w:t>
      </w:r>
      <w:r>
        <w:rPr>
          <w:color w:val="231F20"/>
          <w:spacing w:val="-2"/>
        </w:rPr>
        <w:t> </w:t>
      </w:r>
      <w:r>
        <w:rPr>
          <w:color w:val="231F20"/>
        </w:rPr>
        <w:t>the</w:t>
      </w:r>
      <w:r>
        <w:rPr>
          <w:color w:val="231F20"/>
          <w:spacing w:val="-2"/>
        </w:rPr>
        <w:t> </w:t>
      </w:r>
      <w:r>
        <w:rPr>
          <w:color w:val="231F20"/>
        </w:rPr>
        <w:t>year</w:t>
      </w:r>
      <w:r>
        <w:rPr>
          <w:color w:val="231F20"/>
          <w:spacing w:val="-2"/>
        </w:rPr>
        <w:t> </w:t>
      </w:r>
      <w:r>
        <w:rPr>
          <w:color w:val="231F20"/>
        </w:rPr>
        <w:t>ended</w:t>
      </w:r>
      <w:r>
        <w:rPr>
          <w:color w:val="231F20"/>
          <w:spacing w:val="-2"/>
        </w:rPr>
        <w:t> </w:t>
      </w:r>
      <w:r>
        <w:rPr>
          <w:color w:val="231F20"/>
        </w:rPr>
        <w:t>June</w:t>
      </w:r>
      <w:r>
        <w:rPr>
          <w:color w:val="231F20"/>
          <w:spacing w:val="-2"/>
        </w:rPr>
        <w:t> </w:t>
      </w:r>
      <w:r>
        <w:rPr>
          <w:color w:val="231F20"/>
        </w:rPr>
        <w:t>30,</w:t>
      </w:r>
      <w:r>
        <w:rPr>
          <w:color w:val="231F20"/>
          <w:spacing w:val="-2"/>
        </w:rPr>
        <w:t> </w:t>
      </w:r>
      <w:r>
        <w:rPr>
          <w:color w:val="231F20"/>
        </w:rPr>
        <w:t>2022,</w:t>
      </w:r>
      <w:r>
        <w:rPr>
          <w:color w:val="231F20"/>
          <w:spacing w:val="-2"/>
        </w:rPr>
        <w:t> </w:t>
      </w:r>
      <w:r>
        <w:rPr>
          <w:color w:val="231F20"/>
        </w:rPr>
        <w:t>the</w:t>
      </w:r>
      <w:r>
        <w:rPr>
          <w:color w:val="231F20"/>
          <w:spacing w:val="-2"/>
        </w:rPr>
        <w:t> </w:t>
      </w:r>
      <w:r>
        <w:rPr>
          <w:color w:val="231F20"/>
        </w:rPr>
        <w:t>Institute</w:t>
      </w:r>
      <w:r>
        <w:rPr>
          <w:color w:val="231F20"/>
          <w:spacing w:val="-2"/>
        </w:rPr>
        <w:t> </w:t>
      </w:r>
      <w:r>
        <w:rPr>
          <w:color w:val="231F20"/>
        </w:rPr>
        <w:t>recognized</w:t>
      </w:r>
      <w:r>
        <w:rPr>
          <w:color w:val="231F20"/>
          <w:spacing w:val="-2"/>
        </w:rPr>
        <w:t> </w:t>
      </w:r>
      <w:r>
        <w:rPr>
          <w:color w:val="231F20"/>
        </w:rPr>
        <w:t>OPEB</w:t>
      </w:r>
      <w:r>
        <w:rPr>
          <w:color w:val="231F20"/>
          <w:spacing w:val="-2"/>
        </w:rPr>
        <w:t> </w:t>
      </w:r>
      <w:r>
        <w:rPr>
          <w:color w:val="231F20"/>
        </w:rPr>
        <w:t>expense</w:t>
      </w:r>
      <w:r>
        <w:rPr>
          <w:color w:val="231F20"/>
          <w:spacing w:val="-2"/>
        </w:rPr>
        <w:t> </w:t>
      </w:r>
      <w:r>
        <w:rPr>
          <w:color w:val="231F20"/>
        </w:rPr>
        <w:t>of</w:t>
      </w:r>
      <w:r>
        <w:rPr>
          <w:color w:val="231F20"/>
          <w:spacing w:val="-2"/>
        </w:rPr>
        <w:t> </w:t>
      </w:r>
      <w:r>
        <w:rPr>
          <w:color w:val="231F20"/>
        </w:rPr>
        <w:t>$5,506,944.</w:t>
      </w:r>
      <w:r>
        <w:rPr>
          <w:color w:val="231F20"/>
          <w:spacing w:val="-2"/>
        </w:rPr>
        <w:t> </w:t>
      </w:r>
      <w:r>
        <w:rPr>
          <w:color w:val="231F20"/>
        </w:rPr>
        <w:t>At</w:t>
      </w:r>
      <w:r>
        <w:rPr>
          <w:color w:val="231F20"/>
          <w:spacing w:val="-2"/>
        </w:rPr>
        <w:t> </w:t>
      </w:r>
      <w:r>
        <w:rPr>
          <w:color w:val="231F20"/>
        </w:rPr>
        <w:t>June</w:t>
      </w:r>
      <w:r>
        <w:rPr>
          <w:color w:val="231F20"/>
          <w:spacing w:val="-2"/>
        </w:rPr>
        <w:t> </w:t>
      </w:r>
      <w:r>
        <w:rPr>
          <w:color w:val="231F20"/>
        </w:rPr>
        <w:t>30, 2022,</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reported</w:t>
      </w:r>
      <w:r>
        <w:rPr>
          <w:color w:val="231F20"/>
          <w:spacing w:val="-4"/>
        </w:rPr>
        <w:t> </w:t>
      </w:r>
      <w:r>
        <w:rPr>
          <w:color w:val="231F20"/>
        </w:rPr>
        <w:t>deferred</w:t>
      </w:r>
      <w:r>
        <w:rPr>
          <w:color w:val="231F20"/>
          <w:spacing w:val="-3"/>
        </w:rPr>
        <w:t> </w:t>
      </w:r>
      <w:r>
        <w:rPr>
          <w:color w:val="231F20"/>
        </w:rPr>
        <w:t>outflows</w:t>
      </w:r>
      <w:r>
        <w:rPr>
          <w:color w:val="231F20"/>
          <w:spacing w:val="-3"/>
        </w:rPr>
        <w:t> </w:t>
      </w:r>
      <w:r>
        <w:rPr>
          <w:color w:val="231F20"/>
        </w:rPr>
        <w:t>of</w:t>
      </w:r>
      <w:r>
        <w:rPr>
          <w:color w:val="231F20"/>
          <w:spacing w:val="-3"/>
        </w:rPr>
        <w:t> </w:t>
      </w:r>
      <w:r>
        <w:rPr>
          <w:color w:val="231F20"/>
        </w:rPr>
        <w:t>resources</w:t>
      </w:r>
      <w:r>
        <w:rPr>
          <w:color w:val="231F20"/>
          <w:spacing w:val="-3"/>
        </w:rPr>
        <w:t> </w:t>
      </w:r>
      <w:r>
        <w:rPr>
          <w:color w:val="231F20"/>
        </w:rPr>
        <w:t>and</w:t>
      </w:r>
      <w:r>
        <w:rPr>
          <w:color w:val="231F20"/>
          <w:spacing w:val="-3"/>
        </w:rPr>
        <w:t> </w:t>
      </w:r>
      <w:r>
        <w:rPr>
          <w:color w:val="231F20"/>
        </w:rPr>
        <w:t>deferred</w:t>
      </w:r>
      <w:r>
        <w:rPr>
          <w:color w:val="231F20"/>
          <w:spacing w:val="-3"/>
        </w:rPr>
        <w:t> </w:t>
      </w:r>
      <w:r>
        <w:rPr>
          <w:color w:val="231F20"/>
        </w:rPr>
        <w:t>inflows</w:t>
      </w:r>
      <w:r>
        <w:rPr>
          <w:color w:val="231F20"/>
          <w:spacing w:val="-3"/>
        </w:rPr>
        <w:t> </w:t>
      </w:r>
      <w:r>
        <w:rPr>
          <w:color w:val="231F20"/>
        </w:rPr>
        <w:t>of</w:t>
      </w:r>
      <w:r>
        <w:rPr>
          <w:color w:val="231F20"/>
          <w:spacing w:val="-3"/>
        </w:rPr>
        <w:t> </w:t>
      </w:r>
      <w:r>
        <w:rPr>
          <w:color w:val="231F20"/>
        </w:rPr>
        <w:t>resources</w:t>
      </w:r>
      <w:r>
        <w:rPr>
          <w:color w:val="231F20"/>
          <w:spacing w:val="-3"/>
        </w:rPr>
        <w:t> </w:t>
      </w:r>
      <w:r>
        <w:rPr>
          <w:color w:val="231F20"/>
        </w:rPr>
        <w:t>related</w:t>
      </w:r>
      <w:r>
        <w:rPr>
          <w:color w:val="231F20"/>
          <w:spacing w:val="-3"/>
        </w:rPr>
        <w:t> </w:t>
      </w:r>
      <w:r>
        <w:rPr>
          <w:color w:val="231F20"/>
        </w:rPr>
        <w:t>to OPEB from the following sources:</w:t>
      </w:r>
    </w:p>
    <w:p>
      <w:pPr>
        <w:pStyle w:val="BodyText"/>
        <w:spacing w:before="5"/>
        <w:rPr>
          <w:sz w:val="17"/>
        </w:rPr>
      </w:pPr>
    </w:p>
    <w:p>
      <w:pPr>
        <w:tabs>
          <w:tab w:pos="7686" w:val="left" w:leader="none"/>
          <w:tab w:pos="9084" w:val="left" w:leader="none"/>
          <w:tab w:pos="10772" w:val="left" w:leader="none"/>
        </w:tabs>
        <w:spacing w:line="273" w:lineRule="auto" w:before="94"/>
        <w:ind w:left="6907" w:right="885" w:hanging="50"/>
        <w:jc w:val="left"/>
        <w:rPr>
          <w:sz w:val="19"/>
        </w:rPr>
      </w:pPr>
      <w:r>
        <w:rPr>
          <w:color w:val="231F20"/>
          <w:sz w:val="19"/>
          <w:u w:val="single" w:color="231F20"/>
        </w:rPr>
        <w:tab/>
        <w:tab/>
        <w:t>Year Ended June 30, 2022</w:t>
        <w:tab/>
      </w:r>
      <w:r>
        <w:rPr>
          <w:color w:val="231F20"/>
          <w:sz w:val="19"/>
        </w:rPr>
        <w:t> Deferred Outflows of</w:t>
        <w:tab/>
        <w:t>Deferred Inflows of</w:t>
      </w:r>
    </w:p>
    <w:p>
      <w:pPr>
        <w:tabs>
          <w:tab w:pos="7325" w:val="left" w:leader="none"/>
          <w:tab w:pos="8691" w:val="left" w:leader="none"/>
          <w:tab w:pos="9035" w:val="left" w:leader="none"/>
          <w:tab w:pos="9454" w:val="left" w:leader="none"/>
          <w:tab w:pos="10772" w:val="left" w:leader="none"/>
        </w:tabs>
        <w:spacing w:before="6" w:after="40"/>
        <w:ind w:left="6858" w:right="0" w:firstLine="0"/>
        <w:jc w:val="left"/>
        <w:rPr>
          <w:sz w:val="19"/>
        </w:rPr>
      </w:pPr>
      <w:r>
        <w:rPr>
          <w:color w:val="231F20"/>
          <w:sz w:val="19"/>
          <w:u w:val="single" w:color="231F20"/>
        </w:rPr>
        <w:tab/>
      </w:r>
      <w:r>
        <w:rPr>
          <w:color w:val="231F20"/>
          <w:spacing w:val="-2"/>
          <w:sz w:val="19"/>
          <w:u w:val="single" w:color="231F20"/>
        </w:rPr>
        <w:t>Resources</w:t>
      </w:r>
      <w:r>
        <w:rPr>
          <w:color w:val="231F20"/>
          <w:sz w:val="19"/>
          <w:u w:val="single" w:color="231F20"/>
        </w:rPr>
        <w:tab/>
      </w:r>
      <w:r>
        <w:rPr>
          <w:color w:val="231F20"/>
          <w:sz w:val="19"/>
        </w:rPr>
        <w:tab/>
      </w:r>
      <w:r>
        <w:rPr>
          <w:color w:val="231F20"/>
          <w:sz w:val="19"/>
          <w:u w:val="single" w:color="231F20"/>
        </w:rPr>
        <w:tab/>
      </w:r>
      <w:r>
        <w:rPr>
          <w:color w:val="231F20"/>
          <w:spacing w:val="-2"/>
          <w:sz w:val="19"/>
          <w:u w:val="single" w:color="231F20"/>
        </w:rPr>
        <w:t>Resources</w:t>
      </w:r>
      <w:r>
        <w:rPr>
          <w:color w:val="231F20"/>
          <w:sz w:val="19"/>
          <w:u w:val="single" w:color="231F20"/>
        </w:rPr>
        <w:tab/>
      </w:r>
    </w:p>
    <w:tbl>
      <w:tblPr>
        <w:tblW w:w="0" w:type="auto"/>
        <w:jc w:val="left"/>
        <w:tblInd w:w="1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7"/>
        <w:gridCol w:w="1297"/>
        <w:gridCol w:w="1514"/>
        <w:gridCol w:w="669"/>
        <w:gridCol w:w="1289"/>
      </w:tblGrid>
      <w:tr>
        <w:trPr>
          <w:trHeight w:val="232" w:hRule="atLeast"/>
        </w:trPr>
        <w:tc>
          <w:tcPr>
            <w:tcW w:w="4617" w:type="dxa"/>
          </w:tcPr>
          <w:p>
            <w:pPr>
              <w:pStyle w:val="TableParagraph"/>
              <w:spacing w:line="212" w:lineRule="exact"/>
              <w:ind w:left="50"/>
              <w:rPr>
                <w:sz w:val="19"/>
              </w:rPr>
            </w:pPr>
            <w:r>
              <w:rPr>
                <w:color w:val="231F20"/>
                <w:sz w:val="19"/>
              </w:rPr>
              <w:t>Difference</w:t>
            </w:r>
            <w:r>
              <w:rPr>
                <w:color w:val="231F20"/>
                <w:spacing w:val="-3"/>
                <w:sz w:val="19"/>
              </w:rPr>
              <w:t> </w:t>
            </w:r>
            <w:r>
              <w:rPr>
                <w:color w:val="231F20"/>
                <w:sz w:val="19"/>
              </w:rPr>
              <w:t>between</w:t>
            </w:r>
            <w:r>
              <w:rPr>
                <w:color w:val="231F20"/>
                <w:spacing w:val="-2"/>
                <w:sz w:val="19"/>
              </w:rPr>
              <w:t> </w:t>
            </w:r>
            <w:r>
              <w:rPr>
                <w:color w:val="231F20"/>
                <w:sz w:val="19"/>
              </w:rPr>
              <w:t>actual</w:t>
            </w:r>
            <w:r>
              <w:rPr>
                <w:color w:val="231F20"/>
                <w:spacing w:val="-2"/>
                <w:sz w:val="19"/>
              </w:rPr>
              <w:t> </w:t>
            </w:r>
            <w:r>
              <w:rPr>
                <w:color w:val="231F20"/>
                <w:sz w:val="19"/>
              </w:rPr>
              <w:t>and</w:t>
            </w:r>
            <w:r>
              <w:rPr>
                <w:color w:val="231F20"/>
                <w:spacing w:val="-1"/>
                <w:sz w:val="19"/>
              </w:rPr>
              <w:t> </w:t>
            </w:r>
            <w:r>
              <w:rPr>
                <w:color w:val="231F20"/>
                <w:spacing w:val="-2"/>
                <w:sz w:val="19"/>
              </w:rPr>
              <w:t>expected</w:t>
            </w:r>
          </w:p>
        </w:tc>
        <w:tc>
          <w:tcPr>
            <w:tcW w:w="4769" w:type="dxa"/>
            <w:gridSpan w:val="4"/>
          </w:tcPr>
          <w:p>
            <w:pPr>
              <w:pStyle w:val="TableParagraph"/>
              <w:rPr>
                <w:rFonts w:ascii="Times New Roman"/>
                <w:sz w:val="16"/>
              </w:rPr>
            </w:pPr>
          </w:p>
        </w:tc>
      </w:tr>
      <w:tr>
        <w:trPr>
          <w:trHeight w:val="251" w:hRule="atLeast"/>
        </w:trPr>
        <w:tc>
          <w:tcPr>
            <w:tcW w:w="4617" w:type="dxa"/>
          </w:tcPr>
          <w:p>
            <w:pPr>
              <w:pStyle w:val="TableParagraph"/>
              <w:spacing w:line="218" w:lineRule="exact" w:before="13"/>
              <w:ind w:left="184"/>
              <w:rPr>
                <w:sz w:val="19"/>
              </w:rPr>
            </w:pPr>
            <w:r>
              <w:rPr>
                <w:color w:val="231F20"/>
                <w:spacing w:val="-2"/>
                <w:sz w:val="19"/>
              </w:rPr>
              <w:t>experience</w:t>
            </w:r>
          </w:p>
        </w:tc>
        <w:tc>
          <w:tcPr>
            <w:tcW w:w="1297" w:type="dxa"/>
          </w:tcPr>
          <w:p>
            <w:pPr>
              <w:pStyle w:val="TableParagraph"/>
              <w:spacing w:line="218" w:lineRule="exact" w:before="13"/>
              <w:ind w:right="281"/>
              <w:jc w:val="right"/>
              <w:rPr>
                <w:sz w:val="19"/>
              </w:rPr>
            </w:pPr>
            <w:r>
              <w:rPr>
                <w:color w:val="231F20"/>
                <w:w w:val="100"/>
                <w:sz w:val="19"/>
              </w:rPr>
              <w:t>$</w:t>
            </w:r>
          </w:p>
        </w:tc>
        <w:tc>
          <w:tcPr>
            <w:tcW w:w="1514" w:type="dxa"/>
          </w:tcPr>
          <w:p>
            <w:pPr>
              <w:pStyle w:val="TableParagraph"/>
              <w:spacing w:line="218" w:lineRule="exact" w:before="13"/>
              <w:ind w:left="284"/>
              <w:rPr>
                <w:sz w:val="19"/>
              </w:rPr>
            </w:pPr>
            <w:r>
              <w:rPr>
                <w:color w:val="231F20"/>
                <w:spacing w:val="-2"/>
                <w:sz w:val="19"/>
              </w:rPr>
              <w:t>10,892,504</w:t>
            </w:r>
          </w:p>
        </w:tc>
        <w:tc>
          <w:tcPr>
            <w:tcW w:w="669" w:type="dxa"/>
          </w:tcPr>
          <w:p>
            <w:pPr>
              <w:pStyle w:val="TableParagraph"/>
              <w:spacing w:line="218" w:lineRule="exact" w:before="13"/>
              <w:ind w:right="11"/>
              <w:jc w:val="center"/>
              <w:rPr>
                <w:sz w:val="19"/>
              </w:rPr>
            </w:pPr>
            <w:r>
              <w:rPr>
                <w:color w:val="231F20"/>
                <w:w w:val="100"/>
                <w:sz w:val="19"/>
              </w:rPr>
              <w:t>$</w:t>
            </w:r>
          </w:p>
        </w:tc>
        <w:tc>
          <w:tcPr>
            <w:tcW w:w="1289" w:type="dxa"/>
          </w:tcPr>
          <w:p>
            <w:pPr>
              <w:pStyle w:val="TableParagraph"/>
              <w:spacing w:line="218" w:lineRule="exact" w:before="13"/>
              <w:ind w:left="289"/>
              <w:rPr>
                <w:sz w:val="19"/>
              </w:rPr>
            </w:pPr>
            <w:r>
              <w:rPr>
                <w:color w:val="231F20"/>
                <w:spacing w:val="-2"/>
                <w:sz w:val="19"/>
              </w:rPr>
              <w:t>3,801,497</w:t>
            </w:r>
          </w:p>
        </w:tc>
      </w:tr>
      <w:tr>
        <w:trPr>
          <w:trHeight w:val="232" w:hRule="atLeast"/>
        </w:trPr>
        <w:tc>
          <w:tcPr>
            <w:tcW w:w="4617" w:type="dxa"/>
          </w:tcPr>
          <w:p>
            <w:pPr>
              <w:pStyle w:val="TableParagraph"/>
              <w:spacing w:line="199" w:lineRule="exact" w:before="14"/>
              <w:ind w:left="50"/>
              <w:rPr>
                <w:sz w:val="19"/>
              </w:rPr>
            </w:pPr>
            <w:r>
              <w:rPr>
                <w:color w:val="231F20"/>
                <w:sz w:val="19"/>
              </w:rPr>
              <w:t>Net</w:t>
            </w:r>
            <w:r>
              <w:rPr>
                <w:color w:val="231F20"/>
                <w:spacing w:val="-2"/>
                <w:sz w:val="19"/>
              </w:rPr>
              <w:t> </w:t>
            </w:r>
            <w:r>
              <w:rPr>
                <w:color w:val="231F20"/>
                <w:sz w:val="19"/>
              </w:rPr>
              <w:t>difference</w:t>
            </w:r>
            <w:r>
              <w:rPr>
                <w:color w:val="231F20"/>
                <w:spacing w:val="-2"/>
                <w:sz w:val="19"/>
              </w:rPr>
              <w:t> </w:t>
            </w:r>
            <w:r>
              <w:rPr>
                <w:color w:val="231F20"/>
                <w:sz w:val="19"/>
              </w:rPr>
              <w:t>between</w:t>
            </w:r>
            <w:r>
              <w:rPr>
                <w:color w:val="231F20"/>
                <w:spacing w:val="-2"/>
                <w:sz w:val="19"/>
              </w:rPr>
              <w:t> </w:t>
            </w:r>
            <w:r>
              <w:rPr>
                <w:color w:val="231F20"/>
                <w:sz w:val="19"/>
              </w:rPr>
              <w:t>projected</w:t>
            </w:r>
            <w:r>
              <w:rPr>
                <w:color w:val="231F20"/>
                <w:spacing w:val="-1"/>
                <w:sz w:val="19"/>
              </w:rPr>
              <w:t> </w:t>
            </w:r>
            <w:r>
              <w:rPr>
                <w:color w:val="231F20"/>
                <w:spacing w:val="-5"/>
                <w:sz w:val="19"/>
              </w:rPr>
              <w:t>and</w:t>
            </w:r>
          </w:p>
        </w:tc>
        <w:tc>
          <w:tcPr>
            <w:tcW w:w="1297" w:type="dxa"/>
          </w:tcPr>
          <w:p>
            <w:pPr>
              <w:pStyle w:val="TableParagraph"/>
              <w:rPr>
                <w:rFonts w:ascii="Times New Roman"/>
                <w:sz w:val="16"/>
              </w:rPr>
            </w:pPr>
          </w:p>
        </w:tc>
        <w:tc>
          <w:tcPr>
            <w:tcW w:w="1514" w:type="dxa"/>
          </w:tcPr>
          <w:p>
            <w:pPr>
              <w:pStyle w:val="TableParagraph"/>
              <w:rPr>
                <w:rFonts w:ascii="Times New Roman"/>
                <w:sz w:val="16"/>
              </w:rPr>
            </w:pPr>
          </w:p>
        </w:tc>
        <w:tc>
          <w:tcPr>
            <w:tcW w:w="669" w:type="dxa"/>
          </w:tcPr>
          <w:p>
            <w:pPr>
              <w:pStyle w:val="TableParagraph"/>
              <w:rPr>
                <w:rFonts w:ascii="Times New Roman"/>
                <w:sz w:val="16"/>
              </w:rPr>
            </w:pPr>
          </w:p>
        </w:tc>
        <w:tc>
          <w:tcPr>
            <w:tcW w:w="1289" w:type="dxa"/>
          </w:tcPr>
          <w:p>
            <w:pPr>
              <w:pStyle w:val="TableParagraph"/>
              <w:rPr>
                <w:rFonts w:ascii="Times New Roman"/>
                <w:sz w:val="16"/>
              </w:rPr>
            </w:pPr>
          </w:p>
        </w:tc>
      </w:tr>
      <w:tr>
        <w:trPr>
          <w:trHeight w:val="272" w:hRule="atLeast"/>
        </w:trPr>
        <w:tc>
          <w:tcPr>
            <w:tcW w:w="4617" w:type="dxa"/>
          </w:tcPr>
          <w:p>
            <w:pPr>
              <w:pStyle w:val="TableParagraph"/>
              <w:spacing w:before="33"/>
              <w:ind w:left="184"/>
              <w:rPr>
                <w:sz w:val="19"/>
              </w:rPr>
            </w:pPr>
            <w:r>
              <w:rPr>
                <w:color w:val="231F20"/>
                <w:sz w:val="19"/>
              </w:rPr>
              <w:t>actual</w:t>
            </w:r>
            <w:r>
              <w:rPr>
                <w:color w:val="231F20"/>
                <w:spacing w:val="-4"/>
                <w:sz w:val="19"/>
              </w:rPr>
              <w:t> </w:t>
            </w:r>
            <w:r>
              <w:rPr>
                <w:color w:val="231F20"/>
                <w:sz w:val="19"/>
              </w:rPr>
              <w:t>earnings</w:t>
            </w:r>
            <w:r>
              <w:rPr>
                <w:color w:val="231F20"/>
                <w:spacing w:val="-4"/>
                <w:sz w:val="19"/>
              </w:rPr>
              <w:t> </w:t>
            </w:r>
            <w:r>
              <w:rPr>
                <w:color w:val="231F20"/>
                <w:sz w:val="19"/>
              </w:rPr>
              <w:t>on</w:t>
            </w:r>
            <w:r>
              <w:rPr>
                <w:color w:val="231F20"/>
                <w:spacing w:val="-2"/>
                <w:sz w:val="19"/>
              </w:rPr>
              <w:t> </w:t>
            </w:r>
            <w:r>
              <w:rPr>
                <w:color w:val="231F20"/>
                <w:sz w:val="19"/>
              </w:rPr>
              <w:t>OPEB</w:t>
            </w:r>
            <w:r>
              <w:rPr>
                <w:color w:val="231F20"/>
                <w:spacing w:val="-4"/>
                <w:sz w:val="19"/>
              </w:rPr>
              <w:t> </w:t>
            </w:r>
            <w:r>
              <w:rPr>
                <w:color w:val="231F20"/>
                <w:sz w:val="19"/>
              </w:rPr>
              <w:t>plan</w:t>
            </w:r>
            <w:r>
              <w:rPr>
                <w:color w:val="231F20"/>
                <w:spacing w:val="-3"/>
                <w:sz w:val="19"/>
              </w:rPr>
              <w:t> </w:t>
            </w:r>
            <w:r>
              <w:rPr>
                <w:color w:val="231F20"/>
                <w:spacing w:val="-2"/>
                <w:sz w:val="19"/>
              </w:rPr>
              <w:t>investments</w:t>
            </w:r>
          </w:p>
        </w:tc>
        <w:tc>
          <w:tcPr>
            <w:tcW w:w="2811" w:type="dxa"/>
            <w:gridSpan w:val="2"/>
          </w:tcPr>
          <w:p>
            <w:pPr>
              <w:pStyle w:val="TableParagraph"/>
              <w:spacing w:before="33"/>
              <w:ind w:right="274"/>
              <w:jc w:val="right"/>
              <w:rPr>
                <w:sz w:val="19"/>
              </w:rPr>
            </w:pPr>
            <w:r>
              <w:rPr>
                <w:color w:val="231F20"/>
                <w:w w:val="100"/>
                <w:sz w:val="19"/>
              </w:rPr>
              <w:t>-</w:t>
            </w:r>
          </w:p>
        </w:tc>
        <w:tc>
          <w:tcPr>
            <w:tcW w:w="1958" w:type="dxa"/>
            <w:gridSpan w:val="2"/>
          </w:tcPr>
          <w:p>
            <w:pPr>
              <w:pStyle w:val="TableParagraph"/>
              <w:spacing w:before="33"/>
              <w:ind w:left="1117"/>
              <w:rPr>
                <w:sz w:val="19"/>
              </w:rPr>
            </w:pPr>
            <w:r>
              <w:rPr>
                <w:color w:val="231F20"/>
                <w:spacing w:val="-2"/>
                <w:sz w:val="19"/>
              </w:rPr>
              <w:t>208,981</w:t>
            </w:r>
          </w:p>
        </w:tc>
      </w:tr>
      <w:tr>
        <w:trPr>
          <w:trHeight w:val="252" w:hRule="atLeast"/>
        </w:trPr>
        <w:tc>
          <w:tcPr>
            <w:tcW w:w="4617" w:type="dxa"/>
          </w:tcPr>
          <w:p>
            <w:pPr>
              <w:pStyle w:val="TableParagraph"/>
              <w:spacing w:line="218" w:lineRule="exact" w:before="14"/>
              <w:ind w:left="50"/>
              <w:rPr>
                <w:sz w:val="19"/>
              </w:rPr>
            </w:pPr>
            <w:r>
              <w:rPr>
                <w:color w:val="231F20"/>
                <w:sz w:val="19"/>
              </w:rPr>
              <w:t>Changes</w:t>
            </w:r>
            <w:r>
              <w:rPr>
                <w:color w:val="231F20"/>
                <w:spacing w:val="-1"/>
                <w:sz w:val="19"/>
              </w:rPr>
              <w:t> </w:t>
            </w:r>
            <w:r>
              <w:rPr>
                <w:color w:val="231F20"/>
                <w:sz w:val="19"/>
              </w:rPr>
              <w:t>in</w:t>
            </w:r>
            <w:r>
              <w:rPr>
                <w:color w:val="231F20"/>
                <w:spacing w:val="-1"/>
                <w:sz w:val="19"/>
              </w:rPr>
              <w:t> </w:t>
            </w:r>
            <w:r>
              <w:rPr>
                <w:color w:val="231F20"/>
                <w:spacing w:val="-2"/>
                <w:sz w:val="19"/>
              </w:rPr>
              <w:t>assumptions</w:t>
            </w:r>
          </w:p>
        </w:tc>
        <w:tc>
          <w:tcPr>
            <w:tcW w:w="2811" w:type="dxa"/>
            <w:gridSpan w:val="2"/>
          </w:tcPr>
          <w:p>
            <w:pPr>
              <w:pStyle w:val="TableParagraph"/>
              <w:spacing w:line="218" w:lineRule="exact" w:before="14"/>
              <w:ind w:left="1579"/>
              <w:rPr>
                <w:sz w:val="19"/>
              </w:rPr>
            </w:pPr>
            <w:r>
              <w:rPr>
                <w:color w:val="231F20"/>
                <w:spacing w:val="-2"/>
                <w:sz w:val="19"/>
              </w:rPr>
              <w:t>13,388,223</w:t>
            </w:r>
          </w:p>
        </w:tc>
        <w:tc>
          <w:tcPr>
            <w:tcW w:w="1958" w:type="dxa"/>
            <w:gridSpan w:val="2"/>
          </w:tcPr>
          <w:p>
            <w:pPr>
              <w:pStyle w:val="TableParagraph"/>
              <w:spacing w:line="218" w:lineRule="exact" w:before="14"/>
              <w:ind w:left="958"/>
              <w:rPr>
                <w:sz w:val="19"/>
              </w:rPr>
            </w:pPr>
            <w:r>
              <w:rPr>
                <w:color w:val="231F20"/>
                <w:spacing w:val="-2"/>
                <w:sz w:val="19"/>
              </w:rPr>
              <w:t>2,355,685</w:t>
            </w:r>
          </w:p>
        </w:tc>
      </w:tr>
      <w:tr>
        <w:trPr>
          <w:trHeight w:val="251" w:hRule="atLeast"/>
        </w:trPr>
        <w:tc>
          <w:tcPr>
            <w:tcW w:w="4617" w:type="dxa"/>
          </w:tcPr>
          <w:p>
            <w:pPr>
              <w:pStyle w:val="TableParagraph"/>
              <w:spacing w:line="218" w:lineRule="exact" w:before="14"/>
              <w:ind w:left="50"/>
              <w:rPr>
                <w:sz w:val="19"/>
              </w:rPr>
            </w:pPr>
            <w:r>
              <w:rPr>
                <w:color w:val="231F20"/>
                <w:sz w:val="19"/>
              </w:rPr>
              <w:t>Institute</w:t>
            </w:r>
            <w:r>
              <w:rPr>
                <w:color w:val="231F20"/>
                <w:spacing w:val="-6"/>
                <w:sz w:val="19"/>
              </w:rPr>
              <w:t> </w:t>
            </w:r>
            <w:r>
              <w:rPr>
                <w:color w:val="231F20"/>
                <w:sz w:val="19"/>
              </w:rPr>
              <w:t>contribution</w:t>
            </w:r>
            <w:r>
              <w:rPr>
                <w:color w:val="231F20"/>
                <w:spacing w:val="-6"/>
                <w:sz w:val="19"/>
              </w:rPr>
              <w:t> </w:t>
            </w:r>
            <w:r>
              <w:rPr>
                <w:color w:val="231F20"/>
                <w:sz w:val="19"/>
              </w:rPr>
              <w:t>subsequent</w:t>
            </w:r>
            <w:r>
              <w:rPr>
                <w:color w:val="231F20"/>
                <w:spacing w:val="-5"/>
                <w:sz w:val="19"/>
              </w:rPr>
              <w:t> </w:t>
            </w:r>
            <w:r>
              <w:rPr>
                <w:color w:val="231F20"/>
                <w:sz w:val="19"/>
              </w:rPr>
              <w:t>to</w:t>
            </w:r>
            <w:r>
              <w:rPr>
                <w:color w:val="231F20"/>
                <w:spacing w:val="-5"/>
                <w:sz w:val="19"/>
              </w:rPr>
              <w:t> the</w:t>
            </w:r>
          </w:p>
        </w:tc>
        <w:tc>
          <w:tcPr>
            <w:tcW w:w="2811" w:type="dxa"/>
            <w:gridSpan w:val="2"/>
          </w:tcPr>
          <w:p>
            <w:pPr>
              <w:pStyle w:val="TableParagraph"/>
              <w:rPr>
                <w:rFonts w:ascii="Times New Roman"/>
                <w:sz w:val="18"/>
              </w:rPr>
            </w:pPr>
          </w:p>
        </w:tc>
        <w:tc>
          <w:tcPr>
            <w:tcW w:w="1958" w:type="dxa"/>
            <w:gridSpan w:val="2"/>
          </w:tcPr>
          <w:p>
            <w:pPr>
              <w:pStyle w:val="TableParagraph"/>
              <w:rPr>
                <w:rFonts w:ascii="Times New Roman"/>
                <w:sz w:val="18"/>
              </w:rPr>
            </w:pPr>
          </w:p>
        </w:tc>
      </w:tr>
      <w:tr>
        <w:trPr>
          <w:trHeight w:val="368" w:hRule="atLeast"/>
        </w:trPr>
        <w:tc>
          <w:tcPr>
            <w:tcW w:w="4617" w:type="dxa"/>
          </w:tcPr>
          <w:p>
            <w:pPr>
              <w:pStyle w:val="TableParagraph"/>
              <w:spacing w:before="14"/>
              <w:ind w:left="184"/>
              <w:rPr>
                <w:sz w:val="19"/>
              </w:rPr>
            </w:pPr>
            <w:r>
              <w:rPr>
                <w:color w:val="231F20"/>
                <w:sz w:val="19"/>
              </w:rPr>
              <w:t>measurement</w:t>
            </w:r>
            <w:r>
              <w:rPr>
                <w:color w:val="231F20"/>
                <w:spacing w:val="-7"/>
                <w:sz w:val="19"/>
              </w:rPr>
              <w:t> </w:t>
            </w:r>
            <w:r>
              <w:rPr>
                <w:color w:val="231F20"/>
                <w:spacing w:val="-4"/>
                <w:sz w:val="19"/>
              </w:rPr>
              <w:t>date</w:t>
            </w:r>
          </w:p>
        </w:tc>
        <w:tc>
          <w:tcPr>
            <w:tcW w:w="2811" w:type="dxa"/>
            <w:gridSpan w:val="2"/>
          </w:tcPr>
          <w:p>
            <w:pPr>
              <w:pStyle w:val="TableParagraph"/>
              <w:tabs>
                <w:tab w:pos="1846" w:val="left" w:leader="none"/>
              </w:tabs>
              <w:spacing w:before="14"/>
              <w:ind w:left="805"/>
              <w:rPr>
                <w:sz w:val="19"/>
              </w:rPr>
            </w:pPr>
            <w:r>
              <w:rPr>
                <w:color w:val="231F20"/>
                <w:sz w:val="19"/>
                <w:u w:val="single" w:color="231F20"/>
              </w:rPr>
              <w:tab/>
            </w:r>
            <w:r>
              <w:rPr>
                <w:color w:val="231F20"/>
                <w:spacing w:val="-2"/>
                <w:sz w:val="19"/>
                <w:u w:val="single" w:color="231F20"/>
              </w:rPr>
              <w:t>803,278</w:t>
            </w:r>
            <w:r>
              <w:rPr>
                <w:color w:val="231F20"/>
                <w:spacing w:val="80"/>
                <w:sz w:val="19"/>
                <w:u w:val="single" w:color="231F20"/>
              </w:rPr>
              <w:t> </w:t>
            </w:r>
          </w:p>
        </w:tc>
        <w:tc>
          <w:tcPr>
            <w:tcW w:w="1958" w:type="dxa"/>
            <w:gridSpan w:val="2"/>
          </w:tcPr>
          <w:p>
            <w:pPr>
              <w:pStyle w:val="TableParagraph"/>
              <w:tabs>
                <w:tab w:pos="1743" w:val="left" w:leader="none"/>
              </w:tabs>
              <w:spacing w:before="14"/>
              <w:ind w:left="172"/>
              <w:rPr>
                <w:sz w:val="19"/>
              </w:rPr>
            </w:pPr>
            <w:r>
              <w:rPr>
                <w:color w:val="231F20"/>
                <w:sz w:val="19"/>
                <w:u w:val="single" w:color="231F20"/>
              </w:rPr>
              <w:tab/>
            </w:r>
            <w:r>
              <w:rPr>
                <w:color w:val="231F20"/>
                <w:spacing w:val="-10"/>
                <w:sz w:val="19"/>
                <w:u w:val="single" w:color="231F20"/>
              </w:rPr>
              <w:t>-</w:t>
            </w:r>
            <w:r>
              <w:rPr>
                <w:color w:val="231F20"/>
                <w:spacing w:val="80"/>
                <w:sz w:val="19"/>
                <w:u w:val="single" w:color="231F20"/>
              </w:rPr>
              <w:t> </w:t>
            </w:r>
          </w:p>
        </w:tc>
      </w:tr>
      <w:tr>
        <w:trPr>
          <w:trHeight w:val="410" w:hRule="atLeast"/>
        </w:trPr>
        <w:tc>
          <w:tcPr>
            <w:tcW w:w="4617" w:type="dxa"/>
          </w:tcPr>
          <w:p>
            <w:pPr>
              <w:pStyle w:val="TableParagraph"/>
              <w:spacing w:before="131"/>
              <w:ind w:left="50"/>
              <w:rPr>
                <w:sz w:val="19"/>
              </w:rPr>
            </w:pPr>
            <w:r>
              <w:rPr>
                <w:color w:val="231F20"/>
                <w:spacing w:val="-2"/>
                <w:sz w:val="19"/>
              </w:rPr>
              <w:t>Total</w:t>
            </w:r>
          </w:p>
        </w:tc>
        <w:tc>
          <w:tcPr>
            <w:tcW w:w="2811" w:type="dxa"/>
            <w:gridSpan w:val="2"/>
          </w:tcPr>
          <w:p>
            <w:pPr>
              <w:pStyle w:val="TableParagraph"/>
              <w:tabs>
                <w:tab w:pos="1581" w:val="left" w:leader="none"/>
              </w:tabs>
              <w:spacing w:before="131"/>
              <w:ind w:left="806"/>
              <w:rPr>
                <w:sz w:val="19"/>
              </w:rPr>
            </w:pPr>
            <w:r>
              <w:rPr>
                <w:color w:val="231F20"/>
                <w:spacing w:val="44"/>
                <w:sz w:val="19"/>
                <w:u w:val="single" w:color="231F20"/>
              </w:rPr>
              <w:t> </w:t>
            </w:r>
            <w:r>
              <w:rPr>
                <w:color w:val="231F20"/>
                <w:spacing w:val="-10"/>
                <w:sz w:val="19"/>
                <w:u w:val="single" w:color="231F20"/>
              </w:rPr>
              <w:t>$</w:t>
            </w:r>
            <w:r>
              <w:rPr>
                <w:color w:val="231F20"/>
                <w:sz w:val="19"/>
                <w:u w:val="single" w:color="231F20"/>
              </w:rPr>
              <w:tab/>
            </w:r>
            <w:r>
              <w:rPr>
                <w:color w:val="231F20"/>
                <w:spacing w:val="-2"/>
                <w:sz w:val="19"/>
                <w:u w:val="single" w:color="231F20"/>
              </w:rPr>
              <w:t>25,084,005</w:t>
            </w:r>
            <w:r>
              <w:rPr>
                <w:color w:val="231F20"/>
                <w:spacing w:val="80"/>
                <w:sz w:val="19"/>
                <w:u w:val="single" w:color="231F20"/>
              </w:rPr>
              <w:t> </w:t>
            </w:r>
          </w:p>
        </w:tc>
        <w:tc>
          <w:tcPr>
            <w:tcW w:w="1958" w:type="dxa"/>
            <w:gridSpan w:val="2"/>
          </w:tcPr>
          <w:p>
            <w:pPr>
              <w:pStyle w:val="TableParagraph"/>
              <w:tabs>
                <w:tab w:pos="958" w:val="left" w:leader="none"/>
              </w:tabs>
              <w:spacing w:before="131"/>
              <w:ind w:left="173"/>
              <w:rPr>
                <w:sz w:val="19"/>
              </w:rPr>
            </w:pPr>
            <w:r>
              <w:rPr>
                <w:color w:val="231F20"/>
                <w:spacing w:val="44"/>
                <w:sz w:val="19"/>
                <w:u w:val="single" w:color="231F20"/>
              </w:rPr>
              <w:t> </w:t>
            </w:r>
            <w:r>
              <w:rPr>
                <w:color w:val="231F20"/>
                <w:spacing w:val="-10"/>
                <w:sz w:val="19"/>
                <w:u w:val="single" w:color="231F20"/>
              </w:rPr>
              <w:t>$</w:t>
            </w:r>
            <w:r>
              <w:rPr>
                <w:color w:val="231F20"/>
                <w:sz w:val="19"/>
                <w:u w:val="single" w:color="231F20"/>
              </w:rPr>
              <w:tab/>
            </w:r>
            <w:r>
              <w:rPr>
                <w:color w:val="231F20"/>
                <w:spacing w:val="-2"/>
                <w:sz w:val="19"/>
                <w:u w:val="single" w:color="231F20"/>
              </w:rPr>
              <w:t>6,366,163</w:t>
            </w:r>
            <w:r>
              <w:rPr>
                <w:color w:val="231F20"/>
                <w:spacing w:val="80"/>
                <w:sz w:val="19"/>
                <w:u w:val="single" w:color="231F20"/>
              </w:rPr>
              <w:t> </w:t>
            </w:r>
          </w:p>
        </w:tc>
      </w:tr>
    </w:tbl>
    <w:p>
      <w:pPr>
        <w:spacing w:after="0"/>
        <w:rPr>
          <w:sz w:val="19"/>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8</w:t>
      </w:r>
      <w:r>
        <w:rPr>
          <w:color w:val="231F20"/>
          <w:spacing w:val="-4"/>
        </w:rPr>
        <w:t> </w:t>
      </w:r>
      <w:r>
        <w:rPr>
          <w:color w:val="231F20"/>
        </w:rPr>
        <w:t>–</w:t>
      </w:r>
      <w:r>
        <w:rPr>
          <w:color w:val="231F20"/>
          <w:spacing w:val="-5"/>
        </w:rPr>
        <w:t> </w:t>
      </w:r>
      <w:r>
        <w:rPr>
          <w:color w:val="231F20"/>
        </w:rPr>
        <w:t>Other</w:t>
      </w:r>
      <w:r>
        <w:rPr>
          <w:color w:val="231F20"/>
          <w:spacing w:val="-4"/>
        </w:rPr>
        <w:t> </w:t>
      </w:r>
      <w:r>
        <w:rPr>
          <w:color w:val="231F20"/>
        </w:rPr>
        <w:t>Postemployment</w:t>
      </w:r>
      <w:r>
        <w:rPr>
          <w:color w:val="231F20"/>
          <w:spacing w:val="-6"/>
        </w:rPr>
        <w:t> </w:t>
      </w:r>
      <w:r>
        <w:rPr>
          <w:color w:val="231F20"/>
        </w:rPr>
        <w:t>Benefits</w:t>
      </w:r>
      <w:r>
        <w:rPr>
          <w:color w:val="231F20"/>
          <w:spacing w:val="-4"/>
        </w:rPr>
        <w:t> </w:t>
      </w:r>
      <w:r>
        <w:rPr>
          <w:color w:val="231F20"/>
        </w:rPr>
        <w:t>Plan</w:t>
      </w:r>
      <w:r>
        <w:rPr>
          <w:color w:val="231F20"/>
          <w:spacing w:val="-4"/>
        </w:rPr>
        <w:t> </w:t>
      </w:r>
      <w:r>
        <w:rPr>
          <w:color w:val="231F20"/>
          <w:spacing w:val="-2"/>
        </w:rPr>
        <w:t>(continued)</w:t>
      </w:r>
    </w:p>
    <w:p>
      <w:pPr>
        <w:pStyle w:val="BodyText"/>
        <w:rPr>
          <w:b/>
          <w:sz w:val="23"/>
        </w:rPr>
      </w:pPr>
    </w:p>
    <w:p>
      <w:pPr>
        <w:pStyle w:val="BodyText"/>
        <w:spacing w:line="276" w:lineRule="auto"/>
        <w:ind w:left="1440" w:right="891"/>
      </w:pPr>
      <w:r>
        <w:rPr>
          <w:color w:val="231F20"/>
        </w:rPr>
        <w:t>The $803,278 reported as deferred outflows of resources related to OPEB resulting from Institute contributions</w:t>
      </w:r>
      <w:r>
        <w:rPr>
          <w:color w:val="231F20"/>
          <w:spacing w:val="-4"/>
        </w:rPr>
        <w:t> </w:t>
      </w:r>
      <w:r>
        <w:rPr>
          <w:color w:val="231F20"/>
        </w:rPr>
        <w:t>subsequent</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measurement</w:t>
      </w:r>
      <w:r>
        <w:rPr>
          <w:color w:val="231F20"/>
          <w:spacing w:val="-3"/>
        </w:rPr>
        <w:t> </w:t>
      </w:r>
      <w:r>
        <w:rPr>
          <w:color w:val="231F20"/>
        </w:rPr>
        <w:t>date</w:t>
      </w:r>
      <w:r>
        <w:rPr>
          <w:color w:val="231F20"/>
          <w:spacing w:val="-3"/>
        </w:rPr>
        <w:t> </w:t>
      </w:r>
      <w:r>
        <w:rPr>
          <w:color w:val="231F20"/>
        </w:rPr>
        <w:t>of</w:t>
      </w:r>
      <w:r>
        <w:rPr>
          <w:color w:val="231F20"/>
          <w:spacing w:val="-4"/>
        </w:rPr>
        <w:t> </w:t>
      </w:r>
      <w:r>
        <w:rPr>
          <w:color w:val="231F20"/>
        </w:rPr>
        <w:t>July</w:t>
      </w:r>
      <w:r>
        <w:rPr>
          <w:color w:val="231F20"/>
          <w:spacing w:val="-3"/>
        </w:rPr>
        <w:t> </w:t>
      </w:r>
      <w:r>
        <w:rPr>
          <w:color w:val="231F20"/>
        </w:rPr>
        <w:t>1,</w:t>
      </w:r>
      <w:r>
        <w:rPr>
          <w:color w:val="231F20"/>
          <w:spacing w:val="-3"/>
        </w:rPr>
        <w:t> </w:t>
      </w:r>
      <w:r>
        <w:rPr>
          <w:color w:val="231F20"/>
        </w:rPr>
        <w:t>2021</w:t>
      </w:r>
      <w:r>
        <w:rPr>
          <w:color w:val="231F20"/>
          <w:spacing w:val="-4"/>
        </w:rPr>
        <w:t> </w:t>
      </w:r>
      <w:r>
        <w:rPr>
          <w:color w:val="231F20"/>
        </w:rPr>
        <w:t>will</w:t>
      </w:r>
      <w:r>
        <w:rPr>
          <w:color w:val="231F20"/>
          <w:spacing w:val="-1"/>
        </w:rPr>
        <w:t> </w:t>
      </w:r>
      <w:r>
        <w:rPr>
          <w:color w:val="231F20"/>
        </w:rPr>
        <w:t>be</w:t>
      </w:r>
      <w:r>
        <w:rPr>
          <w:color w:val="231F20"/>
          <w:spacing w:val="-3"/>
        </w:rPr>
        <w:t> </w:t>
      </w:r>
      <w:r>
        <w:rPr>
          <w:color w:val="231F20"/>
        </w:rPr>
        <w:t>recognize</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reduction</w:t>
      </w:r>
      <w:r>
        <w:rPr>
          <w:color w:val="231F20"/>
          <w:spacing w:val="-3"/>
        </w:rPr>
        <w:t> </w:t>
      </w:r>
      <w:r>
        <w:rPr>
          <w:color w:val="231F20"/>
        </w:rPr>
        <w:t>of</w:t>
      </w:r>
      <w:r>
        <w:rPr>
          <w:color w:val="231F20"/>
          <w:spacing w:val="-3"/>
        </w:rPr>
        <w:t> </w:t>
      </w:r>
      <w:r>
        <w:rPr>
          <w:color w:val="231F20"/>
        </w:rPr>
        <w:t>the net OPEB liability in the year ending June 30, 2023. Other amounts reported as deferred outflows of resources and deferred inflows of resources related to OPEB will be recognized in OPEB expense as </w:t>
      </w:r>
      <w:r>
        <w:rPr>
          <w:color w:val="231F20"/>
          <w:spacing w:val="-2"/>
        </w:rPr>
        <w:t>follows:</w:t>
      </w:r>
    </w:p>
    <w:p>
      <w:pPr>
        <w:pStyle w:val="BodyText"/>
        <w:spacing w:before="2"/>
        <w:rPr>
          <w:sz w:val="24"/>
        </w:rPr>
      </w:pPr>
    </w:p>
    <w:p>
      <w:pPr>
        <w:pStyle w:val="BodyText"/>
        <w:spacing w:before="1"/>
        <w:ind w:left="1488"/>
      </w:pPr>
      <w:r>
        <w:rPr>
          <w:color w:val="231F20"/>
          <w:u w:val="single" w:color="231F20"/>
        </w:rPr>
        <w:t>Years</w:t>
      </w:r>
      <w:r>
        <w:rPr>
          <w:color w:val="231F20"/>
          <w:spacing w:val="-1"/>
          <w:u w:val="single" w:color="231F20"/>
        </w:rPr>
        <w:t> </w:t>
      </w:r>
      <w:r>
        <w:rPr>
          <w:color w:val="231F20"/>
          <w:u w:val="single" w:color="231F20"/>
        </w:rPr>
        <w:t>Ending</w:t>
      </w:r>
      <w:r>
        <w:rPr>
          <w:color w:val="231F20"/>
          <w:spacing w:val="-1"/>
          <w:u w:val="single" w:color="231F20"/>
        </w:rPr>
        <w:t> </w:t>
      </w:r>
      <w:r>
        <w:rPr>
          <w:color w:val="231F20"/>
          <w:u w:val="single" w:color="231F20"/>
        </w:rPr>
        <w:t>June</w:t>
      </w:r>
      <w:r>
        <w:rPr>
          <w:color w:val="231F20"/>
          <w:spacing w:val="-1"/>
          <w:u w:val="single" w:color="231F20"/>
        </w:rPr>
        <w:t> </w:t>
      </w:r>
      <w:r>
        <w:rPr>
          <w:color w:val="231F20"/>
          <w:spacing w:val="-5"/>
          <w:u w:val="single" w:color="231F20"/>
        </w:rPr>
        <w:t>30,</w:t>
      </w:r>
    </w:p>
    <w:p>
      <w:pPr>
        <w:pStyle w:val="BodyText"/>
        <w:spacing w:before="3"/>
        <w:rPr>
          <w:sz w:val="11"/>
        </w:rPr>
      </w:pPr>
    </w:p>
    <w:tbl>
      <w:tblPr>
        <w:tblW w:w="0" w:type="auto"/>
        <w:jc w:val="left"/>
        <w:tblInd w:w="20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1"/>
        <w:gridCol w:w="4050"/>
      </w:tblGrid>
      <w:tr>
        <w:trPr>
          <w:trHeight w:val="238" w:hRule="atLeast"/>
        </w:trPr>
        <w:tc>
          <w:tcPr>
            <w:tcW w:w="3051" w:type="dxa"/>
          </w:tcPr>
          <w:p>
            <w:pPr>
              <w:pStyle w:val="TableParagraph"/>
              <w:spacing w:line="218" w:lineRule="exact"/>
              <w:ind w:left="50"/>
              <w:rPr>
                <w:sz w:val="20"/>
              </w:rPr>
            </w:pPr>
            <w:r>
              <w:rPr>
                <w:color w:val="231F20"/>
                <w:spacing w:val="-4"/>
                <w:sz w:val="20"/>
              </w:rPr>
              <w:t>2023</w:t>
            </w:r>
          </w:p>
        </w:tc>
        <w:tc>
          <w:tcPr>
            <w:tcW w:w="4050" w:type="dxa"/>
          </w:tcPr>
          <w:p>
            <w:pPr>
              <w:pStyle w:val="TableParagraph"/>
              <w:tabs>
                <w:tab w:pos="819" w:val="left" w:leader="none"/>
              </w:tabs>
              <w:spacing w:line="218" w:lineRule="exact"/>
              <w:ind w:right="156"/>
              <w:jc w:val="right"/>
              <w:rPr>
                <w:sz w:val="20"/>
              </w:rPr>
            </w:pPr>
            <w:r>
              <w:rPr>
                <w:color w:val="231F20"/>
                <w:spacing w:val="-10"/>
                <w:sz w:val="20"/>
              </w:rPr>
              <w:t>$</w:t>
            </w:r>
            <w:r>
              <w:rPr>
                <w:color w:val="231F20"/>
                <w:sz w:val="20"/>
              </w:rPr>
              <w:tab/>
            </w:r>
            <w:r>
              <w:rPr>
                <w:color w:val="231F20"/>
                <w:spacing w:val="-2"/>
                <w:sz w:val="20"/>
              </w:rPr>
              <w:t>2,185,628</w:t>
            </w:r>
          </w:p>
        </w:tc>
      </w:tr>
      <w:tr>
        <w:trPr>
          <w:trHeight w:val="253" w:hRule="atLeast"/>
        </w:trPr>
        <w:tc>
          <w:tcPr>
            <w:tcW w:w="3051" w:type="dxa"/>
          </w:tcPr>
          <w:p>
            <w:pPr>
              <w:pStyle w:val="TableParagraph"/>
              <w:spacing w:line="221" w:lineRule="exact" w:before="12"/>
              <w:ind w:left="50"/>
              <w:rPr>
                <w:sz w:val="20"/>
              </w:rPr>
            </w:pPr>
            <w:r>
              <w:rPr>
                <w:color w:val="231F20"/>
                <w:spacing w:val="-4"/>
                <w:sz w:val="20"/>
              </w:rPr>
              <w:t>2024</w:t>
            </w:r>
          </w:p>
        </w:tc>
        <w:tc>
          <w:tcPr>
            <w:tcW w:w="4050" w:type="dxa"/>
          </w:tcPr>
          <w:p>
            <w:pPr>
              <w:pStyle w:val="TableParagraph"/>
              <w:spacing w:line="226" w:lineRule="exact" w:before="7"/>
              <w:ind w:right="156"/>
              <w:jc w:val="right"/>
              <w:rPr>
                <w:sz w:val="20"/>
              </w:rPr>
            </w:pPr>
            <w:r>
              <w:rPr>
                <w:color w:val="231F20"/>
                <w:spacing w:val="-2"/>
                <w:sz w:val="20"/>
              </w:rPr>
              <w:t>2,173,722</w:t>
            </w:r>
          </w:p>
        </w:tc>
      </w:tr>
      <w:tr>
        <w:trPr>
          <w:trHeight w:val="251" w:hRule="atLeast"/>
        </w:trPr>
        <w:tc>
          <w:tcPr>
            <w:tcW w:w="3051" w:type="dxa"/>
          </w:tcPr>
          <w:p>
            <w:pPr>
              <w:pStyle w:val="TableParagraph"/>
              <w:spacing w:line="221" w:lineRule="exact" w:before="10"/>
              <w:ind w:left="50"/>
              <w:rPr>
                <w:sz w:val="20"/>
              </w:rPr>
            </w:pPr>
            <w:r>
              <w:rPr>
                <w:color w:val="231F20"/>
                <w:spacing w:val="-4"/>
                <w:sz w:val="20"/>
              </w:rPr>
              <w:t>2025</w:t>
            </w:r>
          </w:p>
        </w:tc>
        <w:tc>
          <w:tcPr>
            <w:tcW w:w="4050" w:type="dxa"/>
          </w:tcPr>
          <w:p>
            <w:pPr>
              <w:pStyle w:val="TableParagraph"/>
              <w:spacing w:line="225" w:lineRule="exact" w:before="6"/>
              <w:ind w:right="156"/>
              <w:jc w:val="right"/>
              <w:rPr>
                <w:sz w:val="20"/>
              </w:rPr>
            </w:pPr>
            <w:r>
              <w:rPr>
                <w:color w:val="231F20"/>
                <w:spacing w:val="-2"/>
                <w:sz w:val="20"/>
              </w:rPr>
              <w:t>2,153,077</w:t>
            </w:r>
          </w:p>
        </w:tc>
      </w:tr>
      <w:tr>
        <w:trPr>
          <w:trHeight w:val="250" w:hRule="atLeast"/>
        </w:trPr>
        <w:tc>
          <w:tcPr>
            <w:tcW w:w="3051" w:type="dxa"/>
          </w:tcPr>
          <w:p>
            <w:pPr>
              <w:pStyle w:val="TableParagraph"/>
              <w:spacing w:line="221" w:lineRule="exact" w:before="10"/>
              <w:ind w:left="50"/>
              <w:rPr>
                <w:sz w:val="20"/>
              </w:rPr>
            </w:pPr>
            <w:r>
              <w:rPr>
                <w:color w:val="231F20"/>
                <w:spacing w:val="-4"/>
                <w:sz w:val="20"/>
              </w:rPr>
              <w:t>2026</w:t>
            </w:r>
          </w:p>
        </w:tc>
        <w:tc>
          <w:tcPr>
            <w:tcW w:w="4050" w:type="dxa"/>
          </w:tcPr>
          <w:p>
            <w:pPr>
              <w:pStyle w:val="TableParagraph"/>
              <w:spacing w:line="225" w:lineRule="exact" w:before="5"/>
              <w:ind w:right="156"/>
              <w:jc w:val="right"/>
              <w:rPr>
                <w:sz w:val="20"/>
              </w:rPr>
            </w:pPr>
            <w:r>
              <w:rPr>
                <w:color w:val="231F20"/>
                <w:spacing w:val="-2"/>
                <w:sz w:val="20"/>
              </w:rPr>
              <w:t>2,119,125</w:t>
            </w:r>
          </w:p>
        </w:tc>
      </w:tr>
      <w:tr>
        <w:trPr>
          <w:trHeight w:val="251" w:hRule="atLeast"/>
        </w:trPr>
        <w:tc>
          <w:tcPr>
            <w:tcW w:w="3051" w:type="dxa"/>
          </w:tcPr>
          <w:p>
            <w:pPr>
              <w:pStyle w:val="TableParagraph"/>
              <w:spacing w:line="221" w:lineRule="exact" w:before="10"/>
              <w:ind w:left="50"/>
              <w:rPr>
                <w:sz w:val="20"/>
              </w:rPr>
            </w:pPr>
            <w:r>
              <w:rPr>
                <w:color w:val="231F20"/>
                <w:spacing w:val="-4"/>
                <w:sz w:val="20"/>
              </w:rPr>
              <w:t>2027</w:t>
            </w:r>
          </w:p>
        </w:tc>
        <w:tc>
          <w:tcPr>
            <w:tcW w:w="4050" w:type="dxa"/>
          </w:tcPr>
          <w:p>
            <w:pPr>
              <w:pStyle w:val="TableParagraph"/>
              <w:spacing w:line="226" w:lineRule="exact" w:before="5"/>
              <w:ind w:right="156"/>
              <w:jc w:val="right"/>
              <w:rPr>
                <w:sz w:val="20"/>
              </w:rPr>
            </w:pPr>
            <w:r>
              <w:rPr>
                <w:color w:val="231F20"/>
                <w:spacing w:val="-2"/>
                <w:sz w:val="20"/>
              </w:rPr>
              <w:t>2,525,776</w:t>
            </w:r>
          </w:p>
        </w:tc>
      </w:tr>
      <w:tr>
        <w:trPr>
          <w:trHeight w:val="241" w:hRule="atLeast"/>
        </w:trPr>
        <w:tc>
          <w:tcPr>
            <w:tcW w:w="3051" w:type="dxa"/>
          </w:tcPr>
          <w:p>
            <w:pPr>
              <w:pStyle w:val="TableParagraph"/>
              <w:spacing w:line="210" w:lineRule="exact" w:before="10"/>
              <w:ind w:left="50"/>
              <w:rPr>
                <w:sz w:val="20"/>
              </w:rPr>
            </w:pPr>
            <w:r>
              <w:rPr>
                <w:color w:val="231F20"/>
                <w:spacing w:val="-2"/>
                <w:sz w:val="20"/>
              </w:rPr>
              <w:t>Thereafter</w:t>
            </w:r>
          </w:p>
        </w:tc>
        <w:tc>
          <w:tcPr>
            <w:tcW w:w="4050" w:type="dxa"/>
          </w:tcPr>
          <w:p>
            <w:pPr>
              <w:pStyle w:val="TableParagraph"/>
              <w:tabs>
                <w:tab w:pos="925" w:val="left" w:leader="none"/>
              </w:tabs>
              <w:spacing w:line="215" w:lineRule="exact" w:before="6"/>
              <w:ind w:right="49"/>
              <w:jc w:val="right"/>
              <w:rPr>
                <w:sz w:val="20"/>
              </w:rPr>
            </w:pPr>
            <w:r>
              <w:rPr>
                <w:color w:val="231F20"/>
                <w:sz w:val="20"/>
                <w:u w:val="thick" w:color="231F20"/>
              </w:rPr>
              <w:tab/>
            </w:r>
            <w:r>
              <w:rPr>
                <w:color w:val="231F20"/>
                <w:spacing w:val="-2"/>
                <w:sz w:val="20"/>
                <w:u w:val="thick" w:color="231F20"/>
              </w:rPr>
              <w:t>6,757,236</w:t>
            </w:r>
            <w:r>
              <w:rPr>
                <w:color w:val="231F20"/>
                <w:spacing w:val="80"/>
                <w:sz w:val="20"/>
                <w:u w:val="thick" w:color="231F20"/>
              </w:rPr>
              <w:t> </w:t>
            </w:r>
          </w:p>
        </w:tc>
      </w:tr>
    </w:tbl>
    <w:p>
      <w:pPr>
        <w:pStyle w:val="BodyText"/>
        <w:rPr>
          <w:sz w:val="11"/>
        </w:rPr>
      </w:pPr>
    </w:p>
    <w:p>
      <w:pPr>
        <w:pStyle w:val="BodyText"/>
        <w:tabs>
          <w:tab w:pos="4514" w:val="left" w:leader="none"/>
          <w:tab w:pos="5328" w:val="left" w:leader="none"/>
        </w:tabs>
        <w:spacing w:before="95"/>
        <w:jc w:val="center"/>
      </w:pPr>
      <w:r>
        <w:rPr/>
        <w:pict>
          <v:rect style="position:absolute;margin-left:356.281006pt;margin-top:18.595892pt;width:96.18pt;height:.95999pt;mso-position-horizontal-relative:page;mso-position-vertical-relative:paragraph;z-index:-15665664;mso-wrap-distance-left:0;mso-wrap-distance-right:0" id="docshape361" filled="true" fillcolor="#231f20" stroked="false">
            <v:fill type="solid"/>
            <w10:wrap type="topAndBottom"/>
          </v:rect>
        </w:pict>
      </w:r>
      <w:r>
        <w:rPr>
          <w:color w:val="231F20"/>
          <w:spacing w:val="-2"/>
        </w:rPr>
        <w:t>Total</w:t>
      </w:r>
      <w:r>
        <w:rPr>
          <w:color w:val="231F20"/>
        </w:rPr>
        <w:tab/>
      </w:r>
      <w:r>
        <w:rPr>
          <w:color w:val="231F20"/>
          <w:spacing w:val="40"/>
          <w:u w:val="single" w:color="231F20"/>
        </w:rPr>
        <w:t> </w:t>
      </w:r>
      <w:r>
        <w:rPr>
          <w:color w:val="231F20"/>
          <w:u w:val="single" w:color="231F20"/>
        </w:rPr>
        <w:t>$</w:t>
        <w:tab/>
      </w:r>
      <w:r>
        <w:rPr>
          <w:color w:val="231F20"/>
          <w:spacing w:val="-2"/>
          <w:u w:val="single" w:color="231F20"/>
        </w:rPr>
        <w:t>17,914,564</w:t>
      </w:r>
      <w:r>
        <w:rPr>
          <w:color w:val="231F20"/>
          <w:spacing w:val="80"/>
          <w:u w:val="single" w:color="231F20"/>
        </w:rPr>
        <w:t> </w:t>
      </w:r>
    </w:p>
    <w:p>
      <w:pPr>
        <w:pStyle w:val="BodyText"/>
      </w:pPr>
    </w:p>
    <w:p>
      <w:pPr>
        <w:pStyle w:val="BodyText"/>
        <w:spacing w:before="4"/>
        <w:rPr>
          <w:sz w:val="16"/>
        </w:rPr>
      </w:pPr>
    </w:p>
    <w:p>
      <w:pPr>
        <w:pStyle w:val="Heading4"/>
        <w:spacing w:before="94"/>
      </w:pPr>
      <w:r>
        <w:rPr>
          <w:color w:val="231F20"/>
        </w:rPr>
        <w:t>Note</w:t>
      </w:r>
      <w:r>
        <w:rPr>
          <w:color w:val="231F20"/>
          <w:spacing w:val="-3"/>
        </w:rPr>
        <w:t> </w:t>
      </w:r>
      <w:r>
        <w:rPr>
          <w:color w:val="231F20"/>
        </w:rPr>
        <w:t>9</w:t>
      </w:r>
      <w:r>
        <w:rPr>
          <w:color w:val="231F20"/>
          <w:spacing w:val="-3"/>
        </w:rPr>
        <w:t> </w:t>
      </w:r>
      <w:r>
        <w:rPr>
          <w:color w:val="231F20"/>
        </w:rPr>
        <w:t>–</w:t>
      </w:r>
      <w:r>
        <w:rPr>
          <w:color w:val="231F20"/>
          <w:spacing w:val="-3"/>
        </w:rPr>
        <w:t> </w:t>
      </w:r>
      <w:r>
        <w:rPr>
          <w:color w:val="231F20"/>
        </w:rPr>
        <w:t>Defined</w:t>
      </w:r>
      <w:r>
        <w:rPr>
          <w:color w:val="231F20"/>
          <w:spacing w:val="-2"/>
        </w:rPr>
        <w:t> </w:t>
      </w:r>
      <w:r>
        <w:rPr>
          <w:color w:val="231F20"/>
        </w:rPr>
        <w:t>Benefit</w:t>
      </w:r>
      <w:r>
        <w:rPr>
          <w:color w:val="231F20"/>
          <w:spacing w:val="-3"/>
        </w:rPr>
        <w:t> </w:t>
      </w:r>
      <w:r>
        <w:rPr>
          <w:color w:val="231F20"/>
        </w:rPr>
        <w:t>Retirement</w:t>
      </w:r>
      <w:r>
        <w:rPr>
          <w:color w:val="231F20"/>
          <w:spacing w:val="-3"/>
        </w:rPr>
        <w:t> </w:t>
      </w:r>
      <w:r>
        <w:rPr>
          <w:color w:val="231F20"/>
          <w:spacing w:val="-4"/>
        </w:rPr>
        <w:t>Plan</w:t>
      </w:r>
    </w:p>
    <w:p>
      <w:pPr>
        <w:pStyle w:val="BodyText"/>
        <w:rPr>
          <w:b/>
          <w:sz w:val="26"/>
        </w:rPr>
      </w:pPr>
    </w:p>
    <w:p>
      <w:pPr>
        <w:pStyle w:val="BodyText"/>
        <w:spacing w:line="276" w:lineRule="auto"/>
        <w:ind w:left="1439" w:right="857"/>
      </w:pPr>
      <w:r>
        <w:rPr>
          <w:i/>
          <w:color w:val="231F20"/>
        </w:rPr>
        <w:t>Plan Description </w:t>
      </w:r>
      <w:r>
        <w:rPr>
          <w:color w:val="231F20"/>
        </w:rPr>
        <w:t>– The New Mexico Educational Retirement Act (ERA) was enacted in 1957. The act created the Educational Employees Retirement Plan (Plan) and, to administer it, the New Mexico Educational Retirement Board (NMERB). The Plan is included in NMERB’s comprehensive annual </w:t>
      </w:r>
      <w:r>
        <w:rPr>
          <w:color w:val="231F20"/>
          <w:spacing w:val="-4"/>
        </w:rPr>
        <w:t>financial</w:t>
      </w:r>
      <w:r>
        <w:rPr>
          <w:color w:val="231F20"/>
          <w:spacing w:val="-7"/>
        </w:rPr>
        <w:t> </w:t>
      </w:r>
      <w:r>
        <w:rPr>
          <w:color w:val="231F20"/>
          <w:spacing w:val="-4"/>
        </w:rPr>
        <w:t>report.</w:t>
      </w:r>
      <w:r>
        <w:rPr>
          <w:color w:val="231F20"/>
          <w:spacing w:val="-7"/>
        </w:rPr>
        <w:t> </w:t>
      </w:r>
      <w:r>
        <w:rPr>
          <w:color w:val="231F20"/>
          <w:spacing w:val="-4"/>
        </w:rPr>
        <w:t>The</w:t>
      </w:r>
      <w:r>
        <w:rPr>
          <w:color w:val="231F20"/>
          <w:spacing w:val="-7"/>
        </w:rPr>
        <w:t> </w:t>
      </w:r>
      <w:r>
        <w:rPr>
          <w:color w:val="231F20"/>
          <w:spacing w:val="-4"/>
        </w:rPr>
        <w:t>report</w:t>
      </w:r>
      <w:r>
        <w:rPr>
          <w:color w:val="231F20"/>
          <w:spacing w:val="-7"/>
        </w:rPr>
        <w:t> </w:t>
      </w:r>
      <w:r>
        <w:rPr>
          <w:color w:val="231F20"/>
          <w:spacing w:val="-4"/>
        </w:rPr>
        <w:t>can</w:t>
      </w:r>
      <w:r>
        <w:rPr>
          <w:color w:val="231F20"/>
          <w:spacing w:val="-7"/>
        </w:rPr>
        <w:t> </w:t>
      </w:r>
      <w:r>
        <w:rPr>
          <w:color w:val="231F20"/>
          <w:spacing w:val="-4"/>
        </w:rPr>
        <w:t>be</w:t>
      </w:r>
      <w:r>
        <w:rPr>
          <w:color w:val="231F20"/>
          <w:spacing w:val="-7"/>
        </w:rPr>
        <w:t> </w:t>
      </w:r>
      <w:r>
        <w:rPr>
          <w:color w:val="231F20"/>
          <w:spacing w:val="-4"/>
        </w:rPr>
        <w:t>found</w:t>
      </w:r>
      <w:r>
        <w:rPr>
          <w:color w:val="231F20"/>
          <w:spacing w:val="-8"/>
        </w:rPr>
        <w:t> </w:t>
      </w:r>
      <w:r>
        <w:rPr>
          <w:color w:val="231F20"/>
          <w:spacing w:val="-4"/>
        </w:rPr>
        <w:t>on</w:t>
      </w:r>
      <w:r>
        <w:rPr>
          <w:color w:val="231F20"/>
          <w:spacing w:val="-7"/>
        </w:rPr>
        <w:t> </w:t>
      </w:r>
      <w:r>
        <w:rPr>
          <w:color w:val="231F20"/>
          <w:spacing w:val="-4"/>
        </w:rPr>
        <w:t>NMERB’s</w:t>
      </w:r>
      <w:r>
        <w:rPr>
          <w:color w:val="231F20"/>
          <w:spacing w:val="-8"/>
        </w:rPr>
        <w:t> </w:t>
      </w:r>
      <w:r>
        <w:rPr>
          <w:color w:val="231F20"/>
          <w:spacing w:val="-4"/>
        </w:rPr>
        <w:t>Web</w:t>
      </w:r>
      <w:r>
        <w:rPr>
          <w:color w:val="231F20"/>
          <w:spacing w:val="-8"/>
        </w:rPr>
        <w:t> </w:t>
      </w:r>
      <w:r>
        <w:rPr>
          <w:color w:val="231F20"/>
          <w:spacing w:val="-4"/>
        </w:rPr>
        <w:t>site</w:t>
      </w:r>
      <w:r>
        <w:rPr>
          <w:color w:val="231F20"/>
          <w:spacing w:val="-7"/>
        </w:rPr>
        <w:t> </w:t>
      </w:r>
      <w:r>
        <w:rPr>
          <w:color w:val="231F20"/>
          <w:spacing w:val="-4"/>
        </w:rPr>
        <w:t>at</w:t>
      </w:r>
      <w:r>
        <w:rPr>
          <w:color w:val="231F20"/>
          <w:spacing w:val="-7"/>
        </w:rPr>
        <w:t> </w:t>
      </w:r>
      <w:r>
        <w:rPr>
          <w:color w:val="231F20"/>
          <w:spacing w:val="-4"/>
        </w:rPr>
        <w:t>https://</w:t>
      </w:r>
      <w:hyperlink r:id="rId46">
        <w:r>
          <w:rPr>
            <w:color w:val="231F20"/>
            <w:spacing w:val="-4"/>
          </w:rPr>
          <w:t>www.nmerb.org/Annual_reports.html.</w:t>
        </w:r>
      </w:hyperlink>
    </w:p>
    <w:p>
      <w:pPr>
        <w:pStyle w:val="BodyText"/>
        <w:spacing w:before="11"/>
        <w:rPr>
          <w:sz w:val="22"/>
        </w:rPr>
      </w:pPr>
    </w:p>
    <w:p>
      <w:pPr>
        <w:pStyle w:val="BodyText"/>
        <w:spacing w:line="276" w:lineRule="auto"/>
        <w:ind w:left="1439" w:right="943"/>
      </w:pPr>
      <w:r>
        <w:rPr>
          <w:color w:val="231F20"/>
        </w:rPr>
        <w:t>The Plan is a cost-sharing, multiple-employer pension plan established to provide retirement and disability benefits for certified teachers and other employees of the state’s public schools, institutions of higher</w:t>
      </w:r>
      <w:r>
        <w:rPr>
          <w:color w:val="231F20"/>
          <w:spacing w:val="-3"/>
        </w:rPr>
        <w:t> </w:t>
      </w:r>
      <w:r>
        <w:rPr>
          <w:color w:val="231F20"/>
        </w:rPr>
        <w:t>learning,</w:t>
      </w:r>
      <w:r>
        <w:rPr>
          <w:color w:val="231F20"/>
          <w:spacing w:val="-3"/>
        </w:rPr>
        <w:t> </w:t>
      </w:r>
      <w:r>
        <w:rPr>
          <w:color w:val="231F20"/>
        </w:rPr>
        <w:t>and</w:t>
      </w:r>
      <w:r>
        <w:rPr>
          <w:color w:val="231F20"/>
          <w:spacing w:val="-3"/>
        </w:rPr>
        <w:t> </w:t>
      </w:r>
      <w:r>
        <w:rPr>
          <w:color w:val="231F20"/>
        </w:rPr>
        <w:t>state</w:t>
      </w:r>
      <w:r>
        <w:rPr>
          <w:color w:val="231F20"/>
          <w:spacing w:val="-3"/>
        </w:rPr>
        <w:t> </w:t>
      </w:r>
      <w:r>
        <w:rPr>
          <w:color w:val="231F20"/>
        </w:rPr>
        <w:t>agencies</w:t>
      </w:r>
      <w:r>
        <w:rPr>
          <w:color w:val="231F20"/>
          <w:spacing w:val="-2"/>
        </w:rPr>
        <w:t> </w:t>
      </w:r>
      <w:r>
        <w:rPr>
          <w:color w:val="231F20"/>
        </w:rPr>
        <w:t>providing</w:t>
      </w:r>
      <w:r>
        <w:rPr>
          <w:color w:val="231F20"/>
          <w:spacing w:val="-3"/>
        </w:rPr>
        <w:t> </w:t>
      </w:r>
      <w:r>
        <w:rPr>
          <w:color w:val="231F20"/>
        </w:rPr>
        <w:t>educational</w:t>
      </w:r>
      <w:r>
        <w:rPr>
          <w:color w:val="231F20"/>
          <w:spacing w:val="-3"/>
        </w:rPr>
        <w:t> </w:t>
      </w:r>
      <w:r>
        <w:rPr>
          <w:color w:val="231F20"/>
        </w:rPr>
        <w:t>programs.</w:t>
      </w:r>
      <w:r>
        <w:rPr>
          <w:color w:val="231F20"/>
          <w:spacing w:val="-4"/>
        </w:rPr>
        <w:t> </w:t>
      </w:r>
      <w:r>
        <w:rPr>
          <w:color w:val="231F20"/>
        </w:rPr>
        <w:t>Additional</w:t>
      </w:r>
      <w:r>
        <w:rPr>
          <w:color w:val="231F20"/>
          <w:spacing w:val="-3"/>
        </w:rPr>
        <w:t> </w:t>
      </w:r>
      <w:r>
        <w:rPr>
          <w:color w:val="231F20"/>
        </w:rPr>
        <w:t>tenets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ERA</w:t>
      </w:r>
      <w:r>
        <w:rPr>
          <w:color w:val="231F20"/>
          <w:spacing w:val="-3"/>
        </w:rPr>
        <w:t> </w:t>
      </w:r>
      <w:r>
        <w:rPr>
          <w:color w:val="231F20"/>
        </w:rPr>
        <w:t>can</w:t>
      </w:r>
      <w:r>
        <w:rPr>
          <w:color w:val="231F20"/>
          <w:spacing w:val="-3"/>
        </w:rPr>
        <w:t> </w:t>
      </w:r>
      <w:r>
        <w:rPr>
          <w:color w:val="231F20"/>
        </w:rPr>
        <w:t>be found in Section 22-11-1 through 22-11-52, NMSA 1978, as amended.</w:t>
      </w:r>
    </w:p>
    <w:p>
      <w:pPr>
        <w:pStyle w:val="BodyText"/>
        <w:spacing w:before="11"/>
        <w:rPr>
          <w:sz w:val="22"/>
        </w:rPr>
      </w:pPr>
    </w:p>
    <w:p>
      <w:pPr>
        <w:pStyle w:val="BodyText"/>
        <w:spacing w:line="276" w:lineRule="auto"/>
        <w:ind w:left="1439" w:right="891"/>
      </w:pPr>
      <w:r>
        <w:rPr>
          <w:color w:val="231F20"/>
        </w:rPr>
        <w:t>The Plan is a pension trust fund of the State of New Mexico. The ERA assigns the authority to establish and</w:t>
      </w:r>
      <w:r>
        <w:rPr>
          <w:color w:val="231F20"/>
          <w:spacing w:val="-3"/>
        </w:rPr>
        <w:t> </w:t>
      </w:r>
      <w:r>
        <w:rPr>
          <w:color w:val="231F20"/>
        </w:rPr>
        <w:t>amend</w:t>
      </w:r>
      <w:r>
        <w:rPr>
          <w:color w:val="231F20"/>
          <w:spacing w:val="-3"/>
        </w:rPr>
        <w:t> </w:t>
      </w:r>
      <w:r>
        <w:rPr>
          <w:color w:val="231F20"/>
        </w:rPr>
        <w:t>benefit</w:t>
      </w:r>
      <w:r>
        <w:rPr>
          <w:color w:val="231F20"/>
          <w:spacing w:val="-3"/>
        </w:rPr>
        <w:t> </w:t>
      </w:r>
      <w:r>
        <w:rPr>
          <w:color w:val="231F20"/>
        </w:rPr>
        <w:t>provisions</w:t>
      </w:r>
      <w:r>
        <w:rPr>
          <w:color w:val="231F20"/>
          <w:spacing w:val="-3"/>
        </w:rPr>
        <w:t> </w:t>
      </w:r>
      <w:r>
        <w:rPr>
          <w:color w:val="231F20"/>
        </w:rPr>
        <w:t>to</w:t>
      </w:r>
      <w:r>
        <w:rPr>
          <w:color w:val="231F20"/>
          <w:spacing w:val="-3"/>
        </w:rPr>
        <w:t> </w:t>
      </w:r>
      <w:r>
        <w:rPr>
          <w:color w:val="231F20"/>
        </w:rPr>
        <w:t>a</w:t>
      </w:r>
      <w:r>
        <w:rPr>
          <w:color w:val="231F20"/>
          <w:spacing w:val="-3"/>
        </w:rPr>
        <w:t> </w:t>
      </w:r>
      <w:r>
        <w:rPr>
          <w:color w:val="231F20"/>
        </w:rPr>
        <w:t>seven-member</w:t>
      </w:r>
      <w:r>
        <w:rPr>
          <w:color w:val="231F20"/>
          <w:spacing w:val="-2"/>
        </w:rPr>
        <w:t> </w:t>
      </w:r>
      <w:r>
        <w:rPr>
          <w:color w:val="231F20"/>
        </w:rPr>
        <w:t>Board of</w:t>
      </w:r>
      <w:r>
        <w:rPr>
          <w:color w:val="231F20"/>
          <w:spacing w:val="-3"/>
        </w:rPr>
        <w:t> </w:t>
      </w:r>
      <w:r>
        <w:rPr>
          <w:color w:val="231F20"/>
        </w:rPr>
        <w:t>Trustees</w:t>
      </w:r>
      <w:r>
        <w:rPr>
          <w:color w:val="231F20"/>
          <w:spacing w:val="-3"/>
        </w:rPr>
        <w:t> </w:t>
      </w:r>
      <w:r>
        <w:rPr>
          <w:color w:val="231F20"/>
        </w:rPr>
        <w:t>(Board);</w:t>
      </w:r>
      <w:r>
        <w:rPr>
          <w:color w:val="231F20"/>
          <w:spacing w:val="-3"/>
        </w:rPr>
        <w:t> </w:t>
      </w:r>
      <w:r>
        <w:rPr>
          <w:color w:val="231F20"/>
        </w:rPr>
        <w:t>the</w:t>
      </w:r>
      <w:r>
        <w:rPr>
          <w:color w:val="231F20"/>
          <w:spacing w:val="-2"/>
        </w:rPr>
        <w:t> </w:t>
      </w:r>
      <w:r>
        <w:rPr>
          <w:color w:val="231F20"/>
        </w:rPr>
        <w:t>state</w:t>
      </w:r>
      <w:r>
        <w:rPr>
          <w:color w:val="231F20"/>
          <w:spacing w:val="-3"/>
        </w:rPr>
        <w:t> </w:t>
      </w:r>
      <w:r>
        <w:rPr>
          <w:color w:val="231F20"/>
        </w:rPr>
        <w:t>legislature</w:t>
      </w:r>
      <w:r>
        <w:rPr>
          <w:color w:val="231F20"/>
          <w:spacing w:val="-3"/>
        </w:rPr>
        <w:t> </w:t>
      </w:r>
      <w:r>
        <w:rPr>
          <w:color w:val="231F20"/>
        </w:rPr>
        <w:t>has</w:t>
      </w:r>
      <w:r>
        <w:rPr>
          <w:color w:val="231F20"/>
          <w:spacing w:val="-3"/>
        </w:rPr>
        <w:t> </w:t>
      </w:r>
      <w:r>
        <w:rPr>
          <w:color w:val="231F20"/>
        </w:rPr>
        <w:t>the authority to set or amend contribution rates and other terms of the Plan. NMERB is self-funded through investment income and educational employer contributions. The Plan does not receive General Fund Appropriations from the State of New Mexico.</w:t>
      </w:r>
    </w:p>
    <w:p>
      <w:pPr>
        <w:pStyle w:val="BodyText"/>
        <w:spacing w:before="11"/>
        <w:rPr>
          <w:sz w:val="22"/>
        </w:rPr>
      </w:pPr>
    </w:p>
    <w:p>
      <w:pPr>
        <w:pStyle w:val="BodyText"/>
        <w:spacing w:line="276" w:lineRule="auto"/>
        <w:ind w:left="1439" w:right="891"/>
      </w:pPr>
      <w:r>
        <w:rPr>
          <w:color w:val="231F20"/>
        </w:rPr>
        <w:t>All accumulated assets are held by the Plan in trust to pay benefits, including refunds of contributions as defined in the terms of the Plan. Eligibility for membership in the Plan is a condition of employment, as defined</w:t>
      </w:r>
      <w:r>
        <w:rPr>
          <w:color w:val="231F20"/>
          <w:spacing w:val="-3"/>
        </w:rPr>
        <w:t> </w:t>
      </w:r>
      <w:r>
        <w:rPr>
          <w:color w:val="231F20"/>
        </w:rPr>
        <w:t>in</w:t>
      </w:r>
      <w:r>
        <w:rPr>
          <w:color w:val="231F20"/>
          <w:spacing w:val="-3"/>
        </w:rPr>
        <w:t> </w:t>
      </w:r>
      <w:r>
        <w:rPr>
          <w:color w:val="231F20"/>
        </w:rPr>
        <w:t>Section</w:t>
      </w:r>
      <w:r>
        <w:rPr>
          <w:color w:val="231F20"/>
          <w:spacing w:val="-3"/>
        </w:rPr>
        <w:t> </w:t>
      </w:r>
      <w:r>
        <w:rPr>
          <w:color w:val="231F20"/>
        </w:rPr>
        <w:t>22-11-2,</w:t>
      </w:r>
      <w:r>
        <w:rPr>
          <w:color w:val="231F20"/>
          <w:spacing w:val="-4"/>
        </w:rPr>
        <w:t> </w:t>
      </w:r>
      <w:r>
        <w:rPr>
          <w:color w:val="231F20"/>
        </w:rPr>
        <w:t>NMSA</w:t>
      </w:r>
      <w:r>
        <w:rPr>
          <w:color w:val="231F20"/>
          <w:spacing w:val="-3"/>
        </w:rPr>
        <w:t> </w:t>
      </w:r>
      <w:r>
        <w:rPr>
          <w:color w:val="231F20"/>
        </w:rPr>
        <w:t>1978.</w:t>
      </w:r>
      <w:r>
        <w:rPr>
          <w:color w:val="231F20"/>
          <w:spacing w:val="-4"/>
        </w:rPr>
        <w:t> </w:t>
      </w:r>
      <w:r>
        <w:rPr>
          <w:color w:val="231F20"/>
        </w:rPr>
        <w:t>Employees</w:t>
      </w:r>
      <w:r>
        <w:rPr>
          <w:color w:val="231F20"/>
          <w:spacing w:val="-3"/>
        </w:rPr>
        <w:t> </w:t>
      </w:r>
      <w:r>
        <w:rPr>
          <w:color w:val="231F20"/>
        </w:rPr>
        <w:t>of</w:t>
      </w:r>
      <w:r>
        <w:rPr>
          <w:color w:val="231F20"/>
          <w:spacing w:val="-3"/>
        </w:rPr>
        <w:t> </w:t>
      </w:r>
      <w:r>
        <w:rPr>
          <w:color w:val="231F20"/>
        </w:rPr>
        <w:t>public</w:t>
      </w:r>
      <w:r>
        <w:rPr>
          <w:color w:val="231F20"/>
          <w:spacing w:val="-3"/>
        </w:rPr>
        <w:t> </w:t>
      </w:r>
      <w:r>
        <w:rPr>
          <w:color w:val="231F20"/>
        </w:rPr>
        <w:t>schools,</w:t>
      </w:r>
      <w:r>
        <w:rPr>
          <w:color w:val="231F20"/>
          <w:spacing w:val="-3"/>
        </w:rPr>
        <w:t> </w:t>
      </w:r>
      <w:r>
        <w:rPr>
          <w:color w:val="231F20"/>
        </w:rPr>
        <w:t>universities,</w:t>
      </w:r>
      <w:r>
        <w:rPr>
          <w:color w:val="231F20"/>
          <w:spacing w:val="-3"/>
        </w:rPr>
        <w:t> </w:t>
      </w:r>
      <w:r>
        <w:rPr>
          <w:color w:val="231F20"/>
        </w:rPr>
        <w:t>junior</w:t>
      </w:r>
      <w:r>
        <w:rPr>
          <w:color w:val="231F20"/>
          <w:spacing w:val="-3"/>
        </w:rPr>
        <w:t> </w:t>
      </w:r>
      <w:r>
        <w:rPr>
          <w:color w:val="231F20"/>
        </w:rPr>
        <w:t>and</w:t>
      </w:r>
      <w:r>
        <w:rPr>
          <w:color w:val="231F20"/>
          <w:spacing w:val="-4"/>
        </w:rPr>
        <w:t> </w:t>
      </w:r>
      <w:r>
        <w:rPr>
          <w:color w:val="231F20"/>
        </w:rPr>
        <w:t>community colleges, public technical and vocational institutions, state special schools, charter schools, regional</w:t>
      </w:r>
    </w:p>
    <w:p>
      <w:pPr>
        <w:pStyle w:val="BodyText"/>
        <w:ind w:left="1439" w:right="891"/>
      </w:pPr>
      <w:r>
        <w:rPr>
          <w:color w:val="231F20"/>
        </w:rPr>
        <w:t>education</w:t>
      </w:r>
      <w:r>
        <w:rPr>
          <w:color w:val="231F20"/>
          <w:spacing w:val="-5"/>
        </w:rPr>
        <w:t> </w:t>
      </w:r>
      <w:r>
        <w:rPr>
          <w:color w:val="231F20"/>
        </w:rPr>
        <w:t>cooperatives,</w:t>
      </w:r>
      <w:r>
        <w:rPr>
          <w:color w:val="231F20"/>
          <w:spacing w:val="-4"/>
        </w:rPr>
        <w:t> </w:t>
      </w:r>
      <w:r>
        <w:rPr>
          <w:color w:val="231F20"/>
        </w:rPr>
        <w:t>the</w:t>
      </w:r>
      <w:r>
        <w:rPr>
          <w:color w:val="231F20"/>
          <w:spacing w:val="-4"/>
        </w:rPr>
        <w:t> </w:t>
      </w:r>
      <w:r>
        <w:rPr>
          <w:color w:val="231F20"/>
        </w:rPr>
        <w:t>New</w:t>
      </w:r>
      <w:r>
        <w:rPr>
          <w:color w:val="231F20"/>
          <w:spacing w:val="-4"/>
        </w:rPr>
        <w:t> </w:t>
      </w:r>
      <w:r>
        <w:rPr>
          <w:color w:val="231F20"/>
        </w:rPr>
        <w:t>Mexico</w:t>
      </w:r>
      <w:r>
        <w:rPr>
          <w:color w:val="231F20"/>
          <w:spacing w:val="-4"/>
        </w:rPr>
        <w:t> </w:t>
      </w:r>
      <w:r>
        <w:rPr>
          <w:color w:val="231F20"/>
        </w:rPr>
        <w:t>Activities</w:t>
      </w:r>
      <w:r>
        <w:rPr>
          <w:color w:val="231F20"/>
          <w:spacing w:val="-4"/>
        </w:rPr>
        <w:t> </w:t>
      </w:r>
      <w:r>
        <w:rPr>
          <w:color w:val="231F20"/>
        </w:rPr>
        <w:t>Association,</w:t>
      </w:r>
      <w:r>
        <w:rPr>
          <w:color w:val="231F20"/>
          <w:spacing w:val="-4"/>
        </w:rPr>
        <w:t> </w:t>
      </w:r>
      <w:r>
        <w:rPr>
          <w:color w:val="231F20"/>
        </w:rPr>
        <w:t>and</w:t>
      </w:r>
      <w:r>
        <w:rPr>
          <w:color w:val="231F20"/>
          <w:spacing w:val="-4"/>
        </w:rPr>
        <w:t> </w:t>
      </w:r>
      <w:r>
        <w:rPr>
          <w:color w:val="231F20"/>
        </w:rPr>
        <w:t>certain</w:t>
      </w:r>
      <w:r>
        <w:rPr>
          <w:color w:val="231F20"/>
          <w:spacing w:val="-4"/>
        </w:rPr>
        <w:t> </w:t>
      </w:r>
      <w:r>
        <w:rPr>
          <w:color w:val="231F20"/>
        </w:rPr>
        <w:t>employees</w:t>
      </w:r>
      <w:r>
        <w:rPr>
          <w:color w:val="231F20"/>
          <w:spacing w:val="-4"/>
        </w:rPr>
        <w:t> </w:t>
      </w:r>
      <w:r>
        <w:rPr>
          <w:color w:val="231F20"/>
        </w:rPr>
        <w:t>at</w:t>
      </w:r>
      <w:r>
        <w:rPr>
          <w:color w:val="231F20"/>
          <w:spacing w:val="-4"/>
        </w:rPr>
        <w:t> </w:t>
      </w:r>
      <w:r>
        <w:rPr>
          <w:color w:val="231F20"/>
        </w:rPr>
        <w:t>state</w:t>
      </w:r>
      <w:r>
        <w:rPr>
          <w:color w:val="231F20"/>
          <w:spacing w:val="-4"/>
        </w:rPr>
        <w:t> </w:t>
      </w:r>
      <w:r>
        <w:rPr>
          <w:color w:val="231F20"/>
        </w:rPr>
        <w:t>agencies that provide an educational program, who are employed more than 25% of a full-time equivalency, are required to be members of the Plan, unless specifically excluded.</w:t>
      </w:r>
    </w:p>
    <w:p>
      <w:pPr>
        <w:spacing w:after="0"/>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3"/>
        </w:rPr>
        <w:t> </w:t>
      </w:r>
      <w:r>
        <w:rPr>
          <w:color w:val="231F20"/>
        </w:rPr>
        <w:t>9</w:t>
      </w:r>
      <w:r>
        <w:rPr>
          <w:color w:val="231F20"/>
          <w:spacing w:val="-2"/>
        </w:rPr>
        <w:t> </w:t>
      </w:r>
      <w:r>
        <w:rPr>
          <w:color w:val="231F20"/>
        </w:rPr>
        <w:t>–</w:t>
      </w:r>
      <w:r>
        <w:rPr>
          <w:color w:val="231F20"/>
          <w:spacing w:val="-3"/>
        </w:rPr>
        <w:t> </w:t>
      </w:r>
      <w:r>
        <w:rPr>
          <w:color w:val="231F20"/>
        </w:rPr>
        <w:t>Defined</w:t>
      </w:r>
      <w:r>
        <w:rPr>
          <w:color w:val="231F20"/>
          <w:spacing w:val="-2"/>
        </w:rPr>
        <w:t> </w:t>
      </w:r>
      <w:r>
        <w:rPr>
          <w:color w:val="231F20"/>
        </w:rPr>
        <w:t>Benefit</w:t>
      </w:r>
      <w:r>
        <w:rPr>
          <w:color w:val="231F20"/>
          <w:spacing w:val="-3"/>
        </w:rPr>
        <w:t> </w:t>
      </w:r>
      <w:r>
        <w:rPr>
          <w:color w:val="231F20"/>
        </w:rPr>
        <w:t>Retirement</w:t>
      </w:r>
      <w:r>
        <w:rPr>
          <w:color w:val="231F20"/>
          <w:spacing w:val="-3"/>
        </w:rPr>
        <w:t> </w:t>
      </w:r>
      <w:r>
        <w:rPr>
          <w:color w:val="231F20"/>
        </w:rPr>
        <w:t>Plan</w:t>
      </w:r>
      <w:r>
        <w:rPr>
          <w:color w:val="231F20"/>
          <w:spacing w:val="-2"/>
        </w:rPr>
        <w:t> (continued)</w:t>
      </w:r>
    </w:p>
    <w:p>
      <w:pPr>
        <w:pStyle w:val="BodyText"/>
        <w:rPr>
          <w:b/>
          <w:sz w:val="26"/>
        </w:rPr>
      </w:pPr>
    </w:p>
    <w:p>
      <w:pPr>
        <w:pStyle w:val="BodyText"/>
        <w:spacing w:line="276" w:lineRule="auto"/>
        <w:ind w:left="1440" w:right="1048"/>
      </w:pPr>
      <w:r>
        <w:rPr>
          <w:i/>
          <w:color w:val="231F20"/>
        </w:rPr>
        <w:t>Pension Benefit – </w:t>
      </w:r>
      <w:r>
        <w:rPr>
          <w:color w:val="231F20"/>
        </w:rPr>
        <w:t>A member’s retirement benefit is determined by a formula which includes three component</w:t>
      </w:r>
      <w:r>
        <w:rPr>
          <w:color w:val="231F20"/>
          <w:spacing w:val="-3"/>
        </w:rPr>
        <w:t> </w:t>
      </w:r>
      <w:r>
        <w:rPr>
          <w:color w:val="231F20"/>
        </w:rPr>
        <w:t>parts:</w:t>
      </w:r>
      <w:r>
        <w:rPr>
          <w:color w:val="231F20"/>
          <w:spacing w:val="-3"/>
        </w:rPr>
        <w:t> </w:t>
      </w:r>
      <w:r>
        <w:rPr>
          <w:color w:val="231F20"/>
        </w:rPr>
        <w:t>1)</w:t>
      </w:r>
      <w:r>
        <w:rPr>
          <w:color w:val="231F20"/>
          <w:spacing w:val="-3"/>
        </w:rPr>
        <w:t> </w:t>
      </w:r>
      <w:r>
        <w:rPr>
          <w:color w:val="231F20"/>
        </w:rPr>
        <w:t>the</w:t>
      </w:r>
      <w:r>
        <w:rPr>
          <w:color w:val="231F20"/>
          <w:spacing w:val="-3"/>
        </w:rPr>
        <w:t> </w:t>
      </w:r>
      <w:r>
        <w:rPr>
          <w:color w:val="231F20"/>
        </w:rPr>
        <w:t>member’s</w:t>
      </w:r>
      <w:r>
        <w:rPr>
          <w:color w:val="231F20"/>
          <w:spacing w:val="-3"/>
        </w:rPr>
        <w:t> </w:t>
      </w:r>
      <w:r>
        <w:rPr>
          <w:color w:val="231F20"/>
        </w:rPr>
        <w:t>final</w:t>
      </w:r>
      <w:r>
        <w:rPr>
          <w:color w:val="231F20"/>
          <w:spacing w:val="-4"/>
        </w:rPr>
        <w:t> </w:t>
      </w:r>
      <w:r>
        <w:rPr>
          <w:color w:val="231F20"/>
        </w:rPr>
        <w:t>average</w:t>
      </w:r>
      <w:r>
        <w:rPr>
          <w:color w:val="231F20"/>
          <w:spacing w:val="-3"/>
        </w:rPr>
        <w:t> </w:t>
      </w:r>
      <w:r>
        <w:rPr>
          <w:color w:val="231F20"/>
        </w:rPr>
        <w:t>salary (FAS),</w:t>
      </w:r>
      <w:r>
        <w:rPr>
          <w:color w:val="231F20"/>
          <w:spacing w:val="-3"/>
        </w:rPr>
        <w:t> </w:t>
      </w:r>
      <w:r>
        <w:rPr>
          <w:color w:val="231F20"/>
        </w:rPr>
        <w:t>2)</w:t>
      </w:r>
      <w:r>
        <w:rPr>
          <w:color w:val="231F20"/>
          <w:spacing w:val="-3"/>
        </w:rPr>
        <w:t> </w:t>
      </w:r>
      <w:r>
        <w:rPr>
          <w:color w:val="231F20"/>
        </w:rPr>
        <w:t>the</w:t>
      </w:r>
      <w:r>
        <w:rPr>
          <w:color w:val="231F20"/>
          <w:spacing w:val="-3"/>
        </w:rPr>
        <w:t> </w:t>
      </w:r>
      <w:r>
        <w:rPr>
          <w:color w:val="231F20"/>
        </w:rPr>
        <w:t>number</w:t>
      </w:r>
      <w:r>
        <w:rPr>
          <w:color w:val="231F20"/>
          <w:spacing w:val="-3"/>
        </w:rPr>
        <w:t> </w:t>
      </w:r>
      <w:r>
        <w:rPr>
          <w:color w:val="231F20"/>
        </w:rPr>
        <w:t>of</w:t>
      </w:r>
      <w:r>
        <w:rPr>
          <w:color w:val="231F20"/>
          <w:spacing w:val="-3"/>
        </w:rPr>
        <w:t> </w:t>
      </w:r>
      <w:r>
        <w:rPr>
          <w:color w:val="231F20"/>
        </w:rPr>
        <w:t>years</w:t>
      </w:r>
      <w:r>
        <w:rPr>
          <w:color w:val="231F20"/>
          <w:spacing w:val="-3"/>
        </w:rPr>
        <w:t> </w:t>
      </w:r>
      <w:r>
        <w:rPr>
          <w:color w:val="231F20"/>
        </w:rPr>
        <w:t>of</w:t>
      </w:r>
      <w:r>
        <w:rPr>
          <w:color w:val="231F20"/>
          <w:spacing w:val="-3"/>
        </w:rPr>
        <w:t> </w:t>
      </w:r>
      <w:r>
        <w:rPr>
          <w:color w:val="231F20"/>
        </w:rPr>
        <w:t>service</w:t>
      </w:r>
      <w:r>
        <w:rPr>
          <w:color w:val="231F20"/>
          <w:spacing w:val="-3"/>
        </w:rPr>
        <w:t> </w:t>
      </w:r>
      <w:r>
        <w:rPr>
          <w:color w:val="231F20"/>
        </w:rPr>
        <w:t>credit, and 3) a multiplier.</w:t>
      </w:r>
    </w:p>
    <w:p>
      <w:pPr>
        <w:pStyle w:val="BodyText"/>
        <w:spacing w:before="11"/>
        <w:rPr>
          <w:sz w:val="22"/>
        </w:rPr>
      </w:pPr>
    </w:p>
    <w:p>
      <w:pPr>
        <w:pStyle w:val="BodyText"/>
        <w:spacing w:line="276" w:lineRule="auto"/>
        <w:ind w:left="1440" w:right="891"/>
      </w:pPr>
      <w:r>
        <w:rPr>
          <w:color w:val="231F20"/>
        </w:rPr>
        <w:t>For</w:t>
      </w:r>
      <w:r>
        <w:rPr>
          <w:color w:val="231F20"/>
          <w:spacing w:val="-3"/>
        </w:rPr>
        <w:t> </w:t>
      </w:r>
      <w:r>
        <w:rPr>
          <w:color w:val="231F20"/>
        </w:rPr>
        <w:t>members</w:t>
      </w:r>
      <w:r>
        <w:rPr>
          <w:color w:val="231F20"/>
          <w:spacing w:val="-3"/>
        </w:rPr>
        <w:t> </w:t>
      </w:r>
      <w:r>
        <w:rPr>
          <w:color w:val="231F20"/>
        </w:rPr>
        <w:t>hired</w:t>
      </w:r>
      <w:r>
        <w:rPr>
          <w:color w:val="231F20"/>
          <w:spacing w:val="-3"/>
        </w:rPr>
        <w:t> </w:t>
      </w:r>
      <w:r>
        <w:rPr>
          <w:color w:val="231F20"/>
        </w:rPr>
        <w:t>on</w:t>
      </w:r>
      <w:r>
        <w:rPr>
          <w:color w:val="231F20"/>
          <w:spacing w:val="-3"/>
        </w:rPr>
        <w:t> </w:t>
      </w:r>
      <w:r>
        <w:rPr>
          <w:color w:val="231F20"/>
        </w:rPr>
        <w:t>or</w:t>
      </w:r>
      <w:r>
        <w:rPr>
          <w:color w:val="231F20"/>
          <w:spacing w:val="-2"/>
        </w:rPr>
        <w:t> </w:t>
      </w:r>
      <w:r>
        <w:rPr>
          <w:color w:val="231F20"/>
        </w:rPr>
        <w:t>before</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2019</w:t>
      </w:r>
      <w:r>
        <w:rPr>
          <w:color w:val="231F20"/>
          <w:spacing w:val="-3"/>
        </w:rPr>
        <w:t> </w:t>
      </w:r>
      <w:r>
        <w:rPr>
          <w:color w:val="231F20"/>
        </w:rPr>
        <w:t>(Tiers</w:t>
      </w:r>
      <w:r>
        <w:rPr>
          <w:color w:val="231F20"/>
          <w:spacing w:val="-4"/>
        </w:rPr>
        <w:t> </w:t>
      </w:r>
      <w:r>
        <w:rPr>
          <w:color w:val="231F20"/>
        </w:rPr>
        <w:t>1-3</w:t>
      </w:r>
      <w:r>
        <w:rPr>
          <w:color w:val="231F20"/>
          <w:spacing w:val="-3"/>
        </w:rPr>
        <w:t> </w:t>
      </w:r>
      <w:r>
        <w:rPr>
          <w:color w:val="231F20"/>
        </w:rPr>
        <w:t>members)</w:t>
      </w:r>
      <w:r>
        <w:rPr>
          <w:color w:val="231F20"/>
          <w:spacing w:val="-3"/>
        </w:rPr>
        <w:t> </w:t>
      </w:r>
      <w:r>
        <w:rPr>
          <w:color w:val="231F20"/>
        </w:rPr>
        <w:t>the</w:t>
      </w:r>
      <w:r>
        <w:rPr>
          <w:color w:val="231F20"/>
          <w:spacing w:val="-3"/>
        </w:rPr>
        <w:t> </w:t>
      </w:r>
      <w:r>
        <w:rPr>
          <w:color w:val="231F20"/>
        </w:rPr>
        <w:t>multiplier</w:t>
      </w:r>
      <w:r>
        <w:rPr>
          <w:color w:val="231F20"/>
          <w:spacing w:val="-3"/>
        </w:rPr>
        <w:t> </w:t>
      </w:r>
      <w:r>
        <w:rPr>
          <w:color w:val="231F20"/>
        </w:rPr>
        <w:t>is</w:t>
      </w:r>
      <w:r>
        <w:rPr>
          <w:color w:val="231F20"/>
          <w:spacing w:val="-3"/>
        </w:rPr>
        <w:t> </w:t>
      </w:r>
      <w:r>
        <w:rPr>
          <w:color w:val="231F20"/>
        </w:rPr>
        <w:t>2.35%.</w:t>
      </w:r>
      <w:r>
        <w:rPr>
          <w:color w:val="231F20"/>
          <w:spacing w:val="-3"/>
        </w:rPr>
        <w:t> </w:t>
      </w:r>
      <w:r>
        <w:rPr>
          <w:color w:val="231F20"/>
        </w:rPr>
        <w:t>For</w:t>
      </w:r>
      <w:r>
        <w:rPr>
          <w:color w:val="231F20"/>
          <w:spacing w:val="-3"/>
        </w:rPr>
        <w:t> </w:t>
      </w:r>
      <w:r>
        <w:rPr>
          <w:color w:val="231F20"/>
        </w:rPr>
        <w:t>members hired after June 30, 2019 the multiplier accrues as follows:</w:t>
      </w:r>
    </w:p>
    <w:p>
      <w:pPr>
        <w:pStyle w:val="BodyText"/>
        <w:spacing w:before="7"/>
        <w:rPr>
          <w:sz w:val="24"/>
        </w:rPr>
      </w:pPr>
    </w:p>
    <w:tbl>
      <w:tblPr>
        <w:tblW w:w="0" w:type="auto"/>
        <w:jc w:val="left"/>
        <w:tblInd w:w="3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2"/>
        <w:gridCol w:w="2664"/>
      </w:tblGrid>
      <w:tr>
        <w:trPr>
          <w:trHeight w:val="280" w:hRule="atLeast"/>
        </w:trPr>
        <w:tc>
          <w:tcPr>
            <w:tcW w:w="1722" w:type="dxa"/>
          </w:tcPr>
          <w:p>
            <w:pPr>
              <w:pStyle w:val="TableParagraph"/>
              <w:spacing w:line="217" w:lineRule="exact"/>
              <w:ind w:right="104"/>
              <w:jc w:val="center"/>
              <w:rPr>
                <w:sz w:val="19"/>
              </w:rPr>
            </w:pPr>
            <w:r>
              <w:rPr>
                <w:color w:val="231F20"/>
                <w:spacing w:val="-17"/>
                <w:w w:val="105"/>
                <w:sz w:val="19"/>
                <w:u w:val="single" w:color="231F20"/>
              </w:rPr>
              <w:t> </w:t>
            </w:r>
            <w:r>
              <w:rPr>
                <w:color w:val="231F20"/>
                <w:w w:val="105"/>
                <w:sz w:val="19"/>
                <w:u w:val="single" w:color="231F20"/>
              </w:rPr>
              <w:t>Years</w:t>
            </w:r>
            <w:r>
              <w:rPr>
                <w:color w:val="231F20"/>
                <w:spacing w:val="2"/>
                <w:w w:val="105"/>
                <w:sz w:val="19"/>
                <w:u w:val="single" w:color="231F20"/>
              </w:rPr>
              <w:t> </w:t>
            </w:r>
            <w:r>
              <w:rPr>
                <w:color w:val="231F20"/>
                <w:w w:val="105"/>
                <w:sz w:val="19"/>
                <w:u w:val="single" w:color="231F20"/>
              </w:rPr>
              <w:t>of</w:t>
            </w:r>
            <w:r>
              <w:rPr>
                <w:color w:val="231F20"/>
                <w:spacing w:val="1"/>
                <w:w w:val="105"/>
                <w:sz w:val="19"/>
                <w:u w:val="single" w:color="231F20"/>
              </w:rPr>
              <w:t> </w:t>
            </w:r>
            <w:r>
              <w:rPr>
                <w:color w:val="231F20"/>
                <w:spacing w:val="-2"/>
                <w:w w:val="105"/>
                <w:sz w:val="19"/>
                <w:u w:val="single" w:color="231F20"/>
              </w:rPr>
              <w:t>Service</w:t>
            </w:r>
          </w:p>
        </w:tc>
        <w:tc>
          <w:tcPr>
            <w:tcW w:w="2664" w:type="dxa"/>
          </w:tcPr>
          <w:p>
            <w:pPr>
              <w:pStyle w:val="TableParagraph"/>
              <w:spacing w:line="217" w:lineRule="exact"/>
              <w:ind w:left="104"/>
              <w:jc w:val="center"/>
              <w:rPr>
                <w:sz w:val="19"/>
              </w:rPr>
            </w:pPr>
            <w:r>
              <w:rPr>
                <w:color w:val="231F20"/>
                <w:spacing w:val="-15"/>
                <w:w w:val="105"/>
                <w:sz w:val="19"/>
                <w:u w:val="single" w:color="231F20"/>
              </w:rPr>
              <w:t> </w:t>
            </w:r>
            <w:r>
              <w:rPr>
                <w:color w:val="231F20"/>
                <w:w w:val="105"/>
                <w:sz w:val="19"/>
                <w:u w:val="single" w:color="231F20"/>
              </w:rPr>
              <w:t>Benefit</w:t>
            </w:r>
            <w:r>
              <w:rPr>
                <w:color w:val="231F20"/>
                <w:spacing w:val="2"/>
                <w:w w:val="105"/>
                <w:sz w:val="19"/>
                <w:u w:val="single" w:color="231F20"/>
              </w:rPr>
              <w:t> </w:t>
            </w:r>
            <w:r>
              <w:rPr>
                <w:color w:val="231F20"/>
                <w:w w:val="105"/>
                <w:sz w:val="19"/>
                <w:u w:val="single" w:color="231F20"/>
              </w:rPr>
              <w:t>Percentage</w:t>
            </w:r>
            <w:r>
              <w:rPr>
                <w:color w:val="231F20"/>
                <w:spacing w:val="1"/>
                <w:w w:val="105"/>
                <w:sz w:val="19"/>
                <w:u w:val="single" w:color="231F20"/>
              </w:rPr>
              <w:t> </w:t>
            </w:r>
            <w:r>
              <w:rPr>
                <w:color w:val="231F20"/>
                <w:spacing w:val="-2"/>
                <w:w w:val="105"/>
                <w:sz w:val="19"/>
                <w:u w:val="single" w:color="231F20"/>
              </w:rPr>
              <w:t>Earned</w:t>
            </w:r>
          </w:p>
        </w:tc>
      </w:tr>
      <w:tr>
        <w:trPr>
          <w:trHeight w:val="292" w:hRule="atLeast"/>
        </w:trPr>
        <w:tc>
          <w:tcPr>
            <w:tcW w:w="1722" w:type="dxa"/>
          </w:tcPr>
          <w:p>
            <w:pPr>
              <w:pStyle w:val="TableParagraph"/>
              <w:spacing w:line="212" w:lineRule="exact" w:before="61"/>
              <w:ind w:right="64"/>
              <w:jc w:val="center"/>
              <w:rPr>
                <w:sz w:val="19"/>
              </w:rPr>
            </w:pPr>
            <w:r>
              <w:rPr>
                <w:color w:val="231F20"/>
                <w:w w:val="105"/>
                <w:sz w:val="19"/>
              </w:rPr>
              <w:t>1-</w:t>
            </w:r>
            <w:r>
              <w:rPr>
                <w:color w:val="231F20"/>
                <w:spacing w:val="-5"/>
                <w:w w:val="105"/>
                <w:sz w:val="19"/>
              </w:rPr>
              <w:t>10</w:t>
            </w:r>
          </w:p>
        </w:tc>
        <w:tc>
          <w:tcPr>
            <w:tcW w:w="2664" w:type="dxa"/>
          </w:tcPr>
          <w:p>
            <w:pPr>
              <w:pStyle w:val="TableParagraph"/>
              <w:spacing w:line="212" w:lineRule="exact" w:before="61"/>
              <w:ind w:left="139"/>
              <w:jc w:val="center"/>
              <w:rPr>
                <w:sz w:val="19"/>
              </w:rPr>
            </w:pPr>
            <w:r>
              <w:rPr>
                <w:color w:val="231F20"/>
                <w:spacing w:val="-4"/>
                <w:w w:val="105"/>
                <w:sz w:val="19"/>
              </w:rPr>
              <w:t>1.35%</w:t>
            </w:r>
          </w:p>
        </w:tc>
      </w:tr>
      <w:tr>
        <w:trPr>
          <w:trHeight w:val="242" w:hRule="atLeast"/>
        </w:trPr>
        <w:tc>
          <w:tcPr>
            <w:tcW w:w="1722" w:type="dxa"/>
          </w:tcPr>
          <w:p>
            <w:pPr>
              <w:pStyle w:val="TableParagraph"/>
              <w:spacing w:line="212" w:lineRule="exact" w:before="10"/>
              <w:ind w:right="66"/>
              <w:jc w:val="center"/>
              <w:rPr>
                <w:sz w:val="19"/>
              </w:rPr>
            </w:pPr>
            <w:r>
              <w:rPr>
                <w:color w:val="231F20"/>
                <w:w w:val="105"/>
                <w:sz w:val="19"/>
              </w:rPr>
              <w:t>11-</w:t>
            </w:r>
            <w:r>
              <w:rPr>
                <w:color w:val="231F20"/>
                <w:spacing w:val="-5"/>
                <w:w w:val="105"/>
                <w:sz w:val="19"/>
              </w:rPr>
              <w:t>20</w:t>
            </w:r>
          </w:p>
        </w:tc>
        <w:tc>
          <w:tcPr>
            <w:tcW w:w="2664" w:type="dxa"/>
          </w:tcPr>
          <w:p>
            <w:pPr>
              <w:pStyle w:val="TableParagraph"/>
              <w:spacing w:line="212" w:lineRule="exact" w:before="10"/>
              <w:ind w:left="139"/>
              <w:jc w:val="center"/>
              <w:rPr>
                <w:sz w:val="19"/>
              </w:rPr>
            </w:pPr>
            <w:r>
              <w:rPr>
                <w:color w:val="231F20"/>
                <w:spacing w:val="-4"/>
                <w:w w:val="105"/>
                <w:sz w:val="19"/>
              </w:rPr>
              <w:t>2.35%</w:t>
            </w:r>
          </w:p>
        </w:tc>
      </w:tr>
      <w:tr>
        <w:trPr>
          <w:trHeight w:val="242" w:hRule="atLeast"/>
        </w:trPr>
        <w:tc>
          <w:tcPr>
            <w:tcW w:w="1722" w:type="dxa"/>
          </w:tcPr>
          <w:p>
            <w:pPr>
              <w:pStyle w:val="TableParagraph"/>
              <w:spacing w:line="212" w:lineRule="exact" w:before="10"/>
              <w:ind w:right="66"/>
              <w:jc w:val="center"/>
              <w:rPr>
                <w:sz w:val="19"/>
              </w:rPr>
            </w:pPr>
            <w:r>
              <w:rPr>
                <w:color w:val="231F20"/>
                <w:w w:val="105"/>
                <w:sz w:val="19"/>
              </w:rPr>
              <w:t>21-</w:t>
            </w:r>
            <w:r>
              <w:rPr>
                <w:color w:val="231F20"/>
                <w:spacing w:val="-5"/>
                <w:w w:val="105"/>
                <w:sz w:val="19"/>
              </w:rPr>
              <w:t>30</w:t>
            </w:r>
          </w:p>
        </w:tc>
        <w:tc>
          <w:tcPr>
            <w:tcW w:w="2664" w:type="dxa"/>
          </w:tcPr>
          <w:p>
            <w:pPr>
              <w:pStyle w:val="TableParagraph"/>
              <w:spacing w:line="212" w:lineRule="exact" w:before="10"/>
              <w:ind w:left="139"/>
              <w:jc w:val="center"/>
              <w:rPr>
                <w:sz w:val="19"/>
              </w:rPr>
            </w:pPr>
            <w:r>
              <w:rPr>
                <w:color w:val="231F20"/>
                <w:spacing w:val="-4"/>
                <w:w w:val="105"/>
                <w:sz w:val="19"/>
              </w:rPr>
              <w:t>3.35%</w:t>
            </w:r>
          </w:p>
        </w:tc>
      </w:tr>
      <w:tr>
        <w:trPr>
          <w:trHeight w:val="230" w:hRule="atLeast"/>
        </w:trPr>
        <w:tc>
          <w:tcPr>
            <w:tcW w:w="1722" w:type="dxa"/>
          </w:tcPr>
          <w:p>
            <w:pPr>
              <w:pStyle w:val="TableParagraph"/>
              <w:spacing w:line="200" w:lineRule="exact" w:before="11"/>
              <w:ind w:right="67"/>
              <w:jc w:val="center"/>
              <w:rPr>
                <w:sz w:val="19"/>
              </w:rPr>
            </w:pPr>
            <w:r>
              <w:rPr>
                <w:color w:val="231F20"/>
                <w:w w:val="105"/>
                <w:sz w:val="19"/>
              </w:rPr>
              <w:t>31</w:t>
            </w:r>
            <w:r>
              <w:rPr>
                <w:color w:val="231F20"/>
                <w:spacing w:val="1"/>
                <w:w w:val="105"/>
                <w:sz w:val="19"/>
              </w:rPr>
              <w:t> </w:t>
            </w:r>
            <w:r>
              <w:rPr>
                <w:color w:val="231F20"/>
                <w:spacing w:val="-4"/>
                <w:w w:val="105"/>
                <w:sz w:val="19"/>
              </w:rPr>
              <w:t>Plus</w:t>
            </w:r>
          </w:p>
        </w:tc>
        <w:tc>
          <w:tcPr>
            <w:tcW w:w="2664" w:type="dxa"/>
          </w:tcPr>
          <w:p>
            <w:pPr>
              <w:pStyle w:val="TableParagraph"/>
              <w:spacing w:line="200" w:lineRule="exact" w:before="11"/>
              <w:ind w:left="138"/>
              <w:jc w:val="center"/>
              <w:rPr>
                <w:sz w:val="19"/>
              </w:rPr>
            </w:pPr>
            <w:r>
              <w:rPr>
                <w:color w:val="231F20"/>
                <w:spacing w:val="-4"/>
                <w:w w:val="105"/>
                <w:sz w:val="19"/>
              </w:rPr>
              <w:t>2.40%</w:t>
            </w:r>
          </w:p>
        </w:tc>
      </w:tr>
    </w:tbl>
    <w:p>
      <w:pPr>
        <w:pStyle w:val="BodyText"/>
        <w:spacing w:before="8"/>
        <w:rPr>
          <w:sz w:val="28"/>
        </w:rPr>
      </w:pPr>
    </w:p>
    <w:p>
      <w:pPr>
        <w:pStyle w:val="BodyText"/>
        <w:spacing w:line="276" w:lineRule="auto"/>
        <w:ind w:left="1440" w:right="1048"/>
      </w:pPr>
      <w:r>
        <w:rPr>
          <w:color w:val="231F20"/>
        </w:rPr>
        <w:t>The</w:t>
      </w:r>
      <w:r>
        <w:rPr>
          <w:color w:val="231F20"/>
          <w:spacing w:val="-3"/>
        </w:rPr>
        <w:t> </w:t>
      </w:r>
      <w:r>
        <w:rPr>
          <w:color w:val="231F20"/>
        </w:rPr>
        <w:t>FAS</w:t>
      </w:r>
      <w:r>
        <w:rPr>
          <w:color w:val="231F20"/>
          <w:spacing w:val="-3"/>
        </w:rPr>
        <w:t> </w:t>
      </w:r>
      <w:r>
        <w:rPr>
          <w:color w:val="231F20"/>
        </w:rPr>
        <w:t>is</w:t>
      </w:r>
      <w:r>
        <w:rPr>
          <w:color w:val="231F20"/>
          <w:spacing w:val="-3"/>
        </w:rPr>
        <w:t> </w:t>
      </w:r>
      <w:r>
        <w:rPr>
          <w:color w:val="231F20"/>
        </w:rPr>
        <w:t>the</w:t>
      </w:r>
      <w:r>
        <w:rPr>
          <w:color w:val="231F20"/>
          <w:spacing w:val="-3"/>
        </w:rPr>
        <w:t> </w:t>
      </w:r>
      <w:r>
        <w:rPr>
          <w:color w:val="231F20"/>
        </w:rPr>
        <w:t>average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member’s</w:t>
      </w:r>
      <w:r>
        <w:rPr>
          <w:color w:val="231F20"/>
          <w:spacing w:val="-2"/>
        </w:rPr>
        <w:t> </w:t>
      </w:r>
      <w:r>
        <w:rPr>
          <w:color w:val="231F20"/>
        </w:rPr>
        <w:t>fiscal</w:t>
      </w:r>
      <w:r>
        <w:rPr>
          <w:color w:val="231F20"/>
          <w:spacing w:val="-3"/>
        </w:rPr>
        <w:t> </w:t>
      </w:r>
      <w:r>
        <w:rPr>
          <w:color w:val="231F20"/>
        </w:rPr>
        <w:t>annual</w:t>
      </w:r>
      <w:r>
        <w:rPr>
          <w:color w:val="231F20"/>
          <w:spacing w:val="-3"/>
        </w:rPr>
        <w:t> </w:t>
      </w:r>
      <w:r>
        <w:rPr>
          <w:color w:val="231F20"/>
        </w:rPr>
        <w:t>earnings</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last</w:t>
      </w:r>
      <w:r>
        <w:rPr>
          <w:color w:val="231F20"/>
          <w:spacing w:val="-3"/>
        </w:rPr>
        <w:t> </w:t>
      </w:r>
      <w:r>
        <w:rPr>
          <w:color w:val="231F20"/>
        </w:rPr>
        <w:t>20</w:t>
      </w:r>
      <w:r>
        <w:rPr>
          <w:color w:val="231F20"/>
          <w:spacing w:val="-4"/>
        </w:rPr>
        <w:t> </w:t>
      </w:r>
      <w:r>
        <w:rPr>
          <w:color w:val="231F20"/>
        </w:rPr>
        <w:t>calendar</w:t>
      </w:r>
      <w:r>
        <w:rPr>
          <w:color w:val="231F20"/>
          <w:spacing w:val="-3"/>
        </w:rPr>
        <w:t> </w:t>
      </w:r>
      <w:r>
        <w:rPr>
          <w:color w:val="231F20"/>
        </w:rPr>
        <w:t>service</w:t>
      </w:r>
      <w:r>
        <w:rPr>
          <w:color w:val="231F20"/>
          <w:spacing w:val="-4"/>
        </w:rPr>
        <w:t> </w:t>
      </w:r>
      <w:r>
        <w:rPr>
          <w:color w:val="231F20"/>
        </w:rPr>
        <w:t>quarters (60 months) prior to retirement or the highest average fiscal annual earnings for any 20 consecutive calendar quarters.</w:t>
      </w:r>
    </w:p>
    <w:p>
      <w:pPr>
        <w:pStyle w:val="BodyText"/>
        <w:spacing w:before="10"/>
        <w:rPr>
          <w:sz w:val="22"/>
        </w:rPr>
      </w:pPr>
    </w:p>
    <w:p>
      <w:pPr>
        <w:pStyle w:val="Heading4"/>
        <w:spacing w:line="552" w:lineRule="auto"/>
        <w:ind w:right="4284"/>
      </w:pPr>
      <w:r>
        <w:rPr>
          <w:color w:val="231F20"/>
        </w:rPr>
        <w:t>Summary</w:t>
      </w:r>
      <w:r>
        <w:rPr>
          <w:color w:val="231F20"/>
          <w:spacing w:val="-5"/>
        </w:rPr>
        <w:t> </w:t>
      </w:r>
      <w:r>
        <w:rPr>
          <w:color w:val="231F20"/>
        </w:rPr>
        <w:t>of</w:t>
      </w:r>
      <w:r>
        <w:rPr>
          <w:color w:val="231F20"/>
          <w:spacing w:val="-6"/>
        </w:rPr>
        <w:t> </w:t>
      </w:r>
      <w:r>
        <w:rPr>
          <w:color w:val="231F20"/>
        </w:rPr>
        <w:t>Plan</w:t>
      </w:r>
      <w:r>
        <w:rPr>
          <w:color w:val="231F20"/>
          <w:spacing w:val="-5"/>
        </w:rPr>
        <w:t> </w:t>
      </w:r>
      <w:r>
        <w:rPr>
          <w:color w:val="231F20"/>
        </w:rPr>
        <w:t>Provisions</w:t>
      </w:r>
      <w:r>
        <w:rPr>
          <w:color w:val="231F20"/>
          <w:spacing w:val="-5"/>
        </w:rPr>
        <w:t> </w:t>
      </w:r>
      <w:r>
        <w:rPr>
          <w:color w:val="231F20"/>
        </w:rPr>
        <w:t>for</w:t>
      </w:r>
      <w:r>
        <w:rPr>
          <w:color w:val="231F20"/>
          <w:spacing w:val="-5"/>
        </w:rPr>
        <w:t> </w:t>
      </w:r>
      <w:r>
        <w:rPr>
          <w:color w:val="231F20"/>
        </w:rPr>
        <w:t>Retirement</w:t>
      </w:r>
      <w:r>
        <w:rPr>
          <w:color w:val="231F20"/>
          <w:spacing w:val="-5"/>
        </w:rPr>
        <w:t> </w:t>
      </w:r>
      <w:r>
        <w:rPr>
          <w:color w:val="231F20"/>
        </w:rPr>
        <w:t>Eligibility</w:t>
      </w:r>
      <w:r>
        <w:rPr>
          <w:color w:val="231F20"/>
          <w:spacing w:val="-5"/>
        </w:rPr>
        <w:t> </w:t>
      </w:r>
      <w:r>
        <w:rPr>
          <w:color w:val="231F20"/>
        </w:rPr>
        <w:t>by</w:t>
      </w:r>
      <w:r>
        <w:rPr>
          <w:color w:val="231F20"/>
          <w:spacing w:val="-5"/>
        </w:rPr>
        <w:t> </w:t>
      </w:r>
      <w:r>
        <w:rPr>
          <w:color w:val="231F20"/>
        </w:rPr>
        <w:t>Tier Tier 1: Membership prior to July 1, 2020</w:t>
      </w:r>
    </w:p>
    <w:p>
      <w:pPr>
        <w:pStyle w:val="BodyText"/>
        <w:spacing w:line="276" w:lineRule="auto" w:before="1"/>
        <w:ind w:left="1440" w:right="1048"/>
      </w:pPr>
      <w:r>
        <w:rPr>
          <w:color w:val="231F20"/>
        </w:rPr>
        <w:t>For</w:t>
      </w:r>
      <w:r>
        <w:rPr>
          <w:color w:val="231F20"/>
          <w:spacing w:val="-3"/>
        </w:rPr>
        <w:t> </w:t>
      </w:r>
      <w:r>
        <w:rPr>
          <w:color w:val="231F20"/>
        </w:rPr>
        <w:t>members</w:t>
      </w:r>
      <w:r>
        <w:rPr>
          <w:color w:val="231F20"/>
          <w:spacing w:val="-3"/>
        </w:rPr>
        <w:t> </w:t>
      </w:r>
      <w:r>
        <w:rPr>
          <w:color w:val="231F20"/>
        </w:rPr>
        <w:t>employed</w:t>
      </w:r>
      <w:r>
        <w:rPr>
          <w:color w:val="231F20"/>
          <w:spacing w:val="-3"/>
        </w:rPr>
        <w:t> </w:t>
      </w:r>
      <w:r>
        <w:rPr>
          <w:color w:val="231F20"/>
        </w:rPr>
        <w:t>before</w:t>
      </w:r>
      <w:r>
        <w:rPr>
          <w:color w:val="231F20"/>
          <w:spacing w:val="-3"/>
        </w:rPr>
        <w:t> </w:t>
      </w:r>
      <w:r>
        <w:rPr>
          <w:color w:val="231F20"/>
        </w:rPr>
        <w:t>July</w:t>
      </w:r>
      <w:r>
        <w:rPr>
          <w:color w:val="231F20"/>
          <w:spacing w:val="-2"/>
        </w:rPr>
        <w:t> </w:t>
      </w:r>
      <w:r>
        <w:rPr>
          <w:color w:val="231F20"/>
        </w:rPr>
        <w:t>1,</w:t>
      </w:r>
      <w:r>
        <w:rPr>
          <w:color w:val="231F20"/>
          <w:spacing w:val="-3"/>
        </w:rPr>
        <w:t> </w:t>
      </w:r>
      <w:r>
        <w:rPr>
          <w:color w:val="231F20"/>
        </w:rPr>
        <w:t>2010,</w:t>
      </w:r>
      <w:r>
        <w:rPr>
          <w:color w:val="231F20"/>
          <w:spacing w:val="-3"/>
        </w:rPr>
        <w:t> </w:t>
      </w:r>
      <w:r>
        <w:rPr>
          <w:color w:val="231F20"/>
        </w:rPr>
        <w:t>a</w:t>
      </w:r>
      <w:r>
        <w:rPr>
          <w:color w:val="231F20"/>
          <w:spacing w:val="-3"/>
        </w:rPr>
        <w:t> </w:t>
      </w:r>
      <w:r>
        <w:rPr>
          <w:color w:val="231F20"/>
        </w:rPr>
        <w:t>member</w:t>
      </w:r>
      <w:r>
        <w:rPr>
          <w:color w:val="231F20"/>
          <w:spacing w:val="-3"/>
        </w:rPr>
        <w:t> </w:t>
      </w:r>
      <w:r>
        <w:rPr>
          <w:color w:val="231F20"/>
        </w:rPr>
        <w:t>is</w:t>
      </w:r>
      <w:r>
        <w:rPr>
          <w:color w:val="231F20"/>
          <w:spacing w:val="-3"/>
        </w:rPr>
        <w:t> </w:t>
      </w:r>
      <w:r>
        <w:rPr>
          <w:color w:val="231F20"/>
        </w:rPr>
        <w:t>eligible</w:t>
      </w:r>
      <w:r>
        <w:rPr>
          <w:color w:val="231F20"/>
          <w:spacing w:val="-3"/>
        </w:rPr>
        <w:t> </w:t>
      </w:r>
      <w:r>
        <w:rPr>
          <w:color w:val="231F20"/>
        </w:rPr>
        <w:t>to</w:t>
      </w:r>
      <w:r>
        <w:rPr>
          <w:color w:val="231F20"/>
          <w:spacing w:val="-3"/>
        </w:rPr>
        <w:t> </w:t>
      </w:r>
      <w:r>
        <w:rPr>
          <w:color w:val="231F20"/>
        </w:rPr>
        <w:t>retire</w:t>
      </w:r>
      <w:r>
        <w:rPr>
          <w:color w:val="231F20"/>
          <w:spacing w:val="-4"/>
        </w:rPr>
        <w:t> </w:t>
      </w:r>
      <w:r>
        <w:rPr>
          <w:color w:val="231F20"/>
        </w:rPr>
        <w:t>when</w:t>
      </w:r>
      <w:r>
        <w:rPr>
          <w:color w:val="231F20"/>
          <w:spacing w:val="-3"/>
        </w:rPr>
        <w:t> </w:t>
      </w:r>
      <w:r>
        <w:rPr>
          <w:color w:val="231F20"/>
        </w:rPr>
        <w:t>one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following events occurs:</w:t>
      </w:r>
    </w:p>
    <w:p>
      <w:pPr>
        <w:pStyle w:val="BodyText"/>
        <w:rPr>
          <w:sz w:val="23"/>
        </w:rPr>
      </w:pPr>
    </w:p>
    <w:p>
      <w:pPr>
        <w:pStyle w:val="ListParagraph"/>
        <w:numPr>
          <w:ilvl w:val="0"/>
          <w:numId w:val="10"/>
        </w:numPr>
        <w:tabs>
          <w:tab w:pos="2159" w:val="left" w:leader="none"/>
          <w:tab w:pos="2161" w:val="left" w:leader="none"/>
        </w:tabs>
        <w:spacing w:line="240" w:lineRule="auto" w:before="0" w:after="0"/>
        <w:ind w:left="2160" w:right="0" w:hanging="361"/>
        <w:jc w:val="left"/>
        <w:rPr>
          <w:sz w:val="20"/>
        </w:rPr>
      </w:pPr>
      <w:r>
        <w:rPr>
          <w:color w:val="231F20"/>
          <w:sz w:val="20"/>
        </w:rPr>
        <w:t>The</w:t>
      </w:r>
      <w:r>
        <w:rPr>
          <w:color w:val="231F20"/>
          <w:spacing w:val="-6"/>
          <w:sz w:val="20"/>
        </w:rPr>
        <w:t> </w:t>
      </w:r>
      <w:r>
        <w:rPr>
          <w:color w:val="231F20"/>
          <w:sz w:val="20"/>
        </w:rPr>
        <w:t>member’s</w:t>
      </w:r>
      <w:r>
        <w:rPr>
          <w:color w:val="231F20"/>
          <w:spacing w:val="-3"/>
          <w:sz w:val="20"/>
        </w:rPr>
        <w:t> </w:t>
      </w:r>
      <w:r>
        <w:rPr>
          <w:color w:val="231F20"/>
          <w:sz w:val="20"/>
        </w:rPr>
        <w:t>age</w:t>
      </w:r>
      <w:r>
        <w:rPr>
          <w:color w:val="231F20"/>
          <w:spacing w:val="-4"/>
          <w:sz w:val="20"/>
        </w:rPr>
        <w:t> </w:t>
      </w:r>
      <w:r>
        <w:rPr>
          <w:color w:val="231F20"/>
          <w:sz w:val="20"/>
        </w:rPr>
        <w:t>and</w:t>
      </w:r>
      <w:r>
        <w:rPr>
          <w:color w:val="231F20"/>
          <w:spacing w:val="-3"/>
          <w:sz w:val="20"/>
        </w:rPr>
        <w:t> </w:t>
      </w:r>
      <w:r>
        <w:rPr>
          <w:color w:val="231F20"/>
          <w:sz w:val="20"/>
        </w:rPr>
        <w:t>earned</w:t>
      </w:r>
      <w:r>
        <w:rPr>
          <w:color w:val="231F20"/>
          <w:spacing w:val="-4"/>
          <w:sz w:val="20"/>
        </w:rPr>
        <w:t> </w:t>
      </w:r>
      <w:r>
        <w:rPr>
          <w:color w:val="231F20"/>
          <w:sz w:val="20"/>
        </w:rPr>
        <w:t>service</w:t>
      </w:r>
      <w:r>
        <w:rPr>
          <w:color w:val="231F20"/>
          <w:spacing w:val="-4"/>
          <w:sz w:val="20"/>
        </w:rPr>
        <w:t> </w:t>
      </w:r>
      <w:r>
        <w:rPr>
          <w:color w:val="231F20"/>
          <w:sz w:val="20"/>
        </w:rPr>
        <w:t>credit</w:t>
      </w:r>
      <w:r>
        <w:rPr>
          <w:color w:val="231F20"/>
          <w:spacing w:val="-3"/>
          <w:sz w:val="20"/>
        </w:rPr>
        <w:t> </w:t>
      </w:r>
      <w:r>
        <w:rPr>
          <w:color w:val="231F20"/>
          <w:sz w:val="20"/>
        </w:rPr>
        <w:t>add</w:t>
      </w:r>
      <w:r>
        <w:rPr>
          <w:color w:val="231F20"/>
          <w:spacing w:val="-4"/>
          <w:sz w:val="20"/>
        </w:rPr>
        <w:t> </w:t>
      </w:r>
      <w:r>
        <w:rPr>
          <w:color w:val="231F20"/>
          <w:sz w:val="20"/>
        </w:rPr>
        <w:t>up</w:t>
      </w:r>
      <w:r>
        <w:rPr>
          <w:color w:val="231F20"/>
          <w:spacing w:val="-4"/>
          <w:sz w:val="20"/>
        </w:rPr>
        <w:t> </w:t>
      </w:r>
      <w:r>
        <w:rPr>
          <w:color w:val="231F20"/>
          <w:sz w:val="20"/>
        </w:rPr>
        <w:t>to</w:t>
      </w:r>
      <w:r>
        <w:rPr>
          <w:color w:val="231F20"/>
          <w:spacing w:val="-3"/>
          <w:sz w:val="20"/>
        </w:rPr>
        <w:t> </w:t>
      </w:r>
      <w:r>
        <w:rPr>
          <w:color w:val="231F20"/>
          <w:sz w:val="20"/>
        </w:rPr>
        <w:t>the</w:t>
      </w:r>
      <w:r>
        <w:rPr>
          <w:color w:val="231F20"/>
          <w:spacing w:val="-4"/>
          <w:sz w:val="20"/>
        </w:rPr>
        <w:t> </w:t>
      </w:r>
      <w:r>
        <w:rPr>
          <w:color w:val="231F20"/>
          <w:sz w:val="20"/>
        </w:rPr>
        <w:t>sum</w:t>
      </w:r>
      <w:r>
        <w:rPr>
          <w:color w:val="231F20"/>
          <w:spacing w:val="-4"/>
          <w:sz w:val="20"/>
        </w:rPr>
        <w:t> </w:t>
      </w:r>
      <w:r>
        <w:rPr>
          <w:color w:val="231F20"/>
          <w:sz w:val="20"/>
        </w:rPr>
        <w:t>of</w:t>
      </w:r>
      <w:r>
        <w:rPr>
          <w:color w:val="231F20"/>
          <w:spacing w:val="-4"/>
          <w:sz w:val="20"/>
        </w:rPr>
        <w:t> </w:t>
      </w:r>
      <w:r>
        <w:rPr>
          <w:color w:val="231F20"/>
          <w:sz w:val="20"/>
        </w:rPr>
        <w:t>75</w:t>
      </w:r>
      <w:r>
        <w:rPr>
          <w:color w:val="231F20"/>
          <w:spacing w:val="-4"/>
          <w:sz w:val="20"/>
        </w:rPr>
        <w:t> </w:t>
      </w:r>
      <w:r>
        <w:rPr>
          <w:color w:val="231F20"/>
          <w:sz w:val="20"/>
        </w:rPr>
        <w:t>or</w:t>
      </w:r>
      <w:r>
        <w:rPr>
          <w:color w:val="231F20"/>
          <w:spacing w:val="-3"/>
          <w:sz w:val="20"/>
        </w:rPr>
        <w:t> </w:t>
      </w:r>
      <w:r>
        <w:rPr>
          <w:color w:val="231F20"/>
          <w:spacing w:val="-2"/>
          <w:sz w:val="20"/>
        </w:rPr>
        <w:t>more,</w:t>
      </w:r>
    </w:p>
    <w:p>
      <w:pPr>
        <w:pStyle w:val="ListParagraph"/>
        <w:numPr>
          <w:ilvl w:val="0"/>
          <w:numId w:val="10"/>
        </w:numPr>
        <w:tabs>
          <w:tab w:pos="2159" w:val="left" w:leader="none"/>
          <w:tab w:pos="2161" w:val="left" w:leader="none"/>
        </w:tabs>
        <w:spacing w:line="240" w:lineRule="auto" w:before="33" w:after="0"/>
        <w:ind w:left="2160" w:right="0" w:hanging="361"/>
        <w:jc w:val="left"/>
        <w:rPr>
          <w:sz w:val="20"/>
        </w:rPr>
      </w:pPr>
      <w:r>
        <w:rPr>
          <w:color w:val="231F20"/>
          <w:sz w:val="20"/>
        </w:rPr>
        <w:t>The</w:t>
      </w:r>
      <w:r>
        <w:rPr>
          <w:color w:val="231F20"/>
          <w:spacing w:val="-5"/>
          <w:sz w:val="20"/>
        </w:rPr>
        <w:t> </w:t>
      </w:r>
      <w:r>
        <w:rPr>
          <w:color w:val="231F20"/>
          <w:sz w:val="20"/>
        </w:rPr>
        <w:t>member</w:t>
      </w:r>
      <w:r>
        <w:rPr>
          <w:color w:val="231F20"/>
          <w:spacing w:val="-4"/>
          <w:sz w:val="20"/>
        </w:rPr>
        <w:t> </w:t>
      </w:r>
      <w:r>
        <w:rPr>
          <w:color w:val="231F20"/>
          <w:sz w:val="20"/>
        </w:rPr>
        <w:t>is</w:t>
      </w:r>
      <w:r>
        <w:rPr>
          <w:color w:val="231F20"/>
          <w:spacing w:val="-3"/>
          <w:sz w:val="20"/>
        </w:rPr>
        <w:t> </w:t>
      </w:r>
      <w:r>
        <w:rPr>
          <w:color w:val="231F20"/>
          <w:sz w:val="20"/>
        </w:rPr>
        <w:t>at</w:t>
      </w:r>
      <w:r>
        <w:rPr>
          <w:color w:val="231F20"/>
          <w:spacing w:val="-3"/>
          <w:sz w:val="20"/>
        </w:rPr>
        <w:t> </w:t>
      </w:r>
      <w:r>
        <w:rPr>
          <w:color w:val="231F20"/>
          <w:sz w:val="20"/>
        </w:rPr>
        <w:t>least</w:t>
      </w:r>
      <w:r>
        <w:rPr>
          <w:color w:val="231F20"/>
          <w:spacing w:val="-2"/>
          <w:sz w:val="20"/>
        </w:rPr>
        <w:t> </w:t>
      </w:r>
      <w:r>
        <w:rPr>
          <w:color w:val="231F20"/>
          <w:sz w:val="20"/>
        </w:rPr>
        <w:t>65</w:t>
      </w:r>
      <w:r>
        <w:rPr>
          <w:color w:val="231F20"/>
          <w:spacing w:val="-4"/>
          <w:sz w:val="20"/>
        </w:rPr>
        <w:t> </w:t>
      </w:r>
      <w:r>
        <w:rPr>
          <w:color w:val="231F20"/>
          <w:sz w:val="20"/>
        </w:rPr>
        <w:t>years</w:t>
      </w:r>
      <w:r>
        <w:rPr>
          <w:color w:val="231F20"/>
          <w:spacing w:val="-3"/>
          <w:sz w:val="20"/>
        </w:rPr>
        <w:t> </w:t>
      </w:r>
      <w:r>
        <w:rPr>
          <w:color w:val="231F20"/>
          <w:sz w:val="20"/>
        </w:rPr>
        <w:t>of</w:t>
      </w:r>
      <w:r>
        <w:rPr>
          <w:color w:val="231F20"/>
          <w:spacing w:val="-3"/>
          <w:sz w:val="20"/>
        </w:rPr>
        <w:t> </w:t>
      </w:r>
      <w:r>
        <w:rPr>
          <w:color w:val="231F20"/>
          <w:sz w:val="20"/>
        </w:rPr>
        <w:t>age</w:t>
      </w:r>
      <w:r>
        <w:rPr>
          <w:color w:val="231F20"/>
          <w:spacing w:val="-3"/>
          <w:sz w:val="20"/>
        </w:rPr>
        <w:t> </w:t>
      </w:r>
      <w:r>
        <w:rPr>
          <w:color w:val="231F20"/>
          <w:sz w:val="20"/>
        </w:rPr>
        <w:t>and</w:t>
      </w:r>
      <w:r>
        <w:rPr>
          <w:color w:val="231F20"/>
          <w:spacing w:val="-2"/>
          <w:sz w:val="20"/>
        </w:rPr>
        <w:t> </w:t>
      </w:r>
      <w:r>
        <w:rPr>
          <w:color w:val="231F20"/>
          <w:sz w:val="20"/>
        </w:rPr>
        <w:t>has</w:t>
      </w:r>
      <w:r>
        <w:rPr>
          <w:color w:val="231F20"/>
          <w:spacing w:val="-1"/>
          <w:sz w:val="20"/>
        </w:rPr>
        <w:t> </w:t>
      </w:r>
      <w:r>
        <w:rPr>
          <w:color w:val="231F20"/>
          <w:sz w:val="20"/>
        </w:rPr>
        <w:t>five</w:t>
      </w:r>
      <w:r>
        <w:rPr>
          <w:color w:val="231F20"/>
          <w:spacing w:val="-4"/>
          <w:sz w:val="20"/>
        </w:rPr>
        <w:t> </w:t>
      </w:r>
      <w:r>
        <w:rPr>
          <w:color w:val="231F20"/>
          <w:sz w:val="20"/>
        </w:rPr>
        <w:t>or</w:t>
      </w:r>
      <w:r>
        <w:rPr>
          <w:color w:val="231F20"/>
          <w:spacing w:val="-3"/>
          <w:sz w:val="20"/>
        </w:rPr>
        <w:t> </w:t>
      </w:r>
      <w:r>
        <w:rPr>
          <w:color w:val="231F20"/>
          <w:sz w:val="20"/>
        </w:rPr>
        <w:t>more</w:t>
      </w:r>
      <w:r>
        <w:rPr>
          <w:color w:val="231F20"/>
          <w:spacing w:val="-3"/>
          <w:sz w:val="20"/>
        </w:rPr>
        <w:t> </w:t>
      </w:r>
      <w:r>
        <w:rPr>
          <w:color w:val="231F20"/>
          <w:sz w:val="20"/>
        </w:rPr>
        <w:t>years</w:t>
      </w:r>
      <w:r>
        <w:rPr>
          <w:color w:val="231F20"/>
          <w:spacing w:val="-2"/>
          <w:sz w:val="20"/>
        </w:rPr>
        <w:t> </w:t>
      </w:r>
      <w:r>
        <w:rPr>
          <w:color w:val="231F20"/>
          <w:sz w:val="20"/>
        </w:rPr>
        <w:t>of</w:t>
      </w:r>
      <w:r>
        <w:rPr>
          <w:color w:val="231F20"/>
          <w:spacing w:val="-3"/>
          <w:sz w:val="20"/>
        </w:rPr>
        <w:t> </w:t>
      </w:r>
      <w:r>
        <w:rPr>
          <w:color w:val="231F20"/>
          <w:sz w:val="20"/>
        </w:rPr>
        <w:t>earned</w:t>
      </w:r>
      <w:r>
        <w:rPr>
          <w:color w:val="231F20"/>
          <w:spacing w:val="-3"/>
          <w:sz w:val="20"/>
        </w:rPr>
        <w:t> </w:t>
      </w:r>
      <w:r>
        <w:rPr>
          <w:color w:val="231F20"/>
          <w:sz w:val="20"/>
        </w:rPr>
        <w:t>service</w:t>
      </w:r>
      <w:r>
        <w:rPr>
          <w:color w:val="231F20"/>
          <w:spacing w:val="-4"/>
          <w:sz w:val="20"/>
        </w:rPr>
        <w:t> </w:t>
      </w:r>
      <w:r>
        <w:rPr>
          <w:color w:val="231F20"/>
          <w:sz w:val="20"/>
        </w:rPr>
        <w:t>credit,</w:t>
      </w:r>
      <w:r>
        <w:rPr>
          <w:color w:val="231F20"/>
          <w:spacing w:val="-2"/>
          <w:sz w:val="20"/>
        </w:rPr>
        <w:t> </w:t>
      </w:r>
      <w:r>
        <w:rPr>
          <w:color w:val="231F20"/>
          <w:spacing w:val="-5"/>
          <w:sz w:val="20"/>
        </w:rPr>
        <w:t>or</w:t>
      </w:r>
    </w:p>
    <w:p>
      <w:pPr>
        <w:pStyle w:val="ListParagraph"/>
        <w:numPr>
          <w:ilvl w:val="0"/>
          <w:numId w:val="10"/>
        </w:numPr>
        <w:tabs>
          <w:tab w:pos="2159" w:val="left" w:leader="none"/>
          <w:tab w:pos="2160" w:val="left" w:leader="none"/>
        </w:tabs>
        <w:spacing w:line="240" w:lineRule="auto" w:before="33" w:after="0"/>
        <w:ind w:left="2159" w:right="0" w:hanging="361"/>
        <w:jc w:val="left"/>
        <w:rPr>
          <w:sz w:val="20"/>
        </w:rPr>
      </w:pPr>
      <w:r>
        <w:rPr>
          <w:color w:val="231F20"/>
          <w:sz w:val="20"/>
        </w:rPr>
        <w:t>The</w:t>
      </w:r>
      <w:r>
        <w:rPr>
          <w:color w:val="231F20"/>
          <w:spacing w:val="-5"/>
          <w:sz w:val="20"/>
        </w:rPr>
        <w:t> </w:t>
      </w:r>
      <w:r>
        <w:rPr>
          <w:color w:val="231F20"/>
          <w:sz w:val="20"/>
        </w:rPr>
        <w:t>member</w:t>
      </w:r>
      <w:r>
        <w:rPr>
          <w:color w:val="231F20"/>
          <w:spacing w:val="-3"/>
          <w:sz w:val="20"/>
        </w:rPr>
        <w:t> </w:t>
      </w:r>
      <w:r>
        <w:rPr>
          <w:color w:val="231F20"/>
          <w:sz w:val="20"/>
        </w:rPr>
        <w:t>has</w:t>
      </w:r>
      <w:r>
        <w:rPr>
          <w:color w:val="231F20"/>
          <w:spacing w:val="-4"/>
          <w:sz w:val="20"/>
        </w:rPr>
        <w:t> </w:t>
      </w:r>
      <w:r>
        <w:rPr>
          <w:color w:val="231F20"/>
          <w:sz w:val="20"/>
        </w:rPr>
        <w:t>service</w:t>
      </w:r>
      <w:r>
        <w:rPr>
          <w:color w:val="231F20"/>
          <w:spacing w:val="-2"/>
          <w:sz w:val="20"/>
        </w:rPr>
        <w:t> </w:t>
      </w:r>
      <w:r>
        <w:rPr>
          <w:color w:val="231F20"/>
          <w:sz w:val="20"/>
        </w:rPr>
        <w:t>credit</w:t>
      </w:r>
      <w:r>
        <w:rPr>
          <w:color w:val="231F20"/>
          <w:spacing w:val="-3"/>
          <w:sz w:val="20"/>
        </w:rPr>
        <w:t> </w:t>
      </w:r>
      <w:r>
        <w:rPr>
          <w:color w:val="231F20"/>
          <w:sz w:val="20"/>
        </w:rPr>
        <w:t>totaling</w:t>
      </w:r>
      <w:r>
        <w:rPr>
          <w:color w:val="231F20"/>
          <w:spacing w:val="-3"/>
          <w:sz w:val="20"/>
        </w:rPr>
        <w:t> </w:t>
      </w:r>
      <w:r>
        <w:rPr>
          <w:color w:val="231F20"/>
          <w:sz w:val="20"/>
        </w:rPr>
        <w:t>25</w:t>
      </w:r>
      <w:r>
        <w:rPr>
          <w:color w:val="231F20"/>
          <w:spacing w:val="-3"/>
          <w:sz w:val="20"/>
        </w:rPr>
        <w:t> </w:t>
      </w:r>
      <w:r>
        <w:rPr>
          <w:color w:val="231F20"/>
          <w:sz w:val="20"/>
        </w:rPr>
        <w:t>years</w:t>
      </w:r>
      <w:r>
        <w:rPr>
          <w:color w:val="231F20"/>
          <w:spacing w:val="-2"/>
          <w:sz w:val="20"/>
        </w:rPr>
        <w:t> </w:t>
      </w:r>
      <w:r>
        <w:rPr>
          <w:color w:val="231F20"/>
          <w:sz w:val="20"/>
        </w:rPr>
        <w:t>or</w:t>
      </w:r>
      <w:r>
        <w:rPr>
          <w:color w:val="231F20"/>
          <w:spacing w:val="-2"/>
          <w:sz w:val="20"/>
        </w:rPr>
        <w:t> more.</w:t>
      </w:r>
    </w:p>
    <w:p>
      <w:pPr>
        <w:pStyle w:val="BodyText"/>
        <w:spacing w:before="8"/>
        <w:rPr>
          <w:sz w:val="25"/>
        </w:rPr>
      </w:pPr>
    </w:p>
    <w:p>
      <w:pPr>
        <w:pStyle w:val="Heading4"/>
        <w:ind w:left="1439"/>
      </w:pPr>
      <w:r>
        <w:rPr>
          <w:color w:val="231F20"/>
        </w:rPr>
        <w:t>Tier</w:t>
      </w:r>
      <w:r>
        <w:rPr>
          <w:color w:val="231F20"/>
          <w:spacing w:val="-6"/>
        </w:rPr>
        <w:t> </w:t>
      </w:r>
      <w:r>
        <w:rPr>
          <w:color w:val="231F20"/>
        </w:rPr>
        <w:t>2:</w:t>
      </w:r>
      <w:r>
        <w:rPr>
          <w:color w:val="231F20"/>
          <w:spacing w:val="-4"/>
        </w:rPr>
        <w:t> </w:t>
      </w:r>
      <w:r>
        <w:rPr>
          <w:color w:val="231F20"/>
        </w:rPr>
        <w:t>Membership</w:t>
      </w:r>
      <w:r>
        <w:rPr>
          <w:color w:val="231F20"/>
          <w:spacing w:val="-4"/>
        </w:rPr>
        <w:t> </w:t>
      </w:r>
      <w:r>
        <w:rPr>
          <w:color w:val="231F20"/>
        </w:rPr>
        <w:t>on</w:t>
      </w:r>
      <w:r>
        <w:rPr>
          <w:color w:val="231F20"/>
          <w:spacing w:val="-4"/>
        </w:rPr>
        <w:t> </w:t>
      </w:r>
      <w:r>
        <w:rPr>
          <w:color w:val="231F20"/>
        </w:rPr>
        <w:t>or</w:t>
      </w:r>
      <w:r>
        <w:rPr>
          <w:color w:val="231F20"/>
          <w:spacing w:val="-4"/>
        </w:rPr>
        <w:t> </w:t>
      </w:r>
      <w:r>
        <w:rPr>
          <w:color w:val="231F20"/>
        </w:rPr>
        <w:t>after</w:t>
      </w:r>
      <w:r>
        <w:rPr>
          <w:color w:val="231F20"/>
          <w:spacing w:val="-4"/>
        </w:rPr>
        <w:t> </w:t>
      </w:r>
      <w:r>
        <w:rPr>
          <w:color w:val="231F20"/>
        </w:rPr>
        <w:t>July</w:t>
      </w:r>
      <w:r>
        <w:rPr>
          <w:color w:val="231F20"/>
          <w:spacing w:val="-4"/>
        </w:rPr>
        <w:t> </w:t>
      </w:r>
      <w:r>
        <w:rPr>
          <w:color w:val="231F20"/>
        </w:rPr>
        <w:t>1,</w:t>
      </w:r>
      <w:r>
        <w:rPr>
          <w:color w:val="231F20"/>
          <w:spacing w:val="-4"/>
        </w:rPr>
        <w:t> </w:t>
      </w:r>
      <w:r>
        <w:rPr>
          <w:color w:val="231F20"/>
        </w:rPr>
        <w:t>2010,</w:t>
      </w:r>
      <w:r>
        <w:rPr>
          <w:color w:val="231F20"/>
          <w:spacing w:val="-4"/>
        </w:rPr>
        <w:t> </w:t>
      </w:r>
      <w:r>
        <w:rPr>
          <w:color w:val="231F20"/>
        </w:rPr>
        <w:t>but</w:t>
      </w:r>
      <w:r>
        <w:rPr>
          <w:color w:val="231F20"/>
          <w:spacing w:val="-4"/>
        </w:rPr>
        <w:t> </w:t>
      </w:r>
      <w:r>
        <w:rPr>
          <w:color w:val="231F20"/>
        </w:rPr>
        <w:t>prior</w:t>
      </w:r>
      <w:r>
        <w:rPr>
          <w:color w:val="231F20"/>
          <w:spacing w:val="-4"/>
        </w:rPr>
        <w:t> </w:t>
      </w:r>
      <w:r>
        <w:rPr>
          <w:color w:val="231F20"/>
        </w:rPr>
        <w:t>to</w:t>
      </w:r>
      <w:r>
        <w:rPr>
          <w:color w:val="231F20"/>
          <w:spacing w:val="-3"/>
        </w:rPr>
        <w:t> </w:t>
      </w:r>
      <w:r>
        <w:rPr>
          <w:color w:val="231F20"/>
        </w:rPr>
        <w:t>July</w:t>
      </w:r>
      <w:r>
        <w:rPr>
          <w:color w:val="231F20"/>
          <w:spacing w:val="-4"/>
        </w:rPr>
        <w:t> </w:t>
      </w:r>
      <w:r>
        <w:rPr>
          <w:color w:val="231F20"/>
        </w:rPr>
        <w:t>1,</w:t>
      </w:r>
      <w:r>
        <w:rPr>
          <w:color w:val="231F20"/>
          <w:spacing w:val="-4"/>
        </w:rPr>
        <w:t> 2013</w:t>
      </w:r>
    </w:p>
    <w:p>
      <w:pPr>
        <w:pStyle w:val="BodyText"/>
        <w:rPr>
          <w:b/>
          <w:sz w:val="26"/>
        </w:rPr>
      </w:pPr>
    </w:p>
    <w:p>
      <w:pPr>
        <w:pStyle w:val="BodyText"/>
        <w:spacing w:line="276" w:lineRule="auto"/>
        <w:ind w:left="1439" w:right="919"/>
      </w:pPr>
      <w:r>
        <w:rPr>
          <w:color w:val="231F20"/>
        </w:rPr>
        <w:t>Chapter 288, Laws of 2009 changed the eligibility requirements for new members who were first employed on or after July 1, 2010, but before July 1, 2013 — or before July 1, 2010, terminated employment,</w:t>
      </w:r>
      <w:r>
        <w:rPr>
          <w:color w:val="231F20"/>
          <w:spacing w:val="-4"/>
        </w:rPr>
        <w:t> </w:t>
      </w:r>
      <w:r>
        <w:rPr>
          <w:color w:val="231F20"/>
        </w:rPr>
        <w:t>subsequently</w:t>
      </w:r>
      <w:r>
        <w:rPr>
          <w:color w:val="231F20"/>
          <w:spacing w:val="-4"/>
        </w:rPr>
        <w:t> </w:t>
      </w:r>
      <w:r>
        <w:rPr>
          <w:color w:val="231F20"/>
        </w:rPr>
        <w:t>withdrew</w:t>
      </w:r>
      <w:r>
        <w:rPr>
          <w:color w:val="231F20"/>
          <w:spacing w:val="-3"/>
        </w:rPr>
        <w:t> </w:t>
      </w:r>
      <w:r>
        <w:rPr>
          <w:color w:val="231F20"/>
        </w:rPr>
        <w:t>all</w:t>
      </w:r>
      <w:r>
        <w:rPr>
          <w:color w:val="231F20"/>
          <w:spacing w:val="-5"/>
        </w:rPr>
        <w:t> </w:t>
      </w:r>
      <w:r>
        <w:rPr>
          <w:color w:val="231F20"/>
        </w:rPr>
        <w:t>contributions,</w:t>
      </w:r>
      <w:r>
        <w:rPr>
          <w:color w:val="231F20"/>
          <w:spacing w:val="-5"/>
        </w:rPr>
        <w:t> </w:t>
      </w:r>
      <w:r>
        <w:rPr>
          <w:color w:val="231F20"/>
        </w:rPr>
        <w:t>and</w:t>
      </w:r>
      <w:r>
        <w:rPr>
          <w:color w:val="231F20"/>
          <w:spacing w:val="-4"/>
        </w:rPr>
        <w:t> </w:t>
      </w:r>
      <w:r>
        <w:rPr>
          <w:color w:val="231F20"/>
        </w:rPr>
        <w:t>then</w:t>
      </w:r>
      <w:r>
        <w:rPr>
          <w:color w:val="231F20"/>
          <w:spacing w:val="-4"/>
        </w:rPr>
        <w:t> </w:t>
      </w:r>
      <w:r>
        <w:rPr>
          <w:color w:val="231F20"/>
        </w:rPr>
        <w:t>becomes</w:t>
      </w:r>
      <w:r>
        <w:rPr>
          <w:color w:val="231F20"/>
          <w:spacing w:val="-5"/>
        </w:rPr>
        <w:t> </w:t>
      </w:r>
      <w:r>
        <w:rPr>
          <w:color w:val="231F20"/>
        </w:rPr>
        <w:t>re-employed</w:t>
      </w:r>
      <w:r>
        <w:rPr>
          <w:color w:val="231F20"/>
          <w:spacing w:val="-4"/>
        </w:rPr>
        <w:t> </w:t>
      </w:r>
      <w:r>
        <w:rPr>
          <w:color w:val="231F20"/>
        </w:rPr>
        <w:t>after</w:t>
      </w:r>
      <w:r>
        <w:rPr>
          <w:color w:val="231F20"/>
          <w:spacing w:val="-4"/>
        </w:rPr>
        <w:t> </w:t>
      </w:r>
      <w:r>
        <w:rPr>
          <w:color w:val="231F20"/>
        </w:rPr>
        <w:t>July</w:t>
      </w:r>
      <w:r>
        <w:rPr>
          <w:color w:val="231F20"/>
          <w:spacing w:val="-3"/>
        </w:rPr>
        <w:t> </w:t>
      </w:r>
      <w:r>
        <w:rPr>
          <w:color w:val="231F20"/>
        </w:rPr>
        <w:t>1,</w:t>
      </w:r>
      <w:r>
        <w:rPr>
          <w:color w:val="231F20"/>
          <w:spacing w:val="-4"/>
        </w:rPr>
        <w:t> </w:t>
      </w:r>
      <w:r>
        <w:rPr>
          <w:color w:val="231F20"/>
        </w:rPr>
        <w:t>2010. These members must meet one of the following requirements:</w:t>
      </w:r>
    </w:p>
    <w:p>
      <w:pPr>
        <w:pStyle w:val="BodyText"/>
        <w:spacing w:before="1"/>
        <w:rPr>
          <w:sz w:val="23"/>
        </w:rPr>
      </w:pPr>
    </w:p>
    <w:p>
      <w:pPr>
        <w:pStyle w:val="ListParagraph"/>
        <w:numPr>
          <w:ilvl w:val="0"/>
          <w:numId w:val="10"/>
        </w:numPr>
        <w:tabs>
          <w:tab w:pos="2159" w:val="left" w:leader="none"/>
          <w:tab w:pos="2160" w:val="left" w:leader="none"/>
        </w:tabs>
        <w:spacing w:line="240" w:lineRule="auto" w:before="0" w:after="0"/>
        <w:ind w:left="2159" w:right="0" w:hanging="361"/>
        <w:jc w:val="left"/>
        <w:rPr>
          <w:sz w:val="20"/>
        </w:rPr>
      </w:pPr>
      <w:r>
        <w:rPr>
          <w:color w:val="231F20"/>
          <w:sz w:val="20"/>
        </w:rPr>
        <w:t>The</w:t>
      </w:r>
      <w:r>
        <w:rPr>
          <w:color w:val="231F20"/>
          <w:spacing w:val="-6"/>
          <w:sz w:val="20"/>
        </w:rPr>
        <w:t> </w:t>
      </w:r>
      <w:r>
        <w:rPr>
          <w:color w:val="231F20"/>
          <w:sz w:val="20"/>
        </w:rPr>
        <w:t>member’s</w:t>
      </w:r>
      <w:r>
        <w:rPr>
          <w:color w:val="231F20"/>
          <w:spacing w:val="-3"/>
          <w:sz w:val="20"/>
        </w:rPr>
        <w:t> </w:t>
      </w:r>
      <w:r>
        <w:rPr>
          <w:color w:val="231F20"/>
          <w:sz w:val="20"/>
        </w:rPr>
        <w:t>age</w:t>
      </w:r>
      <w:r>
        <w:rPr>
          <w:color w:val="231F20"/>
          <w:spacing w:val="-4"/>
          <w:sz w:val="20"/>
        </w:rPr>
        <w:t> </w:t>
      </w:r>
      <w:r>
        <w:rPr>
          <w:color w:val="231F20"/>
          <w:sz w:val="20"/>
        </w:rPr>
        <w:t>and</w:t>
      </w:r>
      <w:r>
        <w:rPr>
          <w:color w:val="231F20"/>
          <w:spacing w:val="-3"/>
          <w:sz w:val="20"/>
        </w:rPr>
        <w:t> </w:t>
      </w:r>
      <w:r>
        <w:rPr>
          <w:color w:val="231F20"/>
          <w:sz w:val="20"/>
        </w:rPr>
        <w:t>earned</w:t>
      </w:r>
      <w:r>
        <w:rPr>
          <w:color w:val="231F20"/>
          <w:spacing w:val="-4"/>
          <w:sz w:val="20"/>
        </w:rPr>
        <w:t> </w:t>
      </w:r>
      <w:r>
        <w:rPr>
          <w:color w:val="231F20"/>
          <w:sz w:val="20"/>
        </w:rPr>
        <w:t>service</w:t>
      </w:r>
      <w:r>
        <w:rPr>
          <w:color w:val="231F20"/>
          <w:spacing w:val="-4"/>
          <w:sz w:val="20"/>
        </w:rPr>
        <w:t> </w:t>
      </w:r>
      <w:r>
        <w:rPr>
          <w:color w:val="231F20"/>
          <w:sz w:val="20"/>
        </w:rPr>
        <w:t>credit</w:t>
      </w:r>
      <w:r>
        <w:rPr>
          <w:color w:val="231F20"/>
          <w:spacing w:val="-3"/>
          <w:sz w:val="20"/>
        </w:rPr>
        <w:t> </w:t>
      </w:r>
      <w:r>
        <w:rPr>
          <w:color w:val="231F20"/>
          <w:sz w:val="20"/>
        </w:rPr>
        <w:t>add</w:t>
      </w:r>
      <w:r>
        <w:rPr>
          <w:color w:val="231F20"/>
          <w:spacing w:val="-4"/>
          <w:sz w:val="20"/>
        </w:rPr>
        <w:t> </w:t>
      </w:r>
      <w:r>
        <w:rPr>
          <w:color w:val="231F20"/>
          <w:sz w:val="20"/>
        </w:rPr>
        <w:t>up</w:t>
      </w:r>
      <w:r>
        <w:rPr>
          <w:color w:val="231F20"/>
          <w:spacing w:val="-4"/>
          <w:sz w:val="20"/>
        </w:rPr>
        <w:t> </w:t>
      </w:r>
      <w:r>
        <w:rPr>
          <w:color w:val="231F20"/>
          <w:sz w:val="20"/>
        </w:rPr>
        <w:t>to</w:t>
      </w:r>
      <w:r>
        <w:rPr>
          <w:color w:val="231F20"/>
          <w:spacing w:val="-3"/>
          <w:sz w:val="20"/>
        </w:rPr>
        <w:t> </w:t>
      </w:r>
      <w:r>
        <w:rPr>
          <w:color w:val="231F20"/>
          <w:sz w:val="20"/>
        </w:rPr>
        <w:t>the</w:t>
      </w:r>
      <w:r>
        <w:rPr>
          <w:color w:val="231F20"/>
          <w:spacing w:val="-4"/>
          <w:sz w:val="20"/>
        </w:rPr>
        <w:t> </w:t>
      </w:r>
      <w:r>
        <w:rPr>
          <w:color w:val="231F20"/>
          <w:sz w:val="20"/>
        </w:rPr>
        <w:t>sum</w:t>
      </w:r>
      <w:r>
        <w:rPr>
          <w:color w:val="231F20"/>
          <w:spacing w:val="-4"/>
          <w:sz w:val="20"/>
        </w:rPr>
        <w:t> </w:t>
      </w:r>
      <w:r>
        <w:rPr>
          <w:color w:val="231F20"/>
          <w:sz w:val="20"/>
        </w:rPr>
        <w:t>of</w:t>
      </w:r>
      <w:r>
        <w:rPr>
          <w:color w:val="231F20"/>
          <w:spacing w:val="-4"/>
          <w:sz w:val="20"/>
        </w:rPr>
        <w:t> </w:t>
      </w:r>
      <w:r>
        <w:rPr>
          <w:color w:val="231F20"/>
          <w:sz w:val="20"/>
        </w:rPr>
        <w:t>80</w:t>
      </w:r>
      <w:r>
        <w:rPr>
          <w:color w:val="231F20"/>
          <w:spacing w:val="-4"/>
          <w:sz w:val="20"/>
        </w:rPr>
        <w:t> </w:t>
      </w:r>
      <w:r>
        <w:rPr>
          <w:color w:val="231F20"/>
          <w:sz w:val="20"/>
        </w:rPr>
        <w:t>or</w:t>
      </w:r>
      <w:r>
        <w:rPr>
          <w:color w:val="231F20"/>
          <w:spacing w:val="-3"/>
          <w:sz w:val="20"/>
        </w:rPr>
        <w:t> </w:t>
      </w:r>
      <w:r>
        <w:rPr>
          <w:color w:val="231F20"/>
          <w:spacing w:val="-2"/>
          <w:sz w:val="20"/>
        </w:rPr>
        <w:t>more,</w:t>
      </w:r>
    </w:p>
    <w:p>
      <w:pPr>
        <w:pStyle w:val="ListParagraph"/>
        <w:numPr>
          <w:ilvl w:val="0"/>
          <w:numId w:val="10"/>
        </w:numPr>
        <w:tabs>
          <w:tab w:pos="2159" w:val="left" w:leader="none"/>
          <w:tab w:pos="2160" w:val="left" w:leader="none"/>
        </w:tabs>
        <w:spacing w:line="240" w:lineRule="auto" w:before="33" w:after="0"/>
        <w:ind w:left="2159" w:right="0" w:hanging="361"/>
        <w:jc w:val="left"/>
        <w:rPr>
          <w:sz w:val="20"/>
        </w:rPr>
      </w:pPr>
      <w:r>
        <w:rPr>
          <w:color w:val="231F20"/>
          <w:sz w:val="20"/>
        </w:rPr>
        <w:t>The</w:t>
      </w:r>
      <w:r>
        <w:rPr>
          <w:color w:val="231F20"/>
          <w:spacing w:val="-6"/>
          <w:sz w:val="20"/>
        </w:rPr>
        <w:t> </w:t>
      </w:r>
      <w:r>
        <w:rPr>
          <w:color w:val="231F20"/>
          <w:sz w:val="20"/>
        </w:rPr>
        <w:t>member</w:t>
      </w:r>
      <w:r>
        <w:rPr>
          <w:color w:val="231F20"/>
          <w:spacing w:val="-5"/>
          <w:sz w:val="20"/>
        </w:rPr>
        <w:t> </w:t>
      </w:r>
      <w:r>
        <w:rPr>
          <w:color w:val="231F20"/>
          <w:sz w:val="20"/>
        </w:rPr>
        <w:t>is</w:t>
      </w:r>
      <w:r>
        <w:rPr>
          <w:color w:val="231F20"/>
          <w:spacing w:val="-4"/>
          <w:sz w:val="20"/>
        </w:rPr>
        <w:t> </w:t>
      </w:r>
      <w:r>
        <w:rPr>
          <w:color w:val="231F20"/>
          <w:sz w:val="20"/>
        </w:rPr>
        <w:t>at</w:t>
      </w:r>
      <w:r>
        <w:rPr>
          <w:color w:val="231F20"/>
          <w:spacing w:val="-4"/>
          <w:sz w:val="20"/>
        </w:rPr>
        <w:t> </w:t>
      </w:r>
      <w:r>
        <w:rPr>
          <w:color w:val="231F20"/>
          <w:sz w:val="20"/>
        </w:rPr>
        <w:t>least</w:t>
      </w:r>
      <w:r>
        <w:rPr>
          <w:color w:val="231F20"/>
          <w:spacing w:val="-4"/>
          <w:sz w:val="20"/>
        </w:rPr>
        <w:t> </w:t>
      </w:r>
      <w:r>
        <w:rPr>
          <w:color w:val="231F20"/>
          <w:sz w:val="20"/>
        </w:rPr>
        <w:t>67</w:t>
      </w:r>
      <w:r>
        <w:rPr>
          <w:color w:val="231F20"/>
          <w:spacing w:val="-4"/>
          <w:sz w:val="20"/>
        </w:rPr>
        <w:t> </w:t>
      </w:r>
      <w:r>
        <w:rPr>
          <w:color w:val="231F20"/>
          <w:sz w:val="20"/>
        </w:rPr>
        <w:t>years</w:t>
      </w:r>
      <w:r>
        <w:rPr>
          <w:color w:val="231F20"/>
          <w:spacing w:val="-4"/>
          <w:sz w:val="20"/>
        </w:rPr>
        <w:t> </w:t>
      </w:r>
      <w:r>
        <w:rPr>
          <w:color w:val="231F20"/>
          <w:sz w:val="20"/>
        </w:rPr>
        <w:t>of</w:t>
      </w:r>
      <w:r>
        <w:rPr>
          <w:color w:val="231F20"/>
          <w:spacing w:val="-4"/>
          <w:sz w:val="20"/>
        </w:rPr>
        <w:t> </w:t>
      </w:r>
      <w:r>
        <w:rPr>
          <w:color w:val="231F20"/>
          <w:sz w:val="20"/>
        </w:rPr>
        <w:t>age</w:t>
      </w:r>
      <w:r>
        <w:rPr>
          <w:color w:val="231F20"/>
          <w:spacing w:val="-4"/>
          <w:sz w:val="20"/>
        </w:rPr>
        <w:t> </w:t>
      </w:r>
      <w:r>
        <w:rPr>
          <w:color w:val="231F20"/>
          <w:sz w:val="20"/>
        </w:rPr>
        <w:t>and</w:t>
      </w:r>
      <w:r>
        <w:rPr>
          <w:color w:val="231F20"/>
          <w:spacing w:val="-4"/>
          <w:sz w:val="20"/>
        </w:rPr>
        <w:t> </w:t>
      </w:r>
      <w:r>
        <w:rPr>
          <w:color w:val="231F20"/>
          <w:sz w:val="20"/>
        </w:rPr>
        <w:t>has</w:t>
      </w:r>
      <w:r>
        <w:rPr>
          <w:color w:val="231F20"/>
          <w:spacing w:val="-2"/>
          <w:sz w:val="20"/>
        </w:rPr>
        <w:t> </w:t>
      </w:r>
      <w:r>
        <w:rPr>
          <w:color w:val="231F20"/>
          <w:sz w:val="20"/>
        </w:rPr>
        <w:t>five</w:t>
      </w:r>
      <w:r>
        <w:rPr>
          <w:color w:val="231F20"/>
          <w:spacing w:val="-5"/>
          <w:sz w:val="20"/>
        </w:rPr>
        <w:t> </w:t>
      </w:r>
      <w:r>
        <w:rPr>
          <w:color w:val="231F20"/>
          <w:sz w:val="20"/>
        </w:rPr>
        <w:t>or</w:t>
      </w:r>
      <w:r>
        <w:rPr>
          <w:color w:val="231F20"/>
          <w:spacing w:val="-3"/>
          <w:sz w:val="20"/>
        </w:rPr>
        <w:t> </w:t>
      </w:r>
      <w:r>
        <w:rPr>
          <w:color w:val="231F20"/>
          <w:sz w:val="20"/>
        </w:rPr>
        <w:t>more</w:t>
      </w:r>
      <w:r>
        <w:rPr>
          <w:color w:val="231F20"/>
          <w:spacing w:val="-4"/>
          <w:sz w:val="20"/>
        </w:rPr>
        <w:t> </w:t>
      </w:r>
      <w:r>
        <w:rPr>
          <w:color w:val="231F20"/>
          <w:sz w:val="20"/>
        </w:rPr>
        <w:t>years</w:t>
      </w:r>
      <w:r>
        <w:rPr>
          <w:color w:val="231F20"/>
          <w:spacing w:val="-4"/>
          <w:sz w:val="20"/>
        </w:rPr>
        <w:t> </w:t>
      </w:r>
      <w:r>
        <w:rPr>
          <w:color w:val="231F20"/>
          <w:sz w:val="20"/>
        </w:rPr>
        <w:t>of</w:t>
      </w:r>
      <w:r>
        <w:rPr>
          <w:color w:val="231F20"/>
          <w:spacing w:val="-4"/>
          <w:sz w:val="20"/>
        </w:rPr>
        <w:t> </w:t>
      </w:r>
      <w:r>
        <w:rPr>
          <w:color w:val="231F20"/>
          <w:sz w:val="20"/>
        </w:rPr>
        <w:t>earned</w:t>
      </w:r>
      <w:r>
        <w:rPr>
          <w:color w:val="231F20"/>
          <w:spacing w:val="-4"/>
          <w:sz w:val="20"/>
        </w:rPr>
        <w:t> </w:t>
      </w:r>
      <w:r>
        <w:rPr>
          <w:color w:val="231F20"/>
          <w:sz w:val="20"/>
        </w:rPr>
        <w:t>service</w:t>
      </w:r>
      <w:r>
        <w:rPr>
          <w:color w:val="231F20"/>
          <w:spacing w:val="-5"/>
          <w:sz w:val="20"/>
        </w:rPr>
        <w:t> </w:t>
      </w:r>
      <w:r>
        <w:rPr>
          <w:color w:val="231F20"/>
          <w:sz w:val="20"/>
        </w:rPr>
        <w:t>credit,</w:t>
      </w:r>
      <w:r>
        <w:rPr>
          <w:color w:val="231F20"/>
          <w:spacing w:val="-3"/>
          <w:sz w:val="20"/>
        </w:rPr>
        <w:t> </w:t>
      </w:r>
      <w:r>
        <w:rPr>
          <w:color w:val="231F20"/>
          <w:spacing w:val="-5"/>
          <w:sz w:val="20"/>
        </w:rPr>
        <w:t>or</w:t>
      </w:r>
    </w:p>
    <w:p>
      <w:pPr>
        <w:pStyle w:val="ListParagraph"/>
        <w:numPr>
          <w:ilvl w:val="0"/>
          <w:numId w:val="10"/>
        </w:numPr>
        <w:tabs>
          <w:tab w:pos="2159" w:val="left" w:leader="none"/>
          <w:tab w:pos="2160" w:val="left" w:leader="none"/>
        </w:tabs>
        <w:spacing w:line="240" w:lineRule="auto" w:before="33" w:after="0"/>
        <w:ind w:left="2159" w:right="0" w:hanging="361"/>
        <w:jc w:val="left"/>
        <w:rPr>
          <w:sz w:val="20"/>
        </w:rPr>
      </w:pPr>
      <w:r>
        <w:rPr>
          <w:color w:val="231F20"/>
          <w:sz w:val="20"/>
        </w:rPr>
        <w:t>The</w:t>
      </w:r>
      <w:r>
        <w:rPr>
          <w:color w:val="231F20"/>
          <w:spacing w:val="-5"/>
          <w:sz w:val="20"/>
        </w:rPr>
        <w:t> </w:t>
      </w:r>
      <w:r>
        <w:rPr>
          <w:color w:val="231F20"/>
          <w:sz w:val="20"/>
        </w:rPr>
        <w:t>member</w:t>
      </w:r>
      <w:r>
        <w:rPr>
          <w:color w:val="231F20"/>
          <w:spacing w:val="-3"/>
          <w:sz w:val="20"/>
        </w:rPr>
        <w:t> </w:t>
      </w:r>
      <w:r>
        <w:rPr>
          <w:color w:val="231F20"/>
          <w:sz w:val="20"/>
        </w:rPr>
        <w:t>has</w:t>
      </w:r>
      <w:r>
        <w:rPr>
          <w:color w:val="231F20"/>
          <w:spacing w:val="-4"/>
          <w:sz w:val="20"/>
        </w:rPr>
        <w:t> </w:t>
      </w:r>
      <w:r>
        <w:rPr>
          <w:color w:val="231F20"/>
          <w:sz w:val="20"/>
        </w:rPr>
        <w:t>service</w:t>
      </w:r>
      <w:r>
        <w:rPr>
          <w:color w:val="231F20"/>
          <w:spacing w:val="-2"/>
          <w:sz w:val="20"/>
        </w:rPr>
        <w:t> </w:t>
      </w:r>
      <w:r>
        <w:rPr>
          <w:color w:val="231F20"/>
          <w:sz w:val="20"/>
        </w:rPr>
        <w:t>credit</w:t>
      </w:r>
      <w:r>
        <w:rPr>
          <w:color w:val="231F20"/>
          <w:spacing w:val="-3"/>
          <w:sz w:val="20"/>
        </w:rPr>
        <w:t> </w:t>
      </w:r>
      <w:r>
        <w:rPr>
          <w:color w:val="231F20"/>
          <w:sz w:val="20"/>
        </w:rPr>
        <w:t>totaling</w:t>
      </w:r>
      <w:r>
        <w:rPr>
          <w:color w:val="231F20"/>
          <w:spacing w:val="-3"/>
          <w:sz w:val="20"/>
        </w:rPr>
        <w:t> </w:t>
      </w:r>
      <w:r>
        <w:rPr>
          <w:color w:val="231F20"/>
          <w:sz w:val="20"/>
        </w:rPr>
        <w:t>30</w:t>
      </w:r>
      <w:r>
        <w:rPr>
          <w:color w:val="231F20"/>
          <w:spacing w:val="-3"/>
          <w:sz w:val="20"/>
        </w:rPr>
        <w:t> </w:t>
      </w:r>
      <w:r>
        <w:rPr>
          <w:color w:val="231F20"/>
          <w:sz w:val="20"/>
        </w:rPr>
        <w:t>years</w:t>
      </w:r>
      <w:r>
        <w:rPr>
          <w:color w:val="231F20"/>
          <w:spacing w:val="-2"/>
          <w:sz w:val="20"/>
        </w:rPr>
        <w:t> </w:t>
      </w:r>
      <w:r>
        <w:rPr>
          <w:color w:val="231F20"/>
          <w:sz w:val="20"/>
        </w:rPr>
        <w:t>or</w:t>
      </w:r>
      <w:r>
        <w:rPr>
          <w:color w:val="231F20"/>
          <w:spacing w:val="-2"/>
          <w:sz w:val="20"/>
        </w:rPr>
        <w:t> more.</w:t>
      </w:r>
    </w:p>
    <w:p>
      <w:pPr>
        <w:spacing w:after="0" w:line="240" w:lineRule="auto"/>
        <w:jc w:val="left"/>
        <w:rPr>
          <w:sz w:val="20"/>
        </w:rPr>
        <w:sectPr>
          <w:pgSz w:w="12240" w:h="15840"/>
          <w:pgMar w:header="1282" w:footer="1097" w:top="1900" w:bottom="1280" w:left="0" w:right="580"/>
        </w:sectPr>
      </w:pPr>
    </w:p>
    <w:p>
      <w:pPr>
        <w:pStyle w:val="BodyText"/>
      </w:pPr>
    </w:p>
    <w:p>
      <w:pPr>
        <w:pStyle w:val="BodyText"/>
        <w:spacing w:before="10"/>
        <w:rPr>
          <w:sz w:val="17"/>
        </w:rPr>
      </w:pPr>
    </w:p>
    <w:p>
      <w:pPr>
        <w:pStyle w:val="Heading4"/>
        <w:spacing w:line="552" w:lineRule="auto" w:before="94"/>
        <w:ind w:right="4850"/>
      </w:pPr>
      <w:r>
        <w:rPr>
          <w:color w:val="231F20"/>
        </w:rPr>
        <w:t>Note 9 – Defined Benefit Retirement Plan (continued) Tier</w:t>
      </w:r>
      <w:r>
        <w:rPr>
          <w:color w:val="231F20"/>
          <w:spacing w:val="-7"/>
        </w:rPr>
        <w:t> </w:t>
      </w:r>
      <w:r>
        <w:rPr>
          <w:color w:val="231F20"/>
        </w:rPr>
        <w:t>3:</w:t>
      </w:r>
      <w:r>
        <w:rPr>
          <w:color w:val="231F20"/>
          <w:spacing w:val="-4"/>
        </w:rPr>
        <w:t> </w:t>
      </w:r>
      <w:r>
        <w:rPr>
          <w:color w:val="231F20"/>
        </w:rPr>
        <w:t>Membership</w:t>
      </w:r>
      <w:r>
        <w:rPr>
          <w:color w:val="231F20"/>
          <w:spacing w:val="-4"/>
        </w:rPr>
        <w:t> </w:t>
      </w:r>
      <w:r>
        <w:rPr>
          <w:color w:val="231F20"/>
        </w:rPr>
        <w:t>beginning</w:t>
      </w:r>
      <w:r>
        <w:rPr>
          <w:color w:val="231F20"/>
          <w:spacing w:val="-5"/>
        </w:rPr>
        <w:t> </w:t>
      </w:r>
      <w:r>
        <w:rPr>
          <w:color w:val="231F20"/>
        </w:rPr>
        <w:t>on</w:t>
      </w:r>
      <w:r>
        <w:rPr>
          <w:color w:val="231F20"/>
          <w:spacing w:val="-4"/>
        </w:rPr>
        <w:t> </w:t>
      </w:r>
      <w:r>
        <w:rPr>
          <w:color w:val="231F20"/>
        </w:rPr>
        <w:t>or</w:t>
      </w:r>
      <w:r>
        <w:rPr>
          <w:color w:val="231F20"/>
          <w:spacing w:val="-5"/>
        </w:rPr>
        <w:t> </w:t>
      </w:r>
      <w:r>
        <w:rPr>
          <w:color w:val="231F20"/>
        </w:rPr>
        <w:t>after</w:t>
      </w:r>
      <w:r>
        <w:rPr>
          <w:color w:val="231F20"/>
          <w:spacing w:val="-4"/>
        </w:rPr>
        <w:t> </w:t>
      </w:r>
      <w:r>
        <w:rPr>
          <w:color w:val="231F20"/>
        </w:rPr>
        <w:t>July</w:t>
      </w:r>
      <w:r>
        <w:rPr>
          <w:color w:val="231F20"/>
          <w:spacing w:val="-5"/>
        </w:rPr>
        <w:t> </w:t>
      </w:r>
      <w:r>
        <w:rPr>
          <w:color w:val="231F20"/>
        </w:rPr>
        <w:t>1,</w:t>
      </w:r>
      <w:r>
        <w:rPr>
          <w:color w:val="231F20"/>
          <w:spacing w:val="-4"/>
        </w:rPr>
        <w:t> 2013</w:t>
      </w:r>
    </w:p>
    <w:p>
      <w:pPr>
        <w:pStyle w:val="BodyText"/>
        <w:spacing w:line="276" w:lineRule="auto"/>
        <w:ind w:left="1440" w:right="1048"/>
      </w:pPr>
      <w:r>
        <w:rPr>
          <w:color w:val="231F20"/>
        </w:rPr>
        <w:t>Section 22-11-23.2, NMSA 1978, added eligibility requirements for new members who were first employed on or after July 1, 2013 — or who were employed before July 1, 2013 but terminated employment</w:t>
      </w:r>
      <w:r>
        <w:rPr>
          <w:color w:val="231F20"/>
          <w:spacing w:val="-3"/>
        </w:rPr>
        <w:t> </w:t>
      </w:r>
      <w:r>
        <w:rPr>
          <w:color w:val="231F20"/>
        </w:rPr>
        <w:t>and</w:t>
      </w:r>
      <w:r>
        <w:rPr>
          <w:color w:val="231F20"/>
          <w:spacing w:val="-3"/>
        </w:rPr>
        <w:t> </w:t>
      </w:r>
      <w:r>
        <w:rPr>
          <w:color w:val="231F20"/>
        </w:rPr>
        <w:t>subsequently</w:t>
      </w:r>
      <w:r>
        <w:rPr>
          <w:color w:val="231F20"/>
          <w:spacing w:val="-3"/>
        </w:rPr>
        <w:t> </w:t>
      </w:r>
      <w:r>
        <w:rPr>
          <w:color w:val="231F20"/>
        </w:rPr>
        <w:t>withdrew</w:t>
      </w:r>
      <w:r>
        <w:rPr>
          <w:color w:val="231F20"/>
          <w:spacing w:val="-3"/>
        </w:rPr>
        <w:t> </w:t>
      </w:r>
      <w:r>
        <w:rPr>
          <w:color w:val="231F20"/>
        </w:rPr>
        <w:t>all</w:t>
      </w:r>
      <w:r>
        <w:rPr>
          <w:color w:val="231F20"/>
          <w:spacing w:val="-3"/>
        </w:rPr>
        <w:t> </w:t>
      </w:r>
      <w:r>
        <w:rPr>
          <w:color w:val="231F20"/>
        </w:rPr>
        <w:t>contributions,</w:t>
      </w:r>
      <w:r>
        <w:rPr>
          <w:color w:val="231F20"/>
          <w:spacing w:val="-3"/>
        </w:rPr>
        <w:t> </w:t>
      </w:r>
      <w:r>
        <w:rPr>
          <w:color w:val="231F20"/>
        </w:rPr>
        <w:t>and</w:t>
      </w:r>
      <w:r>
        <w:rPr>
          <w:color w:val="231F20"/>
          <w:spacing w:val="-3"/>
        </w:rPr>
        <w:t> </w:t>
      </w:r>
      <w:r>
        <w:rPr>
          <w:color w:val="231F20"/>
        </w:rPr>
        <w:t>returned</w:t>
      </w:r>
      <w:r>
        <w:rPr>
          <w:color w:val="231F20"/>
          <w:spacing w:val="-3"/>
        </w:rPr>
        <w:t> </w:t>
      </w:r>
      <w:r>
        <w:rPr>
          <w:color w:val="231F20"/>
        </w:rPr>
        <w:t>to</w:t>
      </w:r>
      <w:r>
        <w:rPr>
          <w:color w:val="231F20"/>
          <w:spacing w:val="-3"/>
        </w:rPr>
        <w:t> </w:t>
      </w:r>
      <w:r>
        <w:rPr>
          <w:color w:val="231F20"/>
        </w:rPr>
        <w:t>work</w:t>
      </w:r>
      <w:r>
        <w:rPr>
          <w:color w:val="231F20"/>
          <w:spacing w:val="-3"/>
        </w:rPr>
        <w:t> </w:t>
      </w:r>
      <w:r>
        <w:rPr>
          <w:color w:val="231F20"/>
        </w:rPr>
        <w:t>for</w:t>
      </w:r>
      <w:r>
        <w:rPr>
          <w:color w:val="231F20"/>
          <w:spacing w:val="-3"/>
        </w:rPr>
        <w:t> </w:t>
      </w:r>
      <w:r>
        <w:rPr>
          <w:color w:val="231F20"/>
        </w:rPr>
        <w:t>an</w:t>
      </w:r>
      <w:r>
        <w:rPr>
          <w:color w:val="231F20"/>
          <w:spacing w:val="-3"/>
        </w:rPr>
        <w:t> </w:t>
      </w:r>
      <w:r>
        <w:rPr>
          <w:color w:val="231F20"/>
        </w:rPr>
        <w:t>ERB</w:t>
      </w:r>
      <w:r>
        <w:rPr>
          <w:color w:val="231F20"/>
          <w:spacing w:val="-3"/>
        </w:rPr>
        <w:t> </w:t>
      </w:r>
      <w:r>
        <w:rPr>
          <w:color w:val="231F20"/>
        </w:rPr>
        <w:t>employer</w:t>
      </w:r>
      <w:r>
        <w:rPr>
          <w:color w:val="231F20"/>
          <w:spacing w:val="-3"/>
        </w:rPr>
        <w:t> </w:t>
      </w:r>
      <w:r>
        <w:rPr>
          <w:color w:val="231F20"/>
        </w:rPr>
        <w:t>on or after July 1, 2013. These members must meet one of the following requirements:</w:t>
      </w:r>
    </w:p>
    <w:p>
      <w:pPr>
        <w:pStyle w:val="BodyText"/>
        <w:rPr>
          <w:sz w:val="23"/>
        </w:rPr>
      </w:pPr>
    </w:p>
    <w:p>
      <w:pPr>
        <w:pStyle w:val="ListParagraph"/>
        <w:numPr>
          <w:ilvl w:val="0"/>
          <w:numId w:val="10"/>
        </w:numPr>
        <w:tabs>
          <w:tab w:pos="2160" w:val="left" w:leader="none"/>
          <w:tab w:pos="2161" w:val="left" w:leader="none"/>
        </w:tabs>
        <w:spacing w:line="273" w:lineRule="auto" w:before="1" w:after="0"/>
        <w:ind w:left="2159" w:right="933" w:hanging="360"/>
        <w:jc w:val="left"/>
        <w:rPr>
          <w:sz w:val="20"/>
        </w:rPr>
      </w:pPr>
      <w:r>
        <w:rPr>
          <w:color w:val="231F20"/>
          <w:sz w:val="20"/>
        </w:rPr>
        <w:t>The</w:t>
      </w:r>
      <w:r>
        <w:rPr>
          <w:color w:val="231F20"/>
          <w:spacing w:val="-3"/>
          <w:sz w:val="20"/>
        </w:rPr>
        <w:t> </w:t>
      </w:r>
      <w:r>
        <w:rPr>
          <w:color w:val="231F20"/>
          <w:sz w:val="20"/>
        </w:rPr>
        <w:t>member’s</w:t>
      </w:r>
      <w:r>
        <w:rPr>
          <w:color w:val="231F20"/>
          <w:spacing w:val="-2"/>
          <w:sz w:val="20"/>
        </w:rPr>
        <w:t> </w:t>
      </w:r>
      <w:r>
        <w:rPr>
          <w:color w:val="231F20"/>
          <w:sz w:val="20"/>
        </w:rPr>
        <w:t>minimum</w:t>
      </w:r>
      <w:r>
        <w:rPr>
          <w:color w:val="231F20"/>
          <w:spacing w:val="-3"/>
          <w:sz w:val="20"/>
        </w:rPr>
        <w:t> </w:t>
      </w:r>
      <w:r>
        <w:rPr>
          <w:color w:val="231F20"/>
          <w:sz w:val="20"/>
        </w:rPr>
        <w:t>age</w:t>
      </w:r>
      <w:r>
        <w:rPr>
          <w:color w:val="231F20"/>
          <w:spacing w:val="-3"/>
          <w:sz w:val="20"/>
        </w:rPr>
        <w:t> </w:t>
      </w:r>
      <w:r>
        <w:rPr>
          <w:color w:val="231F20"/>
          <w:sz w:val="20"/>
        </w:rPr>
        <w:t>is</w:t>
      </w:r>
      <w:r>
        <w:rPr>
          <w:color w:val="231F20"/>
          <w:spacing w:val="-3"/>
          <w:sz w:val="20"/>
        </w:rPr>
        <w:t> </w:t>
      </w:r>
      <w:r>
        <w:rPr>
          <w:color w:val="231F20"/>
          <w:sz w:val="20"/>
        </w:rPr>
        <w:t>55</w:t>
      </w:r>
      <w:r>
        <w:rPr>
          <w:color w:val="231F20"/>
          <w:spacing w:val="-3"/>
          <w:sz w:val="20"/>
        </w:rPr>
        <w:t> </w:t>
      </w:r>
      <w:r>
        <w:rPr>
          <w:color w:val="231F20"/>
          <w:sz w:val="20"/>
        </w:rPr>
        <w:t>and</w:t>
      </w:r>
      <w:r>
        <w:rPr>
          <w:color w:val="231F20"/>
          <w:spacing w:val="-4"/>
          <w:sz w:val="20"/>
        </w:rPr>
        <w:t> </w:t>
      </w:r>
      <w:r>
        <w:rPr>
          <w:color w:val="231F20"/>
          <w:sz w:val="20"/>
        </w:rPr>
        <w:t>has</w:t>
      </w:r>
      <w:r>
        <w:rPr>
          <w:color w:val="231F20"/>
          <w:spacing w:val="-3"/>
          <w:sz w:val="20"/>
        </w:rPr>
        <w:t> </w:t>
      </w:r>
      <w:r>
        <w:rPr>
          <w:color w:val="231F20"/>
          <w:sz w:val="20"/>
        </w:rPr>
        <w:t>earned</w:t>
      </w:r>
      <w:r>
        <w:rPr>
          <w:color w:val="231F20"/>
          <w:spacing w:val="-3"/>
          <w:sz w:val="20"/>
        </w:rPr>
        <w:t> </w:t>
      </w:r>
      <w:r>
        <w:rPr>
          <w:color w:val="231F20"/>
          <w:sz w:val="20"/>
        </w:rPr>
        <w:t>30</w:t>
      </w:r>
      <w:r>
        <w:rPr>
          <w:color w:val="231F20"/>
          <w:spacing w:val="-3"/>
          <w:sz w:val="20"/>
        </w:rPr>
        <w:t> </w:t>
      </w:r>
      <w:r>
        <w:rPr>
          <w:color w:val="231F20"/>
          <w:sz w:val="20"/>
        </w:rPr>
        <w:t>or</w:t>
      </w:r>
      <w:r>
        <w:rPr>
          <w:color w:val="231F20"/>
          <w:spacing w:val="-3"/>
          <w:sz w:val="20"/>
        </w:rPr>
        <w:t> </w:t>
      </w:r>
      <w:r>
        <w:rPr>
          <w:color w:val="231F20"/>
          <w:sz w:val="20"/>
        </w:rPr>
        <w:t>more</w:t>
      </w:r>
      <w:r>
        <w:rPr>
          <w:color w:val="231F20"/>
          <w:spacing w:val="-3"/>
          <w:sz w:val="20"/>
        </w:rPr>
        <w:t> </w:t>
      </w:r>
      <w:r>
        <w:rPr>
          <w:color w:val="231F20"/>
          <w:sz w:val="20"/>
        </w:rPr>
        <w:t>years</w:t>
      </w:r>
      <w:r>
        <w:rPr>
          <w:color w:val="231F20"/>
          <w:spacing w:val="-3"/>
          <w:sz w:val="20"/>
        </w:rPr>
        <w:t> </w:t>
      </w:r>
      <w:r>
        <w:rPr>
          <w:color w:val="231F20"/>
          <w:sz w:val="20"/>
        </w:rPr>
        <w:t>of</w:t>
      </w:r>
      <w:r>
        <w:rPr>
          <w:color w:val="231F20"/>
          <w:spacing w:val="-4"/>
          <w:sz w:val="20"/>
        </w:rPr>
        <w:t> </w:t>
      </w:r>
      <w:r>
        <w:rPr>
          <w:color w:val="231F20"/>
          <w:sz w:val="20"/>
        </w:rPr>
        <w:t>service</w:t>
      </w:r>
      <w:r>
        <w:rPr>
          <w:color w:val="231F20"/>
          <w:spacing w:val="-4"/>
          <w:sz w:val="20"/>
        </w:rPr>
        <w:t> </w:t>
      </w:r>
      <w:r>
        <w:rPr>
          <w:color w:val="231F20"/>
          <w:sz w:val="20"/>
        </w:rPr>
        <w:t>credit.</w:t>
      </w:r>
      <w:r>
        <w:rPr>
          <w:color w:val="231F20"/>
          <w:spacing w:val="-3"/>
          <w:sz w:val="20"/>
        </w:rPr>
        <w:t> </w:t>
      </w:r>
      <w:r>
        <w:rPr>
          <w:color w:val="231F20"/>
          <w:sz w:val="20"/>
        </w:rPr>
        <w:t>Those</w:t>
      </w:r>
      <w:r>
        <w:rPr>
          <w:color w:val="231F20"/>
          <w:spacing w:val="-4"/>
          <w:sz w:val="20"/>
        </w:rPr>
        <w:t> </w:t>
      </w:r>
      <w:r>
        <w:rPr>
          <w:color w:val="231F20"/>
          <w:sz w:val="20"/>
        </w:rPr>
        <w:t>who retire earlier than age 55, but with 30 years of earned service credit, will have a reduction in benefits to the actuarial equivalent of retiring at age 55.</w:t>
      </w:r>
    </w:p>
    <w:p>
      <w:pPr>
        <w:pStyle w:val="ListParagraph"/>
        <w:numPr>
          <w:ilvl w:val="0"/>
          <w:numId w:val="10"/>
        </w:numPr>
        <w:tabs>
          <w:tab w:pos="2160" w:val="left" w:leader="none"/>
          <w:tab w:pos="2161" w:val="left" w:leader="none"/>
        </w:tabs>
        <w:spacing w:line="273" w:lineRule="auto" w:before="3" w:after="0"/>
        <w:ind w:left="2160" w:right="1098" w:hanging="361"/>
        <w:jc w:val="left"/>
        <w:rPr>
          <w:sz w:val="20"/>
        </w:rPr>
      </w:pPr>
      <w:r>
        <w:rPr>
          <w:color w:val="231F20"/>
          <w:sz w:val="20"/>
        </w:rPr>
        <w:t>The</w:t>
      </w:r>
      <w:r>
        <w:rPr>
          <w:color w:val="231F20"/>
          <w:spacing w:val="-3"/>
          <w:sz w:val="20"/>
        </w:rPr>
        <w:t> </w:t>
      </w:r>
      <w:r>
        <w:rPr>
          <w:color w:val="231F20"/>
          <w:sz w:val="20"/>
        </w:rPr>
        <w:t>member’s</w:t>
      </w:r>
      <w:r>
        <w:rPr>
          <w:color w:val="231F20"/>
          <w:spacing w:val="-2"/>
          <w:sz w:val="20"/>
        </w:rPr>
        <w:t> </w:t>
      </w:r>
      <w:r>
        <w:rPr>
          <w:color w:val="231F20"/>
          <w:sz w:val="20"/>
        </w:rPr>
        <w:t>minimum</w:t>
      </w:r>
      <w:r>
        <w:rPr>
          <w:color w:val="231F20"/>
          <w:spacing w:val="-3"/>
          <w:sz w:val="20"/>
        </w:rPr>
        <w:t> </w:t>
      </w:r>
      <w:r>
        <w:rPr>
          <w:color w:val="231F20"/>
          <w:sz w:val="20"/>
        </w:rPr>
        <w:t>age</w:t>
      </w:r>
      <w:r>
        <w:rPr>
          <w:color w:val="231F20"/>
          <w:spacing w:val="-3"/>
          <w:sz w:val="20"/>
        </w:rPr>
        <w:t> </w:t>
      </w:r>
      <w:r>
        <w:rPr>
          <w:color w:val="231F20"/>
          <w:sz w:val="20"/>
        </w:rPr>
        <w:t>and</w:t>
      </w:r>
      <w:r>
        <w:rPr>
          <w:color w:val="231F20"/>
          <w:spacing w:val="-3"/>
          <w:sz w:val="20"/>
        </w:rPr>
        <w:t> </w:t>
      </w:r>
      <w:r>
        <w:rPr>
          <w:color w:val="231F20"/>
          <w:sz w:val="20"/>
        </w:rPr>
        <w:t>earned</w:t>
      </w:r>
      <w:r>
        <w:rPr>
          <w:color w:val="231F20"/>
          <w:spacing w:val="-3"/>
          <w:sz w:val="20"/>
        </w:rPr>
        <w:t> </w:t>
      </w:r>
      <w:r>
        <w:rPr>
          <w:color w:val="231F20"/>
          <w:sz w:val="20"/>
        </w:rPr>
        <w:t>service</w:t>
      </w:r>
      <w:r>
        <w:rPr>
          <w:color w:val="231F20"/>
          <w:spacing w:val="-3"/>
          <w:sz w:val="20"/>
        </w:rPr>
        <w:t> </w:t>
      </w:r>
      <w:r>
        <w:rPr>
          <w:color w:val="231F20"/>
          <w:sz w:val="20"/>
        </w:rPr>
        <w:t>credit</w:t>
      </w:r>
      <w:r>
        <w:rPr>
          <w:color w:val="231F20"/>
          <w:spacing w:val="-3"/>
          <w:sz w:val="20"/>
        </w:rPr>
        <w:t> </w:t>
      </w:r>
      <w:r>
        <w:rPr>
          <w:color w:val="231F20"/>
          <w:sz w:val="20"/>
        </w:rPr>
        <w:t>add</w:t>
      </w:r>
      <w:r>
        <w:rPr>
          <w:color w:val="231F20"/>
          <w:spacing w:val="-3"/>
          <w:sz w:val="20"/>
        </w:rPr>
        <w:t> </w:t>
      </w:r>
      <w:r>
        <w:rPr>
          <w:color w:val="231F20"/>
          <w:sz w:val="20"/>
        </w:rPr>
        <w:t>up</w:t>
      </w:r>
      <w:r>
        <w:rPr>
          <w:color w:val="231F20"/>
          <w:spacing w:val="-3"/>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z w:val="20"/>
        </w:rPr>
        <w:t>sum</w:t>
      </w:r>
      <w:r>
        <w:rPr>
          <w:color w:val="231F20"/>
          <w:spacing w:val="-3"/>
          <w:sz w:val="20"/>
        </w:rPr>
        <w:t> </w:t>
      </w:r>
      <w:r>
        <w:rPr>
          <w:color w:val="231F20"/>
          <w:sz w:val="20"/>
        </w:rPr>
        <w:t>of</w:t>
      </w:r>
      <w:r>
        <w:rPr>
          <w:color w:val="231F20"/>
          <w:spacing w:val="-3"/>
          <w:sz w:val="20"/>
        </w:rPr>
        <w:t> </w:t>
      </w:r>
      <w:r>
        <w:rPr>
          <w:color w:val="231F20"/>
          <w:sz w:val="20"/>
        </w:rPr>
        <w:t>80</w:t>
      </w:r>
      <w:r>
        <w:rPr>
          <w:color w:val="231F20"/>
          <w:spacing w:val="-4"/>
          <w:sz w:val="20"/>
        </w:rPr>
        <w:t> </w:t>
      </w:r>
      <w:r>
        <w:rPr>
          <w:color w:val="231F20"/>
          <w:sz w:val="20"/>
        </w:rPr>
        <w:t>or</w:t>
      </w:r>
      <w:r>
        <w:rPr>
          <w:color w:val="231F20"/>
          <w:spacing w:val="-3"/>
          <w:sz w:val="20"/>
        </w:rPr>
        <w:t> </w:t>
      </w:r>
      <w:r>
        <w:rPr>
          <w:color w:val="231F20"/>
          <w:sz w:val="20"/>
        </w:rPr>
        <w:t>more.</w:t>
      </w:r>
      <w:r>
        <w:rPr>
          <w:color w:val="231F20"/>
          <w:spacing w:val="-3"/>
          <w:sz w:val="20"/>
        </w:rPr>
        <w:t> </w:t>
      </w:r>
      <w:r>
        <w:rPr>
          <w:color w:val="231F20"/>
          <w:sz w:val="20"/>
        </w:rPr>
        <w:t>Those who retire under the age of 65, and who have fewer than 30 years of earned service credit, receive reduced retirement benefits.</w:t>
      </w:r>
    </w:p>
    <w:p>
      <w:pPr>
        <w:pStyle w:val="ListParagraph"/>
        <w:numPr>
          <w:ilvl w:val="0"/>
          <w:numId w:val="10"/>
        </w:numPr>
        <w:tabs>
          <w:tab w:pos="2160" w:val="left" w:leader="none"/>
          <w:tab w:pos="2161" w:val="left" w:leader="none"/>
        </w:tabs>
        <w:spacing w:line="240" w:lineRule="auto" w:before="3" w:after="0"/>
        <w:ind w:left="2160" w:right="0" w:hanging="361"/>
        <w:jc w:val="left"/>
        <w:rPr>
          <w:sz w:val="20"/>
        </w:rPr>
      </w:pPr>
      <w:r>
        <w:rPr>
          <w:color w:val="231F20"/>
          <w:sz w:val="20"/>
        </w:rPr>
        <w:t>Or</w:t>
      </w:r>
      <w:r>
        <w:rPr>
          <w:color w:val="231F20"/>
          <w:spacing w:val="-6"/>
          <w:sz w:val="20"/>
        </w:rPr>
        <w:t> </w:t>
      </w:r>
      <w:r>
        <w:rPr>
          <w:color w:val="231F20"/>
          <w:sz w:val="20"/>
        </w:rPr>
        <w:t>the</w:t>
      </w:r>
      <w:r>
        <w:rPr>
          <w:color w:val="231F20"/>
          <w:spacing w:val="-4"/>
          <w:sz w:val="20"/>
        </w:rPr>
        <w:t> </w:t>
      </w:r>
      <w:r>
        <w:rPr>
          <w:color w:val="231F20"/>
          <w:sz w:val="20"/>
        </w:rPr>
        <w:t>member’s</w:t>
      </w:r>
      <w:r>
        <w:rPr>
          <w:color w:val="231F20"/>
          <w:spacing w:val="-4"/>
          <w:sz w:val="20"/>
        </w:rPr>
        <w:t> </w:t>
      </w:r>
      <w:r>
        <w:rPr>
          <w:color w:val="231F20"/>
          <w:sz w:val="20"/>
        </w:rPr>
        <w:t>age</w:t>
      </w:r>
      <w:r>
        <w:rPr>
          <w:color w:val="231F20"/>
          <w:spacing w:val="-4"/>
          <w:sz w:val="20"/>
        </w:rPr>
        <w:t> </w:t>
      </w:r>
      <w:r>
        <w:rPr>
          <w:color w:val="231F20"/>
          <w:sz w:val="20"/>
        </w:rPr>
        <w:t>is</w:t>
      </w:r>
      <w:r>
        <w:rPr>
          <w:color w:val="231F20"/>
          <w:spacing w:val="-4"/>
          <w:sz w:val="20"/>
        </w:rPr>
        <w:t> </w:t>
      </w:r>
      <w:r>
        <w:rPr>
          <w:color w:val="231F20"/>
          <w:sz w:val="20"/>
        </w:rPr>
        <w:t>67</w:t>
      </w:r>
      <w:r>
        <w:rPr>
          <w:color w:val="231F20"/>
          <w:spacing w:val="-4"/>
          <w:sz w:val="20"/>
        </w:rPr>
        <w:t> </w:t>
      </w:r>
      <w:r>
        <w:rPr>
          <w:color w:val="231F20"/>
          <w:sz w:val="20"/>
        </w:rPr>
        <w:t>and</w:t>
      </w:r>
      <w:r>
        <w:rPr>
          <w:color w:val="231F20"/>
          <w:spacing w:val="-4"/>
          <w:sz w:val="20"/>
        </w:rPr>
        <w:t> </w:t>
      </w:r>
      <w:r>
        <w:rPr>
          <w:color w:val="231F20"/>
          <w:sz w:val="20"/>
        </w:rPr>
        <w:t>has</w:t>
      </w:r>
      <w:r>
        <w:rPr>
          <w:color w:val="231F20"/>
          <w:spacing w:val="-4"/>
          <w:sz w:val="20"/>
        </w:rPr>
        <w:t> </w:t>
      </w:r>
      <w:r>
        <w:rPr>
          <w:color w:val="231F20"/>
          <w:sz w:val="20"/>
        </w:rPr>
        <w:t>earned</w:t>
      </w:r>
      <w:r>
        <w:rPr>
          <w:color w:val="231F20"/>
          <w:spacing w:val="-4"/>
          <w:sz w:val="20"/>
        </w:rPr>
        <w:t> </w:t>
      </w:r>
      <w:r>
        <w:rPr>
          <w:color w:val="231F20"/>
          <w:sz w:val="20"/>
        </w:rPr>
        <w:t>five</w:t>
      </w:r>
      <w:r>
        <w:rPr>
          <w:color w:val="231F20"/>
          <w:spacing w:val="-4"/>
          <w:sz w:val="20"/>
        </w:rPr>
        <w:t> </w:t>
      </w:r>
      <w:r>
        <w:rPr>
          <w:color w:val="231F20"/>
          <w:sz w:val="20"/>
        </w:rPr>
        <w:t>or</w:t>
      </w:r>
      <w:r>
        <w:rPr>
          <w:color w:val="231F20"/>
          <w:spacing w:val="-3"/>
          <w:sz w:val="20"/>
        </w:rPr>
        <w:t> </w:t>
      </w:r>
      <w:r>
        <w:rPr>
          <w:color w:val="231F20"/>
          <w:sz w:val="20"/>
        </w:rPr>
        <w:t>more</w:t>
      </w:r>
      <w:r>
        <w:rPr>
          <w:color w:val="231F20"/>
          <w:spacing w:val="-4"/>
          <w:sz w:val="20"/>
        </w:rPr>
        <w:t> </w:t>
      </w:r>
      <w:r>
        <w:rPr>
          <w:color w:val="231F20"/>
          <w:sz w:val="20"/>
        </w:rPr>
        <w:t>years</w:t>
      </w:r>
      <w:r>
        <w:rPr>
          <w:color w:val="231F20"/>
          <w:spacing w:val="-4"/>
          <w:sz w:val="20"/>
        </w:rPr>
        <w:t> </w:t>
      </w:r>
      <w:r>
        <w:rPr>
          <w:color w:val="231F20"/>
          <w:sz w:val="20"/>
        </w:rPr>
        <w:t>of</w:t>
      </w:r>
      <w:r>
        <w:rPr>
          <w:color w:val="231F20"/>
          <w:spacing w:val="-5"/>
          <w:sz w:val="20"/>
        </w:rPr>
        <w:t> </w:t>
      </w:r>
      <w:r>
        <w:rPr>
          <w:color w:val="231F20"/>
          <w:sz w:val="20"/>
        </w:rPr>
        <w:t>service</w:t>
      </w:r>
      <w:r>
        <w:rPr>
          <w:color w:val="231F20"/>
          <w:spacing w:val="-3"/>
          <w:sz w:val="20"/>
        </w:rPr>
        <w:t> </w:t>
      </w:r>
      <w:r>
        <w:rPr>
          <w:color w:val="231F20"/>
          <w:spacing w:val="-2"/>
          <w:sz w:val="20"/>
        </w:rPr>
        <w:t>credit.</w:t>
      </w:r>
    </w:p>
    <w:p>
      <w:pPr>
        <w:pStyle w:val="BodyText"/>
        <w:spacing w:before="9"/>
        <w:rPr>
          <w:sz w:val="25"/>
        </w:rPr>
      </w:pPr>
    </w:p>
    <w:p>
      <w:pPr>
        <w:pStyle w:val="Heading4"/>
      </w:pPr>
      <w:r>
        <w:rPr>
          <w:color w:val="231F20"/>
        </w:rPr>
        <w:t>Tier</w:t>
      </w:r>
      <w:r>
        <w:rPr>
          <w:color w:val="231F20"/>
          <w:spacing w:val="-7"/>
        </w:rPr>
        <w:t> </w:t>
      </w:r>
      <w:r>
        <w:rPr>
          <w:color w:val="231F20"/>
        </w:rPr>
        <w:t>4:</w:t>
      </w:r>
      <w:r>
        <w:rPr>
          <w:color w:val="231F20"/>
          <w:spacing w:val="-4"/>
        </w:rPr>
        <w:t> </w:t>
      </w:r>
      <w:r>
        <w:rPr>
          <w:color w:val="231F20"/>
        </w:rPr>
        <w:t>Membership</w:t>
      </w:r>
      <w:r>
        <w:rPr>
          <w:color w:val="231F20"/>
          <w:spacing w:val="-4"/>
        </w:rPr>
        <w:t> </w:t>
      </w:r>
      <w:r>
        <w:rPr>
          <w:color w:val="231F20"/>
        </w:rPr>
        <w:t>beginning</w:t>
      </w:r>
      <w:r>
        <w:rPr>
          <w:color w:val="231F20"/>
          <w:spacing w:val="-5"/>
        </w:rPr>
        <w:t> </w:t>
      </w:r>
      <w:r>
        <w:rPr>
          <w:color w:val="231F20"/>
        </w:rPr>
        <w:t>on</w:t>
      </w:r>
      <w:r>
        <w:rPr>
          <w:color w:val="231F20"/>
          <w:spacing w:val="-4"/>
        </w:rPr>
        <w:t> </w:t>
      </w:r>
      <w:r>
        <w:rPr>
          <w:color w:val="231F20"/>
        </w:rPr>
        <w:t>or</w:t>
      </w:r>
      <w:r>
        <w:rPr>
          <w:color w:val="231F20"/>
          <w:spacing w:val="-5"/>
        </w:rPr>
        <w:t> </w:t>
      </w:r>
      <w:r>
        <w:rPr>
          <w:color w:val="231F20"/>
        </w:rPr>
        <w:t>after</w:t>
      </w:r>
      <w:r>
        <w:rPr>
          <w:color w:val="231F20"/>
          <w:spacing w:val="-4"/>
        </w:rPr>
        <w:t> </w:t>
      </w:r>
      <w:r>
        <w:rPr>
          <w:color w:val="231F20"/>
        </w:rPr>
        <w:t>July</w:t>
      </w:r>
      <w:r>
        <w:rPr>
          <w:color w:val="231F20"/>
          <w:spacing w:val="-5"/>
        </w:rPr>
        <w:t> </w:t>
      </w:r>
      <w:r>
        <w:rPr>
          <w:color w:val="231F20"/>
        </w:rPr>
        <w:t>1,</w:t>
      </w:r>
      <w:r>
        <w:rPr>
          <w:color w:val="231F20"/>
          <w:spacing w:val="-4"/>
        </w:rPr>
        <w:t> 2019</w:t>
      </w:r>
    </w:p>
    <w:p>
      <w:pPr>
        <w:pStyle w:val="BodyText"/>
        <w:rPr>
          <w:b/>
          <w:sz w:val="26"/>
        </w:rPr>
      </w:pPr>
    </w:p>
    <w:p>
      <w:pPr>
        <w:pStyle w:val="BodyText"/>
        <w:spacing w:line="276" w:lineRule="auto"/>
        <w:ind w:left="1440" w:right="891"/>
      </w:pPr>
      <w:r>
        <w:rPr>
          <w:color w:val="231F20"/>
        </w:rPr>
        <w:t>Section 2-11-23.3, NMSA 1978, added eligibility requirements for new members who were first employed on</w:t>
      </w:r>
      <w:r>
        <w:rPr>
          <w:color w:val="231F20"/>
          <w:spacing w:val="-3"/>
        </w:rPr>
        <w:t> </w:t>
      </w:r>
      <w:r>
        <w:rPr>
          <w:color w:val="231F20"/>
        </w:rPr>
        <w:t>or</w:t>
      </w:r>
      <w:r>
        <w:rPr>
          <w:color w:val="231F20"/>
          <w:spacing w:val="-3"/>
        </w:rPr>
        <w:t> </w:t>
      </w:r>
      <w:r>
        <w:rPr>
          <w:color w:val="231F20"/>
        </w:rPr>
        <w:t>after</w:t>
      </w:r>
      <w:r>
        <w:rPr>
          <w:color w:val="231F20"/>
          <w:spacing w:val="-4"/>
        </w:rPr>
        <w:t> </w:t>
      </w:r>
      <w:r>
        <w:rPr>
          <w:color w:val="231F20"/>
        </w:rPr>
        <w:t>July</w:t>
      </w:r>
      <w:r>
        <w:rPr>
          <w:color w:val="231F20"/>
          <w:spacing w:val="-2"/>
        </w:rPr>
        <w:t> </w:t>
      </w:r>
      <w:r>
        <w:rPr>
          <w:color w:val="231F20"/>
        </w:rPr>
        <w:t>1,</w:t>
      </w:r>
      <w:r>
        <w:rPr>
          <w:color w:val="231F20"/>
          <w:spacing w:val="-3"/>
        </w:rPr>
        <w:t> </w:t>
      </w:r>
      <w:r>
        <w:rPr>
          <w:color w:val="231F20"/>
        </w:rPr>
        <w:t>2019</w:t>
      </w:r>
      <w:r>
        <w:rPr>
          <w:color w:val="231F20"/>
          <w:spacing w:val="-3"/>
        </w:rPr>
        <w:t> </w:t>
      </w:r>
      <w:r>
        <w:rPr>
          <w:color w:val="231F20"/>
        </w:rPr>
        <w:t>—</w:t>
      </w:r>
      <w:r>
        <w:rPr>
          <w:color w:val="231F20"/>
          <w:spacing w:val="-4"/>
        </w:rPr>
        <w:t> </w:t>
      </w:r>
      <w:r>
        <w:rPr>
          <w:color w:val="231F20"/>
        </w:rPr>
        <w:t>and</w:t>
      </w:r>
      <w:r>
        <w:rPr>
          <w:color w:val="231F20"/>
          <w:spacing w:val="-3"/>
        </w:rPr>
        <w:t> </w:t>
      </w:r>
      <w:r>
        <w:rPr>
          <w:color w:val="231F20"/>
        </w:rPr>
        <w:t>had,</w:t>
      </w:r>
      <w:r>
        <w:rPr>
          <w:color w:val="231F20"/>
          <w:spacing w:val="-3"/>
        </w:rPr>
        <w:t> </w:t>
      </w:r>
      <w:r>
        <w:rPr>
          <w:color w:val="231F20"/>
        </w:rPr>
        <w:t>before</w:t>
      </w:r>
      <w:r>
        <w:rPr>
          <w:color w:val="231F20"/>
          <w:spacing w:val="-3"/>
        </w:rPr>
        <w:t> </w:t>
      </w:r>
      <w:r>
        <w:rPr>
          <w:color w:val="231F20"/>
        </w:rPr>
        <w:t>that</w:t>
      </w:r>
      <w:r>
        <w:rPr>
          <w:color w:val="231F20"/>
          <w:spacing w:val="-3"/>
        </w:rPr>
        <w:t> </w:t>
      </w:r>
      <w:r>
        <w:rPr>
          <w:color w:val="231F20"/>
        </w:rPr>
        <w:t>date,</w:t>
      </w:r>
      <w:r>
        <w:rPr>
          <w:color w:val="231F20"/>
          <w:spacing w:val="-2"/>
        </w:rPr>
        <w:t> </w:t>
      </w:r>
      <w:r>
        <w:rPr>
          <w:color w:val="231F20"/>
        </w:rPr>
        <w:t>been</w:t>
      </w:r>
      <w:r>
        <w:rPr>
          <w:color w:val="231F20"/>
          <w:spacing w:val="-3"/>
        </w:rPr>
        <w:t> </w:t>
      </w:r>
      <w:r>
        <w:rPr>
          <w:color w:val="231F20"/>
        </w:rPr>
        <w:t>refunded</w:t>
      </w:r>
      <w:r>
        <w:rPr>
          <w:color w:val="231F20"/>
          <w:spacing w:val="-3"/>
        </w:rPr>
        <w:t> </w:t>
      </w:r>
      <w:r>
        <w:rPr>
          <w:color w:val="231F20"/>
        </w:rPr>
        <w:t>all</w:t>
      </w:r>
      <w:r>
        <w:rPr>
          <w:color w:val="231F20"/>
          <w:spacing w:val="-3"/>
        </w:rPr>
        <w:t> </w:t>
      </w:r>
      <w:r>
        <w:rPr>
          <w:color w:val="231F20"/>
        </w:rPr>
        <w:t>member</w:t>
      </w:r>
      <w:r>
        <w:rPr>
          <w:color w:val="231F20"/>
          <w:spacing w:val="-2"/>
        </w:rPr>
        <w:t> </w:t>
      </w:r>
      <w:r>
        <w:rPr>
          <w:color w:val="231F20"/>
        </w:rPr>
        <w:t>contributions</w:t>
      </w:r>
      <w:r>
        <w:rPr>
          <w:color w:val="231F20"/>
          <w:spacing w:val="-4"/>
        </w:rPr>
        <w:t> </w:t>
      </w:r>
      <w:r>
        <w:rPr>
          <w:color w:val="231F20"/>
        </w:rPr>
        <w:t>and</w:t>
      </w:r>
      <w:r>
        <w:rPr>
          <w:color w:val="231F20"/>
          <w:spacing w:val="-3"/>
        </w:rPr>
        <w:t> </w:t>
      </w:r>
      <w:r>
        <w:rPr>
          <w:color w:val="231F20"/>
        </w:rPr>
        <w:t>had</w:t>
      </w:r>
      <w:r>
        <w:rPr>
          <w:color w:val="231F20"/>
          <w:spacing w:val="-3"/>
        </w:rPr>
        <w:t> </w:t>
      </w:r>
      <w:r>
        <w:rPr>
          <w:color w:val="231F20"/>
        </w:rPr>
        <w:t>not restored all refunded contributions and interest before July 1, 2019. A member in this tier must meet one of the following requirements.</w:t>
      </w:r>
    </w:p>
    <w:p>
      <w:pPr>
        <w:pStyle w:val="BodyText"/>
        <w:spacing w:before="1"/>
        <w:rPr>
          <w:sz w:val="23"/>
        </w:rPr>
      </w:pPr>
    </w:p>
    <w:p>
      <w:pPr>
        <w:pStyle w:val="ListParagraph"/>
        <w:numPr>
          <w:ilvl w:val="0"/>
          <w:numId w:val="10"/>
        </w:numPr>
        <w:tabs>
          <w:tab w:pos="2160" w:val="left" w:leader="none"/>
          <w:tab w:pos="2161" w:val="left" w:leader="none"/>
        </w:tabs>
        <w:spacing w:line="273" w:lineRule="auto" w:before="0" w:after="0"/>
        <w:ind w:left="2160" w:right="1051" w:hanging="361"/>
        <w:jc w:val="left"/>
        <w:rPr>
          <w:sz w:val="20"/>
        </w:rPr>
      </w:pPr>
      <w:r>
        <w:rPr>
          <w:color w:val="231F20"/>
          <w:sz w:val="20"/>
        </w:rPr>
        <w:t>The member’s minimum age must be 58, and the member has earned 30 or more years of service</w:t>
      </w:r>
      <w:r>
        <w:rPr>
          <w:color w:val="231F20"/>
          <w:spacing w:val="-3"/>
          <w:sz w:val="20"/>
        </w:rPr>
        <w:t> </w:t>
      </w:r>
      <w:r>
        <w:rPr>
          <w:color w:val="231F20"/>
          <w:sz w:val="20"/>
        </w:rPr>
        <w:t>credit.</w:t>
      </w:r>
      <w:r>
        <w:rPr>
          <w:color w:val="231F20"/>
          <w:spacing w:val="-3"/>
          <w:sz w:val="20"/>
        </w:rPr>
        <w:t> </w:t>
      </w:r>
      <w:r>
        <w:rPr>
          <w:color w:val="231F20"/>
          <w:sz w:val="20"/>
        </w:rPr>
        <w:t>(A</w:t>
      </w:r>
      <w:r>
        <w:rPr>
          <w:color w:val="231F20"/>
          <w:spacing w:val="-3"/>
          <w:sz w:val="20"/>
        </w:rPr>
        <w:t> </w:t>
      </w:r>
      <w:r>
        <w:rPr>
          <w:color w:val="231F20"/>
          <w:sz w:val="20"/>
        </w:rPr>
        <w:t>member</w:t>
      </w:r>
      <w:r>
        <w:rPr>
          <w:color w:val="231F20"/>
          <w:spacing w:val="-4"/>
          <w:sz w:val="20"/>
        </w:rPr>
        <w:t> </w:t>
      </w:r>
      <w:r>
        <w:rPr>
          <w:color w:val="231F20"/>
          <w:sz w:val="20"/>
        </w:rPr>
        <w:t>who</w:t>
      </w:r>
      <w:r>
        <w:rPr>
          <w:color w:val="231F20"/>
          <w:spacing w:val="-3"/>
          <w:sz w:val="20"/>
        </w:rPr>
        <w:t> </w:t>
      </w:r>
      <w:r>
        <w:rPr>
          <w:color w:val="231F20"/>
          <w:sz w:val="20"/>
        </w:rPr>
        <w:t>retires</w:t>
      </w:r>
      <w:r>
        <w:rPr>
          <w:color w:val="231F20"/>
          <w:spacing w:val="-3"/>
          <w:sz w:val="20"/>
        </w:rPr>
        <w:t> </w:t>
      </w:r>
      <w:r>
        <w:rPr>
          <w:color w:val="231F20"/>
          <w:sz w:val="20"/>
        </w:rPr>
        <w:t>earlier</w:t>
      </w:r>
      <w:r>
        <w:rPr>
          <w:color w:val="231F20"/>
          <w:spacing w:val="-3"/>
          <w:sz w:val="20"/>
        </w:rPr>
        <w:t> </w:t>
      </w:r>
      <w:r>
        <w:rPr>
          <w:color w:val="231F20"/>
          <w:sz w:val="20"/>
        </w:rPr>
        <w:t>than</w:t>
      </w:r>
      <w:r>
        <w:rPr>
          <w:color w:val="231F20"/>
          <w:spacing w:val="-3"/>
          <w:sz w:val="20"/>
        </w:rPr>
        <w:t> </w:t>
      </w:r>
      <w:r>
        <w:rPr>
          <w:color w:val="231F20"/>
          <w:sz w:val="20"/>
        </w:rPr>
        <w:t>age</w:t>
      </w:r>
      <w:r>
        <w:rPr>
          <w:color w:val="231F20"/>
          <w:spacing w:val="-3"/>
          <w:sz w:val="20"/>
        </w:rPr>
        <w:t> </w:t>
      </w:r>
      <w:r>
        <w:rPr>
          <w:color w:val="231F20"/>
          <w:sz w:val="20"/>
        </w:rPr>
        <w:t>58,</w:t>
      </w:r>
      <w:r>
        <w:rPr>
          <w:color w:val="231F20"/>
          <w:spacing w:val="-3"/>
          <w:sz w:val="20"/>
        </w:rPr>
        <w:t> </w:t>
      </w:r>
      <w:r>
        <w:rPr>
          <w:color w:val="231F20"/>
          <w:sz w:val="20"/>
        </w:rPr>
        <w:t>receives</w:t>
      </w:r>
      <w:r>
        <w:rPr>
          <w:color w:val="231F20"/>
          <w:spacing w:val="-2"/>
          <w:sz w:val="20"/>
        </w:rPr>
        <w:t> </w:t>
      </w:r>
      <w:r>
        <w:rPr>
          <w:color w:val="231F20"/>
          <w:sz w:val="20"/>
        </w:rPr>
        <w:t>a</w:t>
      </w:r>
      <w:r>
        <w:rPr>
          <w:color w:val="231F20"/>
          <w:spacing w:val="-3"/>
          <w:sz w:val="20"/>
        </w:rPr>
        <w:t> </w:t>
      </w:r>
      <w:r>
        <w:rPr>
          <w:color w:val="231F20"/>
          <w:sz w:val="20"/>
        </w:rPr>
        <w:t>reduction</w:t>
      </w:r>
      <w:r>
        <w:rPr>
          <w:color w:val="231F20"/>
          <w:spacing w:val="-3"/>
          <w:sz w:val="20"/>
        </w:rPr>
        <w:t> </w:t>
      </w:r>
      <w:r>
        <w:rPr>
          <w:color w:val="231F20"/>
          <w:sz w:val="20"/>
        </w:rPr>
        <w:t>in</w:t>
      </w:r>
      <w:r>
        <w:rPr>
          <w:color w:val="231F20"/>
          <w:spacing w:val="-3"/>
          <w:sz w:val="20"/>
        </w:rPr>
        <w:t> </w:t>
      </w:r>
      <w:r>
        <w:rPr>
          <w:color w:val="231F20"/>
          <w:sz w:val="20"/>
        </w:rPr>
        <w:t>benefits</w:t>
      </w:r>
      <w:r>
        <w:rPr>
          <w:color w:val="231F20"/>
          <w:spacing w:val="-3"/>
          <w:sz w:val="20"/>
        </w:rPr>
        <w:t> </w:t>
      </w:r>
      <w:r>
        <w:rPr>
          <w:color w:val="231F20"/>
          <w:sz w:val="20"/>
        </w:rPr>
        <w:t>equal to the actuarial equivalent of retiring at age 58.)</w:t>
      </w:r>
    </w:p>
    <w:p>
      <w:pPr>
        <w:pStyle w:val="ListParagraph"/>
        <w:numPr>
          <w:ilvl w:val="0"/>
          <w:numId w:val="10"/>
        </w:numPr>
        <w:tabs>
          <w:tab w:pos="2160" w:val="left" w:leader="none"/>
          <w:tab w:pos="2161" w:val="left" w:leader="none"/>
        </w:tabs>
        <w:spacing w:line="273" w:lineRule="auto" w:before="3" w:after="0"/>
        <w:ind w:left="2160" w:right="1031" w:hanging="360"/>
        <w:jc w:val="left"/>
        <w:rPr>
          <w:sz w:val="20"/>
        </w:rPr>
      </w:pPr>
      <w:r>
        <w:rPr>
          <w:color w:val="231F20"/>
          <w:sz w:val="20"/>
        </w:rPr>
        <w:t>The</w:t>
      </w:r>
      <w:r>
        <w:rPr>
          <w:color w:val="231F20"/>
          <w:spacing w:val="-3"/>
          <w:sz w:val="20"/>
        </w:rPr>
        <w:t> </w:t>
      </w:r>
      <w:r>
        <w:rPr>
          <w:color w:val="231F20"/>
          <w:sz w:val="20"/>
        </w:rPr>
        <w:t>member’s</w:t>
      </w:r>
      <w:r>
        <w:rPr>
          <w:color w:val="231F20"/>
          <w:spacing w:val="-2"/>
          <w:sz w:val="20"/>
        </w:rPr>
        <w:t> </w:t>
      </w:r>
      <w:r>
        <w:rPr>
          <w:color w:val="231F20"/>
          <w:sz w:val="20"/>
        </w:rPr>
        <w:t>minimum</w:t>
      </w:r>
      <w:r>
        <w:rPr>
          <w:color w:val="231F20"/>
          <w:spacing w:val="-3"/>
          <w:sz w:val="20"/>
        </w:rPr>
        <w:t> </w:t>
      </w:r>
      <w:r>
        <w:rPr>
          <w:color w:val="231F20"/>
          <w:sz w:val="20"/>
        </w:rPr>
        <w:t>age</w:t>
      </w:r>
      <w:r>
        <w:rPr>
          <w:color w:val="231F20"/>
          <w:spacing w:val="-3"/>
          <w:sz w:val="20"/>
        </w:rPr>
        <w:t> </w:t>
      </w:r>
      <w:r>
        <w:rPr>
          <w:color w:val="231F20"/>
          <w:sz w:val="20"/>
        </w:rPr>
        <w:t>and</w:t>
      </w:r>
      <w:r>
        <w:rPr>
          <w:color w:val="231F20"/>
          <w:spacing w:val="-3"/>
          <w:sz w:val="20"/>
        </w:rPr>
        <w:t> </w:t>
      </w:r>
      <w:r>
        <w:rPr>
          <w:color w:val="231F20"/>
          <w:sz w:val="20"/>
        </w:rPr>
        <w:t>earned</w:t>
      </w:r>
      <w:r>
        <w:rPr>
          <w:color w:val="231F20"/>
          <w:spacing w:val="-3"/>
          <w:sz w:val="20"/>
        </w:rPr>
        <w:t> </w:t>
      </w:r>
      <w:r>
        <w:rPr>
          <w:color w:val="231F20"/>
          <w:sz w:val="20"/>
        </w:rPr>
        <w:t>service</w:t>
      </w:r>
      <w:r>
        <w:rPr>
          <w:color w:val="231F20"/>
          <w:spacing w:val="-3"/>
          <w:sz w:val="20"/>
        </w:rPr>
        <w:t> </w:t>
      </w:r>
      <w:r>
        <w:rPr>
          <w:color w:val="231F20"/>
          <w:sz w:val="20"/>
        </w:rPr>
        <w:t>credit</w:t>
      </w:r>
      <w:r>
        <w:rPr>
          <w:color w:val="231F20"/>
          <w:spacing w:val="-3"/>
          <w:sz w:val="20"/>
        </w:rPr>
        <w:t> </w:t>
      </w:r>
      <w:r>
        <w:rPr>
          <w:color w:val="231F20"/>
          <w:sz w:val="20"/>
        </w:rPr>
        <w:t>add</w:t>
      </w:r>
      <w:r>
        <w:rPr>
          <w:color w:val="231F20"/>
          <w:spacing w:val="-3"/>
          <w:sz w:val="20"/>
        </w:rPr>
        <w:t> </w:t>
      </w:r>
      <w:r>
        <w:rPr>
          <w:color w:val="231F20"/>
          <w:sz w:val="20"/>
        </w:rPr>
        <w:t>up</w:t>
      </w:r>
      <w:r>
        <w:rPr>
          <w:color w:val="231F20"/>
          <w:spacing w:val="-3"/>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z w:val="20"/>
        </w:rPr>
        <w:t>sum</w:t>
      </w:r>
      <w:r>
        <w:rPr>
          <w:color w:val="231F20"/>
          <w:spacing w:val="-3"/>
          <w:sz w:val="20"/>
        </w:rPr>
        <w:t> </w:t>
      </w:r>
      <w:r>
        <w:rPr>
          <w:color w:val="231F20"/>
          <w:sz w:val="20"/>
        </w:rPr>
        <w:t>of</w:t>
      </w:r>
      <w:r>
        <w:rPr>
          <w:color w:val="231F20"/>
          <w:spacing w:val="-3"/>
          <w:sz w:val="20"/>
        </w:rPr>
        <w:t> </w:t>
      </w:r>
      <w:r>
        <w:rPr>
          <w:color w:val="231F20"/>
          <w:sz w:val="20"/>
        </w:rPr>
        <w:t>80</w:t>
      </w:r>
      <w:r>
        <w:rPr>
          <w:color w:val="231F20"/>
          <w:spacing w:val="-4"/>
          <w:sz w:val="20"/>
        </w:rPr>
        <w:t> </w:t>
      </w:r>
      <w:r>
        <w:rPr>
          <w:color w:val="231F20"/>
          <w:sz w:val="20"/>
        </w:rPr>
        <w:t>or</w:t>
      </w:r>
      <w:r>
        <w:rPr>
          <w:color w:val="231F20"/>
          <w:spacing w:val="-3"/>
          <w:sz w:val="20"/>
        </w:rPr>
        <w:t> </w:t>
      </w:r>
      <w:r>
        <w:rPr>
          <w:color w:val="231F20"/>
          <w:sz w:val="20"/>
        </w:rPr>
        <w:t>more.</w:t>
      </w:r>
      <w:r>
        <w:rPr>
          <w:color w:val="231F20"/>
          <w:spacing w:val="-3"/>
          <w:sz w:val="20"/>
        </w:rPr>
        <w:t> </w:t>
      </w:r>
      <w:r>
        <w:rPr>
          <w:color w:val="231F20"/>
          <w:sz w:val="20"/>
        </w:rPr>
        <w:t>(Those who retire under the age of 65, and who have fewer than 30 years of earned service credit, receive reduced retirement benefits.)</w:t>
      </w:r>
    </w:p>
    <w:p>
      <w:pPr>
        <w:pStyle w:val="ListParagraph"/>
        <w:numPr>
          <w:ilvl w:val="0"/>
          <w:numId w:val="10"/>
        </w:numPr>
        <w:tabs>
          <w:tab w:pos="2160" w:val="left" w:leader="none"/>
          <w:tab w:pos="2161" w:val="left" w:leader="none"/>
        </w:tabs>
        <w:spacing w:line="240" w:lineRule="auto" w:before="3" w:after="0"/>
        <w:ind w:left="2160" w:right="0" w:hanging="361"/>
        <w:jc w:val="left"/>
        <w:rPr>
          <w:sz w:val="20"/>
        </w:rPr>
      </w:pPr>
      <w:r>
        <w:rPr>
          <w:color w:val="231F20"/>
          <w:sz w:val="20"/>
        </w:rPr>
        <w:t>Or</w:t>
      </w:r>
      <w:r>
        <w:rPr>
          <w:color w:val="231F20"/>
          <w:spacing w:val="-6"/>
          <w:sz w:val="20"/>
        </w:rPr>
        <w:t> </w:t>
      </w:r>
      <w:r>
        <w:rPr>
          <w:color w:val="231F20"/>
          <w:sz w:val="20"/>
        </w:rPr>
        <w:t>the</w:t>
      </w:r>
      <w:r>
        <w:rPr>
          <w:color w:val="231F20"/>
          <w:spacing w:val="-3"/>
          <w:sz w:val="20"/>
        </w:rPr>
        <w:t> </w:t>
      </w:r>
      <w:r>
        <w:rPr>
          <w:color w:val="231F20"/>
          <w:sz w:val="20"/>
        </w:rPr>
        <w:t>member’s</w:t>
      </w:r>
      <w:r>
        <w:rPr>
          <w:color w:val="231F20"/>
          <w:spacing w:val="-3"/>
          <w:sz w:val="20"/>
        </w:rPr>
        <w:t> </w:t>
      </w:r>
      <w:r>
        <w:rPr>
          <w:color w:val="231F20"/>
          <w:sz w:val="20"/>
        </w:rPr>
        <w:t>age</w:t>
      </w:r>
      <w:r>
        <w:rPr>
          <w:color w:val="231F20"/>
          <w:spacing w:val="-3"/>
          <w:sz w:val="20"/>
        </w:rPr>
        <w:t> </w:t>
      </w:r>
      <w:r>
        <w:rPr>
          <w:color w:val="231F20"/>
          <w:sz w:val="20"/>
        </w:rPr>
        <w:t>is</w:t>
      </w:r>
      <w:r>
        <w:rPr>
          <w:color w:val="231F20"/>
          <w:spacing w:val="-3"/>
          <w:sz w:val="20"/>
        </w:rPr>
        <w:t> </w:t>
      </w:r>
      <w:r>
        <w:rPr>
          <w:color w:val="231F20"/>
          <w:sz w:val="20"/>
        </w:rPr>
        <w:t>67</w:t>
      </w:r>
      <w:r>
        <w:rPr>
          <w:color w:val="231F20"/>
          <w:spacing w:val="-4"/>
          <w:sz w:val="20"/>
        </w:rPr>
        <w:t> </w:t>
      </w:r>
      <w:r>
        <w:rPr>
          <w:color w:val="231F20"/>
          <w:sz w:val="20"/>
        </w:rPr>
        <w:t>and</w:t>
      </w:r>
      <w:r>
        <w:rPr>
          <w:color w:val="231F20"/>
          <w:spacing w:val="-3"/>
          <w:sz w:val="20"/>
        </w:rPr>
        <w:t> </w:t>
      </w:r>
      <w:r>
        <w:rPr>
          <w:color w:val="231F20"/>
          <w:sz w:val="20"/>
        </w:rPr>
        <w:t>the</w:t>
      </w:r>
      <w:r>
        <w:rPr>
          <w:color w:val="231F20"/>
          <w:spacing w:val="-3"/>
          <w:sz w:val="20"/>
        </w:rPr>
        <w:t> </w:t>
      </w:r>
      <w:r>
        <w:rPr>
          <w:color w:val="231F20"/>
          <w:sz w:val="20"/>
        </w:rPr>
        <w:t>member</w:t>
      </w:r>
      <w:r>
        <w:rPr>
          <w:color w:val="231F20"/>
          <w:spacing w:val="-3"/>
          <w:sz w:val="20"/>
        </w:rPr>
        <w:t> </w:t>
      </w:r>
      <w:r>
        <w:rPr>
          <w:color w:val="231F20"/>
          <w:sz w:val="20"/>
        </w:rPr>
        <w:t>has</w:t>
      </w:r>
      <w:r>
        <w:rPr>
          <w:color w:val="231F20"/>
          <w:spacing w:val="-3"/>
          <w:sz w:val="20"/>
        </w:rPr>
        <w:t> </w:t>
      </w:r>
      <w:r>
        <w:rPr>
          <w:color w:val="231F20"/>
          <w:sz w:val="20"/>
        </w:rPr>
        <w:t>earned</w:t>
      </w:r>
      <w:r>
        <w:rPr>
          <w:color w:val="231F20"/>
          <w:spacing w:val="-3"/>
          <w:sz w:val="20"/>
        </w:rPr>
        <w:t> </w:t>
      </w:r>
      <w:r>
        <w:rPr>
          <w:color w:val="231F20"/>
          <w:sz w:val="20"/>
        </w:rPr>
        <w:t>five</w:t>
      </w:r>
      <w:r>
        <w:rPr>
          <w:color w:val="231F20"/>
          <w:spacing w:val="-3"/>
          <w:sz w:val="20"/>
        </w:rPr>
        <w:t> </w:t>
      </w:r>
      <w:r>
        <w:rPr>
          <w:color w:val="231F20"/>
          <w:sz w:val="20"/>
        </w:rPr>
        <w:t>or</w:t>
      </w:r>
      <w:r>
        <w:rPr>
          <w:color w:val="231F20"/>
          <w:spacing w:val="-3"/>
          <w:sz w:val="20"/>
        </w:rPr>
        <w:t> </w:t>
      </w:r>
      <w:r>
        <w:rPr>
          <w:color w:val="231F20"/>
          <w:sz w:val="20"/>
        </w:rPr>
        <w:t>more</w:t>
      </w:r>
      <w:r>
        <w:rPr>
          <w:color w:val="231F20"/>
          <w:spacing w:val="-3"/>
          <w:sz w:val="20"/>
        </w:rPr>
        <w:t> </w:t>
      </w:r>
      <w:r>
        <w:rPr>
          <w:color w:val="231F20"/>
          <w:sz w:val="20"/>
        </w:rPr>
        <w:t>years</w:t>
      </w:r>
      <w:r>
        <w:rPr>
          <w:color w:val="231F20"/>
          <w:spacing w:val="-3"/>
          <w:sz w:val="20"/>
        </w:rPr>
        <w:t> </w:t>
      </w:r>
      <w:r>
        <w:rPr>
          <w:color w:val="231F20"/>
          <w:sz w:val="20"/>
        </w:rPr>
        <w:t>of</w:t>
      </w:r>
      <w:r>
        <w:rPr>
          <w:color w:val="231F20"/>
          <w:spacing w:val="-4"/>
          <w:sz w:val="20"/>
        </w:rPr>
        <w:t> </w:t>
      </w:r>
      <w:r>
        <w:rPr>
          <w:color w:val="231F20"/>
          <w:sz w:val="20"/>
        </w:rPr>
        <w:t>service</w:t>
      </w:r>
      <w:r>
        <w:rPr>
          <w:color w:val="231F20"/>
          <w:spacing w:val="-3"/>
          <w:sz w:val="20"/>
        </w:rPr>
        <w:t> </w:t>
      </w:r>
      <w:r>
        <w:rPr>
          <w:color w:val="231F20"/>
          <w:spacing w:val="-2"/>
          <w:sz w:val="20"/>
        </w:rPr>
        <w:t>credit.</w:t>
      </w:r>
    </w:p>
    <w:p>
      <w:pPr>
        <w:pStyle w:val="BodyText"/>
        <w:spacing w:before="9"/>
        <w:rPr>
          <w:sz w:val="25"/>
        </w:rPr>
      </w:pPr>
    </w:p>
    <w:p>
      <w:pPr>
        <w:pStyle w:val="BodyText"/>
        <w:spacing w:line="276" w:lineRule="auto"/>
        <w:ind w:left="1440" w:right="1033"/>
        <w:jc w:val="both"/>
      </w:pPr>
      <w:r>
        <w:rPr>
          <w:i/>
          <w:color w:val="231F20"/>
        </w:rPr>
        <w:t>Forms</w:t>
      </w:r>
      <w:r>
        <w:rPr>
          <w:i/>
          <w:color w:val="231F20"/>
          <w:spacing w:val="-3"/>
        </w:rPr>
        <w:t> </w:t>
      </w:r>
      <w:r>
        <w:rPr>
          <w:i/>
          <w:color w:val="231F20"/>
        </w:rPr>
        <w:t>of</w:t>
      </w:r>
      <w:r>
        <w:rPr>
          <w:i/>
          <w:color w:val="231F20"/>
          <w:spacing w:val="-3"/>
        </w:rPr>
        <w:t> </w:t>
      </w:r>
      <w:r>
        <w:rPr>
          <w:i/>
          <w:color w:val="231F20"/>
        </w:rPr>
        <w:t>Payments</w:t>
      </w:r>
      <w:r>
        <w:rPr>
          <w:i/>
          <w:color w:val="231F20"/>
          <w:spacing w:val="-2"/>
        </w:rPr>
        <w:t> </w:t>
      </w:r>
      <w:r>
        <w:rPr>
          <w:color w:val="231F20"/>
        </w:rPr>
        <w:t>–</w:t>
      </w:r>
      <w:r>
        <w:rPr>
          <w:color w:val="231F20"/>
          <w:spacing w:val="-3"/>
        </w:rPr>
        <w:t> </w:t>
      </w:r>
      <w:r>
        <w:rPr>
          <w:color w:val="231F20"/>
        </w:rPr>
        <w:t>The</w:t>
      </w:r>
      <w:r>
        <w:rPr>
          <w:color w:val="231F20"/>
          <w:spacing w:val="-3"/>
        </w:rPr>
        <w:t> </w:t>
      </w:r>
      <w:r>
        <w:rPr>
          <w:color w:val="231F20"/>
        </w:rPr>
        <w:t>benefit</w:t>
      </w:r>
      <w:r>
        <w:rPr>
          <w:color w:val="231F20"/>
          <w:spacing w:val="-3"/>
        </w:rPr>
        <w:t> </w:t>
      </w:r>
      <w:r>
        <w:rPr>
          <w:color w:val="231F20"/>
        </w:rPr>
        <w:t>is</w:t>
      </w:r>
      <w:r>
        <w:rPr>
          <w:color w:val="231F20"/>
          <w:spacing w:val="-3"/>
        </w:rPr>
        <w:t> </w:t>
      </w:r>
      <w:r>
        <w:rPr>
          <w:color w:val="231F20"/>
        </w:rPr>
        <w:t>paid</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monthly</w:t>
      </w:r>
      <w:r>
        <w:rPr>
          <w:color w:val="231F20"/>
          <w:spacing w:val="-3"/>
        </w:rPr>
        <w:t> </w:t>
      </w:r>
      <w:r>
        <w:rPr>
          <w:color w:val="231F20"/>
        </w:rPr>
        <w:t>life</w:t>
      </w:r>
      <w:r>
        <w:rPr>
          <w:color w:val="231F20"/>
          <w:spacing w:val="-3"/>
        </w:rPr>
        <w:t> </w:t>
      </w:r>
      <w:r>
        <w:rPr>
          <w:color w:val="231F20"/>
        </w:rPr>
        <w:t>annuity</w:t>
      </w:r>
      <w:r>
        <w:rPr>
          <w:color w:val="231F20"/>
          <w:spacing w:val="-2"/>
        </w:rPr>
        <w:t> </w:t>
      </w:r>
      <w:r>
        <w:rPr>
          <w:color w:val="231F20"/>
        </w:rPr>
        <w:t>with</w:t>
      </w:r>
      <w:r>
        <w:rPr>
          <w:color w:val="231F20"/>
          <w:spacing w:val="-3"/>
        </w:rPr>
        <w:t> </w:t>
      </w:r>
      <w:r>
        <w:rPr>
          <w:color w:val="231F20"/>
        </w:rPr>
        <w:t>a</w:t>
      </w:r>
      <w:r>
        <w:rPr>
          <w:color w:val="231F20"/>
          <w:spacing w:val="-3"/>
        </w:rPr>
        <w:t> </w:t>
      </w:r>
      <w:r>
        <w:rPr>
          <w:color w:val="231F20"/>
        </w:rPr>
        <w:t>guarantee</w:t>
      </w:r>
      <w:r>
        <w:rPr>
          <w:color w:val="231F20"/>
          <w:spacing w:val="-3"/>
        </w:rPr>
        <w:t> </w:t>
      </w:r>
      <w:r>
        <w:rPr>
          <w:color w:val="231F20"/>
        </w:rPr>
        <w:t>that,</w:t>
      </w:r>
      <w:r>
        <w:rPr>
          <w:color w:val="231F20"/>
          <w:spacing w:val="-3"/>
        </w:rPr>
        <w:t> </w:t>
      </w:r>
      <w:r>
        <w:rPr>
          <w:color w:val="231F20"/>
        </w:rPr>
        <w:t>if</w:t>
      </w:r>
      <w:r>
        <w:rPr>
          <w:color w:val="231F20"/>
          <w:spacing w:val="-2"/>
        </w:rPr>
        <w:t> </w:t>
      </w:r>
      <w:r>
        <w:rPr>
          <w:color w:val="231F20"/>
        </w:rPr>
        <w:t>the</w:t>
      </w:r>
      <w:r>
        <w:rPr>
          <w:color w:val="231F20"/>
          <w:spacing w:val="-3"/>
        </w:rPr>
        <w:t> </w:t>
      </w:r>
      <w:r>
        <w:rPr>
          <w:color w:val="231F20"/>
        </w:rPr>
        <w:t>payments made</w:t>
      </w:r>
      <w:r>
        <w:rPr>
          <w:color w:val="231F20"/>
          <w:spacing w:val="-2"/>
        </w:rPr>
        <w:t> </w:t>
      </w:r>
      <w:r>
        <w:rPr>
          <w:color w:val="231F20"/>
        </w:rPr>
        <w:t>do</w:t>
      </w:r>
      <w:r>
        <w:rPr>
          <w:color w:val="231F20"/>
          <w:spacing w:val="-2"/>
        </w:rPr>
        <w:t> </w:t>
      </w:r>
      <w:r>
        <w:rPr>
          <w:color w:val="231F20"/>
        </w:rPr>
        <w:t>not</w:t>
      </w:r>
      <w:r>
        <w:rPr>
          <w:color w:val="231F20"/>
          <w:spacing w:val="-2"/>
        </w:rPr>
        <w:t> </w:t>
      </w:r>
      <w:r>
        <w:rPr>
          <w:color w:val="231F20"/>
        </w:rPr>
        <w:t>exceed</w:t>
      </w:r>
      <w:r>
        <w:rPr>
          <w:color w:val="231F20"/>
          <w:spacing w:val="-2"/>
        </w:rPr>
        <w:t> </w:t>
      </w:r>
      <w:r>
        <w:rPr>
          <w:color w:val="231F20"/>
        </w:rPr>
        <w:t>the</w:t>
      </w:r>
      <w:r>
        <w:rPr>
          <w:color w:val="231F20"/>
          <w:spacing w:val="-2"/>
        </w:rPr>
        <w:t> </w:t>
      </w:r>
      <w:r>
        <w:rPr>
          <w:color w:val="231F20"/>
        </w:rPr>
        <w:t>member’s</w:t>
      </w:r>
      <w:r>
        <w:rPr>
          <w:color w:val="231F20"/>
          <w:spacing w:val="-2"/>
        </w:rPr>
        <w:t> </w:t>
      </w:r>
      <w:r>
        <w:rPr>
          <w:color w:val="231F20"/>
        </w:rPr>
        <w:t>accumulated</w:t>
      </w:r>
      <w:r>
        <w:rPr>
          <w:color w:val="231F20"/>
          <w:spacing w:val="-2"/>
        </w:rPr>
        <w:t> </w:t>
      </w:r>
      <w:r>
        <w:rPr>
          <w:color w:val="231F20"/>
        </w:rPr>
        <w:t>contributions</w:t>
      </w:r>
      <w:r>
        <w:rPr>
          <w:color w:val="231F20"/>
          <w:spacing w:val="-2"/>
        </w:rPr>
        <w:t> </w:t>
      </w:r>
      <w:r>
        <w:rPr>
          <w:color w:val="231F20"/>
        </w:rPr>
        <w:t>plus</w:t>
      </w:r>
      <w:r>
        <w:rPr>
          <w:color w:val="231F20"/>
          <w:spacing w:val="-2"/>
        </w:rPr>
        <w:t> </w:t>
      </w:r>
      <w:r>
        <w:rPr>
          <w:color w:val="231F20"/>
        </w:rPr>
        <w:t>accumulated</w:t>
      </w:r>
      <w:r>
        <w:rPr>
          <w:color w:val="231F20"/>
          <w:spacing w:val="-3"/>
        </w:rPr>
        <w:t> </w:t>
      </w:r>
      <w:r>
        <w:rPr>
          <w:color w:val="231F20"/>
        </w:rPr>
        <w:t>interest,</w:t>
      </w:r>
      <w:r>
        <w:rPr>
          <w:color w:val="231F20"/>
          <w:spacing w:val="-2"/>
        </w:rPr>
        <w:t> </w:t>
      </w:r>
      <w:r>
        <w:rPr>
          <w:color w:val="231F20"/>
        </w:rPr>
        <w:t>determined</w:t>
      </w:r>
      <w:r>
        <w:rPr>
          <w:color w:val="231F20"/>
          <w:spacing w:val="-2"/>
        </w:rPr>
        <w:t> </w:t>
      </w:r>
      <w:r>
        <w:rPr>
          <w:color w:val="231F20"/>
        </w:rPr>
        <w:t>as of the date of retirement, the balance will be paid in a lump sum to the member’s surviving beneficiary.</w:t>
      </w:r>
    </w:p>
    <w:p>
      <w:pPr>
        <w:pStyle w:val="BodyText"/>
        <w:spacing w:before="11"/>
        <w:rPr>
          <w:sz w:val="22"/>
        </w:rPr>
      </w:pPr>
    </w:p>
    <w:p>
      <w:pPr>
        <w:spacing w:before="0"/>
        <w:ind w:left="1440" w:right="0" w:firstLine="0"/>
        <w:jc w:val="both"/>
        <w:rPr>
          <w:sz w:val="20"/>
        </w:rPr>
      </w:pPr>
      <w:r>
        <w:rPr>
          <w:i/>
          <w:color w:val="231F20"/>
          <w:sz w:val="20"/>
        </w:rPr>
        <w:t>Benefit</w:t>
      </w:r>
      <w:r>
        <w:rPr>
          <w:i/>
          <w:color w:val="231F20"/>
          <w:spacing w:val="-6"/>
          <w:sz w:val="20"/>
        </w:rPr>
        <w:t> </w:t>
      </w:r>
      <w:r>
        <w:rPr>
          <w:i/>
          <w:color w:val="231F20"/>
          <w:sz w:val="20"/>
        </w:rPr>
        <w:t>Options</w:t>
      </w:r>
      <w:r>
        <w:rPr>
          <w:i/>
          <w:color w:val="231F20"/>
          <w:spacing w:val="-4"/>
          <w:sz w:val="20"/>
        </w:rPr>
        <w:t> </w:t>
      </w:r>
      <w:r>
        <w:rPr>
          <w:color w:val="231F20"/>
          <w:sz w:val="20"/>
        </w:rPr>
        <w:t>–</w:t>
      </w:r>
      <w:r>
        <w:rPr>
          <w:color w:val="231F20"/>
          <w:spacing w:val="-6"/>
          <w:sz w:val="20"/>
        </w:rPr>
        <w:t> </w:t>
      </w:r>
      <w:r>
        <w:rPr>
          <w:color w:val="231F20"/>
          <w:sz w:val="20"/>
        </w:rPr>
        <w:t>The</w:t>
      </w:r>
      <w:r>
        <w:rPr>
          <w:color w:val="231F20"/>
          <w:spacing w:val="-5"/>
          <w:sz w:val="20"/>
        </w:rPr>
        <w:t> </w:t>
      </w:r>
      <w:r>
        <w:rPr>
          <w:color w:val="231F20"/>
          <w:sz w:val="20"/>
        </w:rPr>
        <w:t>Plan</w:t>
      </w:r>
      <w:r>
        <w:rPr>
          <w:color w:val="231F20"/>
          <w:spacing w:val="-5"/>
          <w:sz w:val="20"/>
        </w:rPr>
        <w:t> </w:t>
      </w:r>
      <w:r>
        <w:rPr>
          <w:color w:val="231F20"/>
          <w:sz w:val="20"/>
        </w:rPr>
        <w:t>has</w:t>
      </w:r>
      <w:r>
        <w:rPr>
          <w:color w:val="231F20"/>
          <w:spacing w:val="-6"/>
          <w:sz w:val="20"/>
        </w:rPr>
        <w:t> </w:t>
      </w:r>
      <w:r>
        <w:rPr>
          <w:color w:val="231F20"/>
          <w:sz w:val="20"/>
        </w:rPr>
        <w:t>three</w:t>
      </w:r>
      <w:r>
        <w:rPr>
          <w:color w:val="231F20"/>
          <w:spacing w:val="-5"/>
          <w:sz w:val="20"/>
        </w:rPr>
        <w:t> </w:t>
      </w:r>
      <w:r>
        <w:rPr>
          <w:color w:val="231F20"/>
          <w:sz w:val="20"/>
        </w:rPr>
        <w:t>benefit</w:t>
      </w:r>
      <w:r>
        <w:rPr>
          <w:color w:val="231F20"/>
          <w:spacing w:val="-5"/>
          <w:sz w:val="20"/>
        </w:rPr>
        <w:t> </w:t>
      </w:r>
      <w:r>
        <w:rPr>
          <w:color w:val="231F20"/>
          <w:sz w:val="20"/>
        </w:rPr>
        <w:t>options</w:t>
      </w:r>
      <w:r>
        <w:rPr>
          <w:color w:val="231F20"/>
          <w:spacing w:val="-5"/>
          <w:sz w:val="20"/>
        </w:rPr>
        <w:t> </w:t>
      </w:r>
      <w:r>
        <w:rPr>
          <w:color w:val="231F20"/>
          <w:spacing w:val="-2"/>
          <w:sz w:val="20"/>
        </w:rPr>
        <w:t>available.</w:t>
      </w:r>
    </w:p>
    <w:p>
      <w:pPr>
        <w:pStyle w:val="BodyText"/>
        <w:spacing w:before="1"/>
        <w:rPr>
          <w:sz w:val="26"/>
        </w:rPr>
      </w:pPr>
    </w:p>
    <w:p>
      <w:pPr>
        <w:pStyle w:val="ListParagraph"/>
        <w:numPr>
          <w:ilvl w:val="0"/>
          <w:numId w:val="10"/>
        </w:numPr>
        <w:tabs>
          <w:tab w:pos="2160" w:val="left" w:leader="none"/>
          <w:tab w:pos="2161" w:val="left" w:leader="none"/>
        </w:tabs>
        <w:spacing w:line="273" w:lineRule="auto" w:before="1" w:after="0"/>
        <w:ind w:left="2160" w:right="1274" w:hanging="361"/>
        <w:jc w:val="left"/>
        <w:rPr>
          <w:sz w:val="20"/>
        </w:rPr>
      </w:pPr>
      <w:r>
        <w:rPr>
          <w:b/>
          <w:color w:val="231F20"/>
          <w:sz w:val="20"/>
        </w:rPr>
        <w:t>Option A </w:t>
      </w:r>
      <w:r>
        <w:rPr>
          <w:color w:val="231F20"/>
          <w:sz w:val="20"/>
        </w:rPr>
        <w:t>– </w:t>
      </w:r>
      <w:r>
        <w:rPr>
          <w:b/>
          <w:color w:val="231F20"/>
          <w:sz w:val="20"/>
        </w:rPr>
        <w:t>Straight Life Benefit </w:t>
      </w:r>
      <w:r>
        <w:rPr>
          <w:color w:val="231F20"/>
          <w:sz w:val="20"/>
        </w:rPr>
        <w:t>– The single life annuity option has no reductions to the monthly benefit, and there is no continuing benefit due to a beneficiary or estate, except the balance,</w:t>
      </w:r>
      <w:r>
        <w:rPr>
          <w:color w:val="231F20"/>
          <w:spacing w:val="-3"/>
          <w:sz w:val="20"/>
        </w:rPr>
        <w:t> </w:t>
      </w:r>
      <w:r>
        <w:rPr>
          <w:color w:val="231F20"/>
          <w:sz w:val="20"/>
        </w:rPr>
        <w:t>if</w:t>
      </w:r>
      <w:r>
        <w:rPr>
          <w:color w:val="231F20"/>
          <w:spacing w:val="-3"/>
          <w:sz w:val="20"/>
        </w:rPr>
        <w:t> </w:t>
      </w:r>
      <w:r>
        <w:rPr>
          <w:color w:val="231F20"/>
          <w:sz w:val="20"/>
        </w:rPr>
        <w:t>any,</w:t>
      </w:r>
      <w:r>
        <w:rPr>
          <w:color w:val="231F20"/>
          <w:spacing w:val="-3"/>
          <w:sz w:val="20"/>
        </w:rPr>
        <w:t> </w:t>
      </w:r>
      <w:r>
        <w:rPr>
          <w:color w:val="231F20"/>
          <w:sz w:val="20"/>
        </w:rPr>
        <w:t>of</w:t>
      </w:r>
      <w:r>
        <w:rPr>
          <w:color w:val="231F20"/>
          <w:spacing w:val="-3"/>
          <w:sz w:val="20"/>
        </w:rPr>
        <w:t> </w:t>
      </w:r>
      <w:r>
        <w:rPr>
          <w:color w:val="231F20"/>
          <w:sz w:val="20"/>
        </w:rPr>
        <w:t>member</w:t>
      </w:r>
      <w:r>
        <w:rPr>
          <w:color w:val="231F20"/>
          <w:spacing w:val="-2"/>
          <w:sz w:val="20"/>
        </w:rPr>
        <w:t> </w:t>
      </w:r>
      <w:r>
        <w:rPr>
          <w:color w:val="231F20"/>
          <w:sz w:val="20"/>
        </w:rPr>
        <w:t>contributions</w:t>
      </w:r>
      <w:r>
        <w:rPr>
          <w:color w:val="231F20"/>
          <w:spacing w:val="-4"/>
          <w:sz w:val="20"/>
        </w:rPr>
        <w:t> </w:t>
      </w:r>
      <w:r>
        <w:rPr>
          <w:color w:val="231F20"/>
          <w:sz w:val="20"/>
        </w:rPr>
        <w:t>plus</w:t>
      </w:r>
      <w:r>
        <w:rPr>
          <w:color w:val="231F20"/>
          <w:spacing w:val="-3"/>
          <w:sz w:val="20"/>
        </w:rPr>
        <w:t> </w:t>
      </w:r>
      <w:r>
        <w:rPr>
          <w:color w:val="231F20"/>
          <w:sz w:val="20"/>
        </w:rPr>
        <w:t>interest</w:t>
      </w:r>
      <w:r>
        <w:rPr>
          <w:color w:val="231F20"/>
          <w:spacing w:val="-3"/>
          <w:sz w:val="20"/>
        </w:rPr>
        <w:t> </w:t>
      </w:r>
      <w:r>
        <w:rPr>
          <w:color w:val="231F20"/>
          <w:sz w:val="20"/>
        </w:rPr>
        <w:t>less</w:t>
      </w:r>
      <w:r>
        <w:rPr>
          <w:color w:val="231F20"/>
          <w:spacing w:val="-3"/>
          <w:sz w:val="20"/>
        </w:rPr>
        <w:t> </w:t>
      </w:r>
      <w:r>
        <w:rPr>
          <w:color w:val="231F20"/>
          <w:sz w:val="20"/>
        </w:rPr>
        <w:t>benefits</w:t>
      </w:r>
      <w:r>
        <w:rPr>
          <w:color w:val="231F20"/>
          <w:spacing w:val="-3"/>
          <w:sz w:val="20"/>
        </w:rPr>
        <w:t> </w:t>
      </w:r>
      <w:r>
        <w:rPr>
          <w:color w:val="231F20"/>
          <w:sz w:val="20"/>
        </w:rPr>
        <w:t>paid</w:t>
      </w:r>
      <w:r>
        <w:rPr>
          <w:color w:val="231F20"/>
          <w:spacing w:val="-3"/>
          <w:sz w:val="20"/>
        </w:rPr>
        <w:t> </w:t>
      </w:r>
      <w:r>
        <w:rPr>
          <w:color w:val="231F20"/>
          <w:sz w:val="20"/>
        </w:rPr>
        <w:t>prior</w:t>
      </w:r>
      <w:r>
        <w:rPr>
          <w:color w:val="231F20"/>
          <w:spacing w:val="-3"/>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z w:val="20"/>
        </w:rPr>
        <w:t>member’s </w:t>
      </w:r>
      <w:r>
        <w:rPr>
          <w:color w:val="231F20"/>
          <w:spacing w:val="-2"/>
          <w:sz w:val="20"/>
        </w:rPr>
        <w:t>death.</w:t>
      </w:r>
    </w:p>
    <w:p>
      <w:pPr>
        <w:spacing w:after="0" w:line="273" w:lineRule="auto"/>
        <w:jc w:val="left"/>
        <w:rPr>
          <w:sz w:val="20"/>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3"/>
        </w:rPr>
        <w:t> </w:t>
      </w:r>
      <w:r>
        <w:rPr>
          <w:color w:val="231F20"/>
        </w:rPr>
        <w:t>9</w:t>
      </w:r>
      <w:r>
        <w:rPr>
          <w:color w:val="231F20"/>
          <w:spacing w:val="-2"/>
        </w:rPr>
        <w:t> </w:t>
      </w:r>
      <w:r>
        <w:rPr>
          <w:color w:val="231F20"/>
        </w:rPr>
        <w:t>–</w:t>
      </w:r>
      <w:r>
        <w:rPr>
          <w:color w:val="231F20"/>
          <w:spacing w:val="-3"/>
        </w:rPr>
        <w:t> </w:t>
      </w:r>
      <w:r>
        <w:rPr>
          <w:color w:val="231F20"/>
        </w:rPr>
        <w:t>Defined</w:t>
      </w:r>
      <w:r>
        <w:rPr>
          <w:color w:val="231F20"/>
          <w:spacing w:val="-2"/>
        </w:rPr>
        <w:t> </w:t>
      </w:r>
      <w:r>
        <w:rPr>
          <w:color w:val="231F20"/>
        </w:rPr>
        <w:t>Benefit</w:t>
      </w:r>
      <w:r>
        <w:rPr>
          <w:color w:val="231F20"/>
          <w:spacing w:val="-3"/>
        </w:rPr>
        <w:t> </w:t>
      </w:r>
      <w:r>
        <w:rPr>
          <w:color w:val="231F20"/>
        </w:rPr>
        <w:t>Retirement</w:t>
      </w:r>
      <w:r>
        <w:rPr>
          <w:color w:val="231F20"/>
          <w:spacing w:val="-3"/>
        </w:rPr>
        <w:t> </w:t>
      </w:r>
      <w:r>
        <w:rPr>
          <w:color w:val="231F20"/>
        </w:rPr>
        <w:t>Plan</w:t>
      </w:r>
      <w:r>
        <w:rPr>
          <w:color w:val="231F20"/>
          <w:spacing w:val="-2"/>
        </w:rPr>
        <w:t> (continued)</w:t>
      </w:r>
    </w:p>
    <w:p>
      <w:pPr>
        <w:pStyle w:val="BodyText"/>
        <w:spacing w:before="1"/>
        <w:rPr>
          <w:b/>
          <w:sz w:val="23"/>
        </w:rPr>
      </w:pPr>
    </w:p>
    <w:p>
      <w:pPr>
        <w:pStyle w:val="ListParagraph"/>
        <w:numPr>
          <w:ilvl w:val="0"/>
          <w:numId w:val="10"/>
        </w:numPr>
        <w:tabs>
          <w:tab w:pos="2159" w:val="left" w:leader="none"/>
          <w:tab w:pos="2160" w:val="left" w:leader="none"/>
        </w:tabs>
        <w:spacing w:line="276" w:lineRule="auto" w:before="0" w:after="0"/>
        <w:ind w:left="2160" w:right="974" w:hanging="361"/>
        <w:jc w:val="left"/>
        <w:rPr>
          <w:sz w:val="20"/>
        </w:rPr>
      </w:pPr>
      <w:r>
        <w:rPr>
          <w:b/>
          <w:color w:val="231F20"/>
          <w:sz w:val="20"/>
        </w:rPr>
        <w:t>Option B</w:t>
      </w:r>
      <w:r>
        <w:rPr>
          <w:b/>
          <w:color w:val="231F20"/>
          <w:spacing w:val="-1"/>
          <w:sz w:val="20"/>
        </w:rPr>
        <w:t> </w:t>
      </w:r>
      <w:r>
        <w:rPr>
          <w:color w:val="231F20"/>
          <w:sz w:val="20"/>
        </w:rPr>
        <w:t>– </w:t>
      </w:r>
      <w:r>
        <w:rPr>
          <w:b/>
          <w:color w:val="231F20"/>
          <w:sz w:val="20"/>
        </w:rPr>
        <w:t>Joint 100% Survivor Benefit </w:t>
      </w:r>
      <w:r>
        <w:rPr>
          <w:color w:val="231F20"/>
          <w:sz w:val="20"/>
        </w:rPr>
        <w:t>– The</w:t>
      </w:r>
      <w:r>
        <w:rPr>
          <w:color w:val="231F20"/>
          <w:spacing w:val="-1"/>
          <w:sz w:val="20"/>
        </w:rPr>
        <w:t> </w:t>
      </w:r>
      <w:r>
        <w:rPr>
          <w:color w:val="231F20"/>
          <w:sz w:val="20"/>
        </w:rPr>
        <w:t>single life annuity</w:t>
      </w:r>
      <w:r>
        <w:rPr>
          <w:color w:val="231F20"/>
          <w:spacing w:val="-1"/>
          <w:sz w:val="20"/>
        </w:rPr>
        <w:t> </w:t>
      </w:r>
      <w:r>
        <w:rPr>
          <w:color w:val="231F20"/>
          <w:sz w:val="20"/>
        </w:rPr>
        <w:t>monthly benefit is reduced</w:t>
      </w:r>
      <w:r>
        <w:rPr>
          <w:color w:val="231F20"/>
          <w:spacing w:val="-1"/>
          <w:sz w:val="20"/>
        </w:rPr>
        <w:t> </w:t>
      </w:r>
      <w:r>
        <w:rPr>
          <w:color w:val="231F20"/>
          <w:sz w:val="20"/>
        </w:rPr>
        <w:t>to provide for a 100% survivor’s benefit. The reduced benefit is payable during the life of the member,</w:t>
      </w:r>
      <w:r>
        <w:rPr>
          <w:color w:val="231F20"/>
          <w:spacing w:val="-3"/>
          <w:sz w:val="20"/>
        </w:rPr>
        <w:t> </w:t>
      </w:r>
      <w:r>
        <w:rPr>
          <w:color w:val="231F20"/>
          <w:sz w:val="20"/>
        </w:rPr>
        <w:t>with</w:t>
      </w:r>
      <w:r>
        <w:rPr>
          <w:color w:val="231F20"/>
          <w:spacing w:val="-4"/>
          <w:sz w:val="20"/>
        </w:rPr>
        <w:t> </w:t>
      </w:r>
      <w:r>
        <w:rPr>
          <w:color w:val="231F20"/>
          <w:sz w:val="20"/>
        </w:rPr>
        <w:t>the</w:t>
      </w:r>
      <w:r>
        <w:rPr>
          <w:color w:val="231F20"/>
          <w:spacing w:val="-3"/>
          <w:sz w:val="20"/>
        </w:rPr>
        <w:t> </w:t>
      </w:r>
      <w:r>
        <w:rPr>
          <w:color w:val="231F20"/>
          <w:sz w:val="20"/>
        </w:rPr>
        <w:t>provision</w:t>
      </w:r>
      <w:r>
        <w:rPr>
          <w:color w:val="231F20"/>
          <w:spacing w:val="-4"/>
          <w:sz w:val="20"/>
        </w:rPr>
        <w:t> </w:t>
      </w:r>
      <w:r>
        <w:rPr>
          <w:color w:val="231F20"/>
          <w:sz w:val="20"/>
        </w:rPr>
        <w:t>that,</w:t>
      </w:r>
      <w:r>
        <w:rPr>
          <w:color w:val="231F20"/>
          <w:spacing w:val="-3"/>
          <w:sz w:val="20"/>
        </w:rPr>
        <w:t> </w:t>
      </w:r>
      <w:r>
        <w:rPr>
          <w:color w:val="231F20"/>
          <w:sz w:val="20"/>
        </w:rPr>
        <w:t>upon</w:t>
      </w:r>
      <w:r>
        <w:rPr>
          <w:color w:val="231F20"/>
          <w:spacing w:val="-3"/>
          <w:sz w:val="20"/>
        </w:rPr>
        <w:t> </w:t>
      </w:r>
      <w:r>
        <w:rPr>
          <w:color w:val="231F20"/>
          <w:sz w:val="20"/>
        </w:rPr>
        <w:t>death,</w:t>
      </w:r>
      <w:r>
        <w:rPr>
          <w:color w:val="231F20"/>
          <w:spacing w:val="-3"/>
          <w:sz w:val="20"/>
        </w:rPr>
        <w:t> </w:t>
      </w:r>
      <w:r>
        <w:rPr>
          <w:color w:val="231F20"/>
          <w:sz w:val="20"/>
        </w:rPr>
        <w:t>the</w:t>
      </w:r>
      <w:r>
        <w:rPr>
          <w:color w:val="231F20"/>
          <w:spacing w:val="-3"/>
          <w:sz w:val="20"/>
        </w:rPr>
        <w:t> </w:t>
      </w:r>
      <w:r>
        <w:rPr>
          <w:color w:val="231F20"/>
          <w:sz w:val="20"/>
        </w:rPr>
        <w:t>same</w:t>
      </w:r>
      <w:r>
        <w:rPr>
          <w:color w:val="231F20"/>
          <w:spacing w:val="-4"/>
          <w:sz w:val="20"/>
        </w:rPr>
        <w:t> </w:t>
      </w:r>
      <w:r>
        <w:rPr>
          <w:color w:val="231F20"/>
          <w:sz w:val="20"/>
        </w:rPr>
        <w:t>benefit</w:t>
      </w:r>
      <w:r>
        <w:rPr>
          <w:color w:val="231F20"/>
          <w:spacing w:val="-3"/>
          <w:sz w:val="20"/>
        </w:rPr>
        <w:t> </w:t>
      </w:r>
      <w:r>
        <w:rPr>
          <w:color w:val="231F20"/>
          <w:sz w:val="20"/>
        </w:rPr>
        <w:t>is</w:t>
      </w:r>
      <w:r>
        <w:rPr>
          <w:color w:val="231F20"/>
          <w:spacing w:val="-3"/>
          <w:sz w:val="20"/>
        </w:rPr>
        <w:t> </w:t>
      </w:r>
      <w:r>
        <w:rPr>
          <w:color w:val="231F20"/>
          <w:sz w:val="20"/>
        </w:rPr>
        <w:t>paid</w:t>
      </w:r>
      <w:r>
        <w:rPr>
          <w:color w:val="231F20"/>
          <w:spacing w:val="-3"/>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z w:val="20"/>
        </w:rPr>
        <w:t>beneficiary</w:t>
      </w:r>
      <w:r>
        <w:rPr>
          <w:color w:val="231F20"/>
          <w:spacing w:val="-3"/>
          <w:sz w:val="20"/>
        </w:rPr>
        <w:t> </w:t>
      </w:r>
      <w:r>
        <w:rPr>
          <w:color w:val="231F20"/>
          <w:sz w:val="20"/>
        </w:rPr>
        <w:t>for</w:t>
      </w:r>
      <w:r>
        <w:rPr>
          <w:color w:val="231F20"/>
          <w:spacing w:val="-3"/>
          <w:sz w:val="20"/>
        </w:rPr>
        <w:t> </w:t>
      </w:r>
      <w:r>
        <w:rPr>
          <w:color w:val="231F20"/>
          <w:sz w:val="20"/>
        </w:rPr>
        <w:t>his</w:t>
      </w:r>
      <w:r>
        <w:rPr>
          <w:color w:val="231F20"/>
          <w:spacing w:val="-4"/>
          <w:sz w:val="20"/>
        </w:rPr>
        <w:t> </w:t>
      </w:r>
      <w:r>
        <w:rPr>
          <w:color w:val="231F20"/>
          <w:sz w:val="20"/>
        </w:rPr>
        <w:t>or her lifetime. If the beneficiary predeceases the member, the member’s monthly benefit is increased to the amount the member would have received under Option A Straight Life benefit. The member’s increased monthly benefit commences in the month following the beneficiary’s </w:t>
      </w:r>
      <w:r>
        <w:rPr>
          <w:color w:val="231F20"/>
          <w:spacing w:val="-2"/>
          <w:sz w:val="20"/>
        </w:rPr>
        <w:t>death.</w:t>
      </w:r>
    </w:p>
    <w:p>
      <w:pPr>
        <w:pStyle w:val="ListParagraph"/>
        <w:numPr>
          <w:ilvl w:val="0"/>
          <w:numId w:val="10"/>
        </w:numPr>
        <w:tabs>
          <w:tab w:pos="2160" w:val="left" w:leader="none"/>
          <w:tab w:pos="2161" w:val="left" w:leader="none"/>
        </w:tabs>
        <w:spacing w:line="276" w:lineRule="auto" w:before="116" w:after="0"/>
        <w:ind w:left="2160" w:right="872" w:hanging="361"/>
        <w:jc w:val="left"/>
        <w:rPr>
          <w:sz w:val="20"/>
        </w:rPr>
      </w:pPr>
      <w:r>
        <w:rPr>
          <w:b/>
          <w:color w:val="231F20"/>
          <w:sz w:val="20"/>
        </w:rPr>
        <w:t>Option C </w:t>
      </w:r>
      <w:r>
        <w:rPr>
          <w:color w:val="231F20"/>
          <w:sz w:val="20"/>
        </w:rPr>
        <w:t>– </w:t>
      </w:r>
      <w:r>
        <w:rPr>
          <w:b/>
          <w:color w:val="231F20"/>
          <w:sz w:val="20"/>
        </w:rPr>
        <w:t>Joint 50% Survivor Benefit </w:t>
      </w:r>
      <w:r>
        <w:rPr>
          <w:color w:val="231F20"/>
          <w:sz w:val="20"/>
        </w:rPr>
        <w:t>– The single life annuity monthly benefit is reduced to provide</w:t>
      </w:r>
      <w:r>
        <w:rPr>
          <w:color w:val="231F20"/>
          <w:spacing w:val="-3"/>
          <w:sz w:val="20"/>
        </w:rPr>
        <w:t> </w:t>
      </w:r>
      <w:r>
        <w:rPr>
          <w:color w:val="231F20"/>
          <w:sz w:val="20"/>
        </w:rPr>
        <w:t>for</w:t>
      </w:r>
      <w:r>
        <w:rPr>
          <w:color w:val="231F20"/>
          <w:spacing w:val="-3"/>
          <w:sz w:val="20"/>
        </w:rPr>
        <w:t> </w:t>
      </w:r>
      <w:r>
        <w:rPr>
          <w:color w:val="231F20"/>
          <w:sz w:val="20"/>
        </w:rPr>
        <w:t>a</w:t>
      </w:r>
      <w:r>
        <w:rPr>
          <w:color w:val="231F20"/>
          <w:spacing w:val="-3"/>
          <w:sz w:val="20"/>
        </w:rPr>
        <w:t> </w:t>
      </w:r>
      <w:r>
        <w:rPr>
          <w:color w:val="231F20"/>
          <w:sz w:val="20"/>
        </w:rPr>
        <w:t>50%</w:t>
      </w:r>
      <w:r>
        <w:rPr>
          <w:color w:val="231F20"/>
          <w:spacing w:val="-4"/>
          <w:sz w:val="20"/>
        </w:rPr>
        <w:t> </w:t>
      </w:r>
      <w:r>
        <w:rPr>
          <w:color w:val="231F20"/>
          <w:sz w:val="20"/>
        </w:rPr>
        <w:t>survivor’s</w:t>
      </w:r>
      <w:r>
        <w:rPr>
          <w:color w:val="231F20"/>
          <w:spacing w:val="-3"/>
          <w:sz w:val="20"/>
        </w:rPr>
        <w:t> </w:t>
      </w:r>
      <w:r>
        <w:rPr>
          <w:color w:val="231F20"/>
          <w:sz w:val="20"/>
        </w:rPr>
        <w:t>benefit.</w:t>
      </w:r>
      <w:r>
        <w:rPr>
          <w:color w:val="231F20"/>
          <w:spacing w:val="-3"/>
          <w:sz w:val="20"/>
        </w:rPr>
        <w:t> </w:t>
      </w:r>
      <w:r>
        <w:rPr>
          <w:color w:val="231F20"/>
          <w:sz w:val="20"/>
        </w:rPr>
        <w:t>The</w:t>
      </w:r>
      <w:r>
        <w:rPr>
          <w:color w:val="231F20"/>
          <w:spacing w:val="-3"/>
          <w:sz w:val="20"/>
        </w:rPr>
        <w:t> </w:t>
      </w:r>
      <w:r>
        <w:rPr>
          <w:color w:val="231F20"/>
          <w:sz w:val="20"/>
        </w:rPr>
        <w:t>reduced</w:t>
      </w:r>
      <w:r>
        <w:rPr>
          <w:color w:val="231F20"/>
          <w:spacing w:val="-2"/>
          <w:sz w:val="20"/>
        </w:rPr>
        <w:t> </w:t>
      </w:r>
      <w:r>
        <w:rPr>
          <w:color w:val="231F20"/>
          <w:sz w:val="20"/>
        </w:rPr>
        <w:t>benefit</w:t>
      </w:r>
      <w:r>
        <w:rPr>
          <w:color w:val="231F20"/>
          <w:spacing w:val="-3"/>
          <w:sz w:val="20"/>
        </w:rPr>
        <w:t> </w:t>
      </w:r>
      <w:r>
        <w:rPr>
          <w:color w:val="231F20"/>
          <w:sz w:val="20"/>
        </w:rPr>
        <w:t>is</w:t>
      </w:r>
      <w:r>
        <w:rPr>
          <w:color w:val="231F20"/>
          <w:spacing w:val="-3"/>
          <w:sz w:val="20"/>
        </w:rPr>
        <w:t> </w:t>
      </w:r>
      <w:r>
        <w:rPr>
          <w:color w:val="231F20"/>
          <w:sz w:val="20"/>
        </w:rPr>
        <w:t>payable</w:t>
      </w:r>
      <w:r>
        <w:rPr>
          <w:color w:val="231F20"/>
          <w:spacing w:val="-4"/>
          <w:sz w:val="20"/>
        </w:rPr>
        <w:t> </w:t>
      </w:r>
      <w:r>
        <w:rPr>
          <w:color w:val="231F20"/>
          <w:sz w:val="20"/>
        </w:rPr>
        <w:t>during</w:t>
      </w:r>
      <w:r>
        <w:rPr>
          <w:color w:val="231F20"/>
          <w:spacing w:val="-3"/>
          <w:sz w:val="20"/>
        </w:rPr>
        <w:t> </w:t>
      </w:r>
      <w:r>
        <w:rPr>
          <w:color w:val="231F20"/>
          <w:sz w:val="20"/>
        </w:rPr>
        <w:t>the</w:t>
      </w:r>
      <w:r>
        <w:rPr>
          <w:color w:val="231F20"/>
          <w:spacing w:val="-3"/>
          <w:sz w:val="20"/>
        </w:rPr>
        <w:t> </w:t>
      </w:r>
      <w:r>
        <w:rPr>
          <w:color w:val="231F20"/>
          <w:sz w:val="20"/>
        </w:rPr>
        <w:t>life</w:t>
      </w:r>
      <w:r>
        <w:rPr>
          <w:color w:val="231F20"/>
          <w:spacing w:val="-3"/>
          <w:sz w:val="20"/>
        </w:rPr>
        <w:t> </w:t>
      </w:r>
      <w:r>
        <w:rPr>
          <w:color w:val="231F20"/>
          <w:sz w:val="20"/>
        </w:rPr>
        <w:t>of</w:t>
      </w:r>
      <w:r>
        <w:rPr>
          <w:color w:val="231F20"/>
          <w:spacing w:val="-3"/>
          <w:sz w:val="20"/>
        </w:rPr>
        <w:t> </w:t>
      </w:r>
      <w:r>
        <w:rPr>
          <w:color w:val="231F20"/>
          <w:sz w:val="20"/>
        </w:rPr>
        <w:t>the</w:t>
      </w:r>
      <w:r>
        <w:rPr>
          <w:color w:val="231F20"/>
          <w:spacing w:val="-3"/>
          <w:sz w:val="20"/>
        </w:rPr>
        <w:t> </w:t>
      </w:r>
      <w:r>
        <w:rPr>
          <w:color w:val="231F20"/>
          <w:sz w:val="20"/>
        </w:rPr>
        <w:t>member, with the provision that, upon death, the reduced 50% benefit is paid to the beneficiary for his or her lifetime. If the beneficiary predeceases the member, the member’s monthly benefit is increased to the amount the member would have received under Option A Straight Life benefit. The member’s increased monthly benefit commences in the month following the beneficiary’s </w:t>
      </w:r>
      <w:r>
        <w:rPr>
          <w:color w:val="231F20"/>
          <w:spacing w:val="-2"/>
          <w:sz w:val="20"/>
        </w:rPr>
        <w:t>death.</w:t>
      </w:r>
    </w:p>
    <w:p>
      <w:pPr>
        <w:pStyle w:val="BodyText"/>
        <w:spacing w:before="5"/>
        <w:rPr>
          <w:sz w:val="22"/>
        </w:rPr>
      </w:pPr>
    </w:p>
    <w:p>
      <w:pPr>
        <w:pStyle w:val="BodyText"/>
        <w:spacing w:line="276" w:lineRule="auto" w:before="1"/>
        <w:ind w:left="1440" w:right="891"/>
      </w:pPr>
      <w:r>
        <w:rPr>
          <w:i/>
          <w:color w:val="231F20"/>
        </w:rPr>
        <w:t>Disability Benefit – </w:t>
      </w:r>
      <w:r>
        <w:rPr>
          <w:color w:val="231F20"/>
        </w:rPr>
        <w:t>An NMERB member is eligible for disability benefits if they have acquired at least ten years of earned service credit and is found totally disabled. The disability benefit is equal to 2% of the member’s</w:t>
      </w:r>
      <w:r>
        <w:rPr>
          <w:color w:val="231F20"/>
          <w:spacing w:val="-3"/>
        </w:rPr>
        <w:t> </w:t>
      </w:r>
      <w:r>
        <w:rPr>
          <w:color w:val="231F20"/>
        </w:rPr>
        <w:t>Final</w:t>
      </w:r>
      <w:r>
        <w:rPr>
          <w:color w:val="231F20"/>
          <w:spacing w:val="-3"/>
        </w:rPr>
        <w:t> </w:t>
      </w:r>
      <w:r>
        <w:rPr>
          <w:color w:val="231F20"/>
        </w:rPr>
        <w:t>Average</w:t>
      </w:r>
      <w:r>
        <w:rPr>
          <w:color w:val="231F20"/>
          <w:spacing w:val="-3"/>
        </w:rPr>
        <w:t> </w:t>
      </w:r>
      <w:r>
        <w:rPr>
          <w:color w:val="231F20"/>
        </w:rPr>
        <w:t>Salary</w:t>
      </w:r>
      <w:r>
        <w:rPr>
          <w:color w:val="231F20"/>
          <w:spacing w:val="-3"/>
        </w:rPr>
        <w:t> </w:t>
      </w:r>
      <w:r>
        <w:rPr>
          <w:color w:val="231F20"/>
        </w:rPr>
        <w:t>(FAS)</w:t>
      </w:r>
      <w:r>
        <w:rPr>
          <w:color w:val="231F20"/>
          <w:spacing w:val="-4"/>
        </w:rPr>
        <w:t> </w:t>
      </w:r>
      <w:r>
        <w:rPr>
          <w:color w:val="231F20"/>
        </w:rPr>
        <w:t>multiplied</w:t>
      </w:r>
      <w:r>
        <w:rPr>
          <w:color w:val="231F20"/>
          <w:spacing w:val="-3"/>
        </w:rPr>
        <w:t> </w:t>
      </w:r>
      <w:r>
        <w:rPr>
          <w:color w:val="231F20"/>
        </w:rPr>
        <w:t>by</w:t>
      </w:r>
      <w:r>
        <w:rPr>
          <w:color w:val="231F20"/>
          <w:spacing w:val="-2"/>
        </w:rPr>
        <w:t> </w:t>
      </w:r>
      <w:r>
        <w:rPr>
          <w:color w:val="231F20"/>
        </w:rPr>
        <w:t>the</w:t>
      </w:r>
      <w:r>
        <w:rPr>
          <w:color w:val="231F20"/>
          <w:spacing w:val="-1"/>
        </w:rPr>
        <w:t> </w:t>
      </w:r>
      <w:r>
        <w:rPr>
          <w:color w:val="231F20"/>
        </w:rPr>
        <w:t>number</w:t>
      </w:r>
      <w:r>
        <w:rPr>
          <w:color w:val="231F20"/>
          <w:spacing w:val="-3"/>
        </w:rPr>
        <w:t> </w:t>
      </w:r>
      <w:r>
        <w:rPr>
          <w:color w:val="231F20"/>
        </w:rPr>
        <w:t>of</w:t>
      </w:r>
      <w:r>
        <w:rPr>
          <w:color w:val="231F20"/>
          <w:spacing w:val="-4"/>
        </w:rPr>
        <w:t> </w:t>
      </w:r>
      <w:r>
        <w:rPr>
          <w:color w:val="231F20"/>
        </w:rPr>
        <w:t>years</w:t>
      </w:r>
      <w:r>
        <w:rPr>
          <w:color w:val="231F20"/>
          <w:spacing w:val="-3"/>
        </w:rPr>
        <w:t> </w:t>
      </w:r>
      <w:r>
        <w:rPr>
          <w:color w:val="231F20"/>
        </w:rPr>
        <w:t>of</w:t>
      </w:r>
      <w:r>
        <w:rPr>
          <w:color w:val="231F20"/>
          <w:spacing w:val="-3"/>
        </w:rPr>
        <w:t> </w:t>
      </w:r>
      <w:r>
        <w:rPr>
          <w:color w:val="231F20"/>
        </w:rPr>
        <w:t>total</w:t>
      </w:r>
      <w:r>
        <w:rPr>
          <w:color w:val="231F20"/>
          <w:spacing w:val="-4"/>
        </w:rPr>
        <w:t> </w:t>
      </w:r>
      <w:r>
        <w:rPr>
          <w:color w:val="231F20"/>
        </w:rPr>
        <w:t>service</w:t>
      </w:r>
      <w:r>
        <w:rPr>
          <w:color w:val="231F20"/>
          <w:spacing w:val="-3"/>
        </w:rPr>
        <w:t> </w:t>
      </w:r>
      <w:r>
        <w:rPr>
          <w:color w:val="231F20"/>
        </w:rPr>
        <w:t>credits.</w:t>
      </w:r>
      <w:r>
        <w:rPr>
          <w:color w:val="231F20"/>
          <w:spacing w:val="-3"/>
        </w:rPr>
        <w:t> </w:t>
      </w:r>
      <w:r>
        <w:rPr>
          <w:color w:val="231F20"/>
        </w:rPr>
        <w:t>However, the disability benefit shall not be less than the smaller of (a) one-third of the member’s FAS or (b) 2% of the member’s FAS multiplied by total years of service credit projected to age 60.</w:t>
      </w:r>
    </w:p>
    <w:p>
      <w:pPr>
        <w:pStyle w:val="BodyText"/>
        <w:rPr>
          <w:sz w:val="23"/>
        </w:rPr>
      </w:pPr>
    </w:p>
    <w:p>
      <w:pPr>
        <w:pStyle w:val="BodyText"/>
        <w:spacing w:line="276" w:lineRule="auto"/>
        <w:ind w:left="1440" w:right="891"/>
      </w:pPr>
      <w:r>
        <w:rPr>
          <w:i/>
          <w:color w:val="231F20"/>
        </w:rPr>
        <w:t>Cost</w:t>
      </w:r>
      <w:r>
        <w:rPr>
          <w:i/>
          <w:color w:val="231F20"/>
          <w:spacing w:val="-3"/>
        </w:rPr>
        <w:t> </w:t>
      </w:r>
      <w:r>
        <w:rPr>
          <w:i/>
          <w:color w:val="231F20"/>
        </w:rPr>
        <w:t>of</w:t>
      </w:r>
      <w:r>
        <w:rPr>
          <w:i/>
          <w:color w:val="231F20"/>
          <w:spacing w:val="-3"/>
        </w:rPr>
        <w:t> </w:t>
      </w:r>
      <w:r>
        <w:rPr>
          <w:i/>
          <w:color w:val="231F20"/>
        </w:rPr>
        <w:t>Living</w:t>
      </w:r>
      <w:r>
        <w:rPr>
          <w:i/>
          <w:color w:val="231F20"/>
          <w:spacing w:val="-4"/>
        </w:rPr>
        <w:t> </w:t>
      </w:r>
      <w:r>
        <w:rPr>
          <w:i/>
          <w:color w:val="231F20"/>
        </w:rPr>
        <w:t>Adjustment</w:t>
      </w:r>
      <w:r>
        <w:rPr>
          <w:i/>
          <w:color w:val="231F20"/>
          <w:spacing w:val="-1"/>
        </w:rPr>
        <w:t> </w:t>
      </w:r>
      <w:r>
        <w:rPr>
          <w:color w:val="231F20"/>
        </w:rPr>
        <w:t>(COLA)</w:t>
      </w:r>
      <w:r>
        <w:rPr>
          <w:color w:val="231F20"/>
          <w:spacing w:val="-2"/>
        </w:rPr>
        <w:t> </w:t>
      </w:r>
      <w:r>
        <w:rPr>
          <w:color w:val="231F20"/>
        </w:rPr>
        <w:t>–</w:t>
      </w:r>
      <w:r>
        <w:rPr>
          <w:color w:val="231F20"/>
          <w:spacing w:val="-3"/>
        </w:rPr>
        <w:t> </w:t>
      </w:r>
      <w:r>
        <w:rPr>
          <w:color w:val="231F20"/>
        </w:rPr>
        <w:t>All</w:t>
      </w:r>
      <w:r>
        <w:rPr>
          <w:color w:val="231F20"/>
          <w:spacing w:val="-3"/>
        </w:rPr>
        <w:t> </w:t>
      </w:r>
      <w:r>
        <w:rPr>
          <w:color w:val="231F20"/>
        </w:rPr>
        <w:t>retired</w:t>
      </w:r>
      <w:r>
        <w:rPr>
          <w:color w:val="231F20"/>
          <w:spacing w:val="-3"/>
        </w:rPr>
        <w:t> </w:t>
      </w:r>
      <w:r>
        <w:rPr>
          <w:color w:val="231F20"/>
        </w:rPr>
        <w:t>members</w:t>
      </w:r>
      <w:r>
        <w:rPr>
          <w:color w:val="231F20"/>
          <w:spacing w:val="-3"/>
        </w:rPr>
        <w:t> </w:t>
      </w:r>
      <w:r>
        <w:rPr>
          <w:color w:val="231F20"/>
        </w:rPr>
        <w:t>and</w:t>
      </w:r>
      <w:r>
        <w:rPr>
          <w:color w:val="231F20"/>
          <w:spacing w:val="-3"/>
        </w:rPr>
        <w:t> </w:t>
      </w:r>
      <w:r>
        <w:rPr>
          <w:color w:val="231F20"/>
        </w:rPr>
        <w:t>beneficiaries</w:t>
      </w:r>
      <w:r>
        <w:rPr>
          <w:color w:val="231F20"/>
          <w:spacing w:val="-4"/>
        </w:rPr>
        <w:t> </w:t>
      </w:r>
      <w:r>
        <w:rPr>
          <w:color w:val="231F20"/>
        </w:rPr>
        <w:t>receiving</w:t>
      </w:r>
      <w:r>
        <w:rPr>
          <w:color w:val="231F20"/>
          <w:spacing w:val="-3"/>
        </w:rPr>
        <w:t> </w:t>
      </w:r>
      <w:r>
        <w:rPr>
          <w:color w:val="231F20"/>
        </w:rPr>
        <w:t>benefits</w:t>
      </w:r>
      <w:r>
        <w:rPr>
          <w:color w:val="231F20"/>
          <w:spacing w:val="-3"/>
        </w:rPr>
        <w:t> </w:t>
      </w:r>
      <w:r>
        <w:rPr>
          <w:color w:val="231F20"/>
        </w:rPr>
        <w:t>may</w:t>
      </w:r>
      <w:r>
        <w:rPr>
          <w:color w:val="231F20"/>
          <w:spacing w:val="-3"/>
        </w:rPr>
        <w:t> </w:t>
      </w:r>
      <w:r>
        <w:rPr>
          <w:color w:val="231F20"/>
        </w:rPr>
        <w:t>receive an adjustment in their benefit on July 1 following the year a member retires or July 1 following the year</w:t>
      </w:r>
    </w:p>
    <w:p>
      <w:pPr>
        <w:pStyle w:val="BodyText"/>
        <w:spacing w:line="229" w:lineRule="exact"/>
        <w:ind w:left="1440"/>
      </w:pPr>
      <w:r>
        <w:rPr>
          <w:color w:val="231F20"/>
        </w:rPr>
        <w:t>a</w:t>
      </w:r>
      <w:r>
        <w:rPr>
          <w:color w:val="231F20"/>
          <w:spacing w:val="-6"/>
        </w:rPr>
        <w:t> </w:t>
      </w:r>
      <w:r>
        <w:rPr>
          <w:color w:val="231F20"/>
        </w:rPr>
        <w:t>member</w:t>
      </w:r>
      <w:r>
        <w:rPr>
          <w:color w:val="231F20"/>
          <w:spacing w:val="-4"/>
        </w:rPr>
        <w:t> </w:t>
      </w:r>
      <w:r>
        <w:rPr>
          <w:color w:val="231F20"/>
        </w:rPr>
        <w:t>reaches</w:t>
      </w:r>
      <w:r>
        <w:rPr>
          <w:color w:val="231F20"/>
          <w:spacing w:val="-5"/>
        </w:rPr>
        <w:t> </w:t>
      </w:r>
      <w:r>
        <w:rPr>
          <w:color w:val="231F20"/>
        </w:rPr>
        <w:t>the</w:t>
      </w:r>
      <w:r>
        <w:rPr>
          <w:color w:val="231F20"/>
          <w:spacing w:val="-6"/>
        </w:rPr>
        <w:t> </w:t>
      </w:r>
      <w:r>
        <w:rPr>
          <w:color w:val="231F20"/>
        </w:rPr>
        <w:t>age</w:t>
      </w:r>
      <w:r>
        <w:rPr>
          <w:color w:val="231F20"/>
          <w:spacing w:val="-5"/>
        </w:rPr>
        <w:t> </w:t>
      </w:r>
      <w:r>
        <w:rPr>
          <w:color w:val="231F20"/>
        </w:rPr>
        <w:t>below,</w:t>
      </w:r>
      <w:r>
        <w:rPr>
          <w:color w:val="231F20"/>
          <w:spacing w:val="-5"/>
        </w:rPr>
        <w:t> </w:t>
      </w:r>
      <w:r>
        <w:rPr>
          <w:color w:val="231F20"/>
        </w:rPr>
        <w:t>whichever</w:t>
      </w:r>
      <w:r>
        <w:rPr>
          <w:color w:val="231F20"/>
          <w:spacing w:val="-5"/>
        </w:rPr>
        <w:t> </w:t>
      </w:r>
      <w:r>
        <w:rPr>
          <w:color w:val="231F20"/>
        </w:rPr>
        <w:t>is</w:t>
      </w:r>
      <w:r>
        <w:rPr>
          <w:color w:val="231F20"/>
          <w:spacing w:val="-5"/>
        </w:rPr>
        <w:t> </w:t>
      </w:r>
      <w:r>
        <w:rPr>
          <w:color w:val="231F20"/>
          <w:spacing w:val="-2"/>
        </w:rPr>
        <w:t>later.</w:t>
      </w:r>
    </w:p>
    <w:p>
      <w:pPr>
        <w:pStyle w:val="BodyText"/>
        <w:spacing w:before="8"/>
        <w:rPr>
          <w:sz w:val="27"/>
        </w:rPr>
      </w:pPr>
    </w:p>
    <w:tbl>
      <w:tblPr>
        <w:tblW w:w="0" w:type="auto"/>
        <w:jc w:val="left"/>
        <w:tblInd w:w="3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2"/>
        <w:gridCol w:w="2668"/>
      </w:tblGrid>
      <w:tr>
        <w:trPr>
          <w:trHeight w:val="280" w:hRule="atLeast"/>
        </w:trPr>
        <w:tc>
          <w:tcPr>
            <w:tcW w:w="1732" w:type="dxa"/>
          </w:tcPr>
          <w:p>
            <w:pPr>
              <w:pStyle w:val="TableParagraph"/>
              <w:tabs>
                <w:tab w:pos="1537" w:val="left" w:leader="none"/>
              </w:tabs>
              <w:spacing w:line="217" w:lineRule="exact"/>
              <w:ind w:right="92"/>
              <w:jc w:val="center"/>
              <w:rPr>
                <w:sz w:val="19"/>
              </w:rPr>
            </w:pPr>
            <w:r>
              <w:rPr>
                <w:color w:val="231F20"/>
                <w:spacing w:val="54"/>
                <w:w w:val="105"/>
                <w:sz w:val="19"/>
                <w:u w:val="single" w:color="231F20"/>
              </w:rPr>
              <w:t>  </w:t>
            </w:r>
            <w:r>
              <w:rPr>
                <w:color w:val="231F20"/>
                <w:spacing w:val="-2"/>
                <w:w w:val="105"/>
                <w:sz w:val="19"/>
                <w:u w:val="single" w:color="231F20"/>
              </w:rPr>
              <w:t>Membership</w:t>
            </w:r>
            <w:r>
              <w:rPr>
                <w:color w:val="231F20"/>
                <w:sz w:val="19"/>
                <w:u w:val="single" w:color="231F20"/>
              </w:rPr>
              <w:tab/>
            </w:r>
          </w:p>
        </w:tc>
        <w:tc>
          <w:tcPr>
            <w:tcW w:w="2668" w:type="dxa"/>
          </w:tcPr>
          <w:p>
            <w:pPr>
              <w:pStyle w:val="TableParagraph"/>
              <w:tabs>
                <w:tab w:pos="362" w:val="left" w:leader="none"/>
                <w:tab w:pos="2569" w:val="left" w:leader="none"/>
              </w:tabs>
              <w:spacing w:line="217" w:lineRule="exact"/>
              <w:ind w:left="96"/>
              <w:jc w:val="center"/>
              <w:rPr>
                <w:sz w:val="19"/>
              </w:rPr>
            </w:pPr>
            <w:r>
              <w:rPr>
                <w:color w:val="231F20"/>
                <w:sz w:val="19"/>
                <w:u w:val="single" w:color="231F20"/>
              </w:rPr>
              <w:tab/>
            </w:r>
            <w:r>
              <w:rPr>
                <w:color w:val="231F20"/>
                <w:w w:val="105"/>
                <w:sz w:val="19"/>
                <w:u w:val="single" w:color="231F20"/>
              </w:rPr>
              <w:t>Age</w:t>
            </w:r>
            <w:r>
              <w:rPr>
                <w:color w:val="231F20"/>
                <w:spacing w:val="1"/>
                <w:w w:val="105"/>
                <w:sz w:val="19"/>
                <w:u w:val="single" w:color="231F20"/>
              </w:rPr>
              <w:t> </w:t>
            </w:r>
            <w:r>
              <w:rPr>
                <w:color w:val="231F20"/>
                <w:w w:val="105"/>
                <w:sz w:val="19"/>
                <w:u w:val="single" w:color="231F20"/>
              </w:rPr>
              <w:t>Eligible</w:t>
            </w:r>
            <w:r>
              <w:rPr>
                <w:color w:val="231F20"/>
                <w:spacing w:val="2"/>
                <w:w w:val="105"/>
                <w:sz w:val="19"/>
                <w:u w:val="single" w:color="231F20"/>
              </w:rPr>
              <w:t> </w:t>
            </w:r>
            <w:r>
              <w:rPr>
                <w:color w:val="231F20"/>
                <w:w w:val="105"/>
                <w:sz w:val="19"/>
                <w:u w:val="single" w:color="231F20"/>
              </w:rPr>
              <w:t>for</w:t>
            </w:r>
            <w:r>
              <w:rPr>
                <w:color w:val="231F20"/>
                <w:spacing w:val="1"/>
                <w:w w:val="105"/>
                <w:sz w:val="19"/>
                <w:u w:val="single" w:color="231F20"/>
              </w:rPr>
              <w:t> </w:t>
            </w:r>
            <w:r>
              <w:rPr>
                <w:color w:val="231F20"/>
                <w:spacing w:val="-4"/>
                <w:w w:val="105"/>
                <w:sz w:val="19"/>
                <w:u w:val="single" w:color="231F20"/>
              </w:rPr>
              <w:t>COLA</w:t>
            </w:r>
            <w:r>
              <w:rPr>
                <w:color w:val="231F20"/>
                <w:sz w:val="19"/>
                <w:u w:val="single" w:color="231F20"/>
              </w:rPr>
              <w:tab/>
            </w:r>
          </w:p>
        </w:tc>
      </w:tr>
      <w:tr>
        <w:trPr>
          <w:trHeight w:val="292" w:hRule="atLeast"/>
        </w:trPr>
        <w:tc>
          <w:tcPr>
            <w:tcW w:w="1732" w:type="dxa"/>
          </w:tcPr>
          <w:p>
            <w:pPr>
              <w:pStyle w:val="TableParagraph"/>
              <w:spacing w:line="212" w:lineRule="exact" w:before="61"/>
              <w:ind w:right="75"/>
              <w:jc w:val="center"/>
              <w:rPr>
                <w:sz w:val="19"/>
              </w:rPr>
            </w:pPr>
            <w:r>
              <w:rPr>
                <w:color w:val="231F20"/>
                <w:w w:val="105"/>
                <w:sz w:val="19"/>
              </w:rPr>
              <w:t>Tier</w:t>
            </w:r>
            <w:r>
              <w:rPr>
                <w:color w:val="231F20"/>
                <w:spacing w:val="2"/>
                <w:w w:val="105"/>
                <w:sz w:val="19"/>
              </w:rPr>
              <w:t> </w:t>
            </w:r>
            <w:r>
              <w:rPr>
                <w:color w:val="231F20"/>
                <w:spacing w:val="-10"/>
                <w:w w:val="105"/>
                <w:sz w:val="19"/>
              </w:rPr>
              <w:t>1</w:t>
            </w:r>
          </w:p>
        </w:tc>
        <w:tc>
          <w:tcPr>
            <w:tcW w:w="2668" w:type="dxa"/>
          </w:tcPr>
          <w:p>
            <w:pPr>
              <w:pStyle w:val="TableParagraph"/>
              <w:spacing w:line="212" w:lineRule="exact" w:before="61"/>
              <w:ind w:left="113"/>
              <w:jc w:val="center"/>
              <w:rPr>
                <w:sz w:val="19"/>
              </w:rPr>
            </w:pPr>
            <w:r>
              <w:rPr>
                <w:color w:val="231F20"/>
                <w:spacing w:val="-5"/>
                <w:w w:val="105"/>
                <w:sz w:val="19"/>
              </w:rPr>
              <w:t>65</w:t>
            </w:r>
          </w:p>
        </w:tc>
      </w:tr>
      <w:tr>
        <w:trPr>
          <w:trHeight w:val="242" w:hRule="atLeast"/>
        </w:trPr>
        <w:tc>
          <w:tcPr>
            <w:tcW w:w="1732" w:type="dxa"/>
          </w:tcPr>
          <w:p>
            <w:pPr>
              <w:pStyle w:val="TableParagraph"/>
              <w:spacing w:line="212" w:lineRule="exact" w:before="10"/>
              <w:ind w:right="75"/>
              <w:jc w:val="center"/>
              <w:rPr>
                <w:sz w:val="19"/>
              </w:rPr>
            </w:pPr>
            <w:r>
              <w:rPr>
                <w:color w:val="231F20"/>
                <w:w w:val="105"/>
                <w:sz w:val="19"/>
              </w:rPr>
              <w:t>Tier</w:t>
            </w:r>
            <w:r>
              <w:rPr>
                <w:color w:val="231F20"/>
                <w:spacing w:val="2"/>
                <w:w w:val="105"/>
                <w:sz w:val="19"/>
              </w:rPr>
              <w:t> </w:t>
            </w:r>
            <w:r>
              <w:rPr>
                <w:color w:val="231F20"/>
                <w:spacing w:val="-10"/>
                <w:w w:val="105"/>
                <w:sz w:val="19"/>
              </w:rPr>
              <w:t>2</w:t>
            </w:r>
          </w:p>
        </w:tc>
        <w:tc>
          <w:tcPr>
            <w:tcW w:w="2668" w:type="dxa"/>
          </w:tcPr>
          <w:p>
            <w:pPr>
              <w:pStyle w:val="TableParagraph"/>
              <w:spacing w:line="212" w:lineRule="exact" w:before="10"/>
              <w:ind w:left="113"/>
              <w:jc w:val="center"/>
              <w:rPr>
                <w:sz w:val="19"/>
              </w:rPr>
            </w:pPr>
            <w:r>
              <w:rPr>
                <w:color w:val="231F20"/>
                <w:spacing w:val="-5"/>
                <w:w w:val="105"/>
                <w:sz w:val="19"/>
              </w:rPr>
              <w:t>65</w:t>
            </w:r>
          </w:p>
        </w:tc>
      </w:tr>
      <w:tr>
        <w:trPr>
          <w:trHeight w:val="242" w:hRule="atLeast"/>
        </w:trPr>
        <w:tc>
          <w:tcPr>
            <w:tcW w:w="1732" w:type="dxa"/>
          </w:tcPr>
          <w:p>
            <w:pPr>
              <w:pStyle w:val="TableParagraph"/>
              <w:spacing w:line="212" w:lineRule="exact" w:before="10"/>
              <w:ind w:right="75"/>
              <w:jc w:val="center"/>
              <w:rPr>
                <w:sz w:val="19"/>
              </w:rPr>
            </w:pPr>
            <w:r>
              <w:rPr>
                <w:color w:val="231F20"/>
                <w:w w:val="105"/>
                <w:sz w:val="19"/>
              </w:rPr>
              <w:t>Tier</w:t>
            </w:r>
            <w:r>
              <w:rPr>
                <w:color w:val="231F20"/>
                <w:spacing w:val="2"/>
                <w:w w:val="105"/>
                <w:sz w:val="19"/>
              </w:rPr>
              <w:t> </w:t>
            </w:r>
            <w:r>
              <w:rPr>
                <w:color w:val="231F20"/>
                <w:spacing w:val="-10"/>
                <w:w w:val="105"/>
                <w:sz w:val="19"/>
              </w:rPr>
              <w:t>3</w:t>
            </w:r>
          </w:p>
        </w:tc>
        <w:tc>
          <w:tcPr>
            <w:tcW w:w="2668" w:type="dxa"/>
          </w:tcPr>
          <w:p>
            <w:pPr>
              <w:pStyle w:val="TableParagraph"/>
              <w:spacing w:line="212" w:lineRule="exact" w:before="10"/>
              <w:ind w:left="113"/>
              <w:jc w:val="center"/>
              <w:rPr>
                <w:sz w:val="19"/>
              </w:rPr>
            </w:pPr>
            <w:r>
              <w:rPr>
                <w:color w:val="231F20"/>
                <w:spacing w:val="-5"/>
                <w:w w:val="105"/>
                <w:sz w:val="19"/>
              </w:rPr>
              <w:t>67</w:t>
            </w:r>
          </w:p>
        </w:tc>
      </w:tr>
      <w:tr>
        <w:trPr>
          <w:trHeight w:val="230" w:hRule="atLeast"/>
        </w:trPr>
        <w:tc>
          <w:tcPr>
            <w:tcW w:w="1732" w:type="dxa"/>
          </w:tcPr>
          <w:p>
            <w:pPr>
              <w:pStyle w:val="TableParagraph"/>
              <w:spacing w:line="200" w:lineRule="exact" w:before="11"/>
              <w:ind w:right="75"/>
              <w:jc w:val="center"/>
              <w:rPr>
                <w:sz w:val="19"/>
              </w:rPr>
            </w:pPr>
            <w:r>
              <w:rPr>
                <w:color w:val="231F20"/>
                <w:w w:val="105"/>
                <w:sz w:val="19"/>
              </w:rPr>
              <w:t>Tier</w:t>
            </w:r>
            <w:r>
              <w:rPr>
                <w:color w:val="231F20"/>
                <w:spacing w:val="2"/>
                <w:w w:val="105"/>
                <w:sz w:val="19"/>
              </w:rPr>
              <w:t> </w:t>
            </w:r>
            <w:r>
              <w:rPr>
                <w:color w:val="231F20"/>
                <w:spacing w:val="-10"/>
                <w:w w:val="105"/>
                <w:sz w:val="19"/>
              </w:rPr>
              <w:t>4</w:t>
            </w:r>
          </w:p>
        </w:tc>
        <w:tc>
          <w:tcPr>
            <w:tcW w:w="2668" w:type="dxa"/>
          </w:tcPr>
          <w:p>
            <w:pPr>
              <w:pStyle w:val="TableParagraph"/>
              <w:spacing w:line="200" w:lineRule="exact" w:before="11"/>
              <w:ind w:left="113"/>
              <w:jc w:val="center"/>
              <w:rPr>
                <w:sz w:val="19"/>
              </w:rPr>
            </w:pPr>
            <w:r>
              <w:rPr>
                <w:color w:val="231F20"/>
                <w:spacing w:val="-5"/>
                <w:w w:val="105"/>
                <w:sz w:val="19"/>
              </w:rPr>
              <w:t>67</w:t>
            </w:r>
          </w:p>
        </w:tc>
      </w:tr>
    </w:tbl>
    <w:p>
      <w:pPr>
        <w:pStyle w:val="BodyText"/>
        <w:spacing w:before="8"/>
        <w:rPr>
          <w:sz w:val="28"/>
        </w:rPr>
      </w:pPr>
    </w:p>
    <w:p>
      <w:pPr>
        <w:pStyle w:val="BodyText"/>
        <w:spacing w:line="276" w:lineRule="auto"/>
        <w:ind w:left="1440" w:right="1048"/>
      </w:pPr>
      <w:r>
        <w:rPr>
          <w:color w:val="231F20"/>
        </w:rPr>
        <w:t>If a member is eligible for a COLA, the amount depends on the annual change in the Consumer Price Index</w:t>
      </w:r>
      <w:r>
        <w:rPr>
          <w:color w:val="231F20"/>
          <w:spacing w:val="-2"/>
        </w:rPr>
        <w:t> </w:t>
      </w:r>
      <w:r>
        <w:rPr>
          <w:color w:val="231F20"/>
        </w:rPr>
        <w:t>(CPI)</w:t>
      </w:r>
      <w:r>
        <w:rPr>
          <w:color w:val="231F20"/>
          <w:spacing w:val="-2"/>
        </w:rPr>
        <w:t> </w:t>
      </w:r>
      <w:r>
        <w:rPr>
          <w:color w:val="231F20"/>
        </w:rPr>
        <w:t>and</w:t>
      </w:r>
      <w:r>
        <w:rPr>
          <w:color w:val="231F20"/>
          <w:spacing w:val="-2"/>
        </w:rPr>
        <w:t> </w:t>
      </w:r>
      <w:r>
        <w:rPr>
          <w:color w:val="231F20"/>
        </w:rPr>
        <w:t>whether</w:t>
      </w:r>
      <w:r>
        <w:rPr>
          <w:color w:val="231F20"/>
          <w:spacing w:val="-2"/>
        </w:rPr>
        <w:t> </w:t>
      </w:r>
      <w:r>
        <w:rPr>
          <w:color w:val="231F20"/>
        </w:rPr>
        <w:t>the</w:t>
      </w:r>
      <w:r>
        <w:rPr>
          <w:color w:val="231F20"/>
          <w:spacing w:val="-2"/>
        </w:rPr>
        <w:t> </w:t>
      </w:r>
      <w:r>
        <w:rPr>
          <w:color w:val="231F20"/>
        </w:rPr>
        <w:t>fund</w:t>
      </w:r>
      <w:r>
        <w:rPr>
          <w:color w:val="231F20"/>
          <w:spacing w:val="-2"/>
        </w:rPr>
        <w:t> </w:t>
      </w:r>
      <w:r>
        <w:rPr>
          <w:color w:val="231F20"/>
        </w:rPr>
        <w:t>is</w:t>
      </w:r>
      <w:r>
        <w:rPr>
          <w:color w:val="231F20"/>
          <w:spacing w:val="-2"/>
        </w:rPr>
        <w:t> </w:t>
      </w:r>
      <w:r>
        <w:rPr>
          <w:color w:val="231F20"/>
        </w:rPr>
        <w:t>fully</w:t>
      </w:r>
      <w:r>
        <w:rPr>
          <w:color w:val="231F20"/>
          <w:spacing w:val="-3"/>
        </w:rPr>
        <w:t> </w:t>
      </w:r>
      <w:r>
        <w:rPr>
          <w:color w:val="231F20"/>
        </w:rPr>
        <w:t>funded</w:t>
      </w:r>
      <w:r>
        <w:rPr>
          <w:color w:val="231F20"/>
          <w:spacing w:val="-2"/>
        </w:rPr>
        <w:t> </w:t>
      </w:r>
      <w:r>
        <w:rPr>
          <w:color w:val="231F20"/>
        </w:rPr>
        <w:t>(that</w:t>
      </w:r>
      <w:r>
        <w:rPr>
          <w:color w:val="231F20"/>
          <w:spacing w:val="-2"/>
        </w:rPr>
        <w:t> </w:t>
      </w:r>
      <w:r>
        <w:rPr>
          <w:color w:val="231F20"/>
        </w:rPr>
        <w:t>is,</w:t>
      </w:r>
      <w:r>
        <w:rPr>
          <w:color w:val="231F20"/>
          <w:spacing w:val="-2"/>
        </w:rPr>
        <w:t> </w:t>
      </w:r>
      <w:r>
        <w:rPr>
          <w:color w:val="231F20"/>
        </w:rPr>
        <w:t>the</w:t>
      </w:r>
      <w:r>
        <w:rPr>
          <w:color w:val="231F20"/>
          <w:spacing w:val="-2"/>
        </w:rPr>
        <w:t> </w:t>
      </w:r>
      <w:r>
        <w:rPr>
          <w:color w:val="231F20"/>
        </w:rPr>
        <w:t>fund’s</w:t>
      </w:r>
      <w:r>
        <w:rPr>
          <w:color w:val="231F20"/>
          <w:spacing w:val="-2"/>
        </w:rPr>
        <w:t> </w:t>
      </w:r>
      <w:r>
        <w:rPr>
          <w:color w:val="231F20"/>
        </w:rPr>
        <w:t>funded</w:t>
      </w:r>
      <w:r>
        <w:rPr>
          <w:color w:val="231F20"/>
          <w:spacing w:val="-2"/>
        </w:rPr>
        <w:t> </w:t>
      </w:r>
      <w:r>
        <w:rPr>
          <w:color w:val="231F20"/>
        </w:rPr>
        <w:t>ratio</w:t>
      </w:r>
      <w:r>
        <w:rPr>
          <w:color w:val="231F20"/>
          <w:spacing w:val="-2"/>
        </w:rPr>
        <w:t> </w:t>
      </w:r>
      <w:r>
        <w:rPr>
          <w:color w:val="231F20"/>
        </w:rPr>
        <w:t>is</w:t>
      </w:r>
      <w:r>
        <w:rPr>
          <w:color w:val="231F20"/>
          <w:spacing w:val="-2"/>
        </w:rPr>
        <w:t> </w:t>
      </w:r>
      <w:r>
        <w:rPr>
          <w:color w:val="231F20"/>
        </w:rPr>
        <w:t>100%).</w:t>
      </w:r>
      <w:r>
        <w:rPr>
          <w:color w:val="231F20"/>
          <w:spacing w:val="-2"/>
        </w:rPr>
        <w:t> </w:t>
      </w:r>
      <w:r>
        <w:rPr>
          <w:color w:val="231F20"/>
        </w:rPr>
        <w:t>Accordingly,</w:t>
      </w:r>
      <w:r>
        <w:rPr>
          <w:color w:val="231F20"/>
          <w:spacing w:val="-2"/>
        </w:rPr>
        <w:t> </w:t>
      </w:r>
      <w:r>
        <w:rPr>
          <w:color w:val="231F20"/>
        </w:rPr>
        <w:t>if there</w:t>
      </w:r>
      <w:r>
        <w:rPr>
          <w:color w:val="231F20"/>
          <w:spacing w:val="-2"/>
        </w:rPr>
        <w:t> </w:t>
      </w:r>
      <w:r>
        <w:rPr>
          <w:color w:val="231F20"/>
        </w:rPr>
        <w:t>is</w:t>
      </w:r>
      <w:r>
        <w:rPr>
          <w:color w:val="231F20"/>
          <w:spacing w:val="-2"/>
        </w:rPr>
        <w:t> </w:t>
      </w:r>
      <w:r>
        <w:rPr>
          <w:color w:val="231F20"/>
        </w:rPr>
        <w:t>no</w:t>
      </w:r>
      <w:r>
        <w:rPr>
          <w:color w:val="231F20"/>
          <w:spacing w:val="-2"/>
        </w:rPr>
        <w:t> </w:t>
      </w:r>
      <w:r>
        <w:rPr>
          <w:color w:val="231F20"/>
        </w:rPr>
        <w:t>increase</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CPI,</w:t>
      </w:r>
      <w:r>
        <w:rPr>
          <w:color w:val="231F20"/>
          <w:spacing w:val="-2"/>
        </w:rPr>
        <w:t> </w:t>
      </w:r>
      <w:r>
        <w:rPr>
          <w:color w:val="231F20"/>
        </w:rPr>
        <w:t>or</w:t>
      </w:r>
      <w:r>
        <w:rPr>
          <w:color w:val="231F20"/>
          <w:spacing w:val="-2"/>
        </w:rPr>
        <w:t> </w:t>
      </w:r>
      <w:r>
        <w:rPr>
          <w:color w:val="231F20"/>
        </w:rPr>
        <w:t>the</w:t>
      </w:r>
      <w:r>
        <w:rPr>
          <w:color w:val="231F20"/>
          <w:spacing w:val="-2"/>
        </w:rPr>
        <w:t> </w:t>
      </w:r>
      <w:r>
        <w:rPr>
          <w:color w:val="231F20"/>
        </w:rPr>
        <w:t>CPI</w:t>
      </w:r>
      <w:r>
        <w:rPr>
          <w:color w:val="231F20"/>
          <w:spacing w:val="-2"/>
        </w:rPr>
        <w:t> </w:t>
      </w:r>
      <w:r>
        <w:rPr>
          <w:color w:val="231F20"/>
        </w:rPr>
        <w:t>is</w:t>
      </w:r>
      <w:r>
        <w:rPr>
          <w:color w:val="231F20"/>
          <w:spacing w:val="-2"/>
        </w:rPr>
        <w:t> </w:t>
      </w:r>
      <w:r>
        <w:rPr>
          <w:color w:val="231F20"/>
        </w:rPr>
        <w:t>negative,</w:t>
      </w:r>
      <w:r>
        <w:rPr>
          <w:color w:val="231F20"/>
          <w:spacing w:val="-2"/>
        </w:rPr>
        <w:t> </w:t>
      </w:r>
      <w:r>
        <w:rPr>
          <w:color w:val="231F20"/>
        </w:rPr>
        <w:t>the</w:t>
      </w:r>
      <w:r>
        <w:rPr>
          <w:color w:val="231F20"/>
          <w:spacing w:val="-2"/>
        </w:rPr>
        <w:t> </w:t>
      </w:r>
      <w:r>
        <w:rPr>
          <w:color w:val="231F20"/>
        </w:rPr>
        <w:t>amount</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COLA</w:t>
      </w:r>
      <w:r>
        <w:rPr>
          <w:color w:val="231F20"/>
          <w:spacing w:val="-3"/>
        </w:rPr>
        <w:t> </w:t>
      </w:r>
      <w:r>
        <w:rPr>
          <w:color w:val="231F20"/>
        </w:rPr>
        <w:t>will</w:t>
      </w:r>
      <w:r>
        <w:rPr>
          <w:color w:val="231F20"/>
          <w:spacing w:val="-2"/>
        </w:rPr>
        <w:t> </w:t>
      </w:r>
      <w:r>
        <w:rPr>
          <w:color w:val="231F20"/>
        </w:rPr>
        <w:t>be</w:t>
      </w:r>
      <w:r>
        <w:rPr>
          <w:color w:val="231F20"/>
          <w:spacing w:val="-2"/>
        </w:rPr>
        <w:t> </w:t>
      </w:r>
      <w:r>
        <w:rPr>
          <w:color w:val="231F20"/>
        </w:rPr>
        <w:t>zero</w:t>
      </w:r>
      <w:r>
        <w:rPr>
          <w:color w:val="231F20"/>
          <w:spacing w:val="-3"/>
        </w:rPr>
        <w:t> </w:t>
      </w:r>
      <w:r>
        <w:rPr>
          <w:color w:val="231F20"/>
        </w:rPr>
        <w:t>(if</w:t>
      </w:r>
      <w:r>
        <w:rPr>
          <w:color w:val="231F20"/>
          <w:spacing w:val="-2"/>
        </w:rPr>
        <w:t> </w:t>
      </w:r>
      <w:r>
        <w:rPr>
          <w:color w:val="231F20"/>
        </w:rPr>
        <w:t>the</w:t>
      </w:r>
      <w:r>
        <w:rPr>
          <w:color w:val="231F20"/>
          <w:spacing w:val="-2"/>
        </w:rPr>
        <w:t> </w:t>
      </w:r>
      <w:r>
        <w:rPr>
          <w:color w:val="231F20"/>
        </w:rPr>
        <w:t>CPI</w:t>
      </w:r>
      <w:r>
        <w:rPr>
          <w:color w:val="231F20"/>
          <w:spacing w:val="-2"/>
        </w:rPr>
        <w:t> </w:t>
      </w:r>
      <w:r>
        <w:rPr>
          <w:color w:val="231F20"/>
        </w:rPr>
        <w:t>is negative, retirement benefits will not be decreased).</w:t>
      </w:r>
    </w:p>
    <w:p>
      <w:pPr>
        <w:pStyle w:val="BodyText"/>
        <w:spacing w:before="11"/>
        <w:rPr>
          <w:sz w:val="22"/>
        </w:rPr>
      </w:pPr>
    </w:p>
    <w:p>
      <w:pPr>
        <w:pStyle w:val="BodyText"/>
        <w:spacing w:line="276" w:lineRule="auto"/>
        <w:ind w:left="1440" w:right="891"/>
      </w:pPr>
      <w:r>
        <w:rPr>
          <w:color w:val="231F20"/>
        </w:rPr>
        <w:t>When</w:t>
      </w:r>
      <w:r>
        <w:rPr>
          <w:color w:val="231F20"/>
          <w:spacing w:val="-3"/>
        </w:rPr>
        <w:t> </w:t>
      </w:r>
      <w:r>
        <w:rPr>
          <w:color w:val="231F20"/>
        </w:rPr>
        <w:t>CPI</w:t>
      </w:r>
      <w:r>
        <w:rPr>
          <w:color w:val="231F20"/>
          <w:spacing w:val="-3"/>
        </w:rPr>
        <w:t> </w:t>
      </w:r>
      <w:r>
        <w:rPr>
          <w:color w:val="231F20"/>
        </w:rPr>
        <w:t>has</w:t>
      </w:r>
      <w:r>
        <w:rPr>
          <w:color w:val="231F20"/>
          <w:spacing w:val="-3"/>
        </w:rPr>
        <w:t> </w:t>
      </w:r>
      <w:r>
        <w:rPr>
          <w:color w:val="231F20"/>
        </w:rPr>
        <w:t>increased</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fund</w:t>
      </w:r>
      <w:r>
        <w:rPr>
          <w:color w:val="231F20"/>
          <w:spacing w:val="-3"/>
        </w:rPr>
        <w:t> </w:t>
      </w:r>
      <w:r>
        <w:rPr>
          <w:color w:val="231F20"/>
        </w:rPr>
        <w:t>is</w:t>
      </w:r>
      <w:r>
        <w:rPr>
          <w:color w:val="231F20"/>
          <w:spacing w:val="-3"/>
        </w:rPr>
        <w:t> </w:t>
      </w:r>
      <w:r>
        <w:rPr>
          <w:color w:val="231F20"/>
        </w:rPr>
        <w:t>fully</w:t>
      </w:r>
      <w:r>
        <w:rPr>
          <w:color w:val="231F20"/>
          <w:spacing w:val="-3"/>
        </w:rPr>
        <w:t> </w:t>
      </w:r>
      <w:r>
        <w:rPr>
          <w:color w:val="231F20"/>
        </w:rPr>
        <w:t>funded,</w:t>
      </w:r>
      <w:r>
        <w:rPr>
          <w:color w:val="231F20"/>
          <w:spacing w:val="-3"/>
        </w:rPr>
        <w:t> </w:t>
      </w:r>
      <w:r>
        <w:rPr>
          <w:color w:val="231F20"/>
        </w:rPr>
        <w:t>the</w:t>
      </w:r>
      <w:r>
        <w:rPr>
          <w:color w:val="231F20"/>
          <w:spacing w:val="-3"/>
        </w:rPr>
        <w:t> </w:t>
      </w:r>
      <w:r>
        <w:rPr>
          <w:color w:val="231F20"/>
        </w:rPr>
        <w:t>COLA</w:t>
      </w:r>
      <w:r>
        <w:rPr>
          <w:color w:val="231F20"/>
          <w:spacing w:val="-4"/>
        </w:rPr>
        <w:t> </w:t>
      </w:r>
      <w:r>
        <w:rPr>
          <w:color w:val="231F20"/>
        </w:rPr>
        <w:t>will</w:t>
      </w:r>
      <w:r>
        <w:rPr>
          <w:color w:val="231F20"/>
          <w:spacing w:val="-3"/>
        </w:rPr>
        <w:t> </w:t>
      </w:r>
      <w:r>
        <w:rPr>
          <w:color w:val="231F20"/>
        </w:rPr>
        <w:t>be</w:t>
      </w:r>
      <w:r>
        <w:rPr>
          <w:color w:val="231F20"/>
          <w:spacing w:val="-3"/>
        </w:rPr>
        <w:t> </w:t>
      </w:r>
      <w:r>
        <w:rPr>
          <w:color w:val="231F20"/>
        </w:rPr>
        <w:t>the</w:t>
      </w:r>
      <w:r>
        <w:rPr>
          <w:color w:val="231F20"/>
          <w:spacing w:val="-3"/>
        </w:rPr>
        <w:t> </w:t>
      </w:r>
      <w:r>
        <w:rPr>
          <w:color w:val="231F20"/>
        </w:rPr>
        <w:t>same</w:t>
      </w:r>
      <w:r>
        <w:rPr>
          <w:color w:val="231F20"/>
          <w:spacing w:val="-4"/>
        </w:rPr>
        <w:t> </w:t>
      </w:r>
      <w:r>
        <w:rPr>
          <w:color w:val="231F20"/>
        </w:rPr>
        <w:t>amount</w:t>
      </w:r>
      <w:r>
        <w:rPr>
          <w:color w:val="231F20"/>
          <w:spacing w:val="-3"/>
        </w:rPr>
        <w:t> </w:t>
      </w:r>
      <w:r>
        <w:rPr>
          <w:color w:val="231F20"/>
        </w:rPr>
        <w:t>as</w:t>
      </w:r>
      <w:r>
        <w:rPr>
          <w:color w:val="231F20"/>
          <w:spacing w:val="-2"/>
        </w:rPr>
        <w:t> </w:t>
      </w:r>
      <w:r>
        <w:rPr>
          <w:color w:val="231F20"/>
        </w:rPr>
        <w:t>the</w:t>
      </w:r>
      <w:r>
        <w:rPr>
          <w:color w:val="231F20"/>
          <w:spacing w:val="-3"/>
        </w:rPr>
        <w:t> </w:t>
      </w:r>
      <w:r>
        <w:rPr>
          <w:color w:val="231F20"/>
        </w:rPr>
        <w:t>increase in the CPI except as follows: If the increase in the CPI is 2% or greater, the COLA will be one-half of the CPI increase, not to exceed 4% or to be less than 2%.</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3"/>
        </w:rPr>
        <w:t> </w:t>
      </w:r>
      <w:r>
        <w:rPr>
          <w:color w:val="231F20"/>
        </w:rPr>
        <w:t>9</w:t>
      </w:r>
      <w:r>
        <w:rPr>
          <w:color w:val="231F20"/>
          <w:spacing w:val="-2"/>
        </w:rPr>
        <w:t> </w:t>
      </w:r>
      <w:r>
        <w:rPr>
          <w:color w:val="231F20"/>
        </w:rPr>
        <w:t>–</w:t>
      </w:r>
      <w:r>
        <w:rPr>
          <w:color w:val="231F20"/>
          <w:spacing w:val="-3"/>
        </w:rPr>
        <w:t> </w:t>
      </w:r>
      <w:r>
        <w:rPr>
          <w:color w:val="231F20"/>
        </w:rPr>
        <w:t>Defined</w:t>
      </w:r>
      <w:r>
        <w:rPr>
          <w:color w:val="231F20"/>
          <w:spacing w:val="-2"/>
        </w:rPr>
        <w:t> </w:t>
      </w:r>
      <w:r>
        <w:rPr>
          <w:color w:val="231F20"/>
        </w:rPr>
        <w:t>Benefit</w:t>
      </w:r>
      <w:r>
        <w:rPr>
          <w:color w:val="231F20"/>
          <w:spacing w:val="-3"/>
        </w:rPr>
        <w:t> </w:t>
      </w:r>
      <w:r>
        <w:rPr>
          <w:color w:val="231F20"/>
        </w:rPr>
        <w:t>Retirement</w:t>
      </w:r>
      <w:r>
        <w:rPr>
          <w:color w:val="231F20"/>
          <w:spacing w:val="-3"/>
        </w:rPr>
        <w:t> </w:t>
      </w:r>
      <w:r>
        <w:rPr>
          <w:color w:val="231F20"/>
        </w:rPr>
        <w:t>Plan</w:t>
      </w:r>
      <w:r>
        <w:rPr>
          <w:color w:val="231F20"/>
          <w:spacing w:val="-2"/>
        </w:rPr>
        <w:t> (continued)</w:t>
      </w:r>
    </w:p>
    <w:p>
      <w:pPr>
        <w:pStyle w:val="BodyText"/>
        <w:rPr>
          <w:b/>
          <w:sz w:val="26"/>
        </w:rPr>
      </w:pPr>
    </w:p>
    <w:p>
      <w:pPr>
        <w:pStyle w:val="BodyText"/>
        <w:spacing w:line="276" w:lineRule="auto" w:before="1"/>
        <w:ind w:left="1440" w:right="1048"/>
      </w:pPr>
      <w:r>
        <w:rPr>
          <w:color w:val="231F20"/>
        </w:rPr>
        <w:t>However,</w:t>
      </w:r>
      <w:r>
        <w:rPr>
          <w:color w:val="231F20"/>
          <w:spacing w:val="-2"/>
        </w:rPr>
        <w:t> </w:t>
      </w:r>
      <w:r>
        <w:rPr>
          <w:color w:val="231F20"/>
        </w:rPr>
        <w:t>while</w:t>
      </w:r>
      <w:r>
        <w:rPr>
          <w:color w:val="231F20"/>
          <w:spacing w:val="-2"/>
        </w:rPr>
        <w:t> </w:t>
      </w:r>
      <w:r>
        <w:rPr>
          <w:color w:val="231F20"/>
        </w:rPr>
        <w:t>the</w:t>
      </w:r>
      <w:r>
        <w:rPr>
          <w:color w:val="231F20"/>
          <w:spacing w:val="-2"/>
        </w:rPr>
        <w:t> </w:t>
      </w:r>
      <w:r>
        <w:rPr>
          <w:color w:val="231F20"/>
        </w:rPr>
        <w:t>fund</w:t>
      </w:r>
      <w:r>
        <w:rPr>
          <w:color w:val="231F20"/>
          <w:spacing w:val="-2"/>
        </w:rPr>
        <w:t> </w:t>
      </w:r>
      <w:r>
        <w:rPr>
          <w:color w:val="231F20"/>
        </w:rPr>
        <w:t>is</w:t>
      </w:r>
      <w:r>
        <w:rPr>
          <w:color w:val="231F20"/>
          <w:spacing w:val="-3"/>
        </w:rPr>
        <w:t> </w:t>
      </w:r>
      <w:r>
        <w:rPr>
          <w:color w:val="231F20"/>
        </w:rPr>
        <w:t>not</w:t>
      </w:r>
      <w:r>
        <w:rPr>
          <w:color w:val="231F20"/>
          <w:spacing w:val="-2"/>
        </w:rPr>
        <w:t> </w:t>
      </w:r>
      <w:r>
        <w:rPr>
          <w:color w:val="231F20"/>
        </w:rPr>
        <w:t>fully</w:t>
      </w:r>
      <w:r>
        <w:rPr>
          <w:color w:val="231F20"/>
          <w:spacing w:val="-2"/>
        </w:rPr>
        <w:t> </w:t>
      </w:r>
      <w:r>
        <w:rPr>
          <w:color w:val="231F20"/>
        </w:rPr>
        <w:t>funded,</w:t>
      </w:r>
      <w:r>
        <w:rPr>
          <w:color w:val="231F20"/>
          <w:spacing w:val="-2"/>
        </w:rPr>
        <w:t> </w:t>
      </w:r>
      <w:r>
        <w:rPr>
          <w:color w:val="231F20"/>
        </w:rPr>
        <w:t>the</w:t>
      </w:r>
      <w:r>
        <w:rPr>
          <w:color w:val="231F20"/>
          <w:spacing w:val="-1"/>
        </w:rPr>
        <w:t> </w:t>
      </w:r>
      <w:r>
        <w:rPr>
          <w:color w:val="231F20"/>
        </w:rPr>
        <w:t>COLA</w:t>
      </w:r>
      <w:r>
        <w:rPr>
          <w:color w:val="231F20"/>
          <w:spacing w:val="-3"/>
        </w:rPr>
        <w:t> </w:t>
      </w:r>
      <w:r>
        <w:rPr>
          <w:color w:val="231F20"/>
        </w:rPr>
        <w:t>for</w:t>
      </w:r>
      <w:r>
        <w:rPr>
          <w:color w:val="231F20"/>
          <w:spacing w:val="-2"/>
        </w:rPr>
        <w:t> </w:t>
      </w:r>
      <w:r>
        <w:rPr>
          <w:color w:val="231F20"/>
        </w:rPr>
        <w:t>retires</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reduced</w:t>
      </w:r>
      <w:r>
        <w:rPr>
          <w:color w:val="231F20"/>
          <w:spacing w:val="-2"/>
        </w:rPr>
        <w:t> </w:t>
      </w:r>
      <w:r>
        <w:rPr>
          <w:color w:val="231F20"/>
        </w:rPr>
        <w:t>based</w:t>
      </w:r>
      <w:r>
        <w:rPr>
          <w:color w:val="231F20"/>
          <w:spacing w:val="-2"/>
        </w:rPr>
        <w:t> </w:t>
      </w:r>
      <w:r>
        <w:rPr>
          <w:color w:val="231F20"/>
        </w:rPr>
        <w:t>on</w:t>
      </w:r>
      <w:r>
        <w:rPr>
          <w:color w:val="231F20"/>
          <w:spacing w:val="-2"/>
        </w:rPr>
        <w:t> </w:t>
      </w:r>
      <w:r>
        <w:rPr>
          <w:color w:val="231F20"/>
        </w:rPr>
        <w:t>the</w:t>
      </w:r>
      <w:r>
        <w:rPr>
          <w:color w:val="231F20"/>
          <w:spacing w:val="-3"/>
        </w:rPr>
        <w:t> </w:t>
      </w:r>
      <w:r>
        <w:rPr>
          <w:color w:val="231F20"/>
        </w:rPr>
        <w:t>median annual retirement benefit, calculated after the end of each fiscal year:</w:t>
      </w:r>
    </w:p>
    <w:p>
      <w:pPr>
        <w:pStyle w:val="BodyText"/>
        <w:rPr>
          <w:sz w:val="23"/>
        </w:rPr>
      </w:pPr>
    </w:p>
    <w:p>
      <w:pPr>
        <w:pStyle w:val="ListParagraph"/>
        <w:numPr>
          <w:ilvl w:val="0"/>
          <w:numId w:val="10"/>
        </w:numPr>
        <w:tabs>
          <w:tab w:pos="2160" w:val="left" w:leader="none"/>
          <w:tab w:pos="2161" w:val="left" w:leader="none"/>
        </w:tabs>
        <w:spacing w:line="273" w:lineRule="auto" w:before="0" w:after="0"/>
        <w:ind w:left="2159" w:right="1174" w:hanging="360"/>
        <w:jc w:val="left"/>
        <w:rPr>
          <w:sz w:val="20"/>
        </w:rPr>
      </w:pPr>
      <w:r>
        <w:rPr>
          <w:color w:val="231F20"/>
          <w:sz w:val="20"/>
        </w:rPr>
        <w:t>When the funded ratio is 90% or less, the COLA for retires whose annuity is at or below the median</w:t>
      </w:r>
      <w:r>
        <w:rPr>
          <w:color w:val="231F20"/>
          <w:spacing w:val="-3"/>
          <w:sz w:val="20"/>
        </w:rPr>
        <w:t> </w:t>
      </w:r>
      <w:r>
        <w:rPr>
          <w:color w:val="231F20"/>
          <w:sz w:val="20"/>
        </w:rPr>
        <w:t>and</w:t>
      </w:r>
      <w:r>
        <w:rPr>
          <w:color w:val="231F20"/>
          <w:spacing w:val="-4"/>
          <w:sz w:val="20"/>
        </w:rPr>
        <w:t> </w:t>
      </w:r>
      <w:r>
        <w:rPr>
          <w:color w:val="231F20"/>
          <w:sz w:val="20"/>
        </w:rPr>
        <w:t>who</w:t>
      </w:r>
      <w:r>
        <w:rPr>
          <w:color w:val="231F20"/>
          <w:spacing w:val="-3"/>
          <w:sz w:val="20"/>
        </w:rPr>
        <w:t> </w:t>
      </w:r>
      <w:r>
        <w:rPr>
          <w:color w:val="231F20"/>
          <w:sz w:val="20"/>
        </w:rPr>
        <w:t>have</w:t>
      </w:r>
      <w:r>
        <w:rPr>
          <w:color w:val="231F20"/>
          <w:spacing w:val="-3"/>
          <w:sz w:val="20"/>
        </w:rPr>
        <w:t> </w:t>
      </w:r>
      <w:r>
        <w:rPr>
          <w:color w:val="231F20"/>
          <w:sz w:val="20"/>
        </w:rPr>
        <w:t>25</w:t>
      </w:r>
      <w:r>
        <w:rPr>
          <w:color w:val="231F20"/>
          <w:spacing w:val="-4"/>
          <w:sz w:val="20"/>
        </w:rPr>
        <w:t> </w:t>
      </w:r>
      <w:r>
        <w:rPr>
          <w:color w:val="231F20"/>
          <w:sz w:val="20"/>
        </w:rPr>
        <w:t>or</w:t>
      </w:r>
      <w:r>
        <w:rPr>
          <w:color w:val="231F20"/>
          <w:spacing w:val="-3"/>
          <w:sz w:val="20"/>
        </w:rPr>
        <w:t> </w:t>
      </w:r>
      <w:r>
        <w:rPr>
          <w:color w:val="231F20"/>
          <w:sz w:val="20"/>
        </w:rPr>
        <w:t>more</w:t>
      </w:r>
      <w:r>
        <w:rPr>
          <w:color w:val="231F20"/>
          <w:spacing w:val="-2"/>
          <w:sz w:val="20"/>
        </w:rPr>
        <w:t> </w:t>
      </w:r>
      <w:r>
        <w:rPr>
          <w:color w:val="231F20"/>
          <w:sz w:val="20"/>
        </w:rPr>
        <w:t>years</w:t>
      </w:r>
      <w:r>
        <w:rPr>
          <w:color w:val="231F20"/>
          <w:spacing w:val="-3"/>
          <w:sz w:val="20"/>
        </w:rPr>
        <w:t> </w:t>
      </w:r>
      <w:r>
        <w:rPr>
          <w:color w:val="231F20"/>
          <w:sz w:val="20"/>
        </w:rPr>
        <w:t>of</w:t>
      </w:r>
      <w:r>
        <w:rPr>
          <w:color w:val="231F20"/>
          <w:spacing w:val="-3"/>
          <w:sz w:val="20"/>
        </w:rPr>
        <w:t> </w:t>
      </w:r>
      <w:r>
        <w:rPr>
          <w:color w:val="231F20"/>
          <w:sz w:val="20"/>
        </w:rPr>
        <w:t>service</w:t>
      </w:r>
      <w:r>
        <w:rPr>
          <w:color w:val="231F20"/>
          <w:spacing w:val="-4"/>
          <w:sz w:val="20"/>
        </w:rPr>
        <w:t> </w:t>
      </w:r>
      <w:r>
        <w:rPr>
          <w:color w:val="231F20"/>
          <w:sz w:val="20"/>
        </w:rPr>
        <w:t>credit</w:t>
      </w:r>
      <w:r>
        <w:rPr>
          <w:color w:val="231F20"/>
          <w:spacing w:val="-3"/>
          <w:sz w:val="20"/>
        </w:rPr>
        <w:t> </w:t>
      </w:r>
      <w:r>
        <w:rPr>
          <w:color w:val="231F20"/>
          <w:sz w:val="20"/>
        </w:rPr>
        <w:t>at</w:t>
      </w:r>
      <w:r>
        <w:rPr>
          <w:color w:val="231F20"/>
          <w:spacing w:val="-3"/>
          <w:sz w:val="20"/>
        </w:rPr>
        <w:t> </w:t>
      </w:r>
      <w:r>
        <w:rPr>
          <w:color w:val="231F20"/>
          <w:sz w:val="20"/>
        </w:rPr>
        <w:t>retirement</w:t>
      </w:r>
      <w:r>
        <w:rPr>
          <w:color w:val="231F20"/>
          <w:spacing w:val="-3"/>
          <w:sz w:val="20"/>
        </w:rPr>
        <w:t> </w:t>
      </w:r>
      <w:r>
        <w:rPr>
          <w:color w:val="231F20"/>
          <w:sz w:val="20"/>
        </w:rPr>
        <w:t>will</w:t>
      </w:r>
      <w:r>
        <w:rPr>
          <w:color w:val="231F20"/>
          <w:spacing w:val="-3"/>
          <w:sz w:val="20"/>
        </w:rPr>
        <w:t> </w:t>
      </w:r>
      <w:r>
        <w:rPr>
          <w:color w:val="231F20"/>
          <w:sz w:val="20"/>
        </w:rPr>
        <w:t>be</w:t>
      </w:r>
      <w:r>
        <w:rPr>
          <w:color w:val="231F20"/>
          <w:spacing w:val="-3"/>
          <w:sz w:val="20"/>
        </w:rPr>
        <w:t> </w:t>
      </w:r>
      <w:r>
        <w:rPr>
          <w:color w:val="231F20"/>
          <w:sz w:val="20"/>
        </w:rPr>
        <w:t>reduced</w:t>
      </w:r>
      <w:r>
        <w:rPr>
          <w:color w:val="231F20"/>
          <w:spacing w:val="-3"/>
          <w:sz w:val="20"/>
        </w:rPr>
        <w:t> </w:t>
      </w:r>
      <w:r>
        <w:rPr>
          <w:color w:val="231F20"/>
          <w:sz w:val="20"/>
        </w:rPr>
        <w:t>by</w:t>
      </w:r>
      <w:r>
        <w:rPr>
          <w:color w:val="231F20"/>
          <w:spacing w:val="-3"/>
          <w:sz w:val="20"/>
        </w:rPr>
        <w:t> </w:t>
      </w:r>
      <w:r>
        <w:rPr>
          <w:color w:val="231F20"/>
          <w:sz w:val="20"/>
        </w:rPr>
        <w:t>10%. For retires whose annuity is either greater than the median or who have less than 25 years of service credit at retirement, the COLA will be reduced by 20%.</w:t>
      </w:r>
    </w:p>
    <w:p>
      <w:pPr>
        <w:pStyle w:val="ListParagraph"/>
        <w:numPr>
          <w:ilvl w:val="0"/>
          <w:numId w:val="10"/>
        </w:numPr>
        <w:tabs>
          <w:tab w:pos="2160" w:val="left" w:leader="none"/>
          <w:tab w:pos="2161" w:val="left" w:leader="none"/>
        </w:tabs>
        <w:spacing w:line="273" w:lineRule="auto" w:before="6" w:after="0"/>
        <w:ind w:left="2160" w:right="919" w:hanging="360"/>
        <w:jc w:val="left"/>
        <w:rPr>
          <w:sz w:val="20"/>
        </w:rPr>
      </w:pPr>
      <w:r>
        <w:rPr>
          <w:color w:val="231F20"/>
          <w:sz w:val="20"/>
        </w:rPr>
        <w:t>When the funded ratio exceeds 90% but is less than 100%, the COLA for retirees whose annuity is at or below the median adjusted annuity and who had 25 or more years of service credit at retirement</w:t>
      </w:r>
      <w:r>
        <w:rPr>
          <w:color w:val="231F20"/>
          <w:spacing w:val="-3"/>
          <w:sz w:val="20"/>
        </w:rPr>
        <w:t> </w:t>
      </w:r>
      <w:r>
        <w:rPr>
          <w:color w:val="231F20"/>
          <w:sz w:val="20"/>
        </w:rPr>
        <w:t>and</w:t>
      </w:r>
      <w:r>
        <w:rPr>
          <w:color w:val="231F20"/>
          <w:spacing w:val="-3"/>
          <w:sz w:val="20"/>
        </w:rPr>
        <w:t> </w:t>
      </w:r>
      <w:r>
        <w:rPr>
          <w:color w:val="231F20"/>
          <w:sz w:val="20"/>
        </w:rPr>
        <w:t>will</w:t>
      </w:r>
      <w:r>
        <w:rPr>
          <w:color w:val="231F20"/>
          <w:spacing w:val="-3"/>
          <w:sz w:val="20"/>
        </w:rPr>
        <w:t> </w:t>
      </w:r>
      <w:r>
        <w:rPr>
          <w:color w:val="231F20"/>
          <w:sz w:val="20"/>
        </w:rPr>
        <w:t>be</w:t>
      </w:r>
      <w:r>
        <w:rPr>
          <w:color w:val="231F20"/>
          <w:spacing w:val="-3"/>
          <w:sz w:val="20"/>
        </w:rPr>
        <w:t> </w:t>
      </w:r>
      <w:r>
        <w:rPr>
          <w:color w:val="231F20"/>
          <w:sz w:val="20"/>
        </w:rPr>
        <w:t>reduced</w:t>
      </w:r>
      <w:r>
        <w:rPr>
          <w:color w:val="231F20"/>
          <w:spacing w:val="-3"/>
          <w:sz w:val="20"/>
        </w:rPr>
        <w:t> </w:t>
      </w:r>
      <w:r>
        <w:rPr>
          <w:color w:val="231F20"/>
          <w:sz w:val="20"/>
        </w:rPr>
        <w:t>by</w:t>
      </w:r>
      <w:r>
        <w:rPr>
          <w:color w:val="231F20"/>
          <w:spacing w:val="-2"/>
          <w:sz w:val="20"/>
        </w:rPr>
        <w:t> </w:t>
      </w:r>
      <w:r>
        <w:rPr>
          <w:color w:val="231F20"/>
          <w:sz w:val="20"/>
        </w:rPr>
        <w:t>5%.</w:t>
      </w:r>
      <w:r>
        <w:rPr>
          <w:color w:val="231F20"/>
          <w:spacing w:val="-3"/>
          <w:sz w:val="20"/>
        </w:rPr>
        <w:t> </w:t>
      </w:r>
      <w:r>
        <w:rPr>
          <w:color w:val="231F20"/>
          <w:sz w:val="20"/>
        </w:rPr>
        <w:t>For</w:t>
      </w:r>
      <w:r>
        <w:rPr>
          <w:color w:val="231F20"/>
          <w:spacing w:val="-3"/>
          <w:sz w:val="20"/>
        </w:rPr>
        <w:t> </w:t>
      </w:r>
      <w:r>
        <w:rPr>
          <w:color w:val="231F20"/>
          <w:sz w:val="20"/>
        </w:rPr>
        <w:t>retires</w:t>
      </w:r>
      <w:r>
        <w:rPr>
          <w:color w:val="231F20"/>
          <w:spacing w:val="-4"/>
          <w:sz w:val="20"/>
        </w:rPr>
        <w:t> </w:t>
      </w:r>
      <w:r>
        <w:rPr>
          <w:color w:val="231F20"/>
          <w:sz w:val="20"/>
        </w:rPr>
        <w:t>whose</w:t>
      </w:r>
      <w:r>
        <w:rPr>
          <w:color w:val="231F20"/>
          <w:spacing w:val="-3"/>
          <w:sz w:val="20"/>
        </w:rPr>
        <w:t> </w:t>
      </w:r>
      <w:r>
        <w:rPr>
          <w:color w:val="231F20"/>
          <w:sz w:val="20"/>
        </w:rPr>
        <w:t>annuity</w:t>
      </w:r>
      <w:r>
        <w:rPr>
          <w:color w:val="231F20"/>
          <w:spacing w:val="-3"/>
          <w:sz w:val="20"/>
        </w:rPr>
        <w:t> </w:t>
      </w:r>
      <w:r>
        <w:rPr>
          <w:color w:val="231F20"/>
          <w:sz w:val="20"/>
        </w:rPr>
        <w:t>is</w:t>
      </w:r>
      <w:r>
        <w:rPr>
          <w:color w:val="231F20"/>
          <w:spacing w:val="-2"/>
          <w:sz w:val="20"/>
        </w:rPr>
        <w:t> </w:t>
      </w:r>
      <w:r>
        <w:rPr>
          <w:color w:val="231F20"/>
          <w:sz w:val="20"/>
        </w:rPr>
        <w:t>either</w:t>
      </w:r>
      <w:r>
        <w:rPr>
          <w:color w:val="231F20"/>
          <w:spacing w:val="-3"/>
          <w:sz w:val="20"/>
        </w:rPr>
        <w:t> </w:t>
      </w:r>
      <w:r>
        <w:rPr>
          <w:color w:val="231F20"/>
          <w:sz w:val="20"/>
        </w:rPr>
        <w:t>greater</w:t>
      </w:r>
      <w:r>
        <w:rPr>
          <w:color w:val="231F20"/>
          <w:spacing w:val="-4"/>
          <w:sz w:val="20"/>
        </w:rPr>
        <w:t> </w:t>
      </w:r>
      <w:r>
        <w:rPr>
          <w:color w:val="231F20"/>
          <w:sz w:val="20"/>
        </w:rPr>
        <w:t>than</w:t>
      </w:r>
      <w:r>
        <w:rPr>
          <w:color w:val="231F20"/>
          <w:spacing w:val="-3"/>
          <w:sz w:val="20"/>
        </w:rPr>
        <w:t> </w:t>
      </w:r>
      <w:r>
        <w:rPr>
          <w:color w:val="231F20"/>
          <w:sz w:val="20"/>
        </w:rPr>
        <w:t>the</w:t>
      </w:r>
      <w:r>
        <w:rPr>
          <w:color w:val="231F20"/>
          <w:spacing w:val="-3"/>
          <w:sz w:val="20"/>
        </w:rPr>
        <w:t> </w:t>
      </w:r>
      <w:r>
        <w:rPr>
          <w:color w:val="231F20"/>
          <w:sz w:val="20"/>
        </w:rPr>
        <w:t>median or</w:t>
      </w:r>
      <w:r>
        <w:rPr>
          <w:color w:val="231F20"/>
          <w:spacing w:val="-2"/>
          <w:sz w:val="20"/>
        </w:rPr>
        <w:t> </w:t>
      </w:r>
      <w:r>
        <w:rPr>
          <w:color w:val="231F20"/>
          <w:sz w:val="20"/>
        </w:rPr>
        <w:t>who</w:t>
      </w:r>
      <w:r>
        <w:rPr>
          <w:color w:val="231F20"/>
          <w:spacing w:val="-2"/>
          <w:sz w:val="20"/>
        </w:rPr>
        <w:t> </w:t>
      </w:r>
      <w:r>
        <w:rPr>
          <w:color w:val="231F20"/>
          <w:sz w:val="20"/>
        </w:rPr>
        <w:t>have</w:t>
      </w:r>
      <w:r>
        <w:rPr>
          <w:color w:val="231F20"/>
          <w:spacing w:val="-2"/>
          <w:sz w:val="20"/>
        </w:rPr>
        <w:t> </w:t>
      </w:r>
      <w:r>
        <w:rPr>
          <w:color w:val="231F20"/>
          <w:sz w:val="20"/>
        </w:rPr>
        <w:t>less</w:t>
      </w:r>
      <w:r>
        <w:rPr>
          <w:color w:val="231F20"/>
          <w:spacing w:val="-2"/>
          <w:sz w:val="20"/>
        </w:rPr>
        <w:t> </w:t>
      </w:r>
      <w:r>
        <w:rPr>
          <w:color w:val="231F20"/>
          <w:sz w:val="20"/>
        </w:rPr>
        <w:t>than</w:t>
      </w:r>
      <w:r>
        <w:rPr>
          <w:color w:val="231F20"/>
          <w:spacing w:val="-2"/>
          <w:sz w:val="20"/>
        </w:rPr>
        <w:t> </w:t>
      </w:r>
      <w:r>
        <w:rPr>
          <w:color w:val="231F20"/>
          <w:sz w:val="20"/>
        </w:rPr>
        <w:t>25</w:t>
      </w:r>
      <w:r>
        <w:rPr>
          <w:color w:val="231F20"/>
          <w:spacing w:val="-3"/>
          <w:sz w:val="20"/>
        </w:rPr>
        <w:t> </w:t>
      </w:r>
      <w:r>
        <w:rPr>
          <w:color w:val="231F20"/>
          <w:sz w:val="20"/>
        </w:rPr>
        <w:t>years</w:t>
      </w:r>
      <w:r>
        <w:rPr>
          <w:color w:val="231F20"/>
          <w:spacing w:val="-2"/>
          <w:sz w:val="20"/>
        </w:rPr>
        <w:t> </w:t>
      </w:r>
      <w:r>
        <w:rPr>
          <w:color w:val="231F20"/>
          <w:sz w:val="20"/>
        </w:rPr>
        <w:t>of</w:t>
      </w:r>
      <w:r>
        <w:rPr>
          <w:color w:val="231F20"/>
          <w:spacing w:val="-2"/>
          <w:sz w:val="20"/>
        </w:rPr>
        <w:t> </w:t>
      </w:r>
      <w:r>
        <w:rPr>
          <w:color w:val="231F20"/>
          <w:sz w:val="20"/>
        </w:rPr>
        <w:t>service</w:t>
      </w:r>
      <w:r>
        <w:rPr>
          <w:color w:val="231F20"/>
          <w:spacing w:val="-2"/>
          <w:sz w:val="20"/>
        </w:rPr>
        <w:t> </w:t>
      </w:r>
      <w:r>
        <w:rPr>
          <w:color w:val="231F20"/>
          <w:sz w:val="20"/>
        </w:rPr>
        <w:t>credit at</w:t>
      </w:r>
      <w:r>
        <w:rPr>
          <w:color w:val="231F20"/>
          <w:spacing w:val="-2"/>
          <w:sz w:val="20"/>
        </w:rPr>
        <w:t> </w:t>
      </w:r>
      <w:r>
        <w:rPr>
          <w:color w:val="231F20"/>
          <w:sz w:val="20"/>
        </w:rPr>
        <w:t>retirement,</w:t>
      </w:r>
      <w:r>
        <w:rPr>
          <w:color w:val="231F20"/>
          <w:spacing w:val="-2"/>
          <w:sz w:val="20"/>
        </w:rPr>
        <w:t> </w:t>
      </w:r>
      <w:r>
        <w:rPr>
          <w:color w:val="231F20"/>
          <w:sz w:val="20"/>
        </w:rPr>
        <w:t>the</w:t>
      </w:r>
      <w:r>
        <w:rPr>
          <w:color w:val="231F20"/>
          <w:spacing w:val="-2"/>
          <w:sz w:val="20"/>
        </w:rPr>
        <w:t> </w:t>
      </w:r>
      <w:r>
        <w:rPr>
          <w:color w:val="231F20"/>
          <w:sz w:val="20"/>
        </w:rPr>
        <w:t>COLA</w:t>
      </w:r>
      <w:r>
        <w:rPr>
          <w:color w:val="231F20"/>
          <w:spacing w:val="-2"/>
          <w:sz w:val="20"/>
        </w:rPr>
        <w:t> </w:t>
      </w:r>
      <w:r>
        <w:rPr>
          <w:color w:val="231F20"/>
          <w:sz w:val="20"/>
        </w:rPr>
        <w:t>will</w:t>
      </w:r>
      <w:r>
        <w:rPr>
          <w:color w:val="231F20"/>
          <w:spacing w:val="-2"/>
          <w:sz w:val="20"/>
        </w:rPr>
        <w:t> </w:t>
      </w:r>
      <w:r>
        <w:rPr>
          <w:color w:val="231F20"/>
          <w:sz w:val="20"/>
        </w:rPr>
        <w:t>be</w:t>
      </w:r>
      <w:r>
        <w:rPr>
          <w:color w:val="231F20"/>
          <w:spacing w:val="-2"/>
          <w:sz w:val="20"/>
        </w:rPr>
        <w:t> </w:t>
      </w:r>
      <w:r>
        <w:rPr>
          <w:color w:val="231F20"/>
          <w:sz w:val="20"/>
        </w:rPr>
        <w:t>reduced</w:t>
      </w:r>
      <w:r>
        <w:rPr>
          <w:color w:val="231F20"/>
          <w:spacing w:val="-2"/>
          <w:sz w:val="20"/>
        </w:rPr>
        <w:t> </w:t>
      </w:r>
      <w:r>
        <w:rPr>
          <w:color w:val="231F20"/>
          <w:sz w:val="20"/>
        </w:rPr>
        <w:t>by</w:t>
      </w:r>
      <w:r>
        <w:rPr>
          <w:color w:val="231F20"/>
          <w:spacing w:val="-1"/>
          <w:sz w:val="20"/>
        </w:rPr>
        <w:t> </w:t>
      </w:r>
      <w:r>
        <w:rPr>
          <w:color w:val="231F20"/>
          <w:sz w:val="20"/>
        </w:rPr>
        <w:t>10%.</w:t>
      </w:r>
    </w:p>
    <w:p>
      <w:pPr>
        <w:pStyle w:val="BodyText"/>
        <w:spacing w:before="4"/>
        <w:rPr>
          <w:sz w:val="23"/>
        </w:rPr>
      </w:pPr>
    </w:p>
    <w:p>
      <w:pPr>
        <w:pStyle w:val="BodyText"/>
        <w:spacing w:line="276" w:lineRule="auto"/>
        <w:ind w:left="1440" w:right="1048"/>
      </w:pPr>
      <w:r>
        <w:rPr>
          <w:color w:val="231F20"/>
        </w:rPr>
        <w:t>Members on disability retirement are entitled to a COLA commencing on July 1 of the third full year following</w:t>
      </w:r>
      <w:r>
        <w:rPr>
          <w:color w:val="231F20"/>
          <w:spacing w:val="-3"/>
        </w:rPr>
        <w:t> </w:t>
      </w:r>
      <w:r>
        <w:rPr>
          <w:color w:val="231F20"/>
        </w:rPr>
        <w:t>disability</w:t>
      </w:r>
      <w:r>
        <w:rPr>
          <w:color w:val="231F20"/>
          <w:spacing w:val="-3"/>
        </w:rPr>
        <w:t> </w:t>
      </w:r>
      <w:r>
        <w:rPr>
          <w:color w:val="231F20"/>
        </w:rPr>
        <w:t>retirement.</w:t>
      </w:r>
      <w:r>
        <w:rPr>
          <w:color w:val="231F20"/>
          <w:spacing w:val="-3"/>
        </w:rPr>
        <w:t> </w:t>
      </w:r>
      <w:r>
        <w:rPr>
          <w:color w:val="231F20"/>
        </w:rPr>
        <w:t>A</w:t>
      </w:r>
      <w:r>
        <w:rPr>
          <w:color w:val="231F20"/>
          <w:spacing w:val="-3"/>
        </w:rPr>
        <w:t> </w:t>
      </w:r>
      <w:r>
        <w:rPr>
          <w:color w:val="231F20"/>
        </w:rPr>
        <w:t>member</w:t>
      </w:r>
      <w:r>
        <w:rPr>
          <w:color w:val="231F20"/>
          <w:spacing w:val="-3"/>
        </w:rPr>
        <w:t> </w:t>
      </w:r>
      <w:r>
        <w:rPr>
          <w:color w:val="231F20"/>
        </w:rPr>
        <w:t>on</w:t>
      </w:r>
      <w:r>
        <w:rPr>
          <w:color w:val="231F20"/>
          <w:spacing w:val="-3"/>
        </w:rPr>
        <w:t> </w:t>
      </w:r>
      <w:r>
        <w:rPr>
          <w:color w:val="231F20"/>
        </w:rPr>
        <w:t>regular</w:t>
      </w:r>
      <w:r>
        <w:rPr>
          <w:color w:val="231F20"/>
          <w:spacing w:val="-2"/>
        </w:rPr>
        <w:t> </w:t>
      </w:r>
      <w:r>
        <w:rPr>
          <w:color w:val="231F20"/>
        </w:rPr>
        <w:t>retirement</w:t>
      </w:r>
      <w:r>
        <w:rPr>
          <w:color w:val="231F20"/>
          <w:spacing w:val="-3"/>
        </w:rPr>
        <w:t> </w:t>
      </w:r>
      <w:r>
        <w:rPr>
          <w:color w:val="231F20"/>
        </w:rPr>
        <w:t>who</w:t>
      </w:r>
      <w:r>
        <w:rPr>
          <w:color w:val="231F20"/>
          <w:spacing w:val="-4"/>
        </w:rPr>
        <w:t> </w:t>
      </w:r>
      <w:r>
        <w:rPr>
          <w:color w:val="231F20"/>
        </w:rPr>
        <w:t>can</w:t>
      </w:r>
      <w:r>
        <w:rPr>
          <w:color w:val="231F20"/>
          <w:spacing w:val="-3"/>
        </w:rPr>
        <w:t> </w:t>
      </w:r>
      <w:r>
        <w:rPr>
          <w:color w:val="231F20"/>
        </w:rPr>
        <w:t>prove</w:t>
      </w:r>
      <w:r>
        <w:rPr>
          <w:color w:val="231F20"/>
          <w:spacing w:val="-3"/>
        </w:rPr>
        <w:t> </w:t>
      </w:r>
      <w:r>
        <w:rPr>
          <w:color w:val="231F20"/>
        </w:rPr>
        <w:t>retirement</w:t>
      </w:r>
      <w:r>
        <w:rPr>
          <w:color w:val="231F20"/>
          <w:spacing w:val="-3"/>
        </w:rPr>
        <w:t> </w:t>
      </w:r>
      <w:r>
        <w:rPr>
          <w:color w:val="231F20"/>
        </w:rPr>
        <w:t>because</w:t>
      </w:r>
      <w:r>
        <w:rPr>
          <w:color w:val="231F20"/>
          <w:spacing w:val="-3"/>
        </w:rPr>
        <w:t> </w:t>
      </w:r>
      <w:r>
        <w:rPr>
          <w:color w:val="231F20"/>
        </w:rPr>
        <w:t>of</w:t>
      </w:r>
      <w:r>
        <w:rPr>
          <w:color w:val="231F20"/>
          <w:spacing w:val="-3"/>
        </w:rPr>
        <w:t> </w:t>
      </w:r>
      <w:r>
        <w:rPr>
          <w:color w:val="231F20"/>
        </w:rPr>
        <w:t>a disability may qualify for a COLA beginning July 1 in the third full year of retirement.</w:t>
      </w:r>
    </w:p>
    <w:p>
      <w:pPr>
        <w:pStyle w:val="BodyText"/>
        <w:spacing w:before="11"/>
        <w:rPr>
          <w:sz w:val="22"/>
        </w:rPr>
      </w:pPr>
    </w:p>
    <w:p>
      <w:pPr>
        <w:pStyle w:val="BodyText"/>
        <w:spacing w:line="276" w:lineRule="auto"/>
        <w:ind w:left="1440" w:right="1048"/>
      </w:pPr>
      <w:r>
        <w:rPr>
          <w:i/>
          <w:color w:val="231F20"/>
        </w:rPr>
        <w:t>Refund</w:t>
      </w:r>
      <w:r>
        <w:rPr>
          <w:i/>
          <w:color w:val="231F20"/>
          <w:spacing w:val="-1"/>
        </w:rPr>
        <w:t> </w:t>
      </w:r>
      <w:r>
        <w:rPr>
          <w:i/>
          <w:color w:val="231F20"/>
        </w:rPr>
        <w:t>of</w:t>
      </w:r>
      <w:r>
        <w:rPr>
          <w:i/>
          <w:color w:val="231F20"/>
          <w:spacing w:val="-1"/>
        </w:rPr>
        <w:t> </w:t>
      </w:r>
      <w:r>
        <w:rPr>
          <w:i/>
          <w:color w:val="231F20"/>
        </w:rPr>
        <w:t>Contributions</w:t>
      </w:r>
      <w:r>
        <w:rPr>
          <w:i/>
          <w:color w:val="231F20"/>
          <w:spacing w:val="-1"/>
        </w:rPr>
        <w:t> </w:t>
      </w:r>
      <w:r>
        <w:rPr>
          <w:i/>
          <w:color w:val="231F20"/>
        </w:rPr>
        <w:t>– </w:t>
      </w:r>
      <w:r>
        <w:rPr>
          <w:color w:val="231F20"/>
        </w:rPr>
        <w:t>Members</w:t>
      </w:r>
      <w:r>
        <w:rPr>
          <w:color w:val="231F20"/>
          <w:spacing w:val="-1"/>
        </w:rPr>
        <w:t> </w:t>
      </w:r>
      <w:r>
        <w:rPr>
          <w:color w:val="231F20"/>
        </w:rPr>
        <w:t>may</w:t>
      </w:r>
      <w:r>
        <w:rPr>
          <w:color w:val="231F20"/>
          <w:spacing w:val="-1"/>
        </w:rPr>
        <w:t> </w:t>
      </w:r>
      <w:r>
        <w:rPr>
          <w:color w:val="231F20"/>
        </w:rPr>
        <w:t>withdraw</w:t>
      </w:r>
      <w:r>
        <w:rPr>
          <w:color w:val="231F20"/>
          <w:spacing w:val="-1"/>
        </w:rPr>
        <w:t> </w:t>
      </w:r>
      <w:r>
        <w:rPr>
          <w:color w:val="231F20"/>
        </w:rPr>
        <w:t>their</w:t>
      </w:r>
      <w:r>
        <w:rPr>
          <w:color w:val="231F20"/>
          <w:spacing w:val="-1"/>
        </w:rPr>
        <w:t> </w:t>
      </w:r>
      <w:r>
        <w:rPr>
          <w:color w:val="231F20"/>
        </w:rPr>
        <w:t>contributions</w:t>
      </w:r>
      <w:r>
        <w:rPr>
          <w:color w:val="231F20"/>
          <w:spacing w:val="-1"/>
        </w:rPr>
        <w:t> </w:t>
      </w:r>
      <w:r>
        <w:rPr>
          <w:color w:val="231F20"/>
        </w:rPr>
        <w:t>only</w:t>
      </w:r>
      <w:r>
        <w:rPr>
          <w:color w:val="231F20"/>
          <w:spacing w:val="-1"/>
        </w:rPr>
        <w:t> </w:t>
      </w:r>
      <w:r>
        <w:rPr>
          <w:color w:val="231F20"/>
        </w:rPr>
        <w:t>when</w:t>
      </w:r>
      <w:r>
        <w:rPr>
          <w:color w:val="231F20"/>
          <w:spacing w:val="-2"/>
        </w:rPr>
        <w:t> </w:t>
      </w:r>
      <w:r>
        <w:rPr>
          <w:color w:val="231F20"/>
        </w:rPr>
        <w:t>they</w:t>
      </w:r>
      <w:r>
        <w:rPr>
          <w:color w:val="231F20"/>
          <w:spacing w:val="-1"/>
        </w:rPr>
        <w:t> </w:t>
      </w:r>
      <w:r>
        <w:rPr>
          <w:color w:val="231F20"/>
        </w:rPr>
        <w:t>terminate</w:t>
      </w:r>
      <w:r>
        <w:rPr>
          <w:color w:val="231F20"/>
          <w:spacing w:val="-1"/>
        </w:rPr>
        <w:t> </w:t>
      </w:r>
      <w:r>
        <w:rPr>
          <w:color w:val="231F20"/>
        </w:rPr>
        <w:t>covered employment in the State and their former employer(s) certification determination has been received by NMERB. Interest is paid to members when they withdraw their contributions following termination of employment</w:t>
      </w:r>
      <w:r>
        <w:rPr>
          <w:color w:val="231F20"/>
          <w:spacing w:val="-3"/>
        </w:rPr>
        <w:t> </w:t>
      </w:r>
      <w:r>
        <w:rPr>
          <w:color w:val="231F20"/>
        </w:rPr>
        <w:t>at</w:t>
      </w:r>
      <w:r>
        <w:rPr>
          <w:color w:val="231F20"/>
          <w:spacing w:val="-3"/>
        </w:rPr>
        <w:t> </w:t>
      </w:r>
      <w:r>
        <w:rPr>
          <w:color w:val="231F20"/>
        </w:rPr>
        <w:t>a</w:t>
      </w:r>
      <w:r>
        <w:rPr>
          <w:color w:val="231F20"/>
          <w:spacing w:val="-3"/>
        </w:rPr>
        <w:t> </w:t>
      </w:r>
      <w:r>
        <w:rPr>
          <w:color w:val="231F20"/>
        </w:rPr>
        <w:t>rate</w:t>
      </w:r>
      <w:r>
        <w:rPr>
          <w:color w:val="231F20"/>
          <w:spacing w:val="-3"/>
        </w:rPr>
        <w:t> </w:t>
      </w:r>
      <w:r>
        <w:rPr>
          <w:color w:val="231F20"/>
        </w:rPr>
        <w:t>set</w:t>
      </w:r>
      <w:r>
        <w:rPr>
          <w:color w:val="231F20"/>
          <w:spacing w:val="-3"/>
        </w:rPr>
        <w:t> </w:t>
      </w:r>
      <w:r>
        <w:rPr>
          <w:color w:val="231F20"/>
        </w:rPr>
        <w:t>by</w:t>
      </w:r>
      <w:r>
        <w:rPr>
          <w:color w:val="231F20"/>
          <w:spacing w:val="-2"/>
        </w:rPr>
        <w:t> </w:t>
      </w:r>
      <w:r>
        <w:rPr>
          <w:color w:val="231F20"/>
        </w:rPr>
        <w:t>the</w:t>
      </w:r>
      <w:r>
        <w:rPr>
          <w:color w:val="231F20"/>
          <w:spacing w:val="-3"/>
        </w:rPr>
        <w:t> </w:t>
      </w:r>
      <w:r>
        <w:rPr>
          <w:color w:val="231F20"/>
        </w:rPr>
        <w:t>Board.</w:t>
      </w:r>
      <w:r>
        <w:rPr>
          <w:color w:val="231F20"/>
          <w:spacing w:val="-3"/>
        </w:rPr>
        <w:t> </w:t>
      </w:r>
      <w:r>
        <w:rPr>
          <w:color w:val="231F20"/>
        </w:rPr>
        <w:t>Interest</w:t>
      </w:r>
      <w:r>
        <w:rPr>
          <w:color w:val="231F20"/>
          <w:spacing w:val="-3"/>
        </w:rPr>
        <w:t> </w:t>
      </w:r>
      <w:r>
        <w:rPr>
          <w:color w:val="231F20"/>
        </w:rPr>
        <w:t>is not</w:t>
      </w:r>
      <w:r>
        <w:rPr>
          <w:color w:val="231F20"/>
          <w:spacing w:val="-4"/>
        </w:rPr>
        <w:t> </w:t>
      </w:r>
      <w:r>
        <w:rPr>
          <w:color w:val="231F20"/>
        </w:rPr>
        <w:t>earned</w:t>
      </w:r>
      <w:r>
        <w:rPr>
          <w:color w:val="231F20"/>
          <w:spacing w:val="-3"/>
        </w:rPr>
        <w:t> </w:t>
      </w:r>
      <w:r>
        <w:rPr>
          <w:color w:val="231F20"/>
        </w:rPr>
        <w:t>on</w:t>
      </w:r>
      <w:r>
        <w:rPr>
          <w:color w:val="231F20"/>
          <w:spacing w:val="-4"/>
        </w:rPr>
        <w:t> </w:t>
      </w:r>
      <w:r>
        <w:rPr>
          <w:color w:val="231F20"/>
        </w:rPr>
        <w:t>contributions</w:t>
      </w:r>
      <w:r>
        <w:rPr>
          <w:color w:val="231F20"/>
          <w:spacing w:val="-3"/>
        </w:rPr>
        <w:t> </w:t>
      </w:r>
      <w:r>
        <w:rPr>
          <w:color w:val="231F20"/>
        </w:rPr>
        <w:t>credited</w:t>
      </w:r>
      <w:r>
        <w:rPr>
          <w:color w:val="231F20"/>
          <w:spacing w:val="-3"/>
        </w:rPr>
        <w:t> </w:t>
      </w:r>
      <w:r>
        <w:rPr>
          <w:color w:val="231F20"/>
        </w:rPr>
        <w:t>to</w:t>
      </w:r>
      <w:r>
        <w:rPr>
          <w:color w:val="231F20"/>
          <w:spacing w:val="-3"/>
        </w:rPr>
        <w:t> </w:t>
      </w:r>
      <w:r>
        <w:rPr>
          <w:color w:val="231F20"/>
        </w:rPr>
        <w:t>accounts</w:t>
      </w:r>
      <w:r>
        <w:rPr>
          <w:color w:val="231F20"/>
          <w:spacing w:val="-3"/>
        </w:rPr>
        <w:t> </w:t>
      </w:r>
      <w:r>
        <w:rPr>
          <w:color w:val="231F20"/>
        </w:rPr>
        <w:t>prior to July 1, 1971, or for contributions held for less than one year.</w:t>
      </w:r>
    </w:p>
    <w:p>
      <w:pPr>
        <w:pStyle w:val="BodyText"/>
        <w:rPr>
          <w:sz w:val="23"/>
        </w:rPr>
      </w:pPr>
    </w:p>
    <w:p>
      <w:pPr>
        <w:pStyle w:val="BodyText"/>
        <w:spacing w:line="276" w:lineRule="auto"/>
        <w:ind w:left="1440" w:right="1048" w:hanging="1"/>
      </w:pPr>
      <w:r>
        <w:rPr>
          <w:i/>
          <w:color w:val="231F20"/>
        </w:rPr>
        <w:t>Contributions</w:t>
      </w:r>
      <w:r>
        <w:rPr>
          <w:i/>
          <w:color w:val="231F20"/>
          <w:spacing w:val="-3"/>
        </w:rPr>
        <w:t> </w:t>
      </w:r>
      <w:r>
        <w:rPr>
          <w:i/>
          <w:color w:val="231F20"/>
        </w:rPr>
        <w:t>–</w:t>
      </w:r>
      <w:r>
        <w:rPr>
          <w:i/>
          <w:color w:val="231F20"/>
          <w:spacing w:val="-2"/>
        </w:rPr>
        <w:t> </w:t>
      </w:r>
      <w:r>
        <w:rPr>
          <w:color w:val="231F20"/>
        </w:rPr>
        <w:t>For</w:t>
      </w:r>
      <w:r>
        <w:rPr>
          <w:color w:val="231F20"/>
          <w:spacing w:val="-3"/>
        </w:rPr>
        <w:t> </w:t>
      </w:r>
      <w:r>
        <w:rPr>
          <w:color w:val="231F20"/>
        </w:rPr>
        <w:t>the</w:t>
      </w:r>
      <w:r>
        <w:rPr>
          <w:color w:val="231F20"/>
          <w:spacing w:val="-3"/>
        </w:rPr>
        <w:t> </w:t>
      </w:r>
      <w:r>
        <w:rPr>
          <w:color w:val="231F20"/>
        </w:rPr>
        <w:t>fiscal</w:t>
      </w:r>
      <w:r>
        <w:rPr>
          <w:color w:val="231F20"/>
          <w:spacing w:val="-3"/>
        </w:rPr>
        <w:t> </w:t>
      </w:r>
      <w:r>
        <w:rPr>
          <w:color w:val="231F20"/>
        </w:rPr>
        <w:t>year</w:t>
      </w:r>
      <w:r>
        <w:rPr>
          <w:color w:val="231F20"/>
          <w:spacing w:val="-2"/>
        </w:rPr>
        <w:t> </w:t>
      </w:r>
      <w:r>
        <w:rPr>
          <w:color w:val="231F20"/>
        </w:rPr>
        <w:t>ended</w:t>
      </w:r>
      <w:r>
        <w:rPr>
          <w:color w:val="231F20"/>
          <w:spacing w:val="-4"/>
        </w:rPr>
        <w:t> </w:t>
      </w:r>
      <w:r>
        <w:rPr>
          <w:color w:val="231F20"/>
        </w:rPr>
        <w:t>June</w:t>
      </w:r>
      <w:r>
        <w:rPr>
          <w:color w:val="231F20"/>
          <w:spacing w:val="-3"/>
        </w:rPr>
        <w:t> </w:t>
      </w:r>
      <w:r>
        <w:rPr>
          <w:color w:val="231F20"/>
        </w:rPr>
        <w:t>30,</w:t>
      </w:r>
      <w:r>
        <w:rPr>
          <w:color w:val="231F20"/>
          <w:spacing w:val="-3"/>
        </w:rPr>
        <w:t> </w:t>
      </w:r>
      <w:r>
        <w:rPr>
          <w:color w:val="231F20"/>
        </w:rPr>
        <w:t>2022,</w:t>
      </w:r>
      <w:r>
        <w:rPr>
          <w:color w:val="231F20"/>
          <w:spacing w:val="-3"/>
        </w:rPr>
        <w:t> </w:t>
      </w:r>
      <w:r>
        <w:rPr>
          <w:color w:val="231F20"/>
        </w:rPr>
        <w:t>educational</w:t>
      </w:r>
      <w:r>
        <w:rPr>
          <w:color w:val="231F20"/>
          <w:spacing w:val="-3"/>
        </w:rPr>
        <w:t> </w:t>
      </w:r>
      <w:r>
        <w:rPr>
          <w:color w:val="231F20"/>
        </w:rPr>
        <w:t>employers</w:t>
      </w:r>
      <w:r>
        <w:rPr>
          <w:color w:val="231F20"/>
          <w:spacing w:val="-3"/>
        </w:rPr>
        <w:t> </w:t>
      </w:r>
      <w:r>
        <w:rPr>
          <w:color w:val="231F20"/>
        </w:rPr>
        <w:t>contributed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Plan based on the following rate schedule.</w:t>
      </w:r>
    </w:p>
    <w:p>
      <w:pPr>
        <w:pStyle w:val="BodyText"/>
        <w:spacing w:before="7"/>
        <w:rPr>
          <w:sz w:val="22"/>
        </w:rPr>
      </w:pPr>
    </w:p>
    <w:tbl>
      <w:tblPr>
        <w:tblW w:w="0" w:type="auto"/>
        <w:jc w:val="left"/>
        <w:tblInd w:w="1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6"/>
        <w:gridCol w:w="186"/>
        <w:gridCol w:w="1686"/>
        <w:gridCol w:w="186"/>
        <w:gridCol w:w="1168"/>
        <w:gridCol w:w="186"/>
        <w:gridCol w:w="1052"/>
        <w:gridCol w:w="186"/>
        <w:gridCol w:w="1052"/>
        <w:gridCol w:w="186"/>
        <w:gridCol w:w="1052"/>
        <w:gridCol w:w="186"/>
        <w:gridCol w:w="1052"/>
      </w:tblGrid>
      <w:tr>
        <w:trPr>
          <w:trHeight w:val="652" w:hRule="atLeast"/>
        </w:trPr>
        <w:tc>
          <w:tcPr>
            <w:tcW w:w="1226" w:type="dxa"/>
            <w:tcBorders>
              <w:bottom w:val="single" w:sz="8" w:space="0" w:color="231F20"/>
            </w:tcBorders>
          </w:tcPr>
          <w:p>
            <w:pPr>
              <w:pStyle w:val="TableParagraph"/>
              <w:rPr>
                <w:sz w:val="18"/>
              </w:rPr>
            </w:pPr>
          </w:p>
          <w:p>
            <w:pPr>
              <w:pStyle w:val="TableParagraph"/>
              <w:rPr>
                <w:sz w:val="20"/>
              </w:rPr>
            </w:pPr>
          </w:p>
          <w:p>
            <w:pPr>
              <w:pStyle w:val="TableParagraph"/>
              <w:spacing w:line="195" w:lineRule="exact"/>
              <w:ind w:left="304"/>
              <w:rPr>
                <w:sz w:val="17"/>
              </w:rPr>
            </w:pPr>
            <w:r>
              <w:rPr>
                <w:color w:val="231F20"/>
                <w:w w:val="105"/>
                <w:sz w:val="17"/>
              </w:rPr>
              <w:t>Fiscal</w:t>
            </w:r>
            <w:r>
              <w:rPr>
                <w:color w:val="231F20"/>
                <w:spacing w:val="-10"/>
                <w:w w:val="105"/>
                <w:sz w:val="17"/>
              </w:rPr>
              <w:t> </w:t>
            </w:r>
            <w:r>
              <w:rPr>
                <w:color w:val="231F20"/>
                <w:spacing w:val="-4"/>
                <w:w w:val="105"/>
                <w:sz w:val="17"/>
              </w:rPr>
              <w:t>Year</w:t>
            </w:r>
          </w:p>
        </w:tc>
        <w:tc>
          <w:tcPr>
            <w:tcW w:w="186" w:type="dxa"/>
          </w:tcPr>
          <w:p>
            <w:pPr>
              <w:pStyle w:val="TableParagraph"/>
              <w:rPr>
                <w:rFonts w:ascii="Times New Roman"/>
                <w:sz w:val="20"/>
              </w:rPr>
            </w:pPr>
          </w:p>
        </w:tc>
        <w:tc>
          <w:tcPr>
            <w:tcW w:w="1686" w:type="dxa"/>
            <w:tcBorders>
              <w:bottom w:val="single" w:sz="8" w:space="0" w:color="231F20"/>
            </w:tcBorders>
          </w:tcPr>
          <w:p>
            <w:pPr>
              <w:pStyle w:val="TableParagraph"/>
              <w:rPr>
                <w:sz w:val="18"/>
              </w:rPr>
            </w:pPr>
          </w:p>
          <w:p>
            <w:pPr>
              <w:pStyle w:val="TableParagraph"/>
              <w:rPr>
                <w:sz w:val="20"/>
              </w:rPr>
            </w:pPr>
          </w:p>
          <w:p>
            <w:pPr>
              <w:pStyle w:val="TableParagraph"/>
              <w:spacing w:line="195" w:lineRule="exact"/>
              <w:ind w:left="44" w:right="43"/>
              <w:jc w:val="center"/>
              <w:rPr>
                <w:sz w:val="17"/>
              </w:rPr>
            </w:pPr>
            <w:r>
              <w:rPr>
                <w:color w:val="231F20"/>
                <w:w w:val="105"/>
                <w:sz w:val="17"/>
              </w:rPr>
              <w:t>Date</w:t>
            </w:r>
            <w:r>
              <w:rPr>
                <w:color w:val="231F20"/>
                <w:spacing w:val="-7"/>
                <w:w w:val="105"/>
                <w:sz w:val="17"/>
              </w:rPr>
              <w:t> </w:t>
            </w:r>
            <w:r>
              <w:rPr>
                <w:color w:val="231F20"/>
                <w:spacing w:val="-2"/>
                <w:w w:val="105"/>
                <w:sz w:val="17"/>
              </w:rPr>
              <w:t>Range</w:t>
            </w:r>
          </w:p>
        </w:tc>
        <w:tc>
          <w:tcPr>
            <w:tcW w:w="186" w:type="dxa"/>
          </w:tcPr>
          <w:p>
            <w:pPr>
              <w:pStyle w:val="TableParagraph"/>
              <w:rPr>
                <w:rFonts w:ascii="Times New Roman"/>
                <w:sz w:val="20"/>
              </w:rPr>
            </w:pPr>
          </w:p>
        </w:tc>
        <w:tc>
          <w:tcPr>
            <w:tcW w:w="1168" w:type="dxa"/>
            <w:tcBorders>
              <w:bottom w:val="single" w:sz="8" w:space="0" w:color="231F20"/>
            </w:tcBorders>
          </w:tcPr>
          <w:p>
            <w:pPr>
              <w:pStyle w:val="TableParagraph"/>
              <w:spacing w:before="8"/>
              <w:rPr>
                <w:sz w:val="16"/>
              </w:rPr>
            </w:pPr>
          </w:p>
          <w:p>
            <w:pPr>
              <w:pStyle w:val="TableParagraph"/>
              <w:spacing w:line="220" w:lineRule="atLeast"/>
              <w:ind w:left="227" w:right="212" w:firstLine="126"/>
              <w:rPr>
                <w:sz w:val="17"/>
              </w:rPr>
            </w:pPr>
            <w:r>
              <w:rPr>
                <w:color w:val="231F20"/>
                <w:spacing w:val="-4"/>
                <w:w w:val="105"/>
                <w:sz w:val="17"/>
              </w:rPr>
              <w:t>Wage </w:t>
            </w:r>
            <w:r>
              <w:rPr>
                <w:color w:val="231F20"/>
                <w:spacing w:val="-2"/>
                <w:w w:val="105"/>
                <w:sz w:val="17"/>
              </w:rPr>
              <w:t>Category</w:t>
            </w:r>
          </w:p>
        </w:tc>
        <w:tc>
          <w:tcPr>
            <w:tcW w:w="186" w:type="dxa"/>
          </w:tcPr>
          <w:p>
            <w:pPr>
              <w:pStyle w:val="TableParagraph"/>
              <w:rPr>
                <w:rFonts w:ascii="Times New Roman"/>
                <w:sz w:val="20"/>
              </w:rPr>
            </w:pPr>
          </w:p>
        </w:tc>
        <w:tc>
          <w:tcPr>
            <w:tcW w:w="1052" w:type="dxa"/>
            <w:tcBorders>
              <w:bottom w:val="single" w:sz="8" w:space="0" w:color="231F20"/>
            </w:tcBorders>
          </w:tcPr>
          <w:p>
            <w:pPr>
              <w:pStyle w:val="TableParagraph"/>
              <w:spacing w:before="8"/>
              <w:rPr>
                <w:sz w:val="16"/>
              </w:rPr>
            </w:pPr>
          </w:p>
          <w:p>
            <w:pPr>
              <w:pStyle w:val="TableParagraph"/>
              <w:spacing w:line="220" w:lineRule="atLeast"/>
              <w:ind w:left="339" w:right="189" w:hanging="139"/>
              <w:rPr>
                <w:sz w:val="17"/>
              </w:rPr>
            </w:pPr>
            <w:r>
              <w:rPr>
                <w:color w:val="231F20"/>
                <w:spacing w:val="-2"/>
                <w:w w:val="105"/>
                <w:sz w:val="17"/>
              </w:rPr>
              <w:t>Member </w:t>
            </w:r>
            <w:r>
              <w:rPr>
                <w:color w:val="231F20"/>
                <w:spacing w:val="-4"/>
                <w:w w:val="105"/>
                <w:sz w:val="17"/>
              </w:rPr>
              <w:t>Rate</w:t>
            </w:r>
          </w:p>
        </w:tc>
        <w:tc>
          <w:tcPr>
            <w:tcW w:w="186" w:type="dxa"/>
          </w:tcPr>
          <w:p>
            <w:pPr>
              <w:pStyle w:val="TableParagraph"/>
              <w:rPr>
                <w:rFonts w:ascii="Times New Roman"/>
                <w:sz w:val="20"/>
              </w:rPr>
            </w:pPr>
          </w:p>
        </w:tc>
        <w:tc>
          <w:tcPr>
            <w:tcW w:w="1052" w:type="dxa"/>
            <w:tcBorders>
              <w:bottom w:val="single" w:sz="8" w:space="0" w:color="231F20"/>
            </w:tcBorders>
          </w:tcPr>
          <w:p>
            <w:pPr>
              <w:pStyle w:val="TableParagraph"/>
              <w:spacing w:before="8"/>
              <w:rPr>
                <w:sz w:val="16"/>
              </w:rPr>
            </w:pPr>
          </w:p>
          <w:p>
            <w:pPr>
              <w:pStyle w:val="TableParagraph"/>
              <w:spacing w:line="220" w:lineRule="atLeast"/>
              <w:ind w:left="339" w:right="141" w:hanging="186"/>
              <w:rPr>
                <w:sz w:val="17"/>
              </w:rPr>
            </w:pPr>
            <w:r>
              <w:rPr>
                <w:color w:val="231F20"/>
                <w:spacing w:val="-2"/>
                <w:w w:val="105"/>
                <w:sz w:val="17"/>
              </w:rPr>
              <w:t>Employer </w:t>
            </w:r>
            <w:r>
              <w:rPr>
                <w:color w:val="231F20"/>
                <w:spacing w:val="-4"/>
                <w:w w:val="105"/>
                <w:sz w:val="17"/>
              </w:rPr>
              <w:t>Rate</w:t>
            </w:r>
          </w:p>
        </w:tc>
        <w:tc>
          <w:tcPr>
            <w:tcW w:w="186" w:type="dxa"/>
          </w:tcPr>
          <w:p>
            <w:pPr>
              <w:pStyle w:val="TableParagraph"/>
              <w:rPr>
                <w:rFonts w:ascii="Times New Roman"/>
                <w:sz w:val="20"/>
              </w:rPr>
            </w:pPr>
          </w:p>
        </w:tc>
        <w:tc>
          <w:tcPr>
            <w:tcW w:w="1052" w:type="dxa"/>
            <w:tcBorders>
              <w:bottom w:val="single" w:sz="8" w:space="0" w:color="231F20"/>
            </w:tcBorders>
          </w:tcPr>
          <w:p>
            <w:pPr>
              <w:pStyle w:val="TableParagraph"/>
              <w:spacing w:before="8"/>
              <w:rPr>
                <w:sz w:val="16"/>
              </w:rPr>
            </w:pPr>
          </w:p>
          <w:p>
            <w:pPr>
              <w:pStyle w:val="TableParagraph"/>
              <w:spacing w:line="220" w:lineRule="atLeast"/>
              <w:ind w:left="340" w:right="112" w:hanging="218"/>
              <w:rPr>
                <w:sz w:val="17"/>
              </w:rPr>
            </w:pPr>
            <w:r>
              <w:rPr>
                <w:color w:val="231F20"/>
                <w:spacing w:val="-2"/>
                <w:w w:val="105"/>
                <w:sz w:val="17"/>
              </w:rPr>
              <w:t>Combined </w:t>
            </w:r>
            <w:r>
              <w:rPr>
                <w:color w:val="231F20"/>
                <w:spacing w:val="-4"/>
                <w:w w:val="105"/>
                <w:sz w:val="17"/>
              </w:rPr>
              <w:t>Rate</w:t>
            </w:r>
          </w:p>
        </w:tc>
        <w:tc>
          <w:tcPr>
            <w:tcW w:w="186" w:type="dxa"/>
          </w:tcPr>
          <w:p>
            <w:pPr>
              <w:pStyle w:val="TableParagraph"/>
              <w:rPr>
                <w:rFonts w:ascii="Times New Roman"/>
                <w:sz w:val="20"/>
              </w:rPr>
            </w:pPr>
          </w:p>
        </w:tc>
        <w:tc>
          <w:tcPr>
            <w:tcW w:w="1052" w:type="dxa"/>
            <w:tcBorders>
              <w:bottom w:val="single" w:sz="8" w:space="0" w:color="231F20"/>
            </w:tcBorders>
          </w:tcPr>
          <w:p>
            <w:pPr>
              <w:pStyle w:val="TableParagraph"/>
              <w:spacing w:line="194" w:lineRule="exact"/>
              <w:ind w:left="122" w:firstLine="66"/>
              <w:rPr>
                <w:sz w:val="17"/>
              </w:rPr>
            </w:pPr>
            <w:r>
              <w:rPr>
                <w:color w:val="231F20"/>
                <w:spacing w:val="-2"/>
                <w:w w:val="105"/>
                <w:sz w:val="17"/>
              </w:rPr>
              <w:t>Increase</w:t>
            </w:r>
          </w:p>
          <w:p>
            <w:pPr>
              <w:pStyle w:val="TableParagraph"/>
              <w:spacing w:line="220" w:lineRule="atLeast"/>
              <w:ind w:left="340" w:right="110" w:hanging="219"/>
              <w:rPr>
                <w:sz w:val="17"/>
              </w:rPr>
            </w:pPr>
            <w:r>
              <w:rPr>
                <w:color w:val="231F20"/>
                <w:w w:val="105"/>
                <w:sz w:val="17"/>
              </w:rPr>
              <w:t>Over</w:t>
            </w:r>
            <w:r>
              <w:rPr>
                <w:color w:val="231F20"/>
                <w:spacing w:val="-13"/>
                <w:w w:val="105"/>
                <w:sz w:val="17"/>
              </w:rPr>
              <w:t> </w:t>
            </w:r>
            <w:r>
              <w:rPr>
                <w:color w:val="231F20"/>
                <w:w w:val="105"/>
                <w:sz w:val="17"/>
              </w:rPr>
              <w:t>Prior </w:t>
            </w:r>
            <w:r>
              <w:rPr>
                <w:color w:val="231F20"/>
                <w:spacing w:val="-4"/>
                <w:w w:val="105"/>
                <w:sz w:val="17"/>
              </w:rPr>
              <w:t>Year</w:t>
            </w:r>
          </w:p>
        </w:tc>
      </w:tr>
      <w:tr>
        <w:trPr>
          <w:trHeight w:val="328" w:hRule="atLeast"/>
        </w:trPr>
        <w:tc>
          <w:tcPr>
            <w:tcW w:w="1226" w:type="dxa"/>
            <w:tcBorders>
              <w:top w:val="single" w:sz="8" w:space="0" w:color="231F20"/>
            </w:tcBorders>
          </w:tcPr>
          <w:p>
            <w:pPr>
              <w:pStyle w:val="TableParagraph"/>
              <w:spacing w:line="193" w:lineRule="exact" w:before="115"/>
              <w:ind w:left="424"/>
              <w:rPr>
                <w:sz w:val="17"/>
              </w:rPr>
            </w:pPr>
            <w:r>
              <w:rPr>
                <w:color w:val="231F20"/>
                <w:spacing w:val="-4"/>
                <w:w w:val="105"/>
                <w:sz w:val="17"/>
              </w:rPr>
              <w:t>2022</w:t>
            </w:r>
          </w:p>
        </w:tc>
        <w:tc>
          <w:tcPr>
            <w:tcW w:w="186" w:type="dxa"/>
          </w:tcPr>
          <w:p>
            <w:pPr>
              <w:pStyle w:val="TableParagraph"/>
              <w:rPr>
                <w:rFonts w:ascii="Times New Roman"/>
                <w:sz w:val="20"/>
              </w:rPr>
            </w:pPr>
          </w:p>
        </w:tc>
        <w:tc>
          <w:tcPr>
            <w:tcW w:w="1686" w:type="dxa"/>
            <w:tcBorders>
              <w:top w:val="single" w:sz="8" w:space="0" w:color="231F20"/>
            </w:tcBorders>
          </w:tcPr>
          <w:p>
            <w:pPr>
              <w:pStyle w:val="TableParagraph"/>
              <w:spacing w:line="193" w:lineRule="exact" w:before="115"/>
              <w:ind w:left="61" w:right="43"/>
              <w:jc w:val="center"/>
              <w:rPr>
                <w:sz w:val="17"/>
              </w:rPr>
            </w:pPr>
            <w:r>
              <w:rPr>
                <w:color w:val="231F20"/>
                <w:w w:val="105"/>
                <w:sz w:val="17"/>
              </w:rPr>
              <w:t>7-1-21</w:t>
            </w:r>
            <w:r>
              <w:rPr>
                <w:color w:val="231F20"/>
                <w:spacing w:val="-11"/>
                <w:w w:val="105"/>
                <w:sz w:val="17"/>
              </w:rPr>
              <w:t> </w:t>
            </w:r>
            <w:r>
              <w:rPr>
                <w:color w:val="231F20"/>
                <w:w w:val="105"/>
                <w:sz w:val="17"/>
              </w:rPr>
              <w:t>to</w:t>
            </w:r>
            <w:r>
              <w:rPr>
                <w:color w:val="231F20"/>
                <w:spacing w:val="-10"/>
                <w:w w:val="105"/>
                <w:sz w:val="17"/>
              </w:rPr>
              <w:t> </w:t>
            </w:r>
            <w:r>
              <w:rPr>
                <w:color w:val="231F20"/>
                <w:w w:val="105"/>
                <w:sz w:val="17"/>
              </w:rPr>
              <w:t>6-30-</w:t>
            </w:r>
            <w:r>
              <w:rPr>
                <w:color w:val="231F20"/>
                <w:spacing w:val="-4"/>
                <w:w w:val="105"/>
                <w:sz w:val="17"/>
              </w:rPr>
              <w:t>2022</w:t>
            </w:r>
          </w:p>
        </w:tc>
        <w:tc>
          <w:tcPr>
            <w:tcW w:w="186" w:type="dxa"/>
          </w:tcPr>
          <w:p>
            <w:pPr>
              <w:pStyle w:val="TableParagraph"/>
              <w:rPr>
                <w:rFonts w:ascii="Times New Roman"/>
                <w:sz w:val="20"/>
              </w:rPr>
            </w:pPr>
          </w:p>
        </w:tc>
        <w:tc>
          <w:tcPr>
            <w:tcW w:w="1168" w:type="dxa"/>
            <w:tcBorders>
              <w:top w:val="single" w:sz="8" w:space="0" w:color="231F20"/>
            </w:tcBorders>
          </w:tcPr>
          <w:p>
            <w:pPr>
              <w:pStyle w:val="TableParagraph"/>
              <w:spacing w:line="193" w:lineRule="exact" w:before="115"/>
              <w:ind w:left="59" w:right="42"/>
              <w:jc w:val="center"/>
              <w:rPr>
                <w:sz w:val="17"/>
              </w:rPr>
            </w:pPr>
            <w:r>
              <w:rPr>
                <w:color w:val="231F20"/>
                <w:w w:val="105"/>
                <w:sz w:val="17"/>
              </w:rPr>
              <w:t>Over</w:t>
            </w:r>
            <w:r>
              <w:rPr>
                <w:color w:val="231F20"/>
                <w:spacing w:val="-7"/>
                <w:w w:val="105"/>
                <w:sz w:val="17"/>
              </w:rPr>
              <w:t> </w:t>
            </w:r>
            <w:r>
              <w:rPr>
                <w:color w:val="231F20"/>
                <w:spacing w:val="-4"/>
                <w:w w:val="105"/>
                <w:sz w:val="17"/>
              </w:rPr>
              <w:t>$24K</w:t>
            </w:r>
          </w:p>
        </w:tc>
        <w:tc>
          <w:tcPr>
            <w:tcW w:w="186" w:type="dxa"/>
          </w:tcPr>
          <w:p>
            <w:pPr>
              <w:pStyle w:val="TableParagraph"/>
              <w:rPr>
                <w:rFonts w:ascii="Times New Roman"/>
                <w:sz w:val="20"/>
              </w:rPr>
            </w:pPr>
          </w:p>
        </w:tc>
        <w:tc>
          <w:tcPr>
            <w:tcW w:w="1052" w:type="dxa"/>
            <w:tcBorders>
              <w:top w:val="single" w:sz="8" w:space="0" w:color="231F20"/>
            </w:tcBorders>
          </w:tcPr>
          <w:p>
            <w:pPr>
              <w:pStyle w:val="TableParagraph"/>
              <w:spacing w:line="193" w:lineRule="exact" w:before="115"/>
              <w:ind w:left="216" w:right="201"/>
              <w:jc w:val="center"/>
              <w:rPr>
                <w:sz w:val="17"/>
              </w:rPr>
            </w:pPr>
            <w:r>
              <w:rPr>
                <w:color w:val="231F20"/>
                <w:spacing w:val="-2"/>
                <w:w w:val="105"/>
                <w:sz w:val="17"/>
              </w:rPr>
              <w:t>10.70%</w:t>
            </w:r>
          </w:p>
        </w:tc>
        <w:tc>
          <w:tcPr>
            <w:tcW w:w="186" w:type="dxa"/>
          </w:tcPr>
          <w:p>
            <w:pPr>
              <w:pStyle w:val="TableParagraph"/>
              <w:rPr>
                <w:rFonts w:ascii="Times New Roman"/>
                <w:sz w:val="20"/>
              </w:rPr>
            </w:pPr>
          </w:p>
        </w:tc>
        <w:tc>
          <w:tcPr>
            <w:tcW w:w="1052" w:type="dxa"/>
            <w:tcBorders>
              <w:top w:val="single" w:sz="8" w:space="0" w:color="231F20"/>
            </w:tcBorders>
          </w:tcPr>
          <w:p>
            <w:pPr>
              <w:pStyle w:val="TableParagraph"/>
              <w:spacing w:line="193" w:lineRule="exact" w:before="115"/>
              <w:ind w:left="232"/>
              <w:rPr>
                <w:sz w:val="17"/>
              </w:rPr>
            </w:pPr>
            <w:r>
              <w:rPr>
                <w:color w:val="231F20"/>
                <w:spacing w:val="-2"/>
                <w:w w:val="105"/>
                <w:sz w:val="17"/>
              </w:rPr>
              <w:t>15.15%</w:t>
            </w:r>
          </w:p>
        </w:tc>
        <w:tc>
          <w:tcPr>
            <w:tcW w:w="186" w:type="dxa"/>
          </w:tcPr>
          <w:p>
            <w:pPr>
              <w:pStyle w:val="TableParagraph"/>
              <w:rPr>
                <w:rFonts w:ascii="Times New Roman"/>
                <w:sz w:val="20"/>
              </w:rPr>
            </w:pPr>
          </w:p>
        </w:tc>
        <w:tc>
          <w:tcPr>
            <w:tcW w:w="1052" w:type="dxa"/>
            <w:tcBorders>
              <w:top w:val="single" w:sz="8" w:space="0" w:color="231F20"/>
            </w:tcBorders>
          </w:tcPr>
          <w:p>
            <w:pPr>
              <w:pStyle w:val="TableParagraph"/>
              <w:spacing w:line="193" w:lineRule="exact" w:before="115"/>
              <w:ind w:left="216" w:right="201"/>
              <w:jc w:val="center"/>
              <w:rPr>
                <w:sz w:val="17"/>
              </w:rPr>
            </w:pPr>
            <w:r>
              <w:rPr>
                <w:color w:val="231F20"/>
                <w:spacing w:val="-2"/>
                <w:w w:val="105"/>
                <w:sz w:val="17"/>
              </w:rPr>
              <w:t>25.85%</w:t>
            </w:r>
          </w:p>
        </w:tc>
        <w:tc>
          <w:tcPr>
            <w:tcW w:w="186" w:type="dxa"/>
          </w:tcPr>
          <w:p>
            <w:pPr>
              <w:pStyle w:val="TableParagraph"/>
              <w:rPr>
                <w:rFonts w:ascii="Times New Roman"/>
                <w:sz w:val="20"/>
              </w:rPr>
            </w:pPr>
          </w:p>
        </w:tc>
        <w:tc>
          <w:tcPr>
            <w:tcW w:w="1052" w:type="dxa"/>
            <w:tcBorders>
              <w:top w:val="single" w:sz="8" w:space="0" w:color="231F20"/>
            </w:tcBorders>
          </w:tcPr>
          <w:p>
            <w:pPr>
              <w:pStyle w:val="TableParagraph"/>
              <w:spacing w:line="193" w:lineRule="exact" w:before="115"/>
              <w:ind w:left="282"/>
              <w:rPr>
                <w:sz w:val="17"/>
              </w:rPr>
            </w:pPr>
            <w:r>
              <w:rPr>
                <w:color w:val="231F20"/>
                <w:spacing w:val="-2"/>
                <w:w w:val="105"/>
                <w:sz w:val="17"/>
              </w:rPr>
              <w:t>1.00%</w:t>
            </w:r>
          </w:p>
        </w:tc>
      </w:tr>
      <w:tr>
        <w:trPr>
          <w:trHeight w:val="211" w:hRule="atLeast"/>
        </w:trPr>
        <w:tc>
          <w:tcPr>
            <w:tcW w:w="1226" w:type="dxa"/>
          </w:tcPr>
          <w:p>
            <w:pPr>
              <w:pStyle w:val="TableParagraph"/>
              <w:spacing w:line="176" w:lineRule="exact" w:before="15"/>
              <w:ind w:left="424"/>
              <w:rPr>
                <w:sz w:val="17"/>
              </w:rPr>
            </w:pPr>
            <w:r>
              <w:rPr>
                <w:color w:val="231F20"/>
                <w:spacing w:val="-4"/>
                <w:w w:val="105"/>
                <w:sz w:val="17"/>
              </w:rPr>
              <w:t>2022</w:t>
            </w:r>
          </w:p>
        </w:tc>
        <w:tc>
          <w:tcPr>
            <w:tcW w:w="186" w:type="dxa"/>
          </w:tcPr>
          <w:p>
            <w:pPr>
              <w:pStyle w:val="TableParagraph"/>
              <w:rPr>
                <w:rFonts w:ascii="Times New Roman"/>
                <w:sz w:val="14"/>
              </w:rPr>
            </w:pPr>
          </w:p>
        </w:tc>
        <w:tc>
          <w:tcPr>
            <w:tcW w:w="1686" w:type="dxa"/>
          </w:tcPr>
          <w:p>
            <w:pPr>
              <w:pStyle w:val="TableParagraph"/>
              <w:spacing w:line="176" w:lineRule="exact" w:before="15"/>
              <w:ind w:left="61" w:right="43"/>
              <w:jc w:val="center"/>
              <w:rPr>
                <w:sz w:val="17"/>
              </w:rPr>
            </w:pPr>
            <w:r>
              <w:rPr>
                <w:color w:val="231F20"/>
                <w:w w:val="105"/>
                <w:sz w:val="17"/>
              </w:rPr>
              <w:t>7-1-21</w:t>
            </w:r>
            <w:r>
              <w:rPr>
                <w:color w:val="231F20"/>
                <w:spacing w:val="-11"/>
                <w:w w:val="105"/>
                <w:sz w:val="17"/>
              </w:rPr>
              <w:t> </w:t>
            </w:r>
            <w:r>
              <w:rPr>
                <w:color w:val="231F20"/>
                <w:w w:val="105"/>
                <w:sz w:val="17"/>
              </w:rPr>
              <w:t>to</w:t>
            </w:r>
            <w:r>
              <w:rPr>
                <w:color w:val="231F20"/>
                <w:spacing w:val="-10"/>
                <w:w w:val="105"/>
                <w:sz w:val="17"/>
              </w:rPr>
              <w:t> </w:t>
            </w:r>
            <w:r>
              <w:rPr>
                <w:color w:val="231F20"/>
                <w:w w:val="105"/>
                <w:sz w:val="17"/>
              </w:rPr>
              <w:t>6-30-</w:t>
            </w:r>
            <w:r>
              <w:rPr>
                <w:color w:val="231F20"/>
                <w:spacing w:val="-4"/>
                <w:w w:val="105"/>
                <w:sz w:val="17"/>
              </w:rPr>
              <w:t>2022</w:t>
            </w:r>
          </w:p>
        </w:tc>
        <w:tc>
          <w:tcPr>
            <w:tcW w:w="186" w:type="dxa"/>
          </w:tcPr>
          <w:p>
            <w:pPr>
              <w:pStyle w:val="TableParagraph"/>
              <w:rPr>
                <w:rFonts w:ascii="Times New Roman"/>
                <w:sz w:val="14"/>
              </w:rPr>
            </w:pPr>
          </w:p>
        </w:tc>
        <w:tc>
          <w:tcPr>
            <w:tcW w:w="1168" w:type="dxa"/>
          </w:tcPr>
          <w:p>
            <w:pPr>
              <w:pStyle w:val="TableParagraph"/>
              <w:spacing w:line="176" w:lineRule="exact" w:before="15"/>
              <w:ind w:left="59" w:right="43"/>
              <w:jc w:val="center"/>
              <w:rPr>
                <w:sz w:val="17"/>
              </w:rPr>
            </w:pPr>
            <w:r>
              <w:rPr>
                <w:color w:val="231F20"/>
                <w:w w:val="105"/>
                <w:sz w:val="17"/>
              </w:rPr>
              <w:t>$24K</w:t>
            </w:r>
            <w:r>
              <w:rPr>
                <w:color w:val="231F20"/>
                <w:spacing w:val="-6"/>
                <w:w w:val="105"/>
                <w:sz w:val="17"/>
              </w:rPr>
              <w:t> </w:t>
            </w:r>
            <w:r>
              <w:rPr>
                <w:color w:val="231F20"/>
                <w:w w:val="105"/>
                <w:sz w:val="17"/>
              </w:rPr>
              <w:t>or</w:t>
            </w:r>
            <w:r>
              <w:rPr>
                <w:color w:val="231F20"/>
                <w:spacing w:val="-5"/>
                <w:w w:val="105"/>
                <w:sz w:val="17"/>
              </w:rPr>
              <w:t> </w:t>
            </w:r>
            <w:r>
              <w:rPr>
                <w:color w:val="231F20"/>
                <w:spacing w:val="-4"/>
                <w:w w:val="105"/>
                <w:sz w:val="17"/>
              </w:rPr>
              <w:t>Less</w:t>
            </w:r>
          </w:p>
        </w:tc>
        <w:tc>
          <w:tcPr>
            <w:tcW w:w="186" w:type="dxa"/>
          </w:tcPr>
          <w:p>
            <w:pPr>
              <w:pStyle w:val="TableParagraph"/>
              <w:rPr>
                <w:rFonts w:ascii="Times New Roman"/>
                <w:sz w:val="14"/>
              </w:rPr>
            </w:pPr>
          </w:p>
        </w:tc>
        <w:tc>
          <w:tcPr>
            <w:tcW w:w="1052" w:type="dxa"/>
          </w:tcPr>
          <w:p>
            <w:pPr>
              <w:pStyle w:val="TableParagraph"/>
              <w:spacing w:line="176" w:lineRule="exact" w:before="15"/>
              <w:ind w:left="216" w:right="201"/>
              <w:jc w:val="center"/>
              <w:rPr>
                <w:sz w:val="17"/>
              </w:rPr>
            </w:pPr>
            <w:r>
              <w:rPr>
                <w:color w:val="231F20"/>
                <w:spacing w:val="-2"/>
                <w:w w:val="105"/>
                <w:sz w:val="17"/>
              </w:rPr>
              <w:t>7.90%</w:t>
            </w:r>
          </w:p>
        </w:tc>
        <w:tc>
          <w:tcPr>
            <w:tcW w:w="186" w:type="dxa"/>
          </w:tcPr>
          <w:p>
            <w:pPr>
              <w:pStyle w:val="TableParagraph"/>
              <w:rPr>
                <w:rFonts w:ascii="Times New Roman"/>
                <w:sz w:val="14"/>
              </w:rPr>
            </w:pPr>
          </w:p>
        </w:tc>
        <w:tc>
          <w:tcPr>
            <w:tcW w:w="1052" w:type="dxa"/>
          </w:tcPr>
          <w:p>
            <w:pPr>
              <w:pStyle w:val="TableParagraph"/>
              <w:spacing w:line="176" w:lineRule="exact" w:before="15"/>
              <w:ind w:left="233"/>
              <w:rPr>
                <w:sz w:val="17"/>
              </w:rPr>
            </w:pPr>
            <w:r>
              <w:rPr>
                <w:color w:val="231F20"/>
                <w:spacing w:val="-2"/>
                <w:w w:val="105"/>
                <w:sz w:val="17"/>
              </w:rPr>
              <w:t>15.15%</w:t>
            </w:r>
          </w:p>
        </w:tc>
        <w:tc>
          <w:tcPr>
            <w:tcW w:w="186" w:type="dxa"/>
          </w:tcPr>
          <w:p>
            <w:pPr>
              <w:pStyle w:val="TableParagraph"/>
              <w:rPr>
                <w:rFonts w:ascii="Times New Roman"/>
                <w:sz w:val="14"/>
              </w:rPr>
            </w:pPr>
          </w:p>
        </w:tc>
        <w:tc>
          <w:tcPr>
            <w:tcW w:w="1052" w:type="dxa"/>
          </w:tcPr>
          <w:p>
            <w:pPr>
              <w:pStyle w:val="TableParagraph"/>
              <w:spacing w:line="176" w:lineRule="exact" w:before="15"/>
              <w:ind w:left="216" w:right="200"/>
              <w:jc w:val="center"/>
              <w:rPr>
                <w:sz w:val="17"/>
              </w:rPr>
            </w:pPr>
            <w:r>
              <w:rPr>
                <w:color w:val="231F20"/>
                <w:spacing w:val="-2"/>
                <w:w w:val="105"/>
                <w:sz w:val="17"/>
              </w:rPr>
              <w:t>23.05%</w:t>
            </w:r>
          </w:p>
        </w:tc>
        <w:tc>
          <w:tcPr>
            <w:tcW w:w="186" w:type="dxa"/>
          </w:tcPr>
          <w:p>
            <w:pPr>
              <w:pStyle w:val="TableParagraph"/>
              <w:rPr>
                <w:rFonts w:ascii="Times New Roman"/>
                <w:sz w:val="14"/>
              </w:rPr>
            </w:pPr>
          </w:p>
        </w:tc>
        <w:tc>
          <w:tcPr>
            <w:tcW w:w="1052" w:type="dxa"/>
          </w:tcPr>
          <w:p>
            <w:pPr>
              <w:pStyle w:val="TableParagraph"/>
              <w:spacing w:line="176" w:lineRule="exact" w:before="15"/>
              <w:ind w:left="282"/>
              <w:rPr>
                <w:sz w:val="17"/>
              </w:rPr>
            </w:pPr>
            <w:r>
              <w:rPr>
                <w:color w:val="231F20"/>
                <w:spacing w:val="-2"/>
                <w:w w:val="105"/>
                <w:sz w:val="17"/>
              </w:rPr>
              <w:t>1.00%</w:t>
            </w:r>
          </w:p>
        </w:tc>
      </w:tr>
    </w:tbl>
    <w:p>
      <w:pPr>
        <w:pStyle w:val="BodyText"/>
        <w:spacing w:before="7"/>
        <w:rPr>
          <w:sz w:val="22"/>
        </w:rPr>
      </w:pPr>
    </w:p>
    <w:p>
      <w:pPr>
        <w:pStyle w:val="BodyText"/>
        <w:spacing w:line="276" w:lineRule="auto"/>
        <w:ind w:left="1439" w:right="1048"/>
      </w:pPr>
      <w:r>
        <w:rPr>
          <w:color w:val="231F20"/>
        </w:rPr>
        <w:t>The</w:t>
      </w:r>
      <w:r>
        <w:rPr>
          <w:color w:val="231F20"/>
          <w:spacing w:val="-3"/>
        </w:rPr>
        <w:t> </w:t>
      </w:r>
      <w:r>
        <w:rPr>
          <w:color w:val="231F20"/>
        </w:rPr>
        <w:t>contribution</w:t>
      </w:r>
      <w:r>
        <w:rPr>
          <w:color w:val="231F20"/>
          <w:spacing w:val="-3"/>
        </w:rPr>
        <w:t> </w:t>
      </w:r>
      <w:r>
        <w:rPr>
          <w:color w:val="231F20"/>
        </w:rPr>
        <w:t>requirements</w:t>
      </w:r>
      <w:r>
        <w:rPr>
          <w:color w:val="231F20"/>
          <w:spacing w:val="-3"/>
        </w:rPr>
        <w:t> </w:t>
      </w:r>
      <w:r>
        <w:rPr>
          <w:color w:val="231F20"/>
        </w:rPr>
        <w:t>are</w:t>
      </w:r>
      <w:r>
        <w:rPr>
          <w:color w:val="231F20"/>
          <w:spacing w:val="-4"/>
        </w:rPr>
        <w:t> </w:t>
      </w:r>
      <w:r>
        <w:rPr>
          <w:color w:val="231F20"/>
        </w:rPr>
        <w:t>established</w:t>
      </w:r>
      <w:r>
        <w:rPr>
          <w:color w:val="231F20"/>
          <w:spacing w:val="-3"/>
        </w:rPr>
        <w:t> </w:t>
      </w:r>
      <w:r>
        <w:rPr>
          <w:color w:val="231F20"/>
        </w:rPr>
        <w:t>in</w:t>
      </w:r>
      <w:r>
        <w:rPr>
          <w:color w:val="231F20"/>
          <w:spacing w:val="-1"/>
        </w:rPr>
        <w:t> </w:t>
      </w:r>
      <w:r>
        <w:rPr>
          <w:color w:val="231F20"/>
        </w:rPr>
        <w:t>statute</w:t>
      </w:r>
      <w:r>
        <w:rPr>
          <w:color w:val="231F20"/>
          <w:spacing w:val="-3"/>
        </w:rPr>
        <w:t> </w:t>
      </w:r>
      <w:r>
        <w:rPr>
          <w:color w:val="231F20"/>
        </w:rPr>
        <w:t>under</w:t>
      </w:r>
      <w:r>
        <w:rPr>
          <w:color w:val="231F20"/>
          <w:spacing w:val="-4"/>
        </w:rPr>
        <w:t> </w:t>
      </w:r>
      <w:r>
        <w:rPr>
          <w:color w:val="231F20"/>
        </w:rPr>
        <w:t>Chapter</w:t>
      </w:r>
      <w:r>
        <w:rPr>
          <w:color w:val="231F20"/>
          <w:spacing w:val="-3"/>
        </w:rPr>
        <w:t> </w:t>
      </w:r>
      <w:r>
        <w:rPr>
          <w:color w:val="231F20"/>
        </w:rPr>
        <w:t>10,</w:t>
      </w:r>
      <w:r>
        <w:rPr>
          <w:color w:val="231F20"/>
          <w:spacing w:val="-3"/>
        </w:rPr>
        <w:t> </w:t>
      </w:r>
      <w:r>
        <w:rPr>
          <w:color w:val="231F20"/>
        </w:rPr>
        <w:t>Article</w:t>
      </w:r>
      <w:r>
        <w:rPr>
          <w:color w:val="231F20"/>
          <w:spacing w:val="-3"/>
        </w:rPr>
        <w:t> </w:t>
      </w:r>
      <w:r>
        <w:rPr>
          <w:color w:val="231F20"/>
        </w:rPr>
        <w:t>11,</w:t>
      </w:r>
      <w:r>
        <w:rPr>
          <w:color w:val="231F20"/>
          <w:spacing w:val="-3"/>
        </w:rPr>
        <w:t> </w:t>
      </w:r>
      <w:r>
        <w:rPr>
          <w:color w:val="231F20"/>
        </w:rPr>
        <w:t>NMSA</w:t>
      </w:r>
      <w:r>
        <w:rPr>
          <w:color w:val="231F20"/>
          <w:spacing w:val="-3"/>
        </w:rPr>
        <w:t> </w:t>
      </w:r>
      <w:r>
        <w:rPr>
          <w:color w:val="231F20"/>
        </w:rPr>
        <w:t>1978.</w:t>
      </w:r>
      <w:r>
        <w:rPr>
          <w:color w:val="231F20"/>
          <w:spacing w:val="-3"/>
        </w:rPr>
        <w:t> </w:t>
      </w:r>
      <w:r>
        <w:rPr>
          <w:color w:val="231F20"/>
        </w:rPr>
        <w:t>The requirements may be amended by acts of the New Mexico Legislature. For fiscal year ended June 30, 2022, the Institute paid employee and employer contributions of $6,603,452 which equal the amount of the required contribution for fiscal year.</w:t>
      </w:r>
    </w:p>
    <w:p>
      <w:pPr>
        <w:pStyle w:val="BodyText"/>
        <w:rPr>
          <w:sz w:val="23"/>
        </w:rPr>
      </w:pPr>
    </w:p>
    <w:p>
      <w:pPr>
        <w:pStyle w:val="Heading4"/>
        <w:spacing w:line="276" w:lineRule="auto"/>
        <w:ind w:left="1439" w:right="1048"/>
      </w:pPr>
      <w:r>
        <w:rPr>
          <w:color w:val="231F20"/>
        </w:rPr>
        <w:t>Pension</w:t>
      </w:r>
      <w:r>
        <w:rPr>
          <w:color w:val="231F20"/>
          <w:spacing w:val="-4"/>
        </w:rPr>
        <w:t> </w:t>
      </w:r>
      <w:r>
        <w:rPr>
          <w:color w:val="231F20"/>
        </w:rPr>
        <w:t>Liabilities,</w:t>
      </w:r>
      <w:r>
        <w:rPr>
          <w:color w:val="231F20"/>
          <w:spacing w:val="-4"/>
        </w:rPr>
        <w:t> </w:t>
      </w:r>
      <w:r>
        <w:rPr>
          <w:color w:val="231F20"/>
        </w:rPr>
        <w:t>Pension</w:t>
      </w:r>
      <w:r>
        <w:rPr>
          <w:color w:val="231F20"/>
          <w:spacing w:val="-4"/>
        </w:rPr>
        <w:t> </w:t>
      </w:r>
      <w:r>
        <w:rPr>
          <w:color w:val="231F20"/>
        </w:rPr>
        <w:t>Expense,</w:t>
      </w:r>
      <w:r>
        <w:rPr>
          <w:color w:val="231F20"/>
          <w:spacing w:val="-4"/>
        </w:rPr>
        <w:t> </w:t>
      </w:r>
      <w:r>
        <w:rPr>
          <w:color w:val="231F20"/>
        </w:rPr>
        <w:t>and</w:t>
      </w:r>
      <w:r>
        <w:rPr>
          <w:color w:val="231F20"/>
          <w:spacing w:val="-4"/>
        </w:rPr>
        <w:t> </w:t>
      </w:r>
      <w:r>
        <w:rPr>
          <w:color w:val="231F20"/>
        </w:rPr>
        <w:t>Deferred</w:t>
      </w:r>
      <w:r>
        <w:rPr>
          <w:color w:val="231F20"/>
          <w:spacing w:val="-4"/>
        </w:rPr>
        <w:t> </w:t>
      </w:r>
      <w:r>
        <w:rPr>
          <w:color w:val="231F20"/>
        </w:rPr>
        <w:t>Outflows</w:t>
      </w:r>
      <w:r>
        <w:rPr>
          <w:color w:val="231F20"/>
          <w:spacing w:val="-4"/>
        </w:rPr>
        <w:t> </w:t>
      </w:r>
      <w:r>
        <w:rPr>
          <w:color w:val="231F20"/>
        </w:rPr>
        <w:t>of</w:t>
      </w:r>
      <w:r>
        <w:rPr>
          <w:color w:val="231F20"/>
          <w:spacing w:val="-4"/>
        </w:rPr>
        <w:t> </w:t>
      </w:r>
      <w:r>
        <w:rPr>
          <w:color w:val="231F20"/>
        </w:rPr>
        <w:t>Resources</w:t>
      </w:r>
      <w:r>
        <w:rPr>
          <w:color w:val="231F20"/>
          <w:spacing w:val="-4"/>
        </w:rPr>
        <w:t> </w:t>
      </w:r>
      <w:r>
        <w:rPr>
          <w:color w:val="231F20"/>
        </w:rPr>
        <w:t>and</w:t>
      </w:r>
      <w:r>
        <w:rPr>
          <w:color w:val="231F20"/>
          <w:spacing w:val="-4"/>
        </w:rPr>
        <w:t> </w:t>
      </w:r>
      <w:r>
        <w:rPr>
          <w:color w:val="231F20"/>
        </w:rPr>
        <w:t>Deferred</w:t>
      </w:r>
      <w:r>
        <w:rPr>
          <w:color w:val="231F20"/>
          <w:spacing w:val="-4"/>
        </w:rPr>
        <w:t> </w:t>
      </w:r>
      <w:r>
        <w:rPr>
          <w:color w:val="231F20"/>
        </w:rPr>
        <w:t>Inflows of Resources Related to Pensions</w:t>
      </w:r>
    </w:p>
    <w:p>
      <w:pPr>
        <w:pStyle w:val="BodyText"/>
        <w:spacing w:line="276" w:lineRule="auto"/>
        <w:ind w:left="1439" w:right="857"/>
      </w:pPr>
      <w:r>
        <w:rPr>
          <w:color w:val="231F20"/>
        </w:rPr>
        <w:t>At June 30, 2022, the Institute reported a liability of $91,132,064 for its proportionate share of the net pension</w:t>
      </w:r>
      <w:r>
        <w:rPr>
          <w:color w:val="231F20"/>
          <w:spacing w:val="-3"/>
        </w:rPr>
        <w:t> </w:t>
      </w:r>
      <w:r>
        <w:rPr>
          <w:color w:val="231F20"/>
        </w:rPr>
        <w:t>liability.</w:t>
      </w:r>
      <w:r>
        <w:rPr>
          <w:color w:val="231F20"/>
          <w:spacing w:val="-3"/>
        </w:rPr>
        <w:t> </w:t>
      </w:r>
      <w:r>
        <w:rPr>
          <w:color w:val="231F20"/>
        </w:rPr>
        <w:t>The</w:t>
      </w:r>
      <w:r>
        <w:rPr>
          <w:color w:val="231F20"/>
          <w:spacing w:val="-3"/>
        </w:rPr>
        <w:t> </w:t>
      </w:r>
      <w:r>
        <w:rPr>
          <w:color w:val="231F20"/>
        </w:rPr>
        <w:t>net</w:t>
      </w:r>
      <w:r>
        <w:rPr>
          <w:color w:val="231F20"/>
          <w:spacing w:val="-3"/>
        </w:rPr>
        <w:t> </w:t>
      </w:r>
      <w:r>
        <w:rPr>
          <w:color w:val="231F20"/>
        </w:rPr>
        <w:t>pension</w:t>
      </w:r>
      <w:r>
        <w:rPr>
          <w:color w:val="231F20"/>
          <w:spacing w:val="-3"/>
        </w:rPr>
        <w:t> </w:t>
      </w:r>
      <w:r>
        <w:rPr>
          <w:color w:val="231F20"/>
        </w:rPr>
        <w:t>liability</w:t>
      </w:r>
      <w:r>
        <w:rPr>
          <w:color w:val="231F20"/>
          <w:spacing w:val="-4"/>
        </w:rPr>
        <w:t> </w:t>
      </w:r>
      <w:r>
        <w:rPr>
          <w:color w:val="231F20"/>
        </w:rPr>
        <w:t>was</w:t>
      </w:r>
      <w:r>
        <w:rPr>
          <w:color w:val="231F20"/>
          <w:spacing w:val="-3"/>
        </w:rPr>
        <w:t> </w:t>
      </w:r>
      <w:r>
        <w:rPr>
          <w:color w:val="231F20"/>
        </w:rPr>
        <w:t>measured</w:t>
      </w:r>
      <w:r>
        <w:rPr>
          <w:color w:val="231F20"/>
          <w:spacing w:val="-2"/>
        </w:rPr>
        <w:t> </w:t>
      </w:r>
      <w:r>
        <w:rPr>
          <w:color w:val="231F20"/>
        </w:rPr>
        <w:t>as</w:t>
      </w:r>
      <w:r>
        <w:rPr>
          <w:color w:val="231F20"/>
          <w:spacing w:val="-3"/>
        </w:rPr>
        <w:t> </w:t>
      </w:r>
      <w:r>
        <w:rPr>
          <w:color w:val="231F20"/>
        </w:rPr>
        <w:t>of</w:t>
      </w:r>
      <w:r>
        <w:rPr>
          <w:color w:val="231F20"/>
          <w:spacing w:val="-3"/>
        </w:rPr>
        <w:t> </w:t>
      </w:r>
      <w:r>
        <w:rPr>
          <w:color w:val="231F20"/>
        </w:rPr>
        <w:t>June</w:t>
      </w:r>
      <w:r>
        <w:rPr>
          <w:color w:val="231F20"/>
          <w:spacing w:val="-4"/>
        </w:rPr>
        <w:t> </w:t>
      </w:r>
      <w:r>
        <w:rPr>
          <w:color w:val="231F20"/>
        </w:rPr>
        <w:t>30,</w:t>
      </w:r>
      <w:r>
        <w:rPr>
          <w:color w:val="231F20"/>
          <w:spacing w:val="-3"/>
        </w:rPr>
        <w:t> </w:t>
      </w:r>
      <w:r>
        <w:rPr>
          <w:color w:val="231F20"/>
        </w:rPr>
        <w:t>2021,</w:t>
      </w:r>
      <w:r>
        <w:rPr>
          <w:color w:val="231F20"/>
          <w:spacing w:val="-3"/>
        </w:rPr>
        <w:t> </w:t>
      </w:r>
      <w:r>
        <w:rPr>
          <w:color w:val="231F20"/>
        </w:rPr>
        <w:t>and</w:t>
      </w:r>
      <w:r>
        <w:rPr>
          <w:color w:val="231F20"/>
          <w:spacing w:val="-4"/>
        </w:rPr>
        <w:t> </w:t>
      </w:r>
      <w:r>
        <w:rPr>
          <w:color w:val="231F20"/>
        </w:rPr>
        <w:t>the</w:t>
      </w:r>
      <w:r>
        <w:rPr>
          <w:color w:val="231F20"/>
          <w:spacing w:val="-3"/>
        </w:rPr>
        <w:t> </w:t>
      </w:r>
      <w:r>
        <w:rPr>
          <w:color w:val="231F20"/>
        </w:rPr>
        <w:t>total</w:t>
      </w:r>
      <w:r>
        <w:rPr>
          <w:color w:val="231F20"/>
          <w:spacing w:val="-3"/>
        </w:rPr>
        <w:t> </w:t>
      </w:r>
      <w:r>
        <w:rPr>
          <w:color w:val="231F20"/>
        </w:rPr>
        <w:t>pension</w:t>
      </w:r>
      <w:r>
        <w:rPr>
          <w:color w:val="231F20"/>
          <w:spacing w:val="-3"/>
        </w:rPr>
        <w:t> </w:t>
      </w:r>
      <w:r>
        <w:rPr>
          <w:color w:val="231F20"/>
        </w:rPr>
        <w:t>liability used to calculate the net pension liability was determined by an actuarial valuation as of June 30, 2020.</w:t>
      </w:r>
    </w:p>
    <w:p>
      <w:pPr>
        <w:pStyle w:val="BodyText"/>
        <w:spacing w:line="276" w:lineRule="auto"/>
        <w:ind w:left="1439" w:right="1048"/>
      </w:pPr>
      <w:r>
        <w:rPr>
          <w:color w:val="231F20"/>
        </w:rPr>
        <w:t>The</w:t>
      </w:r>
      <w:r>
        <w:rPr>
          <w:color w:val="231F20"/>
          <w:spacing w:val="-3"/>
        </w:rPr>
        <w:t> </w:t>
      </w:r>
      <w:r>
        <w:rPr>
          <w:color w:val="231F20"/>
        </w:rPr>
        <w:t>total</w:t>
      </w:r>
      <w:r>
        <w:rPr>
          <w:color w:val="231F20"/>
          <w:spacing w:val="-3"/>
        </w:rPr>
        <w:t> </w:t>
      </w:r>
      <w:r>
        <w:rPr>
          <w:color w:val="231F20"/>
        </w:rPr>
        <w:t>pension</w:t>
      </w:r>
      <w:r>
        <w:rPr>
          <w:color w:val="231F20"/>
          <w:spacing w:val="-3"/>
        </w:rPr>
        <w:t> </w:t>
      </w:r>
      <w:r>
        <w:rPr>
          <w:color w:val="231F20"/>
        </w:rPr>
        <w:t>liability</w:t>
      </w:r>
      <w:r>
        <w:rPr>
          <w:color w:val="231F20"/>
          <w:spacing w:val="-3"/>
        </w:rPr>
        <w:t> </w:t>
      </w:r>
      <w:r>
        <w:rPr>
          <w:color w:val="231F20"/>
        </w:rPr>
        <w:t>was</w:t>
      </w:r>
      <w:r>
        <w:rPr>
          <w:color w:val="231F20"/>
          <w:spacing w:val="-3"/>
        </w:rPr>
        <w:t> </w:t>
      </w:r>
      <w:r>
        <w:rPr>
          <w:color w:val="231F20"/>
        </w:rPr>
        <w:t>rolled-forward</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valuation</w:t>
      </w:r>
      <w:r>
        <w:rPr>
          <w:color w:val="231F20"/>
          <w:spacing w:val="-3"/>
        </w:rPr>
        <w:t> </w:t>
      </w:r>
      <w:r>
        <w:rPr>
          <w:color w:val="231F20"/>
        </w:rPr>
        <w:t>date</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plan</w:t>
      </w:r>
      <w:r>
        <w:rPr>
          <w:color w:val="231F20"/>
          <w:spacing w:val="-3"/>
        </w:rPr>
        <w:t> </w:t>
      </w:r>
      <w:r>
        <w:rPr>
          <w:color w:val="231F20"/>
        </w:rPr>
        <w:t>year</w:t>
      </w:r>
      <w:r>
        <w:rPr>
          <w:color w:val="231F20"/>
          <w:spacing w:val="-2"/>
        </w:rPr>
        <w:t> </w:t>
      </w:r>
      <w:r>
        <w:rPr>
          <w:color w:val="231F20"/>
        </w:rPr>
        <w:t>ending</w:t>
      </w:r>
      <w:r>
        <w:rPr>
          <w:color w:val="231F20"/>
          <w:spacing w:val="-3"/>
        </w:rPr>
        <w:t> </w:t>
      </w:r>
      <w:r>
        <w:rPr>
          <w:color w:val="231F20"/>
        </w:rPr>
        <w:t>June</w:t>
      </w:r>
      <w:r>
        <w:rPr>
          <w:color w:val="231F20"/>
          <w:spacing w:val="-3"/>
        </w:rPr>
        <w:t> </w:t>
      </w:r>
      <w:r>
        <w:rPr>
          <w:color w:val="231F20"/>
        </w:rPr>
        <w:t>30, 2021, using generally accepted actuarial principles.</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3"/>
        </w:rPr>
        <w:t> </w:t>
      </w:r>
      <w:r>
        <w:rPr>
          <w:color w:val="231F20"/>
        </w:rPr>
        <w:t>9</w:t>
      </w:r>
      <w:r>
        <w:rPr>
          <w:color w:val="231F20"/>
          <w:spacing w:val="-2"/>
        </w:rPr>
        <w:t> </w:t>
      </w:r>
      <w:r>
        <w:rPr>
          <w:color w:val="231F20"/>
        </w:rPr>
        <w:t>–</w:t>
      </w:r>
      <w:r>
        <w:rPr>
          <w:color w:val="231F20"/>
          <w:spacing w:val="-3"/>
        </w:rPr>
        <w:t> </w:t>
      </w:r>
      <w:r>
        <w:rPr>
          <w:color w:val="231F20"/>
        </w:rPr>
        <w:t>Defined</w:t>
      </w:r>
      <w:r>
        <w:rPr>
          <w:color w:val="231F20"/>
          <w:spacing w:val="-2"/>
        </w:rPr>
        <w:t> </w:t>
      </w:r>
      <w:r>
        <w:rPr>
          <w:color w:val="231F20"/>
        </w:rPr>
        <w:t>Benefit</w:t>
      </w:r>
      <w:r>
        <w:rPr>
          <w:color w:val="231F20"/>
          <w:spacing w:val="-3"/>
        </w:rPr>
        <w:t> </w:t>
      </w:r>
      <w:r>
        <w:rPr>
          <w:color w:val="231F20"/>
        </w:rPr>
        <w:t>Retirement</w:t>
      </w:r>
      <w:r>
        <w:rPr>
          <w:color w:val="231F20"/>
          <w:spacing w:val="-3"/>
        </w:rPr>
        <w:t> </w:t>
      </w:r>
      <w:r>
        <w:rPr>
          <w:color w:val="231F20"/>
        </w:rPr>
        <w:t>Plan</w:t>
      </w:r>
      <w:r>
        <w:rPr>
          <w:color w:val="231F20"/>
          <w:spacing w:val="-2"/>
        </w:rPr>
        <w:t> (continued)</w:t>
      </w:r>
    </w:p>
    <w:p>
      <w:pPr>
        <w:pStyle w:val="BodyText"/>
        <w:rPr>
          <w:b/>
          <w:sz w:val="26"/>
        </w:rPr>
      </w:pPr>
    </w:p>
    <w:p>
      <w:pPr>
        <w:pStyle w:val="BodyText"/>
        <w:spacing w:line="276" w:lineRule="auto" w:before="1"/>
        <w:ind w:left="1440" w:right="1048"/>
      </w:pPr>
      <w:r>
        <w:rPr>
          <w:color w:val="231F20"/>
        </w:rPr>
        <w:t>On April 17, 2020, NMERB’s Board of Trustees adopted new assumptions presented in the 2020 Actuarial</w:t>
      </w:r>
      <w:r>
        <w:rPr>
          <w:color w:val="231F20"/>
          <w:spacing w:val="-3"/>
        </w:rPr>
        <w:t> </w:t>
      </w:r>
      <w:r>
        <w:rPr>
          <w:color w:val="231F20"/>
        </w:rPr>
        <w:t>Experience</w:t>
      </w:r>
      <w:r>
        <w:rPr>
          <w:color w:val="231F20"/>
          <w:spacing w:val="-3"/>
        </w:rPr>
        <w:t> </w:t>
      </w:r>
      <w:r>
        <w:rPr>
          <w:color w:val="231F20"/>
        </w:rPr>
        <w:t>Study.</w:t>
      </w:r>
      <w:r>
        <w:rPr>
          <w:color w:val="231F20"/>
          <w:spacing w:val="-3"/>
        </w:rPr>
        <w:t> </w:t>
      </w:r>
      <w:r>
        <w:rPr>
          <w:color w:val="231F20"/>
        </w:rPr>
        <w:t>Those</w:t>
      </w:r>
      <w:r>
        <w:rPr>
          <w:color w:val="231F20"/>
          <w:spacing w:val="-3"/>
        </w:rPr>
        <w:t> </w:t>
      </w:r>
      <w:r>
        <w:rPr>
          <w:color w:val="231F20"/>
        </w:rPr>
        <w:t>new</w:t>
      </w:r>
      <w:r>
        <w:rPr>
          <w:color w:val="231F20"/>
          <w:spacing w:val="-4"/>
        </w:rPr>
        <w:t> </w:t>
      </w:r>
      <w:r>
        <w:rPr>
          <w:color w:val="231F20"/>
        </w:rPr>
        <w:t>assumptions</w:t>
      </w:r>
      <w:r>
        <w:rPr>
          <w:color w:val="231F20"/>
          <w:spacing w:val="-3"/>
        </w:rPr>
        <w:t> </w:t>
      </w:r>
      <w:r>
        <w:rPr>
          <w:color w:val="231F20"/>
        </w:rPr>
        <w:t>have</w:t>
      </w:r>
      <w:r>
        <w:rPr>
          <w:color w:val="231F20"/>
          <w:spacing w:val="-3"/>
        </w:rPr>
        <w:t> </w:t>
      </w:r>
      <w:r>
        <w:rPr>
          <w:color w:val="231F20"/>
        </w:rPr>
        <w:t>been</w:t>
      </w:r>
      <w:r>
        <w:rPr>
          <w:color w:val="231F20"/>
          <w:spacing w:val="-3"/>
        </w:rPr>
        <w:t> </w:t>
      </w:r>
      <w:r>
        <w:rPr>
          <w:color w:val="231F20"/>
        </w:rPr>
        <w:t>reflected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roll-forward</w:t>
      </w:r>
      <w:r>
        <w:rPr>
          <w:color w:val="231F20"/>
          <w:spacing w:val="-3"/>
        </w:rPr>
        <w:t> </w:t>
      </w:r>
      <w:r>
        <w:rPr>
          <w:color w:val="231F20"/>
        </w:rPr>
        <w:t>and</w:t>
      </w:r>
      <w:r>
        <w:rPr>
          <w:color w:val="231F20"/>
          <w:spacing w:val="-3"/>
        </w:rPr>
        <w:t> </w:t>
      </w:r>
      <w:r>
        <w:rPr>
          <w:color w:val="231F20"/>
        </w:rPr>
        <w:t>in</w:t>
      </w:r>
      <w:r>
        <w:rPr>
          <w:color w:val="231F20"/>
          <w:spacing w:val="-3"/>
        </w:rPr>
        <w:t> </w:t>
      </w:r>
      <w:r>
        <w:rPr>
          <w:color w:val="231F20"/>
        </w:rPr>
        <w:t>the projections used to determine the single discount rate.</w:t>
      </w:r>
    </w:p>
    <w:p>
      <w:pPr>
        <w:pStyle w:val="BodyText"/>
        <w:spacing w:line="276" w:lineRule="auto" w:before="119"/>
        <w:ind w:left="1440" w:right="891"/>
      </w:pPr>
      <w:r>
        <w:rPr>
          <w:color w:val="231F20"/>
        </w:rPr>
        <w:t>The Institute’s proportion of the net pension liability was based on a projection of the Institute’s long-term share of contributions to the pension plan relative to the projected contributions of all participating educational institutions at June 30, 2021, actuarially determined. At June 30, 2021, the Institute’s proportion</w:t>
      </w:r>
      <w:r>
        <w:rPr>
          <w:color w:val="231F20"/>
          <w:spacing w:val="-3"/>
        </w:rPr>
        <w:t> </w:t>
      </w:r>
      <w:r>
        <w:rPr>
          <w:color w:val="231F20"/>
        </w:rPr>
        <w:t>was</w:t>
      </w:r>
      <w:r>
        <w:rPr>
          <w:color w:val="231F20"/>
          <w:spacing w:val="-3"/>
        </w:rPr>
        <w:t> </w:t>
      </w:r>
      <w:r>
        <w:rPr>
          <w:color w:val="231F20"/>
        </w:rPr>
        <w:t>1.29%,</w:t>
      </w:r>
      <w:r>
        <w:rPr>
          <w:color w:val="231F20"/>
          <w:spacing w:val="-3"/>
        </w:rPr>
        <w:t> </w:t>
      </w:r>
      <w:r>
        <w:rPr>
          <w:color w:val="231F20"/>
        </w:rPr>
        <w:t>which</w:t>
      </w:r>
      <w:r>
        <w:rPr>
          <w:color w:val="231F20"/>
          <w:spacing w:val="-3"/>
        </w:rPr>
        <w:t> </w:t>
      </w:r>
      <w:r>
        <w:rPr>
          <w:color w:val="231F20"/>
        </w:rPr>
        <w:t>was</w:t>
      </w:r>
      <w:r>
        <w:rPr>
          <w:color w:val="231F20"/>
          <w:spacing w:val="-3"/>
        </w:rPr>
        <w:t> </w:t>
      </w:r>
      <w:r>
        <w:rPr>
          <w:color w:val="231F20"/>
        </w:rPr>
        <w:t>a</w:t>
      </w:r>
      <w:r>
        <w:rPr>
          <w:color w:val="231F20"/>
          <w:spacing w:val="-3"/>
        </w:rPr>
        <w:t> </w:t>
      </w:r>
      <w:r>
        <w:rPr>
          <w:color w:val="231F20"/>
        </w:rPr>
        <w:t>decrease</w:t>
      </w:r>
      <w:r>
        <w:rPr>
          <w:color w:val="231F20"/>
          <w:spacing w:val="-3"/>
        </w:rPr>
        <w:t> </w:t>
      </w:r>
      <w:r>
        <w:rPr>
          <w:color w:val="231F20"/>
        </w:rPr>
        <w:t>of</w:t>
      </w:r>
      <w:r>
        <w:rPr>
          <w:color w:val="231F20"/>
          <w:spacing w:val="-3"/>
        </w:rPr>
        <w:t> </w:t>
      </w:r>
      <w:r>
        <w:rPr>
          <w:color w:val="231F20"/>
        </w:rPr>
        <w:t>0.01%</w:t>
      </w:r>
      <w:r>
        <w:rPr>
          <w:color w:val="231F20"/>
          <w:spacing w:val="-3"/>
        </w:rPr>
        <w:t> </w:t>
      </w:r>
      <w:r>
        <w:rPr>
          <w:color w:val="231F20"/>
        </w:rPr>
        <w:t>from</w:t>
      </w:r>
      <w:r>
        <w:rPr>
          <w:color w:val="231F20"/>
          <w:spacing w:val="-3"/>
        </w:rPr>
        <w:t> </w:t>
      </w:r>
      <w:r>
        <w:rPr>
          <w:color w:val="231F20"/>
        </w:rPr>
        <w:t>its</w:t>
      </w:r>
      <w:r>
        <w:rPr>
          <w:color w:val="231F20"/>
          <w:spacing w:val="-3"/>
        </w:rPr>
        <w:t> </w:t>
      </w:r>
      <w:r>
        <w:rPr>
          <w:color w:val="231F20"/>
        </w:rPr>
        <w:t>proportion</w:t>
      </w:r>
      <w:r>
        <w:rPr>
          <w:color w:val="231F20"/>
          <w:spacing w:val="-3"/>
        </w:rPr>
        <w:t> </w:t>
      </w:r>
      <w:r>
        <w:rPr>
          <w:color w:val="231F20"/>
        </w:rPr>
        <w:t>measured</w:t>
      </w:r>
      <w:r>
        <w:rPr>
          <w:color w:val="231F20"/>
          <w:spacing w:val="-3"/>
        </w:rPr>
        <w:t> </w:t>
      </w:r>
      <w:r>
        <w:rPr>
          <w:color w:val="231F20"/>
        </w:rPr>
        <w:t>as</w:t>
      </w:r>
      <w:r>
        <w:rPr>
          <w:color w:val="231F20"/>
          <w:spacing w:val="-2"/>
        </w:rPr>
        <w:t> </w:t>
      </w:r>
      <w:r>
        <w:rPr>
          <w:color w:val="231F20"/>
        </w:rPr>
        <w:t>of</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2020.</w:t>
      </w:r>
    </w:p>
    <w:p>
      <w:pPr>
        <w:pStyle w:val="BodyText"/>
        <w:rPr>
          <w:sz w:val="23"/>
        </w:rPr>
      </w:pPr>
    </w:p>
    <w:p>
      <w:pPr>
        <w:pStyle w:val="BodyText"/>
        <w:spacing w:line="276" w:lineRule="auto"/>
        <w:ind w:left="1440" w:right="1048"/>
      </w:pPr>
      <w:r>
        <w:rPr>
          <w:color w:val="231F20"/>
        </w:rPr>
        <w:t>For</w:t>
      </w:r>
      <w:r>
        <w:rPr>
          <w:color w:val="231F20"/>
          <w:spacing w:val="-3"/>
        </w:rPr>
        <w:t> </w:t>
      </w:r>
      <w:r>
        <w:rPr>
          <w:color w:val="231F20"/>
        </w:rPr>
        <w:t>the</w:t>
      </w:r>
      <w:r>
        <w:rPr>
          <w:color w:val="231F20"/>
          <w:spacing w:val="-3"/>
        </w:rPr>
        <w:t> </w:t>
      </w:r>
      <w:r>
        <w:rPr>
          <w:color w:val="231F20"/>
        </w:rPr>
        <w:t>year</w:t>
      </w:r>
      <w:r>
        <w:rPr>
          <w:color w:val="231F20"/>
          <w:spacing w:val="-2"/>
        </w:rPr>
        <w:t> </w:t>
      </w:r>
      <w:r>
        <w:rPr>
          <w:color w:val="231F20"/>
        </w:rPr>
        <w:t>ended</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2022,</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recognized</w:t>
      </w:r>
      <w:r>
        <w:rPr>
          <w:color w:val="231F20"/>
          <w:spacing w:val="-3"/>
        </w:rPr>
        <w:t> </w:t>
      </w:r>
      <w:r>
        <w:rPr>
          <w:color w:val="231F20"/>
        </w:rPr>
        <w:t>pension</w:t>
      </w:r>
      <w:r>
        <w:rPr>
          <w:color w:val="231F20"/>
          <w:spacing w:val="-3"/>
        </w:rPr>
        <w:t> </w:t>
      </w:r>
      <w:r>
        <w:rPr>
          <w:color w:val="231F20"/>
        </w:rPr>
        <w:t>expense</w:t>
      </w:r>
      <w:r>
        <w:rPr>
          <w:color w:val="231F20"/>
          <w:spacing w:val="-3"/>
        </w:rPr>
        <w:t> </w:t>
      </w:r>
      <w:r>
        <w:rPr>
          <w:color w:val="231F20"/>
        </w:rPr>
        <w:t>of</w:t>
      </w:r>
      <w:r>
        <w:rPr>
          <w:color w:val="231F20"/>
          <w:spacing w:val="-3"/>
        </w:rPr>
        <w:t> </w:t>
      </w:r>
      <w:r>
        <w:rPr>
          <w:color w:val="231F20"/>
        </w:rPr>
        <w:t>$8,512,378.</w:t>
      </w:r>
      <w:r>
        <w:rPr>
          <w:color w:val="231F20"/>
          <w:spacing w:val="-3"/>
        </w:rPr>
        <w:t> </w:t>
      </w:r>
      <w:r>
        <w:rPr>
          <w:color w:val="231F20"/>
        </w:rPr>
        <w:t>At</w:t>
      </w:r>
      <w:r>
        <w:rPr>
          <w:color w:val="231F20"/>
          <w:spacing w:val="-3"/>
        </w:rPr>
        <w:t> </w:t>
      </w:r>
      <w:r>
        <w:rPr>
          <w:color w:val="231F20"/>
        </w:rPr>
        <w:t>June</w:t>
      </w:r>
      <w:r>
        <w:rPr>
          <w:color w:val="231F20"/>
          <w:spacing w:val="-3"/>
        </w:rPr>
        <w:t> </w:t>
      </w:r>
      <w:r>
        <w:rPr>
          <w:color w:val="231F20"/>
        </w:rPr>
        <w:t>30, 2022, the Institute reported deferred outflows of resources and deferred inflows or resources related to pensions from the following sources:</w:t>
      </w:r>
    </w:p>
    <w:p>
      <w:pPr>
        <w:pStyle w:val="BodyText"/>
        <w:spacing w:before="4"/>
        <w:rPr>
          <w:sz w:val="16"/>
        </w:rPr>
      </w:pPr>
    </w:p>
    <w:p>
      <w:pPr>
        <w:spacing w:after="0"/>
        <w:rPr>
          <w:sz w:val="16"/>
        </w:rPr>
        <w:sectPr>
          <w:pgSz w:w="12240" w:h="15840"/>
          <w:pgMar w:header="1282" w:footer="1097" w:top="1900" w:bottom="1280" w:left="0" w:right="580"/>
        </w:sectPr>
      </w:pPr>
    </w:p>
    <w:p>
      <w:pPr>
        <w:pStyle w:val="BodyText"/>
        <w:spacing w:before="7"/>
        <w:rPr>
          <w:sz w:val="28"/>
        </w:rPr>
      </w:pPr>
    </w:p>
    <w:p>
      <w:pPr>
        <w:spacing w:before="0"/>
        <w:ind w:left="0" w:right="0" w:firstLine="0"/>
        <w:jc w:val="right"/>
        <w:rPr>
          <w:sz w:val="18"/>
        </w:rPr>
      </w:pPr>
      <w:r>
        <w:rPr>
          <w:color w:val="231F20"/>
          <w:sz w:val="18"/>
        </w:rPr>
        <w:t>Resources</w:t>
      </w:r>
      <w:r>
        <w:rPr>
          <w:color w:val="231F20"/>
          <w:spacing w:val="-10"/>
          <w:sz w:val="18"/>
        </w:rPr>
        <w:t> </w:t>
      </w:r>
      <w:r>
        <w:rPr>
          <w:color w:val="231F20"/>
          <w:spacing w:val="-2"/>
          <w:sz w:val="18"/>
        </w:rPr>
        <w:t>Reported</w:t>
      </w:r>
    </w:p>
    <w:p>
      <w:pPr>
        <w:tabs>
          <w:tab w:pos="4247" w:val="left" w:leader="none"/>
          <w:tab w:pos="4371" w:val="left" w:leader="none"/>
        </w:tabs>
        <w:spacing w:line="273" w:lineRule="auto" w:before="94"/>
        <w:ind w:left="2465" w:right="1038" w:hanging="194"/>
        <w:jc w:val="left"/>
        <w:rPr>
          <w:sz w:val="18"/>
        </w:rPr>
      </w:pPr>
      <w:r>
        <w:rPr/>
        <w:br w:type="column"/>
      </w:r>
      <w:r>
        <w:rPr>
          <w:color w:val="231F20"/>
          <w:sz w:val="18"/>
        </w:rPr>
        <w:t>Deferred Outflows</w:t>
        <w:tab/>
      </w:r>
      <w:r>
        <w:rPr>
          <w:color w:val="231F20"/>
          <w:spacing w:val="-2"/>
          <w:sz w:val="18"/>
        </w:rPr>
        <w:t>Deferred</w:t>
      </w:r>
      <w:r>
        <w:rPr>
          <w:color w:val="231F20"/>
          <w:spacing w:val="-11"/>
          <w:sz w:val="18"/>
        </w:rPr>
        <w:t> </w:t>
      </w:r>
      <w:r>
        <w:rPr>
          <w:color w:val="231F20"/>
          <w:spacing w:val="-2"/>
          <w:sz w:val="18"/>
        </w:rPr>
        <w:t>Inflows </w:t>
      </w:r>
      <w:r>
        <w:rPr>
          <w:color w:val="231F20"/>
          <w:sz w:val="18"/>
        </w:rPr>
        <w:t>of Resources</w:t>
        <w:tab/>
        <w:tab/>
        <w:t>of Resources</w:t>
      </w:r>
    </w:p>
    <w:p>
      <w:pPr>
        <w:spacing w:after="0" w:line="273" w:lineRule="auto"/>
        <w:jc w:val="left"/>
        <w:rPr>
          <w:sz w:val="18"/>
        </w:rPr>
        <w:sectPr>
          <w:type w:val="continuous"/>
          <w:pgSz w:w="12240" w:h="15840"/>
          <w:pgMar w:header="1282" w:footer="1097" w:top="1460" w:bottom="280" w:left="0" w:right="580"/>
          <w:cols w:num="2" w:equalWidth="0">
            <w:col w:w="5027" w:space="40"/>
            <w:col w:w="6593"/>
          </w:cols>
        </w:sectPr>
      </w:pPr>
    </w:p>
    <w:tbl>
      <w:tblPr>
        <w:tblW w:w="0" w:type="auto"/>
        <w:jc w:val="left"/>
        <w:tblInd w:w="1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0"/>
        <w:gridCol w:w="319"/>
        <w:gridCol w:w="1589"/>
        <w:gridCol w:w="320"/>
        <w:gridCol w:w="1590"/>
      </w:tblGrid>
      <w:tr>
        <w:trPr>
          <w:trHeight w:val="333" w:hRule="atLeast"/>
        </w:trPr>
        <w:tc>
          <w:tcPr>
            <w:tcW w:w="5490" w:type="dxa"/>
            <w:tcBorders>
              <w:top w:val="single" w:sz="12" w:space="0" w:color="231F20"/>
            </w:tcBorders>
          </w:tcPr>
          <w:p>
            <w:pPr>
              <w:pStyle w:val="TableParagraph"/>
              <w:spacing w:before="99"/>
              <w:ind w:left="34"/>
              <w:rPr>
                <w:sz w:val="18"/>
              </w:rPr>
            </w:pPr>
            <w:r>
              <w:rPr>
                <w:color w:val="231F20"/>
                <w:sz w:val="18"/>
              </w:rPr>
              <w:t>Differences</w:t>
            </w:r>
            <w:r>
              <w:rPr>
                <w:color w:val="231F20"/>
                <w:spacing w:val="-9"/>
                <w:sz w:val="18"/>
              </w:rPr>
              <w:t> </w:t>
            </w:r>
            <w:r>
              <w:rPr>
                <w:color w:val="231F20"/>
                <w:sz w:val="18"/>
              </w:rPr>
              <w:t>between</w:t>
            </w:r>
            <w:r>
              <w:rPr>
                <w:color w:val="231F20"/>
                <w:spacing w:val="-5"/>
                <w:sz w:val="18"/>
              </w:rPr>
              <w:t> </w:t>
            </w:r>
            <w:r>
              <w:rPr>
                <w:color w:val="231F20"/>
                <w:sz w:val="18"/>
              </w:rPr>
              <w:t>expected</w:t>
            </w:r>
            <w:r>
              <w:rPr>
                <w:color w:val="231F20"/>
                <w:spacing w:val="-7"/>
                <w:sz w:val="18"/>
              </w:rPr>
              <w:t> </w:t>
            </w:r>
            <w:r>
              <w:rPr>
                <w:color w:val="231F20"/>
                <w:sz w:val="18"/>
              </w:rPr>
              <w:t>and</w:t>
            </w:r>
            <w:r>
              <w:rPr>
                <w:color w:val="231F20"/>
                <w:spacing w:val="-7"/>
                <w:sz w:val="18"/>
              </w:rPr>
              <w:t> </w:t>
            </w:r>
            <w:r>
              <w:rPr>
                <w:color w:val="231F20"/>
                <w:sz w:val="18"/>
              </w:rPr>
              <w:t>actual</w:t>
            </w:r>
            <w:r>
              <w:rPr>
                <w:color w:val="231F20"/>
                <w:spacing w:val="-7"/>
                <w:sz w:val="18"/>
              </w:rPr>
              <w:t> </w:t>
            </w:r>
            <w:r>
              <w:rPr>
                <w:color w:val="231F20"/>
                <w:sz w:val="18"/>
              </w:rPr>
              <w:t>actuarial</w:t>
            </w:r>
            <w:r>
              <w:rPr>
                <w:color w:val="231F20"/>
                <w:spacing w:val="-6"/>
                <w:sz w:val="18"/>
              </w:rPr>
              <w:t> </w:t>
            </w:r>
            <w:r>
              <w:rPr>
                <w:color w:val="231F20"/>
                <w:spacing w:val="-2"/>
                <w:sz w:val="18"/>
              </w:rPr>
              <w:t>experience</w:t>
            </w:r>
          </w:p>
        </w:tc>
        <w:tc>
          <w:tcPr>
            <w:tcW w:w="319" w:type="dxa"/>
          </w:tcPr>
          <w:p>
            <w:pPr>
              <w:pStyle w:val="TableParagraph"/>
              <w:rPr>
                <w:rFonts w:ascii="Times New Roman"/>
                <w:sz w:val="18"/>
              </w:rPr>
            </w:pPr>
          </w:p>
        </w:tc>
        <w:tc>
          <w:tcPr>
            <w:tcW w:w="1589" w:type="dxa"/>
            <w:tcBorders>
              <w:top w:val="single" w:sz="12" w:space="0" w:color="231F20"/>
            </w:tcBorders>
          </w:tcPr>
          <w:p>
            <w:pPr>
              <w:pStyle w:val="TableParagraph"/>
              <w:tabs>
                <w:tab w:pos="595" w:val="left" w:leader="none"/>
              </w:tabs>
              <w:spacing w:before="99"/>
              <w:ind w:right="97"/>
              <w:jc w:val="right"/>
              <w:rPr>
                <w:sz w:val="18"/>
              </w:rPr>
            </w:pPr>
            <w:r>
              <w:rPr>
                <w:color w:val="231F20"/>
                <w:spacing w:val="-10"/>
                <w:sz w:val="18"/>
              </w:rPr>
              <w:t>$</w:t>
            </w:r>
            <w:r>
              <w:rPr>
                <w:color w:val="231F20"/>
                <w:sz w:val="18"/>
              </w:rPr>
              <w:tab/>
            </w:r>
            <w:r>
              <w:rPr>
                <w:color w:val="231F20"/>
                <w:spacing w:val="-2"/>
                <w:sz w:val="18"/>
              </w:rPr>
              <w:t>7,160,617</w:t>
            </w:r>
          </w:p>
        </w:tc>
        <w:tc>
          <w:tcPr>
            <w:tcW w:w="320" w:type="dxa"/>
          </w:tcPr>
          <w:p>
            <w:pPr>
              <w:pStyle w:val="TableParagraph"/>
              <w:rPr>
                <w:rFonts w:ascii="Times New Roman"/>
                <w:sz w:val="18"/>
              </w:rPr>
            </w:pPr>
          </w:p>
        </w:tc>
        <w:tc>
          <w:tcPr>
            <w:tcW w:w="1590" w:type="dxa"/>
            <w:tcBorders>
              <w:top w:val="single" w:sz="12" w:space="0" w:color="231F20"/>
            </w:tcBorders>
          </w:tcPr>
          <w:p>
            <w:pPr>
              <w:pStyle w:val="TableParagraph"/>
              <w:tabs>
                <w:tab w:pos="750" w:val="left" w:leader="none"/>
              </w:tabs>
              <w:spacing w:before="99"/>
              <w:ind w:right="96"/>
              <w:jc w:val="right"/>
              <w:rPr>
                <w:sz w:val="18"/>
              </w:rPr>
            </w:pPr>
            <w:r>
              <w:rPr>
                <w:color w:val="231F20"/>
                <w:spacing w:val="-10"/>
                <w:sz w:val="18"/>
              </w:rPr>
              <w:t>$</w:t>
            </w:r>
            <w:r>
              <w:rPr>
                <w:color w:val="231F20"/>
                <w:sz w:val="18"/>
              </w:rPr>
              <w:tab/>
            </w:r>
            <w:r>
              <w:rPr>
                <w:color w:val="231F20"/>
                <w:spacing w:val="-2"/>
                <w:sz w:val="18"/>
              </w:rPr>
              <w:t>224,415</w:t>
            </w:r>
          </w:p>
        </w:tc>
      </w:tr>
      <w:tr>
        <w:trPr>
          <w:trHeight w:val="235" w:hRule="atLeast"/>
        </w:trPr>
        <w:tc>
          <w:tcPr>
            <w:tcW w:w="5490" w:type="dxa"/>
          </w:tcPr>
          <w:p>
            <w:pPr>
              <w:pStyle w:val="TableParagraph"/>
              <w:spacing w:before="1"/>
              <w:ind w:left="34"/>
              <w:rPr>
                <w:sz w:val="18"/>
              </w:rPr>
            </w:pPr>
            <w:r>
              <w:rPr>
                <w:color w:val="231F20"/>
                <w:sz w:val="18"/>
              </w:rPr>
              <w:t>Changes</w:t>
            </w:r>
            <w:r>
              <w:rPr>
                <w:color w:val="231F20"/>
                <w:spacing w:val="-4"/>
                <w:sz w:val="18"/>
              </w:rPr>
              <w:t> </w:t>
            </w:r>
            <w:r>
              <w:rPr>
                <w:color w:val="231F20"/>
                <w:sz w:val="18"/>
              </w:rPr>
              <w:t>of</w:t>
            </w:r>
            <w:r>
              <w:rPr>
                <w:color w:val="231F20"/>
                <w:spacing w:val="-3"/>
                <w:sz w:val="18"/>
              </w:rPr>
              <w:t> </w:t>
            </w:r>
            <w:r>
              <w:rPr>
                <w:color w:val="231F20"/>
                <w:spacing w:val="-2"/>
                <w:sz w:val="18"/>
              </w:rPr>
              <w:t>assumptions</w:t>
            </w:r>
          </w:p>
        </w:tc>
        <w:tc>
          <w:tcPr>
            <w:tcW w:w="319" w:type="dxa"/>
          </w:tcPr>
          <w:p>
            <w:pPr>
              <w:pStyle w:val="TableParagraph"/>
              <w:rPr>
                <w:rFonts w:ascii="Times New Roman"/>
                <w:sz w:val="16"/>
              </w:rPr>
            </w:pPr>
          </w:p>
        </w:tc>
        <w:tc>
          <w:tcPr>
            <w:tcW w:w="1589" w:type="dxa"/>
          </w:tcPr>
          <w:p>
            <w:pPr>
              <w:pStyle w:val="TableParagraph"/>
              <w:spacing w:before="1"/>
              <w:ind w:right="95"/>
              <w:jc w:val="right"/>
              <w:rPr>
                <w:sz w:val="18"/>
              </w:rPr>
            </w:pPr>
            <w:r>
              <w:rPr>
                <w:color w:val="231F20"/>
                <w:spacing w:val="-2"/>
                <w:sz w:val="18"/>
              </w:rPr>
              <w:t>60,662,171</w:t>
            </w:r>
          </w:p>
        </w:tc>
        <w:tc>
          <w:tcPr>
            <w:tcW w:w="320" w:type="dxa"/>
          </w:tcPr>
          <w:p>
            <w:pPr>
              <w:pStyle w:val="TableParagraph"/>
              <w:rPr>
                <w:rFonts w:ascii="Times New Roman"/>
                <w:sz w:val="16"/>
              </w:rPr>
            </w:pPr>
          </w:p>
        </w:tc>
        <w:tc>
          <w:tcPr>
            <w:tcW w:w="1590" w:type="dxa"/>
          </w:tcPr>
          <w:p>
            <w:pPr>
              <w:pStyle w:val="TableParagraph"/>
              <w:spacing w:before="1"/>
              <w:ind w:right="97"/>
              <w:jc w:val="right"/>
              <w:rPr>
                <w:sz w:val="18"/>
              </w:rPr>
            </w:pPr>
            <w:r>
              <w:rPr>
                <w:color w:val="231F20"/>
                <w:spacing w:val="-2"/>
                <w:sz w:val="18"/>
              </w:rPr>
              <w:t>103,784,929</w:t>
            </w:r>
          </w:p>
        </w:tc>
      </w:tr>
      <w:tr>
        <w:trPr>
          <w:trHeight w:val="235" w:hRule="atLeast"/>
        </w:trPr>
        <w:tc>
          <w:tcPr>
            <w:tcW w:w="5490" w:type="dxa"/>
          </w:tcPr>
          <w:p>
            <w:pPr>
              <w:pStyle w:val="TableParagraph"/>
              <w:spacing w:before="1"/>
              <w:ind w:left="34"/>
              <w:rPr>
                <w:sz w:val="18"/>
              </w:rPr>
            </w:pPr>
            <w:r>
              <w:rPr>
                <w:color w:val="231F20"/>
                <w:sz w:val="18"/>
              </w:rPr>
              <w:t>Net</w:t>
            </w:r>
            <w:r>
              <w:rPr>
                <w:color w:val="231F20"/>
                <w:spacing w:val="-6"/>
                <w:sz w:val="18"/>
              </w:rPr>
              <w:t> </w:t>
            </w:r>
            <w:r>
              <w:rPr>
                <w:color w:val="231F20"/>
                <w:sz w:val="18"/>
              </w:rPr>
              <w:t>difference</w:t>
            </w:r>
            <w:r>
              <w:rPr>
                <w:color w:val="231F20"/>
                <w:spacing w:val="-6"/>
                <w:sz w:val="18"/>
              </w:rPr>
              <w:t> </w:t>
            </w:r>
            <w:r>
              <w:rPr>
                <w:color w:val="231F20"/>
                <w:sz w:val="18"/>
              </w:rPr>
              <w:t>between</w:t>
            </w:r>
            <w:r>
              <w:rPr>
                <w:color w:val="231F20"/>
                <w:spacing w:val="-6"/>
                <w:sz w:val="18"/>
              </w:rPr>
              <w:t> </w:t>
            </w:r>
            <w:r>
              <w:rPr>
                <w:color w:val="231F20"/>
                <w:sz w:val="18"/>
              </w:rPr>
              <w:t>projected</w:t>
            </w:r>
            <w:r>
              <w:rPr>
                <w:color w:val="231F20"/>
                <w:spacing w:val="-6"/>
                <w:sz w:val="18"/>
              </w:rPr>
              <w:t> </w:t>
            </w:r>
            <w:r>
              <w:rPr>
                <w:color w:val="231F20"/>
                <w:sz w:val="18"/>
              </w:rPr>
              <w:t>and</w:t>
            </w:r>
            <w:r>
              <w:rPr>
                <w:color w:val="231F20"/>
                <w:spacing w:val="-6"/>
                <w:sz w:val="18"/>
              </w:rPr>
              <w:t> </w:t>
            </w:r>
            <w:r>
              <w:rPr>
                <w:color w:val="231F20"/>
                <w:sz w:val="18"/>
              </w:rPr>
              <w:t>actual</w:t>
            </w:r>
            <w:r>
              <w:rPr>
                <w:color w:val="231F20"/>
                <w:spacing w:val="-6"/>
                <w:sz w:val="18"/>
              </w:rPr>
              <w:t> </w:t>
            </w:r>
            <w:r>
              <w:rPr>
                <w:color w:val="231F20"/>
                <w:sz w:val="18"/>
              </w:rPr>
              <w:t>earnings</w:t>
            </w:r>
            <w:r>
              <w:rPr>
                <w:color w:val="231F20"/>
                <w:spacing w:val="-5"/>
                <w:sz w:val="18"/>
              </w:rPr>
              <w:t> on</w:t>
            </w:r>
          </w:p>
        </w:tc>
        <w:tc>
          <w:tcPr>
            <w:tcW w:w="319" w:type="dxa"/>
          </w:tcPr>
          <w:p>
            <w:pPr>
              <w:pStyle w:val="TableParagraph"/>
              <w:rPr>
                <w:rFonts w:ascii="Times New Roman"/>
                <w:sz w:val="16"/>
              </w:rPr>
            </w:pPr>
          </w:p>
        </w:tc>
        <w:tc>
          <w:tcPr>
            <w:tcW w:w="1589" w:type="dxa"/>
          </w:tcPr>
          <w:p>
            <w:pPr>
              <w:pStyle w:val="TableParagraph"/>
              <w:rPr>
                <w:rFonts w:ascii="Times New Roman"/>
                <w:sz w:val="16"/>
              </w:rPr>
            </w:pPr>
          </w:p>
        </w:tc>
        <w:tc>
          <w:tcPr>
            <w:tcW w:w="320" w:type="dxa"/>
          </w:tcPr>
          <w:p>
            <w:pPr>
              <w:pStyle w:val="TableParagraph"/>
              <w:rPr>
                <w:rFonts w:ascii="Times New Roman"/>
                <w:sz w:val="16"/>
              </w:rPr>
            </w:pPr>
          </w:p>
        </w:tc>
        <w:tc>
          <w:tcPr>
            <w:tcW w:w="1590" w:type="dxa"/>
          </w:tcPr>
          <w:p>
            <w:pPr>
              <w:pStyle w:val="TableParagraph"/>
              <w:rPr>
                <w:rFonts w:ascii="Times New Roman"/>
                <w:sz w:val="16"/>
              </w:rPr>
            </w:pPr>
          </w:p>
        </w:tc>
      </w:tr>
      <w:tr>
        <w:trPr>
          <w:trHeight w:val="234" w:hRule="atLeast"/>
        </w:trPr>
        <w:tc>
          <w:tcPr>
            <w:tcW w:w="5490" w:type="dxa"/>
          </w:tcPr>
          <w:p>
            <w:pPr>
              <w:pStyle w:val="TableParagraph"/>
              <w:spacing w:before="1"/>
              <w:ind w:left="175"/>
              <w:rPr>
                <w:sz w:val="18"/>
              </w:rPr>
            </w:pPr>
            <w:r>
              <w:rPr>
                <w:color w:val="231F20"/>
                <w:sz w:val="18"/>
              </w:rPr>
              <w:t>pension</w:t>
            </w:r>
            <w:r>
              <w:rPr>
                <w:color w:val="231F20"/>
                <w:spacing w:val="-5"/>
                <w:sz w:val="18"/>
              </w:rPr>
              <w:t> </w:t>
            </w:r>
            <w:r>
              <w:rPr>
                <w:color w:val="231F20"/>
                <w:sz w:val="18"/>
              </w:rPr>
              <w:t>plan</w:t>
            </w:r>
            <w:r>
              <w:rPr>
                <w:color w:val="231F20"/>
                <w:spacing w:val="-4"/>
                <w:sz w:val="18"/>
              </w:rPr>
              <w:t> </w:t>
            </w:r>
            <w:r>
              <w:rPr>
                <w:color w:val="231F20"/>
                <w:spacing w:val="-2"/>
                <w:sz w:val="18"/>
              </w:rPr>
              <w:t>investments</w:t>
            </w:r>
          </w:p>
        </w:tc>
        <w:tc>
          <w:tcPr>
            <w:tcW w:w="319" w:type="dxa"/>
          </w:tcPr>
          <w:p>
            <w:pPr>
              <w:pStyle w:val="TableParagraph"/>
              <w:rPr>
                <w:rFonts w:ascii="Times New Roman"/>
                <w:sz w:val="16"/>
              </w:rPr>
            </w:pPr>
          </w:p>
        </w:tc>
        <w:tc>
          <w:tcPr>
            <w:tcW w:w="1589" w:type="dxa"/>
          </w:tcPr>
          <w:p>
            <w:pPr>
              <w:pStyle w:val="TableParagraph"/>
              <w:spacing w:before="1"/>
              <w:ind w:right="96"/>
              <w:jc w:val="right"/>
              <w:rPr>
                <w:sz w:val="18"/>
              </w:rPr>
            </w:pPr>
            <w:r>
              <w:rPr>
                <w:color w:val="231F20"/>
                <w:w w:val="100"/>
                <w:sz w:val="18"/>
              </w:rPr>
              <w:t>-</w:t>
            </w:r>
          </w:p>
        </w:tc>
        <w:tc>
          <w:tcPr>
            <w:tcW w:w="320" w:type="dxa"/>
          </w:tcPr>
          <w:p>
            <w:pPr>
              <w:pStyle w:val="TableParagraph"/>
              <w:rPr>
                <w:rFonts w:ascii="Times New Roman"/>
                <w:sz w:val="16"/>
              </w:rPr>
            </w:pPr>
          </w:p>
        </w:tc>
        <w:tc>
          <w:tcPr>
            <w:tcW w:w="1590" w:type="dxa"/>
          </w:tcPr>
          <w:p>
            <w:pPr>
              <w:pStyle w:val="TableParagraph"/>
              <w:spacing w:before="1"/>
              <w:ind w:right="96"/>
              <w:jc w:val="right"/>
              <w:rPr>
                <w:sz w:val="18"/>
              </w:rPr>
            </w:pPr>
            <w:r>
              <w:rPr>
                <w:color w:val="231F20"/>
                <w:spacing w:val="-2"/>
                <w:sz w:val="18"/>
              </w:rPr>
              <w:t>22,662,695</w:t>
            </w:r>
          </w:p>
        </w:tc>
      </w:tr>
      <w:tr>
        <w:trPr>
          <w:trHeight w:val="234" w:hRule="atLeast"/>
        </w:trPr>
        <w:tc>
          <w:tcPr>
            <w:tcW w:w="5490" w:type="dxa"/>
          </w:tcPr>
          <w:p>
            <w:pPr>
              <w:pStyle w:val="TableParagraph"/>
              <w:ind w:left="34"/>
              <w:rPr>
                <w:sz w:val="18"/>
              </w:rPr>
            </w:pPr>
            <w:r>
              <w:rPr>
                <w:color w:val="231F20"/>
                <w:sz w:val="18"/>
              </w:rPr>
              <w:t>Changes</w:t>
            </w:r>
            <w:r>
              <w:rPr>
                <w:color w:val="231F20"/>
                <w:spacing w:val="-7"/>
                <w:sz w:val="18"/>
              </w:rPr>
              <w:t> </w:t>
            </w:r>
            <w:r>
              <w:rPr>
                <w:color w:val="231F20"/>
                <w:sz w:val="18"/>
              </w:rPr>
              <w:t>in</w:t>
            </w:r>
            <w:r>
              <w:rPr>
                <w:color w:val="231F20"/>
                <w:spacing w:val="-6"/>
                <w:sz w:val="18"/>
              </w:rPr>
              <w:t> </w:t>
            </w:r>
            <w:r>
              <w:rPr>
                <w:color w:val="231F20"/>
                <w:sz w:val="18"/>
              </w:rPr>
              <w:t>proportion</w:t>
            </w:r>
            <w:r>
              <w:rPr>
                <w:color w:val="231F20"/>
                <w:spacing w:val="-6"/>
                <w:sz w:val="18"/>
              </w:rPr>
              <w:t> </w:t>
            </w:r>
            <w:r>
              <w:rPr>
                <w:color w:val="231F20"/>
                <w:sz w:val="18"/>
              </w:rPr>
              <w:t>and</w:t>
            </w:r>
            <w:r>
              <w:rPr>
                <w:color w:val="231F20"/>
                <w:spacing w:val="-6"/>
                <w:sz w:val="18"/>
              </w:rPr>
              <w:t> </w:t>
            </w:r>
            <w:r>
              <w:rPr>
                <w:color w:val="231F20"/>
                <w:sz w:val="18"/>
              </w:rPr>
              <w:t>differences</w:t>
            </w:r>
            <w:r>
              <w:rPr>
                <w:color w:val="231F20"/>
                <w:spacing w:val="-6"/>
                <w:sz w:val="18"/>
              </w:rPr>
              <w:t> </w:t>
            </w:r>
            <w:r>
              <w:rPr>
                <w:color w:val="231F20"/>
                <w:sz w:val="18"/>
              </w:rPr>
              <w:t>between</w:t>
            </w:r>
            <w:r>
              <w:rPr>
                <w:color w:val="231F20"/>
                <w:spacing w:val="-6"/>
                <w:sz w:val="18"/>
              </w:rPr>
              <w:t> </w:t>
            </w:r>
            <w:r>
              <w:rPr>
                <w:color w:val="231F20"/>
                <w:spacing w:val="-2"/>
                <w:sz w:val="18"/>
              </w:rPr>
              <w:t>Institute</w:t>
            </w:r>
          </w:p>
        </w:tc>
        <w:tc>
          <w:tcPr>
            <w:tcW w:w="319" w:type="dxa"/>
          </w:tcPr>
          <w:p>
            <w:pPr>
              <w:pStyle w:val="TableParagraph"/>
              <w:rPr>
                <w:rFonts w:ascii="Times New Roman"/>
                <w:sz w:val="16"/>
              </w:rPr>
            </w:pPr>
          </w:p>
        </w:tc>
        <w:tc>
          <w:tcPr>
            <w:tcW w:w="1589" w:type="dxa"/>
          </w:tcPr>
          <w:p>
            <w:pPr>
              <w:pStyle w:val="TableParagraph"/>
              <w:rPr>
                <w:rFonts w:ascii="Times New Roman"/>
                <w:sz w:val="16"/>
              </w:rPr>
            </w:pPr>
          </w:p>
        </w:tc>
        <w:tc>
          <w:tcPr>
            <w:tcW w:w="320" w:type="dxa"/>
          </w:tcPr>
          <w:p>
            <w:pPr>
              <w:pStyle w:val="TableParagraph"/>
              <w:rPr>
                <w:rFonts w:ascii="Times New Roman"/>
                <w:sz w:val="16"/>
              </w:rPr>
            </w:pPr>
          </w:p>
        </w:tc>
        <w:tc>
          <w:tcPr>
            <w:tcW w:w="1590" w:type="dxa"/>
          </w:tcPr>
          <w:p>
            <w:pPr>
              <w:pStyle w:val="TableParagraph"/>
              <w:rPr>
                <w:rFonts w:ascii="Times New Roman"/>
                <w:sz w:val="16"/>
              </w:rPr>
            </w:pPr>
          </w:p>
        </w:tc>
      </w:tr>
      <w:tr>
        <w:trPr>
          <w:trHeight w:val="235" w:hRule="atLeast"/>
        </w:trPr>
        <w:tc>
          <w:tcPr>
            <w:tcW w:w="5490" w:type="dxa"/>
          </w:tcPr>
          <w:p>
            <w:pPr>
              <w:pStyle w:val="TableParagraph"/>
              <w:spacing w:before="1"/>
              <w:ind w:left="175"/>
              <w:rPr>
                <w:sz w:val="18"/>
              </w:rPr>
            </w:pPr>
            <w:r>
              <w:rPr>
                <w:color w:val="231F20"/>
                <w:sz w:val="18"/>
              </w:rPr>
              <w:t>contributions</w:t>
            </w:r>
            <w:r>
              <w:rPr>
                <w:color w:val="231F20"/>
                <w:spacing w:val="-7"/>
                <w:sz w:val="18"/>
              </w:rPr>
              <w:t> </w:t>
            </w:r>
            <w:r>
              <w:rPr>
                <w:color w:val="231F20"/>
                <w:sz w:val="18"/>
              </w:rPr>
              <w:t>and</w:t>
            </w:r>
            <w:r>
              <w:rPr>
                <w:color w:val="231F20"/>
                <w:spacing w:val="-5"/>
                <w:sz w:val="18"/>
              </w:rPr>
              <w:t> </w:t>
            </w:r>
            <w:r>
              <w:rPr>
                <w:color w:val="231F20"/>
                <w:sz w:val="18"/>
              </w:rPr>
              <w:t>proportionate</w:t>
            </w:r>
            <w:r>
              <w:rPr>
                <w:color w:val="231F20"/>
                <w:spacing w:val="-6"/>
                <w:sz w:val="18"/>
              </w:rPr>
              <w:t> </w:t>
            </w:r>
            <w:r>
              <w:rPr>
                <w:color w:val="231F20"/>
                <w:sz w:val="18"/>
              </w:rPr>
              <w:t>share</w:t>
            </w:r>
            <w:r>
              <w:rPr>
                <w:color w:val="231F20"/>
                <w:spacing w:val="-6"/>
                <w:sz w:val="18"/>
              </w:rPr>
              <w:t> </w:t>
            </w:r>
            <w:r>
              <w:rPr>
                <w:color w:val="231F20"/>
                <w:sz w:val="18"/>
              </w:rPr>
              <w:t>of</w:t>
            </w:r>
            <w:r>
              <w:rPr>
                <w:color w:val="231F20"/>
                <w:spacing w:val="-6"/>
                <w:sz w:val="18"/>
              </w:rPr>
              <w:t> </w:t>
            </w:r>
            <w:r>
              <w:rPr>
                <w:color w:val="231F20"/>
                <w:spacing w:val="-2"/>
                <w:sz w:val="18"/>
              </w:rPr>
              <w:t>contributions</w:t>
            </w:r>
          </w:p>
        </w:tc>
        <w:tc>
          <w:tcPr>
            <w:tcW w:w="319" w:type="dxa"/>
          </w:tcPr>
          <w:p>
            <w:pPr>
              <w:pStyle w:val="TableParagraph"/>
              <w:rPr>
                <w:rFonts w:ascii="Times New Roman"/>
                <w:sz w:val="16"/>
              </w:rPr>
            </w:pPr>
          </w:p>
        </w:tc>
        <w:tc>
          <w:tcPr>
            <w:tcW w:w="1589" w:type="dxa"/>
          </w:tcPr>
          <w:p>
            <w:pPr>
              <w:pStyle w:val="TableParagraph"/>
              <w:spacing w:before="1"/>
              <w:ind w:right="96"/>
              <w:jc w:val="right"/>
              <w:rPr>
                <w:sz w:val="18"/>
              </w:rPr>
            </w:pPr>
            <w:r>
              <w:rPr>
                <w:color w:val="231F20"/>
                <w:w w:val="100"/>
                <w:sz w:val="18"/>
              </w:rPr>
              <w:t>-</w:t>
            </w:r>
          </w:p>
        </w:tc>
        <w:tc>
          <w:tcPr>
            <w:tcW w:w="320" w:type="dxa"/>
          </w:tcPr>
          <w:p>
            <w:pPr>
              <w:pStyle w:val="TableParagraph"/>
              <w:rPr>
                <w:rFonts w:ascii="Times New Roman"/>
                <w:sz w:val="16"/>
              </w:rPr>
            </w:pPr>
          </w:p>
        </w:tc>
        <w:tc>
          <w:tcPr>
            <w:tcW w:w="1590" w:type="dxa"/>
          </w:tcPr>
          <w:p>
            <w:pPr>
              <w:pStyle w:val="TableParagraph"/>
              <w:spacing w:before="1"/>
              <w:ind w:right="96"/>
              <w:jc w:val="right"/>
              <w:rPr>
                <w:sz w:val="18"/>
              </w:rPr>
            </w:pPr>
            <w:r>
              <w:rPr>
                <w:color w:val="231F20"/>
                <w:spacing w:val="-2"/>
                <w:sz w:val="18"/>
              </w:rPr>
              <w:t>2,284,680</w:t>
            </w:r>
          </w:p>
        </w:tc>
      </w:tr>
      <w:tr>
        <w:trPr>
          <w:trHeight w:val="222" w:hRule="atLeast"/>
        </w:trPr>
        <w:tc>
          <w:tcPr>
            <w:tcW w:w="5490" w:type="dxa"/>
          </w:tcPr>
          <w:p>
            <w:pPr>
              <w:pStyle w:val="TableParagraph"/>
              <w:spacing w:line="202" w:lineRule="exact" w:before="1"/>
              <w:ind w:left="34"/>
              <w:rPr>
                <w:sz w:val="18"/>
              </w:rPr>
            </w:pPr>
            <w:r>
              <w:rPr>
                <w:color w:val="231F20"/>
                <w:sz w:val="18"/>
              </w:rPr>
              <w:t>Institute</w:t>
            </w:r>
            <w:r>
              <w:rPr>
                <w:color w:val="231F20"/>
                <w:spacing w:val="-9"/>
                <w:sz w:val="18"/>
              </w:rPr>
              <w:t> </w:t>
            </w:r>
            <w:r>
              <w:rPr>
                <w:color w:val="231F20"/>
                <w:sz w:val="18"/>
              </w:rPr>
              <w:t>contributions</w:t>
            </w:r>
            <w:r>
              <w:rPr>
                <w:color w:val="231F20"/>
                <w:spacing w:val="-7"/>
                <w:sz w:val="18"/>
              </w:rPr>
              <w:t> </w:t>
            </w:r>
            <w:r>
              <w:rPr>
                <w:color w:val="231F20"/>
                <w:sz w:val="18"/>
              </w:rPr>
              <w:t>subsequent</w:t>
            </w:r>
            <w:r>
              <w:rPr>
                <w:color w:val="231F20"/>
                <w:spacing w:val="-7"/>
                <w:sz w:val="18"/>
              </w:rPr>
              <w:t> </w:t>
            </w:r>
            <w:r>
              <w:rPr>
                <w:color w:val="231F20"/>
                <w:sz w:val="18"/>
              </w:rPr>
              <w:t>to</w:t>
            </w:r>
            <w:r>
              <w:rPr>
                <w:color w:val="231F20"/>
                <w:spacing w:val="-7"/>
                <w:sz w:val="18"/>
              </w:rPr>
              <w:t> </w:t>
            </w:r>
            <w:r>
              <w:rPr>
                <w:color w:val="231F20"/>
                <w:sz w:val="18"/>
              </w:rPr>
              <w:t>the</w:t>
            </w:r>
            <w:r>
              <w:rPr>
                <w:color w:val="231F20"/>
                <w:spacing w:val="-7"/>
                <w:sz w:val="18"/>
              </w:rPr>
              <w:t> </w:t>
            </w:r>
            <w:r>
              <w:rPr>
                <w:color w:val="231F20"/>
                <w:sz w:val="18"/>
              </w:rPr>
              <w:t>measurement</w:t>
            </w:r>
            <w:r>
              <w:rPr>
                <w:color w:val="231F20"/>
                <w:spacing w:val="-6"/>
                <w:sz w:val="18"/>
              </w:rPr>
              <w:t> </w:t>
            </w:r>
            <w:r>
              <w:rPr>
                <w:color w:val="231F20"/>
                <w:spacing w:val="-4"/>
                <w:sz w:val="18"/>
              </w:rPr>
              <w:t>date</w:t>
            </w:r>
          </w:p>
        </w:tc>
        <w:tc>
          <w:tcPr>
            <w:tcW w:w="319" w:type="dxa"/>
          </w:tcPr>
          <w:p>
            <w:pPr>
              <w:pStyle w:val="TableParagraph"/>
              <w:rPr>
                <w:rFonts w:ascii="Times New Roman"/>
                <w:sz w:val="14"/>
              </w:rPr>
            </w:pPr>
          </w:p>
        </w:tc>
        <w:tc>
          <w:tcPr>
            <w:tcW w:w="1589" w:type="dxa"/>
            <w:tcBorders>
              <w:bottom w:val="single" w:sz="12" w:space="0" w:color="231F20"/>
            </w:tcBorders>
          </w:tcPr>
          <w:p>
            <w:pPr>
              <w:pStyle w:val="TableParagraph"/>
              <w:spacing w:line="202" w:lineRule="exact" w:before="1"/>
              <w:ind w:right="92"/>
              <w:jc w:val="right"/>
              <w:rPr>
                <w:sz w:val="18"/>
              </w:rPr>
            </w:pPr>
            <w:r>
              <w:rPr>
                <w:color w:val="231F20"/>
                <w:spacing w:val="-2"/>
                <w:sz w:val="18"/>
              </w:rPr>
              <w:t>6,603,452</w:t>
            </w:r>
          </w:p>
        </w:tc>
        <w:tc>
          <w:tcPr>
            <w:tcW w:w="320" w:type="dxa"/>
          </w:tcPr>
          <w:p>
            <w:pPr>
              <w:pStyle w:val="TableParagraph"/>
              <w:rPr>
                <w:rFonts w:ascii="Times New Roman"/>
                <w:sz w:val="14"/>
              </w:rPr>
            </w:pPr>
          </w:p>
        </w:tc>
        <w:tc>
          <w:tcPr>
            <w:tcW w:w="1590" w:type="dxa"/>
            <w:tcBorders>
              <w:bottom w:val="single" w:sz="12" w:space="0" w:color="231F20"/>
            </w:tcBorders>
          </w:tcPr>
          <w:p>
            <w:pPr>
              <w:pStyle w:val="TableParagraph"/>
              <w:spacing w:line="202" w:lineRule="exact" w:before="1"/>
              <w:ind w:right="96"/>
              <w:jc w:val="right"/>
              <w:rPr>
                <w:sz w:val="18"/>
              </w:rPr>
            </w:pPr>
            <w:r>
              <w:rPr>
                <w:color w:val="231F20"/>
                <w:w w:val="100"/>
                <w:sz w:val="18"/>
              </w:rPr>
              <w:t>-</w:t>
            </w:r>
          </w:p>
        </w:tc>
      </w:tr>
      <w:tr>
        <w:trPr>
          <w:trHeight w:val="478" w:hRule="atLeast"/>
        </w:trPr>
        <w:tc>
          <w:tcPr>
            <w:tcW w:w="5490" w:type="dxa"/>
          </w:tcPr>
          <w:p>
            <w:pPr>
              <w:pStyle w:val="TableParagraph"/>
              <w:spacing w:before="6"/>
              <w:rPr>
                <w:sz w:val="18"/>
              </w:rPr>
            </w:pPr>
          </w:p>
          <w:p>
            <w:pPr>
              <w:pStyle w:val="TableParagraph"/>
              <w:ind w:left="34"/>
              <w:rPr>
                <w:sz w:val="18"/>
              </w:rPr>
            </w:pPr>
            <w:r>
              <w:rPr>
                <w:color w:val="231F20"/>
                <w:spacing w:val="-2"/>
                <w:sz w:val="18"/>
              </w:rPr>
              <w:t>Total</w:t>
            </w:r>
          </w:p>
        </w:tc>
        <w:tc>
          <w:tcPr>
            <w:tcW w:w="319" w:type="dxa"/>
          </w:tcPr>
          <w:p>
            <w:pPr>
              <w:pStyle w:val="TableParagraph"/>
              <w:rPr>
                <w:rFonts w:ascii="Times New Roman"/>
                <w:sz w:val="18"/>
              </w:rPr>
            </w:pPr>
          </w:p>
        </w:tc>
        <w:tc>
          <w:tcPr>
            <w:tcW w:w="1589" w:type="dxa"/>
            <w:tcBorders>
              <w:top w:val="single" w:sz="12" w:space="0" w:color="231F20"/>
              <w:bottom w:val="single" w:sz="8" w:space="0" w:color="231F20"/>
            </w:tcBorders>
          </w:tcPr>
          <w:p>
            <w:pPr>
              <w:pStyle w:val="TableParagraph"/>
              <w:spacing w:before="6"/>
              <w:rPr>
                <w:sz w:val="18"/>
              </w:rPr>
            </w:pPr>
          </w:p>
          <w:p>
            <w:pPr>
              <w:pStyle w:val="TableParagraph"/>
              <w:tabs>
                <w:tab w:pos="499" w:val="left" w:leader="none"/>
              </w:tabs>
              <w:ind w:right="95"/>
              <w:jc w:val="right"/>
              <w:rPr>
                <w:sz w:val="18"/>
              </w:rPr>
            </w:pPr>
            <w:r>
              <w:rPr>
                <w:color w:val="231F20"/>
                <w:spacing w:val="-10"/>
                <w:sz w:val="18"/>
              </w:rPr>
              <w:t>$</w:t>
            </w:r>
            <w:r>
              <w:rPr>
                <w:color w:val="231F20"/>
                <w:sz w:val="18"/>
              </w:rPr>
              <w:tab/>
            </w:r>
            <w:r>
              <w:rPr>
                <w:color w:val="231F20"/>
                <w:spacing w:val="-2"/>
                <w:sz w:val="18"/>
              </w:rPr>
              <w:t>74,426,240</w:t>
            </w:r>
          </w:p>
        </w:tc>
        <w:tc>
          <w:tcPr>
            <w:tcW w:w="320" w:type="dxa"/>
          </w:tcPr>
          <w:p>
            <w:pPr>
              <w:pStyle w:val="TableParagraph"/>
              <w:rPr>
                <w:rFonts w:ascii="Times New Roman"/>
                <w:sz w:val="18"/>
              </w:rPr>
            </w:pPr>
          </w:p>
        </w:tc>
        <w:tc>
          <w:tcPr>
            <w:tcW w:w="1590" w:type="dxa"/>
            <w:tcBorders>
              <w:top w:val="single" w:sz="12" w:space="0" w:color="231F20"/>
              <w:bottom w:val="single" w:sz="8" w:space="0" w:color="231F20"/>
            </w:tcBorders>
          </w:tcPr>
          <w:p>
            <w:pPr>
              <w:pStyle w:val="TableParagraph"/>
              <w:spacing w:before="6"/>
              <w:rPr>
                <w:sz w:val="18"/>
              </w:rPr>
            </w:pPr>
          </w:p>
          <w:p>
            <w:pPr>
              <w:pStyle w:val="TableParagraph"/>
              <w:tabs>
                <w:tab w:pos="401" w:val="left" w:leader="none"/>
              </w:tabs>
              <w:ind w:right="96"/>
              <w:jc w:val="right"/>
              <w:rPr>
                <w:sz w:val="18"/>
              </w:rPr>
            </w:pPr>
            <w:r>
              <w:rPr>
                <w:color w:val="231F20"/>
                <w:spacing w:val="-10"/>
                <w:sz w:val="18"/>
              </w:rPr>
              <w:t>$</w:t>
            </w:r>
            <w:r>
              <w:rPr>
                <w:color w:val="231F20"/>
                <w:sz w:val="18"/>
              </w:rPr>
              <w:tab/>
            </w:r>
            <w:r>
              <w:rPr>
                <w:color w:val="231F20"/>
                <w:spacing w:val="-2"/>
                <w:sz w:val="18"/>
              </w:rPr>
              <w:t>128,956,719</w:t>
            </w:r>
          </w:p>
        </w:tc>
      </w:tr>
    </w:tbl>
    <w:p>
      <w:pPr>
        <w:pStyle w:val="BodyText"/>
        <w:rPr>
          <w:sz w:val="13"/>
        </w:rPr>
      </w:pPr>
    </w:p>
    <w:p>
      <w:pPr>
        <w:pStyle w:val="BodyText"/>
        <w:spacing w:line="276" w:lineRule="auto" w:before="94"/>
        <w:ind w:left="1439" w:right="891"/>
      </w:pPr>
      <w:r>
        <w:rPr/>
        <w:pict>
          <v:rect style="position:absolute;margin-left:362.94101pt;margin-top:-11.420119pt;width:79.38pt;height:.95999pt;mso-position-horizontal-relative:page;mso-position-vertical-relative:paragraph;z-index:-28321280" id="docshape362" filled="true" fillcolor="#231f20" stroked="false">
            <v:fill type="solid"/>
            <w10:wrap type="none"/>
          </v:rect>
        </w:pict>
      </w:r>
      <w:r>
        <w:rPr/>
        <w:pict>
          <v:rect style="position:absolute;margin-left:458.281006pt;margin-top:-11.420119pt;width:79.44pt;height:.95999pt;mso-position-horizontal-relative:page;mso-position-vertical-relative:paragraph;z-index:-28320768" id="docshape363" filled="true" fillcolor="#231f20" stroked="false">
            <v:fill type="solid"/>
            <w10:wrap type="none"/>
          </v:rect>
        </w:pict>
      </w:r>
      <w:r>
        <w:rPr>
          <w:color w:val="231F20"/>
        </w:rPr>
        <w:t>The $6,603,452 reported as deferred outflows of resources related to pensions resulting from Institute contributions</w:t>
      </w:r>
      <w:r>
        <w:rPr>
          <w:color w:val="231F20"/>
          <w:spacing w:val="-4"/>
        </w:rPr>
        <w:t> </w:t>
      </w:r>
      <w:r>
        <w:rPr>
          <w:color w:val="231F20"/>
        </w:rPr>
        <w:t>subsequent</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measurement</w:t>
      </w:r>
      <w:r>
        <w:rPr>
          <w:color w:val="231F20"/>
          <w:spacing w:val="-3"/>
        </w:rPr>
        <w:t> </w:t>
      </w:r>
      <w:r>
        <w:rPr>
          <w:color w:val="231F20"/>
        </w:rPr>
        <w:t>date</w:t>
      </w:r>
      <w:r>
        <w:rPr>
          <w:color w:val="231F20"/>
          <w:spacing w:val="-3"/>
        </w:rPr>
        <w:t> </w:t>
      </w:r>
      <w:r>
        <w:rPr>
          <w:color w:val="231F20"/>
        </w:rPr>
        <w:t>-</w:t>
      </w:r>
      <w:r>
        <w:rPr>
          <w:color w:val="231F20"/>
          <w:spacing w:val="-4"/>
        </w:rPr>
        <w:t> </w:t>
      </w:r>
      <w:r>
        <w:rPr>
          <w:color w:val="231F20"/>
        </w:rPr>
        <w:t>will</w:t>
      </w:r>
      <w:r>
        <w:rPr>
          <w:color w:val="231F20"/>
          <w:spacing w:val="-3"/>
        </w:rPr>
        <w:t> </w:t>
      </w:r>
      <w:r>
        <w:rPr>
          <w:color w:val="231F20"/>
        </w:rPr>
        <w:t>be</w:t>
      </w:r>
      <w:r>
        <w:rPr>
          <w:color w:val="231F20"/>
          <w:spacing w:val="-3"/>
        </w:rPr>
        <w:t> </w:t>
      </w:r>
      <w:r>
        <w:rPr>
          <w:color w:val="231F20"/>
        </w:rPr>
        <w:t>recognized</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reduction</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net</w:t>
      </w:r>
      <w:r>
        <w:rPr>
          <w:color w:val="231F20"/>
          <w:spacing w:val="-3"/>
        </w:rPr>
        <w:t> </w:t>
      </w:r>
      <w:r>
        <w:rPr>
          <w:color w:val="231F20"/>
        </w:rPr>
        <w:t>pension liability in the year ended June 30, 2022. Other amounts reported as deferred outflows of resources and deferred inflows of resources related to pensions will be recognized in pension expense as follows:</w:t>
      </w:r>
    </w:p>
    <w:p>
      <w:pPr>
        <w:pStyle w:val="BodyText"/>
        <w:spacing w:before="8"/>
        <w:rPr>
          <w:sz w:val="24"/>
        </w:rPr>
      </w:pPr>
    </w:p>
    <w:tbl>
      <w:tblPr>
        <w:tblW w:w="0" w:type="auto"/>
        <w:jc w:val="left"/>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21"/>
        <w:gridCol w:w="1589"/>
      </w:tblGrid>
      <w:tr>
        <w:trPr>
          <w:trHeight w:val="228" w:hRule="atLeast"/>
        </w:trPr>
        <w:tc>
          <w:tcPr>
            <w:tcW w:w="5821" w:type="dxa"/>
          </w:tcPr>
          <w:p>
            <w:pPr>
              <w:pStyle w:val="TableParagraph"/>
              <w:spacing w:line="208" w:lineRule="exact"/>
              <w:ind w:left="50"/>
              <w:rPr>
                <w:sz w:val="20"/>
              </w:rPr>
            </w:pPr>
            <w:r>
              <w:rPr>
                <w:color w:val="231F20"/>
                <w:sz w:val="20"/>
                <w:u w:val="single" w:color="231F20"/>
              </w:rPr>
              <w:t>Years</w:t>
            </w:r>
            <w:r>
              <w:rPr>
                <w:color w:val="231F20"/>
                <w:spacing w:val="-1"/>
                <w:sz w:val="20"/>
                <w:u w:val="single" w:color="231F20"/>
              </w:rPr>
              <w:t> </w:t>
            </w:r>
            <w:r>
              <w:rPr>
                <w:color w:val="231F20"/>
                <w:sz w:val="20"/>
                <w:u w:val="single" w:color="231F20"/>
              </w:rPr>
              <w:t>Ended</w:t>
            </w:r>
            <w:r>
              <w:rPr>
                <w:color w:val="231F20"/>
                <w:spacing w:val="-1"/>
                <w:sz w:val="20"/>
                <w:u w:val="single" w:color="231F20"/>
              </w:rPr>
              <w:t> </w:t>
            </w:r>
            <w:r>
              <w:rPr>
                <w:color w:val="231F20"/>
                <w:sz w:val="20"/>
                <w:u w:val="single" w:color="231F20"/>
              </w:rPr>
              <w:t>June </w:t>
            </w:r>
            <w:r>
              <w:rPr>
                <w:color w:val="231F20"/>
                <w:spacing w:val="-5"/>
                <w:sz w:val="20"/>
                <w:u w:val="single" w:color="231F20"/>
              </w:rPr>
              <w:t>30,</w:t>
            </w:r>
          </w:p>
        </w:tc>
        <w:tc>
          <w:tcPr>
            <w:tcW w:w="1589" w:type="dxa"/>
            <w:tcBorders>
              <w:bottom w:val="single" w:sz="8" w:space="0" w:color="231F20"/>
            </w:tcBorders>
          </w:tcPr>
          <w:p>
            <w:pPr>
              <w:pStyle w:val="TableParagraph"/>
              <w:spacing w:line="208" w:lineRule="exact"/>
              <w:ind w:right="3"/>
              <w:jc w:val="right"/>
              <w:rPr>
                <w:sz w:val="20"/>
              </w:rPr>
            </w:pPr>
            <w:r>
              <w:rPr>
                <w:color w:val="231F20"/>
                <w:sz w:val="20"/>
              </w:rPr>
              <w:t>Pension</w:t>
            </w:r>
            <w:r>
              <w:rPr>
                <w:color w:val="231F20"/>
                <w:spacing w:val="-5"/>
                <w:sz w:val="20"/>
              </w:rPr>
              <w:t> </w:t>
            </w:r>
            <w:r>
              <w:rPr>
                <w:color w:val="231F20"/>
                <w:spacing w:val="-2"/>
                <w:sz w:val="20"/>
              </w:rPr>
              <w:t>Expense</w:t>
            </w:r>
          </w:p>
        </w:tc>
      </w:tr>
      <w:tr>
        <w:trPr>
          <w:trHeight w:val="341" w:hRule="atLeast"/>
        </w:trPr>
        <w:tc>
          <w:tcPr>
            <w:tcW w:w="5821" w:type="dxa"/>
          </w:tcPr>
          <w:p>
            <w:pPr>
              <w:pStyle w:val="TableParagraph"/>
              <w:spacing w:line="225" w:lineRule="exact" w:before="96"/>
              <w:ind w:left="611"/>
              <w:rPr>
                <w:sz w:val="20"/>
              </w:rPr>
            </w:pPr>
            <w:r>
              <w:rPr>
                <w:color w:val="231F20"/>
                <w:spacing w:val="-4"/>
                <w:sz w:val="20"/>
              </w:rPr>
              <w:t>2023</w:t>
            </w:r>
          </w:p>
        </w:tc>
        <w:tc>
          <w:tcPr>
            <w:tcW w:w="1589" w:type="dxa"/>
            <w:tcBorders>
              <w:top w:val="single" w:sz="8" w:space="0" w:color="231F20"/>
            </w:tcBorders>
          </w:tcPr>
          <w:p>
            <w:pPr>
              <w:pStyle w:val="TableParagraph"/>
              <w:tabs>
                <w:tab w:pos="416" w:val="left" w:leader="none"/>
              </w:tabs>
              <w:spacing w:line="225" w:lineRule="exact" w:before="96"/>
              <w:ind w:right="38"/>
              <w:jc w:val="right"/>
              <w:rPr>
                <w:sz w:val="20"/>
              </w:rPr>
            </w:pPr>
            <w:r>
              <w:rPr>
                <w:color w:val="231F20"/>
                <w:spacing w:val="-10"/>
                <w:sz w:val="20"/>
              </w:rPr>
              <w:t>$</w:t>
            </w:r>
            <w:r>
              <w:rPr>
                <w:color w:val="231F20"/>
                <w:sz w:val="20"/>
              </w:rPr>
              <w:tab/>
            </w:r>
            <w:r>
              <w:rPr>
                <w:color w:val="231F20"/>
                <w:spacing w:val="-2"/>
                <w:sz w:val="20"/>
              </w:rPr>
              <w:t>(4,594,712)</w:t>
            </w:r>
          </w:p>
        </w:tc>
      </w:tr>
      <w:tr>
        <w:trPr>
          <w:trHeight w:val="252" w:hRule="atLeast"/>
        </w:trPr>
        <w:tc>
          <w:tcPr>
            <w:tcW w:w="5821" w:type="dxa"/>
          </w:tcPr>
          <w:p>
            <w:pPr>
              <w:pStyle w:val="TableParagraph"/>
              <w:spacing w:line="224" w:lineRule="exact" w:before="8"/>
              <w:ind w:left="611"/>
              <w:rPr>
                <w:sz w:val="20"/>
              </w:rPr>
            </w:pPr>
            <w:r>
              <w:rPr>
                <w:color w:val="231F20"/>
                <w:spacing w:val="-4"/>
                <w:sz w:val="20"/>
              </w:rPr>
              <w:t>2024</w:t>
            </w:r>
          </w:p>
        </w:tc>
        <w:tc>
          <w:tcPr>
            <w:tcW w:w="1589" w:type="dxa"/>
          </w:tcPr>
          <w:p>
            <w:pPr>
              <w:pStyle w:val="TableParagraph"/>
              <w:spacing w:line="224" w:lineRule="exact" w:before="8"/>
              <w:ind w:right="38"/>
              <w:jc w:val="right"/>
              <w:rPr>
                <w:sz w:val="20"/>
              </w:rPr>
            </w:pPr>
            <w:r>
              <w:rPr>
                <w:color w:val="231F20"/>
                <w:spacing w:val="-2"/>
                <w:sz w:val="20"/>
              </w:rPr>
              <w:t>(28,392,438)</w:t>
            </w:r>
          </w:p>
        </w:tc>
      </w:tr>
      <w:tr>
        <w:trPr>
          <w:trHeight w:val="252" w:hRule="atLeast"/>
        </w:trPr>
        <w:tc>
          <w:tcPr>
            <w:tcW w:w="5821" w:type="dxa"/>
          </w:tcPr>
          <w:p>
            <w:pPr>
              <w:pStyle w:val="TableParagraph"/>
              <w:spacing w:line="225" w:lineRule="exact" w:before="7"/>
              <w:ind w:left="611"/>
              <w:rPr>
                <w:sz w:val="20"/>
              </w:rPr>
            </w:pPr>
            <w:r>
              <w:rPr>
                <w:color w:val="231F20"/>
                <w:spacing w:val="-4"/>
                <w:sz w:val="20"/>
              </w:rPr>
              <w:t>2025</w:t>
            </w:r>
          </w:p>
        </w:tc>
        <w:tc>
          <w:tcPr>
            <w:tcW w:w="1589" w:type="dxa"/>
          </w:tcPr>
          <w:p>
            <w:pPr>
              <w:pStyle w:val="TableParagraph"/>
              <w:spacing w:line="225" w:lineRule="exact" w:before="7"/>
              <w:ind w:right="38"/>
              <w:jc w:val="right"/>
              <w:rPr>
                <w:sz w:val="20"/>
              </w:rPr>
            </w:pPr>
            <w:r>
              <w:rPr>
                <w:color w:val="231F20"/>
                <w:spacing w:val="-2"/>
                <w:sz w:val="20"/>
              </w:rPr>
              <w:t>(20,585,069)</w:t>
            </w:r>
          </w:p>
        </w:tc>
      </w:tr>
      <w:tr>
        <w:trPr>
          <w:trHeight w:val="243" w:hRule="atLeast"/>
        </w:trPr>
        <w:tc>
          <w:tcPr>
            <w:tcW w:w="5821" w:type="dxa"/>
          </w:tcPr>
          <w:p>
            <w:pPr>
              <w:pStyle w:val="TableParagraph"/>
              <w:spacing w:line="215" w:lineRule="exact" w:before="8"/>
              <w:ind w:left="612"/>
              <w:rPr>
                <w:sz w:val="20"/>
              </w:rPr>
            </w:pPr>
            <w:r>
              <w:rPr>
                <w:color w:val="231F20"/>
                <w:spacing w:val="-4"/>
                <w:sz w:val="20"/>
              </w:rPr>
              <w:t>2026</w:t>
            </w:r>
          </w:p>
        </w:tc>
        <w:tc>
          <w:tcPr>
            <w:tcW w:w="1589" w:type="dxa"/>
            <w:tcBorders>
              <w:bottom w:val="single" w:sz="8" w:space="0" w:color="231F20"/>
            </w:tcBorders>
          </w:tcPr>
          <w:p>
            <w:pPr>
              <w:pStyle w:val="TableParagraph"/>
              <w:spacing w:line="215" w:lineRule="exact" w:before="8"/>
              <w:ind w:right="37"/>
              <w:jc w:val="right"/>
              <w:rPr>
                <w:sz w:val="20"/>
              </w:rPr>
            </w:pPr>
            <w:r>
              <w:rPr>
                <w:color w:val="231F20"/>
                <w:spacing w:val="-2"/>
                <w:sz w:val="20"/>
              </w:rPr>
              <w:t>(7,561,712)</w:t>
            </w:r>
          </w:p>
        </w:tc>
      </w:tr>
      <w:tr>
        <w:trPr>
          <w:trHeight w:val="430" w:hRule="atLeast"/>
        </w:trPr>
        <w:tc>
          <w:tcPr>
            <w:tcW w:w="5821" w:type="dxa"/>
          </w:tcPr>
          <w:p>
            <w:pPr>
              <w:pStyle w:val="TableParagraph"/>
              <w:spacing w:line="215" w:lineRule="exact" w:before="196"/>
              <w:ind w:left="1033"/>
              <w:rPr>
                <w:sz w:val="20"/>
              </w:rPr>
            </w:pPr>
            <w:r>
              <w:rPr>
                <w:color w:val="231F20"/>
                <w:spacing w:val="-2"/>
                <w:sz w:val="20"/>
              </w:rPr>
              <w:t>Total</w:t>
            </w:r>
          </w:p>
        </w:tc>
        <w:tc>
          <w:tcPr>
            <w:tcW w:w="1589" w:type="dxa"/>
            <w:tcBorders>
              <w:top w:val="single" w:sz="8" w:space="0" w:color="231F20"/>
              <w:bottom w:val="double" w:sz="8" w:space="0" w:color="231F20"/>
            </w:tcBorders>
          </w:tcPr>
          <w:p>
            <w:pPr>
              <w:pStyle w:val="TableParagraph"/>
              <w:spacing w:line="215" w:lineRule="exact" w:before="196"/>
              <w:ind w:right="37"/>
              <w:jc w:val="right"/>
              <w:rPr>
                <w:sz w:val="20"/>
              </w:rPr>
            </w:pPr>
            <w:r>
              <w:rPr>
                <w:color w:val="231F20"/>
                <w:sz w:val="20"/>
              </w:rPr>
              <w:t>$</w:t>
            </w:r>
            <w:r>
              <w:rPr>
                <w:color w:val="231F20"/>
                <w:spacing w:val="40"/>
                <w:sz w:val="20"/>
              </w:rPr>
              <w:t>  </w:t>
            </w:r>
            <w:r>
              <w:rPr>
                <w:color w:val="231F20"/>
                <w:spacing w:val="-2"/>
                <w:sz w:val="20"/>
              </w:rPr>
              <w:t>(61,133,931)</w:t>
            </w:r>
          </w:p>
        </w:tc>
      </w:tr>
    </w:tbl>
    <w:p>
      <w:pPr>
        <w:pStyle w:val="BodyText"/>
        <w:spacing w:before="8"/>
        <w:rPr>
          <w:sz w:val="24"/>
        </w:rPr>
      </w:pPr>
    </w:p>
    <w:p>
      <w:pPr>
        <w:pStyle w:val="BodyText"/>
        <w:spacing w:line="276" w:lineRule="auto"/>
        <w:ind w:left="1440" w:right="857" w:hanging="1"/>
      </w:pPr>
      <w:r>
        <w:rPr>
          <w:i/>
          <w:color w:val="231F20"/>
        </w:rPr>
        <w:t>Actuarial Assumptions </w:t>
      </w:r>
      <w:r>
        <w:rPr>
          <w:color w:val="231F20"/>
        </w:rPr>
        <w:t>– Actuarial assumptions and methods are set by the Plan’s Board of Trustees, based</w:t>
      </w:r>
      <w:r>
        <w:rPr>
          <w:color w:val="231F20"/>
          <w:spacing w:val="-3"/>
        </w:rPr>
        <w:t> </w:t>
      </w:r>
      <w:r>
        <w:rPr>
          <w:color w:val="231F20"/>
        </w:rPr>
        <w:t>upon</w:t>
      </w:r>
      <w:r>
        <w:rPr>
          <w:color w:val="231F20"/>
          <w:spacing w:val="-3"/>
        </w:rPr>
        <w:t> </w:t>
      </w:r>
      <w:r>
        <w:rPr>
          <w:color w:val="231F20"/>
        </w:rPr>
        <w:t>recommendations</w:t>
      </w:r>
      <w:r>
        <w:rPr>
          <w:color w:val="231F20"/>
          <w:spacing w:val="-3"/>
        </w:rPr>
        <w:t> </w:t>
      </w:r>
      <w:r>
        <w:rPr>
          <w:color w:val="231F20"/>
        </w:rPr>
        <w:t>made</w:t>
      </w:r>
      <w:r>
        <w:rPr>
          <w:color w:val="231F20"/>
          <w:spacing w:val="-3"/>
        </w:rPr>
        <w:t> </w:t>
      </w:r>
      <w:r>
        <w:rPr>
          <w:color w:val="231F20"/>
        </w:rPr>
        <w:t>by</w:t>
      </w:r>
      <w:r>
        <w:rPr>
          <w:color w:val="231F20"/>
          <w:spacing w:val="-2"/>
        </w:rPr>
        <w:t> </w:t>
      </w:r>
      <w:r>
        <w:rPr>
          <w:color w:val="231F20"/>
        </w:rPr>
        <w:t>the</w:t>
      </w:r>
      <w:r>
        <w:rPr>
          <w:color w:val="231F20"/>
          <w:spacing w:val="-3"/>
        </w:rPr>
        <w:t> </w:t>
      </w:r>
      <w:r>
        <w:rPr>
          <w:color w:val="231F20"/>
        </w:rPr>
        <w:t>Plan’s</w:t>
      </w:r>
      <w:r>
        <w:rPr>
          <w:color w:val="231F20"/>
          <w:spacing w:val="-3"/>
        </w:rPr>
        <w:t> </w:t>
      </w:r>
      <w:r>
        <w:rPr>
          <w:color w:val="231F20"/>
        </w:rPr>
        <w:t>actuary.</w:t>
      </w:r>
      <w:r>
        <w:rPr>
          <w:color w:val="231F20"/>
          <w:spacing w:val="-3"/>
        </w:rPr>
        <w:t> </w:t>
      </w:r>
      <w:r>
        <w:rPr>
          <w:color w:val="231F20"/>
        </w:rPr>
        <w:t>On</w:t>
      </w:r>
      <w:r>
        <w:rPr>
          <w:color w:val="231F20"/>
          <w:spacing w:val="-3"/>
        </w:rPr>
        <w:t> </w:t>
      </w:r>
      <w:r>
        <w:rPr>
          <w:color w:val="231F20"/>
        </w:rPr>
        <w:t>April</w:t>
      </w:r>
      <w:r>
        <w:rPr>
          <w:color w:val="231F20"/>
          <w:spacing w:val="-4"/>
        </w:rPr>
        <w:t> </w:t>
      </w:r>
      <w:r>
        <w:rPr>
          <w:color w:val="231F20"/>
        </w:rPr>
        <w:t>17,</w:t>
      </w:r>
      <w:r>
        <w:rPr>
          <w:color w:val="231F20"/>
          <w:spacing w:val="-3"/>
        </w:rPr>
        <w:t> </w:t>
      </w:r>
      <w:r>
        <w:rPr>
          <w:color w:val="231F20"/>
        </w:rPr>
        <w:t>2020,</w:t>
      </w:r>
      <w:r>
        <w:rPr>
          <w:color w:val="231F20"/>
          <w:spacing w:val="-3"/>
        </w:rPr>
        <w:t> </w:t>
      </w:r>
      <w:r>
        <w:rPr>
          <w:color w:val="231F20"/>
        </w:rPr>
        <w:t>the</w:t>
      </w:r>
      <w:r>
        <w:rPr>
          <w:color w:val="231F20"/>
          <w:spacing w:val="-4"/>
        </w:rPr>
        <w:t> </w:t>
      </w:r>
      <w:r>
        <w:rPr>
          <w:color w:val="231F20"/>
        </w:rPr>
        <w:t>Board</w:t>
      </w:r>
      <w:r>
        <w:rPr>
          <w:color w:val="231F20"/>
          <w:spacing w:val="-3"/>
        </w:rPr>
        <w:t> </w:t>
      </w:r>
      <w:r>
        <w:rPr>
          <w:color w:val="231F20"/>
        </w:rPr>
        <w:t>adopted</w:t>
      </w:r>
      <w:r>
        <w:rPr>
          <w:color w:val="231F20"/>
          <w:spacing w:val="-3"/>
        </w:rPr>
        <w:t> </w:t>
      </w:r>
      <w:r>
        <w:rPr>
          <w:color w:val="231F20"/>
        </w:rPr>
        <w:t>the</w:t>
      </w:r>
      <w:r>
        <w:rPr>
          <w:color w:val="231F20"/>
          <w:spacing w:val="-3"/>
        </w:rPr>
        <w:t> </w:t>
      </w:r>
      <w:r>
        <w:rPr>
          <w:color w:val="231F20"/>
        </w:rPr>
        <w:t>new assumptions presented in the 2020 Actuarial Experience Study.</w:t>
      </w:r>
    </w:p>
    <w:p>
      <w:pPr>
        <w:spacing w:after="0" w:line="276" w:lineRule="auto"/>
        <w:sectPr>
          <w:type w:val="continuous"/>
          <w:pgSz w:w="12240" w:h="15840"/>
          <w:pgMar w:header="1282" w:footer="1097" w:top="1460" w:bottom="280" w:left="0" w:right="580"/>
        </w:sectPr>
      </w:pPr>
    </w:p>
    <w:p>
      <w:pPr>
        <w:pStyle w:val="BodyText"/>
      </w:pPr>
      <w:r>
        <w:rPr/>
        <w:pict>
          <v:rect style="position:absolute;margin-left:266.279999pt;margin-top:709.260986pt;width:79.44pt;height:.95999pt;mso-position-horizontal-relative:page;mso-position-vertical-relative:page;z-index:15793152" id="docshape364" filled="true" fillcolor="#231f20" stroked="false">
            <v:fill type="solid"/>
            <w10:wrap type="none"/>
          </v:rect>
        </w:pict>
      </w:r>
      <w:r>
        <w:rPr/>
        <w:pict>
          <v:rect style="position:absolute;margin-left:361.740997pt;margin-top:709.260986pt;width:79.44pt;height:.95999pt;mso-position-horizontal-relative:page;mso-position-vertical-relative:page;z-index:15793664" id="docshape365" filled="true" fillcolor="#231f20" stroked="false">
            <v:fill type="solid"/>
            <w10:wrap type="none"/>
          </v:rect>
        </w:pict>
      </w:r>
    </w:p>
    <w:p>
      <w:pPr>
        <w:pStyle w:val="BodyText"/>
        <w:spacing w:before="10"/>
        <w:rPr>
          <w:sz w:val="17"/>
        </w:rPr>
      </w:pPr>
    </w:p>
    <w:p>
      <w:pPr>
        <w:pStyle w:val="Heading4"/>
        <w:spacing w:before="94"/>
      </w:pPr>
      <w:r>
        <w:rPr>
          <w:color w:val="231F20"/>
        </w:rPr>
        <w:t>Note</w:t>
      </w:r>
      <w:r>
        <w:rPr>
          <w:color w:val="231F20"/>
          <w:spacing w:val="-3"/>
        </w:rPr>
        <w:t> </w:t>
      </w:r>
      <w:r>
        <w:rPr>
          <w:color w:val="231F20"/>
        </w:rPr>
        <w:t>9</w:t>
      </w:r>
      <w:r>
        <w:rPr>
          <w:color w:val="231F20"/>
          <w:spacing w:val="-2"/>
        </w:rPr>
        <w:t> </w:t>
      </w:r>
      <w:r>
        <w:rPr>
          <w:color w:val="231F20"/>
        </w:rPr>
        <w:t>–</w:t>
      </w:r>
      <w:r>
        <w:rPr>
          <w:color w:val="231F20"/>
          <w:spacing w:val="-3"/>
        </w:rPr>
        <w:t> </w:t>
      </w:r>
      <w:r>
        <w:rPr>
          <w:color w:val="231F20"/>
        </w:rPr>
        <w:t>Defined</w:t>
      </w:r>
      <w:r>
        <w:rPr>
          <w:color w:val="231F20"/>
          <w:spacing w:val="-2"/>
        </w:rPr>
        <w:t> </w:t>
      </w:r>
      <w:r>
        <w:rPr>
          <w:color w:val="231F20"/>
        </w:rPr>
        <w:t>Benefit</w:t>
      </w:r>
      <w:r>
        <w:rPr>
          <w:color w:val="231F20"/>
          <w:spacing w:val="-3"/>
        </w:rPr>
        <w:t> </w:t>
      </w:r>
      <w:r>
        <w:rPr>
          <w:color w:val="231F20"/>
        </w:rPr>
        <w:t>Retirement</w:t>
      </w:r>
      <w:r>
        <w:rPr>
          <w:color w:val="231F20"/>
          <w:spacing w:val="-3"/>
        </w:rPr>
        <w:t> </w:t>
      </w:r>
      <w:r>
        <w:rPr>
          <w:color w:val="231F20"/>
        </w:rPr>
        <w:t>Plan</w:t>
      </w:r>
      <w:r>
        <w:rPr>
          <w:color w:val="231F20"/>
          <w:spacing w:val="-2"/>
        </w:rPr>
        <w:t> (continued)</w:t>
      </w:r>
    </w:p>
    <w:p>
      <w:pPr>
        <w:pStyle w:val="BodyText"/>
        <w:rPr>
          <w:b/>
          <w:sz w:val="26"/>
        </w:rPr>
      </w:pPr>
    </w:p>
    <w:p>
      <w:pPr>
        <w:pStyle w:val="BodyText"/>
        <w:spacing w:line="276" w:lineRule="auto"/>
        <w:ind w:left="1440" w:right="891"/>
      </w:pPr>
      <w:r>
        <w:rPr>
          <w:color w:val="231F20"/>
        </w:rPr>
        <w:t>The total pension liability as of June 30, 2020 was based on an actuarial valuation as of June 30, 2019, rolled</w:t>
      </w:r>
      <w:r>
        <w:rPr>
          <w:color w:val="231F20"/>
          <w:spacing w:val="-3"/>
        </w:rPr>
        <w:t> </w:t>
      </w:r>
      <w:r>
        <w:rPr>
          <w:color w:val="231F20"/>
        </w:rPr>
        <w:t>forward</w:t>
      </w:r>
      <w:r>
        <w:rPr>
          <w:color w:val="231F20"/>
          <w:spacing w:val="-4"/>
        </w:rPr>
        <w:t> </w:t>
      </w:r>
      <w:r>
        <w:rPr>
          <w:color w:val="231F20"/>
        </w:rPr>
        <w:t>to</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2020,</w:t>
      </w:r>
      <w:r>
        <w:rPr>
          <w:color w:val="231F20"/>
          <w:spacing w:val="-3"/>
        </w:rPr>
        <w:t> </w:t>
      </w:r>
      <w:r>
        <w:rPr>
          <w:color w:val="231F20"/>
        </w:rPr>
        <w:t>and</w:t>
      </w:r>
      <w:r>
        <w:rPr>
          <w:color w:val="231F20"/>
          <w:spacing w:val="-4"/>
        </w:rPr>
        <w:t> </w:t>
      </w:r>
      <w:r>
        <w:rPr>
          <w:color w:val="231F20"/>
        </w:rPr>
        <w:t>was</w:t>
      </w:r>
      <w:r>
        <w:rPr>
          <w:color w:val="231F20"/>
          <w:spacing w:val="-3"/>
        </w:rPr>
        <w:t> </w:t>
      </w:r>
      <w:r>
        <w:rPr>
          <w:color w:val="231F20"/>
        </w:rPr>
        <w:t>determined</w:t>
      </w:r>
      <w:r>
        <w:rPr>
          <w:color w:val="231F20"/>
          <w:spacing w:val="-3"/>
        </w:rPr>
        <w:t> </w:t>
      </w:r>
      <w:r>
        <w:rPr>
          <w:color w:val="231F20"/>
        </w:rPr>
        <w:t>using</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actuarial</w:t>
      </w:r>
      <w:r>
        <w:rPr>
          <w:color w:val="231F20"/>
          <w:spacing w:val="-4"/>
        </w:rPr>
        <w:t> </w:t>
      </w:r>
      <w:r>
        <w:rPr>
          <w:color w:val="231F20"/>
        </w:rPr>
        <w:t>assumptions</w:t>
      </w:r>
      <w:r>
        <w:rPr>
          <w:color w:val="231F20"/>
          <w:spacing w:val="-3"/>
        </w:rPr>
        <w:t> </w:t>
      </w:r>
      <w:r>
        <w:rPr>
          <w:color w:val="231F20"/>
        </w:rPr>
        <w:t>applied</w:t>
      </w:r>
      <w:r>
        <w:rPr>
          <w:color w:val="231F20"/>
          <w:spacing w:val="-3"/>
        </w:rPr>
        <w:t> </w:t>
      </w:r>
      <w:r>
        <w:rPr>
          <w:color w:val="231F20"/>
        </w:rPr>
        <w:t>to all periods included in the measurement:</w:t>
      </w:r>
    </w:p>
    <w:p>
      <w:pPr>
        <w:pStyle w:val="BodyText"/>
        <w:spacing w:before="11"/>
        <w:rPr>
          <w:sz w:val="22"/>
        </w:rPr>
      </w:pPr>
    </w:p>
    <w:p>
      <w:pPr>
        <w:pStyle w:val="BodyText"/>
        <w:tabs>
          <w:tab w:pos="4320" w:val="left" w:leader="none"/>
        </w:tabs>
        <w:ind w:left="1440"/>
      </w:pPr>
      <w:r>
        <w:rPr>
          <w:color w:val="231F20"/>
          <w:spacing w:val="-2"/>
        </w:rPr>
        <w:t>Inflation</w:t>
      </w:r>
      <w:r>
        <w:rPr>
          <w:color w:val="231F20"/>
        </w:rPr>
        <w:tab/>
      </w:r>
      <w:r>
        <w:rPr>
          <w:color w:val="231F20"/>
          <w:spacing w:val="-2"/>
        </w:rPr>
        <w:t>2.30%</w:t>
      </w:r>
    </w:p>
    <w:p>
      <w:pPr>
        <w:pStyle w:val="BodyText"/>
        <w:rPr>
          <w:sz w:val="26"/>
        </w:rPr>
      </w:pPr>
    </w:p>
    <w:p>
      <w:pPr>
        <w:pStyle w:val="BodyText"/>
        <w:tabs>
          <w:tab w:pos="4319" w:val="left" w:leader="none"/>
        </w:tabs>
        <w:ind w:left="1440"/>
      </w:pPr>
      <w:r>
        <w:rPr>
          <w:color w:val="231F20"/>
        </w:rPr>
        <w:t>Salary</w:t>
      </w:r>
      <w:r>
        <w:rPr>
          <w:color w:val="231F20"/>
          <w:spacing w:val="-6"/>
        </w:rPr>
        <w:t> </w:t>
      </w:r>
      <w:r>
        <w:rPr>
          <w:color w:val="231F20"/>
          <w:spacing w:val="-2"/>
        </w:rPr>
        <w:t>increases</w:t>
      </w:r>
      <w:r>
        <w:rPr>
          <w:color w:val="231F20"/>
        </w:rPr>
        <w:tab/>
        <w:t>Composed</w:t>
      </w:r>
      <w:r>
        <w:rPr>
          <w:color w:val="231F20"/>
          <w:spacing w:val="-8"/>
        </w:rPr>
        <w:t> </w:t>
      </w:r>
      <w:r>
        <w:rPr>
          <w:color w:val="231F20"/>
        </w:rPr>
        <w:t>of</w:t>
      </w:r>
      <w:r>
        <w:rPr>
          <w:color w:val="231F20"/>
          <w:spacing w:val="-7"/>
        </w:rPr>
        <w:t> </w:t>
      </w:r>
      <w:r>
        <w:rPr>
          <w:color w:val="231F20"/>
        </w:rPr>
        <w:t>2.30%</w:t>
      </w:r>
      <w:r>
        <w:rPr>
          <w:color w:val="231F20"/>
          <w:spacing w:val="-4"/>
        </w:rPr>
        <w:t> </w:t>
      </w:r>
      <w:r>
        <w:rPr>
          <w:color w:val="231F20"/>
        </w:rPr>
        <w:t>inflation,</w:t>
      </w:r>
      <w:r>
        <w:rPr>
          <w:color w:val="231F20"/>
          <w:spacing w:val="-6"/>
        </w:rPr>
        <w:t> </w:t>
      </w:r>
      <w:r>
        <w:rPr>
          <w:color w:val="231F20"/>
        </w:rPr>
        <w:t>plus</w:t>
      </w:r>
      <w:r>
        <w:rPr>
          <w:color w:val="231F20"/>
          <w:spacing w:val="-6"/>
        </w:rPr>
        <w:t> </w:t>
      </w:r>
      <w:r>
        <w:rPr>
          <w:color w:val="231F20"/>
        </w:rPr>
        <w:t>0.70%</w:t>
      </w:r>
      <w:r>
        <w:rPr>
          <w:color w:val="231F20"/>
          <w:spacing w:val="-5"/>
        </w:rPr>
        <w:t> </w:t>
      </w:r>
      <w:r>
        <w:rPr>
          <w:color w:val="231F20"/>
          <w:spacing w:val="-2"/>
        </w:rPr>
        <w:t>productivity</w:t>
      </w:r>
    </w:p>
    <w:p>
      <w:pPr>
        <w:pStyle w:val="BodyText"/>
        <w:spacing w:line="276" w:lineRule="auto" w:before="34"/>
        <w:ind w:left="4320" w:right="2097"/>
      </w:pPr>
      <w:r>
        <w:rPr>
          <w:color w:val="231F20"/>
        </w:rPr>
        <w:t>increase</w:t>
      </w:r>
      <w:r>
        <w:rPr>
          <w:color w:val="231F20"/>
          <w:spacing w:val="-6"/>
        </w:rPr>
        <w:t> </w:t>
      </w:r>
      <w:r>
        <w:rPr>
          <w:color w:val="231F20"/>
        </w:rPr>
        <w:t>rate,</w:t>
      </w:r>
      <w:r>
        <w:rPr>
          <w:color w:val="231F20"/>
          <w:spacing w:val="-6"/>
        </w:rPr>
        <w:t> </w:t>
      </w:r>
      <w:r>
        <w:rPr>
          <w:color w:val="231F20"/>
        </w:rPr>
        <w:t>plus</w:t>
      </w:r>
      <w:r>
        <w:rPr>
          <w:color w:val="231F20"/>
          <w:spacing w:val="-6"/>
        </w:rPr>
        <w:t> </w:t>
      </w:r>
      <w:r>
        <w:rPr>
          <w:color w:val="231F20"/>
        </w:rPr>
        <w:t>step-rate</w:t>
      </w:r>
      <w:r>
        <w:rPr>
          <w:color w:val="231F20"/>
          <w:spacing w:val="-6"/>
        </w:rPr>
        <w:t> </w:t>
      </w:r>
      <w:r>
        <w:rPr>
          <w:color w:val="231F20"/>
        </w:rPr>
        <w:t>promotional</w:t>
      </w:r>
      <w:r>
        <w:rPr>
          <w:color w:val="231F20"/>
          <w:spacing w:val="-7"/>
        </w:rPr>
        <w:t> </w:t>
      </w:r>
      <w:r>
        <w:rPr>
          <w:color w:val="231F20"/>
        </w:rPr>
        <w:t>increases</w:t>
      </w:r>
      <w:r>
        <w:rPr>
          <w:color w:val="231F20"/>
          <w:spacing w:val="-6"/>
        </w:rPr>
        <w:t> </w:t>
      </w:r>
      <w:r>
        <w:rPr>
          <w:color w:val="231F20"/>
        </w:rPr>
        <w:t>for</w:t>
      </w:r>
      <w:r>
        <w:rPr>
          <w:color w:val="231F20"/>
          <w:spacing w:val="-6"/>
        </w:rPr>
        <w:t> </w:t>
      </w:r>
      <w:r>
        <w:rPr>
          <w:color w:val="231F20"/>
        </w:rPr>
        <w:t>less than ten years of service</w:t>
      </w:r>
    </w:p>
    <w:p>
      <w:pPr>
        <w:pStyle w:val="BodyText"/>
        <w:spacing w:before="11"/>
        <w:rPr>
          <w:sz w:val="22"/>
        </w:rPr>
      </w:pPr>
    </w:p>
    <w:p>
      <w:pPr>
        <w:pStyle w:val="BodyText"/>
        <w:tabs>
          <w:tab w:pos="4318" w:val="left" w:leader="none"/>
        </w:tabs>
        <w:ind w:left="1440"/>
      </w:pPr>
      <w:r>
        <w:rPr>
          <w:color w:val="231F20"/>
        </w:rPr>
        <w:t>Investment</w:t>
      </w:r>
      <w:r>
        <w:rPr>
          <w:color w:val="231F20"/>
          <w:spacing w:val="-6"/>
        </w:rPr>
        <w:t> </w:t>
      </w:r>
      <w:r>
        <w:rPr>
          <w:color w:val="231F20"/>
        </w:rPr>
        <w:t>rate</w:t>
      </w:r>
      <w:r>
        <w:rPr>
          <w:color w:val="231F20"/>
          <w:spacing w:val="-6"/>
        </w:rPr>
        <w:t> </w:t>
      </w:r>
      <w:r>
        <w:rPr>
          <w:color w:val="231F20"/>
        </w:rPr>
        <w:t>of</w:t>
      </w:r>
      <w:r>
        <w:rPr>
          <w:color w:val="231F20"/>
          <w:spacing w:val="-5"/>
        </w:rPr>
        <w:t> </w:t>
      </w:r>
      <w:r>
        <w:rPr>
          <w:color w:val="231F20"/>
          <w:spacing w:val="-2"/>
        </w:rPr>
        <w:t>return</w:t>
      </w:r>
      <w:r>
        <w:rPr>
          <w:color w:val="231F20"/>
        </w:rPr>
        <w:tab/>
        <w:t>7.00%</w:t>
      </w:r>
      <w:r>
        <w:rPr>
          <w:color w:val="231F20"/>
          <w:spacing w:val="-9"/>
        </w:rPr>
        <w:t> </w:t>
      </w:r>
      <w:r>
        <w:rPr>
          <w:color w:val="231F20"/>
        </w:rPr>
        <w:t>compounded</w:t>
      </w:r>
      <w:r>
        <w:rPr>
          <w:color w:val="231F20"/>
          <w:spacing w:val="-6"/>
        </w:rPr>
        <w:t> </w:t>
      </w:r>
      <w:r>
        <w:rPr>
          <w:color w:val="231F20"/>
        </w:rPr>
        <w:t>annually,</w:t>
      </w:r>
      <w:r>
        <w:rPr>
          <w:color w:val="231F20"/>
          <w:spacing w:val="-6"/>
        </w:rPr>
        <w:t> </w:t>
      </w:r>
      <w:r>
        <w:rPr>
          <w:color w:val="231F20"/>
        </w:rPr>
        <w:t>net</w:t>
      </w:r>
      <w:r>
        <w:rPr>
          <w:color w:val="231F20"/>
          <w:spacing w:val="-6"/>
        </w:rPr>
        <w:t> </w:t>
      </w:r>
      <w:r>
        <w:rPr>
          <w:color w:val="231F20"/>
        </w:rPr>
        <w:t>of</w:t>
      </w:r>
      <w:r>
        <w:rPr>
          <w:color w:val="231F20"/>
          <w:spacing w:val="-6"/>
        </w:rPr>
        <w:t> </w:t>
      </w:r>
      <w:r>
        <w:rPr>
          <w:color w:val="231F20"/>
        </w:rPr>
        <w:t>expenses.</w:t>
      </w:r>
      <w:r>
        <w:rPr>
          <w:color w:val="231F20"/>
          <w:spacing w:val="-6"/>
        </w:rPr>
        <w:t> </w:t>
      </w:r>
      <w:r>
        <w:rPr>
          <w:color w:val="231F20"/>
        </w:rPr>
        <w:t>This</w:t>
      </w:r>
      <w:r>
        <w:rPr>
          <w:color w:val="231F20"/>
          <w:spacing w:val="-5"/>
        </w:rPr>
        <w:t> </w:t>
      </w:r>
      <w:r>
        <w:rPr>
          <w:color w:val="231F20"/>
        </w:rPr>
        <w:t>is</w:t>
      </w:r>
      <w:r>
        <w:rPr>
          <w:color w:val="231F20"/>
          <w:spacing w:val="-6"/>
        </w:rPr>
        <w:t> </w:t>
      </w:r>
      <w:r>
        <w:rPr>
          <w:color w:val="231F20"/>
        </w:rPr>
        <w:t>composed</w:t>
      </w:r>
      <w:r>
        <w:rPr>
          <w:color w:val="231F20"/>
          <w:spacing w:val="-6"/>
        </w:rPr>
        <w:t> </w:t>
      </w:r>
      <w:r>
        <w:rPr>
          <w:color w:val="231F20"/>
        </w:rPr>
        <w:t>of</w:t>
      </w:r>
      <w:r>
        <w:rPr>
          <w:color w:val="231F20"/>
          <w:spacing w:val="-6"/>
        </w:rPr>
        <w:t> </w:t>
      </w:r>
      <w:r>
        <w:rPr>
          <w:color w:val="231F20"/>
          <w:spacing w:val="-5"/>
        </w:rPr>
        <w:t>an</w:t>
      </w:r>
    </w:p>
    <w:p>
      <w:pPr>
        <w:pStyle w:val="BodyText"/>
        <w:spacing w:before="35"/>
        <w:ind w:left="4320"/>
      </w:pPr>
      <w:r>
        <w:rPr>
          <w:color w:val="231F20"/>
        </w:rPr>
        <w:t>assumed</w:t>
      </w:r>
      <w:r>
        <w:rPr>
          <w:color w:val="231F20"/>
          <w:spacing w:val="-7"/>
        </w:rPr>
        <w:t> </w:t>
      </w:r>
      <w:r>
        <w:rPr>
          <w:color w:val="231F20"/>
        </w:rPr>
        <w:t>2.30%</w:t>
      </w:r>
      <w:r>
        <w:rPr>
          <w:color w:val="231F20"/>
          <w:spacing w:val="-5"/>
        </w:rPr>
        <w:t> </w:t>
      </w:r>
      <w:r>
        <w:rPr>
          <w:color w:val="231F20"/>
        </w:rPr>
        <w:t>inflation</w:t>
      </w:r>
      <w:r>
        <w:rPr>
          <w:color w:val="231F20"/>
          <w:spacing w:val="-5"/>
        </w:rPr>
        <w:t> </w:t>
      </w:r>
      <w:r>
        <w:rPr>
          <w:color w:val="231F20"/>
        </w:rPr>
        <w:t>rate</w:t>
      </w:r>
      <w:r>
        <w:rPr>
          <w:color w:val="231F20"/>
          <w:spacing w:val="-4"/>
        </w:rPr>
        <w:t> </w:t>
      </w:r>
      <w:r>
        <w:rPr>
          <w:color w:val="231F20"/>
        </w:rPr>
        <w:t>and</w:t>
      </w:r>
      <w:r>
        <w:rPr>
          <w:color w:val="231F20"/>
          <w:spacing w:val="-5"/>
        </w:rPr>
        <w:t> </w:t>
      </w:r>
      <w:r>
        <w:rPr>
          <w:color w:val="231F20"/>
        </w:rPr>
        <w:t>a</w:t>
      </w:r>
      <w:r>
        <w:rPr>
          <w:color w:val="231F20"/>
          <w:spacing w:val="-5"/>
        </w:rPr>
        <w:t> </w:t>
      </w:r>
      <w:r>
        <w:rPr>
          <w:color w:val="231F20"/>
        </w:rPr>
        <w:t>4.70%</w:t>
      </w:r>
      <w:r>
        <w:rPr>
          <w:color w:val="231F20"/>
          <w:spacing w:val="-4"/>
        </w:rPr>
        <w:t> </w:t>
      </w:r>
      <w:r>
        <w:rPr>
          <w:color w:val="231F20"/>
        </w:rPr>
        <w:t>real</w:t>
      </w:r>
      <w:r>
        <w:rPr>
          <w:color w:val="231F20"/>
          <w:spacing w:val="-5"/>
        </w:rPr>
        <w:t> </w:t>
      </w:r>
      <w:r>
        <w:rPr>
          <w:color w:val="231F20"/>
        </w:rPr>
        <w:t>rate</w:t>
      </w:r>
      <w:r>
        <w:rPr>
          <w:color w:val="231F20"/>
          <w:spacing w:val="-5"/>
        </w:rPr>
        <w:t> </w:t>
      </w:r>
      <w:r>
        <w:rPr>
          <w:color w:val="231F20"/>
        </w:rPr>
        <w:t>of</w:t>
      </w:r>
      <w:r>
        <w:rPr>
          <w:color w:val="231F20"/>
          <w:spacing w:val="-4"/>
        </w:rPr>
        <w:t> </w:t>
      </w:r>
      <w:r>
        <w:rPr>
          <w:color w:val="231F20"/>
          <w:spacing w:val="-2"/>
        </w:rPr>
        <w:t>return.</w:t>
      </w:r>
    </w:p>
    <w:p>
      <w:pPr>
        <w:pStyle w:val="BodyText"/>
        <w:rPr>
          <w:sz w:val="26"/>
        </w:rPr>
      </w:pPr>
    </w:p>
    <w:p>
      <w:pPr>
        <w:pStyle w:val="BodyText"/>
        <w:tabs>
          <w:tab w:pos="4320" w:val="left" w:leader="none"/>
        </w:tabs>
        <w:spacing w:line="276" w:lineRule="auto"/>
        <w:ind w:left="4320" w:right="1048" w:hanging="2880"/>
      </w:pPr>
      <w:r>
        <w:rPr>
          <w:color w:val="231F20"/>
          <w:spacing w:val="-2"/>
        </w:rPr>
        <w:t>Mortality</w:t>
      </w:r>
      <w:r>
        <w:rPr>
          <w:color w:val="231F20"/>
        </w:rPr>
        <w:tab/>
      </w:r>
      <w:r>
        <w:rPr>
          <w:i/>
          <w:color w:val="231F20"/>
        </w:rPr>
        <w:t>Healthy Males: </w:t>
      </w:r>
      <w:r>
        <w:rPr>
          <w:color w:val="231F20"/>
        </w:rPr>
        <w:t>2020 GRS Southwest Region Teacher Mortality Table, set back one year and scaled at 95%. Generational mortality improvements</w:t>
      </w:r>
      <w:r>
        <w:rPr>
          <w:color w:val="231F20"/>
          <w:spacing w:val="-5"/>
        </w:rPr>
        <w:t> </w:t>
      </w:r>
      <w:r>
        <w:rPr>
          <w:color w:val="231F20"/>
        </w:rPr>
        <w:t>in</w:t>
      </w:r>
      <w:r>
        <w:rPr>
          <w:color w:val="231F20"/>
          <w:spacing w:val="-5"/>
        </w:rPr>
        <w:t> </w:t>
      </w:r>
      <w:r>
        <w:rPr>
          <w:color w:val="231F20"/>
        </w:rPr>
        <w:t>accordance</w:t>
      </w:r>
      <w:r>
        <w:rPr>
          <w:color w:val="231F20"/>
          <w:spacing w:val="-5"/>
        </w:rPr>
        <w:t> </w:t>
      </w:r>
      <w:r>
        <w:rPr>
          <w:color w:val="231F20"/>
        </w:rPr>
        <w:t>with</w:t>
      </w:r>
      <w:r>
        <w:rPr>
          <w:color w:val="231F20"/>
          <w:spacing w:val="-5"/>
        </w:rPr>
        <w:t> </w:t>
      </w:r>
      <w:r>
        <w:rPr>
          <w:color w:val="231F20"/>
        </w:rPr>
        <w:t>the</w:t>
      </w:r>
      <w:r>
        <w:rPr>
          <w:color w:val="231F20"/>
          <w:spacing w:val="-6"/>
        </w:rPr>
        <w:t> </w:t>
      </w:r>
      <w:r>
        <w:rPr>
          <w:color w:val="231F20"/>
        </w:rPr>
        <w:t>Ultimate</w:t>
      </w:r>
      <w:r>
        <w:rPr>
          <w:color w:val="231F20"/>
          <w:spacing w:val="-5"/>
        </w:rPr>
        <w:t> </w:t>
      </w:r>
      <w:r>
        <w:rPr>
          <w:color w:val="231F20"/>
        </w:rPr>
        <w:t>MP</w:t>
      </w:r>
      <w:r>
        <w:rPr>
          <w:color w:val="231F20"/>
          <w:spacing w:val="-5"/>
        </w:rPr>
        <w:t> </w:t>
      </w:r>
      <w:r>
        <w:rPr>
          <w:color w:val="231F20"/>
        </w:rPr>
        <w:t>scales</w:t>
      </w:r>
      <w:r>
        <w:rPr>
          <w:color w:val="231F20"/>
          <w:spacing w:val="-5"/>
        </w:rPr>
        <w:t> </w:t>
      </w:r>
      <w:r>
        <w:rPr>
          <w:color w:val="231F20"/>
        </w:rPr>
        <w:t>are</w:t>
      </w:r>
      <w:r>
        <w:rPr>
          <w:color w:val="231F20"/>
          <w:spacing w:val="-5"/>
        </w:rPr>
        <w:t> </w:t>
      </w:r>
      <w:r>
        <w:rPr>
          <w:color w:val="231F20"/>
        </w:rPr>
        <w:t>projected from the year 2020.</w:t>
      </w:r>
    </w:p>
    <w:p>
      <w:pPr>
        <w:pStyle w:val="BodyText"/>
        <w:rPr>
          <w:sz w:val="23"/>
        </w:rPr>
      </w:pPr>
    </w:p>
    <w:p>
      <w:pPr>
        <w:pStyle w:val="BodyText"/>
        <w:spacing w:line="276" w:lineRule="auto"/>
        <w:ind w:left="4320" w:right="891"/>
      </w:pPr>
      <w:r>
        <w:rPr>
          <w:i/>
          <w:color w:val="231F20"/>
        </w:rPr>
        <w:t>Healthy</w:t>
      </w:r>
      <w:r>
        <w:rPr>
          <w:i/>
          <w:color w:val="231F20"/>
          <w:spacing w:val="-5"/>
        </w:rPr>
        <w:t> </w:t>
      </w:r>
      <w:r>
        <w:rPr>
          <w:i/>
          <w:color w:val="231F20"/>
        </w:rPr>
        <w:t>Females:</w:t>
      </w:r>
      <w:r>
        <w:rPr>
          <w:i/>
          <w:color w:val="231F20"/>
          <w:spacing w:val="-5"/>
        </w:rPr>
        <w:t> </w:t>
      </w:r>
      <w:r>
        <w:rPr>
          <w:color w:val="231F20"/>
        </w:rPr>
        <w:t>2020</w:t>
      </w:r>
      <w:r>
        <w:rPr>
          <w:color w:val="231F20"/>
          <w:spacing w:val="-5"/>
        </w:rPr>
        <w:t> </w:t>
      </w:r>
      <w:r>
        <w:rPr>
          <w:color w:val="231F20"/>
        </w:rPr>
        <w:t>GRS</w:t>
      </w:r>
      <w:r>
        <w:rPr>
          <w:color w:val="231F20"/>
          <w:spacing w:val="-5"/>
        </w:rPr>
        <w:t> </w:t>
      </w:r>
      <w:r>
        <w:rPr>
          <w:color w:val="231F20"/>
        </w:rPr>
        <w:t>Southwest</w:t>
      </w:r>
      <w:r>
        <w:rPr>
          <w:color w:val="231F20"/>
          <w:spacing w:val="-5"/>
        </w:rPr>
        <w:t> </w:t>
      </w:r>
      <w:r>
        <w:rPr>
          <w:color w:val="231F20"/>
        </w:rPr>
        <w:t>Region</w:t>
      </w:r>
      <w:r>
        <w:rPr>
          <w:color w:val="231F20"/>
          <w:spacing w:val="-5"/>
        </w:rPr>
        <w:t> </w:t>
      </w:r>
      <w:r>
        <w:rPr>
          <w:color w:val="231F20"/>
        </w:rPr>
        <w:t>Teacher</w:t>
      </w:r>
      <w:r>
        <w:rPr>
          <w:color w:val="231F20"/>
          <w:spacing w:val="-5"/>
        </w:rPr>
        <w:t> </w:t>
      </w:r>
      <w:r>
        <w:rPr>
          <w:color w:val="231F20"/>
        </w:rPr>
        <w:t>Mortality</w:t>
      </w:r>
      <w:r>
        <w:rPr>
          <w:color w:val="231F20"/>
          <w:spacing w:val="-5"/>
        </w:rPr>
        <w:t> </w:t>
      </w:r>
      <w:r>
        <w:rPr>
          <w:color w:val="231F20"/>
        </w:rPr>
        <w:t>Table, set back one year. Generational mortality improvements in accordance with the Ultimate MP scales are projected from the year 2020.</w:t>
      </w:r>
    </w:p>
    <w:p>
      <w:pPr>
        <w:pStyle w:val="BodyText"/>
      </w:pPr>
    </w:p>
    <w:p>
      <w:pPr>
        <w:pStyle w:val="BodyText"/>
        <w:spacing w:line="276" w:lineRule="auto"/>
        <w:ind w:left="1440" w:right="857"/>
      </w:pPr>
      <w:r>
        <w:rPr>
          <w:color w:val="231F20"/>
        </w:rPr>
        <w:t>The</w:t>
      </w:r>
      <w:r>
        <w:rPr>
          <w:color w:val="231F20"/>
          <w:spacing w:val="-3"/>
        </w:rPr>
        <w:t> </w:t>
      </w:r>
      <w:r>
        <w:rPr>
          <w:color w:val="231F20"/>
        </w:rPr>
        <w:t>long-term</w:t>
      </w:r>
      <w:r>
        <w:rPr>
          <w:color w:val="231F20"/>
          <w:spacing w:val="-3"/>
        </w:rPr>
        <w:t> </w:t>
      </w:r>
      <w:r>
        <w:rPr>
          <w:color w:val="231F20"/>
        </w:rPr>
        <w:t>expected</w:t>
      </w:r>
      <w:r>
        <w:rPr>
          <w:color w:val="231F20"/>
          <w:spacing w:val="-4"/>
        </w:rPr>
        <w:t> </w:t>
      </w:r>
      <w:r>
        <w:rPr>
          <w:color w:val="231F20"/>
        </w:rPr>
        <w:t>rate</w:t>
      </w:r>
      <w:r>
        <w:rPr>
          <w:color w:val="231F20"/>
          <w:spacing w:val="-3"/>
        </w:rPr>
        <w:t> </w:t>
      </w:r>
      <w:r>
        <w:rPr>
          <w:color w:val="231F20"/>
        </w:rPr>
        <w:t>of</w:t>
      </w:r>
      <w:r>
        <w:rPr>
          <w:color w:val="231F20"/>
          <w:spacing w:val="-3"/>
        </w:rPr>
        <w:t> </w:t>
      </w:r>
      <w:r>
        <w:rPr>
          <w:color w:val="231F20"/>
        </w:rPr>
        <w:t>return</w:t>
      </w:r>
      <w:r>
        <w:rPr>
          <w:color w:val="231F20"/>
          <w:spacing w:val="-4"/>
        </w:rPr>
        <w:t> </w:t>
      </w:r>
      <w:r>
        <w:rPr>
          <w:color w:val="231F20"/>
        </w:rPr>
        <w:t>on</w:t>
      </w:r>
      <w:r>
        <w:rPr>
          <w:color w:val="231F20"/>
          <w:spacing w:val="-3"/>
        </w:rPr>
        <w:t> </w:t>
      </w:r>
      <w:r>
        <w:rPr>
          <w:color w:val="231F20"/>
        </w:rPr>
        <w:t>pension</w:t>
      </w:r>
      <w:r>
        <w:rPr>
          <w:color w:val="231F20"/>
          <w:spacing w:val="-1"/>
        </w:rPr>
        <w:t> </w:t>
      </w:r>
      <w:r>
        <w:rPr>
          <w:color w:val="231F20"/>
        </w:rPr>
        <w:t>plan</w:t>
      </w:r>
      <w:r>
        <w:rPr>
          <w:color w:val="231F20"/>
          <w:spacing w:val="-3"/>
        </w:rPr>
        <w:t> </w:t>
      </w:r>
      <w:r>
        <w:rPr>
          <w:color w:val="231F20"/>
        </w:rPr>
        <w:t>investments</w:t>
      </w:r>
      <w:r>
        <w:rPr>
          <w:color w:val="231F20"/>
          <w:spacing w:val="-3"/>
        </w:rPr>
        <w:t> </w:t>
      </w:r>
      <w:r>
        <w:rPr>
          <w:color w:val="231F20"/>
        </w:rPr>
        <w:t>was</w:t>
      </w:r>
      <w:r>
        <w:rPr>
          <w:color w:val="231F20"/>
          <w:spacing w:val="-3"/>
        </w:rPr>
        <w:t> </w:t>
      </w:r>
      <w:r>
        <w:rPr>
          <w:color w:val="231F20"/>
        </w:rPr>
        <w:t>determined</w:t>
      </w:r>
      <w:r>
        <w:rPr>
          <w:color w:val="231F20"/>
          <w:spacing w:val="-3"/>
        </w:rPr>
        <w:t> </w:t>
      </w:r>
      <w:r>
        <w:rPr>
          <w:color w:val="231F20"/>
        </w:rPr>
        <w:t>using</w:t>
      </w:r>
      <w:r>
        <w:rPr>
          <w:color w:val="231F20"/>
          <w:spacing w:val="-4"/>
        </w:rPr>
        <w:t> </w:t>
      </w:r>
      <w:r>
        <w:rPr>
          <w:color w:val="231F20"/>
        </w:rPr>
        <w:t>a</w:t>
      </w:r>
      <w:r>
        <w:rPr>
          <w:color w:val="231F20"/>
          <w:spacing w:val="-3"/>
        </w:rPr>
        <w:t> </w:t>
      </w:r>
      <w:r>
        <w:rPr>
          <w:color w:val="231F20"/>
        </w:rPr>
        <w:t>building-block approach that includes the following:</w:t>
      </w:r>
    </w:p>
    <w:p>
      <w:pPr>
        <w:pStyle w:val="BodyText"/>
        <w:rPr>
          <w:sz w:val="23"/>
        </w:rPr>
      </w:pPr>
    </w:p>
    <w:p>
      <w:pPr>
        <w:pStyle w:val="ListParagraph"/>
        <w:numPr>
          <w:ilvl w:val="0"/>
          <w:numId w:val="10"/>
        </w:numPr>
        <w:tabs>
          <w:tab w:pos="2160" w:val="left" w:leader="none"/>
          <w:tab w:pos="2161" w:val="left" w:leader="none"/>
        </w:tabs>
        <w:spacing w:line="271" w:lineRule="auto" w:before="1" w:after="0"/>
        <w:ind w:left="2160" w:right="1575" w:hanging="361"/>
        <w:jc w:val="left"/>
        <w:rPr>
          <w:sz w:val="20"/>
        </w:rPr>
      </w:pPr>
      <w:r>
        <w:rPr>
          <w:color w:val="231F20"/>
          <w:sz w:val="20"/>
        </w:rPr>
        <w:t>Rate</w:t>
      </w:r>
      <w:r>
        <w:rPr>
          <w:color w:val="231F20"/>
          <w:spacing w:val="-3"/>
          <w:sz w:val="20"/>
        </w:rPr>
        <w:t> </w:t>
      </w:r>
      <w:r>
        <w:rPr>
          <w:color w:val="231F20"/>
          <w:sz w:val="20"/>
        </w:rPr>
        <w:t>of</w:t>
      </w:r>
      <w:r>
        <w:rPr>
          <w:color w:val="231F20"/>
          <w:spacing w:val="-3"/>
          <w:sz w:val="20"/>
        </w:rPr>
        <w:t> </w:t>
      </w:r>
      <w:r>
        <w:rPr>
          <w:color w:val="231F20"/>
          <w:sz w:val="20"/>
        </w:rPr>
        <w:t>return</w:t>
      </w:r>
      <w:r>
        <w:rPr>
          <w:color w:val="231F20"/>
          <w:spacing w:val="-4"/>
          <w:sz w:val="20"/>
        </w:rPr>
        <w:t> </w:t>
      </w:r>
      <w:r>
        <w:rPr>
          <w:color w:val="231F20"/>
          <w:sz w:val="20"/>
        </w:rPr>
        <w:t>projections</w:t>
      </w:r>
      <w:r>
        <w:rPr>
          <w:color w:val="231F20"/>
          <w:spacing w:val="-3"/>
          <w:sz w:val="20"/>
        </w:rPr>
        <w:t> </w:t>
      </w:r>
      <w:r>
        <w:rPr>
          <w:color w:val="231F20"/>
          <w:sz w:val="20"/>
        </w:rPr>
        <w:t>that</w:t>
      </w:r>
      <w:r>
        <w:rPr>
          <w:color w:val="231F20"/>
          <w:spacing w:val="-3"/>
          <w:sz w:val="20"/>
        </w:rPr>
        <w:t> </w:t>
      </w:r>
      <w:r>
        <w:rPr>
          <w:color w:val="231F20"/>
          <w:sz w:val="20"/>
        </w:rPr>
        <w:t>are</w:t>
      </w:r>
      <w:r>
        <w:rPr>
          <w:color w:val="231F20"/>
          <w:spacing w:val="-3"/>
          <w:sz w:val="20"/>
        </w:rPr>
        <w:t> </w:t>
      </w:r>
      <w:r>
        <w:rPr>
          <w:color w:val="231F20"/>
          <w:sz w:val="20"/>
        </w:rPr>
        <w:t>the</w:t>
      </w:r>
      <w:r>
        <w:rPr>
          <w:color w:val="231F20"/>
          <w:spacing w:val="-4"/>
          <w:sz w:val="20"/>
        </w:rPr>
        <w:t> </w:t>
      </w:r>
      <w:r>
        <w:rPr>
          <w:color w:val="231F20"/>
          <w:sz w:val="20"/>
        </w:rPr>
        <w:t>sum</w:t>
      </w:r>
      <w:r>
        <w:rPr>
          <w:color w:val="231F20"/>
          <w:spacing w:val="-3"/>
          <w:sz w:val="20"/>
        </w:rPr>
        <w:t> </w:t>
      </w:r>
      <w:r>
        <w:rPr>
          <w:color w:val="231F20"/>
          <w:sz w:val="20"/>
        </w:rPr>
        <w:t>of</w:t>
      </w:r>
      <w:r>
        <w:rPr>
          <w:color w:val="231F20"/>
          <w:spacing w:val="-3"/>
          <w:sz w:val="20"/>
        </w:rPr>
        <w:t> </w:t>
      </w:r>
      <w:r>
        <w:rPr>
          <w:color w:val="231F20"/>
          <w:sz w:val="20"/>
        </w:rPr>
        <w:t>current</w:t>
      </w:r>
      <w:r>
        <w:rPr>
          <w:color w:val="231F20"/>
          <w:spacing w:val="-3"/>
          <w:sz w:val="20"/>
        </w:rPr>
        <w:t> </w:t>
      </w:r>
      <w:r>
        <w:rPr>
          <w:color w:val="231F20"/>
          <w:sz w:val="20"/>
        </w:rPr>
        <w:t>yield</w:t>
      </w:r>
      <w:r>
        <w:rPr>
          <w:color w:val="231F20"/>
          <w:spacing w:val="-3"/>
          <w:sz w:val="20"/>
        </w:rPr>
        <w:t> </w:t>
      </w:r>
      <w:r>
        <w:rPr>
          <w:color w:val="231F20"/>
          <w:sz w:val="20"/>
        </w:rPr>
        <w:t>plus</w:t>
      </w:r>
      <w:r>
        <w:rPr>
          <w:color w:val="231F20"/>
          <w:spacing w:val="-2"/>
          <w:sz w:val="20"/>
        </w:rPr>
        <w:t> </w:t>
      </w:r>
      <w:r>
        <w:rPr>
          <w:color w:val="231F20"/>
          <w:sz w:val="20"/>
        </w:rPr>
        <w:t>projected</w:t>
      </w:r>
      <w:r>
        <w:rPr>
          <w:color w:val="231F20"/>
          <w:spacing w:val="-4"/>
          <w:sz w:val="20"/>
        </w:rPr>
        <w:t> </w:t>
      </w:r>
      <w:r>
        <w:rPr>
          <w:color w:val="231F20"/>
          <w:sz w:val="20"/>
        </w:rPr>
        <w:t>changes</w:t>
      </w:r>
      <w:r>
        <w:rPr>
          <w:color w:val="231F20"/>
          <w:spacing w:val="-3"/>
          <w:sz w:val="20"/>
        </w:rPr>
        <w:t> </w:t>
      </w:r>
      <w:r>
        <w:rPr>
          <w:color w:val="231F20"/>
          <w:sz w:val="20"/>
        </w:rPr>
        <w:t>in</w:t>
      </w:r>
      <w:r>
        <w:rPr>
          <w:color w:val="231F20"/>
          <w:spacing w:val="-3"/>
          <w:sz w:val="20"/>
        </w:rPr>
        <w:t> </w:t>
      </w:r>
      <w:r>
        <w:rPr>
          <w:color w:val="231F20"/>
          <w:sz w:val="20"/>
        </w:rPr>
        <w:t>price (valuations, defaults, etc.)</w:t>
      </w:r>
    </w:p>
    <w:p>
      <w:pPr>
        <w:pStyle w:val="ListParagraph"/>
        <w:numPr>
          <w:ilvl w:val="0"/>
          <w:numId w:val="10"/>
        </w:numPr>
        <w:tabs>
          <w:tab w:pos="2160" w:val="left" w:leader="none"/>
          <w:tab w:pos="2161" w:val="left" w:leader="none"/>
        </w:tabs>
        <w:spacing w:line="240" w:lineRule="auto" w:before="5" w:after="0"/>
        <w:ind w:left="2160" w:right="0" w:hanging="361"/>
        <w:jc w:val="left"/>
        <w:rPr>
          <w:sz w:val="20"/>
        </w:rPr>
      </w:pPr>
      <w:r>
        <w:rPr>
          <w:color w:val="231F20"/>
          <w:sz w:val="20"/>
        </w:rPr>
        <w:t>Application</w:t>
      </w:r>
      <w:r>
        <w:rPr>
          <w:color w:val="231F20"/>
          <w:spacing w:val="-11"/>
          <w:sz w:val="20"/>
        </w:rPr>
        <w:t> </w:t>
      </w:r>
      <w:r>
        <w:rPr>
          <w:color w:val="231F20"/>
          <w:sz w:val="20"/>
        </w:rPr>
        <w:t>of</w:t>
      </w:r>
      <w:r>
        <w:rPr>
          <w:color w:val="231F20"/>
          <w:spacing w:val="-8"/>
          <w:sz w:val="20"/>
        </w:rPr>
        <w:t> </w:t>
      </w:r>
      <w:r>
        <w:rPr>
          <w:color w:val="231F20"/>
          <w:sz w:val="20"/>
        </w:rPr>
        <w:t>key</w:t>
      </w:r>
      <w:r>
        <w:rPr>
          <w:color w:val="231F20"/>
          <w:spacing w:val="-8"/>
          <w:sz w:val="20"/>
        </w:rPr>
        <w:t> </w:t>
      </w:r>
      <w:r>
        <w:rPr>
          <w:color w:val="231F20"/>
          <w:sz w:val="20"/>
        </w:rPr>
        <w:t>economic</w:t>
      </w:r>
      <w:r>
        <w:rPr>
          <w:color w:val="231F20"/>
          <w:spacing w:val="-8"/>
          <w:sz w:val="20"/>
        </w:rPr>
        <w:t> </w:t>
      </w:r>
      <w:r>
        <w:rPr>
          <w:color w:val="231F20"/>
          <w:sz w:val="20"/>
        </w:rPr>
        <w:t>projections</w:t>
      </w:r>
      <w:r>
        <w:rPr>
          <w:color w:val="231F20"/>
          <w:spacing w:val="-8"/>
          <w:sz w:val="20"/>
        </w:rPr>
        <w:t> </w:t>
      </w:r>
      <w:r>
        <w:rPr>
          <w:color w:val="231F20"/>
          <w:sz w:val="20"/>
        </w:rPr>
        <w:t>(inflation,</w:t>
      </w:r>
      <w:r>
        <w:rPr>
          <w:color w:val="231F20"/>
          <w:spacing w:val="-9"/>
          <w:sz w:val="20"/>
        </w:rPr>
        <w:t> </w:t>
      </w:r>
      <w:r>
        <w:rPr>
          <w:color w:val="231F20"/>
          <w:sz w:val="20"/>
        </w:rPr>
        <w:t>real</w:t>
      </w:r>
      <w:r>
        <w:rPr>
          <w:color w:val="231F20"/>
          <w:spacing w:val="-9"/>
          <w:sz w:val="20"/>
        </w:rPr>
        <w:t> </w:t>
      </w:r>
      <w:r>
        <w:rPr>
          <w:color w:val="231F20"/>
          <w:sz w:val="20"/>
        </w:rPr>
        <w:t>growth,</w:t>
      </w:r>
      <w:r>
        <w:rPr>
          <w:color w:val="231F20"/>
          <w:spacing w:val="-8"/>
          <w:sz w:val="20"/>
        </w:rPr>
        <w:t> </w:t>
      </w:r>
      <w:r>
        <w:rPr>
          <w:color w:val="231F20"/>
          <w:sz w:val="20"/>
        </w:rPr>
        <w:t>dividends,</w:t>
      </w:r>
      <w:r>
        <w:rPr>
          <w:color w:val="231F20"/>
          <w:spacing w:val="-8"/>
          <w:sz w:val="20"/>
        </w:rPr>
        <w:t> </w:t>
      </w:r>
      <w:r>
        <w:rPr>
          <w:color w:val="231F20"/>
          <w:spacing w:val="-2"/>
          <w:sz w:val="20"/>
        </w:rPr>
        <w:t>etc.)</w:t>
      </w:r>
    </w:p>
    <w:p>
      <w:pPr>
        <w:pStyle w:val="ListParagraph"/>
        <w:numPr>
          <w:ilvl w:val="0"/>
          <w:numId w:val="10"/>
        </w:numPr>
        <w:tabs>
          <w:tab w:pos="2160" w:val="left" w:leader="none"/>
          <w:tab w:pos="2161" w:val="left" w:leader="none"/>
        </w:tabs>
        <w:spacing w:line="271" w:lineRule="auto" w:before="32" w:after="0"/>
        <w:ind w:left="2160" w:right="983" w:hanging="360"/>
        <w:jc w:val="left"/>
        <w:rPr>
          <w:sz w:val="20"/>
        </w:rPr>
      </w:pPr>
      <w:r>
        <w:rPr>
          <w:color w:val="231F20"/>
          <w:sz w:val="20"/>
        </w:rPr>
        <w:t>Structural</w:t>
      </w:r>
      <w:r>
        <w:rPr>
          <w:color w:val="231F20"/>
          <w:spacing w:val="-4"/>
          <w:sz w:val="20"/>
        </w:rPr>
        <w:t> </w:t>
      </w:r>
      <w:r>
        <w:rPr>
          <w:color w:val="231F20"/>
          <w:sz w:val="20"/>
        </w:rPr>
        <w:t>themes</w:t>
      </w:r>
      <w:r>
        <w:rPr>
          <w:color w:val="231F20"/>
          <w:spacing w:val="-4"/>
          <w:sz w:val="20"/>
        </w:rPr>
        <w:t> </w:t>
      </w:r>
      <w:r>
        <w:rPr>
          <w:color w:val="231F20"/>
          <w:sz w:val="20"/>
        </w:rPr>
        <w:t>(supply</w:t>
      </w:r>
      <w:r>
        <w:rPr>
          <w:color w:val="231F20"/>
          <w:spacing w:val="-4"/>
          <w:sz w:val="20"/>
        </w:rPr>
        <w:t> </w:t>
      </w:r>
      <w:r>
        <w:rPr>
          <w:color w:val="231F20"/>
          <w:sz w:val="20"/>
        </w:rPr>
        <w:t>and</w:t>
      </w:r>
      <w:r>
        <w:rPr>
          <w:color w:val="231F20"/>
          <w:spacing w:val="-4"/>
          <w:sz w:val="20"/>
        </w:rPr>
        <w:t> </w:t>
      </w:r>
      <w:r>
        <w:rPr>
          <w:color w:val="231F20"/>
          <w:sz w:val="20"/>
        </w:rPr>
        <w:t>demand</w:t>
      </w:r>
      <w:r>
        <w:rPr>
          <w:color w:val="231F20"/>
          <w:spacing w:val="-4"/>
          <w:sz w:val="20"/>
        </w:rPr>
        <w:t> </w:t>
      </w:r>
      <w:r>
        <w:rPr>
          <w:color w:val="231F20"/>
          <w:sz w:val="20"/>
        </w:rPr>
        <w:t>imbalances,</w:t>
      </w:r>
      <w:r>
        <w:rPr>
          <w:color w:val="231F20"/>
          <w:spacing w:val="-3"/>
          <w:sz w:val="20"/>
        </w:rPr>
        <w:t> </w:t>
      </w:r>
      <w:r>
        <w:rPr>
          <w:color w:val="231F20"/>
          <w:sz w:val="20"/>
        </w:rPr>
        <w:t>capital</w:t>
      </w:r>
      <w:r>
        <w:rPr>
          <w:color w:val="231F20"/>
          <w:spacing w:val="-4"/>
          <w:sz w:val="20"/>
        </w:rPr>
        <w:t> </w:t>
      </w:r>
      <w:r>
        <w:rPr>
          <w:color w:val="231F20"/>
          <w:sz w:val="20"/>
        </w:rPr>
        <w:t>flows,</w:t>
      </w:r>
      <w:r>
        <w:rPr>
          <w:color w:val="231F20"/>
          <w:spacing w:val="-4"/>
          <w:sz w:val="20"/>
        </w:rPr>
        <w:t> </w:t>
      </w:r>
      <w:r>
        <w:rPr>
          <w:color w:val="231F20"/>
          <w:sz w:val="20"/>
        </w:rPr>
        <w:t>etc.)</w:t>
      </w:r>
      <w:r>
        <w:rPr>
          <w:color w:val="231F20"/>
          <w:spacing w:val="-4"/>
          <w:sz w:val="20"/>
        </w:rPr>
        <w:t> </w:t>
      </w:r>
      <w:r>
        <w:rPr>
          <w:color w:val="231F20"/>
          <w:sz w:val="20"/>
        </w:rPr>
        <w:t>developed</w:t>
      </w:r>
      <w:r>
        <w:rPr>
          <w:color w:val="231F20"/>
          <w:spacing w:val="-4"/>
          <w:sz w:val="20"/>
        </w:rPr>
        <w:t> </w:t>
      </w:r>
      <w:r>
        <w:rPr>
          <w:color w:val="231F20"/>
          <w:sz w:val="20"/>
        </w:rPr>
        <w:t>for</w:t>
      </w:r>
      <w:r>
        <w:rPr>
          <w:color w:val="231F20"/>
          <w:spacing w:val="-4"/>
          <w:sz w:val="20"/>
        </w:rPr>
        <w:t> </w:t>
      </w:r>
      <w:r>
        <w:rPr>
          <w:color w:val="231F20"/>
          <w:sz w:val="20"/>
        </w:rPr>
        <w:t>each</w:t>
      </w:r>
      <w:r>
        <w:rPr>
          <w:color w:val="231F20"/>
          <w:spacing w:val="-4"/>
          <w:sz w:val="20"/>
        </w:rPr>
        <w:t> </w:t>
      </w:r>
      <w:r>
        <w:rPr>
          <w:color w:val="231F20"/>
          <w:sz w:val="20"/>
        </w:rPr>
        <w:t>major asset class.</w:t>
      </w:r>
    </w:p>
    <w:p>
      <w:pPr>
        <w:pStyle w:val="BodyText"/>
        <w:spacing w:before="5"/>
        <w:rPr>
          <w:sz w:val="23"/>
        </w:rPr>
      </w:pPr>
    </w:p>
    <w:p>
      <w:pPr>
        <w:pStyle w:val="BodyText"/>
        <w:spacing w:line="276" w:lineRule="auto"/>
        <w:ind w:left="1440" w:right="1505"/>
      </w:pPr>
      <w:r>
        <w:rPr>
          <w:color w:val="231F20"/>
        </w:rPr>
        <w:t>The</w:t>
      </w:r>
      <w:r>
        <w:rPr>
          <w:color w:val="231F20"/>
          <w:spacing w:val="-3"/>
        </w:rPr>
        <w:t> </w:t>
      </w:r>
      <w:r>
        <w:rPr>
          <w:color w:val="231F20"/>
        </w:rPr>
        <w:t>target</w:t>
      </w:r>
      <w:r>
        <w:rPr>
          <w:color w:val="231F20"/>
          <w:spacing w:val="-3"/>
        </w:rPr>
        <w:t> </w:t>
      </w:r>
      <w:r>
        <w:rPr>
          <w:color w:val="231F20"/>
        </w:rPr>
        <w:t>allocation</w:t>
      </w:r>
      <w:r>
        <w:rPr>
          <w:color w:val="231F20"/>
          <w:spacing w:val="-3"/>
        </w:rPr>
        <w:t> </w:t>
      </w:r>
      <w:r>
        <w:rPr>
          <w:color w:val="231F20"/>
        </w:rPr>
        <w:t>for</w:t>
      </w:r>
      <w:r>
        <w:rPr>
          <w:color w:val="231F20"/>
          <w:spacing w:val="-3"/>
        </w:rPr>
        <w:t> </w:t>
      </w:r>
      <w:r>
        <w:rPr>
          <w:color w:val="231F20"/>
        </w:rPr>
        <w:t>each</w:t>
      </w:r>
      <w:r>
        <w:rPr>
          <w:color w:val="231F20"/>
          <w:spacing w:val="-3"/>
        </w:rPr>
        <w:t> </w:t>
      </w:r>
      <w:r>
        <w:rPr>
          <w:color w:val="231F20"/>
        </w:rPr>
        <w:t>major</w:t>
      </w:r>
      <w:r>
        <w:rPr>
          <w:color w:val="231F20"/>
          <w:spacing w:val="-3"/>
        </w:rPr>
        <w:t> </w:t>
      </w:r>
      <w:r>
        <w:rPr>
          <w:color w:val="231F20"/>
        </w:rPr>
        <w:t>asset</w:t>
      </w:r>
      <w:r>
        <w:rPr>
          <w:color w:val="231F20"/>
          <w:spacing w:val="-3"/>
        </w:rPr>
        <w:t> </w:t>
      </w:r>
      <w:r>
        <w:rPr>
          <w:color w:val="231F20"/>
        </w:rPr>
        <w:t>class</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long-term</w:t>
      </w:r>
      <w:r>
        <w:rPr>
          <w:color w:val="231F20"/>
          <w:spacing w:val="-4"/>
        </w:rPr>
        <w:t> </w:t>
      </w:r>
      <w:r>
        <w:rPr>
          <w:color w:val="231F20"/>
        </w:rPr>
        <w:t>expected</w:t>
      </w:r>
      <w:r>
        <w:rPr>
          <w:color w:val="231F20"/>
          <w:spacing w:val="-3"/>
        </w:rPr>
        <w:t> </w:t>
      </w:r>
      <w:r>
        <w:rPr>
          <w:color w:val="231F20"/>
        </w:rPr>
        <w:t>rate</w:t>
      </w:r>
      <w:r>
        <w:rPr>
          <w:color w:val="231F20"/>
          <w:spacing w:val="-4"/>
        </w:rPr>
        <w:t> </w:t>
      </w:r>
      <w:r>
        <w:rPr>
          <w:color w:val="231F20"/>
        </w:rPr>
        <w:t>of</w:t>
      </w:r>
      <w:r>
        <w:rPr>
          <w:color w:val="231F20"/>
          <w:spacing w:val="-3"/>
        </w:rPr>
        <w:t> </w:t>
      </w:r>
      <w:r>
        <w:rPr>
          <w:color w:val="231F20"/>
        </w:rPr>
        <w:t>return</w:t>
      </w:r>
      <w:r>
        <w:rPr>
          <w:color w:val="231F20"/>
          <w:spacing w:val="-3"/>
        </w:rPr>
        <w:t> </w:t>
      </w:r>
      <w:r>
        <w:rPr>
          <w:color w:val="231F20"/>
        </w:rPr>
        <w:t>are summarized in the following table:</w:t>
      </w:r>
    </w:p>
    <w:p>
      <w:pPr>
        <w:pStyle w:val="BodyText"/>
        <w:spacing w:before="10"/>
        <w:rPr>
          <w:sz w:val="24"/>
        </w:rPr>
      </w:pPr>
    </w:p>
    <w:tbl>
      <w:tblPr>
        <w:tblW w:w="0" w:type="auto"/>
        <w:jc w:val="left"/>
        <w:tblInd w:w="3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9"/>
        <w:gridCol w:w="1909"/>
        <w:gridCol w:w="1800"/>
      </w:tblGrid>
      <w:tr>
        <w:trPr>
          <w:trHeight w:val="780" w:hRule="atLeast"/>
        </w:trPr>
        <w:tc>
          <w:tcPr>
            <w:tcW w:w="1799" w:type="dxa"/>
          </w:tcPr>
          <w:p>
            <w:pPr>
              <w:pStyle w:val="TableParagraph"/>
              <w:rPr>
                <w:sz w:val="22"/>
              </w:rPr>
            </w:pPr>
          </w:p>
          <w:p>
            <w:pPr>
              <w:pStyle w:val="TableParagraph"/>
              <w:spacing w:before="10"/>
              <w:rPr>
                <w:sz w:val="20"/>
              </w:rPr>
            </w:pPr>
          </w:p>
          <w:p>
            <w:pPr>
              <w:pStyle w:val="TableParagraph"/>
              <w:tabs>
                <w:tab w:pos="322" w:val="left" w:leader="none"/>
                <w:tab w:pos="1639" w:val="left" w:leader="none"/>
              </w:tabs>
              <w:ind w:left="50"/>
              <w:rPr>
                <w:sz w:val="20"/>
              </w:rPr>
            </w:pPr>
            <w:r>
              <w:rPr>
                <w:color w:val="231F20"/>
                <w:sz w:val="20"/>
                <w:u w:val="thick" w:color="231F20"/>
              </w:rPr>
              <w:tab/>
              <w:t>Asset</w:t>
            </w:r>
            <w:r>
              <w:rPr>
                <w:color w:val="231F20"/>
                <w:spacing w:val="-5"/>
                <w:sz w:val="20"/>
                <w:u w:val="thick" w:color="231F20"/>
              </w:rPr>
              <w:t> </w:t>
            </w:r>
            <w:r>
              <w:rPr>
                <w:color w:val="231F20"/>
                <w:spacing w:val="-4"/>
                <w:sz w:val="20"/>
                <w:u w:val="thick" w:color="231F20"/>
              </w:rPr>
              <w:t>Class</w:t>
            </w:r>
            <w:r>
              <w:rPr>
                <w:color w:val="231F20"/>
                <w:sz w:val="20"/>
                <w:u w:val="thick" w:color="231F20"/>
              </w:rPr>
              <w:tab/>
            </w:r>
          </w:p>
        </w:tc>
        <w:tc>
          <w:tcPr>
            <w:tcW w:w="1909" w:type="dxa"/>
          </w:tcPr>
          <w:p>
            <w:pPr>
              <w:pStyle w:val="TableParagraph"/>
              <w:rPr>
                <w:sz w:val="22"/>
              </w:rPr>
            </w:pPr>
          </w:p>
          <w:p>
            <w:pPr>
              <w:pStyle w:val="TableParagraph"/>
              <w:spacing w:before="10"/>
              <w:rPr>
                <w:sz w:val="20"/>
              </w:rPr>
            </w:pPr>
          </w:p>
          <w:p>
            <w:pPr>
              <w:pStyle w:val="TableParagraph"/>
              <w:ind w:right="45"/>
              <w:jc w:val="center"/>
              <w:rPr>
                <w:sz w:val="20"/>
              </w:rPr>
            </w:pPr>
            <w:r>
              <w:rPr>
                <w:color w:val="231F20"/>
                <w:spacing w:val="-18"/>
                <w:sz w:val="20"/>
                <w:u w:val="thick" w:color="231F20"/>
              </w:rPr>
              <w:t> </w:t>
            </w:r>
            <w:r>
              <w:rPr>
                <w:color w:val="231F20"/>
                <w:sz w:val="20"/>
                <w:u w:val="thick" w:color="231F20"/>
              </w:rPr>
              <w:t>Target</w:t>
            </w:r>
            <w:r>
              <w:rPr>
                <w:color w:val="231F20"/>
                <w:spacing w:val="-4"/>
                <w:sz w:val="20"/>
                <w:u w:val="thick" w:color="231F20"/>
              </w:rPr>
              <w:t> </w:t>
            </w:r>
            <w:r>
              <w:rPr>
                <w:color w:val="231F20"/>
                <w:spacing w:val="-2"/>
                <w:sz w:val="20"/>
                <w:u w:val="thick" w:color="231F20"/>
              </w:rPr>
              <w:t>Allocation</w:t>
            </w:r>
          </w:p>
        </w:tc>
        <w:tc>
          <w:tcPr>
            <w:tcW w:w="1800" w:type="dxa"/>
          </w:tcPr>
          <w:p>
            <w:pPr>
              <w:pStyle w:val="TableParagraph"/>
              <w:spacing w:line="261" w:lineRule="auto"/>
              <w:ind w:left="130"/>
              <w:jc w:val="center"/>
              <w:rPr>
                <w:sz w:val="20"/>
              </w:rPr>
            </w:pPr>
            <w:r>
              <w:rPr>
                <w:color w:val="231F20"/>
                <w:spacing w:val="-2"/>
                <w:sz w:val="20"/>
              </w:rPr>
              <w:t>Long-Term Expected</w:t>
            </w:r>
          </w:p>
          <w:p>
            <w:pPr>
              <w:pStyle w:val="TableParagraph"/>
              <w:spacing w:line="228" w:lineRule="exact"/>
              <w:ind w:left="108"/>
              <w:jc w:val="center"/>
              <w:rPr>
                <w:sz w:val="20"/>
              </w:rPr>
            </w:pPr>
            <w:r>
              <w:rPr>
                <w:color w:val="231F20"/>
                <w:spacing w:val="63"/>
                <w:w w:val="150"/>
                <w:sz w:val="20"/>
                <w:u w:val="thick" w:color="231F20"/>
              </w:rPr>
              <w:t> </w:t>
            </w:r>
            <w:r>
              <w:rPr>
                <w:color w:val="231F20"/>
                <w:sz w:val="20"/>
                <w:u w:val="thick" w:color="231F20"/>
              </w:rPr>
              <w:t>Rate</w:t>
            </w:r>
            <w:r>
              <w:rPr>
                <w:color w:val="231F20"/>
                <w:spacing w:val="-1"/>
                <w:sz w:val="20"/>
                <w:u w:val="thick" w:color="231F20"/>
              </w:rPr>
              <w:t> </w:t>
            </w:r>
            <w:r>
              <w:rPr>
                <w:color w:val="231F20"/>
                <w:sz w:val="20"/>
                <w:u w:val="thick" w:color="231F20"/>
              </w:rPr>
              <w:t>of</w:t>
            </w:r>
            <w:r>
              <w:rPr>
                <w:color w:val="231F20"/>
                <w:spacing w:val="-2"/>
                <w:sz w:val="20"/>
                <w:u w:val="thick" w:color="231F20"/>
              </w:rPr>
              <w:t> Return</w:t>
            </w:r>
            <w:r>
              <w:rPr>
                <w:color w:val="231F20"/>
                <w:spacing w:val="80"/>
                <w:sz w:val="20"/>
                <w:u w:val="thick" w:color="231F20"/>
              </w:rPr>
              <w:t> </w:t>
            </w:r>
          </w:p>
        </w:tc>
      </w:tr>
      <w:tr>
        <w:trPr>
          <w:trHeight w:val="306" w:hRule="atLeast"/>
        </w:trPr>
        <w:tc>
          <w:tcPr>
            <w:tcW w:w="1799" w:type="dxa"/>
          </w:tcPr>
          <w:p>
            <w:pPr>
              <w:pStyle w:val="TableParagraph"/>
              <w:spacing w:before="51"/>
              <w:ind w:left="88"/>
              <w:rPr>
                <w:sz w:val="20"/>
              </w:rPr>
            </w:pPr>
            <w:r>
              <w:rPr>
                <w:color w:val="231F20"/>
                <w:spacing w:val="-2"/>
                <w:sz w:val="20"/>
              </w:rPr>
              <w:t>Equities</w:t>
            </w:r>
          </w:p>
        </w:tc>
        <w:tc>
          <w:tcPr>
            <w:tcW w:w="1909" w:type="dxa"/>
          </w:tcPr>
          <w:p>
            <w:pPr>
              <w:pStyle w:val="TableParagraph"/>
              <w:spacing w:before="51"/>
              <w:ind w:left="63" w:right="45"/>
              <w:jc w:val="center"/>
              <w:rPr>
                <w:sz w:val="20"/>
              </w:rPr>
            </w:pPr>
            <w:r>
              <w:rPr>
                <w:color w:val="231F20"/>
                <w:spacing w:val="-5"/>
                <w:sz w:val="20"/>
              </w:rPr>
              <w:t>31%</w:t>
            </w:r>
          </w:p>
        </w:tc>
        <w:tc>
          <w:tcPr>
            <w:tcW w:w="1800" w:type="dxa"/>
          </w:tcPr>
          <w:p>
            <w:pPr>
              <w:pStyle w:val="TableParagraph"/>
              <w:rPr>
                <w:rFonts w:ascii="Times New Roman"/>
                <w:sz w:val="20"/>
              </w:rPr>
            </w:pPr>
          </w:p>
        </w:tc>
      </w:tr>
      <w:tr>
        <w:trPr>
          <w:trHeight w:val="272" w:hRule="atLeast"/>
        </w:trPr>
        <w:tc>
          <w:tcPr>
            <w:tcW w:w="1799" w:type="dxa"/>
          </w:tcPr>
          <w:p>
            <w:pPr>
              <w:pStyle w:val="TableParagraph"/>
              <w:spacing w:before="18"/>
              <w:ind w:left="88"/>
              <w:rPr>
                <w:sz w:val="20"/>
              </w:rPr>
            </w:pPr>
            <w:r>
              <w:rPr>
                <w:color w:val="231F20"/>
                <w:sz w:val="20"/>
              </w:rPr>
              <w:t>Fixed</w:t>
            </w:r>
            <w:r>
              <w:rPr>
                <w:color w:val="231F20"/>
                <w:spacing w:val="-4"/>
                <w:sz w:val="20"/>
              </w:rPr>
              <w:t> </w:t>
            </w:r>
            <w:r>
              <w:rPr>
                <w:color w:val="231F20"/>
                <w:spacing w:val="-2"/>
                <w:sz w:val="20"/>
              </w:rPr>
              <w:t>Income</w:t>
            </w:r>
          </w:p>
        </w:tc>
        <w:tc>
          <w:tcPr>
            <w:tcW w:w="1909" w:type="dxa"/>
          </w:tcPr>
          <w:p>
            <w:pPr>
              <w:pStyle w:val="TableParagraph"/>
              <w:spacing w:before="18"/>
              <w:ind w:left="64" w:right="45"/>
              <w:jc w:val="center"/>
              <w:rPr>
                <w:sz w:val="20"/>
              </w:rPr>
            </w:pPr>
            <w:r>
              <w:rPr>
                <w:color w:val="231F20"/>
                <w:spacing w:val="-5"/>
                <w:sz w:val="20"/>
              </w:rPr>
              <w:t>24</w:t>
            </w:r>
          </w:p>
        </w:tc>
        <w:tc>
          <w:tcPr>
            <w:tcW w:w="1800" w:type="dxa"/>
          </w:tcPr>
          <w:p>
            <w:pPr>
              <w:pStyle w:val="TableParagraph"/>
              <w:rPr>
                <w:rFonts w:ascii="Times New Roman"/>
                <w:sz w:val="20"/>
              </w:rPr>
            </w:pPr>
          </w:p>
        </w:tc>
      </w:tr>
      <w:tr>
        <w:trPr>
          <w:trHeight w:val="272" w:hRule="atLeast"/>
        </w:trPr>
        <w:tc>
          <w:tcPr>
            <w:tcW w:w="1799" w:type="dxa"/>
          </w:tcPr>
          <w:p>
            <w:pPr>
              <w:pStyle w:val="TableParagraph"/>
              <w:spacing w:before="18"/>
              <w:ind w:left="88"/>
              <w:rPr>
                <w:sz w:val="20"/>
              </w:rPr>
            </w:pPr>
            <w:r>
              <w:rPr>
                <w:color w:val="231F20"/>
                <w:spacing w:val="-2"/>
                <w:sz w:val="20"/>
              </w:rPr>
              <w:t>Alternatives</w:t>
            </w:r>
          </w:p>
        </w:tc>
        <w:tc>
          <w:tcPr>
            <w:tcW w:w="1909" w:type="dxa"/>
          </w:tcPr>
          <w:p>
            <w:pPr>
              <w:pStyle w:val="TableParagraph"/>
              <w:spacing w:before="18"/>
              <w:ind w:left="65" w:right="45"/>
              <w:jc w:val="center"/>
              <w:rPr>
                <w:sz w:val="20"/>
              </w:rPr>
            </w:pPr>
            <w:r>
              <w:rPr>
                <w:color w:val="231F20"/>
                <w:spacing w:val="-5"/>
                <w:sz w:val="20"/>
              </w:rPr>
              <w:t>44</w:t>
            </w:r>
          </w:p>
        </w:tc>
        <w:tc>
          <w:tcPr>
            <w:tcW w:w="1800" w:type="dxa"/>
          </w:tcPr>
          <w:p>
            <w:pPr>
              <w:pStyle w:val="TableParagraph"/>
              <w:rPr>
                <w:rFonts w:ascii="Times New Roman"/>
                <w:sz w:val="20"/>
              </w:rPr>
            </w:pPr>
          </w:p>
        </w:tc>
      </w:tr>
      <w:tr>
        <w:trPr>
          <w:trHeight w:val="268" w:hRule="atLeast"/>
        </w:trPr>
        <w:tc>
          <w:tcPr>
            <w:tcW w:w="1799" w:type="dxa"/>
          </w:tcPr>
          <w:p>
            <w:pPr>
              <w:pStyle w:val="TableParagraph"/>
              <w:spacing w:before="18"/>
              <w:ind w:left="88"/>
              <w:rPr>
                <w:sz w:val="20"/>
              </w:rPr>
            </w:pPr>
            <w:r>
              <w:rPr>
                <w:color w:val="231F20"/>
                <w:spacing w:val="-4"/>
                <w:sz w:val="20"/>
              </w:rPr>
              <w:t>Cash</w:t>
            </w:r>
          </w:p>
        </w:tc>
        <w:tc>
          <w:tcPr>
            <w:tcW w:w="1909" w:type="dxa"/>
          </w:tcPr>
          <w:p>
            <w:pPr>
              <w:pStyle w:val="TableParagraph"/>
              <w:tabs>
                <w:tab w:pos="748" w:val="left" w:leader="none"/>
                <w:tab w:pos="1589" w:val="left" w:leader="none"/>
              </w:tabs>
              <w:spacing w:before="18"/>
              <w:jc w:val="center"/>
              <w:rPr>
                <w:sz w:val="20"/>
              </w:rPr>
            </w:pPr>
            <w:r>
              <w:rPr>
                <w:color w:val="231F20"/>
                <w:sz w:val="20"/>
                <w:u w:val="thick" w:color="231F20"/>
              </w:rPr>
              <w:tab/>
            </w:r>
            <w:r>
              <w:rPr>
                <w:color w:val="231F20"/>
                <w:spacing w:val="-10"/>
                <w:sz w:val="20"/>
                <w:u w:val="thick" w:color="231F20"/>
              </w:rPr>
              <w:t>1</w:t>
            </w:r>
            <w:r>
              <w:rPr>
                <w:color w:val="231F20"/>
                <w:sz w:val="20"/>
                <w:u w:val="thick" w:color="231F20"/>
              </w:rPr>
              <w:tab/>
            </w:r>
          </w:p>
        </w:tc>
        <w:tc>
          <w:tcPr>
            <w:tcW w:w="1800" w:type="dxa"/>
          </w:tcPr>
          <w:p>
            <w:pPr>
              <w:pStyle w:val="TableParagraph"/>
              <w:rPr>
                <w:rFonts w:ascii="Times New Roman"/>
                <w:sz w:val="18"/>
              </w:rPr>
            </w:pPr>
          </w:p>
        </w:tc>
      </w:tr>
      <w:tr>
        <w:trPr>
          <w:trHeight w:val="308" w:hRule="atLeast"/>
        </w:trPr>
        <w:tc>
          <w:tcPr>
            <w:tcW w:w="1799" w:type="dxa"/>
          </w:tcPr>
          <w:p>
            <w:pPr>
              <w:pStyle w:val="TableParagraph"/>
              <w:spacing w:before="14"/>
              <w:ind w:left="1153"/>
              <w:rPr>
                <w:sz w:val="20"/>
              </w:rPr>
            </w:pPr>
            <w:r>
              <w:rPr>
                <w:color w:val="231F20"/>
                <w:spacing w:val="-2"/>
                <w:sz w:val="20"/>
              </w:rPr>
              <w:t>Total</w:t>
            </w:r>
          </w:p>
        </w:tc>
        <w:tc>
          <w:tcPr>
            <w:tcW w:w="1909" w:type="dxa"/>
          </w:tcPr>
          <w:p>
            <w:pPr>
              <w:pStyle w:val="TableParagraph"/>
              <w:tabs>
                <w:tab w:pos="546" w:val="left" w:leader="none"/>
                <w:tab w:pos="1588" w:val="left" w:leader="none"/>
              </w:tabs>
              <w:spacing w:before="14"/>
              <w:jc w:val="center"/>
              <w:rPr>
                <w:sz w:val="20"/>
              </w:rPr>
            </w:pPr>
            <w:r>
              <w:rPr>
                <w:color w:val="231F20"/>
                <w:sz w:val="20"/>
                <w:u w:val="single" w:color="231F20"/>
              </w:rPr>
              <w:tab/>
            </w:r>
            <w:r>
              <w:rPr>
                <w:color w:val="231F20"/>
                <w:spacing w:val="-4"/>
                <w:sz w:val="20"/>
                <w:u w:val="single" w:color="231F20"/>
              </w:rPr>
              <w:t>100%</w:t>
            </w:r>
            <w:r>
              <w:rPr>
                <w:color w:val="231F20"/>
                <w:sz w:val="20"/>
                <w:u w:val="single" w:color="231F20"/>
              </w:rPr>
              <w:tab/>
            </w:r>
          </w:p>
        </w:tc>
        <w:tc>
          <w:tcPr>
            <w:tcW w:w="1800" w:type="dxa"/>
          </w:tcPr>
          <w:p>
            <w:pPr>
              <w:pStyle w:val="TableParagraph"/>
              <w:tabs>
                <w:tab w:pos="817" w:val="left" w:leader="none"/>
                <w:tab w:pos="1749" w:val="left" w:leader="none"/>
              </w:tabs>
              <w:spacing w:before="14"/>
              <w:ind w:left="160"/>
              <w:rPr>
                <w:sz w:val="20"/>
              </w:rPr>
            </w:pPr>
            <w:r>
              <w:rPr>
                <w:color w:val="231F20"/>
                <w:sz w:val="20"/>
                <w:u w:val="single" w:color="231F20"/>
              </w:rPr>
              <w:tab/>
            </w:r>
            <w:r>
              <w:rPr>
                <w:color w:val="231F20"/>
                <w:spacing w:val="-5"/>
                <w:sz w:val="20"/>
                <w:u w:val="single" w:color="231F20"/>
              </w:rPr>
              <w:t>7%</w:t>
            </w:r>
            <w:r>
              <w:rPr>
                <w:color w:val="231F20"/>
                <w:sz w:val="20"/>
                <w:u w:val="single" w:color="231F20"/>
              </w:rPr>
              <w:tab/>
            </w:r>
          </w:p>
        </w:tc>
      </w:tr>
    </w:tbl>
    <w:p>
      <w:pPr>
        <w:spacing w:after="0"/>
        <w:rPr>
          <w:sz w:val="20"/>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3"/>
        </w:rPr>
        <w:t> </w:t>
      </w:r>
      <w:r>
        <w:rPr>
          <w:color w:val="231F20"/>
        </w:rPr>
        <w:t>9</w:t>
      </w:r>
      <w:r>
        <w:rPr>
          <w:color w:val="231F20"/>
          <w:spacing w:val="-2"/>
        </w:rPr>
        <w:t> </w:t>
      </w:r>
      <w:r>
        <w:rPr>
          <w:color w:val="231F20"/>
        </w:rPr>
        <w:t>–</w:t>
      </w:r>
      <w:r>
        <w:rPr>
          <w:color w:val="231F20"/>
          <w:spacing w:val="-3"/>
        </w:rPr>
        <w:t> </w:t>
      </w:r>
      <w:r>
        <w:rPr>
          <w:color w:val="231F20"/>
        </w:rPr>
        <w:t>Defined</w:t>
      </w:r>
      <w:r>
        <w:rPr>
          <w:color w:val="231F20"/>
          <w:spacing w:val="-2"/>
        </w:rPr>
        <w:t> </w:t>
      </w:r>
      <w:r>
        <w:rPr>
          <w:color w:val="231F20"/>
        </w:rPr>
        <w:t>Benefit</w:t>
      </w:r>
      <w:r>
        <w:rPr>
          <w:color w:val="231F20"/>
          <w:spacing w:val="-3"/>
        </w:rPr>
        <w:t> </w:t>
      </w:r>
      <w:r>
        <w:rPr>
          <w:color w:val="231F20"/>
        </w:rPr>
        <w:t>Retirement</w:t>
      </w:r>
      <w:r>
        <w:rPr>
          <w:color w:val="231F20"/>
          <w:spacing w:val="-3"/>
        </w:rPr>
        <w:t> </w:t>
      </w:r>
      <w:r>
        <w:rPr>
          <w:color w:val="231F20"/>
        </w:rPr>
        <w:t>Plan</w:t>
      </w:r>
      <w:r>
        <w:rPr>
          <w:color w:val="231F20"/>
          <w:spacing w:val="-2"/>
        </w:rPr>
        <w:t> (continued)</w:t>
      </w:r>
    </w:p>
    <w:p>
      <w:pPr>
        <w:pStyle w:val="BodyText"/>
        <w:rPr>
          <w:b/>
          <w:sz w:val="23"/>
        </w:rPr>
      </w:pPr>
    </w:p>
    <w:p>
      <w:pPr>
        <w:pStyle w:val="BodyText"/>
        <w:spacing w:line="276" w:lineRule="auto"/>
        <w:ind w:left="1440" w:right="906" w:hanging="1"/>
      </w:pPr>
      <w:r>
        <w:rPr>
          <w:i/>
          <w:color w:val="231F20"/>
        </w:rPr>
        <w:t>Discount Rate – </w:t>
      </w:r>
      <w:r>
        <w:rPr>
          <w:color w:val="231F20"/>
        </w:rPr>
        <w:t>A single discount rate of 7.00% was used to measure the total pension liability as of</w:t>
      </w:r>
      <w:r>
        <w:rPr>
          <w:color w:val="231F20"/>
          <w:spacing w:val="40"/>
        </w:rPr>
        <w:t> </w:t>
      </w:r>
      <w:r>
        <w:rPr>
          <w:color w:val="231F20"/>
        </w:rPr>
        <w:t>June 30, 2021. This is an increase of 3.11% from June 30, 2020. The 7.00% was based on a long-term expected</w:t>
      </w:r>
      <w:r>
        <w:rPr>
          <w:color w:val="231F20"/>
          <w:spacing w:val="-3"/>
        </w:rPr>
        <w:t> </w:t>
      </w:r>
      <w:r>
        <w:rPr>
          <w:color w:val="231F20"/>
        </w:rPr>
        <w:t>rate</w:t>
      </w:r>
      <w:r>
        <w:rPr>
          <w:color w:val="231F20"/>
          <w:spacing w:val="-4"/>
        </w:rPr>
        <w:t> </w:t>
      </w:r>
      <w:r>
        <w:rPr>
          <w:color w:val="231F20"/>
        </w:rPr>
        <w:t>of</w:t>
      </w:r>
      <w:r>
        <w:rPr>
          <w:color w:val="231F20"/>
          <w:spacing w:val="-3"/>
        </w:rPr>
        <w:t> </w:t>
      </w:r>
      <w:r>
        <w:rPr>
          <w:color w:val="231F20"/>
        </w:rPr>
        <w:t>return</w:t>
      </w:r>
      <w:r>
        <w:rPr>
          <w:color w:val="231F20"/>
          <w:spacing w:val="-3"/>
        </w:rPr>
        <w:t> </w:t>
      </w:r>
      <w:r>
        <w:rPr>
          <w:color w:val="231F20"/>
        </w:rPr>
        <w:t>on</w:t>
      </w:r>
      <w:r>
        <w:rPr>
          <w:color w:val="231F20"/>
          <w:spacing w:val="-4"/>
        </w:rPr>
        <w:t> </w:t>
      </w:r>
      <w:r>
        <w:rPr>
          <w:color w:val="231F20"/>
        </w:rPr>
        <w:t>pension</w:t>
      </w:r>
      <w:r>
        <w:rPr>
          <w:color w:val="231F20"/>
          <w:spacing w:val="-3"/>
        </w:rPr>
        <w:t> </w:t>
      </w:r>
      <w:r>
        <w:rPr>
          <w:color w:val="231F20"/>
        </w:rPr>
        <w:t>plan</w:t>
      </w:r>
      <w:r>
        <w:rPr>
          <w:color w:val="231F20"/>
          <w:spacing w:val="-4"/>
        </w:rPr>
        <w:t> </w:t>
      </w:r>
      <w:r>
        <w:rPr>
          <w:color w:val="231F20"/>
        </w:rPr>
        <w:t>investments</w:t>
      </w:r>
      <w:r>
        <w:rPr>
          <w:color w:val="231F20"/>
          <w:spacing w:val="-3"/>
        </w:rPr>
        <w:t> </w:t>
      </w:r>
      <w:r>
        <w:rPr>
          <w:color w:val="231F20"/>
        </w:rPr>
        <w:t>of</w:t>
      </w:r>
      <w:r>
        <w:rPr>
          <w:color w:val="231F20"/>
          <w:spacing w:val="-3"/>
        </w:rPr>
        <w:t> </w:t>
      </w:r>
      <w:r>
        <w:rPr>
          <w:color w:val="231F20"/>
        </w:rPr>
        <w:t>7.00%</w:t>
      </w:r>
      <w:r>
        <w:rPr>
          <w:color w:val="231F20"/>
          <w:spacing w:val="-3"/>
        </w:rPr>
        <w:t> </w:t>
      </w:r>
      <w:r>
        <w:rPr>
          <w:color w:val="231F20"/>
        </w:rPr>
        <w:t>and</w:t>
      </w:r>
      <w:r>
        <w:rPr>
          <w:color w:val="231F20"/>
          <w:spacing w:val="-4"/>
        </w:rPr>
        <w:t> </w:t>
      </w:r>
      <w:r>
        <w:rPr>
          <w:color w:val="231F20"/>
        </w:rPr>
        <w:t>a</w:t>
      </w:r>
      <w:r>
        <w:rPr>
          <w:color w:val="231F20"/>
          <w:spacing w:val="-3"/>
        </w:rPr>
        <w:t> </w:t>
      </w:r>
      <w:r>
        <w:rPr>
          <w:color w:val="231F20"/>
        </w:rPr>
        <w:t>municipal</w:t>
      </w:r>
      <w:r>
        <w:rPr>
          <w:color w:val="231F20"/>
          <w:spacing w:val="-3"/>
        </w:rPr>
        <w:t> </w:t>
      </w:r>
      <w:r>
        <w:rPr>
          <w:color w:val="231F20"/>
        </w:rPr>
        <w:t>bond</w:t>
      </w:r>
      <w:r>
        <w:rPr>
          <w:color w:val="231F20"/>
          <w:spacing w:val="-3"/>
        </w:rPr>
        <w:t> </w:t>
      </w:r>
      <w:r>
        <w:rPr>
          <w:color w:val="231F20"/>
        </w:rPr>
        <w:t>rate</w:t>
      </w:r>
      <w:r>
        <w:rPr>
          <w:color w:val="231F20"/>
          <w:spacing w:val="-3"/>
        </w:rPr>
        <w:t> </w:t>
      </w:r>
      <w:r>
        <w:rPr>
          <w:color w:val="231F20"/>
        </w:rPr>
        <w:t>of</w:t>
      </w:r>
      <w:r>
        <w:rPr>
          <w:color w:val="231F20"/>
          <w:spacing w:val="-3"/>
        </w:rPr>
        <w:t> </w:t>
      </w:r>
      <w:r>
        <w:rPr>
          <w:color w:val="231F20"/>
        </w:rPr>
        <w:t>1.92%.</w:t>
      </w:r>
      <w:r>
        <w:rPr>
          <w:color w:val="231F20"/>
          <w:spacing w:val="-3"/>
        </w:rPr>
        <w:t> </w:t>
      </w:r>
      <w:r>
        <w:rPr>
          <w:color w:val="231F20"/>
        </w:rPr>
        <w:t>Based on the stated assumptions and the projection of cash flows, the pension plan’s fiduciary net position and future contributions were sufficient to finance all projected future benefit payments of current plan members. As a result, the long-term expected rate of return on pension plan investments was applied to all periods of projected benefit payments to determine the total pension liability.</w:t>
      </w:r>
    </w:p>
    <w:p>
      <w:pPr>
        <w:pStyle w:val="BodyText"/>
        <w:spacing w:before="11"/>
        <w:rPr>
          <w:sz w:val="22"/>
        </w:rPr>
      </w:pPr>
    </w:p>
    <w:p>
      <w:pPr>
        <w:pStyle w:val="BodyText"/>
        <w:spacing w:line="276" w:lineRule="auto"/>
        <w:ind w:left="1440" w:right="891"/>
      </w:pPr>
      <w:r>
        <w:rPr>
          <w:color w:val="231F20"/>
        </w:rPr>
        <w:t>The</w:t>
      </w:r>
      <w:r>
        <w:rPr>
          <w:color w:val="231F20"/>
          <w:spacing w:val="-3"/>
        </w:rPr>
        <w:t> </w:t>
      </w:r>
      <w:r>
        <w:rPr>
          <w:color w:val="231F20"/>
        </w:rPr>
        <w:t>projections</w:t>
      </w:r>
      <w:r>
        <w:rPr>
          <w:color w:val="231F20"/>
          <w:spacing w:val="-3"/>
        </w:rPr>
        <w:t> </w:t>
      </w:r>
      <w:r>
        <w:rPr>
          <w:color w:val="231F20"/>
        </w:rPr>
        <w:t>of</w:t>
      </w:r>
      <w:r>
        <w:rPr>
          <w:color w:val="231F20"/>
          <w:spacing w:val="-3"/>
        </w:rPr>
        <w:t> </w:t>
      </w:r>
      <w:r>
        <w:rPr>
          <w:color w:val="231F20"/>
        </w:rPr>
        <w:t>cash</w:t>
      </w:r>
      <w:r>
        <w:rPr>
          <w:color w:val="231F20"/>
          <w:spacing w:val="-3"/>
        </w:rPr>
        <w:t> </w:t>
      </w:r>
      <w:r>
        <w:rPr>
          <w:color w:val="231F20"/>
        </w:rPr>
        <w:t>flows</w:t>
      </w:r>
      <w:r>
        <w:rPr>
          <w:color w:val="231F20"/>
          <w:spacing w:val="-3"/>
        </w:rPr>
        <w:t> </w:t>
      </w:r>
      <w:r>
        <w:rPr>
          <w:color w:val="231F20"/>
        </w:rPr>
        <w:t>used</w:t>
      </w:r>
      <w:r>
        <w:rPr>
          <w:color w:val="231F20"/>
          <w:spacing w:val="-3"/>
        </w:rPr>
        <w:t> </w:t>
      </w:r>
      <w:r>
        <w:rPr>
          <w:color w:val="231F20"/>
        </w:rPr>
        <w:t>to</w:t>
      </w:r>
      <w:r>
        <w:rPr>
          <w:color w:val="231F20"/>
          <w:spacing w:val="-3"/>
        </w:rPr>
        <w:t> </w:t>
      </w:r>
      <w:r>
        <w:rPr>
          <w:color w:val="231F20"/>
        </w:rPr>
        <w:t>determine</w:t>
      </w:r>
      <w:r>
        <w:rPr>
          <w:color w:val="231F20"/>
          <w:spacing w:val="-3"/>
        </w:rPr>
        <w:t> </w:t>
      </w:r>
      <w:r>
        <w:rPr>
          <w:color w:val="231F20"/>
        </w:rPr>
        <w:t>the</w:t>
      </w:r>
      <w:r>
        <w:rPr>
          <w:color w:val="231F20"/>
          <w:spacing w:val="-3"/>
        </w:rPr>
        <w:t> </w:t>
      </w:r>
      <w:r>
        <w:rPr>
          <w:color w:val="231F20"/>
        </w:rPr>
        <w:t>single</w:t>
      </w:r>
      <w:r>
        <w:rPr>
          <w:color w:val="231F20"/>
          <w:spacing w:val="-3"/>
        </w:rPr>
        <w:t> </w:t>
      </w:r>
      <w:r>
        <w:rPr>
          <w:color w:val="231F20"/>
        </w:rPr>
        <w:t>discount</w:t>
      </w:r>
      <w:r>
        <w:rPr>
          <w:color w:val="231F20"/>
          <w:spacing w:val="-3"/>
        </w:rPr>
        <w:t> </w:t>
      </w:r>
      <w:r>
        <w:rPr>
          <w:color w:val="231F20"/>
        </w:rPr>
        <w:t>rate</w:t>
      </w:r>
      <w:r>
        <w:rPr>
          <w:color w:val="231F20"/>
          <w:spacing w:val="-3"/>
        </w:rPr>
        <w:t> </w:t>
      </w:r>
      <w:r>
        <w:rPr>
          <w:color w:val="231F20"/>
        </w:rPr>
        <w:t>assumed</w:t>
      </w:r>
      <w:r>
        <w:rPr>
          <w:color w:val="231F20"/>
          <w:spacing w:val="-3"/>
        </w:rPr>
        <w:t> </w:t>
      </w:r>
      <w:r>
        <w:rPr>
          <w:color w:val="231F20"/>
        </w:rPr>
        <w:t>that</w:t>
      </w:r>
      <w:r>
        <w:rPr>
          <w:color w:val="231F20"/>
          <w:spacing w:val="-3"/>
        </w:rPr>
        <w:t> </w:t>
      </w:r>
      <w:r>
        <w:rPr>
          <w:color w:val="231F20"/>
        </w:rPr>
        <w:t>plan</w:t>
      </w:r>
      <w:r>
        <w:rPr>
          <w:color w:val="231F20"/>
          <w:spacing w:val="-4"/>
        </w:rPr>
        <w:t> </w:t>
      </w:r>
      <w:r>
        <w:rPr>
          <w:color w:val="231F20"/>
        </w:rPr>
        <w:t>member</w:t>
      </w:r>
      <w:r>
        <w:rPr>
          <w:color w:val="231F20"/>
          <w:spacing w:val="-2"/>
        </w:rPr>
        <w:t> </w:t>
      </w:r>
      <w:r>
        <w:rPr>
          <w:color w:val="231F20"/>
        </w:rPr>
        <w:t>and employer contributions will be made at the current statutory levels.</w:t>
      </w:r>
    </w:p>
    <w:p>
      <w:pPr>
        <w:pStyle w:val="BodyText"/>
        <w:spacing w:before="11"/>
        <w:rPr>
          <w:sz w:val="22"/>
        </w:rPr>
      </w:pPr>
    </w:p>
    <w:p>
      <w:pPr>
        <w:pStyle w:val="BodyText"/>
        <w:spacing w:line="276" w:lineRule="auto"/>
        <w:ind w:left="1440" w:right="891"/>
      </w:pPr>
      <w:r>
        <w:rPr>
          <w:color w:val="231F20"/>
        </w:rPr>
        <w:t>Additionally, contributions received through Alternative Retirement Plan (APR) are included in the projection</w:t>
      </w:r>
      <w:r>
        <w:rPr>
          <w:color w:val="231F20"/>
          <w:spacing w:val="-3"/>
        </w:rPr>
        <w:t> </w:t>
      </w:r>
      <w:r>
        <w:rPr>
          <w:color w:val="231F20"/>
        </w:rPr>
        <w:t>of</w:t>
      </w:r>
      <w:r>
        <w:rPr>
          <w:color w:val="231F20"/>
          <w:spacing w:val="-4"/>
        </w:rPr>
        <w:t> </w:t>
      </w:r>
      <w:r>
        <w:rPr>
          <w:color w:val="231F20"/>
        </w:rPr>
        <w:t>cash</w:t>
      </w:r>
      <w:r>
        <w:rPr>
          <w:color w:val="231F20"/>
          <w:spacing w:val="-3"/>
        </w:rPr>
        <w:t> </w:t>
      </w:r>
      <w:r>
        <w:rPr>
          <w:color w:val="231F20"/>
        </w:rPr>
        <w:t>flows.</w:t>
      </w:r>
      <w:r>
        <w:rPr>
          <w:color w:val="231F20"/>
          <w:spacing w:val="-3"/>
        </w:rPr>
        <w:t> </w:t>
      </w:r>
      <w:r>
        <w:rPr>
          <w:color w:val="231F20"/>
        </w:rPr>
        <w:t>ARP</w:t>
      </w:r>
      <w:r>
        <w:rPr>
          <w:color w:val="231F20"/>
          <w:spacing w:val="-3"/>
        </w:rPr>
        <w:t> </w:t>
      </w:r>
      <w:r>
        <w:rPr>
          <w:color w:val="231F20"/>
        </w:rPr>
        <w:t>contributions</w:t>
      </w:r>
      <w:r>
        <w:rPr>
          <w:color w:val="231F20"/>
          <w:spacing w:val="-3"/>
        </w:rPr>
        <w:t> </w:t>
      </w:r>
      <w:r>
        <w:rPr>
          <w:color w:val="231F20"/>
        </w:rPr>
        <w:t>are</w:t>
      </w:r>
      <w:r>
        <w:rPr>
          <w:color w:val="231F20"/>
          <w:spacing w:val="-3"/>
        </w:rPr>
        <w:t> </w:t>
      </w:r>
      <w:r>
        <w:rPr>
          <w:color w:val="231F20"/>
        </w:rPr>
        <w:t>assumed</w:t>
      </w:r>
      <w:r>
        <w:rPr>
          <w:color w:val="231F20"/>
          <w:spacing w:val="-3"/>
        </w:rPr>
        <w:t> </w:t>
      </w:r>
      <w:r>
        <w:rPr>
          <w:color w:val="231F20"/>
        </w:rPr>
        <w:t>to</w:t>
      </w:r>
      <w:r>
        <w:rPr>
          <w:color w:val="231F20"/>
          <w:spacing w:val="-3"/>
        </w:rPr>
        <w:t> </w:t>
      </w:r>
      <w:r>
        <w:rPr>
          <w:color w:val="231F20"/>
        </w:rPr>
        <w:t>remain</w:t>
      </w:r>
      <w:r>
        <w:rPr>
          <w:color w:val="231F20"/>
          <w:spacing w:val="-3"/>
        </w:rPr>
        <w:t> </w:t>
      </w:r>
      <w:r>
        <w:rPr>
          <w:color w:val="231F20"/>
        </w:rPr>
        <w:t>at</w:t>
      </w:r>
      <w:r>
        <w:rPr>
          <w:color w:val="231F20"/>
          <w:spacing w:val="-3"/>
        </w:rPr>
        <w:t> </w:t>
      </w:r>
      <w:r>
        <w:rPr>
          <w:color w:val="231F20"/>
        </w:rPr>
        <w:t>a</w:t>
      </w:r>
      <w:r>
        <w:rPr>
          <w:color w:val="231F20"/>
          <w:spacing w:val="-3"/>
        </w:rPr>
        <w:t> </w:t>
      </w:r>
      <w:r>
        <w:rPr>
          <w:color w:val="231F20"/>
        </w:rPr>
        <w:t>level</w:t>
      </w:r>
      <w:r>
        <w:rPr>
          <w:color w:val="231F20"/>
          <w:spacing w:val="-3"/>
        </w:rPr>
        <w:t> </w:t>
      </w:r>
      <w:r>
        <w:rPr>
          <w:color w:val="231F20"/>
        </w:rPr>
        <w:t>percentage</w:t>
      </w:r>
      <w:r>
        <w:rPr>
          <w:color w:val="231F20"/>
          <w:spacing w:val="-3"/>
        </w:rPr>
        <w:t> </w:t>
      </w:r>
      <w:r>
        <w:rPr>
          <w:color w:val="231F20"/>
        </w:rPr>
        <w:t>of</w:t>
      </w:r>
      <w:r>
        <w:rPr>
          <w:color w:val="231F20"/>
          <w:spacing w:val="-3"/>
        </w:rPr>
        <w:t> </w:t>
      </w:r>
      <w:r>
        <w:rPr>
          <w:color w:val="231F20"/>
        </w:rPr>
        <w:t>ERB</w:t>
      </w:r>
      <w:r>
        <w:rPr>
          <w:color w:val="231F20"/>
          <w:spacing w:val="-3"/>
        </w:rPr>
        <w:t> </w:t>
      </w:r>
      <w:r>
        <w:rPr>
          <w:color w:val="231F20"/>
        </w:rPr>
        <w:t>payroll, where the percentage of payroll is based on the most recent five-year contribution history.</w:t>
      </w:r>
    </w:p>
    <w:p>
      <w:pPr>
        <w:pStyle w:val="BodyText"/>
        <w:rPr>
          <w:sz w:val="23"/>
        </w:rPr>
      </w:pPr>
    </w:p>
    <w:p>
      <w:pPr>
        <w:spacing w:line="276" w:lineRule="auto" w:before="0"/>
        <w:ind w:left="1440" w:right="891" w:firstLine="0"/>
        <w:jc w:val="left"/>
        <w:rPr>
          <w:sz w:val="20"/>
        </w:rPr>
      </w:pPr>
      <w:r>
        <w:rPr>
          <w:i/>
          <w:color w:val="231F20"/>
          <w:sz w:val="20"/>
        </w:rPr>
        <w:t>Sensitivity of the Institute’s Proportionate Share of the Net Pension Liability to Changes in the Discount</w:t>
      </w:r>
      <w:r>
        <w:rPr>
          <w:i/>
          <w:color w:val="231F20"/>
          <w:sz w:val="20"/>
        </w:rPr>
        <w:t> Rate </w:t>
      </w:r>
      <w:r>
        <w:rPr>
          <w:color w:val="231F20"/>
          <w:sz w:val="20"/>
        </w:rPr>
        <w:t>– The following table presents the Institute’s proportionate share of the net pension liability calculated using the discount rate of 7.00%, as well as what the Institute’s proportionate share of the net pension</w:t>
      </w:r>
      <w:r>
        <w:rPr>
          <w:color w:val="231F20"/>
          <w:spacing w:val="-3"/>
          <w:sz w:val="20"/>
        </w:rPr>
        <w:t> </w:t>
      </w:r>
      <w:r>
        <w:rPr>
          <w:color w:val="231F20"/>
          <w:sz w:val="20"/>
        </w:rPr>
        <w:t>liability</w:t>
      </w:r>
      <w:r>
        <w:rPr>
          <w:color w:val="231F20"/>
          <w:spacing w:val="-3"/>
          <w:sz w:val="20"/>
        </w:rPr>
        <w:t> </w:t>
      </w:r>
      <w:r>
        <w:rPr>
          <w:color w:val="231F20"/>
          <w:sz w:val="20"/>
        </w:rPr>
        <w:t>would</w:t>
      </w:r>
      <w:r>
        <w:rPr>
          <w:color w:val="231F20"/>
          <w:spacing w:val="-3"/>
          <w:sz w:val="20"/>
        </w:rPr>
        <w:t> </w:t>
      </w:r>
      <w:r>
        <w:rPr>
          <w:color w:val="231F20"/>
          <w:sz w:val="20"/>
        </w:rPr>
        <w:t>be</w:t>
      </w:r>
      <w:r>
        <w:rPr>
          <w:color w:val="231F20"/>
          <w:spacing w:val="-3"/>
          <w:sz w:val="20"/>
        </w:rPr>
        <w:t> </w:t>
      </w:r>
      <w:r>
        <w:rPr>
          <w:color w:val="231F20"/>
          <w:sz w:val="20"/>
        </w:rPr>
        <w:t>if</w:t>
      </w:r>
      <w:r>
        <w:rPr>
          <w:color w:val="231F20"/>
          <w:spacing w:val="-3"/>
          <w:sz w:val="20"/>
        </w:rPr>
        <w:t> </w:t>
      </w:r>
      <w:r>
        <w:rPr>
          <w:color w:val="231F20"/>
          <w:sz w:val="20"/>
        </w:rPr>
        <w:t>it</w:t>
      </w:r>
      <w:r>
        <w:rPr>
          <w:color w:val="231F20"/>
          <w:spacing w:val="-3"/>
          <w:sz w:val="20"/>
        </w:rPr>
        <w:t> </w:t>
      </w:r>
      <w:r>
        <w:rPr>
          <w:color w:val="231F20"/>
          <w:sz w:val="20"/>
        </w:rPr>
        <w:t>were</w:t>
      </w:r>
      <w:r>
        <w:rPr>
          <w:color w:val="231F20"/>
          <w:spacing w:val="-4"/>
          <w:sz w:val="20"/>
        </w:rPr>
        <w:t> </w:t>
      </w:r>
      <w:r>
        <w:rPr>
          <w:color w:val="231F20"/>
          <w:sz w:val="20"/>
        </w:rPr>
        <w:t>calculated</w:t>
      </w:r>
      <w:r>
        <w:rPr>
          <w:color w:val="231F20"/>
          <w:spacing w:val="-3"/>
          <w:sz w:val="20"/>
        </w:rPr>
        <w:t> </w:t>
      </w:r>
      <w:r>
        <w:rPr>
          <w:color w:val="231F20"/>
          <w:sz w:val="20"/>
        </w:rPr>
        <w:t>using</w:t>
      </w:r>
      <w:r>
        <w:rPr>
          <w:color w:val="231F20"/>
          <w:spacing w:val="-3"/>
          <w:sz w:val="20"/>
        </w:rPr>
        <w:t> </w:t>
      </w:r>
      <w:r>
        <w:rPr>
          <w:color w:val="231F20"/>
          <w:sz w:val="20"/>
        </w:rPr>
        <w:t>a</w:t>
      </w:r>
      <w:r>
        <w:rPr>
          <w:color w:val="231F20"/>
          <w:spacing w:val="-4"/>
          <w:sz w:val="20"/>
        </w:rPr>
        <w:t> </w:t>
      </w:r>
      <w:r>
        <w:rPr>
          <w:color w:val="231F20"/>
          <w:sz w:val="20"/>
        </w:rPr>
        <w:t>discount</w:t>
      </w:r>
      <w:r>
        <w:rPr>
          <w:color w:val="231F20"/>
          <w:spacing w:val="-3"/>
          <w:sz w:val="20"/>
        </w:rPr>
        <w:t> </w:t>
      </w:r>
      <w:r>
        <w:rPr>
          <w:color w:val="231F20"/>
          <w:sz w:val="20"/>
        </w:rPr>
        <w:t>rate</w:t>
      </w:r>
      <w:r>
        <w:rPr>
          <w:color w:val="231F20"/>
          <w:spacing w:val="-3"/>
          <w:sz w:val="20"/>
        </w:rPr>
        <w:t> </w:t>
      </w:r>
      <w:r>
        <w:rPr>
          <w:color w:val="231F20"/>
          <w:sz w:val="20"/>
        </w:rPr>
        <w:t>that</w:t>
      </w:r>
      <w:r>
        <w:rPr>
          <w:color w:val="231F20"/>
          <w:spacing w:val="-3"/>
          <w:sz w:val="20"/>
        </w:rPr>
        <w:t> </w:t>
      </w:r>
      <w:r>
        <w:rPr>
          <w:color w:val="231F20"/>
          <w:sz w:val="20"/>
        </w:rPr>
        <w:t>is</w:t>
      </w:r>
      <w:r>
        <w:rPr>
          <w:color w:val="231F20"/>
          <w:spacing w:val="-3"/>
          <w:sz w:val="20"/>
        </w:rPr>
        <w:t> </w:t>
      </w:r>
      <w:r>
        <w:rPr>
          <w:color w:val="231F20"/>
          <w:sz w:val="20"/>
        </w:rPr>
        <w:t>1-</w:t>
      </w:r>
      <w:r>
        <w:rPr>
          <w:color w:val="231F20"/>
          <w:spacing w:val="-3"/>
          <w:sz w:val="20"/>
        </w:rPr>
        <w:t> </w:t>
      </w:r>
      <w:r>
        <w:rPr>
          <w:color w:val="231F20"/>
          <w:sz w:val="20"/>
        </w:rPr>
        <w:t>percentage-point</w:t>
      </w:r>
      <w:r>
        <w:rPr>
          <w:color w:val="231F20"/>
          <w:spacing w:val="-3"/>
          <w:sz w:val="20"/>
        </w:rPr>
        <w:t> </w:t>
      </w:r>
      <w:r>
        <w:rPr>
          <w:color w:val="231F20"/>
          <w:sz w:val="20"/>
        </w:rPr>
        <w:t>lower</w:t>
      </w:r>
      <w:r>
        <w:rPr>
          <w:color w:val="231F20"/>
          <w:spacing w:val="-3"/>
          <w:sz w:val="20"/>
        </w:rPr>
        <w:t> </w:t>
      </w:r>
      <w:r>
        <w:rPr>
          <w:color w:val="231F20"/>
          <w:sz w:val="20"/>
        </w:rPr>
        <w:t>(6.00 percent) or 1-percentage-point higher (8.00 percent) than the current rate:</w:t>
      </w:r>
    </w:p>
    <w:p>
      <w:pPr>
        <w:pStyle w:val="BodyText"/>
        <w:spacing w:before="4"/>
        <w:rPr>
          <w:sz w:val="16"/>
        </w:rPr>
      </w:pPr>
    </w:p>
    <w:p>
      <w:pPr>
        <w:tabs>
          <w:tab w:pos="6446" w:val="left" w:leader="none"/>
          <w:tab w:pos="8518" w:val="left" w:leader="none"/>
        </w:tabs>
        <w:spacing w:before="95"/>
        <w:ind w:left="4638" w:right="0" w:firstLine="0"/>
        <w:jc w:val="center"/>
        <w:rPr>
          <w:sz w:val="18"/>
        </w:rPr>
      </w:pPr>
      <w:r>
        <w:rPr>
          <w:color w:val="231F20"/>
          <w:sz w:val="18"/>
        </w:rPr>
        <w:t>1%</w:t>
      </w:r>
      <w:r>
        <w:rPr>
          <w:color w:val="231F20"/>
          <w:spacing w:val="4"/>
          <w:sz w:val="18"/>
        </w:rPr>
        <w:t> </w:t>
      </w:r>
      <w:r>
        <w:rPr>
          <w:color w:val="231F20"/>
          <w:spacing w:val="-2"/>
          <w:sz w:val="18"/>
        </w:rPr>
        <w:t>Decrease</w:t>
      </w:r>
      <w:r>
        <w:rPr>
          <w:color w:val="231F20"/>
          <w:sz w:val="18"/>
        </w:rPr>
        <w:tab/>
        <w:t>Current</w:t>
      </w:r>
      <w:r>
        <w:rPr>
          <w:color w:val="231F20"/>
          <w:spacing w:val="6"/>
          <w:sz w:val="18"/>
        </w:rPr>
        <w:t> </w:t>
      </w:r>
      <w:r>
        <w:rPr>
          <w:color w:val="231F20"/>
          <w:spacing w:val="-2"/>
          <w:sz w:val="18"/>
        </w:rPr>
        <w:t>Discount</w:t>
      </w:r>
      <w:r>
        <w:rPr>
          <w:color w:val="231F20"/>
          <w:sz w:val="18"/>
        </w:rPr>
        <w:tab/>
        <w:t>1%</w:t>
      </w:r>
      <w:r>
        <w:rPr>
          <w:color w:val="231F20"/>
          <w:spacing w:val="4"/>
          <w:sz w:val="18"/>
        </w:rPr>
        <w:t> </w:t>
      </w:r>
      <w:r>
        <w:rPr>
          <w:color w:val="231F20"/>
          <w:spacing w:val="-2"/>
          <w:sz w:val="18"/>
        </w:rPr>
        <w:t>Increase</w:t>
      </w:r>
    </w:p>
    <w:p>
      <w:pPr>
        <w:tabs>
          <w:tab w:pos="6452" w:val="left" w:leader="none"/>
          <w:tab w:pos="8617" w:val="left" w:leader="none"/>
        </w:tabs>
        <w:spacing w:before="28"/>
        <w:ind w:left="4727" w:right="0" w:firstLine="0"/>
        <w:jc w:val="center"/>
        <w:rPr>
          <w:sz w:val="18"/>
        </w:rPr>
      </w:pPr>
      <w:r>
        <w:rPr/>
        <w:pict>
          <v:group style="position:absolute;margin-left:271.44101pt;margin-top:12.274346pt;width:81pt;height:1.05pt;mso-position-horizontal-relative:page;mso-position-vertical-relative:paragraph;z-index:-15663104;mso-wrap-distance-left:0;mso-wrap-distance-right:0" id="docshapegroup366" coordorigin="5429,245" coordsize="1620,21">
            <v:line style="position:absolute" from="5429,246" to="7049,246" stroked="true" strokeweight=".06pt" strokecolor="#231f20">
              <v:stroke dashstyle="solid"/>
            </v:line>
            <v:rect style="position:absolute;left:5428;top:247;width:1620;height:20" id="docshape367" filled="true" fillcolor="#231f20" stroked="false">
              <v:fill type="solid"/>
            </v:rect>
            <w10:wrap type="topAndBottom"/>
          </v:group>
        </w:pict>
      </w:r>
      <w:r>
        <w:rPr/>
        <w:pict>
          <v:group style="position:absolute;margin-left:368.700989pt;margin-top:12.274346pt;width:81pt;height:1.05pt;mso-position-horizontal-relative:page;mso-position-vertical-relative:paragraph;z-index:-15662592;mso-wrap-distance-left:0;mso-wrap-distance-right:0" id="docshapegroup368" coordorigin="7374,245" coordsize="1620,21">
            <v:line style="position:absolute" from="7374,246" to="8994,246" stroked="true" strokeweight=".06pt" strokecolor="#231f20">
              <v:stroke dashstyle="solid"/>
            </v:line>
            <v:rect style="position:absolute;left:7375;top:247;width:1619;height:20" id="docshape369" filled="true" fillcolor="#231f20" stroked="false">
              <v:fill type="solid"/>
            </v:rect>
            <w10:wrap type="topAndBottom"/>
          </v:group>
        </w:pict>
      </w:r>
      <w:r>
        <w:rPr/>
        <w:pict>
          <v:group style="position:absolute;margin-left:465.960999pt;margin-top:12.274346pt;width:81.1pt;height:1.05pt;mso-position-horizontal-relative:page;mso-position-vertical-relative:paragraph;z-index:-15662080;mso-wrap-distance-left:0;mso-wrap-distance-right:0" id="docshapegroup370" coordorigin="9319,245" coordsize="1622,21">
            <v:line style="position:absolute" from="9319,246" to="10939,246" stroked="true" strokeweight=".06pt" strokecolor="#231f20">
              <v:stroke dashstyle="solid"/>
            </v:line>
            <v:rect style="position:absolute;left:9320;top:247;width:1620;height:20" id="docshape371" filled="true" fillcolor="#231f20" stroked="false">
              <v:fill type="solid"/>
            </v:rect>
            <w10:wrap type="topAndBottom"/>
          </v:group>
        </w:pict>
      </w:r>
      <w:r>
        <w:rPr>
          <w:color w:val="231F20"/>
          <w:spacing w:val="-2"/>
          <w:sz w:val="18"/>
        </w:rPr>
        <w:t>(6.00%)</w:t>
      </w:r>
      <w:r>
        <w:rPr>
          <w:color w:val="231F20"/>
          <w:sz w:val="18"/>
        </w:rPr>
        <w:tab/>
        <w:t>Rate</w:t>
      </w:r>
      <w:r>
        <w:rPr>
          <w:color w:val="231F20"/>
          <w:spacing w:val="6"/>
          <w:sz w:val="18"/>
        </w:rPr>
        <w:t> </w:t>
      </w:r>
      <w:r>
        <w:rPr>
          <w:color w:val="231F20"/>
          <w:spacing w:val="-2"/>
          <w:sz w:val="18"/>
        </w:rPr>
        <w:t>(7.00%)</w:t>
      </w:r>
      <w:r>
        <w:rPr>
          <w:color w:val="231F20"/>
          <w:sz w:val="18"/>
        </w:rPr>
        <w:tab/>
      </w:r>
      <w:r>
        <w:rPr>
          <w:color w:val="231F20"/>
          <w:spacing w:val="-2"/>
          <w:sz w:val="18"/>
        </w:rPr>
        <w:t>(8.00%)</w:t>
      </w:r>
    </w:p>
    <w:p>
      <w:pPr>
        <w:spacing w:before="135"/>
        <w:ind w:left="1485" w:right="0" w:firstLine="0"/>
        <w:jc w:val="left"/>
        <w:rPr>
          <w:sz w:val="18"/>
        </w:rPr>
      </w:pPr>
      <w:r>
        <w:rPr>
          <w:color w:val="231F20"/>
          <w:sz w:val="18"/>
        </w:rPr>
        <w:t>Institute's</w:t>
      </w:r>
      <w:r>
        <w:rPr>
          <w:color w:val="231F20"/>
          <w:spacing w:val="8"/>
          <w:sz w:val="18"/>
        </w:rPr>
        <w:t> </w:t>
      </w:r>
      <w:r>
        <w:rPr>
          <w:color w:val="231F20"/>
          <w:sz w:val="18"/>
        </w:rPr>
        <w:t>proportionate</w:t>
      </w:r>
      <w:r>
        <w:rPr>
          <w:color w:val="231F20"/>
          <w:spacing w:val="8"/>
          <w:sz w:val="18"/>
        </w:rPr>
        <w:t> </w:t>
      </w:r>
      <w:r>
        <w:rPr>
          <w:color w:val="231F20"/>
          <w:sz w:val="18"/>
        </w:rPr>
        <w:t>share</w:t>
      </w:r>
      <w:r>
        <w:rPr>
          <w:color w:val="231F20"/>
          <w:spacing w:val="10"/>
          <w:sz w:val="18"/>
        </w:rPr>
        <w:t> </w:t>
      </w:r>
      <w:r>
        <w:rPr>
          <w:color w:val="231F20"/>
          <w:sz w:val="18"/>
        </w:rPr>
        <w:t>of</w:t>
      </w:r>
      <w:r>
        <w:rPr>
          <w:color w:val="231F20"/>
          <w:spacing w:val="11"/>
          <w:sz w:val="18"/>
        </w:rPr>
        <w:t> </w:t>
      </w:r>
      <w:r>
        <w:rPr>
          <w:color w:val="231F20"/>
          <w:spacing w:val="-5"/>
          <w:sz w:val="18"/>
        </w:rPr>
        <w:t>the</w:t>
      </w:r>
    </w:p>
    <w:p>
      <w:pPr>
        <w:spacing w:after="0"/>
        <w:jc w:val="left"/>
        <w:rPr>
          <w:sz w:val="18"/>
        </w:rPr>
        <w:sectPr>
          <w:pgSz w:w="12240" w:h="15840"/>
          <w:pgMar w:header="1282" w:footer="1097" w:top="1900" w:bottom="1280" w:left="0" w:right="580"/>
        </w:sectPr>
      </w:pPr>
    </w:p>
    <w:p>
      <w:pPr>
        <w:spacing w:before="28"/>
        <w:ind w:left="1628" w:right="0" w:firstLine="0"/>
        <w:jc w:val="left"/>
        <w:rPr>
          <w:sz w:val="18"/>
        </w:rPr>
      </w:pPr>
      <w:r>
        <w:rPr>
          <w:color w:val="231F20"/>
          <w:sz w:val="18"/>
        </w:rPr>
        <w:t>net</w:t>
      </w:r>
      <w:r>
        <w:rPr>
          <w:color w:val="231F20"/>
          <w:spacing w:val="4"/>
          <w:sz w:val="18"/>
        </w:rPr>
        <w:t> </w:t>
      </w:r>
      <w:r>
        <w:rPr>
          <w:color w:val="231F20"/>
          <w:sz w:val="18"/>
        </w:rPr>
        <w:t>pension</w:t>
      </w:r>
      <w:r>
        <w:rPr>
          <w:color w:val="231F20"/>
          <w:spacing w:val="5"/>
          <w:sz w:val="18"/>
        </w:rPr>
        <w:t> </w:t>
      </w:r>
      <w:r>
        <w:rPr>
          <w:color w:val="231F20"/>
          <w:spacing w:val="-2"/>
          <w:sz w:val="18"/>
        </w:rPr>
        <w:t>liability</w:t>
      </w:r>
    </w:p>
    <w:p>
      <w:pPr>
        <w:tabs>
          <w:tab w:pos="2035" w:val="left" w:leader="none"/>
        </w:tabs>
        <w:spacing w:before="28"/>
        <w:ind w:left="1628" w:right="0" w:firstLine="0"/>
        <w:jc w:val="left"/>
        <w:rPr>
          <w:sz w:val="18"/>
        </w:rPr>
      </w:pPr>
      <w:r>
        <w:rPr/>
        <w:br w:type="column"/>
      </w:r>
      <w:r>
        <w:rPr>
          <w:color w:val="231F20"/>
          <w:spacing w:val="-10"/>
          <w:sz w:val="18"/>
        </w:rPr>
        <w:t>$</w:t>
      </w:r>
      <w:r>
        <w:rPr>
          <w:color w:val="231F20"/>
          <w:sz w:val="18"/>
        </w:rPr>
        <w:tab/>
      </w:r>
      <w:r>
        <w:rPr>
          <w:color w:val="231F20"/>
          <w:spacing w:val="-2"/>
          <w:sz w:val="18"/>
        </w:rPr>
        <w:t>129,032,864</w:t>
      </w:r>
    </w:p>
    <w:p>
      <w:pPr>
        <w:tabs>
          <w:tab w:pos="990" w:val="left" w:leader="none"/>
        </w:tabs>
        <w:spacing w:before="28"/>
        <w:ind w:left="479" w:right="0" w:firstLine="0"/>
        <w:jc w:val="left"/>
        <w:rPr>
          <w:sz w:val="18"/>
        </w:rPr>
      </w:pPr>
      <w:r>
        <w:rPr/>
        <w:br w:type="column"/>
      </w:r>
      <w:r>
        <w:rPr>
          <w:color w:val="231F20"/>
          <w:spacing w:val="-10"/>
          <w:sz w:val="18"/>
        </w:rPr>
        <w:t>$</w:t>
      </w:r>
      <w:r>
        <w:rPr>
          <w:color w:val="231F20"/>
          <w:sz w:val="18"/>
        </w:rPr>
        <w:tab/>
      </w:r>
      <w:r>
        <w:rPr>
          <w:color w:val="231F20"/>
          <w:spacing w:val="-2"/>
          <w:sz w:val="18"/>
        </w:rPr>
        <w:t>91,132,064</w:t>
      </w:r>
    </w:p>
    <w:p>
      <w:pPr>
        <w:tabs>
          <w:tab w:pos="988" w:val="left" w:leader="none"/>
        </w:tabs>
        <w:spacing w:before="28"/>
        <w:ind w:left="477" w:right="0" w:firstLine="0"/>
        <w:jc w:val="left"/>
        <w:rPr>
          <w:sz w:val="18"/>
        </w:rPr>
      </w:pPr>
      <w:r>
        <w:rPr/>
        <w:br w:type="column"/>
      </w:r>
      <w:r>
        <w:rPr>
          <w:color w:val="231F20"/>
          <w:spacing w:val="-10"/>
          <w:sz w:val="18"/>
        </w:rPr>
        <w:t>$</w:t>
      </w:r>
      <w:r>
        <w:rPr>
          <w:color w:val="231F20"/>
          <w:sz w:val="18"/>
        </w:rPr>
        <w:tab/>
      </w:r>
      <w:r>
        <w:rPr>
          <w:color w:val="231F20"/>
          <w:spacing w:val="-2"/>
          <w:sz w:val="18"/>
        </w:rPr>
        <w:t>59,810,838</w:t>
      </w:r>
    </w:p>
    <w:p>
      <w:pPr>
        <w:spacing w:after="0"/>
        <w:jc w:val="left"/>
        <w:rPr>
          <w:sz w:val="18"/>
        </w:rPr>
        <w:sectPr>
          <w:type w:val="continuous"/>
          <w:pgSz w:w="12240" w:h="15840"/>
          <w:pgMar w:header="1282" w:footer="1097" w:top="1460" w:bottom="280" w:left="0" w:right="580"/>
          <w:cols w:num="4" w:equalWidth="0">
            <w:col w:w="3215" w:space="683"/>
            <w:col w:w="3055" w:space="39"/>
            <w:col w:w="1908" w:space="39"/>
            <w:col w:w="2721"/>
          </w:cols>
        </w:sectPr>
      </w:pPr>
    </w:p>
    <w:p>
      <w:pPr>
        <w:pStyle w:val="BodyText"/>
        <w:spacing w:before="1"/>
        <w:rPr>
          <w:sz w:val="18"/>
        </w:rPr>
      </w:pPr>
    </w:p>
    <w:p>
      <w:pPr>
        <w:pStyle w:val="BodyText"/>
        <w:spacing w:line="276" w:lineRule="auto" w:before="94"/>
        <w:ind w:left="1440" w:right="938"/>
        <w:jc w:val="both"/>
      </w:pPr>
      <w:r>
        <w:rPr>
          <w:i/>
          <w:color w:val="231F20"/>
        </w:rPr>
        <w:t>Pension</w:t>
      </w:r>
      <w:r>
        <w:rPr>
          <w:i/>
          <w:color w:val="231F20"/>
          <w:spacing w:val="-4"/>
        </w:rPr>
        <w:t> </w:t>
      </w:r>
      <w:r>
        <w:rPr>
          <w:i/>
          <w:color w:val="231F20"/>
        </w:rPr>
        <w:t>Plan</w:t>
      </w:r>
      <w:r>
        <w:rPr>
          <w:i/>
          <w:color w:val="231F20"/>
          <w:spacing w:val="-4"/>
        </w:rPr>
        <w:t> </w:t>
      </w:r>
      <w:r>
        <w:rPr>
          <w:i/>
          <w:color w:val="231F20"/>
        </w:rPr>
        <w:t>Fiduciary</w:t>
      </w:r>
      <w:r>
        <w:rPr>
          <w:i/>
          <w:color w:val="231F20"/>
          <w:spacing w:val="-4"/>
        </w:rPr>
        <w:t> </w:t>
      </w:r>
      <w:r>
        <w:rPr>
          <w:i/>
          <w:color w:val="231F20"/>
        </w:rPr>
        <w:t>Net</w:t>
      </w:r>
      <w:r>
        <w:rPr>
          <w:i/>
          <w:color w:val="231F20"/>
          <w:spacing w:val="-4"/>
        </w:rPr>
        <w:t> </w:t>
      </w:r>
      <w:r>
        <w:rPr>
          <w:i/>
          <w:color w:val="231F20"/>
        </w:rPr>
        <w:t>Position</w:t>
      </w:r>
      <w:r>
        <w:rPr>
          <w:i/>
          <w:color w:val="231F20"/>
          <w:spacing w:val="-2"/>
        </w:rPr>
        <w:t> </w:t>
      </w:r>
      <w:r>
        <w:rPr>
          <w:color w:val="231F20"/>
        </w:rPr>
        <w:t>–</w:t>
      </w:r>
      <w:r>
        <w:rPr>
          <w:color w:val="231F20"/>
          <w:spacing w:val="-4"/>
        </w:rPr>
        <w:t> </w:t>
      </w:r>
      <w:r>
        <w:rPr>
          <w:color w:val="231F20"/>
        </w:rPr>
        <w:t>Detailed</w:t>
      </w:r>
      <w:r>
        <w:rPr>
          <w:color w:val="231F20"/>
          <w:spacing w:val="-4"/>
        </w:rPr>
        <w:t> </w:t>
      </w:r>
      <w:r>
        <w:rPr>
          <w:color w:val="231F20"/>
        </w:rPr>
        <w:t>information</w:t>
      </w:r>
      <w:r>
        <w:rPr>
          <w:color w:val="231F20"/>
          <w:spacing w:val="-4"/>
        </w:rPr>
        <w:t> </w:t>
      </w:r>
      <w:r>
        <w:rPr>
          <w:color w:val="231F20"/>
        </w:rPr>
        <w:t>about</w:t>
      </w:r>
      <w:r>
        <w:rPr>
          <w:color w:val="231F20"/>
          <w:spacing w:val="-4"/>
        </w:rPr>
        <w:t> </w:t>
      </w:r>
      <w:r>
        <w:rPr>
          <w:color w:val="231F20"/>
        </w:rPr>
        <w:t>the</w:t>
      </w:r>
      <w:r>
        <w:rPr>
          <w:color w:val="231F20"/>
          <w:spacing w:val="-4"/>
        </w:rPr>
        <w:t> </w:t>
      </w:r>
      <w:r>
        <w:rPr>
          <w:color w:val="231F20"/>
        </w:rPr>
        <w:t>pension</w:t>
      </w:r>
      <w:r>
        <w:rPr>
          <w:color w:val="231F20"/>
          <w:spacing w:val="-4"/>
        </w:rPr>
        <w:t> </w:t>
      </w:r>
      <w:r>
        <w:rPr>
          <w:color w:val="231F20"/>
        </w:rPr>
        <w:t>plan’s</w:t>
      </w:r>
      <w:r>
        <w:rPr>
          <w:color w:val="231F20"/>
          <w:spacing w:val="-4"/>
        </w:rPr>
        <w:t> </w:t>
      </w:r>
      <w:r>
        <w:rPr>
          <w:color w:val="231F20"/>
        </w:rPr>
        <w:t>fiduciary</w:t>
      </w:r>
      <w:r>
        <w:rPr>
          <w:color w:val="231F20"/>
          <w:spacing w:val="-4"/>
        </w:rPr>
        <w:t> </w:t>
      </w:r>
      <w:r>
        <w:rPr>
          <w:color w:val="231F20"/>
        </w:rPr>
        <w:t>net</w:t>
      </w:r>
      <w:r>
        <w:rPr>
          <w:color w:val="231F20"/>
          <w:spacing w:val="-4"/>
        </w:rPr>
        <w:t> </w:t>
      </w:r>
      <w:r>
        <w:rPr>
          <w:color w:val="231F20"/>
        </w:rPr>
        <w:t>position is</w:t>
      </w:r>
      <w:r>
        <w:rPr>
          <w:color w:val="231F20"/>
          <w:spacing w:val="-1"/>
        </w:rPr>
        <w:t> </w:t>
      </w:r>
      <w:r>
        <w:rPr>
          <w:color w:val="231F20"/>
        </w:rPr>
        <w:t>available</w:t>
      </w:r>
      <w:r>
        <w:rPr>
          <w:color w:val="231F20"/>
          <w:spacing w:val="-1"/>
        </w:rPr>
        <w:t> </w:t>
      </w:r>
      <w:r>
        <w:rPr>
          <w:color w:val="231F20"/>
        </w:rPr>
        <w:t>in</w:t>
      </w:r>
      <w:r>
        <w:rPr>
          <w:color w:val="231F20"/>
          <w:spacing w:val="-2"/>
        </w:rPr>
        <w:t> </w:t>
      </w:r>
      <w:r>
        <w:rPr>
          <w:color w:val="231F20"/>
        </w:rPr>
        <w:t>separately issued</w:t>
      </w:r>
      <w:r>
        <w:rPr>
          <w:color w:val="231F20"/>
          <w:spacing w:val="-1"/>
        </w:rPr>
        <w:t> </w:t>
      </w:r>
      <w:r>
        <w:rPr>
          <w:color w:val="231F20"/>
        </w:rPr>
        <w:t>NMERB’S</w:t>
      </w:r>
      <w:r>
        <w:rPr>
          <w:color w:val="231F20"/>
          <w:spacing w:val="-1"/>
        </w:rPr>
        <w:t> </w:t>
      </w:r>
      <w:r>
        <w:rPr>
          <w:color w:val="231F20"/>
        </w:rPr>
        <w:t>financial</w:t>
      </w:r>
      <w:r>
        <w:rPr>
          <w:color w:val="231F20"/>
          <w:spacing w:val="-1"/>
        </w:rPr>
        <w:t> </w:t>
      </w:r>
      <w:r>
        <w:rPr>
          <w:color w:val="231F20"/>
        </w:rPr>
        <w:t>reports.</w:t>
      </w:r>
      <w:r>
        <w:rPr>
          <w:color w:val="231F20"/>
          <w:spacing w:val="-1"/>
        </w:rPr>
        <w:t> </w:t>
      </w:r>
      <w:r>
        <w:rPr>
          <w:color w:val="231F20"/>
        </w:rPr>
        <w:t>The</w:t>
      </w:r>
      <w:r>
        <w:rPr>
          <w:color w:val="231F20"/>
          <w:spacing w:val="-1"/>
        </w:rPr>
        <w:t> </w:t>
      </w:r>
      <w:r>
        <w:rPr>
          <w:color w:val="231F20"/>
        </w:rPr>
        <w:t>reports</w:t>
      </w:r>
      <w:r>
        <w:rPr>
          <w:color w:val="231F20"/>
          <w:spacing w:val="-2"/>
        </w:rPr>
        <w:t> </w:t>
      </w:r>
      <w:r>
        <w:rPr>
          <w:color w:val="231F20"/>
        </w:rPr>
        <w:t>can</w:t>
      </w:r>
      <w:r>
        <w:rPr>
          <w:color w:val="231F20"/>
          <w:spacing w:val="-1"/>
        </w:rPr>
        <w:t> </w:t>
      </w:r>
      <w:r>
        <w:rPr>
          <w:color w:val="231F20"/>
        </w:rPr>
        <w:t>be</w:t>
      </w:r>
      <w:r>
        <w:rPr>
          <w:color w:val="231F20"/>
          <w:spacing w:val="-1"/>
        </w:rPr>
        <w:t> </w:t>
      </w:r>
      <w:r>
        <w:rPr>
          <w:color w:val="231F20"/>
        </w:rPr>
        <w:t>found</w:t>
      </w:r>
      <w:r>
        <w:rPr>
          <w:color w:val="231F20"/>
          <w:spacing w:val="-1"/>
        </w:rPr>
        <w:t> </w:t>
      </w:r>
      <w:r>
        <w:rPr>
          <w:color w:val="231F20"/>
        </w:rPr>
        <w:t>on</w:t>
      </w:r>
      <w:r>
        <w:rPr>
          <w:color w:val="231F20"/>
          <w:spacing w:val="-1"/>
        </w:rPr>
        <w:t> </w:t>
      </w:r>
      <w:r>
        <w:rPr>
          <w:color w:val="231F20"/>
        </w:rPr>
        <w:t>NMERB’s</w:t>
      </w:r>
      <w:r>
        <w:rPr>
          <w:color w:val="231F20"/>
          <w:spacing w:val="-2"/>
        </w:rPr>
        <w:t> </w:t>
      </w:r>
      <w:r>
        <w:rPr>
          <w:color w:val="231F20"/>
        </w:rPr>
        <w:t>Web site at </w:t>
      </w:r>
      <w:hyperlink r:id="rId46">
        <w:r>
          <w:rPr>
            <w:color w:val="2864B0"/>
            <w:u w:val="single" w:color="2864B0"/>
          </w:rPr>
          <w:t>https://www.nmerb.org/Annual_reports.html</w:t>
        </w:r>
      </w:hyperlink>
      <w:r>
        <w:rPr>
          <w:color w:val="231F20"/>
        </w:rPr>
        <w:t>.</w:t>
      </w:r>
    </w:p>
    <w:p>
      <w:pPr>
        <w:pStyle w:val="BodyText"/>
        <w:spacing w:before="9"/>
        <w:rPr>
          <w:sz w:val="14"/>
        </w:rPr>
      </w:pPr>
    </w:p>
    <w:p>
      <w:pPr>
        <w:pStyle w:val="BodyText"/>
        <w:spacing w:line="276" w:lineRule="auto" w:before="94"/>
        <w:ind w:left="1439" w:right="1048"/>
      </w:pPr>
      <w:r>
        <w:rPr>
          <w:color w:val="231F20"/>
        </w:rPr>
        <w:t>At</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2022,</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had</w:t>
      </w:r>
      <w:r>
        <w:rPr>
          <w:color w:val="231F20"/>
          <w:spacing w:val="-3"/>
        </w:rPr>
        <w:t> </w:t>
      </w:r>
      <w:r>
        <w:rPr>
          <w:color w:val="231F20"/>
        </w:rPr>
        <w:t>an</w:t>
      </w:r>
      <w:r>
        <w:rPr>
          <w:color w:val="231F20"/>
          <w:spacing w:val="-3"/>
        </w:rPr>
        <w:t> </w:t>
      </w:r>
      <w:r>
        <w:rPr>
          <w:color w:val="231F20"/>
        </w:rPr>
        <w:t>outstanding</w:t>
      </w:r>
      <w:r>
        <w:rPr>
          <w:color w:val="231F20"/>
          <w:spacing w:val="-3"/>
        </w:rPr>
        <w:t> </w:t>
      </w:r>
      <w:r>
        <w:rPr>
          <w:color w:val="231F20"/>
        </w:rPr>
        <w:t>payable</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Plan</w:t>
      </w:r>
      <w:r>
        <w:rPr>
          <w:color w:val="231F20"/>
          <w:spacing w:val="-3"/>
        </w:rPr>
        <w:t> </w:t>
      </w:r>
      <w:r>
        <w:rPr>
          <w:color w:val="231F20"/>
        </w:rPr>
        <w:t>of</w:t>
      </w:r>
      <w:r>
        <w:rPr>
          <w:color w:val="231F20"/>
          <w:spacing w:val="-3"/>
        </w:rPr>
        <w:t> </w:t>
      </w:r>
      <w:r>
        <w:rPr>
          <w:color w:val="231F20"/>
        </w:rPr>
        <w:t>$852,529,</w:t>
      </w:r>
      <w:r>
        <w:rPr>
          <w:color w:val="231F20"/>
          <w:spacing w:val="-3"/>
        </w:rPr>
        <w:t> </w:t>
      </w:r>
      <w:r>
        <w:rPr>
          <w:color w:val="231F20"/>
        </w:rPr>
        <w:t>which</w:t>
      </w:r>
      <w:r>
        <w:rPr>
          <w:color w:val="231F20"/>
          <w:spacing w:val="-3"/>
        </w:rPr>
        <w:t> </w:t>
      </w:r>
      <w:r>
        <w:rPr>
          <w:color w:val="231F20"/>
        </w:rPr>
        <w:t>consisted</w:t>
      </w:r>
      <w:r>
        <w:rPr>
          <w:color w:val="231F20"/>
          <w:spacing w:val="-3"/>
        </w:rPr>
        <w:t> </w:t>
      </w:r>
      <w:r>
        <w:rPr>
          <w:color w:val="231F20"/>
        </w:rPr>
        <w:t>of statutory employee and employer contributions for the month of June 2022.</w:t>
      </w:r>
    </w:p>
    <w:p>
      <w:pPr>
        <w:spacing w:after="0" w:line="276" w:lineRule="auto"/>
        <w:sectPr>
          <w:type w:val="continuous"/>
          <w:pgSz w:w="12240" w:h="15840"/>
          <w:pgMar w:header="1282" w:footer="1097" w:top="1460" w:bottom="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5"/>
        </w:rPr>
        <w:t> </w:t>
      </w:r>
      <w:r>
        <w:rPr>
          <w:color w:val="231F20"/>
        </w:rPr>
        <w:t>10</w:t>
      </w:r>
      <w:r>
        <w:rPr>
          <w:color w:val="231F20"/>
          <w:spacing w:val="-5"/>
        </w:rPr>
        <w:t> </w:t>
      </w:r>
      <w:r>
        <w:rPr>
          <w:color w:val="231F20"/>
        </w:rPr>
        <w:t>–</w:t>
      </w:r>
      <w:r>
        <w:rPr>
          <w:color w:val="231F20"/>
          <w:spacing w:val="-4"/>
        </w:rPr>
        <w:t> </w:t>
      </w:r>
      <w:r>
        <w:rPr>
          <w:color w:val="231F20"/>
        </w:rPr>
        <w:t>Defined</w:t>
      </w:r>
      <w:r>
        <w:rPr>
          <w:color w:val="231F20"/>
          <w:spacing w:val="-5"/>
        </w:rPr>
        <w:t> </w:t>
      </w:r>
      <w:r>
        <w:rPr>
          <w:color w:val="231F20"/>
        </w:rPr>
        <w:t>Contribution</w:t>
      </w:r>
      <w:r>
        <w:rPr>
          <w:color w:val="231F20"/>
          <w:spacing w:val="-5"/>
        </w:rPr>
        <w:t> </w:t>
      </w:r>
      <w:r>
        <w:rPr>
          <w:color w:val="231F20"/>
        </w:rPr>
        <w:t>Retirement</w:t>
      </w:r>
      <w:r>
        <w:rPr>
          <w:color w:val="231F20"/>
          <w:spacing w:val="-4"/>
        </w:rPr>
        <w:t> Plan</w:t>
      </w:r>
    </w:p>
    <w:p>
      <w:pPr>
        <w:pStyle w:val="BodyText"/>
        <w:rPr>
          <w:b/>
          <w:sz w:val="26"/>
        </w:rPr>
      </w:pPr>
    </w:p>
    <w:p>
      <w:pPr>
        <w:pStyle w:val="BodyText"/>
        <w:spacing w:line="276" w:lineRule="auto"/>
        <w:ind w:left="1440" w:right="891"/>
      </w:pPr>
      <w:r>
        <w:rPr>
          <w:color w:val="231F20"/>
        </w:rPr>
        <w:t>Effective October 1991, the New Mexico legislature established an Alternative Retirement Plan (ARP) through the enactment of ERA Sections 22-11-47 through 52 NMSA 1978 to provide eligible employees an election to establish an alternative retirement investment plan. In contrast to the defined benefit plan administered</w:t>
      </w:r>
      <w:r>
        <w:rPr>
          <w:color w:val="231F20"/>
          <w:spacing w:val="-4"/>
        </w:rPr>
        <w:t> </w:t>
      </w:r>
      <w:r>
        <w:rPr>
          <w:color w:val="231F20"/>
        </w:rPr>
        <w:t>by</w:t>
      </w:r>
      <w:r>
        <w:rPr>
          <w:color w:val="231F20"/>
          <w:spacing w:val="-3"/>
        </w:rPr>
        <w:t> </w:t>
      </w:r>
      <w:r>
        <w:rPr>
          <w:color w:val="231F20"/>
        </w:rPr>
        <w:t>NMERB,</w:t>
      </w:r>
      <w:r>
        <w:rPr>
          <w:color w:val="231F20"/>
          <w:spacing w:val="-3"/>
        </w:rPr>
        <w:t> </w:t>
      </w:r>
      <w:r>
        <w:rPr>
          <w:color w:val="231F20"/>
        </w:rPr>
        <w:t>the</w:t>
      </w:r>
      <w:r>
        <w:rPr>
          <w:color w:val="231F20"/>
          <w:spacing w:val="-3"/>
        </w:rPr>
        <w:t> </w:t>
      </w:r>
      <w:r>
        <w:rPr>
          <w:color w:val="231F20"/>
        </w:rPr>
        <w:t>ARP</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defined</w:t>
      </w:r>
      <w:r>
        <w:rPr>
          <w:color w:val="231F20"/>
          <w:spacing w:val="-3"/>
        </w:rPr>
        <w:t> </w:t>
      </w:r>
      <w:r>
        <w:rPr>
          <w:color w:val="231F20"/>
        </w:rPr>
        <w:t>contribution</w:t>
      </w:r>
      <w:r>
        <w:rPr>
          <w:color w:val="231F20"/>
          <w:spacing w:val="-3"/>
        </w:rPr>
        <w:t> </w:t>
      </w:r>
      <w:r>
        <w:rPr>
          <w:color w:val="231F20"/>
        </w:rPr>
        <w:t>plan.</w:t>
      </w:r>
      <w:r>
        <w:rPr>
          <w:color w:val="231F20"/>
          <w:spacing w:val="-3"/>
        </w:rPr>
        <w:t> </w:t>
      </w:r>
      <w:r>
        <w:rPr>
          <w:color w:val="231F20"/>
        </w:rPr>
        <w:t>NMERB</w:t>
      </w:r>
      <w:r>
        <w:rPr>
          <w:color w:val="231F20"/>
          <w:spacing w:val="-3"/>
        </w:rPr>
        <w:t> </w:t>
      </w:r>
      <w:r>
        <w:rPr>
          <w:color w:val="231F20"/>
        </w:rPr>
        <w:t>is</w:t>
      </w:r>
      <w:r>
        <w:rPr>
          <w:color w:val="231F20"/>
          <w:spacing w:val="-3"/>
        </w:rPr>
        <w:t> </w:t>
      </w:r>
      <w:r>
        <w:rPr>
          <w:color w:val="231F20"/>
        </w:rPr>
        <w:t>the</w:t>
      </w:r>
      <w:r>
        <w:rPr>
          <w:color w:val="231F20"/>
          <w:spacing w:val="-3"/>
        </w:rPr>
        <w:t> </w:t>
      </w:r>
      <w:r>
        <w:rPr>
          <w:color w:val="231F20"/>
        </w:rPr>
        <w:t>trustee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ARP</w:t>
      </w:r>
      <w:r>
        <w:rPr>
          <w:color w:val="231F20"/>
          <w:spacing w:val="-3"/>
        </w:rPr>
        <w:t> </w:t>
      </w:r>
      <w:r>
        <w:rPr>
          <w:color w:val="231F20"/>
        </w:rPr>
        <w:t>which is administered by two third-party contractors for NMERB. The two administrators approved to offer ARP plans to eligible participants are Teachers Insurance and Annuity Association (TIAA) and Fidelity </w:t>
      </w:r>
      <w:r>
        <w:rPr>
          <w:color w:val="231F20"/>
          <w:spacing w:val="-2"/>
        </w:rPr>
        <w:t>Investments.</w:t>
      </w:r>
    </w:p>
    <w:p>
      <w:pPr>
        <w:pStyle w:val="BodyText"/>
        <w:spacing w:before="11"/>
        <w:rPr>
          <w:sz w:val="22"/>
        </w:rPr>
      </w:pPr>
    </w:p>
    <w:p>
      <w:pPr>
        <w:pStyle w:val="BodyText"/>
        <w:spacing w:line="276" w:lineRule="auto"/>
        <w:ind w:left="1440" w:right="1048"/>
      </w:pPr>
      <w:r>
        <w:rPr>
          <w:color w:val="231F20"/>
        </w:rPr>
        <w:t>These administrators have the authority to perform record keeping, enrollment education services, and other</w:t>
      </w:r>
      <w:r>
        <w:rPr>
          <w:color w:val="231F20"/>
          <w:spacing w:val="-3"/>
        </w:rPr>
        <w:t> </w:t>
      </w:r>
      <w:r>
        <w:rPr>
          <w:color w:val="231F20"/>
        </w:rPr>
        <w:t>administrative</w:t>
      </w:r>
      <w:r>
        <w:rPr>
          <w:color w:val="231F20"/>
          <w:spacing w:val="-3"/>
        </w:rPr>
        <w:t> </w:t>
      </w:r>
      <w:r>
        <w:rPr>
          <w:color w:val="231F20"/>
        </w:rPr>
        <w:t>duties</w:t>
      </w:r>
      <w:r>
        <w:rPr>
          <w:color w:val="231F20"/>
          <w:spacing w:val="-4"/>
        </w:rPr>
        <w:t> </w:t>
      </w:r>
      <w:r>
        <w:rPr>
          <w:color w:val="231F20"/>
        </w:rPr>
        <w:t>for</w:t>
      </w:r>
      <w:r>
        <w:rPr>
          <w:color w:val="231F20"/>
          <w:spacing w:val="-3"/>
        </w:rPr>
        <w:t> </w:t>
      </w:r>
      <w:r>
        <w:rPr>
          <w:color w:val="231F20"/>
        </w:rPr>
        <w:t>the</w:t>
      </w:r>
      <w:r>
        <w:rPr>
          <w:color w:val="231F20"/>
          <w:spacing w:val="-3"/>
        </w:rPr>
        <w:t> </w:t>
      </w:r>
      <w:r>
        <w:rPr>
          <w:color w:val="231F20"/>
        </w:rPr>
        <w:t>ARP.</w:t>
      </w:r>
      <w:r>
        <w:rPr>
          <w:color w:val="231F20"/>
          <w:spacing w:val="-3"/>
        </w:rPr>
        <w:t> </w:t>
      </w:r>
      <w:r>
        <w:rPr>
          <w:color w:val="231F20"/>
        </w:rPr>
        <w:t>The</w:t>
      </w:r>
      <w:r>
        <w:rPr>
          <w:color w:val="231F20"/>
          <w:spacing w:val="-3"/>
        </w:rPr>
        <w:t> </w:t>
      </w:r>
      <w:r>
        <w:rPr>
          <w:color w:val="231F20"/>
        </w:rPr>
        <w:t>administrators</w:t>
      </w:r>
      <w:r>
        <w:rPr>
          <w:color w:val="231F20"/>
          <w:spacing w:val="-3"/>
        </w:rPr>
        <w:t> </w:t>
      </w:r>
      <w:r>
        <w:rPr>
          <w:color w:val="231F20"/>
        </w:rPr>
        <w:t>are</w:t>
      </w:r>
      <w:r>
        <w:rPr>
          <w:color w:val="231F20"/>
          <w:spacing w:val="-3"/>
        </w:rPr>
        <w:t> </w:t>
      </w:r>
      <w:r>
        <w:rPr>
          <w:color w:val="231F20"/>
        </w:rPr>
        <w:t>delegated</w:t>
      </w:r>
      <w:r>
        <w:rPr>
          <w:color w:val="231F20"/>
          <w:spacing w:val="-3"/>
        </w:rPr>
        <w:t> </w:t>
      </w:r>
      <w:r>
        <w:rPr>
          <w:color w:val="231F20"/>
        </w:rPr>
        <w:t>any</w:t>
      </w:r>
      <w:r>
        <w:rPr>
          <w:color w:val="231F20"/>
          <w:spacing w:val="-3"/>
        </w:rPr>
        <w:t> </w:t>
      </w:r>
      <w:r>
        <w:rPr>
          <w:color w:val="231F20"/>
        </w:rPr>
        <w:t>and</w:t>
      </w:r>
      <w:r>
        <w:rPr>
          <w:color w:val="231F20"/>
          <w:spacing w:val="-3"/>
        </w:rPr>
        <w:t> </w:t>
      </w:r>
      <w:r>
        <w:rPr>
          <w:color w:val="231F20"/>
        </w:rPr>
        <w:t>all</w:t>
      </w:r>
      <w:r>
        <w:rPr>
          <w:color w:val="231F20"/>
          <w:spacing w:val="-3"/>
        </w:rPr>
        <w:t> </w:t>
      </w:r>
      <w:r>
        <w:rPr>
          <w:color w:val="231F20"/>
        </w:rPr>
        <w:t>powers</w:t>
      </w:r>
      <w:r>
        <w:rPr>
          <w:color w:val="231F20"/>
          <w:spacing w:val="-3"/>
        </w:rPr>
        <w:t> </w:t>
      </w:r>
      <w:r>
        <w:rPr>
          <w:color w:val="231F20"/>
        </w:rPr>
        <w:t>as</w:t>
      </w:r>
      <w:r>
        <w:rPr>
          <w:color w:val="231F20"/>
          <w:spacing w:val="-3"/>
        </w:rPr>
        <w:t> </w:t>
      </w:r>
      <w:r>
        <w:rPr>
          <w:color w:val="231F20"/>
        </w:rPr>
        <w:t>may</w:t>
      </w:r>
      <w:r>
        <w:rPr>
          <w:color w:val="231F20"/>
          <w:spacing w:val="-3"/>
        </w:rPr>
        <w:t> </w:t>
      </w:r>
      <w:r>
        <w:rPr>
          <w:color w:val="231F20"/>
        </w:rPr>
        <w:t>be necessary</w:t>
      </w:r>
      <w:r>
        <w:rPr>
          <w:color w:val="231F20"/>
          <w:spacing w:val="-1"/>
        </w:rPr>
        <w:t> </w:t>
      </w:r>
      <w:r>
        <w:rPr>
          <w:color w:val="231F20"/>
        </w:rPr>
        <w:t>or</w:t>
      </w:r>
      <w:r>
        <w:rPr>
          <w:color w:val="231F20"/>
          <w:spacing w:val="-2"/>
        </w:rPr>
        <w:t> </w:t>
      </w:r>
      <w:r>
        <w:rPr>
          <w:color w:val="231F20"/>
        </w:rPr>
        <w:t>advisable</w:t>
      </w:r>
      <w:r>
        <w:rPr>
          <w:color w:val="231F20"/>
          <w:spacing w:val="-1"/>
        </w:rPr>
        <w:t> </w:t>
      </w:r>
      <w:r>
        <w:rPr>
          <w:color w:val="231F20"/>
        </w:rPr>
        <w:t>to</w:t>
      </w:r>
      <w:r>
        <w:rPr>
          <w:color w:val="231F20"/>
          <w:spacing w:val="-1"/>
        </w:rPr>
        <w:t> </w:t>
      </w:r>
      <w:r>
        <w:rPr>
          <w:color w:val="231F20"/>
        </w:rPr>
        <w:t>discharge</w:t>
      </w:r>
      <w:r>
        <w:rPr>
          <w:color w:val="231F20"/>
          <w:spacing w:val="-1"/>
        </w:rPr>
        <w:t> </w:t>
      </w:r>
      <w:r>
        <w:rPr>
          <w:color w:val="231F20"/>
        </w:rPr>
        <w:t>their</w:t>
      </w:r>
      <w:r>
        <w:rPr>
          <w:color w:val="231F20"/>
          <w:spacing w:val="-1"/>
        </w:rPr>
        <w:t> </w:t>
      </w:r>
      <w:r>
        <w:rPr>
          <w:color w:val="231F20"/>
        </w:rPr>
        <w:t>duties</w:t>
      </w:r>
      <w:r>
        <w:rPr>
          <w:color w:val="231F20"/>
          <w:spacing w:val="-1"/>
        </w:rPr>
        <w:t> </w:t>
      </w:r>
      <w:r>
        <w:rPr>
          <w:color w:val="231F20"/>
        </w:rPr>
        <w:t>under</w:t>
      </w:r>
      <w:r>
        <w:rPr>
          <w:color w:val="231F20"/>
          <w:spacing w:val="-1"/>
        </w:rPr>
        <w:t> </w:t>
      </w:r>
      <w:r>
        <w:rPr>
          <w:color w:val="231F20"/>
        </w:rPr>
        <w:t>the</w:t>
      </w:r>
      <w:r>
        <w:rPr>
          <w:color w:val="231F20"/>
          <w:spacing w:val="-1"/>
        </w:rPr>
        <w:t> </w:t>
      </w:r>
      <w:r>
        <w:rPr>
          <w:color w:val="231F20"/>
        </w:rPr>
        <w:t>ARP</w:t>
      </w:r>
      <w:r>
        <w:rPr>
          <w:color w:val="231F20"/>
          <w:spacing w:val="-1"/>
        </w:rPr>
        <w:t> </w:t>
      </w:r>
      <w:r>
        <w:rPr>
          <w:color w:val="231F20"/>
        </w:rPr>
        <w:t>and</w:t>
      </w:r>
      <w:r>
        <w:rPr>
          <w:color w:val="231F20"/>
          <w:spacing w:val="-1"/>
        </w:rPr>
        <w:t> </w:t>
      </w:r>
      <w:r>
        <w:rPr>
          <w:color w:val="231F20"/>
        </w:rPr>
        <w:t>have</w:t>
      </w:r>
      <w:r>
        <w:rPr>
          <w:color w:val="231F20"/>
          <w:spacing w:val="-1"/>
        </w:rPr>
        <w:t> </w:t>
      </w:r>
      <w:r>
        <w:rPr>
          <w:color w:val="231F20"/>
        </w:rPr>
        <w:t>certain</w:t>
      </w:r>
      <w:r>
        <w:rPr>
          <w:color w:val="231F20"/>
          <w:spacing w:val="-1"/>
        </w:rPr>
        <w:t> </w:t>
      </w:r>
      <w:r>
        <w:rPr>
          <w:color w:val="231F20"/>
        </w:rPr>
        <w:t>discretionary</w:t>
      </w:r>
      <w:r>
        <w:rPr>
          <w:color w:val="231F20"/>
          <w:spacing w:val="-1"/>
        </w:rPr>
        <w:t> </w:t>
      </w:r>
      <w:r>
        <w:rPr>
          <w:color w:val="231F20"/>
        </w:rPr>
        <w:t>authority to decide matters under the ARP. As the ARP trustee, NMERB is responsible for selecting investment options that provide a prudent rate of return, and to ensure that all investments, amounts, property, and rights under the executed Plan-Trust are held for the exclusive benefit of Plan participants and their beneficiaries, as defined in the Plan Document.</w:t>
      </w:r>
    </w:p>
    <w:p>
      <w:pPr>
        <w:pStyle w:val="BodyText"/>
        <w:spacing w:before="11"/>
        <w:rPr>
          <w:sz w:val="22"/>
        </w:rPr>
      </w:pPr>
    </w:p>
    <w:p>
      <w:pPr>
        <w:pStyle w:val="BodyText"/>
        <w:spacing w:line="276" w:lineRule="auto"/>
        <w:ind w:left="1440" w:right="891"/>
      </w:pPr>
      <w:r>
        <w:rPr>
          <w:i/>
          <w:color w:val="231F20"/>
        </w:rPr>
        <w:t>Eligibility</w:t>
      </w:r>
      <w:r>
        <w:rPr>
          <w:i/>
          <w:color w:val="231F20"/>
          <w:spacing w:val="-2"/>
        </w:rPr>
        <w:t> </w:t>
      </w:r>
      <w:r>
        <w:rPr>
          <w:color w:val="231F20"/>
        </w:rPr>
        <w:t>–</w:t>
      </w:r>
      <w:r>
        <w:rPr>
          <w:color w:val="231F20"/>
          <w:spacing w:val="-3"/>
        </w:rPr>
        <w:t> </w:t>
      </w:r>
      <w:r>
        <w:rPr>
          <w:color w:val="231F20"/>
        </w:rPr>
        <w:t>Certain</w:t>
      </w:r>
      <w:r>
        <w:rPr>
          <w:color w:val="231F20"/>
          <w:spacing w:val="-3"/>
        </w:rPr>
        <w:t> </w:t>
      </w:r>
      <w:r>
        <w:rPr>
          <w:color w:val="231F20"/>
        </w:rPr>
        <w:t>eligible</w:t>
      </w:r>
      <w:r>
        <w:rPr>
          <w:color w:val="231F20"/>
          <w:spacing w:val="-4"/>
        </w:rPr>
        <w:t> </w:t>
      </w:r>
      <w:r>
        <w:rPr>
          <w:color w:val="231F20"/>
        </w:rPr>
        <w:t>employees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Institute</w:t>
      </w:r>
      <w:r>
        <w:rPr>
          <w:color w:val="231F20"/>
          <w:spacing w:val="-2"/>
        </w:rPr>
        <w:t> </w:t>
      </w:r>
      <w:r>
        <w:rPr>
          <w:color w:val="231F20"/>
        </w:rPr>
        <w:t>are</w:t>
      </w:r>
      <w:r>
        <w:rPr>
          <w:color w:val="231F20"/>
          <w:spacing w:val="-3"/>
        </w:rPr>
        <w:t> </w:t>
      </w:r>
      <w:r>
        <w:rPr>
          <w:color w:val="231F20"/>
        </w:rPr>
        <w:t>eligible</w:t>
      </w:r>
      <w:r>
        <w:rPr>
          <w:color w:val="231F20"/>
          <w:spacing w:val="-3"/>
        </w:rPr>
        <w:t> </w:t>
      </w:r>
      <w:r>
        <w:rPr>
          <w:color w:val="231F20"/>
        </w:rPr>
        <w:t>to</w:t>
      </w:r>
      <w:r>
        <w:rPr>
          <w:color w:val="231F20"/>
          <w:spacing w:val="-4"/>
        </w:rPr>
        <w:t> </w:t>
      </w:r>
      <w:r>
        <w:rPr>
          <w:color w:val="231F20"/>
        </w:rPr>
        <w:t>make</w:t>
      </w:r>
      <w:r>
        <w:rPr>
          <w:color w:val="231F20"/>
          <w:spacing w:val="-3"/>
        </w:rPr>
        <w:t> </w:t>
      </w:r>
      <w:r>
        <w:rPr>
          <w:color w:val="231F20"/>
        </w:rPr>
        <w:t>an</w:t>
      </w:r>
      <w:r>
        <w:rPr>
          <w:color w:val="231F20"/>
          <w:spacing w:val="-3"/>
        </w:rPr>
        <w:t> </w:t>
      </w:r>
      <w:r>
        <w:rPr>
          <w:color w:val="231F20"/>
        </w:rPr>
        <w:t>election</w:t>
      </w:r>
      <w:r>
        <w:rPr>
          <w:color w:val="231F20"/>
          <w:spacing w:val="-3"/>
        </w:rPr>
        <w:t> </w:t>
      </w:r>
      <w:r>
        <w:rPr>
          <w:color w:val="231F20"/>
        </w:rPr>
        <w:t>to</w:t>
      </w:r>
      <w:r>
        <w:rPr>
          <w:color w:val="231F20"/>
          <w:spacing w:val="-3"/>
        </w:rPr>
        <w:t> </w:t>
      </w:r>
      <w:r>
        <w:rPr>
          <w:color w:val="231F20"/>
        </w:rPr>
        <w:t>participate</w:t>
      </w:r>
      <w:r>
        <w:rPr>
          <w:color w:val="231F20"/>
          <w:spacing w:val="-3"/>
        </w:rPr>
        <w:t> </w:t>
      </w:r>
      <w:r>
        <w:rPr>
          <w:color w:val="231F20"/>
        </w:rPr>
        <w:t>within ninety days of employment. Those who do no elect to participate in the ARP remain members of the regular defined benefit retirement plan.</w:t>
      </w:r>
    </w:p>
    <w:p>
      <w:pPr>
        <w:pStyle w:val="BodyText"/>
        <w:spacing w:before="10"/>
        <w:rPr>
          <w:sz w:val="22"/>
        </w:rPr>
      </w:pPr>
    </w:p>
    <w:p>
      <w:pPr>
        <w:pStyle w:val="BodyText"/>
        <w:spacing w:line="276" w:lineRule="auto"/>
        <w:ind w:left="1440" w:right="1048"/>
      </w:pPr>
      <w:r>
        <w:rPr>
          <w:color w:val="231F20"/>
        </w:rPr>
        <w:t>Section</w:t>
      </w:r>
      <w:r>
        <w:rPr>
          <w:color w:val="231F20"/>
          <w:spacing w:val="-4"/>
        </w:rPr>
        <w:t> </w:t>
      </w:r>
      <w:r>
        <w:rPr>
          <w:color w:val="231F20"/>
        </w:rPr>
        <w:t>22-11-47(D)</w:t>
      </w:r>
      <w:r>
        <w:rPr>
          <w:color w:val="231F20"/>
          <w:spacing w:val="-4"/>
        </w:rPr>
        <w:t> </w:t>
      </w:r>
      <w:r>
        <w:rPr>
          <w:color w:val="231F20"/>
        </w:rPr>
        <w:t>NMSA</w:t>
      </w:r>
      <w:r>
        <w:rPr>
          <w:color w:val="231F20"/>
          <w:spacing w:val="-4"/>
        </w:rPr>
        <w:t> </w:t>
      </w:r>
      <w:r>
        <w:rPr>
          <w:color w:val="231F20"/>
        </w:rPr>
        <w:t>1978</w:t>
      </w:r>
      <w:r>
        <w:rPr>
          <w:color w:val="231F20"/>
          <w:spacing w:val="-4"/>
        </w:rPr>
        <w:t> </w:t>
      </w:r>
      <w:r>
        <w:rPr>
          <w:color w:val="231F20"/>
        </w:rPr>
        <w:t>allows</w:t>
      </w:r>
      <w:r>
        <w:rPr>
          <w:color w:val="231F20"/>
          <w:spacing w:val="-4"/>
        </w:rPr>
        <w:t> </w:t>
      </w:r>
      <w:r>
        <w:rPr>
          <w:color w:val="231F20"/>
        </w:rPr>
        <w:t>an</w:t>
      </w:r>
      <w:r>
        <w:rPr>
          <w:color w:val="231F20"/>
          <w:spacing w:val="-4"/>
        </w:rPr>
        <w:t> </w:t>
      </w:r>
      <w:r>
        <w:rPr>
          <w:color w:val="231F20"/>
        </w:rPr>
        <w:t>ARP</w:t>
      </w:r>
      <w:r>
        <w:rPr>
          <w:color w:val="231F20"/>
          <w:spacing w:val="-4"/>
        </w:rPr>
        <w:t> </w:t>
      </w:r>
      <w:r>
        <w:rPr>
          <w:color w:val="231F20"/>
        </w:rPr>
        <w:t>participant</w:t>
      </w:r>
      <w:r>
        <w:rPr>
          <w:color w:val="231F20"/>
          <w:spacing w:val="-4"/>
        </w:rPr>
        <w:t> </w:t>
      </w:r>
      <w:r>
        <w:rPr>
          <w:color w:val="231F20"/>
        </w:rPr>
        <w:t>a</w:t>
      </w:r>
      <w:r>
        <w:rPr>
          <w:color w:val="231F20"/>
          <w:spacing w:val="-4"/>
        </w:rPr>
        <w:t> </w:t>
      </w:r>
      <w:r>
        <w:rPr>
          <w:color w:val="231F20"/>
        </w:rPr>
        <w:t>one-time</w:t>
      </w:r>
      <w:r>
        <w:rPr>
          <w:color w:val="231F20"/>
          <w:spacing w:val="-4"/>
        </w:rPr>
        <w:t> </w:t>
      </w:r>
      <w:r>
        <w:rPr>
          <w:color w:val="231F20"/>
        </w:rPr>
        <w:t>option</w:t>
      </w:r>
      <w:r>
        <w:rPr>
          <w:color w:val="231F20"/>
          <w:spacing w:val="-4"/>
        </w:rPr>
        <w:t> </w:t>
      </w:r>
      <w:r>
        <w:rPr>
          <w:color w:val="231F20"/>
        </w:rPr>
        <w:t>to</w:t>
      </w:r>
      <w:r>
        <w:rPr>
          <w:color w:val="231F20"/>
          <w:spacing w:val="-4"/>
        </w:rPr>
        <w:t> </w:t>
      </w:r>
      <w:r>
        <w:rPr>
          <w:color w:val="231F20"/>
        </w:rPr>
        <w:t>make</w:t>
      </w:r>
      <w:r>
        <w:rPr>
          <w:color w:val="231F20"/>
          <w:spacing w:val="-4"/>
        </w:rPr>
        <w:t> </w:t>
      </w:r>
      <w:r>
        <w:rPr>
          <w:color w:val="231F20"/>
        </w:rPr>
        <w:t>an</w:t>
      </w:r>
      <w:r>
        <w:rPr>
          <w:color w:val="231F20"/>
          <w:spacing w:val="-4"/>
        </w:rPr>
        <w:t> </w:t>
      </w:r>
      <w:r>
        <w:rPr>
          <w:color w:val="231F20"/>
        </w:rPr>
        <w:t>irrevocable switch to the defined benefit retirement plan after seven years of ARP participation.</w:t>
      </w:r>
    </w:p>
    <w:p>
      <w:pPr>
        <w:pStyle w:val="BodyText"/>
        <w:spacing w:before="1"/>
        <w:rPr>
          <w:sz w:val="23"/>
        </w:rPr>
      </w:pPr>
    </w:p>
    <w:p>
      <w:pPr>
        <w:pStyle w:val="BodyText"/>
        <w:spacing w:line="276" w:lineRule="auto"/>
        <w:ind w:left="1440" w:right="891"/>
      </w:pPr>
      <w:r>
        <w:rPr>
          <w:i/>
          <w:color w:val="231F20"/>
        </w:rPr>
        <w:t>Form of Payment </w:t>
      </w:r>
      <w:r>
        <w:rPr>
          <w:color w:val="231F20"/>
        </w:rPr>
        <w:t>– Retirement, death, and other benefits are based upon contributions made and earnings accumulated on those contributions, in accordance with the terms of the applicable vendor contracts</w:t>
      </w:r>
      <w:r>
        <w:rPr>
          <w:color w:val="231F20"/>
          <w:spacing w:val="-3"/>
        </w:rPr>
        <w:t> </w:t>
      </w:r>
      <w:r>
        <w:rPr>
          <w:color w:val="231F20"/>
        </w:rPr>
        <w:t>and</w:t>
      </w:r>
      <w:r>
        <w:rPr>
          <w:color w:val="231F20"/>
          <w:spacing w:val="-4"/>
        </w:rPr>
        <w:t> </w:t>
      </w:r>
      <w:r>
        <w:rPr>
          <w:color w:val="231F20"/>
        </w:rPr>
        <w:t>Internal</w:t>
      </w:r>
      <w:r>
        <w:rPr>
          <w:color w:val="231F20"/>
          <w:spacing w:val="-3"/>
        </w:rPr>
        <w:t> </w:t>
      </w:r>
      <w:r>
        <w:rPr>
          <w:color w:val="231F20"/>
        </w:rPr>
        <w:t>Revenue</w:t>
      </w:r>
      <w:r>
        <w:rPr>
          <w:color w:val="231F20"/>
          <w:spacing w:val="-4"/>
        </w:rPr>
        <w:t> </w:t>
      </w:r>
      <w:r>
        <w:rPr>
          <w:color w:val="231F20"/>
        </w:rPr>
        <w:t>Code.</w:t>
      </w:r>
      <w:r>
        <w:rPr>
          <w:color w:val="231F20"/>
          <w:spacing w:val="-3"/>
        </w:rPr>
        <w:t> </w:t>
      </w:r>
      <w:r>
        <w:rPr>
          <w:color w:val="231F20"/>
        </w:rPr>
        <w:t>Retirement</w:t>
      </w:r>
      <w:r>
        <w:rPr>
          <w:color w:val="231F20"/>
          <w:spacing w:val="-3"/>
        </w:rPr>
        <w:t> </w:t>
      </w:r>
      <w:r>
        <w:rPr>
          <w:color w:val="231F20"/>
        </w:rPr>
        <w:t>benefits</w:t>
      </w:r>
      <w:r>
        <w:rPr>
          <w:color w:val="231F20"/>
          <w:spacing w:val="-3"/>
        </w:rPr>
        <w:t> </w:t>
      </w:r>
      <w:r>
        <w:rPr>
          <w:color w:val="231F20"/>
        </w:rPr>
        <w:t>shall,</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option</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employee,</w:t>
      </w:r>
      <w:r>
        <w:rPr>
          <w:color w:val="231F20"/>
          <w:spacing w:val="-3"/>
        </w:rPr>
        <w:t> </w:t>
      </w:r>
      <w:r>
        <w:rPr>
          <w:color w:val="231F20"/>
        </w:rPr>
        <w:t>be</w:t>
      </w:r>
      <w:r>
        <w:rPr>
          <w:color w:val="231F20"/>
          <w:spacing w:val="-3"/>
        </w:rPr>
        <w:t> </w:t>
      </w:r>
      <w:r>
        <w:rPr>
          <w:color w:val="231F20"/>
        </w:rPr>
        <w:t>paid</w:t>
      </w:r>
      <w:r>
        <w:rPr>
          <w:color w:val="231F20"/>
          <w:spacing w:val="-3"/>
        </w:rPr>
        <w:t> </w:t>
      </w:r>
      <w:r>
        <w:rPr>
          <w:color w:val="231F20"/>
        </w:rPr>
        <w:t>in the form of:</w:t>
      </w:r>
    </w:p>
    <w:p>
      <w:pPr>
        <w:pStyle w:val="BodyText"/>
        <w:spacing w:before="1"/>
        <w:rPr>
          <w:sz w:val="23"/>
        </w:rPr>
      </w:pPr>
    </w:p>
    <w:p>
      <w:pPr>
        <w:pStyle w:val="ListParagraph"/>
        <w:numPr>
          <w:ilvl w:val="0"/>
          <w:numId w:val="10"/>
        </w:numPr>
        <w:tabs>
          <w:tab w:pos="2159" w:val="left" w:leader="none"/>
          <w:tab w:pos="2161" w:val="left" w:leader="none"/>
        </w:tabs>
        <w:spacing w:line="240" w:lineRule="auto" w:before="0" w:after="0"/>
        <w:ind w:left="2160" w:right="0" w:hanging="361"/>
        <w:jc w:val="left"/>
        <w:rPr>
          <w:sz w:val="20"/>
        </w:rPr>
      </w:pPr>
      <w:r>
        <w:rPr>
          <w:color w:val="231F20"/>
          <w:sz w:val="20"/>
        </w:rPr>
        <w:t>A</w:t>
      </w:r>
      <w:r>
        <w:rPr>
          <w:color w:val="231F20"/>
          <w:spacing w:val="-5"/>
          <w:sz w:val="20"/>
        </w:rPr>
        <w:t> </w:t>
      </w:r>
      <w:r>
        <w:rPr>
          <w:color w:val="231F20"/>
          <w:sz w:val="20"/>
        </w:rPr>
        <w:t>lifetime</w:t>
      </w:r>
      <w:r>
        <w:rPr>
          <w:color w:val="231F20"/>
          <w:spacing w:val="-4"/>
          <w:sz w:val="20"/>
        </w:rPr>
        <w:t> </w:t>
      </w:r>
      <w:r>
        <w:rPr>
          <w:color w:val="231F20"/>
          <w:sz w:val="20"/>
        </w:rPr>
        <w:t>income,</w:t>
      </w:r>
      <w:r>
        <w:rPr>
          <w:color w:val="231F20"/>
          <w:spacing w:val="-4"/>
          <w:sz w:val="20"/>
        </w:rPr>
        <w:t> </w:t>
      </w:r>
      <w:r>
        <w:rPr>
          <w:color w:val="231F20"/>
          <w:sz w:val="20"/>
        </w:rPr>
        <w:t>if</w:t>
      </w:r>
      <w:r>
        <w:rPr>
          <w:color w:val="231F20"/>
          <w:spacing w:val="-5"/>
          <w:sz w:val="20"/>
        </w:rPr>
        <w:t> </w:t>
      </w:r>
      <w:r>
        <w:rPr>
          <w:color w:val="231F20"/>
          <w:sz w:val="20"/>
        </w:rPr>
        <w:t>held</w:t>
      </w:r>
      <w:r>
        <w:rPr>
          <w:color w:val="231F20"/>
          <w:spacing w:val="-4"/>
          <w:sz w:val="20"/>
        </w:rPr>
        <w:t> </w:t>
      </w:r>
      <w:r>
        <w:rPr>
          <w:color w:val="231F20"/>
          <w:sz w:val="20"/>
        </w:rPr>
        <w:t>in</w:t>
      </w:r>
      <w:r>
        <w:rPr>
          <w:color w:val="231F20"/>
          <w:spacing w:val="-4"/>
          <w:sz w:val="20"/>
        </w:rPr>
        <w:t> </w:t>
      </w:r>
      <w:r>
        <w:rPr>
          <w:color w:val="231F20"/>
          <w:sz w:val="20"/>
        </w:rPr>
        <w:t>an</w:t>
      </w:r>
      <w:r>
        <w:rPr>
          <w:color w:val="231F20"/>
          <w:spacing w:val="-4"/>
          <w:sz w:val="20"/>
        </w:rPr>
        <w:t> </w:t>
      </w:r>
      <w:r>
        <w:rPr>
          <w:color w:val="231F20"/>
          <w:sz w:val="20"/>
        </w:rPr>
        <w:t>annuity</w:t>
      </w:r>
      <w:r>
        <w:rPr>
          <w:color w:val="231F20"/>
          <w:spacing w:val="-5"/>
          <w:sz w:val="20"/>
        </w:rPr>
        <w:t> </w:t>
      </w:r>
      <w:r>
        <w:rPr>
          <w:color w:val="231F20"/>
          <w:spacing w:val="-2"/>
          <w:sz w:val="20"/>
        </w:rPr>
        <w:t>contract,</w:t>
      </w:r>
    </w:p>
    <w:p>
      <w:pPr>
        <w:pStyle w:val="ListParagraph"/>
        <w:numPr>
          <w:ilvl w:val="0"/>
          <w:numId w:val="10"/>
        </w:numPr>
        <w:tabs>
          <w:tab w:pos="2159" w:val="left" w:leader="none"/>
          <w:tab w:pos="2161" w:val="left" w:leader="none"/>
        </w:tabs>
        <w:spacing w:line="240" w:lineRule="auto" w:before="32" w:after="0"/>
        <w:ind w:left="2160" w:right="0" w:hanging="361"/>
        <w:jc w:val="left"/>
        <w:rPr>
          <w:sz w:val="20"/>
        </w:rPr>
      </w:pPr>
      <w:r>
        <w:rPr>
          <w:color w:val="231F20"/>
          <w:sz w:val="20"/>
        </w:rPr>
        <w:t>Payments</w:t>
      </w:r>
      <w:r>
        <w:rPr>
          <w:color w:val="231F20"/>
          <w:spacing w:val="-4"/>
          <w:sz w:val="20"/>
        </w:rPr>
        <w:t> </w:t>
      </w:r>
      <w:r>
        <w:rPr>
          <w:color w:val="231F20"/>
          <w:sz w:val="20"/>
        </w:rPr>
        <w:t>for</w:t>
      </w:r>
      <w:r>
        <w:rPr>
          <w:color w:val="231F20"/>
          <w:spacing w:val="-4"/>
          <w:sz w:val="20"/>
        </w:rPr>
        <w:t> </w:t>
      </w:r>
      <w:r>
        <w:rPr>
          <w:color w:val="231F20"/>
          <w:sz w:val="20"/>
        </w:rPr>
        <w:t>a</w:t>
      </w:r>
      <w:r>
        <w:rPr>
          <w:color w:val="231F20"/>
          <w:spacing w:val="-4"/>
          <w:sz w:val="20"/>
        </w:rPr>
        <w:t> </w:t>
      </w:r>
      <w:r>
        <w:rPr>
          <w:color w:val="231F20"/>
          <w:sz w:val="20"/>
        </w:rPr>
        <w:t>term</w:t>
      </w:r>
      <w:r>
        <w:rPr>
          <w:color w:val="231F20"/>
          <w:spacing w:val="-4"/>
          <w:sz w:val="20"/>
        </w:rPr>
        <w:t> </w:t>
      </w:r>
      <w:r>
        <w:rPr>
          <w:color w:val="231F20"/>
          <w:sz w:val="20"/>
        </w:rPr>
        <w:t>of</w:t>
      </w:r>
      <w:r>
        <w:rPr>
          <w:color w:val="231F20"/>
          <w:spacing w:val="-4"/>
          <w:sz w:val="20"/>
        </w:rPr>
        <w:t> </w:t>
      </w:r>
      <w:r>
        <w:rPr>
          <w:color w:val="231F20"/>
          <w:sz w:val="20"/>
        </w:rPr>
        <w:t>years,</w:t>
      </w:r>
      <w:r>
        <w:rPr>
          <w:color w:val="231F20"/>
          <w:spacing w:val="-4"/>
          <w:sz w:val="20"/>
        </w:rPr>
        <w:t> </w:t>
      </w:r>
      <w:r>
        <w:rPr>
          <w:color w:val="231F20"/>
          <w:spacing w:val="-5"/>
          <w:sz w:val="20"/>
        </w:rPr>
        <w:t>or</w:t>
      </w:r>
    </w:p>
    <w:p>
      <w:pPr>
        <w:pStyle w:val="ListParagraph"/>
        <w:numPr>
          <w:ilvl w:val="0"/>
          <w:numId w:val="10"/>
        </w:numPr>
        <w:tabs>
          <w:tab w:pos="2159" w:val="left" w:leader="none"/>
          <w:tab w:pos="2161" w:val="left" w:leader="none"/>
        </w:tabs>
        <w:spacing w:line="240" w:lineRule="auto" w:before="33" w:after="0"/>
        <w:ind w:left="2160" w:right="0" w:hanging="361"/>
        <w:jc w:val="left"/>
        <w:rPr>
          <w:sz w:val="20"/>
        </w:rPr>
      </w:pPr>
      <w:r>
        <w:rPr>
          <w:color w:val="231F20"/>
          <w:sz w:val="20"/>
        </w:rPr>
        <w:t>A</w:t>
      </w:r>
      <w:r>
        <w:rPr>
          <w:color w:val="231F20"/>
          <w:spacing w:val="-3"/>
          <w:sz w:val="20"/>
        </w:rPr>
        <w:t> </w:t>
      </w:r>
      <w:r>
        <w:rPr>
          <w:color w:val="231F20"/>
          <w:sz w:val="20"/>
        </w:rPr>
        <w:t>single-sum</w:t>
      </w:r>
      <w:r>
        <w:rPr>
          <w:color w:val="231F20"/>
          <w:spacing w:val="-2"/>
          <w:sz w:val="20"/>
        </w:rPr>
        <w:t> </w:t>
      </w:r>
      <w:r>
        <w:rPr>
          <w:color w:val="231F20"/>
          <w:sz w:val="20"/>
        </w:rPr>
        <w:t>cash</w:t>
      </w:r>
      <w:r>
        <w:rPr>
          <w:color w:val="231F20"/>
          <w:spacing w:val="-2"/>
          <w:sz w:val="20"/>
        </w:rPr>
        <w:t> payment</w:t>
      </w:r>
    </w:p>
    <w:p>
      <w:pPr>
        <w:pStyle w:val="BodyText"/>
        <w:spacing w:before="9"/>
        <w:rPr>
          <w:sz w:val="25"/>
        </w:rPr>
      </w:pPr>
    </w:p>
    <w:p>
      <w:pPr>
        <w:pStyle w:val="BodyText"/>
        <w:spacing w:line="276" w:lineRule="auto"/>
        <w:ind w:left="1439" w:right="1048"/>
      </w:pPr>
      <w:r>
        <w:rPr>
          <w:color w:val="231F20"/>
        </w:rPr>
        <w:t>ARP</w:t>
      </w:r>
      <w:r>
        <w:rPr>
          <w:color w:val="231F20"/>
          <w:spacing w:val="-3"/>
        </w:rPr>
        <w:t> </w:t>
      </w:r>
      <w:r>
        <w:rPr>
          <w:color w:val="231F20"/>
        </w:rPr>
        <w:t>retirement,</w:t>
      </w:r>
      <w:r>
        <w:rPr>
          <w:color w:val="231F20"/>
          <w:spacing w:val="-3"/>
        </w:rPr>
        <w:t> </w:t>
      </w:r>
      <w:r>
        <w:rPr>
          <w:color w:val="231F20"/>
        </w:rPr>
        <w:t>death,</w:t>
      </w:r>
      <w:r>
        <w:rPr>
          <w:color w:val="231F20"/>
          <w:spacing w:val="-3"/>
        </w:rPr>
        <w:t> </w:t>
      </w:r>
      <w:r>
        <w:rPr>
          <w:color w:val="231F20"/>
        </w:rPr>
        <w:t>and</w:t>
      </w:r>
      <w:r>
        <w:rPr>
          <w:color w:val="231F20"/>
          <w:spacing w:val="-4"/>
        </w:rPr>
        <w:t> </w:t>
      </w:r>
      <w:r>
        <w:rPr>
          <w:color w:val="231F20"/>
        </w:rPr>
        <w:t>other</w:t>
      </w:r>
      <w:r>
        <w:rPr>
          <w:color w:val="231F20"/>
          <w:spacing w:val="-3"/>
        </w:rPr>
        <w:t> </w:t>
      </w:r>
      <w:r>
        <w:rPr>
          <w:color w:val="231F20"/>
        </w:rPr>
        <w:t>benefits,</w:t>
      </w:r>
      <w:r>
        <w:rPr>
          <w:color w:val="231F20"/>
          <w:spacing w:val="-3"/>
        </w:rPr>
        <w:t> </w:t>
      </w:r>
      <w:r>
        <w:rPr>
          <w:color w:val="231F20"/>
        </w:rPr>
        <w:t>including</w:t>
      </w:r>
      <w:r>
        <w:rPr>
          <w:color w:val="231F20"/>
          <w:spacing w:val="-1"/>
        </w:rPr>
        <w:t> </w:t>
      </w:r>
      <w:r>
        <w:rPr>
          <w:color w:val="231F20"/>
        </w:rPr>
        <w:t>disability</w:t>
      </w:r>
      <w:r>
        <w:rPr>
          <w:color w:val="231F20"/>
          <w:spacing w:val="-3"/>
        </w:rPr>
        <w:t> </w:t>
      </w:r>
      <w:r>
        <w:rPr>
          <w:color w:val="231F20"/>
        </w:rPr>
        <w:t>benefits,</w:t>
      </w:r>
      <w:r>
        <w:rPr>
          <w:color w:val="231F20"/>
          <w:spacing w:val="-3"/>
        </w:rPr>
        <w:t> </w:t>
      </w:r>
      <w:r>
        <w:rPr>
          <w:color w:val="231F20"/>
        </w:rPr>
        <w:t>cannot</w:t>
      </w:r>
      <w:r>
        <w:rPr>
          <w:color w:val="231F20"/>
          <w:spacing w:val="-3"/>
        </w:rPr>
        <w:t> </w:t>
      </w:r>
      <w:r>
        <w:rPr>
          <w:color w:val="231F20"/>
        </w:rPr>
        <w:t>be</w:t>
      </w:r>
      <w:r>
        <w:rPr>
          <w:color w:val="231F20"/>
          <w:spacing w:val="-3"/>
        </w:rPr>
        <w:t> </w:t>
      </w:r>
      <w:r>
        <w:rPr>
          <w:color w:val="231F20"/>
        </w:rPr>
        <w:t>paid</w:t>
      </w:r>
      <w:r>
        <w:rPr>
          <w:color w:val="231F20"/>
          <w:spacing w:val="-3"/>
        </w:rPr>
        <w:t> </w:t>
      </w:r>
      <w:r>
        <w:rPr>
          <w:color w:val="231F20"/>
        </w:rPr>
        <w:t>from</w:t>
      </w:r>
      <w:r>
        <w:rPr>
          <w:color w:val="231F20"/>
          <w:spacing w:val="-3"/>
        </w:rPr>
        <w:t> </w:t>
      </w:r>
      <w:r>
        <w:rPr>
          <w:color w:val="231F20"/>
        </w:rPr>
        <w:t>the</w:t>
      </w:r>
      <w:r>
        <w:rPr>
          <w:color w:val="231F20"/>
          <w:spacing w:val="-4"/>
        </w:rPr>
        <w:t> </w:t>
      </w:r>
      <w:r>
        <w:rPr>
          <w:color w:val="231F20"/>
        </w:rPr>
        <w:t>funds administered by NMERB.</w:t>
      </w:r>
    </w:p>
    <w:p>
      <w:pPr>
        <w:pStyle w:val="BodyText"/>
        <w:rPr>
          <w:sz w:val="23"/>
        </w:rPr>
      </w:pPr>
    </w:p>
    <w:p>
      <w:pPr>
        <w:pStyle w:val="BodyText"/>
        <w:spacing w:line="276" w:lineRule="auto"/>
        <w:ind w:left="1439" w:right="891"/>
      </w:pPr>
      <w:r>
        <w:rPr>
          <w:i/>
          <w:color w:val="231F20"/>
        </w:rPr>
        <w:t>ARP Contributions </w:t>
      </w:r>
      <w:r>
        <w:rPr>
          <w:color w:val="231F20"/>
        </w:rPr>
        <w:t>– A participating employer must contribute on behalf of each employee participant an amount of the participant’s salary equal to the contribution that would be required of the employer if the participant</w:t>
      </w:r>
      <w:r>
        <w:rPr>
          <w:color w:val="231F20"/>
          <w:spacing w:val="-3"/>
        </w:rPr>
        <w:t> </w:t>
      </w:r>
      <w:r>
        <w:rPr>
          <w:color w:val="231F20"/>
        </w:rPr>
        <w:t>were,</w:t>
      </w:r>
      <w:r>
        <w:rPr>
          <w:color w:val="231F20"/>
          <w:spacing w:val="-3"/>
        </w:rPr>
        <w:t> </w:t>
      </w:r>
      <w:r>
        <w:rPr>
          <w:color w:val="231F20"/>
        </w:rPr>
        <w:t>instead,</w:t>
      </w:r>
      <w:r>
        <w:rPr>
          <w:color w:val="231F20"/>
          <w:spacing w:val="-3"/>
        </w:rPr>
        <w:t> </w:t>
      </w:r>
      <w:r>
        <w:rPr>
          <w:color w:val="231F20"/>
        </w:rPr>
        <w:t>a</w:t>
      </w:r>
      <w:r>
        <w:rPr>
          <w:color w:val="231F20"/>
          <w:spacing w:val="-3"/>
        </w:rPr>
        <w:t> </w:t>
      </w:r>
      <w:r>
        <w:rPr>
          <w:color w:val="231F20"/>
        </w:rPr>
        <w:t>regular</w:t>
      </w:r>
      <w:r>
        <w:rPr>
          <w:color w:val="231F20"/>
          <w:spacing w:val="-3"/>
        </w:rPr>
        <w:t> </w:t>
      </w:r>
      <w:r>
        <w:rPr>
          <w:color w:val="231F20"/>
        </w:rPr>
        <w:t>member.</w:t>
      </w:r>
      <w:r>
        <w:rPr>
          <w:color w:val="231F20"/>
          <w:spacing w:val="-3"/>
        </w:rPr>
        <w:t> </w:t>
      </w:r>
      <w:r>
        <w:rPr>
          <w:color w:val="231F20"/>
        </w:rPr>
        <w:t>For</w:t>
      </w:r>
      <w:r>
        <w:rPr>
          <w:color w:val="231F20"/>
          <w:spacing w:val="-3"/>
        </w:rPr>
        <w:t> </w:t>
      </w:r>
      <w:r>
        <w:rPr>
          <w:color w:val="231F20"/>
        </w:rPr>
        <w:t>the</w:t>
      </w:r>
      <w:r>
        <w:rPr>
          <w:color w:val="231F20"/>
          <w:spacing w:val="-4"/>
        </w:rPr>
        <w:t> </w:t>
      </w:r>
      <w:r>
        <w:rPr>
          <w:color w:val="231F20"/>
        </w:rPr>
        <w:t>year</w:t>
      </w:r>
      <w:r>
        <w:rPr>
          <w:color w:val="231F20"/>
          <w:spacing w:val="-3"/>
        </w:rPr>
        <w:t> </w:t>
      </w:r>
      <w:r>
        <w:rPr>
          <w:color w:val="231F20"/>
        </w:rPr>
        <w:t>ended</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2022,</w:t>
      </w:r>
      <w:r>
        <w:rPr>
          <w:color w:val="231F20"/>
          <w:spacing w:val="-4"/>
        </w:rPr>
        <w:t> </w:t>
      </w:r>
      <w:r>
        <w:rPr>
          <w:color w:val="231F20"/>
        </w:rPr>
        <w:t>colleges</w:t>
      </w:r>
      <w:r>
        <w:rPr>
          <w:color w:val="231F20"/>
          <w:spacing w:val="-3"/>
        </w:rPr>
        <w:t> </w:t>
      </w:r>
      <w:r>
        <w:rPr>
          <w:color w:val="231F20"/>
        </w:rPr>
        <w:t>and</w:t>
      </w:r>
      <w:r>
        <w:rPr>
          <w:color w:val="231F20"/>
          <w:spacing w:val="-4"/>
        </w:rPr>
        <w:t> </w:t>
      </w:r>
      <w:r>
        <w:rPr>
          <w:color w:val="231F20"/>
        </w:rPr>
        <w:t>universities contributed 10.90% of participating employees’ gross salary to the ARP vendor on behalf of the participant, and 4.25% of the employees’ gross salary to NMERB, for a total of 15.15%. Employees participating in the ARP do not accrue rights to benefits in the defined benefit pension plan based on the 4.25% contributions to NMERB.</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6"/>
        </w:rPr>
        <w:t> </w:t>
      </w:r>
      <w:r>
        <w:rPr>
          <w:color w:val="231F20"/>
        </w:rPr>
        <w:t>10</w:t>
      </w:r>
      <w:r>
        <w:rPr>
          <w:color w:val="231F20"/>
          <w:spacing w:val="-5"/>
        </w:rPr>
        <w:t> </w:t>
      </w:r>
      <w:r>
        <w:rPr>
          <w:color w:val="231F20"/>
        </w:rPr>
        <w:t>–</w:t>
      </w:r>
      <w:r>
        <w:rPr>
          <w:color w:val="231F20"/>
          <w:spacing w:val="-5"/>
        </w:rPr>
        <w:t> </w:t>
      </w:r>
      <w:r>
        <w:rPr>
          <w:color w:val="231F20"/>
        </w:rPr>
        <w:t>Defined</w:t>
      </w:r>
      <w:r>
        <w:rPr>
          <w:color w:val="231F20"/>
          <w:spacing w:val="-5"/>
        </w:rPr>
        <w:t> </w:t>
      </w:r>
      <w:r>
        <w:rPr>
          <w:color w:val="231F20"/>
        </w:rPr>
        <w:t>Contribution</w:t>
      </w:r>
      <w:r>
        <w:rPr>
          <w:color w:val="231F20"/>
          <w:spacing w:val="-5"/>
        </w:rPr>
        <w:t> </w:t>
      </w:r>
      <w:r>
        <w:rPr>
          <w:color w:val="231F20"/>
        </w:rPr>
        <w:t>Retirement</w:t>
      </w:r>
      <w:r>
        <w:rPr>
          <w:color w:val="231F20"/>
          <w:spacing w:val="-5"/>
        </w:rPr>
        <w:t> </w:t>
      </w:r>
      <w:r>
        <w:rPr>
          <w:color w:val="231F20"/>
        </w:rPr>
        <w:t>Plan</w:t>
      </w:r>
      <w:r>
        <w:rPr>
          <w:color w:val="231F20"/>
          <w:spacing w:val="-5"/>
        </w:rPr>
        <w:t> </w:t>
      </w:r>
      <w:r>
        <w:rPr>
          <w:color w:val="231F20"/>
          <w:spacing w:val="-2"/>
        </w:rPr>
        <w:t>(continued)</w:t>
      </w:r>
    </w:p>
    <w:p>
      <w:pPr>
        <w:pStyle w:val="BodyText"/>
        <w:rPr>
          <w:b/>
          <w:sz w:val="26"/>
        </w:rPr>
      </w:pPr>
    </w:p>
    <w:p>
      <w:pPr>
        <w:pStyle w:val="BodyText"/>
        <w:spacing w:line="276" w:lineRule="auto"/>
        <w:ind w:left="1440" w:right="1048"/>
      </w:pPr>
      <w:r>
        <w:rPr>
          <w:color w:val="231F20"/>
        </w:rPr>
        <w:t>The</w:t>
      </w:r>
      <w:r>
        <w:rPr>
          <w:color w:val="231F20"/>
          <w:spacing w:val="-3"/>
        </w:rPr>
        <w:t> </w:t>
      </w:r>
      <w:r>
        <w:rPr>
          <w:color w:val="231F20"/>
        </w:rPr>
        <w:t>colleges</w:t>
      </w:r>
      <w:r>
        <w:rPr>
          <w:color w:val="231F20"/>
          <w:spacing w:val="-4"/>
        </w:rPr>
        <w:t> </w:t>
      </w:r>
      <w:r>
        <w:rPr>
          <w:color w:val="231F20"/>
        </w:rPr>
        <w:t>and</w:t>
      </w:r>
      <w:r>
        <w:rPr>
          <w:color w:val="231F20"/>
          <w:spacing w:val="-3"/>
        </w:rPr>
        <w:t> </w:t>
      </w:r>
      <w:r>
        <w:rPr>
          <w:color w:val="231F20"/>
        </w:rPr>
        <w:t>universities</w:t>
      </w:r>
      <w:r>
        <w:rPr>
          <w:color w:val="231F20"/>
          <w:spacing w:val="-3"/>
        </w:rPr>
        <w:t> </w:t>
      </w:r>
      <w:r>
        <w:rPr>
          <w:color w:val="231F20"/>
        </w:rPr>
        <w:t>are</w:t>
      </w:r>
      <w:r>
        <w:rPr>
          <w:color w:val="231F20"/>
          <w:spacing w:val="-3"/>
        </w:rPr>
        <w:t> </w:t>
      </w:r>
      <w:r>
        <w:rPr>
          <w:color w:val="231F20"/>
        </w:rPr>
        <w:t>responsible</w:t>
      </w:r>
      <w:r>
        <w:rPr>
          <w:color w:val="231F20"/>
          <w:spacing w:val="-3"/>
        </w:rPr>
        <w:t> </w:t>
      </w:r>
      <w:r>
        <w:rPr>
          <w:color w:val="231F20"/>
        </w:rPr>
        <w:t>for</w:t>
      </w:r>
      <w:r>
        <w:rPr>
          <w:color w:val="231F20"/>
          <w:spacing w:val="-4"/>
        </w:rPr>
        <w:t> </w:t>
      </w:r>
      <w:r>
        <w:rPr>
          <w:color w:val="231F20"/>
        </w:rPr>
        <w:t>submitting</w:t>
      </w:r>
      <w:r>
        <w:rPr>
          <w:color w:val="231F20"/>
          <w:spacing w:val="-3"/>
        </w:rPr>
        <w:t> </w:t>
      </w:r>
      <w:r>
        <w:rPr>
          <w:color w:val="231F20"/>
        </w:rPr>
        <w:t>the</w:t>
      </w:r>
      <w:r>
        <w:rPr>
          <w:color w:val="231F20"/>
          <w:spacing w:val="-3"/>
        </w:rPr>
        <w:t> </w:t>
      </w:r>
      <w:r>
        <w:rPr>
          <w:color w:val="231F20"/>
        </w:rPr>
        <w:t>balance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employers’</w:t>
      </w:r>
      <w:r>
        <w:rPr>
          <w:color w:val="231F20"/>
          <w:spacing w:val="-3"/>
        </w:rPr>
        <w:t> </w:t>
      </w:r>
      <w:r>
        <w:rPr>
          <w:color w:val="231F20"/>
        </w:rPr>
        <w:t>contribution, and the employees’ contributions directly to the ARP vendors and NMERB.</w:t>
      </w:r>
    </w:p>
    <w:p>
      <w:pPr>
        <w:pStyle w:val="BodyText"/>
        <w:rPr>
          <w:sz w:val="23"/>
        </w:rPr>
      </w:pPr>
    </w:p>
    <w:p>
      <w:pPr>
        <w:pStyle w:val="BodyText"/>
        <w:spacing w:line="276" w:lineRule="auto"/>
        <w:ind w:left="1440" w:right="857"/>
      </w:pPr>
      <w:r>
        <w:rPr>
          <w:color w:val="231F20"/>
        </w:rPr>
        <w:t>Employer</w:t>
      </w:r>
      <w:r>
        <w:rPr>
          <w:color w:val="231F20"/>
          <w:spacing w:val="-4"/>
        </w:rPr>
        <w:t> </w:t>
      </w:r>
      <w:r>
        <w:rPr>
          <w:color w:val="231F20"/>
        </w:rPr>
        <w:t>contributions</w:t>
      </w:r>
      <w:r>
        <w:rPr>
          <w:color w:val="231F20"/>
          <w:spacing w:val="-4"/>
        </w:rPr>
        <w:t> </w:t>
      </w:r>
      <w:r>
        <w:rPr>
          <w:color w:val="231F20"/>
        </w:rPr>
        <w:t>reported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Institute</w:t>
      </w:r>
      <w:r>
        <w:rPr>
          <w:color w:val="231F20"/>
          <w:spacing w:val="-4"/>
        </w:rPr>
        <w:t> </w:t>
      </w:r>
      <w:r>
        <w:rPr>
          <w:color w:val="231F20"/>
        </w:rPr>
        <w:t>financial</w:t>
      </w:r>
      <w:r>
        <w:rPr>
          <w:color w:val="231F20"/>
          <w:spacing w:val="-5"/>
        </w:rPr>
        <w:t> </w:t>
      </w:r>
      <w:r>
        <w:rPr>
          <w:color w:val="231F20"/>
        </w:rPr>
        <w:t>statements</w:t>
      </w:r>
      <w:r>
        <w:rPr>
          <w:color w:val="231F20"/>
          <w:spacing w:val="-4"/>
        </w:rPr>
        <w:t> </w:t>
      </w:r>
      <w:r>
        <w:rPr>
          <w:color w:val="231F20"/>
        </w:rPr>
        <w:t>include</w:t>
      </w:r>
      <w:r>
        <w:rPr>
          <w:color w:val="231F20"/>
          <w:spacing w:val="-4"/>
        </w:rPr>
        <w:t> </w:t>
      </w:r>
      <w:r>
        <w:rPr>
          <w:color w:val="231F20"/>
        </w:rPr>
        <w:t>amounts</w:t>
      </w:r>
      <w:r>
        <w:rPr>
          <w:color w:val="231F20"/>
          <w:spacing w:val="-4"/>
        </w:rPr>
        <w:t> </w:t>
      </w:r>
      <w:r>
        <w:rPr>
          <w:color w:val="231F20"/>
        </w:rPr>
        <w:t>remitted</w:t>
      </w:r>
      <w:r>
        <w:rPr>
          <w:color w:val="231F20"/>
          <w:spacing w:val="-4"/>
        </w:rPr>
        <w:t> </w:t>
      </w:r>
      <w:r>
        <w:rPr>
          <w:color w:val="231F20"/>
        </w:rPr>
        <w:t>on</w:t>
      </w:r>
      <w:r>
        <w:rPr>
          <w:color w:val="231F20"/>
          <w:spacing w:val="-4"/>
        </w:rPr>
        <w:t> </w:t>
      </w:r>
      <w:r>
        <w:rPr>
          <w:color w:val="231F20"/>
        </w:rPr>
        <w:t>behalf</w:t>
      </w:r>
      <w:r>
        <w:rPr>
          <w:color w:val="231F20"/>
          <w:spacing w:val="-4"/>
        </w:rPr>
        <w:t> </w:t>
      </w:r>
      <w:r>
        <w:rPr>
          <w:color w:val="231F20"/>
        </w:rPr>
        <w:t>of both the ARP defined contribution plan and the defined benefit plan. The Institute’s 4.25% contribution remitted for fiscal year ended June 30, 2022 was $373,537.</w:t>
      </w:r>
    </w:p>
    <w:p>
      <w:pPr>
        <w:pStyle w:val="BodyText"/>
        <w:spacing w:before="10"/>
        <w:rPr>
          <w:sz w:val="19"/>
        </w:rPr>
      </w:pPr>
    </w:p>
    <w:p>
      <w:pPr>
        <w:pStyle w:val="Heading4"/>
        <w:spacing w:line="530" w:lineRule="atLeast"/>
        <w:ind w:right="5589"/>
      </w:pPr>
      <w:r>
        <w:rPr>
          <w:color w:val="231F20"/>
        </w:rPr>
        <w:t>Note</w:t>
      </w:r>
      <w:r>
        <w:rPr>
          <w:color w:val="231F20"/>
          <w:spacing w:val="-8"/>
        </w:rPr>
        <w:t> </w:t>
      </w:r>
      <w:r>
        <w:rPr>
          <w:color w:val="231F20"/>
        </w:rPr>
        <w:t>11</w:t>
      </w:r>
      <w:r>
        <w:rPr>
          <w:color w:val="231F20"/>
          <w:spacing w:val="-8"/>
        </w:rPr>
        <w:t> </w:t>
      </w:r>
      <w:r>
        <w:rPr>
          <w:color w:val="231F20"/>
        </w:rPr>
        <w:t>–</w:t>
      </w:r>
      <w:r>
        <w:rPr>
          <w:color w:val="231F20"/>
          <w:spacing w:val="-8"/>
        </w:rPr>
        <w:t> </w:t>
      </w:r>
      <w:r>
        <w:rPr>
          <w:color w:val="231F20"/>
        </w:rPr>
        <w:t>Commitments</w:t>
      </w:r>
      <w:r>
        <w:rPr>
          <w:color w:val="231F20"/>
          <w:spacing w:val="-9"/>
        </w:rPr>
        <w:t> </w:t>
      </w:r>
      <w:r>
        <w:rPr>
          <w:color w:val="231F20"/>
        </w:rPr>
        <w:t>and</w:t>
      </w:r>
      <w:r>
        <w:rPr>
          <w:color w:val="231F20"/>
          <w:spacing w:val="-8"/>
        </w:rPr>
        <w:t> </w:t>
      </w:r>
      <w:r>
        <w:rPr>
          <w:color w:val="231F20"/>
        </w:rPr>
        <w:t>Contingencies </w:t>
      </w:r>
      <w:r>
        <w:rPr>
          <w:color w:val="231F20"/>
          <w:spacing w:val="-2"/>
        </w:rPr>
        <w:t>Contingencies</w:t>
      </w:r>
    </w:p>
    <w:p>
      <w:pPr>
        <w:pStyle w:val="BodyText"/>
        <w:spacing w:line="276" w:lineRule="auto"/>
        <w:ind w:left="1440" w:right="926"/>
      </w:pPr>
      <w:r>
        <w:rPr>
          <w:color w:val="231F20"/>
        </w:rPr>
        <w:t>The Institute is liable or contingently liable in connection with certain claims that arise in the normal course</w:t>
      </w:r>
      <w:r>
        <w:rPr>
          <w:color w:val="231F20"/>
          <w:spacing w:val="-3"/>
        </w:rPr>
        <w:t> </w:t>
      </w:r>
      <w:r>
        <w:rPr>
          <w:color w:val="231F20"/>
        </w:rPr>
        <w:t>of</w:t>
      </w:r>
      <w:r>
        <w:rPr>
          <w:color w:val="231F20"/>
          <w:spacing w:val="-3"/>
        </w:rPr>
        <w:t> </w:t>
      </w:r>
      <w:r>
        <w:rPr>
          <w:color w:val="231F20"/>
        </w:rPr>
        <w:t>its</w:t>
      </w:r>
      <w:r>
        <w:rPr>
          <w:color w:val="231F20"/>
          <w:spacing w:val="-3"/>
        </w:rPr>
        <w:t> </w:t>
      </w:r>
      <w:r>
        <w:rPr>
          <w:color w:val="231F20"/>
        </w:rPr>
        <w:t>activities.</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the</w:t>
      </w:r>
      <w:r>
        <w:rPr>
          <w:color w:val="231F20"/>
          <w:spacing w:val="-3"/>
        </w:rPr>
        <w:t> </w:t>
      </w:r>
      <w:r>
        <w:rPr>
          <w:color w:val="231F20"/>
        </w:rPr>
        <w:t>opinion</w:t>
      </w:r>
      <w:r>
        <w:rPr>
          <w:color w:val="231F20"/>
          <w:spacing w:val="-3"/>
        </w:rPr>
        <w:t> </w:t>
      </w:r>
      <w:r>
        <w:rPr>
          <w:color w:val="231F20"/>
        </w:rPr>
        <w:t>of</w:t>
      </w:r>
      <w:r>
        <w:rPr>
          <w:color w:val="231F20"/>
          <w:spacing w:val="-3"/>
        </w:rPr>
        <w:t> </w:t>
      </w:r>
      <w:r>
        <w:rPr>
          <w:color w:val="231F20"/>
        </w:rPr>
        <w:t>management</w:t>
      </w:r>
      <w:r>
        <w:rPr>
          <w:color w:val="231F20"/>
          <w:spacing w:val="-3"/>
        </w:rPr>
        <w:t> </w:t>
      </w:r>
      <w:r>
        <w:rPr>
          <w:color w:val="231F20"/>
        </w:rPr>
        <w:t>that</w:t>
      </w:r>
      <w:r>
        <w:rPr>
          <w:color w:val="231F20"/>
          <w:spacing w:val="-3"/>
        </w:rPr>
        <w:t> </w:t>
      </w:r>
      <w:r>
        <w:rPr>
          <w:color w:val="231F20"/>
        </w:rPr>
        <w:t>uninsured</w:t>
      </w:r>
      <w:r>
        <w:rPr>
          <w:color w:val="231F20"/>
          <w:spacing w:val="-3"/>
        </w:rPr>
        <w:t> </w:t>
      </w:r>
      <w:r>
        <w:rPr>
          <w:color w:val="231F20"/>
        </w:rPr>
        <w:t>losses</w:t>
      </w:r>
      <w:r>
        <w:rPr>
          <w:color w:val="231F20"/>
          <w:spacing w:val="-3"/>
        </w:rPr>
        <w:t> </w:t>
      </w:r>
      <w:r>
        <w:rPr>
          <w:color w:val="231F20"/>
        </w:rPr>
        <w:t>resulting</w:t>
      </w:r>
      <w:r>
        <w:rPr>
          <w:color w:val="231F20"/>
          <w:spacing w:val="-3"/>
        </w:rPr>
        <w:t> </w:t>
      </w:r>
      <w:r>
        <w:rPr>
          <w:color w:val="231F20"/>
        </w:rPr>
        <w:t>from</w:t>
      </w:r>
      <w:r>
        <w:rPr>
          <w:color w:val="231F20"/>
          <w:spacing w:val="-3"/>
        </w:rPr>
        <w:t> </w:t>
      </w:r>
      <w:r>
        <w:rPr>
          <w:color w:val="231F20"/>
        </w:rPr>
        <w:t>these</w:t>
      </w:r>
      <w:r>
        <w:rPr>
          <w:color w:val="231F20"/>
          <w:spacing w:val="-4"/>
        </w:rPr>
        <w:t> </w:t>
      </w:r>
      <w:r>
        <w:rPr>
          <w:color w:val="231F20"/>
        </w:rPr>
        <w:t>claims would not be material to the Institute's financial position or operations.</w:t>
      </w:r>
    </w:p>
    <w:p>
      <w:pPr>
        <w:pStyle w:val="BodyText"/>
        <w:spacing w:before="10"/>
        <w:rPr>
          <w:sz w:val="22"/>
        </w:rPr>
      </w:pPr>
    </w:p>
    <w:p>
      <w:pPr>
        <w:pStyle w:val="BodyText"/>
        <w:spacing w:line="276" w:lineRule="auto"/>
        <w:ind w:left="1440" w:right="891"/>
      </w:pPr>
      <w:r>
        <w:rPr>
          <w:color w:val="231F20"/>
        </w:rPr>
        <w:t>The</w:t>
      </w:r>
      <w:r>
        <w:rPr>
          <w:color w:val="231F20"/>
          <w:spacing w:val="-3"/>
        </w:rPr>
        <w:t> </w:t>
      </w:r>
      <w:r>
        <w:rPr>
          <w:color w:val="231F20"/>
        </w:rPr>
        <w:t>Institute</w:t>
      </w:r>
      <w:r>
        <w:rPr>
          <w:color w:val="231F20"/>
          <w:spacing w:val="-3"/>
        </w:rPr>
        <w:t> </w:t>
      </w:r>
      <w:r>
        <w:rPr>
          <w:color w:val="231F20"/>
        </w:rPr>
        <w:t>receives</w:t>
      </w:r>
      <w:r>
        <w:rPr>
          <w:color w:val="231F20"/>
          <w:spacing w:val="-2"/>
        </w:rPr>
        <w:t> </w:t>
      </w:r>
      <w:r>
        <w:rPr>
          <w:color w:val="231F20"/>
        </w:rPr>
        <w:t>grants</w:t>
      </w:r>
      <w:r>
        <w:rPr>
          <w:color w:val="231F20"/>
          <w:spacing w:val="-3"/>
        </w:rPr>
        <w:t> </w:t>
      </w:r>
      <w:r>
        <w:rPr>
          <w:color w:val="231F20"/>
        </w:rPr>
        <w:t>and</w:t>
      </w:r>
      <w:r>
        <w:rPr>
          <w:color w:val="231F20"/>
          <w:spacing w:val="-3"/>
        </w:rPr>
        <w:t> </w:t>
      </w:r>
      <w:r>
        <w:rPr>
          <w:color w:val="231F20"/>
        </w:rPr>
        <w:t>other</w:t>
      </w:r>
      <w:r>
        <w:rPr>
          <w:color w:val="231F20"/>
          <w:spacing w:val="-3"/>
        </w:rPr>
        <w:t> </w:t>
      </w:r>
      <w:r>
        <w:rPr>
          <w:color w:val="231F20"/>
        </w:rPr>
        <w:t>forms</w:t>
      </w:r>
      <w:r>
        <w:rPr>
          <w:color w:val="231F20"/>
          <w:spacing w:val="-3"/>
        </w:rPr>
        <w:t> </w:t>
      </w:r>
      <w:r>
        <w:rPr>
          <w:color w:val="231F20"/>
        </w:rPr>
        <w:t>of</w:t>
      </w:r>
      <w:r>
        <w:rPr>
          <w:color w:val="231F20"/>
          <w:spacing w:val="-3"/>
        </w:rPr>
        <w:t> </w:t>
      </w:r>
      <w:r>
        <w:rPr>
          <w:color w:val="231F20"/>
        </w:rPr>
        <w:t>reimbursement</w:t>
      </w:r>
      <w:r>
        <w:rPr>
          <w:color w:val="231F20"/>
          <w:spacing w:val="-3"/>
        </w:rPr>
        <w:t> </w:t>
      </w:r>
      <w:r>
        <w:rPr>
          <w:color w:val="231F20"/>
        </w:rPr>
        <w:t>from</w:t>
      </w:r>
      <w:r>
        <w:rPr>
          <w:color w:val="231F20"/>
          <w:spacing w:val="-4"/>
        </w:rPr>
        <w:t> </w:t>
      </w:r>
      <w:r>
        <w:rPr>
          <w:color w:val="231F20"/>
        </w:rPr>
        <w:t>various</w:t>
      </w:r>
      <w:r>
        <w:rPr>
          <w:color w:val="231F20"/>
          <w:spacing w:val="-3"/>
        </w:rPr>
        <w:t> </w:t>
      </w:r>
      <w:r>
        <w:rPr>
          <w:color w:val="231F20"/>
        </w:rPr>
        <w:t>federal</w:t>
      </w:r>
      <w:r>
        <w:rPr>
          <w:color w:val="231F20"/>
          <w:spacing w:val="-3"/>
        </w:rPr>
        <w:t> </w:t>
      </w:r>
      <w:r>
        <w:rPr>
          <w:color w:val="231F20"/>
        </w:rPr>
        <w:t>and</w:t>
      </w:r>
      <w:r>
        <w:rPr>
          <w:color w:val="231F20"/>
          <w:spacing w:val="-3"/>
        </w:rPr>
        <w:t> </w:t>
      </w:r>
      <w:r>
        <w:rPr>
          <w:color w:val="231F20"/>
        </w:rPr>
        <w:t>state</w:t>
      </w:r>
      <w:r>
        <w:rPr>
          <w:color w:val="231F20"/>
          <w:spacing w:val="-3"/>
        </w:rPr>
        <w:t> </w:t>
      </w:r>
      <w:r>
        <w:rPr>
          <w:color w:val="231F20"/>
        </w:rPr>
        <w:t>agencies. These</w:t>
      </w:r>
      <w:r>
        <w:rPr>
          <w:color w:val="231F20"/>
          <w:spacing w:val="-2"/>
        </w:rPr>
        <w:t> </w:t>
      </w:r>
      <w:r>
        <w:rPr>
          <w:color w:val="231F20"/>
        </w:rPr>
        <w:t>activities</w:t>
      </w:r>
      <w:r>
        <w:rPr>
          <w:color w:val="231F20"/>
          <w:spacing w:val="-2"/>
        </w:rPr>
        <w:t> </w:t>
      </w:r>
      <w:r>
        <w:rPr>
          <w:color w:val="231F20"/>
        </w:rPr>
        <w:t>are</w:t>
      </w:r>
      <w:r>
        <w:rPr>
          <w:color w:val="231F20"/>
          <w:spacing w:val="-2"/>
        </w:rPr>
        <w:t> </w:t>
      </w:r>
      <w:r>
        <w:rPr>
          <w:color w:val="231F20"/>
        </w:rPr>
        <w:t>subject</w:t>
      </w:r>
      <w:r>
        <w:rPr>
          <w:color w:val="231F20"/>
          <w:spacing w:val="-2"/>
        </w:rPr>
        <w:t> </w:t>
      </w:r>
      <w:r>
        <w:rPr>
          <w:color w:val="231F20"/>
        </w:rPr>
        <w:t>to</w:t>
      </w:r>
      <w:r>
        <w:rPr>
          <w:color w:val="231F20"/>
          <w:spacing w:val="-2"/>
        </w:rPr>
        <w:t> </w:t>
      </w:r>
      <w:r>
        <w:rPr>
          <w:color w:val="231F20"/>
        </w:rPr>
        <w:t>audit</w:t>
      </w:r>
      <w:r>
        <w:rPr>
          <w:color w:val="231F20"/>
          <w:spacing w:val="-2"/>
        </w:rPr>
        <w:t> </w:t>
      </w:r>
      <w:r>
        <w:rPr>
          <w:color w:val="231F20"/>
        </w:rPr>
        <w:t>by</w:t>
      </w:r>
      <w:r>
        <w:rPr>
          <w:color w:val="231F20"/>
          <w:spacing w:val="-2"/>
        </w:rPr>
        <w:t> </w:t>
      </w:r>
      <w:r>
        <w:rPr>
          <w:color w:val="231F20"/>
        </w:rPr>
        <w:t>agents</w:t>
      </w:r>
      <w:r>
        <w:rPr>
          <w:color w:val="231F20"/>
          <w:spacing w:val="-2"/>
        </w:rPr>
        <w:t> </w:t>
      </w:r>
      <w:r>
        <w:rPr>
          <w:color w:val="231F20"/>
        </w:rPr>
        <w:t>of</w:t>
      </w:r>
      <w:r>
        <w:rPr>
          <w:color w:val="231F20"/>
          <w:spacing w:val="-2"/>
        </w:rPr>
        <w:t> </w:t>
      </w:r>
      <w:r>
        <w:rPr>
          <w:color w:val="231F20"/>
        </w:rPr>
        <w:t>the funding</w:t>
      </w:r>
      <w:r>
        <w:rPr>
          <w:color w:val="231F20"/>
          <w:spacing w:val="-2"/>
        </w:rPr>
        <w:t> </w:t>
      </w:r>
      <w:r>
        <w:rPr>
          <w:color w:val="231F20"/>
        </w:rPr>
        <w:t>authority,</w:t>
      </w:r>
      <w:r>
        <w:rPr>
          <w:color w:val="231F20"/>
          <w:spacing w:val="-2"/>
        </w:rPr>
        <w:t> </w:t>
      </w:r>
      <w:r>
        <w:rPr>
          <w:color w:val="231F20"/>
        </w:rPr>
        <w:t>the</w:t>
      </w:r>
      <w:r>
        <w:rPr>
          <w:color w:val="231F20"/>
          <w:spacing w:val="-2"/>
        </w:rPr>
        <w:t> </w:t>
      </w:r>
      <w:r>
        <w:rPr>
          <w:color w:val="231F20"/>
        </w:rPr>
        <w:t>purpose</w:t>
      </w:r>
      <w:r>
        <w:rPr>
          <w:color w:val="231F20"/>
          <w:spacing w:val="-2"/>
        </w:rPr>
        <w:t> </w:t>
      </w:r>
      <w:r>
        <w:rPr>
          <w:color w:val="231F20"/>
        </w:rPr>
        <w:t>of</w:t>
      </w:r>
      <w:r>
        <w:rPr>
          <w:color w:val="231F20"/>
          <w:spacing w:val="-2"/>
        </w:rPr>
        <w:t> </w:t>
      </w:r>
      <w:r>
        <w:rPr>
          <w:color w:val="231F20"/>
        </w:rPr>
        <w:t>which</w:t>
      </w:r>
      <w:r>
        <w:rPr>
          <w:color w:val="231F20"/>
          <w:spacing w:val="-2"/>
        </w:rPr>
        <w:t> </w:t>
      </w:r>
      <w:r>
        <w:rPr>
          <w:color w:val="231F20"/>
        </w:rPr>
        <w:t>is</w:t>
      </w:r>
      <w:r>
        <w:rPr>
          <w:color w:val="231F20"/>
          <w:spacing w:val="-2"/>
        </w:rPr>
        <w:t> </w:t>
      </w:r>
      <w:r>
        <w:rPr>
          <w:color w:val="231F20"/>
        </w:rPr>
        <w:t>to</w:t>
      </w:r>
      <w:r>
        <w:rPr>
          <w:color w:val="231F20"/>
          <w:spacing w:val="-2"/>
        </w:rPr>
        <w:t> </w:t>
      </w:r>
      <w:r>
        <w:rPr>
          <w:color w:val="231F20"/>
        </w:rPr>
        <w:t>ensure compliance with conditions precedent to providing such funds. Institute administration believes that the liability, if any, for reimbursement that may arise as the results of audits, would not be material to the financial position or operations of the Institute.</w:t>
      </w:r>
    </w:p>
    <w:p>
      <w:pPr>
        <w:pStyle w:val="BodyText"/>
        <w:spacing w:before="11"/>
        <w:rPr>
          <w:sz w:val="22"/>
        </w:rPr>
      </w:pPr>
    </w:p>
    <w:p>
      <w:pPr>
        <w:pStyle w:val="Heading4"/>
      </w:pPr>
      <w:r>
        <w:rPr>
          <w:color w:val="231F20"/>
        </w:rPr>
        <w:t>State</w:t>
      </w:r>
      <w:r>
        <w:rPr>
          <w:color w:val="231F20"/>
          <w:spacing w:val="-4"/>
        </w:rPr>
        <w:t> </w:t>
      </w:r>
      <w:r>
        <w:rPr>
          <w:color w:val="231F20"/>
        </w:rPr>
        <w:t>Risk</w:t>
      </w:r>
      <w:r>
        <w:rPr>
          <w:color w:val="231F20"/>
          <w:spacing w:val="-4"/>
        </w:rPr>
        <w:t> </w:t>
      </w:r>
      <w:r>
        <w:rPr>
          <w:color w:val="231F20"/>
        </w:rPr>
        <w:t>Management</w:t>
      </w:r>
      <w:r>
        <w:rPr>
          <w:color w:val="231F20"/>
          <w:spacing w:val="-3"/>
        </w:rPr>
        <w:t> </w:t>
      </w:r>
      <w:r>
        <w:rPr>
          <w:color w:val="231F20"/>
          <w:spacing w:val="-4"/>
        </w:rPr>
        <w:t>Pool</w:t>
      </w:r>
    </w:p>
    <w:p>
      <w:pPr>
        <w:pStyle w:val="BodyText"/>
        <w:spacing w:line="276" w:lineRule="auto" w:before="35"/>
        <w:ind w:left="1440" w:right="1048"/>
      </w:pPr>
      <w:r>
        <w:rPr>
          <w:color w:val="231F20"/>
        </w:rPr>
        <w:t>The</w:t>
      </w:r>
      <w:r>
        <w:rPr>
          <w:color w:val="231F20"/>
          <w:spacing w:val="-3"/>
        </w:rPr>
        <w:t> </w:t>
      </w:r>
      <w:r>
        <w:rPr>
          <w:color w:val="231F20"/>
        </w:rPr>
        <w:t>Institute,</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state</w:t>
      </w:r>
      <w:r>
        <w:rPr>
          <w:color w:val="231F20"/>
          <w:spacing w:val="-3"/>
        </w:rPr>
        <w:t> </w:t>
      </w:r>
      <w:r>
        <w:rPr>
          <w:color w:val="231F20"/>
        </w:rPr>
        <w:t>institute</w:t>
      </w:r>
      <w:r>
        <w:rPr>
          <w:color w:val="231F20"/>
          <w:spacing w:val="-3"/>
        </w:rPr>
        <w:t> </w:t>
      </w:r>
      <w:r>
        <w:rPr>
          <w:color w:val="231F20"/>
        </w:rPr>
        <w:t>defined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Tort</w:t>
      </w:r>
      <w:r>
        <w:rPr>
          <w:color w:val="231F20"/>
          <w:spacing w:val="-3"/>
        </w:rPr>
        <w:t> </w:t>
      </w:r>
      <w:r>
        <w:rPr>
          <w:color w:val="231F20"/>
        </w:rPr>
        <w:t>Claims</w:t>
      </w:r>
      <w:r>
        <w:rPr>
          <w:color w:val="231F20"/>
          <w:spacing w:val="-3"/>
        </w:rPr>
        <w:t> </w:t>
      </w:r>
      <w:r>
        <w:rPr>
          <w:color w:val="231F20"/>
        </w:rPr>
        <w:t>Act,</w:t>
      </w:r>
      <w:r>
        <w:rPr>
          <w:color w:val="231F20"/>
          <w:spacing w:val="-3"/>
        </w:rPr>
        <w:t> </w:t>
      </w:r>
      <w:r>
        <w:rPr>
          <w:color w:val="231F20"/>
        </w:rPr>
        <w:t>is</w:t>
      </w:r>
      <w:r>
        <w:rPr>
          <w:color w:val="231F20"/>
          <w:spacing w:val="-3"/>
        </w:rPr>
        <w:t> </w:t>
      </w:r>
      <w:r>
        <w:rPr>
          <w:color w:val="231F20"/>
        </w:rPr>
        <w:t>insured</w:t>
      </w:r>
      <w:r>
        <w:rPr>
          <w:color w:val="231F20"/>
          <w:spacing w:val="-3"/>
        </w:rPr>
        <w:t> </w:t>
      </w:r>
      <w:r>
        <w:rPr>
          <w:color w:val="231F20"/>
        </w:rPr>
        <w:t>through</w:t>
      </w:r>
      <w:r>
        <w:rPr>
          <w:color w:val="231F20"/>
          <w:spacing w:val="-3"/>
        </w:rPr>
        <w:t> </w:t>
      </w:r>
      <w:r>
        <w:rPr>
          <w:color w:val="231F20"/>
        </w:rPr>
        <w:t>the</w:t>
      </w:r>
      <w:r>
        <w:rPr>
          <w:color w:val="231F20"/>
          <w:spacing w:val="-3"/>
        </w:rPr>
        <w:t> </w:t>
      </w:r>
      <w:r>
        <w:rPr>
          <w:color w:val="231F20"/>
        </w:rPr>
        <w:t>Risk Management Division of the State of New Mexico. Annual premiums are paid to the Office of Risk Management for coverage provided in the following areas:</w:t>
      </w:r>
    </w:p>
    <w:p>
      <w:pPr>
        <w:pStyle w:val="BodyText"/>
        <w:rPr>
          <w:sz w:val="23"/>
        </w:rPr>
      </w:pPr>
    </w:p>
    <w:p>
      <w:pPr>
        <w:pStyle w:val="ListParagraph"/>
        <w:numPr>
          <w:ilvl w:val="0"/>
          <w:numId w:val="11"/>
        </w:numPr>
        <w:tabs>
          <w:tab w:pos="1800" w:val="left" w:leader="none"/>
          <w:tab w:pos="1801" w:val="left" w:leader="none"/>
        </w:tabs>
        <w:spacing w:line="240" w:lineRule="auto" w:before="0" w:after="0"/>
        <w:ind w:left="1800" w:right="0" w:hanging="361"/>
        <w:jc w:val="left"/>
        <w:rPr>
          <w:sz w:val="20"/>
        </w:rPr>
      </w:pPr>
      <w:r>
        <w:rPr>
          <w:color w:val="231F20"/>
          <w:sz w:val="20"/>
        </w:rPr>
        <w:t>Liability</w:t>
      </w:r>
      <w:r>
        <w:rPr>
          <w:color w:val="231F20"/>
          <w:spacing w:val="-7"/>
          <w:sz w:val="20"/>
        </w:rPr>
        <w:t> </w:t>
      </w:r>
      <w:r>
        <w:rPr>
          <w:color w:val="231F20"/>
          <w:sz w:val="20"/>
        </w:rPr>
        <w:t>and</w:t>
      </w:r>
      <w:r>
        <w:rPr>
          <w:color w:val="231F20"/>
          <w:spacing w:val="-4"/>
          <w:sz w:val="20"/>
        </w:rPr>
        <w:t> </w:t>
      </w:r>
      <w:r>
        <w:rPr>
          <w:color w:val="231F20"/>
          <w:sz w:val="20"/>
        </w:rPr>
        <w:t>civil</w:t>
      </w:r>
      <w:r>
        <w:rPr>
          <w:color w:val="231F20"/>
          <w:spacing w:val="-5"/>
          <w:sz w:val="20"/>
        </w:rPr>
        <w:t> </w:t>
      </w:r>
      <w:r>
        <w:rPr>
          <w:color w:val="231F20"/>
          <w:sz w:val="20"/>
        </w:rPr>
        <w:t>rights</w:t>
      </w:r>
      <w:r>
        <w:rPr>
          <w:color w:val="231F20"/>
          <w:spacing w:val="-4"/>
          <w:sz w:val="20"/>
        </w:rPr>
        <w:t> </w:t>
      </w:r>
      <w:r>
        <w:rPr>
          <w:color w:val="231F20"/>
          <w:sz w:val="20"/>
        </w:rPr>
        <w:t>protection</w:t>
      </w:r>
      <w:r>
        <w:rPr>
          <w:color w:val="231F20"/>
          <w:spacing w:val="-4"/>
          <w:sz w:val="20"/>
        </w:rPr>
        <w:t> </w:t>
      </w:r>
      <w:r>
        <w:rPr>
          <w:color w:val="231F20"/>
          <w:sz w:val="20"/>
        </w:rPr>
        <w:t>for</w:t>
      </w:r>
      <w:r>
        <w:rPr>
          <w:color w:val="231F20"/>
          <w:spacing w:val="-5"/>
          <w:sz w:val="20"/>
        </w:rPr>
        <w:t> </w:t>
      </w:r>
      <w:r>
        <w:rPr>
          <w:color w:val="231F20"/>
          <w:sz w:val="20"/>
        </w:rPr>
        <w:t>claims</w:t>
      </w:r>
      <w:r>
        <w:rPr>
          <w:color w:val="231F20"/>
          <w:spacing w:val="-5"/>
          <w:sz w:val="20"/>
        </w:rPr>
        <w:t> </w:t>
      </w:r>
      <w:r>
        <w:rPr>
          <w:color w:val="231F20"/>
          <w:sz w:val="20"/>
        </w:rPr>
        <w:t>made</w:t>
      </w:r>
      <w:r>
        <w:rPr>
          <w:color w:val="231F20"/>
          <w:spacing w:val="-4"/>
          <w:sz w:val="20"/>
        </w:rPr>
        <w:t> </w:t>
      </w:r>
      <w:r>
        <w:rPr>
          <w:color w:val="231F20"/>
          <w:sz w:val="20"/>
        </w:rPr>
        <w:t>by</w:t>
      </w:r>
      <w:r>
        <w:rPr>
          <w:color w:val="231F20"/>
          <w:spacing w:val="-5"/>
          <w:sz w:val="20"/>
        </w:rPr>
        <w:t> </w:t>
      </w:r>
      <w:r>
        <w:rPr>
          <w:color w:val="231F20"/>
          <w:sz w:val="20"/>
        </w:rPr>
        <w:t>others</w:t>
      </w:r>
      <w:r>
        <w:rPr>
          <w:color w:val="231F20"/>
          <w:spacing w:val="-5"/>
          <w:sz w:val="20"/>
        </w:rPr>
        <w:t> </w:t>
      </w:r>
      <w:r>
        <w:rPr>
          <w:color w:val="231F20"/>
          <w:sz w:val="20"/>
        </w:rPr>
        <w:t>against</w:t>
      </w:r>
      <w:r>
        <w:rPr>
          <w:color w:val="231F20"/>
          <w:spacing w:val="-4"/>
          <w:sz w:val="20"/>
        </w:rPr>
        <w:t> </w:t>
      </w:r>
      <w:r>
        <w:rPr>
          <w:color w:val="231F20"/>
          <w:sz w:val="20"/>
        </w:rPr>
        <w:t>the</w:t>
      </w:r>
      <w:r>
        <w:rPr>
          <w:color w:val="231F20"/>
          <w:spacing w:val="-4"/>
          <w:sz w:val="20"/>
        </w:rPr>
        <w:t> </w:t>
      </w:r>
      <w:r>
        <w:rPr>
          <w:color w:val="231F20"/>
          <w:spacing w:val="-2"/>
          <w:sz w:val="20"/>
        </w:rPr>
        <w:t>Institute.</w:t>
      </w:r>
    </w:p>
    <w:p>
      <w:pPr>
        <w:pStyle w:val="ListParagraph"/>
        <w:numPr>
          <w:ilvl w:val="0"/>
          <w:numId w:val="11"/>
        </w:numPr>
        <w:tabs>
          <w:tab w:pos="1800" w:val="left" w:leader="none"/>
          <w:tab w:pos="1801" w:val="left" w:leader="none"/>
        </w:tabs>
        <w:spacing w:line="240" w:lineRule="auto" w:before="33" w:after="0"/>
        <w:ind w:left="1800" w:right="0" w:hanging="361"/>
        <w:jc w:val="left"/>
        <w:rPr>
          <w:sz w:val="20"/>
        </w:rPr>
      </w:pPr>
      <w:r>
        <w:rPr>
          <w:color w:val="231F20"/>
          <w:sz w:val="20"/>
        </w:rPr>
        <w:t>Coverage</w:t>
      </w:r>
      <w:r>
        <w:rPr>
          <w:color w:val="231F20"/>
          <w:spacing w:val="-7"/>
          <w:sz w:val="20"/>
        </w:rPr>
        <w:t> </w:t>
      </w:r>
      <w:r>
        <w:rPr>
          <w:color w:val="231F20"/>
          <w:sz w:val="20"/>
        </w:rPr>
        <w:t>to</w:t>
      </w:r>
      <w:r>
        <w:rPr>
          <w:color w:val="231F20"/>
          <w:spacing w:val="-6"/>
          <w:sz w:val="20"/>
        </w:rPr>
        <w:t> </w:t>
      </w:r>
      <w:r>
        <w:rPr>
          <w:color w:val="231F20"/>
          <w:sz w:val="20"/>
        </w:rPr>
        <w:t>protect</w:t>
      </w:r>
      <w:r>
        <w:rPr>
          <w:color w:val="231F20"/>
          <w:spacing w:val="-5"/>
          <w:sz w:val="20"/>
        </w:rPr>
        <w:t> </w:t>
      </w:r>
      <w:r>
        <w:rPr>
          <w:color w:val="231F20"/>
          <w:sz w:val="20"/>
        </w:rPr>
        <w:t>the</w:t>
      </w:r>
      <w:r>
        <w:rPr>
          <w:color w:val="231F20"/>
          <w:spacing w:val="-5"/>
          <w:sz w:val="20"/>
        </w:rPr>
        <w:t> </w:t>
      </w:r>
      <w:r>
        <w:rPr>
          <w:color w:val="231F20"/>
          <w:sz w:val="20"/>
        </w:rPr>
        <w:t>Institute’s</w:t>
      </w:r>
      <w:r>
        <w:rPr>
          <w:color w:val="231F20"/>
          <w:spacing w:val="-5"/>
          <w:sz w:val="20"/>
        </w:rPr>
        <w:t> </w:t>
      </w:r>
      <w:r>
        <w:rPr>
          <w:color w:val="231F20"/>
          <w:sz w:val="20"/>
        </w:rPr>
        <w:t>property</w:t>
      </w:r>
      <w:r>
        <w:rPr>
          <w:color w:val="231F20"/>
          <w:spacing w:val="-5"/>
          <w:sz w:val="20"/>
        </w:rPr>
        <w:t> </w:t>
      </w:r>
      <w:r>
        <w:rPr>
          <w:color w:val="231F20"/>
          <w:sz w:val="20"/>
        </w:rPr>
        <w:t>and</w:t>
      </w:r>
      <w:r>
        <w:rPr>
          <w:color w:val="231F20"/>
          <w:spacing w:val="-4"/>
          <w:sz w:val="20"/>
        </w:rPr>
        <w:t> </w:t>
      </w:r>
      <w:r>
        <w:rPr>
          <w:color w:val="231F20"/>
          <w:spacing w:val="-2"/>
          <w:sz w:val="20"/>
        </w:rPr>
        <w:t>assets.</w:t>
      </w:r>
    </w:p>
    <w:p>
      <w:pPr>
        <w:pStyle w:val="BodyText"/>
        <w:spacing w:before="9"/>
        <w:rPr>
          <w:sz w:val="25"/>
        </w:rPr>
      </w:pPr>
    </w:p>
    <w:p>
      <w:pPr>
        <w:pStyle w:val="BodyText"/>
        <w:spacing w:line="276" w:lineRule="auto"/>
        <w:ind w:left="1440" w:right="891"/>
      </w:pPr>
      <w:r>
        <w:rPr>
          <w:color w:val="231F20"/>
        </w:rPr>
        <w:t>The Institute participates in the State of New Mexico Risk Management Program (Risk Management), which provides liability and physical damage insurance. The Institute pays premiums for its participation. From</w:t>
      </w:r>
      <w:r>
        <w:rPr>
          <w:color w:val="231F20"/>
          <w:spacing w:val="-7"/>
        </w:rPr>
        <w:t> </w:t>
      </w:r>
      <w:r>
        <w:rPr>
          <w:color w:val="231F20"/>
        </w:rPr>
        <w:t>time-to-time</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is</w:t>
      </w:r>
      <w:r>
        <w:rPr>
          <w:color w:val="231F20"/>
          <w:spacing w:val="-3"/>
        </w:rPr>
        <w:t> </w:t>
      </w:r>
      <w:r>
        <w:rPr>
          <w:color w:val="231F20"/>
        </w:rPr>
        <w:t>subject</w:t>
      </w:r>
      <w:r>
        <w:rPr>
          <w:color w:val="231F20"/>
          <w:spacing w:val="-3"/>
        </w:rPr>
        <w:t> </w:t>
      </w:r>
      <w:r>
        <w:rPr>
          <w:color w:val="231F20"/>
        </w:rPr>
        <w:t>to</w:t>
      </w:r>
      <w:r>
        <w:rPr>
          <w:color w:val="231F20"/>
          <w:spacing w:val="-3"/>
        </w:rPr>
        <w:t> </w:t>
      </w:r>
      <w:r>
        <w:rPr>
          <w:color w:val="231F20"/>
        </w:rPr>
        <w:t>lawsuits</w:t>
      </w:r>
      <w:r>
        <w:rPr>
          <w:color w:val="231F20"/>
          <w:spacing w:val="-2"/>
        </w:rPr>
        <w:t> </w:t>
      </w:r>
      <w:r>
        <w:rPr>
          <w:color w:val="231F20"/>
        </w:rPr>
        <w:t>including</w:t>
      </w:r>
      <w:r>
        <w:rPr>
          <w:color w:val="231F20"/>
          <w:spacing w:val="-3"/>
        </w:rPr>
        <w:t> </w:t>
      </w:r>
      <w:r>
        <w:rPr>
          <w:color w:val="231F20"/>
        </w:rPr>
        <w:t>personnel</w:t>
      </w:r>
      <w:r>
        <w:rPr>
          <w:color w:val="231F20"/>
          <w:spacing w:val="-14"/>
        </w:rPr>
        <w:t> </w:t>
      </w:r>
      <w:r>
        <w:rPr>
          <w:color w:val="231F20"/>
        </w:rPr>
        <w:t>and</w:t>
      </w:r>
      <w:r>
        <w:rPr>
          <w:color w:val="231F20"/>
          <w:spacing w:val="-14"/>
        </w:rPr>
        <w:t> </w:t>
      </w:r>
      <w:r>
        <w:rPr>
          <w:color w:val="231F20"/>
        </w:rPr>
        <w:t>student</w:t>
      </w:r>
      <w:r>
        <w:rPr>
          <w:color w:val="231F20"/>
          <w:spacing w:val="-14"/>
        </w:rPr>
        <w:t> </w:t>
      </w:r>
      <w:r>
        <w:rPr>
          <w:color w:val="231F20"/>
        </w:rPr>
        <w:t>liability</w:t>
      </w:r>
      <w:r>
        <w:rPr>
          <w:color w:val="231F20"/>
          <w:spacing w:val="-14"/>
        </w:rPr>
        <w:t> </w:t>
      </w:r>
      <w:r>
        <w:rPr>
          <w:color w:val="231F20"/>
        </w:rPr>
        <w:t>matters</w:t>
      </w:r>
      <w:r>
        <w:rPr>
          <w:color w:val="231F20"/>
          <w:spacing w:val="-14"/>
        </w:rPr>
        <w:t> </w:t>
      </w:r>
      <w:r>
        <w:rPr>
          <w:color w:val="231F20"/>
        </w:rPr>
        <w:t>in</w:t>
      </w:r>
      <w:r>
        <w:rPr>
          <w:color w:val="231F20"/>
          <w:spacing w:val="-14"/>
        </w:rPr>
        <w:t> </w:t>
      </w:r>
      <w:r>
        <w:rPr>
          <w:color w:val="231F20"/>
        </w:rPr>
        <w:t>the ordinary</w:t>
      </w:r>
      <w:r>
        <w:rPr>
          <w:color w:val="231F20"/>
          <w:spacing w:val="-7"/>
        </w:rPr>
        <w:t> </w:t>
      </w:r>
      <w:r>
        <w:rPr>
          <w:color w:val="231F20"/>
        </w:rPr>
        <w:t>course</w:t>
      </w:r>
      <w:r>
        <w:rPr>
          <w:color w:val="231F20"/>
          <w:spacing w:val="-3"/>
        </w:rPr>
        <w:t> </w:t>
      </w:r>
      <w:r>
        <w:rPr>
          <w:color w:val="231F20"/>
        </w:rPr>
        <w:t>of</w:t>
      </w:r>
      <w:r>
        <w:rPr>
          <w:color w:val="231F20"/>
          <w:spacing w:val="-7"/>
        </w:rPr>
        <w:t> </w:t>
      </w:r>
      <w:r>
        <w:rPr>
          <w:color w:val="231F20"/>
        </w:rPr>
        <w:t>business.</w:t>
      </w:r>
      <w:r>
        <w:rPr>
          <w:color w:val="231F20"/>
          <w:spacing w:val="40"/>
        </w:rPr>
        <w:t> </w:t>
      </w:r>
      <w:r>
        <w:rPr>
          <w:color w:val="231F20"/>
        </w:rPr>
        <w:t>Currently,</w:t>
      </w:r>
      <w:r>
        <w:rPr>
          <w:color w:val="231F20"/>
          <w:spacing w:val="-8"/>
        </w:rPr>
        <w:t> </w:t>
      </w:r>
      <w:r>
        <w:rPr>
          <w:color w:val="231F20"/>
        </w:rPr>
        <w:t>no</w:t>
      </w:r>
      <w:r>
        <w:rPr>
          <w:color w:val="231F20"/>
          <w:spacing w:val="-7"/>
        </w:rPr>
        <w:t> </w:t>
      </w:r>
      <w:r>
        <w:rPr>
          <w:color w:val="231F20"/>
        </w:rPr>
        <w:t>lawsuit settlements or outcomes have exceeded insurance coverage for the last three years.</w:t>
      </w:r>
    </w:p>
    <w:p>
      <w:pPr>
        <w:pStyle w:val="BodyText"/>
        <w:spacing w:before="9"/>
        <w:rPr>
          <w:sz w:val="23"/>
        </w:rPr>
      </w:pPr>
    </w:p>
    <w:p>
      <w:pPr>
        <w:pStyle w:val="BodyText"/>
        <w:spacing w:line="276" w:lineRule="auto"/>
        <w:ind w:left="1440" w:right="1048"/>
      </w:pPr>
      <w:r>
        <w:rPr>
          <w:color w:val="231F20"/>
        </w:rPr>
        <w:t>The Institute is a defendant in legal actions arising from normal business activities. Management believes</w:t>
      </w:r>
      <w:r>
        <w:rPr>
          <w:color w:val="231F20"/>
          <w:spacing w:val="-3"/>
        </w:rPr>
        <w:t> </w:t>
      </w:r>
      <w:r>
        <w:rPr>
          <w:color w:val="231F20"/>
        </w:rPr>
        <w:t>that</w:t>
      </w:r>
      <w:r>
        <w:rPr>
          <w:color w:val="231F20"/>
          <w:spacing w:val="-3"/>
        </w:rPr>
        <w:t> </w:t>
      </w:r>
      <w:r>
        <w:rPr>
          <w:color w:val="231F20"/>
        </w:rPr>
        <w:t>those</w:t>
      </w:r>
      <w:r>
        <w:rPr>
          <w:color w:val="231F20"/>
          <w:spacing w:val="-3"/>
        </w:rPr>
        <w:t> </w:t>
      </w:r>
      <w:r>
        <w:rPr>
          <w:color w:val="231F20"/>
        </w:rPr>
        <w:t>actions</w:t>
      </w:r>
      <w:r>
        <w:rPr>
          <w:color w:val="231F20"/>
          <w:spacing w:val="-3"/>
        </w:rPr>
        <w:t> </w:t>
      </w:r>
      <w:r>
        <w:rPr>
          <w:color w:val="231F20"/>
        </w:rPr>
        <w:t>are</w:t>
      </w:r>
      <w:r>
        <w:rPr>
          <w:color w:val="231F20"/>
          <w:spacing w:val="-3"/>
        </w:rPr>
        <w:t> </w:t>
      </w:r>
      <w:r>
        <w:rPr>
          <w:color w:val="231F20"/>
        </w:rPr>
        <w:t>without</w:t>
      </w:r>
      <w:r>
        <w:rPr>
          <w:color w:val="231F20"/>
          <w:spacing w:val="-3"/>
        </w:rPr>
        <w:t> </w:t>
      </w:r>
      <w:r>
        <w:rPr>
          <w:color w:val="231F20"/>
        </w:rPr>
        <w:t>merit</w:t>
      </w:r>
      <w:r>
        <w:rPr>
          <w:color w:val="231F20"/>
          <w:spacing w:val="-3"/>
        </w:rPr>
        <w:t> </w:t>
      </w:r>
      <w:r>
        <w:rPr>
          <w:color w:val="231F20"/>
        </w:rPr>
        <w:t>or</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ultimate</w:t>
      </w:r>
      <w:r>
        <w:rPr>
          <w:color w:val="231F20"/>
          <w:spacing w:val="-3"/>
        </w:rPr>
        <w:t> </w:t>
      </w:r>
      <w:r>
        <w:rPr>
          <w:color w:val="231F20"/>
        </w:rPr>
        <w:t>liability,</w:t>
      </w:r>
      <w:r>
        <w:rPr>
          <w:color w:val="231F20"/>
          <w:spacing w:val="-3"/>
        </w:rPr>
        <w:t> </w:t>
      </w:r>
      <w:r>
        <w:rPr>
          <w:color w:val="231F20"/>
        </w:rPr>
        <w:t>if</w:t>
      </w:r>
      <w:r>
        <w:rPr>
          <w:color w:val="231F20"/>
          <w:spacing w:val="-3"/>
        </w:rPr>
        <w:t> </w:t>
      </w:r>
      <w:r>
        <w:rPr>
          <w:color w:val="231F20"/>
        </w:rPr>
        <w:t>any,</w:t>
      </w:r>
      <w:r>
        <w:rPr>
          <w:color w:val="231F20"/>
          <w:spacing w:val="-3"/>
        </w:rPr>
        <w:t> </w:t>
      </w:r>
      <w:r>
        <w:rPr>
          <w:color w:val="231F20"/>
        </w:rPr>
        <w:t>resulting</w:t>
      </w:r>
      <w:r>
        <w:rPr>
          <w:color w:val="231F20"/>
          <w:spacing w:val="-3"/>
        </w:rPr>
        <w:t> </w:t>
      </w:r>
      <w:r>
        <w:rPr>
          <w:color w:val="231F20"/>
        </w:rPr>
        <w:t>from</w:t>
      </w:r>
      <w:r>
        <w:rPr>
          <w:color w:val="231F20"/>
          <w:spacing w:val="-4"/>
        </w:rPr>
        <w:t> </w:t>
      </w:r>
      <w:r>
        <w:rPr>
          <w:color w:val="231F20"/>
        </w:rPr>
        <w:t>them</w:t>
      </w:r>
      <w:r>
        <w:rPr>
          <w:color w:val="231F20"/>
          <w:spacing w:val="-3"/>
        </w:rPr>
        <w:t> </w:t>
      </w:r>
      <w:r>
        <w:rPr>
          <w:color w:val="231F20"/>
        </w:rPr>
        <w:t>will not materially affect the Institute’s financial position or results of operations.</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11</w:t>
      </w:r>
      <w:r>
        <w:rPr>
          <w:color w:val="231F20"/>
          <w:spacing w:val="-6"/>
        </w:rPr>
        <w:t> </w:t>
      </w:r>
      <w:r>
        <w:rPr>
          <w:color w:val="231F20"/>
        </w:rPr>
        <w:t>–</w:t>
      </w:r>
      <w:r>
        <w:rPr>
          <w:color w:val="231F20"/>
          <w:spacing w:val="-6"/>
        </w:rPr>
        <w:t> </w:t>
      </w:r>
      <w:r>
        <w:rPr>
          <w:color w:val="231F20"/>
        </w:rPr>
        <w:t>Commitments</w:t>
      </w:r>
      <w:r>
        <w:rPr>
          <w:color w:val="231F20"/>
          <w:spacing w:val="-7"/>
        </w:rPr>
        <w:t> </w:t>
      </w:r>
      <w:r>
        <w:rPr>
          <w:color w:val="231F20"/>
        </w:rPr>
        <w:t>and</w:t>
      </w:r>
      <w:r>
        <w:rPr>
          <w:color w:val="231F20"/>
          <w:spacing w:val="-6"/>
        </w:rPr>
        <w:t> </w:t>
      </w:r>
      <w:r>
        <w:rPr>
          <w:color w:val="231F20"/>
        </w:rPr>
        <w:t>Contingencies</w:t>
      </w:r>
      <w:r>
        <w:rPr>
          <w:color w:val="231F20"/>
          <w:spacing w:val="-6"/>
        </w:rPr>
        <w:t> </w:t>
      </w:r>
      <w:r>
        <w:rPr>
          <w:color w:val="231F20"/>
          <w:spacing w:val="-2"/>
        </w:rPr>
        <w:t>(continued)</w:t>
      </w:r>
    </w:p>
    <w:p>
      <w:pPr>
        <w:pStyle w:val="BodyText"/>
        <w:rPr>
          <w:b/>
          <w:sz w:val="26"/>
        </w:rPr>
      </w:pPr>
    </w:p>
    <w:p>
      <w:pPr>
        <w:spacing w:before="1"/>
        <w:ind w:left="1440" w:right="0" w:firstLine="0"/>
        <w:jc w:val="left"/>
        <w:rPr>
          <w:b/>
          <w:sz w:val="20"/>
        </w:rPr>
      </w:pPr>
      <w:r>
        <w:rPr>
          <w:b/>
          <w:color w:val="231F20"/>
          <w:sz w:val="20"/>
        </w:rPr>
        <w:t>Other</w:t>
      </w:r>
      <w:r>
        <w:rPr>
          <w:b/>
          <w:color w:val="231F20"/>
          <w:spacing w:val="-8"/>
          <w:sz w:val="20"/>
        </w:rPr>
        <w:t> </w:t>
      </w:r>
      <w:r>
        <w:rPr>
          <w:b/>
          <w:color w:val="231F20"/>
          <w:spacing w:val="-2"/>
          <w:sz w:val="20"/>
        </w:rPr>
        <w:t>Commitments</w:t>
      </w:r>
    </w:p>
    <w:p>
      <w:pPr>
        <w:pStyle w:val="BodyText"/>
        <w:spacing w:line="276" w:lineRule="auto" w:before="34"/>
        <w:ind w:left="1440" w:right="891"/>
      </w:pPr>
      <w:r>
        <w:rPr>
          <w:color w:val="231F20"/>
        </w:rPr>
        <w:t>At June 30, 2022, the Institute had issued purchase orders for materials and services which were not received</w:t>
      </w:r>
      <w:r>
        <w:rPr>
          <w:color w:val="231F20"/>
          <w:spacing w:val="-3"/>
        </w:rPr>
        <w:t> </w:t>
      </w:r>
      <w:r>
        <w:rPr>
          <w:color w:val="231F20"/>
        </w:rPr>
        <w:t>and</w:t>
      </w:r>
      <w:r>
        <w:rPr>
          <w:color w:val="231F20"/>
          <w:spacing w:val="-3"/>
        </w:rPr>
        <w:t> </w:t>
      </w:r>
      <w:r>
        <w:rPr>
          <w:color w:val="231F20"/>
        </w:rPr>
        <w:t>thus</w:t>
      </w:r>
      <w:r>
        <w:rPr>
          <w:color w:val="231F20"/>
          <w:spacing w:val="-3"/>
        </w:rPr>
        <w:t> </w:t>
      </w:r>
      <w:r>
        <w:rPr>
          <w:color w:val="231F20"/>
        </w:rPr>
        <w:t>not</w:t>
      </w:r>
      <w:r>
        <w:rPr>
          <w:color w:val="231F20"/>
          <w:spacing w:val="-3"/>
        </w:rPr>
        <w:t> </w:t>
      </w:r>
      <w:r>
        <w:rPr>
          <w:color w:val="231F20"/>
        </w:rPr>
        <w:t>reflected</w:t>
      </w:r>
      <w:r>
        <w:rPr>
          <w:color w:val="231F20"/>
          <w:spacing w:val="-3"/>
        </w:rPr>
        <w:t> </w:t>
      </w:r>
      <w:r>
        <w:rPr>
          <w:color w:val="231F20"/>
        </w:rPr>
        <w:t>as</w:t>
      </w:r>
      <w:r>
        <w:rPr>
          <w:color w:val="231F20"/>
          <w:spacing w:val="-3"/>
        </w:rPr>
        <w:t> </w:t>
      </w:r>
      <w:r>
        <w:rPr>
          <w:color w:val="231F20"/>
        </w:rPr>
        <w:t>liabilities</w:t>
      </w:r>
      <w:r>
        <w:rPr>
          <w:color w:val="231F20"/>
          <w:spacing w:val="-3"/>
        </w:rPr>
        <w:t> </w:t>
      </w:r>
      <w:r>
        <w:rPr>
          <w:color w:val="231F20"/>
        </w:rPr>
        <w:t>in</w:t>
      </w:r>
      <w:r>
        <w:rPr>
          <w:color w:val="231F20"/>
          <w:spacing w:val="-3"/>
        </w:rPr>
        <w:t> </w:t>
      </w:r>
      <w:r>
        <w:rPr>
          <w:color w:val="231F20"/>
        </w:rPr>
        <w:t>the</w:t>
      </w:r>
      <w:r>
        <w:rPr>
          <w:color w:val="231F20"/>
          <w:spacing w:val="-1"/>
        </w:rPr>
        <w:t> </w:t>
      </w:r>
      <w:r>
        <w:rPr>
          <w:color w:val="231F20"/>
        </w:rPr>
        <w:t>accompanying</w:t>
      </w:r>
      <w:r>
        <w:rPr>
          <w:color w:val="231F20"/>
          <w:spacing w:val="-3"/>
        </w:rPr>
        <w:t> </w:t>
      </w:r>
      <w:r>
        <w:rPr>
          <w:color w:val="231F20"/>
        </w:rPr>
        <w:t>basic</w:t>
      </w:r>
      <w:r>
        <w:rPr>
          <w:color w:val="231F20"/>
          <w:spacing w:val="-3"/>
        </w:rPr>
        <w:t> </w:t>
      </w:r>
      <w:r>
        <w:rPr>
          <w:color w:val="231F20"/>
        </w:rPr>
        <w:t>financial</w:t>
      </w:r>
      <w:r>
        <w:rPr>
          <w:color w:val="231F20"/>
          <w:spacing w:val="-4"/>
        </w:rPr>
        <w:t> </w:t>
      </w:r>
      <w:r>
        <w:rPr>
          <w:color w:val="231F20"/>
        </w:rPr>
        <w:t>statements.</w:t>
      </w:r>
      <w:r>
        <w:rPr>
          <w:color w:val="231F20"/>
          <w:spacing w:val="-3"/>
        </w:rPr>
        <w:t> </w:t>
      </w:r>
      <w:r>
        <w:rPr>
          <w:color w:val="231F20"/>
        </w:rPr>
        <w:t>The</w:t>
      </w:r>
      <w:r>
        <w:rPr>
          <w:color w:val="231F20"/>
          <w:spacing w:val="-3"/>
        </w:rPr>
        <w:t> </w:t>
      </w:r>
      <w:r>
        <w:rPr>
          <w:color w:val="231F20"/>
        </w:rPr>
        <w:t>amount of such commitments is $36,796,938.</w:t>
      </w:r>
    </w:p>
    <w:p>
      <w:pPr>
        <w:pStyle w:val="BodyText"/>
        <w:spacing w:before="9"/>
        <w:rPr>
          <w:sz w:val="23"/>
        </w:rPr>
      </w:pPr>
    </w:p>
    <w:p>
      <w:pPr>
        <w:pStyle w:val="BodyText"/>
        <w:spacing w:line="276" w:lineRule="auto" w:before="1"/>
        <w:ind w:left="1440" w:right="1048"/>
      </w:pPr>
      <w:r>
        <w:rPr>
          <w:color w:val="231F20"/>
        </w:rPr>
        <w:t>Total</w:t>
      </w:r>
      <w:r>
        <w:rPr>
          <w:color w:val="231F20"/>
          <w:spacing w:val="-4"/>
        </w:rPr>
        <w:t> </w:t>
      </w:r>
      <w:r>
        <w:rPr>
          <w:color w:val="231F20"/>
        </w:rPr>
        <w:t>construction</w:t>
      </w:r>
      <w:r>
        <w:rPr>
          <w:color w:val="231F20"/>
          <w:spacing w:val="-4"/>
        </w:rPr>
        <w:t> </w:t>
      </w:r>
      <w:r>
        <w:rPr>
          <w:color w:val="231F20"/>
        </w:rPr>
        <w:t>commitments</w:t>
      </w:r>
      <w:r>
        <w:rPr>
          <w:color w:val="231F20"/>
          <w:spacing w:val="-4"/>
        </w:rPr>
        <w:t> </w:t>
      </w:r>
      <w:r>
        <w:rPr>
          <w:color w:val="231F20"/>
        </w:rPr>
        <w:t>of</w:t>
      </w:r>
      <w:r>
        <w:rPr>
          <w:color w:val="231F20"/>
          <w:spacing w:val="-4"/>
        </w:rPr>
        <w:t> </w:t>
      </w:r>
      <w:r>
        <w:rPr>
          <w:color w:val="231F20"/>
        </w:rPr>
        <w:t>$6,251,940</w:t>
      </w:r>
      <w:r>
        <w:rPr>
          <w:color w:val="231F20"/>
          <w:spacing w:val="-4"/>
        </w:rPr>
        <w:t> </w:t>
      </w:r>
      <w:r>
        <w:rPr>
          <w:color w:val="231F20"/>
        </w:rPr>
        <w:t>are</w:t>
      </w:r>
      <w:r>
        <w:rPr>
          <w:color w:val="231F20"/>
          <w:spacing w:val="-4"/>
        </w:rPr>
        <w:t> </w:t>
      </w:r>
      <w:r>
        <w:rPr>
          <w:color w:val="231F20"/>
        </w:rPr>
        <w:t>not</w:t>
      </w:r>
      <w:r>
        <w:rPr>
          <w:color w:val="231F20"/>
          <w:spacing w:val="-4"/>
        </w:rPr>
        <w:t> </w:t>
      </w:r>
      <w:r>
        <w:rPr>
          <w:color w:val="231F20"/>
        </w:rPr>
        <w:t>presented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financial</w:t>
      </w:r>
      <w:r>
        <w:rPr>
          <w:color w:val="231F20"/>
          <w:spacing w:val="-4"/>
        </w:rPr>
        <w:t> </w:t>
      </w:r>
      <w:r>
        <w:rPr>
          <w:color w:val="231F20"/>
        </w:rPr>
        <w:t>statements.</w:t>
      </w:r>
      <w:r>
        <w:rPr>
          <w:color w:val="231F20"/>
          <w:spacing w:val="-4"/>
        </w:rPr>
        <w:t> </w:t>
      </w:r>
      <w:r>
        <w:rPr>
          <w:color w:val="231F20"/>
        </w:rPr>
        <w:t>These commitments represent unfinished contracts with various entities at June 30, 2022.</w:t>
      </w:r>
    </w:p>
    <w:p>
      <w:pPr>
        <w:pStyle w:val="BodyText"/>
        <w:rPr>
          <w:sz w:val="22"/>
        </w:rPr>
      </w:pPr>
    </w:p>
    <w:p>
      <w:pPr>
        <w:pStyle w:val="BodyText"/>
        <w:spacing w:before="10"/>
        <w:rPr>
          <w:sz w:val="23"/>
        </w:rPr>
      </w:pPr>
    </w:p>
    <w:p>
      <w:pPr>
        <w:pStyle w:val="Heading4"/>
      </w:pPr>
      <w:r>
        <w:rPr>
          <w:color w:val="231F20"/>
        </w:rPr>
        <w:t>Note</w:t>
      </w:r>
      <w:r>
        <w:rPr>
          <w:color w:val="231F20"/>
          <w:spacing w:val="-3"/>
        </w:rPr>
        <w:t> </w:t>
      </w:r>
      <w:r>
        <w:rPr>
          <w:color w:val="231F20"/>
        </w:rPr>
        <w:t>12</w:t>
      </w:r>
      <w:r>
        <w:rPr>
          <w:color w:val="231F20"/>
          <w:spacing w:val="-2"/>
        </w:rPr>
        <w:t> </w:t>
      </w:r>
      <w:r>
        <w:rPr>
          <w:color w:val="231F20"/>
        </w:rPr>
        <w:t>–</w:t>
      </w:r>
      <w:r>
        <w:rPr>
          <w:color w:val="231F20"/>
          <w:spacing w:val="-2"/>
        </w:rPr>
        <w:t> Endowments</w:t>
      </w:r>
    </w:p>
    <w:p>
      <w:pPr>
        <w:pStyle w:val="BodyText"/>
        <w:rPr>
          <w:b/>
          <w:sz w:val="26"/>
        </w:rPr>
      </w:pPr>
    </w:p>
    <w:p>
      <w:pPr>
        <w:pStyle w:val="BodyText"/>
        <w:spacing w:line="276" w:lineRule="auto" w:before="1"/>
        <w:ind w:left="1440" w:right="1048"/>
      </w:pPr>
      <w:r>
        <w:rPr>
          <w:color w:val="231F20"/>
        </w:rPr>
        <w:t>The Institute has donor-restricted and unrestricted endowments with the authority to use interest, income,</w:t>
      </w:r>
      <w:r>
        <w:rPr>
          <w:color w:val="231F20"/>
          <w:spacing w:val="-3"/>
        </w:rPr>
        <w:t> </w:t>
      </w:r>
      <w:r>
        <w:rPr>
          <w:color w:val="231F20"/>
        </w:rPr>
        <w:t>dividends,</w:t>
      </w:r>
      <w:r>
        <w:rPr>
          <w:color w:val="231F20"/>
          <w:spacing w:val="-3"/>
        </w:rPr>
        <w:t> </w:t>
      </w:r>
      <w:r>
        <w:rPr>
          <w:color w:val="231F20"/>
        </w:rPr>
        <w:t>or</w:t>
      </w:r>
      <w:r>
        <w:rPr>
          <w:color w:val="231F20"/>
          <w:spacing w:val="-3"/>
        </w:rPr>
        <w:t> </w:t>
      </w:r>
      <w:r>
        <w:rPr>
          <w:color w:val="231F20"/>
        </w:rPr>
        <w:t>profits</w:t>
      </w:r>
      <w:r>
        <w:rPr>
          <w:color w:val="231F20"/>
          <w:spacing w:val="-3"/>
        </w:rPr>
        <w:t> </w:t>
      </w:r>
      <w:r>
        <w:rPr>
          <w:color w:val="231F20"/>
        </w:rPr>
        <w:t>of</w:t>
      </w:r>
      <w:r>
        <w:rPr>
          <w:color w:val="231F20"/>
          <w:spacing w:val="-3"/>
        </w:rPr>
        <w:t> </w:t>
      </w:r>
      <w:r>
        <w:rPr>
          <w:color w:val="231F20"/>
        </w:rPr>
        <w:t>endowments</w:t>
      </w:r>
      <w:r>
        <w:rPr>
          <w:color w:val="231F20"/>
          <w:spacing w:val="-3"/>
        </w:rPr>
        <w:t> </w:t>
      </w:r>
      <w:r>
        <w:rPr>
          <w:color w:val="231F20"/>
        </w:rPr>
        <w:t>for</w:t>
      </w:r>
      <w:r>
        <w:rPr>
          <w:color w:val="231F20"/>
          <w:spacing w:val="-4"/>
        </w:rPr>
        <w:t> </w:t>
      </w:r>
      <w:r>
        <w:rPr>
          <w:color w:val="231F20"/>
        </w:rPr>
        <w:t>specified</w:t>
      </w:r>
      <w:r>
        <w:rPr>
          <w:color w:val="231F20"/>
          <w:spacing w:val="-3"/>
        </w:rPr>
        <w:t> </w:t>
      </w:r>
      <w:r>
        <w:rPr>
          <w:color w:val="231F20"/>
        </w:rPr>
        <w:t>purposes</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benefit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and</w:t>
      </w:r>
      <w:r>
        <w:rPr>
          <w:color w:val="231F20"/>
          <w:spacing w:val="-3"/>
        </w:rPr>
        <w:t> </w:t>
      </w:r>
      <w:r>
        <w:rPr>
          <w:color w:val="231F20"/>
        </w:rPr>
        <w:t>its students. Expendable funds are those funds that may be expended for either a stated purpose or for a general purpose as per the endowment gift terms. Nonexpendable funds are those required to be retained in perpetuity.</w:t>
      </w:r>
    </w:p>
    <w:p>
      <w:pPr>
        <w:pStyle w:val="BodyText"/>
        <w:rPr>
          <w:sz w:val="23"/>
        </w:rPr>
      </w:pPr>
    </w:p>
    <w:p>
      <w:pPr>
        <w:pStyle w:val="BodyText"/>
        <w:spacing w:line="276" w:lineRule="auto"/>
        <w:ind w:left="1439" w:right="1048"/>
      </w:pPr>
      <w:r>
        <w:rPr>
          <w:color w:val="231F20"/>
        </w:rPr>
        <w:t>Endowment income is reported each year based on investment activity for the year as </w:t>
      </w:r>
      <w:r>
        <w:rPr>
          <w:i/>
          <w:color w:val="231F20"/>
        </w:rPr>
        <w:t>additions to</w:t>
      </w:r>
      <w:r>
        <w:rPr>
          <w:i/>
          <w:color w:val="231F20"/>
        </w:rPr>
        <w:t> endowments</w:t>
      </w:r>
      <w:r>
        <w:rPr>
          <w:i/>
          <w:color w:val="231F20"/>
          <w:spacing w:val="-3"/>
        </w:rPr>
        <w:t> </w:t>
      </w:r>
      <w:r>
        <w:rPr>
          <w:color w:val="231F20"/>
        </w:rPr>
        <w:t>on</w:t>
      </w:r>
      <w:r>
        <w:rPr>
          <w:color w:val="231F20"/>
          <w:spacing w:val="-4"/>
        </w:rPr>
        <w:t> </w:t>
      </w:r>
      <w:r>
        <w:rPr>
          <w:color w:val="231F20"/>
        </w:rPr>
        <w:t>the</w:t>
      </w:r>
      <w:r>
        <w:rPr>
          <w:color w:val="231F20"/>
          <w:spacing w:val="-3"/>
        </w:rPr>
        <w:t> </w:t>
      </w:r>
      <w:r>
        <w:rPr>
          <w:color w:val="231F20"/>
        </w:rPr>
        <w:t>statement</w:t>
      </w:r>
      <w:r>
        <w:rPr>
          <w:color w:val="231F20"/>
          <w:spacing w:val="-4"/>
        </w:rPr>
        <w:t> </w:t>
      </w:r>
      <w:r>
        <w:rPr>
          <w:color w:val="231F20"/>
        </w:rPr>
        <w:t>of</w:t>
      </w:r>
      <w:r>
        <w:rPr>
          <w:color w:val="231F20"/>
          <w:spacing w:val="-3"/>
        </w:rPr>
        <w:t> </w:t>
      </w:r>
      <w:r>
        <w:rPr>
          <w:color w:val="231F20"/>
        </w:rPr>
        <w:t>revenues,</w:t>
      </w:r>
      <w:r>
        <w:rPr>
          <w:color w:val="231F20"/>
          <w:spacing w:val="-4"/>
        </w:rPr>
        <w:t> </w:t>
      </w:r>
      <w:r>
        <w:rPr>
          <w:color w:val="231F20"/>
        </w:rPr>
        <w:t>expenses</w:t>
      </w:r>
      <w:r>
        <w:rPr>
          <w:color w:val="231F20"/>
          <w:spacing w:val="-3"/>
        </w:rPr>
        <w:t> </w:t>
      </w:r>
      <w:r>
        <w:rPr>
          <w:color w:val="231F20"/>
        </w:rPr>
        <w:t>and</w:t>
      </w:r>
      <w:r>
        <w:rPr>
          <w:color w:val="231F20"/>
          <w:spacing w:val="-4"/>
        </w:rPr>
        <w:t> </w:t>
      </w:r>
      <w:r>
        <w:rPr>
          <w:color w:val="231F20"/>
        </w:rPr>
        <w:t>changes</w:t>
      </w:r>
      <w:r>
        <w:rPr>
          <w:color w:val="231F20"/>
          <w:spacing w:val="-3"/>
        </w:rPr>
        <w:t> </w:t>
      </w:r>
      <w:r>
        <w:rPr>
          <w:color w:val="231F20"/>
        </w:rPr>
        <w:t>in</w:t>
      </w:r>
      <w:r>
        <w:rPr>
          <w:color w:val="231F20"/>
          <w:spacing w:val="-4"/>
        </w:rPr>
        <w:t> </w:t>
      </w:r>
      <w:r>
        <w:rPr>
          <w:color w:val="231F20"/>
        </w:rPr>
        <w:t>net</w:t>
      </w:r>
      <w:r>
        <w:rPr>
          <w:color w:val="231F20"/>
          <w:spacing w:val="-3"/>
        </w:rPr>
        <w:t> </w:t>
      </w:r>
      <w:r>
        <w:rPr>
          <w:color w:val="231F20"/>
        </w:rPr>
        <w:t>position.</w:t>
      </w:r>
      <w:r>
        <w:rPr>
          <w:color w:val="231F20"/>
          <w:spacing w:val="-4"/>
        </w:rPr>
        <w:t> </w:t>
      </w:r>
      <w:r>
        <w:rPr>
          <w:color w:val="231F20"/>
        </w:rPr>
        <w:t>Each</w:t>
      </w:r>
      <w:r>
        <w:rPr>
          <w:color w:val="231F20"/>
          <w:spacing w:val="-3"/>
        </w:rPr>
        <w:t> </w:t>
      </w:r>
      <w:r>
        <w:rPr>
          <w:color w:val="231F20"/>
        </w:rPr>
        <w:t>institution</w:t>
      </w:r>
      <w:r>
        <w:rPr>
          <w:color w:val="231F20"/>
          <w:spacing w:val="-4"/>
        </w:rPr>
        <w:t> </w:t>
      </w:r>
      <w:r>
        <w:rPr>
          <w:color w:val="231F20"/>
        </w:rPr>
        <w:t>sets the amounts and/or percentage of net appreciation on endowment investments that are authorized for expenditure</w:t>
      </w:r>
      <w:r>
        <w:rPr>
          <w:color w:val="231F20"/>
          <w:spacing w:val="-1"/>
        </w:rPr>
        <w:t> </w:t>
      </w:r>
      <w:r>
        <w:rPr>
          <w:color w:val="231F20"/>
        </w:rPr>
        <w:t>in</w:t>
      </w:r>
      <w:r>
        <w:rPr>
          <w:color w:val="231F20"/>
          <w:spacing w:val="-1"/>
        </w:rPr>
        <w:t> </w:t>
      </w:r>
      <w:r>
        <w:rPr>
          <w:color w:val="231F20"/>
        </w:rPr>
        <w:t>its</w:t>
      </w:r>
      <w:r>
        <w:rPr>
          <w:color w:val="231F20"/>
          <w:spacing w:val="-1"/>
        </w:rPr>
        <w:t> </w:t>
      </w:r>
      <w:r>
        <w:rPr>
          <w:color w:val="231F20"/>
        </w:rPr>
        <w:t>spending</w:t>
      </w:r>
      <w:r>
        <w:rPr>
          <w:color w:val="231F20"/>
          <w:spacing w:val="-1"/>
        </w:rPr>
        <w:t> </w:t>
      </w:r>
      <w:r>
        <w:rPr>
          <w:color w:val="231F20"/>
        </w:rPr>
        <w:t>plan.</w:t>
      </w:r>
      <w:r>
        <w:rPr>
          <w:color w:val="231F20"/>
          <w:spacing w:val="-1"/>
        </w:rPr>
        <w:t> </w:t>
      </w:r>
      <w:r>
        <w:rPr>
          <w:color w:val="231F20"/>
        </w:rPr>
        <w:t>Endowment</w:t>
      </w:r>
      <w:r>
        <w:rPr>
          <w:color w:val="231F20"/>
          <w:spacing w:val="-1"/>
        </w:rPr>
        <w:t> </w:t>
      </w:r>
      <w:r>
        <w:rPr>
          <w:color w:val="231F20"/>
        </w:rPr>
        <w:t>income made</w:t>
      </w:r>
      <w:r>
        <w:rPr>
          <w:color w:val="231F20"/>
          <w:spacing w:val="-1"/>
        </w:rPr>
        <w:t> </w:t>
      </w:r>
      <w:r>
        <w:rPr>
          <w:color w:val="231F20"/>
        </w:rPr>
        <w:t>available</w:t>
      </w:r>
      <w:r>
        <w:rPr>
          <w:color w:val="231F20"/>
          <w:spacing w:val="-1"/>
        </w:rPr>
        <w:t> </w:t>
      </w:r>
      <w:r>
        <w:rPr>
          <w:color w:val="231F20"/>
        </w:rPr>
        <w:t>for</w:t>
      </w:r>
      <w:r>
        <w:rPr>
          <w:color w:val="231F20"/>
          <w:spacing w:val="-1"/>
        </w:rPr>
        <w:t> </w:t>
      </w:r>
      <w:r>
        <w:rPr>
          <w:color w:val="231F20"/>
        </w:rPr>
        <w:t>distribution</w:t>
      </w:r>
      <w:r>
        <w:rPr>
          <w:color w:val="231F20"/>
          <w:spacing w:val="-1"/>
        </w:rPr>
        <w:t> </w:t>
      </w:r>
      <w:r>
        <w:rPr>
          <w:color w:val="231F20"/>
        </w:rPr>
        <w:t>for</w:t>
      </w:r>
      <w:r>
        <w:rPr>
          <w:color w:val="231F20"/>
          <w:spacing w:val="-1"/>
        </w:rPr>
        <w:t> </w:t>
      </w:r>
      <w:r>
        <w:rPr>
          <w:color w:val="231F20"/>
        </w:rPr>
        <w:t>the</w:t>
      </w:r>
      <w:r>
        <w:rPr>
          <w:color w:val="231F20"/>
          <w:spacing w:val="-2"/>
        </w:rPr>
        <w:t> </w:t>
      </w:r>
      <w:r>
        <w:rPr>
          <w:color w:val="231F20"/>
        </w:rPr>
        <w:t>established purpose was $2,410,448.</w:t>
      </w:r>
    </w:p>
    <w:p>
      <w:pPr>
        <w:pStyle w:val="BodyText"/>
        <w:rPr>
          <w:sz w:val="22"/>
        </w:rPr>
      </w:pPr>
    </w:p>
    <w:p>
      <w:pPr>
        <w:pStyle w:val="BodyText"/>
        <w:spacing w:before="10"/>
        <w:rPr>
          <w:sz w:val="23"/>
        </w:rPr>
      </w:pPr>
    </w:p>
    <w:p>
      <w:pPr>
        <w:pStyle w:val="Heading4"/>
        <w:ind w:left="1439"/>
      </w:pPr>
      <w:r>
        <w:rPr>
          <w:color w:val="231F20"/>
        </w:rPr>
        <w:t>Note</w:t>
      </w:r>
      <w:r>
        <w:rPr>
          <w:color w:val="231F20"/>
          <w:spacing w:val="-4"/>
        </w:rPr>
        <w:t> </w:t>
      </w:r>
      <w:r>
        <w:rPr>
          <w:color w:val="231F20"/>
        </w:rPr>
        <w:t>13</w:t>
      </w:r>
      <w:r>
        <w:rPr>
          <w:color w:val="231F20"/>
          <w:spacing w:val="-3"/>
        </w:rPr>
        <w:t> </w:t>
      </w:r>
      <w:r>
        <w:rPr>
          <w:color w:val="231F20"/>
        </w:rPr>
        <w:t>–</w:t>
      </w:r>
      <w:r>
        <w:rPr>
          <w:color w:val="231F20"/>
          <w:spacing w:val="-4"/>
        </w:rPr>
        <w:t> </w:t>
      </w:r>
      <w:r>
        <w:rPr>
          <w:color w:val="231F20"/>
        </w:rPr>
        <w:t>State</w:t>
      </w:r>
      <w:r>
        <w:rPr>
          <w:color w:val="231F20"/>
          <w:spacing w:val="-3"/>
        </w:rPr>
        <w:t> </w:t>
      </w:r>
      <w:r>
        <w:rPr>
          <w:color w:val="231F20"/>
        </w:rPr>
        <w:t>Bond</w:t>
      </w:r>
      <w:r>
        <w:rPr>
          <w:color w:val="231F20"/>
          <w:spacing w:val="-3"/>
        </w:rPr>
        <w:t> </w:t>
      </w:r>
      <w:r>
        <w:rPr>
          <w:color w:val="231F20"/>
        </w:rPr>
        <w:t>Appropriation</w:t>
      </w:r>
      <w:r>
        <w:rPr>
          <w:color w:val="231F20"/>
          <w:spacing w:val="-4"/>
        </w:rPr>
        <w:t> </w:t>
      </w:r>
      <w:r>
        <w:rPr>
          <w:color w:val="231F20"/>
          <w:spacing w:val="-2"/>
        </w:rPr>
        <w:t>Accounting</w:t>
      </w:r>
    </w:p>
    <w:p>
      <w:pPr>
        <w:pStyle w:val="BodyText"/>
        <w:rPr>
          <w:b/>
          <w:sz w:val="26"/>
        </w:rPr>
      </w:pPr>
    </w:p>
    <w:p>
      <w:pPr>
        <w:pStyle w:val="BodyText"/>
        <w:spacing w:line="276" w:lineRule="auto" w:before="1"/>
        <w:ind w:left="1439" w:right="891"/>
      </w:pPr>
      <w:r>
        <w:rPr>
          <w:color w:val="231F20"/>
        </w:rPr>
        <w:t>The</w:t>
      </w:r>
      <w:r>
        <w:rPr>
          <w:color w:val="231F20"/>
          <w:spacing w:val="-4"/>
        </w:rPr>
        <w:t> </w:t>
      </w:r>
      <w:r>
        <w:rPr>
          <w:color w:val="231F20"/>
        </w:rPr>
        <w:t>Institute</w:t>
      </w:r>
      <w:r>
        <w:rPr>
          <w:color w:val="231F20"/>
          <w:spacing w:val="-5"/>
        </w:rPr>
        <w:t> </w:t>
      </w:r>
      <w:r>
        <w:rPr>
          <w:color w:val="231F20"/>
        </w:rPr>
        <w:t>has</w:t>
      </w:r>
      <w:r>
        <w:rPr>
          <w:color w:val="231F20"/>
          <w:spacing w:val="-4"/>
        </w:rPr>
        <w:t> </w:t>
      </w:r>
      <w:r>
        <w:rPr>
          <w:color w:val="231F20"/>
        </w:rPr>
        <w:t>periodically</w:t>
      </w:r>
      <w:r>
        <w:rPr>
          <w:color w:val="231F20"/>
          <w:spacing w:val="-4"/>
        </w:rPr>
        <w:t> </w:t>
      </w:r>
      <w:r>
        <w:rPr>
          <w:color w:val="231F20"/>
        </w:rPr>
        <w:t>received</w:t>
      </w:r>
      <w:r>
        <w:rPr>
          <w:color w:val="231F20"/>
          <w:spacing w:val="-5"/>
        </w:rPr>
        <w:t> </w:t>
      </w:r>
      <w:r>
        <w:rPr>
          <w:color w:val="231F20"/>
        </w:rPr>
        <w:t>severance</w:t>
      </w:r>
      <w:r>
        <w:rPr>
          <w:color w:val="231F20"/>
          <w:spacing w:val="-4"/>
        </w:rPr>
        <w:t> </w:t>
      </w:r>
      <w:r>
        <w:rPr>
          <w:color w:val="231F20"/>
        </w:rPr>
        <w:t>tax</w:t>
      </w:r>
      <w:r>
        <w:rPr>
          <w:color w:val="231F20"/>
          <w:spacing w:val="-4"/>
        </w:rPr>
        <w:t> </w:t>
      </w:r>
      <w:r>
        <w:rPr>
          <w:color w:val="231F20"/>
        </w:rPr>
        <w:t>and</w:t>
      </w:r>
      <w:r>
        <w:rPr>
          <w:color w:val="231F20"/>
          <w:spacing w:val="-4"/>
        </w:rPr>
        <w:t> </w:t>
      </w:r>
      <w:r>
        <w:rPr>
          <w:color w:val="231F20"/>
        </w:rPr>
        <w:t>general</w:t>
      </w:r>
      <w:r>
        <w:rPr>
          <w:color w:val="231F20"/>
          <w:spacing w:val="-4"/>
        </w:rPr>
        <w:t> </w:t>
      </w:r>
      <w:r>
        <w:rPr>
          <w:color w:val="231F20"/>
        </w:rPr>
        <w:t>obligation</w:t>
      </w:r>
      <w:r>
        <w:rPr>
          <w:color w:val="231F20"/>
          <w:spacing w:val="-4"/>
        </w:rPr>
        <w:t> </w:t>
      </w:r>
      <w:r>
        <w:rPr>
          <w:color w:val="231F20"/>
        </w:rPr>
        <w:t>bond</w:t>
      </w:r>
      <w:r>
        <w:rPr>
          <w:color w:val="231F20"/>
          <w:spacing w:val="-4"/>
        </w:rPr>
        <w:t> </w:t>
      </w:r>
      <w:r>
        <w:rPr>
          <w:color w:val="231F20"/>
        </w:rPr>
        <w:t>appropriations</w:t>
      </w:r>
      <w:r>
        <w:rPr>
          <w:color w:val="231F20"/>
          <w:spacing w:val="-4"/>
        </w:rPr>
        <w:t> </w:t>
      </w:r>
      <w:r>
        <w:rPr>
          <w:color w:val="231F20"/>
        </w:rPr>
        <w:t>from</w:t>
      </w:r>
      <w:r>
        <w:rPr>
          <w:color w:val="231F20"/>
          <w:spacing w:val="-4"/>
        </w:rPr>
        <w:t> </w:t>
      </w:r>
      <w:r>
        <w:rPr>
          <w:color w:val="231F20"/>
        </w:rPr>
        <w:t>the State of New Mexico for capital asset projects on the campus of the Institute. Bond revenue from these appropriations is recorded only when eligibility requirements have been met. The eligibility requirements for capital projects financed by bonds are satisfied when all required documentation to support a drawdown of a bond fund is submitted and approved by the Board of Finance.</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5"/>
        </w:rPr>
        <w:t> </w:t>
      </w:r>
      <w:r>
        <w:rPr>
          <w:color w:val="231F20"/>
        </w:rPr>
        <w:t>14</w:t>
      </w:r>
      <w:r>
        <w:rPr>
          <w:color w:val="231F20"/>
          <w:spacing w:val="-5"/>
        </w:rPr>
        <w:t> </w:t>
      </w:r>
      <w:r>
        <w:rPr>
          <w:color w:val="231F20"/>
        </w:rPr>
        <w:t>–</w:t>
      </w:r>
      <w:r>
        <w:rPr>
          <w:color w:val="231F20"/>
          <w:spacing w:val="-4"/>
        </w:rPr>
        <w:t> </w:t>
      </w:r>
      <w:r>
        <w:rPr>
          <w:color w:val="231F20"/>
        </w:rPr>
        <w:t>Reconciliation</w:t>
      </w:r>
      <w:r>
        <w:rPr>
          <w:color w:val="231F20"/>
          <w:spacing w:val="-5"/>
        </w:rPr>
        <w:t> </w:t>
      </w:r>
      <w:r>
        <w:rPr>
          <w:color w:val="231F20"/>
        </w:rPr>
        <w:t>of</w:t>
      </w:r>
      <w:r>
        <w:rPr>
          <w:color w:val="231F20"/>
          <w:spacing w:val="-5"/>
        </w:rPr>
        <w:t> </w:t>
      </w:r>
      <w:r>
        <w:rPr>
          <w:color w:val="231F20"/>
        </w:rPr>
        <w:t>Budget</w:t>
      </w:r>
      <w:r>
        <w:rPr>
          <w:color w:val="231F20"/>
          <w:spacing w:val="-5"/>
        </w:rPr>
        <w:t> </w:t>
      </w:r>
      <w:r>
        <w:rPr>
          <w:color w:val="231F20"/>
        </w:rPr>
        <w:t>Basis</w:t>
      </w:r>
      <w:r>
        <w:rPr>
          <w:color w:val="231F20"/>
          <w:spacing w:val="-5"/>
        </w:rPr>
        <w:t> </w:t>
      </w:r>
      <w:r>
        <w:rPr>
          <w:color w:val="231F20"/>
        </w:rPr>
        <w:t>to</w:t>
      </w:r>
      <w:r>
        <w:rPr>
          <w:color w:val="231F20"/>
          <w:spacing w:val="-4"/>
        </w:rPr>
        <w:t> GAAP</w:t>
      </w:r>
    </w:p>
    <w:p>
      <w:pPr>
        <w:pStyle w:val="BodyText"/>
        <w:spacing w:before="4"/>
        <w:rPr>
          <w:b/>
          <w:sz w:val="14"/>
        </w:rPr>
      </w:pPr>
    </w:p>
    <w:p>
      <w:pPr>
        <w:spacing w:after="0"/>
        <w:rPr>
          <w:sz w:val="14"/>
        </w:rPr>
        <w:sectPr>
          <w:pgSz w:w="12240" w:h="15840"/>
          <w:pgMar w:header="1282" w:footer="1097" w:top="1900" w:bottom="1280" w:left="0" w:right="580"/>
        </w:sectPr>
      </w:pPr>
    </w:p>
    <w:p>
      <w:pPr>
        <w:spacing w:before="94"/>
        <w:ind w:left="1488" w:right="0" w:firstLine="0"/>
        <w:jc w:val="left"/>
        <w:rPr>
          <w:b/>
          <w:sz w:val="20"/>
        </w:rPr>
      </w:pPr>
      <w:r>
        <w:rPr>
          <w:b/>
          <w:color w:val="231F20"/>
          <w:sz w:val="20"/>
        </w:rPr>
        <w:t>Total</w:t>
      </w:r>
      <w:r>
        <w:rPr>
          <w:b/>
          <w:color w:val="231F20"/>
          <w:spacing w:val="-2"/>
          <w:sz w:val="20"/>
        </w:rPr>
        <w:t> </w:t>
      </w:r>
      <w:r>
        <w:rPr>
          <w:b/>
          <w:color w:val="231F20"/>
          <w:sz w:val="20"/>
        </w:rPr>
        <w:t>Unrestricted</w:t>
      </w:r>
      <w:r>
        <w:rPr>
          <w:b/>
          <w:color w:val="231F20"/>
          <w:spacing w:val="-2"/>
          <w:sz w:val="20"/>
        </w:rPr>
        <w:t> </w:t>
      </w:r>
      <w:r>
        <w:rPr>
          <w:b/>
          <w:color w:val="231F20"/>
          <w:sz w:val="20"/>
        </w:rPr>
        <w:t>and</w:t>
      </w:r>
      <w:r>
        <w:rPr>
          <w:b/>
          <w:color w:val="231F20"/>
          <w:spacing w:val="-2"/>
          <w:sz w:val="20"/>
        </w:rPr>
        <w:t> </w:t>
      </w:r>
      <w:r>
        <w:rPr>
          <w:b/>
          <w:color w:val="231F20"/>
          <w:sz w:val="20"/>
        </w:rPr>
        <w:t>Restricted</w:t>
      </w:r>
      <w:r>
        <w:rPr>
          <w:b/>
          <w:color w:val="231F20"/>
          <w:spacing w:val="-2"/>
          <w:sz w:val="20"/>
        </w:rPr>
        <w:t> Revenues:</w:t>
      </w:r>
    </w:p>
    <w:p>
      <w:pPr>
        <w:pStyle w:val="BodyText"/>
        <w:spacing w:line="276" w:lineRule="auto" w:before="72"/>
        <w:ind w:left="1628" w:right="2553" w:hanging="141"/>
      </w:pPr>
      <w:r>
        <w:rPr>
          <w:color w:val="231F20"/>
        </w:rPr>
        <w:t>Budgetary Basis Reconciling</w:t>
      </w:r>
      <w:r>
        <w:rPr>
          <w:color w:val="231F20"/>
          <w:spacing w:val="-14"/>
        </w:rPr>
        <w:t> </w:t>
      </w:r>
      <w:r>
        <w:rPr>
          <w:color w:val="231F20"/>
        </w:rPr>
        <w:t>items</w:t>
      </w:r>
    </w:p>
    <w:p>
      <w:pPr>
        <w:spacing w:line="240" w:lineRule="auto" w:before="0"/>
        <w:rPr>
          <w:sz w:val="22"/>
        </w:rPr>
      </w:pPr>
      <w:r>
        <w:rPr/>
        <w:br w:type="column"/>
      </w:r>
      <w:r>
        <w:rPr>
          <w:sz w:val="22"/>
        </w:rPr>
      </w:r>
    </w:p>
    <w:p>
      <w:pPr>
        <w:pStyle w:val="BodyText"/>
        <w:spacing w:before="143"/>
        <w:ind w:left="1488"/>
      </w:pPr>
      <w:r>
        <w:rPr>
          <w:color w:val="231F20"/>
          <w:spacing w:val="49"/>
          <w:u w:val="single" w:color="231F20"/>
        </w:rPr>
        <w:t> </w:t>
      </w:r>
      <w:r>
        <w:rPr>
          <w:color w:val="231F20"/>
          <w:u w:val="single" w:color="231F20"/>
        </w:rPr>
        <w:t>$</w:t>
      </w:r>
      <w:r>
        <w:rPr>
          <w:color w:val="231F20"/>
          <w:spacing w:val="79"/>
          <w:w w:val="150"/>
          <w:u w:val="single" w:color="231F20"/>
        </w:rPr>
        <w:t> </w:t>
      </w:r>
      <w:r>
        <w:rPr>
          <w:color w:val="231F20"/>
          <w:spacing w:val="-2"/>
          <w:u w:val="single" w:color="231F20"/>
        </w:rPr>
        <w:t>172,921,204</w:t>
      </w:r>
      <w:r>
        <w:rPr>
          <w:color w:val="231F20"/>
          <w:spacing w:val="80"/>
          <w:u w:val="single" w:color="231F20"/>
        </w:rPr>
        <w:t> </w:t>
      </w:r>
    </w:p>
    <w:p>
      <w:pPr>
        <w:spacing w:after="0"/>
        <w:sectPr>
          <w:type w:val="continuous"/>
          <w:pgSz w:w="12240" w:h="15840"/>
          <w:pgMar w:header="1282" w:footer="1097" w:top="1460" w:bottom="280" w:left="0" w:right="580"/>
          <w:cols w:num="2" w:equalWidth="0">
            <w:col w:w="5755" w:space="1929"/>
            <w:col w:w="3976"/>
          </w:cols>
        </w:sectPr>
      </w:pPr>
    </w:p>
    <w:tbl>
      <w:tblPr>
        <w:tblW w:w="0" w:type="auto"/>
        <w:jc w:val="left"/>
        <w:tblInd w:w="1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4"/>
        <w:gridCol w:w="2800"/>
      </w:tblGrid>
      <w:tr>
        <w:trPr>
          <w:trHeight w:val="244" w:hRule="atLeast"/>
        </w:trPr>
        <w:tc>
          <w:tcPr>
            <w:tcW w:w="6264" w:type="dxa"/>
          </w:tcPr>
          <w:p>
            <w:pPr>
              <w:pStyle w:val="TableParagraph"/>
              <w:spacing w:line="223" w:lineRule="exact"/>
              <w:ind w:left="50"/>
              <w:rPr>
                <w:sz w:val="20"/>
              </w:rPr>
            </w:pPr>
            <w:r>
              <w:rPr>
                <w:color w:val="231F20"/>
                <w:sz w:val="20"/>
              </w:rPr>
              <w:t>Tuition</w:t>
            </w:r>
            <w:r>
              <w:rPr>
                <w:color w:val="231F20"/>
                <w:spacing w:val="-2"/>
                <w:sz w:val="20"/>
              </w:rPr>
              <w:t> </w:t>
            </w:r>
            <w:r>
              <w:rPr>
                <w:color w:val="231F20"/>
                <w:sz w:val="20"/>
              </w:rPr>
              <w:t>discounts</w:t>
            </w:r>
            <w:r>
              <w:rPr>
                <w:color w:val="231F20"/>
                <w:spacing w:val="-2"/>
                <w:sz w:val="20"/>
              </w:rPr>
              <w:t> </w:t>
            </w:r>
            <w:r>
              <w:rPr>
                <w:color w:val="231F20"/>
                <w:sz w:val="20"/>
              </w:rPr>
              <w:t>and</w:t>
            </w:r>
            <w:r>
              <w:rPr>
                <w:color w:val="231F20"/>
                <w:spacing w:val="-2"/>
                <w:sz w:val="20"/>
              </w:rPr>
              <w:t> allowances</w:t>
            </w:r>
          </w:p>
        </w:tc>
        <w:tc>
          <w:tcPr>
            <w:tcW w:w="2800" w:type="dxa"/>
          </w:tcPr>
          <w:p>
            <w:pPr>
              <w:pStyle w:val="TableParagraph"/>
              <w:spacing w:line="223" w:lineRule="exact"/>
              <w:ind w:right="48"/>
              <w:jc w:val="right"/>
              <w:rPr>
                <w:sz w:val="20"/>
              </w:rPr>
            </w:pPr>
            <w:r>
              <w:rPr>
                <w:color w:val="231F20"/>
                <w:spacing w:val="-2"/>
                <w:sz w:val="20"/>
              </w:rPr>
              <w:t>(7,203,360)</w:t>
            </w:r>
          </w:p>
        </w:tc>
      </w:tr>
      <w:tr>
        <w:trPr>
          <w:trHeight w:val="264" w:hRule="atLeast"/>
        </w:trPr>
        <w:tc>
          <w:tcPr>
            <w:tcW w:w="6264" w:type="dxa"/>
          </w:tcPr>
          <w:p>
            <w:pPr>
              <w:pStyle w:val="TableParagraph"/>
              <w:spacing w:before="14"/>
              <w:ind w:left="50"/>
              <w:rPr>
                <w:sz w:val="20"/>
              </w:rPr>
            </w:pPr>
            <w:r>
              <w:rPr>
                <w:color w:val="231F20"/>
                <w:sz w:val="20"/>
              </w:rPr>
              <w:t>Indirect</w:t>
            </w:r>
            <w:r>
              <w:rPr>
                <w:color w:val="231F20"/>
                <w:spacing w:val="-4"/>
                <w:sz w:val="20"/>
              </w:rPr>
              <w:t> </w:t>
            </w:r>
            <w:r>
              <w:rPr>
                <w:color w:val="231F20"/>
                <w:sz w:val="20"/>
              </w:rPr>
              <w:t>cost</w:t>
            </w:r>
            <w:r>
              <w:rPr>
                <w:color w:val="231F20"/>
                <w:spacing w:val="-1"/>
                <w:sz w:val="20"/>
              </w:rPr>
              <w:t> </w:t>
            </w:r>
            <w:r>
              <w:rPr>
                <w:color w:val="231F20"/>
                <w:spacing w:val="-2"/>
                <w:sz w:val="20"/>
              </w:rPr>
              <w:t>recovery</w:t>
            </w:r>
          </w:p>
        </w:tc>
        <w:tc>
          <w:tcPr>
            <w:tcW w:w="2800" w:type="dxa"/>
          </w:tcPr>
          <w:p>
            <w:pPr>
              <w:pStyle w:val="TableParagraph"/>
              <w:spacing w:before="14"/>
              <w:ind w:right="48"/>
              <w:jc w:val="right"/>
              <w:rPr>
                <w:sz w:val="20"/>
              </w:rPr>
            </w:pPr>
            <w:r>
              <w:rPr>
                <w:color w:val="231F20"/>
                <w:spacing w:val="-2"/>
                <w:sz w:val="20"/>
              </w:rPr>
              <w:t>(8,038,114)</w:t>
            </w:r>
          </w:p>
        </w:tc>
      </w:tr>
      <w:tr>
        <w:trPr>
          <w:trHeight w:val="263" w:hRule="atLeast"/>
        </w:trPr>
        <w:tc>
          <w:tcPr>
            <w:tcW w:w="6264" w:type="dxa"/>
          </w:tcPr>
          <w:p>
            <w:pPr>
              <w:pStyle w:val="TableParagraph"/>
              <w:spacing w:before="13"/>
              <w:ind w:left="50"/>
              <w:rPr>
                <w:sz w:val="20"/>
              </w:rPr>
            </w:pPr>
            <w:r>
              <w:rPr>
                <w:color w:val="231F20"/>
                <w:sz w:val="20"/>
              </w:rPr>
              <w:t>Cost</w:t>
            </w:r>
            <w:r>
              <w:rPr>
                <w:color w:val="231F20"/>
                <w:spacing w:val="-2"/>
                <w:sz w:val="20"/>
              </w:rPr>
              <w:t> </w:t>
            </w:r>
            <w:r>
              <w:rPr>
                <w:color w:val="231F20"/>
                <w:sz w:val="20"/>
              </w:rPr>
              <w:t>share</w:t>
            </w:r>
            <w:r>
              <w:rPr>
                <w:color w:val="231F20"/>
                <w:spacing w:val="-2"/>
                <w:sz w:val="20"/>
              </w:rPr>
              <w:t> adjustment</w:t>
            </w:r>
          </w:p>
        </w:tc>
        <w:tc>
          <w:tcPr>
            <w:tcW w:w="2800" w:type="dxa"/>
          </w:tcPr>
          <w:p>
            <w:pPr>
              <w:pStyle w:val="TableParagraph"/>
              <w:spacing w:before="13"/>
              <w:ind w:right="49"/>
              <w:jc w:val="right"/>
              <w:rPr>
                <w:sz w:val="20"/>
              </w:rPr>
            </w:pPr>
            <w:r>
              <w:rPr>
                <w:color w:val="231F20"/>
                <w:spacing w:val="-2"/>
                <w:sz w:val="20"/>
              </w:rPr>
              <w:t>(226,967)</w:t>
            </w:r>
          </w:p>
        </w:tc>
      </w:tr>
      <w:tr>
        <w:trPr>
          <w:trHeight w:val="263" w:hRule="atLeast"/>
        </w:trPr>
        <w:tc>
          <w:tcPr>
            <w:tcW w:w="6264" w:type="dxa"/>
          </w:tcPr>
          <w:p>
            <w:pPr>
              <w:pStyle w:val="TableParagraph"/>
              <w:spacing w:before="13"/>
              <w:ind w:left="50"/>
              <w:rPr>
                <w:sz w:val="20"/>
              </w:rPr>
            </w:pPr>
            <w:r>
              <w:rPr>
                <w:color w:val="231F20"/>
                <w:sz w:val="20"/>
              </w:rPr>
              <w:t>Bank</w:t>
            </w:r>
            <w:r>
              <w:rPr>
                <w:color w:val="231F20"/>
                <w:spacing w:val="-1"/>
                <w:sz w:val="20"/>
              </w:rPr>
              <w:t> </w:t>
            </w:r>
            <w:r>
              <w:rPr>
                <w:color w:val="231F20"/>
                <w:spacing w:val="-2"/>
                <w:sz w:val="20"/>
              </w:rPr>
              <w:t>adjustment</w:t>
            </w:r>
          </w:p>
        </w:tc>
        <w:tc>
          <w:tcPr>
            <w:tcW w:w="2800" w:type="dxa"/>
          </w:tcPr>
          <w:p>
            <w:pPr>
              <w:pStyle w:val="TableParagraph"/>
              <w:spacing w:before="13"/>
              <w:ind w:right="48"/>
              <w:jc w:val="right"/>
              <w:rPr>
                <w:sz w:val="20"/>
              </w:rPr>
            </w:pPr>
            <w:r>
              <w:rPr>
                <w:color w:val="231F20"/>
                <w:spacing w:val="-2"/>
                <w:sz w:val="20"/>
              </w:rPr>
              <w:t>(1,280,401)</w:t>
            </w:r>
          </w:p>
        </w:tc>
      </w:tr>
      <w:tr>
        <w:trPr>
          <w:trHeight w:val="263" w:hRule="atLeast"/>
        </w:trPr>
        <w:tc>
          <w:tcPr>
            <w:tcW w:w="6264" w:type="dxa"/>
          </w:tcPr>
          <w:p>
            <w:pPr>
              <w:pStyle w:val="TableParagraph"/>
              <w:spacing w:before="13"/>
              <w:ind w:left="50"/>
              <w:rPr>
                <w:sz w:val="20"/>
              </w:rPr>
            </w:pPr>
            <w:r>
              <w:rPr>
                <w:color w:val="231F20"/>
                <w:sz w:val="20"/>
              </w:rPr>
              <w:t>Deposits</w:t>
            </w:r>
            <w:r>
              <w:rPr>
                <w:color w:val="231F20"/>
                <w:spacing w:val="-2"/>
                <w:sz w:val="20"/>
              </w:rPr>
              <w:t> </w:t>
            </w:r>
            <w:r>
              <w:rPr>
                <w:color w:val="231F20"/>
                <w:sz w:val="20"/>
              </w:rPr>
              <w:t>held</w:t>
            </w:r>
            <w:r>
              <w:rPr>
                <w:color w:val="231F20"/>
                <w:spacing w:val="-2"/>
                <w:sz w:val="20"/>
              </w:rPr>
              <w:t> </w:t>
            </w:r>
            <w:r>
              <w:rPr>
                <w:color w:val="231F20"/>
                <w:sz w:val="20"/>
              </w:rPr>
              <w:t>for</w:t>
            </w:r>
            <w:r>
              <w:rPr>
                <w:color w:val="231F20"/>
                <w:spacing w:val="-1"/>
                <w:sz w:val="20"/>
              </w:rPr>
              <w:t> </w:t>
            </w:r>
            <w:r>
              <w:rPr>
                <w:color w:val="231F20"/>
                <w:spacing w:val="-2"/>
                <w:sz w:val="20"/>
              </w:rPr>
              <w:t>others</w:t>
            </w:r>
          </w:p>
        </w:tc>
        <w:tc>
          <w:tcPr>
            <w:tcW w:w="2800" w:type="dxa"/>
          </w:tcPr>
          <w:p>
            <w:pPr>
              <w:pStyle w:val="TableParagraph"/>
              <w:spacing w:before="13"/>
              <w:ind w:right="115"/>
              <w:jc w:val="right"/>
              <w:rPr>
                <w:sz w:val="20"/>
              </w:rPr>
            </w:pPr>
            <w:r>
              <w:rPr>
                <w:color w:val="231F20"/>
                <w:spacing w:val="-2"/>
                <w:sz w:val="20"/>
              </w:rPr>
              <w:t>24,688</w:t>
            </w:r>
          </w:p>
        </w:tc>
      </w:tr>
      <w:tr>
        <w:trPr>
          <w:trHeight w:val="264" w:hRule="atLeast"/>
        </w:trPr>
        <w:tc>
          <w:tcPr>
            <w:tcW w:w="6264" w:type="dxa"/>
          </w:tcPr>
          <w:p>
            <w:pPr>
              <w:pStyle w:val="TableParagraph"/>
              <w:spacing w:before="13"/>
              <w:ind w:left="50"/>
              <w:rPr>
                <w:sz w:val="20"/>
              </w:rPr>
            </w:pPr>
            <w:r>
              <w:rPr>
                <w:color w:val="231F20"/>
                <w:sz w:val="20"/>
              </w:rPr>
              <w:t>Payable</w:t>
            </w:r>
            <w:r>
              <w:rPr>
                <w:color w:val="231F20"/>
                <w:spacing w:val="-2"/>
                <w:sz w:val="20"/>
              </w:rPr>
              <w:t> adjustment</w:t>
            </w:r>
          </w:p>
        </w:tc>
        <w:tc>
          <w:tcPr>
            <w:tcW w:w="2800" w:type="dxa"/>
          </w:tcPr>
          <w:p>
            <w:pPr>
              <w:pStyle w:val="TableParagraph"/>
              <w:spacing w:before="13"/>
              <w:ind w:right="116"/>
              <w:jc w:val="right"/>
              <w:rPr>
                <w:sz w:val="20"/>
              </w:rPr>
            </w:pPr>
            <w:r>
              <w:rPr>
                <w:color w:val="231F20"/>
                <w:spacing w:val="-2"/>
                <w:sz w:val="20"/>
              </w:rPr>
              <w:t>2,600,606</w:t>
            </w:r>
          </w:p>
        </w:tc>
      </w:tr>
      <w:tr>
        <w:trPr>
          <w:trHeight w:val="264" w:hRule="atLeast"/>
        </w:trPr>
        <w:tc>
          <w:tcPr>
            <w:tcW w:w="6264" w:type="dxa"/>
          </w:tcPr>
          <w:p>
            <w:pPr>
              <w:pStyle w:val="TableParagraph"/>
              <w:spacing w:before="14"/>
              <w:ind w:left="50"/>
              <w:rPr>
                <w:sz w:val="20"/>
              </w:rPr>
            </w:pPr>
            <w:r>
              <w:rPr>
                <w:color w:val="231F20"/>
                <w:sz w:val="20"/>
              </w:rPr>
              <w:t>Restricted</w:t>
            </w:r>
            <w:r>
              <w:rPr>
                <w:color w:val="231F20"/>
                <w:spacing w:val="-2"/>
                <w:sz w:val="20"/>
              </w:rPr>
              <w:t> </w:t>
            </w:r>
            <w:r>
              <w:rPr>
                <w:color w:val="231F20"/>
                <w:sz w:val="20"/>
              </w:rPr>
              <w:t>internal</w:t>
            </w:r>
            <w:r>
              <w:rPr>
                <w:color w:val="231F20"/>
                <w:spacing w:val="-2"/>
                <w:sz w:val="20"/>
              </w:rPr>
              <w:t> </w:t>
            </w:r>
            <w:r>
              <w:rPr>
                <w:color w:val="231F20"/>
                <w:sz w:val="20"/>
              </w:rPr>
              <w:t>service</w:t>
            </w:r>
            <w:r>
              <w:rPr>
                <w:color w:val="231F20"/>
                <w:spacing w:val="-1"/>
                <w:sz w:val="20"/>
              </w:rPr>
              <w:t> </w:t>
            </w:r>
            <w:r>
              <w:rPr>
                <w:color w:val="231F20"/>
                <w:spacing w:val="-2"/>
                <w:sz w:val="20"/>
              </w:rPr>
              <w:t>adjustment</w:t>
            </w:r>
          </w:p>
        </w:tc>
        <w:tc>
          <w:tcPr>
            <w:tcW w:w="2800" w:type="dxa"/>
          </w:tcPr>
          <w:p>
            <w:pPr>
              <w:pStyle w:val="TableParagraph"/>
              <w:spacing w:before="14"/>
              <w:ind w:right="50"/>
              <w:jc w:val="right"/>
              <w:rPr>
                <w:sz w:val="20"/>
              </w:rPr>
            </w:pPr>
            <w:r>
              <w:rPr>
                <w:color w:val="231F20"/>
                <w:spacing w:val="-2"/>
                <w:sz w:val="20"/>
              </w:rPr>
              <w:t>(7,720,405)</w:t>
            </w:r>
          </w:p>
        </w:tc>
      </w:tr>
      <w:tr>
        <w:trPr>
          <w:trHeight w:val="263" w:hRule="atLeast"/>
        </w:trPr>
        <w:tc>
          <w:tcPr>
            <w:tcW w:w="6264" w:type="dxa"/>
          </w:tcPr>
          <w:p>
            <w:pPr>
              <w:pStyle w:val="TableParagraph"/>
              <w:spacing w:before="13"/>
              <w:ind w:left="50"/>
              <w:rPr>
                <w:sz w:val="20"/>
              </w:rPr>
            </w:pPr>
            <w:r>
              <w:rPr>
                <w:color w:val="231F20"/>
                <w:sz w:val="20"/>
              </w:rPr>
              <w:t>Internal</w:t>
            </w:r>
            <w:r>
              <w:rPr>
                <w:color w:val="231F20"/>
                <w:spacing w:val="-2"/>
                <w:sz w:val="20"/>
              </w:rPr>
              <w:t> </w:t>
            </w:r>
            <w:r>
              <w:rPr>
                <w:color w:val="231F20"/>
                <w:sz w:val="20"/>
              </w:rPr>
              <w:t>service</w:t>
            </w:r>
            <w:r>
              <w:rPr>
                <w:color w:val="231F20"/>
                <w:spacing w:val="-1"/>
                <w:sz w:val="20"/>
              </w:rPr>
              <w:t> </w:t>
            </w:r>
            <w:r>
              <w:rPr>
                <w:color w:val="231F20"/>
                <w:sz w:val="20"/>
              </w:rPr>
              <w:t>cost</w:t>
            </w:r>
            <w:r>
              <w:rPr>
                <w:color w:val="231F20"/>
                <w:spacing w:val="-1"/>
                <w:sz w:val="20"/>
              </w:rPr>
              <w:t> </w:t>
            </w:r>
            <w:r>
              <w:rPr>
                <w:color w:val="231F20"/>
                <w:sz w:val="20"/>
              </w:rPr>
              <w:t>recovery</w:t>
            </w:r>
            <w:r>
              <w:rPr>
                <w:color w:val="231F20"/>
                <w:spacing w:val="-3"/>
                <w:sz w:val="20"/>
              </w:rPr>
              <w:t> </w:t>
            </w:r>
            <w:r>
              <w:rPr>
                <w:color w:val="231F20"/>
                <w:spacing w:val="-2"/>
                <w:sz w:val="20"/>
              </w:rPr>
              <w:t>adjustment</w:t>
            </w:r>
          </w:p>
        </w:tc>
        <w:tc>
          <w:tcPr>
            <w:tcW w:w="2800" w:type="dxa"/>
          </w:tcPr>
          <w:p>
            <w:pPr>
              <w:pStyle w:val="TableParagraph"/>
              <w:spacing w:before="13"/>
              <w:ind w:right="118"/>
              <w:jc w:val="right"/>
              <w:rPr>
                <w:sz w:val="20"/>
              </w:rPr>
            </w:pPr>
            <w:r>
              <w:rPr>
                <w:color w:val="231F20"/>
                <w:spacing w:val="-2"/>
                <w:sz w:val="20"/>
              </w:rPr>
              <w:t>3,748,289</w:t>
            </w:r>
          </w:p>
        </w:tc>
      </w:tr>
      <w:tr>
        <w:trPr>
          <w:trHeight w:val="263" w:hRule="atLeast"/>
        </w:trPr>
        <w:tc>
          <w:tcPr>
            <w:tcW w:w="6264" w:type="dxa"/>
          </w:tcPr>
          <w:p>
            <w:pPr>
              <w:pStyle w:val="TableParagraph"/>
              <w:spacing w:before="13"/>
              <w:ind w:left="50"/>
              <w:rPr>
                <w:sz w:val="20"/>
              </w:rPr>
            </w:pPr>
            <w:r>
              <w:rPr>
                <w:color w:val="231F20"/>
                <w:sz w:val="20"/>
              </w:rPr>
              <w:t>Unbudgeted</w:t>
            </w:r>
            <w:r>
              <w:rPr>
                <w:color w:val="231F20"/>
                <w:spacing w:val="-5"/>
                <w:sz w:val="20"/>
              </w:rPr>
              <w:t> </w:t>
            </w:r>
            <w:r>
              <w:rPr>
                <w:color w:val="231F20"/>
                <w:spacing w:val="-2"/>
                <w:sz w:val="20"/>
              </w:rPr>
              <w:t>exhibits</w:t>
            </w:r>
          </w:p>
        </w:tc>
        <w:tc>
          <w:tcPr>
            <w:tcW w:w="2800" w:type="dxa"/>
          </w:tcPr>
          <w:p>
            <w:pPr>
              <w:pStyle w:val="TableParagraph"/>
              <w:spacing w:before="13"/>
              <w:ind w:right="116"/>
              <w:jc w:val="right"/>
              <w:rPr>
                <w:sz w:val="20"/>
              </w:rPr>
            </w:pPr>
            <w:r>
              <w:rPr>
                <w:color w:val="231F20"/>
                <w:spacing w:val="-2"/>
                <w:sz w:val="20"/>
              </w:rPr>
              <w:t>586,188</w:t>
            </w:r>
          </w:p>
        </w:tc>
      </w:tr>
      <w:tr>
        <w:trPr>
          <w:trHeight w:val="263" w:hRule="atLeast"/>
        </w:trPr>
        <w:tc>
          <w:tcPr>
            <w:tcW w:w="6264" w:type="dxa"/>
          </w:tcPr>
          <w:p>
            <w:pPr>
              <w:pStyle w:val="TableParagraph"/>
              <w:spacing w:before="13"/>
              <w:ind w:left="50"/>
              <w:rPr>
                <w:sz w:val="20"/>
              </w:rPr>
            </w:pPr>
            <w:r>
              <w:rPr>
                <w:color w:val="231F20"/>
                <w:sz w:val="20"/>
              </w:rPr>
              <w:t>Benefit</w:t>
            </w:r>
            <w:r>
              <w:rPr>
                <w:color w:val="231F20"/>
                <w:spacing w:val="-2"/>
                <w:sz w:val="20"/>
              </w:rPr>
              <w:t> </w:t>
            </w:r>
            <w:r>
              <w:rPr>
                <w:color w:val="231F20"/>
                <w:sz w:val="20"/>
              </w:rPr>
              <w:t>trust</w:t>
            </w:r>
            <w:r>
              <w:rPr>
                <w:color w:val="231F20"/>
                <w:spacing w:val="-1"/>
                <w:sz w:val="20"/>
              </w:rPr>
              <w:t> </w:t>
            </w:r>
            <w:r>
              <w:rPr>
                <w:color w:val="231F20"/>
                <w:spacing w:val="-2"/>
                <w:sz w:val="20"/>
              </w:rPr>
              <w:t>revenue</w:t>
            </w:r>
          </w:p>
        </w:tc>
        <w:tc>
          <w:tcPr>
            <w:tcW w:w="2800" w:type="dxa"/>
          </w:tcPr>
          <w:p>
            <w:pPr>
              <w:pStyle w:val="TableParagraph"/>
              <w:spacing w:before="13"/>
              <w:ind w:right="48"/>
              <w:jc w:val="right"/>
              <w:rPr>
                <w:sz w:val="20"/>
              </w:rPr>
            </w:pPr>
            <w:r>
              <w:rPr>
                <w:color w:val="231F20"/>
                <w:spacing w:val="-2"/>
                <w:sz w:val="20"/>
              </w:rPr>
              <w:t>(68,299)</w:t>
            </w:r>
          </w:p>
        </w:tc>
      </w:tr>
      <w:tr>
        <w:trPr>
          <w:trHeight w:val="263" w:hRule="atLeast"/>
        </w:trPr>
        <w:tc>
          <w:tcPr>
            <w:tcW w:w="6264" w:type="dxa"/>
          </w:tcPr>
          <w:p>
            <w:pPr>
              <w:pStyle w:val="TableParagraph"/>
              <w:spacing w:before="13"/>
              <w:ind w:left="50"/>
              <w:rPr>
                <w:sz w:val="20"/>
              </w:rPr>
            </w:pPr>
            <w:r>
              <w:rPr>
                <w:color w:val="231F20"/>
                <w:sz w:val="20"/>
              </w:rPr>
              <w:t>Blended</w:t>
            </w:r>
            <w:r>
              <w:rPr>
                <w:color w:val="231F20"/>
                <w:spacing w:val="-7"/>
                <w:sz w:val="20"/>
              </w:rPr>
              <w:t> </w:t>
            </w:r>
            <w:r>
              <w:rPr>
                <w:color w:val="231F20"/>
                <w:sz w:val="20"/>
              </w:rPr>
              <w:t>component</w:t>
            </w:r>
            <w:r>
              <w:rPr>
                <w:color w:val="231F20"/>
                <w:spacing w:val="-6"/>
                <w:sz w:val="20"/>
              </w:rPr>
              <w:t> </w:t>
            </w:r>
            <w:r>
              <w:rPr>
                <w:color w:val="231F20"/>
                <w:sz w:val="20"/>
              </w:rPr>
              <w:t>unit</w:t>
            </w:r>
            <w:r>
              <w:rPr>
                <w:color w:val="231F20"/>
                <w:spacing w:val="-6"/>
                <w:sz w:val="20"/>
              </w:rPr>
              <w:t> </w:t>
            </w:r>
            <w:r>
              <w:rPr>
                <w:color w:val="231F20"/>
                <w:sz w:val="20"/>
              </w:rPr>
              <w:t>(amount</w:t>
            </w:r>
            <w:r>
              <w:rPr>
                <w:color w:val="231F20"/>
                <w:spacing w:val="-6"/>
                <w:sz w:val="20"/>
              </w:rPr>
              <w:t> </w:t>
            </w:r>
            <w:r>
              <w:rPr>
                <w:color w:val="231F20"/>
                <w:sz w:val="20"/>
              </w:rPr>
              <w:t>not</w:t>
            </w:r>
            <w:r>
              <w:rPr>
                <w:color w:val="231F20"/>
                <w:spacing w:val="-6"/>
                <w:sz w:val="20"/>
              </w:rPr>
              <w:t> </w:t>
            </w:r>
            <w:r>
              <w:rPr>
                <w:color w:val="231F20"/>
                <w:sz w:val="20"/>
              </w:rPr>
              <w:t>in</w:t>
            </w:r>
            <w:r>
              <w:rPr>
                <w:color w:val="231F20"/>
                <w:spacing w:val="-6"/>
                <w:sz w:val="20"/>
              </w:rPr>
              <w:t> </w:t>
            </w:r>
            <w:r>
              <w:rPr>
                <w:color w:val="231F20"/>
                <w:sz w:val="20"/>
              </w:rPr>
              <w:t>budgetary</w:t>
            </w:r>
            <w:r>
              <w:rPr>
                <w:color w:val="231F20"/>
                <w:spacing w:val="-6"/>
                <w:sz w:val="20"/>
              </w:rPr>
              <w:t> </w:t>
            </w:r>
            <w:r>
              <w:rPr>
                <w:color w:val="231F20"/>
                <w:spacing w:val="-2"/>
                <w:sz w:val="20"/>
              </w:rPr>
              <w:t>basis)</w:t>
            </w:r>
          </w:p>
        </w:tc>
        <w:tc>
          <w:tcPr>
            <w:tcW w:w="2800" w:type="dxa"/>
          </w:tcPr>
          <w:p>
            <w:pPr>
              <w:pStyle w:val="TableParagraph"/>
              <w:spacing w:before="13"/>
              <w:ind w:right="122"/>
              <w:jc w:val="right"/>
              <w:rPr>
                <w:sz w:val="20"/>
              </w:rPr>
            </w:pPr>
            <w:r>
              <w:rPr>
                <w:color w:val="231F20"/>
                <w:spacing w:val="-2"/>
                <w:sz w:val="20"/>
              </w:rPr>
              <w:t>1,573,374</w:t>
            </w:r>
          </w:p>
        </w:tc>
      </w:tr>
      <w:tr>
        <w:trPr>
          <w:trHeight w:val="264" w:hRule="atLeast"/>
        </w:trPr>
        <w:tc>
          <w:tcPr>
            <w:tcW w:w="6264" w:type="dxa"/>
          </w:tcPr>
          <w:p>
            <w:pPr>
              <w:pStyle w:val="TableParagraph"/>
              <w:spacing w:before="13"/>
              <w:ind w:left="50"/>
              <w:rPr>
                <w:sz w:val="20"/>
              </w:rPr>
            </w:pPr>
            <w:r>
              <w:rPr>
                <w:color w:val="231F20"/>
                <w:sz w:val="20"/>
              </w:rPr>
              <w:t>Other</w:t>
            </w:r>
            <w:r>
              <w:rPr>
                <w:color w:val="231F20"/>
                <w:spacing w:val="-1"/>
                <w:sz w:val="20"/>
              </w:rPr>
              <w:t> </w:t>
            </w:r>
            <w:r>
              <w:rPr>
                <w:color w:val="231F20"/>
                <w:spacing w:val="-2"/>
                <w:sz w:val="20"/>
              </w:rPr>
              <w:t>adjustments</w:t>
            </w:r>
          </w:p>
        </w:tc>
        <w:tc>
          <w:tcPr>
            <w:tcW w:w="2800" w:type="dxa"/>
          </w:tcPr>
          <w:p>
            <w:pPr>
              <w:pStyle w:val="TableParagraph"/>
              <w:tabs>
                <w:tab w:pos="814" w:val="left" w:leader="none"/>
              </w:tabs>
              <w:spacing w:before="13"/>
              <w:ind w:right="48"/>
              <w:jc w:val="right"/>
              <w:rPr>
                <w:sz w:val="20"/>
              </w:rPr>
            </w:pPr>
            <w:r>
              <w:rPr>
                <w:color w:val="231F20"/>
                <w:sz w:val="20"/>
                <w:u w:val="thick" w:color="231F20"/>
              </w:rPr>
              <w:tab/>
            </w:r>
            <w:r>
              <w:rPr>
                <w:color w:val="231F20"/>
                <w:spacing w:val="-2"/>
                <w:sz w:val="20"/>
                <w:u w:val="thick" w:color="231F20"/>
              </w:rPr>
              <w:t>(10,233)</w:t>
            </w:r>
          </w:p>
        </w:tc>
      </w:tr>
      <w:tr>
        <w:trPr>
          <w:trHeight w:val="244" w:hRule="atLeast"/>
        </w:trPr>
        <w:tc>
          <w:tcPr>
            <w:tcW w:w="6264" w:type="dxa"/>
          </w:tcPr>
          <w:p>
            <w:pPr>
              <w:pStyle w:val="TableParagraph"/>
              <w:spacing w:line="210" w:lineRule="exact" w:before="14"/>
              <w:ind w:left="190"/>
              <w:rPr>
                <w:sz w:val="20"/>
              </w:rPr>
            </w:pPr>
            <w:r>
              <w:rPr>
                <w:color w:val="231F20"/>
                <w:sz w:val="20"/>
              </w:rPr>
              <w:t>Total</w:t>
            </w:r>
            <w:r>
              <w:rPr>
                <w:color w:val="231F20"/>
                <w:spacing w:val="-1"/>
                <w:sz w:val="20"/>
              </w:rPr>
              <w:t> </w:t>
            </w:r>
            <w:r>
              <w:rPr>
                <w:color w:val="231F20"/>
                <w:sz w:val="20"/>
              </w:rPr>
              <w:t>reconciling</w:t>
            </w:r>
            <w:r>
              <w:rPr>
                <w:color w:val="231F20"/>
                <w:spacing w:val="-1"/>
                <w:sz w:val="20"/>
              </w:rPr>
              <w:t> </w:t>
            </w:r>
            <w:r>
              <w:rPr>
                <w:color w:val="231F20"/>
                <w:spacing w:val="-2"/>
                <w:sz w:val="20"/>
              </w:rPr>
              <w:t>items</w:t>
            </w:r>
          </w:p>
        </w:tc>
        <w:tc>
          <w:tcPr>
            <w:tcW w:w="2800" w:type="dxa"/>
          </w:tcPr>
          <w:p>
            <w:pPr>
              <w:pStyle w:val="TableParagraph"/>
              <w:tabs>
                <w:tab w:pos="424" w:val="left" w:leader="none"/>
              </w:tabs>
              <w:spacing w:line="210" w:lineRule="exact" w:before="14"/>
              <w:ind w:right="49"/>
              <w:jc w:val="right"/>
              <w:rPr>
                <w:sz w:val="20"/>
              </w:rPr>
            </w:pPr>
            <w:r>
              <w:rPr>
                <w:color w:val="231F20"/>
                <w:sz w:val="20"/>
                <w:u w:val="thick" w:color="231F20"/>
              </w:rPr>
              <w:tab/>
            </w:r>
            <w:r>
              <w:rPr>
                <w:color w:val="231F20"/>
                <w:spacing w:val="-2"/>
                <w:sz w:val="20"/>
                <w:u w:val="thick" w:color="231F20"/>
              </w:rPr>
              <w:t>(16,014,634)</w:t>
            </w:r>
          </w:p>
        </w:tc>
      </w:tr>
    </w:tbl>
    <w:p>
      <w:pPr>
        <w:spacing w:after="0" w:line="210" w:lineRule="exact"/>
        <w:jc w:val="right"/>
        <w:rPr>
          <w:sz w:val="20"/>
        </w:rPr>
        <w:sectPr>
          <w:type w:val="continuous"/>
          <w:pgSz w:w="12240" w:h="15840"/>
          <w:pgMar w:header="1282" w:footer="1097" w:top="1460" w:bottom="280" w:left="0" w:right="580"/>
        </w:sectPr>
      </w:pPr>
    </w:p>
    <w:p>
      <w:pPr>
        <w:pStyle w:val="BodyText"/>
        <w:spacing w:line="254" w:lineRule="auto" w:before="49"/>
        <w:ind w:left="1768" w:hanging="141"/>
      </w:pPr>
      <w:r>
        <w:rPr>
          <w:color w:val="231F20"/>
        </w:rPr>
        <w:t>Total</w:t>
      </w:r>
      <w:r>
        <w:rPr>
          <w:color w:val="231F20"/>
          <w:spacing w:val="-5"/>
        </w:rPr>
        <w:t> </w:t>
      </w:r>
      <w:r>
        <w:rPr>
          <w:color w:val="231F20"/>
        </w:rPr>
        <w:t>reconciled</w:t>
      </w:r>
      <w:r>
        <w:rPr>
          <w:color w:val="231F20"/>
          <w:spacing w:val="-5"/>
        </w:rPr>
        <w:t> </w:t>
      </w:r>
      <w:r>
        <w:rPr>
          <w:color w:val="231F20"/>
        </w:rPr>
        <w:t>unrestricted</w:t>
      </w:r>
      <w:r>
        <w:rPr>
          <w:color w:val="231F20"/>
          <w:spacing w:val="-5"/>
        </w:rPr>
        <w:t> </w:t>
      </w:r>
      <w:r>
        <w:rPr>
          <w:color w:val="231F20"/>
        </w:rPr>
        <w:t>and</w:t>
      </w:r>
      <w:r>
        <w:rPr>
          <w:color w:val="231F20"/>
          <w:spacing w:val="-5"/>
        </w:rPr>
        <w:t> </w:t>
      </w:r>
      <w:r>
        <w:rPr>
          <w:color w:val="231F20"/>
        </w:rPr>
        <w:t>restricted</w:t>
      </w:r>
      <w:r>
        <w:rPr>
          <w:color w:val="231F20"/>
          <w:spacing w:val="-5"/>
        </w:rPr>
        <w:t> </w:t>
      </w:r>
      <w:r>
        <w:rPr>
          <w:color w:val="231F20"/>
        </w:rPr>
        <w:t>revenues</w:t>
      </w:r>
      <w:r>
        <w:rPr>
          <w:color w:val="231F20"/>
          <w:spacing w:val="-5"/>
        </w:rPr>
        <w:t> </w:t>
      </w:r>
      <w:r>
        <w:rPr>
          <w:color w:val="231F20"/>
        </w:rPr>
        <w:t>per budgetary basis</w:t>
      </w:r>
    </w:p>
    <w:p>
      <w:pPr>
        <w:spacing w:line="240" w:lineRule="auto" w:before="6"/>
        <w:rPr>
          <w:sz w:val="25"/>
        </w:rPr>
      </w:pPr>
      <w:r>
        <w:rPr/>
        <w:br w:type="column"/>
      </w:r>
      <w:r>
        <w:rPr>
          <w:sz w:val="25"/>
        </w:rPr>
      </w:r>
    </w:p>
    <w:p>
      <w:pPr>
        <w:pStyle w:val="BodyText"/>
        <w:ind w:left="1628"/>
      </w:pPr>
      <w:r>
        <w:rPr>
          <w:color w:val="231F20"/>
          <w:spacing w:val="49"/>
          <w:u w:val="single" w:color="231F20"/>
        </w:rPr>
        <w:t> </w:t>
      </w:r>
      <w:r>
        <w:rPr>
          <w:color w:val="231F20"/>
          <w:u w:val="single" w:color="231F20"/>
        </w:rPr>
        <w:t>$</w:t>
      </w:r>
      <w:r>
        <w:rPr>
          <w:color w:val="231F20"/>
          <w:spacing w:val="78"/>
          <w:w w:val="150"/>
          <w:u w:val="single" w:color="231F20"/>
        </w:rPr>
        <w:t> </w:t>
      </w:r>
      <w:r>
        <w:rPr>
          <w:color w:val="231F20"/>
          <w:spacing w:val="-2"/>
          <w:u w:val="single" w:color="231F20"/>
        </w:rPr>
        <w:t>156,906,570</w:t>
      </w:r>
      <w:r>
        <w:rPr>
          <w:color w:val="231F20"/>
          <w:spacing w:val="80"/>
          <w:u w:val="single" w:color="231F20"/>
        </w:rPr>
        <w:t> </w:t>
      </w:r>
    </w:p>
    <w:p>
      <w:pPr>
        <w:spacing w:after="0"/>
        <w:sectPr>
          <w:type w:val="continuous"/>
          <w:pgSz w:w="12240" w:h="15840"/>
          <w:pgMar w:header="1282" w:footer="1097" w:top="1460" w:bottom="280" w:left="0" w:right="580"/>
          <w:cols w:num="2" w:equalWidth="0">
            <w:col w:w="6681" w:space="862"/>
            <w:col w:w="4117"/>
          </w:cols>
        </w:sectPr>
      </w:pPr>
    </w:p>
    <w:p>
      <w:pPr>
        <w:pStyle w:val="BodyText"/>
        <w:spacing w:before="10"/>
        <w:rPr>
          <w:sz w:val="2"/>
        </w:rPr>
      </w:pPr>
    </w:p>
    <w:p>
      <w:pPr>
        <w:pStyle w:val="BodyText"/>
        <w:spacing w:line="20" w:lineRule="exact"/>
        <w:ind w:left="9171"/>
        <w:rPr>
          <w:sz w:val="2"/>
        </w:rPr>
      </w:pPr>
      <w:r>
        <w:rPr>
          <w:sz w:val="2"/>
        </w:rPr>
        <w:pict>
          <v:group style="width:80.05pt;height:1pt;mso-position-horizontal-relative:char;mso-position-vertical-relative:line" id="docshapegroup372" coordorigin="0,0" coordsize="1601,20">
            <v:rect style="position:absolute;left:0;top:0;width:1601;height:20" id="docshape373" filled="true" fillcolor="#231f20" stroked="false">
              <v:fill type="solid"/>
            </v:rect>
          </v:group>
        </w:pict>
      </w:r>
      <w:r>
        <w:rPr>
          <w:sz w:val="2"/>
        </w:rPr>
      </w:r>
    </w:p>
    <w:p>
      <w:pPr>
        <w:pStyle w:val="BodyText"/>
        <w:spacing w:before="9"/>
        <w:rPr>
          <w:sz w:val="13"/>
        </w:rPr>
      </w:pPr>
    </w:p>
    <w:p>
      <w:pPr>
        <w:pStyle w:val="BodyText"/>
        <w:spacing w:before="93" w:after="42"/>
        <w:ind w:left="1488"/>
      </w:pPr>
      <w:r>
        <w:rPr>
          <w:color w:val="231F20"/>
        </w:rPr>
        <w:t>Basic</w:t>
      </w:r>
      <w:r>
        <w:rPr>
          <w:color w:val="231F20"/>
          <w:spacing w:val="-2"/>
        </w:rPr>
        <w:t> </w:t>
      </w:r>
      <w:r>
        <w:rPr>
          <w:color w:val="231F20"/>
        </w:rPr>
        <w:t>Financial</w:t>
      </w:r>
      <w:r>
        <w:rPr>
          <w:color w:val="231F20"/>
          <w:spacing w:val="-1"/>
        </w:rPr>
        <w:t> </w:t>
      </w:r>
      <w:r>
        <w:rPr>
          <w:color w:val="231F20"/>
          <w:spacing w:val="-2"/>
        </w:rPr>
        <w:t>Statements</w:t>
      </w:r>
    </w:p>
    <w:tbl>
      <w:tblPr>
        <w:tblW w:w="0" w:type="auto"/>
        <w:jc w:val="left"/>
        <w:tblInd w:w="1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8"/>
        <w:gridCol w:w="3995"/>
      </w:tblGrid>
      <w:tr>
        <w:trPr>
          <w:trHeight w:val="243" w:hRule="atLeast"/>
        </w:trPr>
        <w:tc>
          <w:tcPr>
            <w:tcW w:w="5108" w:type="dxa"/>
          </w:tcPr>
          <w:p>
            <w:pPr>
              <w:pStyle w:val="TableParagraph"/>
              <w:spacing w:line="223" w:lineRule="exact"/>
              <w:ind w:left="50"/>
              <w:rPr>
                <w:sz w:val="20"/>
              </w:rPr>
            </w:pPr>
            <w:r>
              <w:rPr>
                <w:color w:val="231F20"/>
                <w:sz w:val="20"/>
              </w:rPr>
              <w:t>Operating</w:t>
            </w:r>
            <w:r>
              <w:rPr>
                <w:color w:val="231F20"/>
                <w:spacing w:val="-2"/>
                <w:sz w:val="20"/>
              </w:rPr>
              <w:t> revenue</w:t>
            </w:r>
          </w:p>
        </w:tc>
        <w:tc>
          <w:tcPr>
            <w:tcW w:w="3995" w:type="dxa"/>
          </w:tcPr>
          <w:p>
            <w:pPr>
              <w:pStyle w:val="TableParagraph"/>
              <w:spacing w:line="223" w:lineRule="exact"/>
              <w:ind w:left="2450"/>
              <w:rPr>
                <w:sz w:val="20"/>
              </w:rPr>
            </w:pPr>
            <w:r>
              <w:rPr>
                <w:color w:val="231F20"/>
                <w:sz w:val="20"/>
              </w:rPr>
              <w:t>$</w:t>
            </w:r>
            <w:r>
              <w:rPr>
                <w:color w:val="231F20"/>
                <w:spacing w:val="79"/>
                <w:w w:val="150"/>
                <w:sz w:val="20"/>
              </w:rPr>
              <w:t> </w:t>
            </w:r>
            <w:r>
              <w:rPr>
                <w:color w:val="231F20"/>
                <w:spacing w:val="-2"/>
                <w:sz w:val="20"/>
              </w:rPr>
              <w:t>105,352,439</w:t>
            </w:r>
          </w:p>
        </w:tc>
      </w:tr>
      <w:tr>
        <w:trPr>
          <w:trHeight w:val="263" w:hRule="atLeast"/>
        </w:trPr>
        <w:tc>
          <w:tcPr>
            <w:tcW w:w="5108" w:type="dxa"/>
          </w:tcPr>
          <w:p>
            <w:pPr>
              <w:pStyle w:val="TableParagraph"/>
              <w:spacing w:before="13"/>
              <w:ind w:left="50"/>
              <w:rPr>
                <w:sz w:val="20"/>
              </w:rPr>
            </w:pPr>
            <w:r>
              <w:rPr>
                <w:color w:val="231F20"/>
                <w:sz w:val="20"/>
              </w:rPr>
              <w:t>Nonoperating</w:t>
            </w:r>
            <w:r>
              <w:rPr>
                <w:color w:val="231F20"/>
                <w:spacing w:val="-3"/>
                <w:sz w:val="20"/>
              </w:rPr>
              <w:t> </w:t>
            </w:r>
            <w:r>
              <w:rPr>
                <w:color w:val="231F20"/>
                <w:spacing w:val="-2"/>
                <w:sz w:val="20"/>
              </w:rPr>
              <w:t>revenue</w:t>
            </w:r>
          </w:p>
        </w:tc>
        <w:tc>
          <w:tcPr>
            <w:tcW w:w="3995" w:type="dxa"/>
          </w:tcPr>
          <w:p>
            <w:pPr>
              <w:pStyle w:val="TableParagraph"/>
              <w:spacing w:before="13"/>
              <w:ind w:right="155"/>
              <w:jc w:val="right"/>
              <w:rPr>
                <w:sz w:val="20"/>
              </w:rPr>
            </w:pPr>
            <w:r>
              <w:rPr>
                <w:color w:val="231F20"/>
                <w:spacing w:val="-2"/>
                <w:sz w:val="20"/>
              </w:rPr>
              <w:t>32,257,207</w:t>
            </w:r>
          </w:p>
        </w:tc>
      </w:tr>
      <w:tr>
        <w:trPr>
          <w:trHeight w:val="243" w:hRule="atLeast"/>
        </w:trPr>
        <w:tc>
          <w:tcPr>
            <w:tcW w:w="5108" w:type="dxa"/>
          </w:tcPr>
          <w:p>
            <w:pPr>
              <w:pStyle w:val="TableParagraph"/>
              <w:spacing w:line="210" w:lineRule="exact" w:before="13"/>
              <w:ind w:left="50"/>
              <w:rPr>
                <w:sz w:val="20"/>
              </w:rPr>
            </w:pPr>
            <w:r>
              <w:rPr>
                <w:color w:val="231F20"/>
                <w:sz w:val="20"/>
              </w:rPr>
              <w:t>Capital</w:t>
            </w:r>
            <w:r>
              <w:rPr>
                <w:color w:val="231F20"/>
                <w:spacing w:val="-2"/>
                <w:sz w:val="20"/>
              </w:rPr>
              <w:t> </w:t>
            </w:r>
            <w:r>
              <w:rPr>
                <w:color w:val="231F20"/>
                <w:sz w:val="20"/>
              </w:rPr>
              <w:t>contributions</w:t>
            </w:r>
            <w:r>
              <w:rPr>
                <w:color w:val="231F20"/>
                <w:spacing w:val="-1"/>
                <w:sz w:val="20"/>
              </w:rPr>
              <w:t> </w:t>
            </w:r>
            <w:r>
              <w:rPr>
                <w:color w:val="231F20"/>
                <w:sz w:val="20"/>
              </w:rPr>
              <w:t>and</w:t>
            </w:r>
            <w:r>
              <w:rPr>
                <w:color w:val="231F20"/>
                <w:spacing w:val="-1"/>
                <w:sz w:val="20"/>
              </w:rPr>
              <w:t> </w:t>
            </w:r>
            <w:r>
              <w:rPr>
                <w:color w:val="231F20"/>
                <w:spacing w:val="-2"/>
                <w:sz w:val="20"/>
              </w:rPr>
              <w:t>other</w:t>
            </w:r>
          </w:p>
        </w:tc>
        <w:tc>
          <w:tcPr>
            <w:tcW w:w="3995" w:type="dxa"/>
          </w:tcPr>
          <w:p>
            <w:pPr>
              <w:pStyle w:val="TableParagraph"/>
              <w:tabs>
                <w:tab w:pos="2834" w:val="left" w:leader="none"/>
              </w:tabs>
              <w:spacing w:line="210" w:lineRule="exact" w:before="13"/>
              <w:ind w:left="2344"/>
              <w:rPr>
                <w:sz w:val="20"/>
              </w:rPr>
            </w:pPr>
            <w:r>
              <w:rPr>
                <w:color w:val="231F20"/>
                <w:sz w:val="20"/>
                <w:u w:val="single" w:color="231F20"/>
              </w:rPr>
              <w:tab/>
            </w:r>
            <w:r>
              <w:rPr>
                <w:color w:val="231F20"/>
                <w:spacing w:val="-2"/>
                <w:sz w:val="20"/>
                <w:u w:val="single" w:color="231F20"/>
              </w:rPr>
              <w:t>19,296,924</w:t>
            </w:r>
            <w:r>
              <w:rPr>
                <w:color w:val="231F20"/>
                <w:spacing w:val="80"/>
                <w:sz w:val="20"/>
                <w:u w:val="single" w:color="231F20"/>
              </w:rPr>
              <w:t> </w:t>
            </w:r>
          </w:p>
        </w:tc>
      </w:tr>
    </w:tbl>
    <w:p>
      <w:pPr>
        <w:pStyle w:val="BodyText"/>
        <w:spacing w:before="3"/>
        <w:rPr>
          <w:sz w:val="11"/>
        </w:rPr>
      </w:pPr>
    </w:p>
    <w:p>
      <w:pPr>
        <w:pStyle w:val="BodyText"/>
        <w:tabs>
          <w:tab w:pos="9171" w:val="left" w:leader="none"/>
        </w:tabs>
        <w:spacing w:before="94"/>
        <w:ind w:left="1628"/>
      </w:pPr>
      <w:r>
        <w:rPr/>
        <w:pict>
          <v:rect style="position:absolute;margin-left:458.580994pt;margin-top:17.7547pt;width:80.040pt;height:.95999pt;mso-position-horizontal-relative:page;mso-position-vertical-relative:paragraph;z-index:-15661056;mso-wrap-distance-left:0;mso-wrap-distance-right:0" id="docshape374" filled="true" fillcolor="#231f20" stroked="false">
            <v:fill type="solid"/>
            <w10:wrap type="topAndBottom"/>
          </v:rect>
        </w:pict>
      </w:r>
      <w:r>
        <w:rPr>
          <w:color w:val="231F20"/>
        </w:rPr>
        <w:t>Total</w:t>
      </w:r>
      <w:r>
        <w:rPr>
          <w:color w:val="231F20"/>
          <w:spacing w:val="-2"/>
        </w:rPr>
        <w:t> </w:t>
      </w:r>
      <w:r>
        <w:rPr>
          <w:color w:val="231F20"/>
        </w:rPr>
        <w:t>unrestricted</w:t>
      </w:r>
      <w:r>
        <w:rPr>
          <w:color w:val="231F20"/>
          <w:spacing w:val="-1"/>
        </w:rPr>
        <w:t> </w:t>
      </w:r>
      <w:r>
        <w:rPr>
          <w:color w:val="231F20"/>
        </w:rPr>
        <w:t>and</w:t>
      </w:r>
      <w:r>
        <w:rPr>
          <w:color w:val="231F20"/>
          <w:spacing w:val="-1"/>
        </w:rPr>
        <w:t> </w:t>
      </w:r>
      <w:r>
        <w:rPr>
          <w:color w:val="231F20"/>
        </w:rPr>
        <w:t>restricted</w:t>
      </w:r>
      <w:r>
        <w:rPr>
          <w:color w:val="231F20"/>
          <w:spacing w:val="-2"/>
        </w:rPr>
        <w:t> </w:t>
      </w:r>
      <w:r>
        <w:rPr>
          <w:color w:val="231F20"/>
        </w:rPr>
        <w:t>revenue</w:t>
      </w:r>
      <w:r>
        <w:rPr>
          <w:color w:val="231F20"/>
          <w:spacing w:val="-1"/>
        </w:rPr>
        <w:t> </w:t>
      </w:r>
      <w:r>
        <w:rPr>
          <w:color w:val="231F20"/>
        </w:rPr>
        <w:t>per</w:t>
      </w:r>
      <w:r>
        <w:rPr>
          <w:color w:val="231F20"/>
          <w:spacing w:val="-1"/>
        </w:rPr>
        <w:t> </w:t>
      </w:r>
      <w:r>
        <w:rPr>
          <w:color w:val="231F20"/>
        </w:rPr>
        <w:t>financial</w:t>
      </w:r>
      <w:r>
        <w:rPr>
          <w:color w:val="231F20"/>
          <w:spacing w:val="-1"/>
        </w:rPr>
        <w:t> </w:t>
      </w:r>
      <w:r>
        <w:rPr>
          <w:color w:val="231F20"/>
          <w:spacing w:val="-2"/>
        </w:rPr>
        <w:t>statements</w:t>
      </w:r>
      <w:r>
        <w:rPr>
          <w:color w:val="231F20"/>
        </w:rPr>
        <w:tab/>
      </w:r>
      <w:r>
        <w:rPr>
          <w:color w:val="231F20"/>
          <w:spacing w:val="40"/>
          <w:u w:val="single" w:color="231F20"/>
        </w:rPr>
        <w:t> </w:t>
      </w:r>
      <w:r>
        <w:rPr>
          <w:color w:val="231F20"/>
          <w:u w:val="single" w:color="231F20"/>
        </w:rPr>
        <w:t>$</w:t>
      </w:r>
      <w:r>
        <w:rPr>
          <w:color w:val="231F20"/>
          <w:spacing w:val="80"/>
          <w:w w:val="150"/>
          <w:u w:val="single" w:color="231F20"/>
        </w:rPr>
        <w:t> </w:t>
      </w:r>
      <w:r>
        <w:rPr>
          <w:color w:val="231F20"/>
          <w:u w:val="single" w:color="231F20"/>
        </w:rPr>
        <w:t>156,906,570</w:t>
      </w:r>
      <w:r>
        <w:rPr>
          <w:color w:val="231F20"/>
          <w:spacing w:val="80"/>
          <w:u w:val="single" w:color="231F20"/>
        </w:rPr>
        <w:t> </w:t>
      </w:r>
    </w:p>
    <w:p>
      <w:pPr>
        <w:spacing w:after="0"/>
        <w:sectPr>
          <w:type w:val="continuous"/>
          <w:pgSz w:w="12240" w:h="15840"/>
          <w:pgMar w:header="1282" w:footer="1097" w:top="1460" w:bottom="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14</w:t>
      </w:r>
      <w:r>
        <w:rPr>
          <w:color w:val="231F20"/>
          <w:spacing w:val="-4"/>
        </w:rPr>
        <w:t> </w:t>
      </w:r>
      <w:r>
        <w:rPr>
          <w:color w:val="231F20"/>
        </w:rPr>
        <w:t>–</w:t>
      </w:r>
      <w:r>
        <w:rPr>
          <w:color w:val="231F20"/>
          <w:spacing w:val="-5"/>
        </w:rPr>
        <w:t> </w:t>
      </w:r>
      <w:r>
        <w:rPr>
          <w:color w:val="231F20"/>
        </w:rPr>
        <w:t>Reconciliation</w:t>
      </w:r>
      <w:r>
        <w:rPr>
          <w:color w:val="231F20"/>
          <w:spacing w:val="-5"/>
        </w:rPr>
        <w:t> </w:t>
      </w:r>
      <w:r>
        <w:rPr>
          <w:color w:val="231F20"/>
        </w:rPr>
        <w:t>of</w:t>
      </w:r>
      <w:r>
        <w:rPr>
          <w:color w:val="231F20"/>
          <w:spacing w:val="-5"/>
        </w:rPr>
        <w:t> </w:t>
      </w:r>
      <w:r>
        <w:rPr>
          <w:color w:val="231F20"/>
        </w:rPr>
        <w:t>Budget</w:t>
      </w:r>
      <w:r>
        <w:rPr>
          <w:color w:val="231F20"/>
          <w:spacing w:val="-5"/>
        </w:rPr>
        <w:t> </w:t>
      </w:r>
      <w:r>
        <w:rPr>
          <w:color w:val="231F20"/>
        </w:rPr>
        <w:t>Basis</w:t>
      </w:r>
      <w:r>
        <w:rPr>
          <w:color w:val="231F20"/>
          <w:spacing w:val="-5"/>
        </w:rPr>
        <w:t> </w:t>
      </w:r>
      <w:r>
        <w:rPr>
          <w:color w:val="231F20"/>
        </w:rPr>
        <w:t>to</w:t>
      </w:r>
      <w:r>
        <w:rPr>
          <w:color w:val="231F20"/>
          <w:spacing w:val="-4"/>
        </w:rPr>
        <w:t> </w:t>
      </w:r>
      <w:r>
        <w:rPr>
          <w:color w:val="231F20"/>
        </w:rPr>
        <w:t>GAAP</w:t>
      </w:r>
      <w:r>
        <w:rPr>
          <w:color w:val="231F20"/>
          <w:spacing w:val="-4"/>
        </w:rPr>
        <w:t> </w:t>
      </w:r>
      <w:r>
        <w:rPr>
          <w:color w:val="231F20"/>
          <w:spacing w:val="-2"/>
        </w:rPr>
        <w:t>(continued)</w:t>
      </w:r>
    </w:p>
    <w:p>
      <w:pPr>
        <w:pStyle w:val="BodyText"/>
        <w:spacing w:before="11"/>
        <w:rPr>
          <w:b/>
          <w:sz w:val="18"/>
        </w:rPr>
      </w:pPr>
    </w:p>
    <w:p>
      <w:pPr>
        <w:spacing w:after="0"/>
        <w:rPr>
          <w:sz w:val="18"/>
        </w:rPr>
        <w:sectPr>
          <w:pgSz w:w="12240" w:h="15840"/>
          <w:pgMar w:header="1282" w:footer="1097" w:top="1900" w:bottom="1280" w:left="0" w:right="580"/>
        </w:sectPr>
      </w:pPr>
    </w:p>
    <w:p>
      <w:pPr>
        <w:spacing w:before="93"/>
        <w:ind w:left="1488" w:right="0" w:firstLine="0"/>
        <w:jc w:val="left"/>
        <w:rPr>
          <w:b/>
          <w:sz w:val="20"/>
        </w:rPr>
      </w:pPr>
      <w:r>
        <w:rPr>
          <w:b/>
          <w:color w:val="231F20"/>
          <w:sz w:val="20"/>
        </w:rPr>
        <w:t>Total</w:t>
      </w:r>
      <w:r>
        <w:rPr>
          <w:b/>
          <w:color w:val="231F20"/>
          <w:spacing w:val="-4"/>
          <w:sz w:val="20"/>
        </w:rPr>
        <w:t> </w:t>
      </w:r>
      <w:r>
        <w:rPr>
          <w:b/>
          <w:color w:val="231F20"/>
          <w:sz w:val="20"/>
        </w:rPr>
        <w:t>Unrestricted</w:t>
      </w:r>
      <w:r>
        <w:rPr>
          <w:b/>
          <w:color w:val="231F20"/>
          <w:spacing w:val="-2"/>
          <w:sz w:val="20"/>
        </w:rPr>
        <w:t> </w:t>
      </w:r>
      <w:r>
        <w:rPr>
          <w:b/>
          <w:color w:val="231F20"/>
          <w:sz w:val="20"/>
        </w:rPr>
        <w:t>and</w:t>
      </w:r>
      <w:r>
        <w:rPr>
          <w:b/>
          <w:color w:val="231F20"/>
          <w:spacing w:val="-2"/>
          <w:sz w:val="20"/>
        </w:rPr>
        <w:t> </w:t>
      </w:r>
      <w:r>
        <w:rPr>
          <w:b/>
          <w:color w:val="231F20"/>
          <w:sz w:val="20"/>
        </w:rPr>
        <w:t>Restricted</w:t>
      </w:r>
      <w:r>
        <w:rPr>
          <w:b/>
          <w:color w:val="231F20"/>
          <w:spacing w:val="-2"/>
          <w:sz w:val="20"/>
        </w:rPr>
        <w:t> Expenditures:</w:t>
      </w:r>
    </w:p>
    <w:p>
      <w:pPr>
        <w:pStyle w:val="BodyText"/>
        <w:spacing w:line="276" w:lineRule="auto" w:before="75"/>
        <w:ind w:left="1628" w:right="2878" w:hanging="141"/>
      </w:pPr>
      <w:r>
        <w:rPr>
          <w:color w:val="231F20"/>
        </w:rPr>
        <w:t>Budgetary Basis Reconciling</w:t>
      </w:r>
      <w:r>
        <w:rPr>
          <w:color w:val="231F20"/>
          <w:spacing w:val="-14"/>
        </w:rPr>
        <w:t> </w:t>
      </w:r>
      <w:r>
        <w:rPr>
          <w:color w:val="231F20"/>
        </w:rPr>
        <w:t>items</w:t>
      </w:r>
    </w:p>
    <w:p>
      <w:pPr>
        <w:spacing w:line="240" w:lineRule="auto" w:before="0"/>
        <w:rPr>
          <w:sz w:val="22"/>
        </w:rPr>
      </w:pPr>
      <w:r>
        <w:rPr/>
        <w:br w:type="column"/>
      </w:r>
      <w:r>
        <w:rPr>
          <w:sz w:val="22"/>
        </w:rPr>
      </w:r>
    </w:p>
    <w:p>
      <w:pPr>
        <w:pStyle w:val="BodyText"/>
        <w:spacing w:before="145"/>
        <w:ind w:left="1488"/>
      </w:pPr>
      <w:r>
        <w:rPr>
          <w:color w:val="231F20"/>
          <w:spacing w:val="49"/>
          <w:u w:val="single" w:color="231F20"/>
        </w:rPr>
        <w:t> </w:t>
      </w:r>
      <w:r>
        <w:rPr>
          <w:color w:val="231F20"/>
          <w:u w:val="single" w:color="231F20"/>
        </w:rPr>
        <w:t>$</w:t>
      </w:r>
      <w:r>
        <w:rPr>
          <w:color w:val="231F20"/>
          <w:spacing w:val="79"/>
          <w:w w:val="150"/>
          <w:u w:val="single" w:color="231F20"/>
        </w:rPr>
        <w:t> </w:t>
      </w:r>
      <w:r>
        <w:rPr>
          <w:color w:val="231F20"/>
          <w:spacing w:val="-2"/>
          <w:u w:val="single" w:color="231F20"/>
        </w:rPr>
        <w:t>169,558,632</w:t>
      </w:r>
      <w:r>
        <w:rPr>
          <w:color w:val="231F20"/>
          <w:spacing w:val="80"/>
          <w:u w:val="single" w:color="231F20"/>
        </w:rPr>
        <w:t> </w:t>
      </w:r>
    </w:p>
    <w:p>
      <w:pPr>
        <w:spacing w:after="0"/>
        <w:sectPr>
          <w:type w:val="continuous"/>
          <w:pgSz w:w="12240" w:h="15840"/>
          <w:pgMar w:header="1282" w:footer="1097" w:top="1460" w:bottom="280" w:left="0" w:right="580"/>
          <w:cols w:num="2" w:equalWidth="0">
            <w:col w:w="6080" w:space="1604"/>
            <w:col w:w="3976"/>
          </w:cols>
        </w:sectPr>
      </w:pPr>
    </w:p>
    <w:tbl>
      <w:tblPr>
        <w:tblW w:w="0" w:type="auto"/>
        <w:jc w:val="left"/>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34"/>
        <w:gridCol w:w="1601"/>
      </w:tblGrid>
      <w:tr>
        <w:trPr>
          <w:trHeight w:val="244" w:hRule="atLeast"/>
        </w:trPr>
        <w:tc>
          <w:tcPr>
            <w:tcW w:w="7734" w:type="dxa"/>
          </w:tcPr>
          <w:p>
            <w:pPr>
              <w:pStyle w:val="TableParagraph"/>
              <w:spacing w:line="224" w:lineRule="exact"/>
              <w:ind w:left="331"/>
              <w:rPr>
                <w:sz w:val="20"/>
              </w:rPr>
            </w:pPr>
            <w:r>
              <w:rPr>
                <w:color w:val="231F20"/>
                <w:sz w:val="20"/>
              </w:rPr>
              <w:t>Tuition</w:t>
            </w:r>
            <w:r>
              <w:rPr>
                <w:color w:val="231F20"/>
                <w:spacing w:val="-2"/>
                <w:sz w:val="20"/>
              </w:rPr>
              <w:t> </w:t>
            </w:r>
            <w:r>
              <w:rPr>
                <w:color w:val="231F20"/>
                <w:sz w:val="20"/>
              </w:rPr>
              <w:t>discounts</w:t>
            </w:r>
            <w:r>
              <w:rPr>
                <w:color w:val="231F20"/>
                <w:spacing w:val="-2"/>
                <w:sz w:val="20"/>
              </w:rPr>
              <w:t> </w:t>
            </w:r>
            <w:r>
              <w:rPr>
                <w:color w:val="231F20"/>
                <w:sz w:val="20"/>
              </w:rPr>
              <w:t>and</w:t>
            </w:r>
            <w:r>
              <w:rPr>
                <w:color w:val="231F20"/>
                <w:spacing w:val="-2"/>
                <w:sz w:val="20"/>
              </w:rPr>
              <w:t> allowances</w:t>
            </w:r>
          </w:p>
        </w:tc>
        <w:tc>
          <w:tcPr>
            <w:tcW w:w="1601" w:type="dxa"/>
          </w:tcPr>
          <w:p>
            <w:pPr>
              <w:pStyle w:val="TableParagraph"/>
              <w:spacing w:line="224" w:lineRule="exact"/>
              <w:ind w:left="-2" w:right="38"/>
              <w:jc w:val="right"/>
              <w:rPr>
                <w:sz w:val="20"/>
              </w:rPr>
            </w:pPr>
            <w:r>
              <w:rPr>
                <w:color w:val="231F20"/>
                <w:spacing w:val="-2"/>
                <w:sz w:val="20"/>
              </w:rPr>
              <w:t>(7,203,360)</w:t>
            </w:r>
          </w:p>
        </w:tc>
      </w:tr>
      <w:tr>
        <w:trPr>
          <w:trHeight w:val="264" w:hRule="atLeast"/>
        </w:trPr>
        <w:tc>
          <w:tcPr>
            <w:tcW w:w="7734" w:type="dxa"/>
          </w:tcPr>
          <w:p>
            <w:pPr>
              <w:pStyle w:val="TableParagraph"/>
              <w:spacing w:before="14"/>
              <w:ind w:left="331"/>
              <w:rPr>
                <w:sz w:val="20"/>
              </w:rPr>
            </w:pPr>
            <w:r>
              <w:rPr>
                <w:color w:val="231F20"/>
                <w:sz w:val="20"/>
              </w:rPr>
              <w:t>Indirect</w:t>
            </w:r>
            <w:r>
              <w:rPr>
                <w:color w:val="231F20"/>
                <w:spacing w:val="-4"/>
                <w:sz w:val="20"/>
              </w:rPr>
              <w:t> </w:t>
            </w:r>
            <w:r>
              <w:rPr>
                <w:color w:val="231F20"/>
                <w:sz w:val="20"/>
              </w:rPr>
              <w:t>cost</w:t>
            </w:r>
            <w:r>
              <w:rPr>
                <w:color w:val="231F20"/>
                <w:spacing w:val="-1"/>
                <w:sz w:val="20"/>
              </w:rPr>
              <w:t> </w:t>
            </w:r>
            <w:r>
              <w:rPr>
                <w:color w:val="231F20"/>
                <w:spacing w:val="-2"/>
                <w:sz w:val="20"/>
              </w:rPr>
              <w:t>recovery</w:t>
            </w:r>
          </w:p>
        </w:tc>
        <w:tc>
          <w:tcPr>
            <w:tcW w:w="1601" w:type="dxa"/>
          </w:tcPr>
          <w:p>
            <w:pPr>
              <w:pStyle w:val="TableParagraph"/>
              <w:spacing w:before="14"/>
              <w:ind w:left="-2" w:right="38"/>
              <w:jc w:val="right"/>
              <w:rPr>
                <w:sz w:val="20"/>
              </w:rPr>
            </w:pPr>
            <w:r>
              <w:rPr>
                <w:color w:val="231F20"/>
                <w:spacing w:val="-2"/>
                <w:sz w:val="20"/>
              </w:rPr>
              <w:t>(8,038,114)</w:t>
            </w:r>
          </w:p>
        </w:tc>
      </w:tr>
      <w:tr>
        <w:trPr>
          <w:trHeight w:val="264" w:hRule="atLeast"/>
        </w:trPr>
        <w:tc>
          <w:tcPr>
            <w:tcW w:w="7734" w:type="dxa"/>
          </w:tcPr>
          <w:p>
            <w:pPr>
              <w:pStyle w:val="TableParagraph"/>
              <w:spacing w:before="13"/>
              <w:ind w:left="331"/>
              <w:rPr>
                <w:sz w:val="20"/>
              </w:rPr>
            </w:pPr>
            <w:r>
              <w:rPr>
                <w:color w:val="231F20"/>
                <w:sz w:val="20"/>
              </w:rPr>
              <w:t>Capital</w:t>
            </w:r>
            <w:r>
              <w:rPr>
                <w:color w:val="231F20"/>
                <w:spacing w:val="-2"/>
                <w:sz w:val="20"/>
              </w:rPr>
              <w:t> expenditures</w:t>
            </w:r>
          </w:p>
        </w:tc>
        <w:tc>
          <w:tcPr>
            <w:tcW w:w="1601" w:type="dxa"/>
          </w:tcPr>
          <w:p>
            <w:pPr>
              <w:pStyle w:val="TableParagraph"/>
              <w:spacing w:before="13"/>
              <w:ind w:left="-2" w:right="39"/>
              <w:jc w:val="right"/>
              <w:rPr>
                <w:sz w:val="20"/>
              </w:rPr>
            </w:pPr>
            <w:r>
              <w:rPr>
                <w:color w:val="231F20"/>
                <w:spacing w:val="-2"/>
                <w:sz w:val="20"/>
              </w:rPr>
              <w:t>(8,682,106)</w:t>
            </w:r>
          </w:p>
        </w:tc>
      </w:tr>
      <w:tr>
        <w:trPr>
          <w:trHeight w:val="264" w:hRule="atLeast"/>
        </w:trPr>
        <w:tc>
          <w:tcPr>
            <w:tcW w:w="7734" w:type="dxa"/>
          </w:tcPr>
          <w:p>
            <w:pPr>
              <w:pStyle w:val="TableParagraph"/>
              <w:spacing w:before="14"/>
              <w:ind w:left="331"/>
              <w:rPr>
                <w:sz w:val="20"/>
              </w:rPr>
            </w:pPr>
            <w:r>
              <w:rPr>
                <w:color w:val="231F20"/>
                <w:sz w:val="20"/>
              </w:rPr>
              <w:t>Depreciation</w:t>
            </w:r>
            <w:r>
              <w:rPr>
                <w:color w:val="231F20"/>
                <w:spacing w:val="-3"/>
                <w:sz w:val="20"/>
              </w:rPr>
              <w:t> </w:t>
            </w:r>
            <w:r>
              <w:rPr>
                <w:color w:val="231F20"/>
                <w:spacing w:val="-2"/>
                <w:sz w:val="20"/>
              </w:rPr>
              <w:t>expense</w:t>
            </w:r>
          </w:p>
        </w:tc>
        <w:tc>
          <w:tcPr>
            <w:tcW w:w="1601" w:type="dxa"/>
          </w:tcPr>
          <w:p>
            <w:pPr>
              <w:pStyle w:val="TableParagraph"/>
              <w:spacing w:before="14"/>
              <w:ind w:left="-2" w:right="105"/>
              <w:jc w:val="right"/>
              <w:rPr>
                <w:sz w:val="20"/>
              </w:rPr>
            </w:pPr>
            <w:r>
              <w:rPr>
                <w:color w:val="231F20"/>
                <w:spacing w:val="-2"/>
                <w:sz w:val="20"/>
              </w:rPr>
              <w:t>11,640,988</w:t>
            </w:r>
          </w:p>
        </w:tc>
      </w:tr>
      <w:tr>
        <w:trPr>
          <w:trHeight w:val="264" w:hRule="atLeast"/>
        </w:trPr>
        <w:tc>
          <w:tcPr>
            <w:tcW w:w="7734" w:type="dxa"/>
          </w:tcPr>
          <w:p>
            <w:pPr>
              <w:pStyle w:val="TableParagraph"/>
              <w:spacing w:before="13"/>
              <w:ind w:left="331"/>
              <w:rPr>
                <w:sz w:val="20"/>
              </w:rPr>
            </w:pPr>
            <w:r>
              <w:rPr>
                <w:color w:val="231F20"/>
                <w:sz w:val="20"/>
              </w:rPr>
              <w:t>Deposit</w:t>
            </w:r>
            <w:r>
              <w:rPr>
                <w:color w:val="231F20"/>
                <w:spacing w:val="-2"/>
                <w:sz w:val="20"/>
              </w:rPr>
              <w:t> </w:t>
            </w:r>
            <w:r>
              <w:rPr>
                <w:color w:val="231F20"/>
                <w:sz w:val="20"/>
              </w:rPr>
              <w:t>held</w:t>
            </w:r>
            <w:r>
              <w:rPr>
                <w:color w:val="231F20"/>
                <w:spacing w:val="-1"/>
                <w:sz w:val="20"/>
              </w:rPr>
              <w:t> </w:t>
            </w:r>
            <w:r>
              <w:rPr>
                <w:color w:val="231F20"/>
                <w:sz w:val="20"/>
              </w:rPr>
              <w:t>for</w:t>
            </w:r>
            <w:r>
              <w:rPr>
                <w:color w:val="231F20"/>
                <w:spacing w:val="-1"/>
                <w:sz w:val="20"/>
              </w:rPr>
              <w:t> </w:t>
            </w:r>
            <w:r>
              <w:rPr>
                <w:color w:val="231F20"/>
                <w:spacing w:val="-2"/>
                <w:sz w:val="20"/>
              </w:rPr>
              <w:t>others</w:t>
            </w:r>
          </w:p>
        </w:tc>
        <w:tc>
          <w:tcPr>
            <w:tcW w:w="1601" w:type="dxa"/>
          </w:tcPr>
          <w:p>
            <w:pPr>
              <w:pStyle w:val="TableParagraph"/>
              <w:spacing w:before="13"/>
              <w:ind w:left="-2" w:right="39"/>
              <w:jc w:val="right"/>
              <w:rPr>
                <w:sz w:val="20"/>
              </w:rPr>
            </w:pPr>
            <w:r>
              <w:rPr>
                <w:color w:val="231F20"/>
                <w:spacing w:val="-2"/>
                <w:sz w:val="20"/>
              </w:rPr>
              <w:t>(22,476)</w:t>
            </w:r>
          </w:p>
        </w:tc>
      </w:tr>
      <w:tr>
        <w:trPr>
          <w:trHeight w:val="265" w:hRule="atLeast"/>
        </w:trPr>
        <w:tc>
          <w:tcPr>
            <w:tcW w:w="7734" w:type="dxa"/>
          </w:tcPr>
          <w:p>
            <w:pPr>
              <w:pStyle w:val="TableParagraph"/>
              <w:spacing w:before="14"/>
              <w:ind w:left="331"/>
              <w:rPr>
                <w:sz w:val="20"/>
              </w:rPr>
            </w:pPr>
            <w:r>
              <w:rPr>
                <w:color w:val="231F20"/>
                <w:sz w:val="20"/>
              </w:rPr>
              <w:t>Unbudgeted</w:t>
            </w:r>
            <w:r>
              <w:rPr>
                <w:color w:val="231F20"/>
                <w:spacing w:val="-8"/>
                <w:sz w:val="20"/>
              </w:rPr>
              <w:t> </w:t>
            </w:r>
            <w:r>
              <w:rPr>
                <w:color w:val="231F20"/>
                <w:spacing w:val="-2"/>
                <w:sz w:val="20"/>
              </w:rPr>
              <w:t>exhibits</w:t>
            </w:r>
          </w:p>
        </w:tc>
        <w:tc>
          <w:tcPr>
            <w:tcW w:w="1601" w:type="dxa"/>
          </w:tcPr>
          <w:p>
            <w:pPr>
              <w:pStyle w:val="TableParagraph"/>
              <w:spacing w:before="14"/>
              <w:ind w:left="-2" w:right="106"/>
              <w:jc w:val="right"/>
              <w:rPr>
                <w:sz w:val="20"/>
              </w:rPr>
            </w:pPr>
            <w:r>
              <w:rPr>
                <w:color w:val="231F20"/>
                <w:spacing w:val="-2"/>
                <w:sz w:val="20"/>
              </w:rPr>
              <w:t>3,987,831</w:t>
            </w:r>
          </w:p>
        </w:tc>
      </w:tr>
      <w:tr>
        <w:trPr>
          <w:trHeight w:val="264" w:hRule="atLeast"/>
        </w:trPr>
        <w:tc>
          <w:tcPr>
            <w:tcW w:w="7734" w:type="dxa"/>
          </w:tcPr>
          <w:p>
            <w:pPr>
              <w:pStyle w:val="TableParagraph"/>
              <w:spacing w:before="14"/>
              <w:ind w:left="331"/>
              <w:rPr>
                <w:sz w:val="20"/>
              </w:rPr>
            </w:pPr>
            <w:r>
              <w:rPr>
                <w:color w:val="231F20"/>
                <w:sz w:val="20"/>
              </w:rPr>
              <w:t>Restricted</w:t>
            </w:r>
            <w:r>
              <w:rPr>
                <w:color w:val="231F20"/>
                <w:spacing w:val="-2"/>
                <w:sz w:val="20"/>
              </w:rPr>
              <w:t> </w:t>
            </w:r>
            <w:r>
              <w:rPr>
                <w:color w:val="231F20"/>
                <w:sz w:val="20"/>
              </w:rPr>
              <w:t>internal</w:t>
            </w:r>
            <w:r>
              <w:rPr>
                <w:color w:val="231F20"/>
                <w:spacing w:val="-2"/>
                <w:sz w:val="20"/>
              </w:rPr>
              <w:t> </w:t>
            </w:r>
            <w:r>
              <w:rPr>
                <w:color w:val="231F20"/>
                <w:sz w:val="20"/>
              </w:rPr>
              <w:t>service</w:t>
            </w:r>
            <w:r>
              <w:rPr>
                <w:color w:val="231F20"/>
                <w:spacing w:val="-1"/>
                <w:sz w:val="20"/>
              </w:rPr>
              <w:t> </w:t>
            </w:r>
            <w:r>
              <w:rPr>
                <w:color w:val="231F20"/>
                <w:spacing w:val="-2"/>
                <w:sz w:val="20"/>
              </w:rPr>
              <w:t>adjustment</w:t>
            </w:r>
          </w:p>
        </w:tc>
        <w:tc>
          <w:tcPr>
            <w:tcW w:w="1601" w:type="dxa"/>
          </w:tcPr>
          <w:p>
            <w:pPr>
              <w:pStyle w:val="TableParagraph"/>
              <w:spacing w:before="14"/>
              <w:ind w:left="-2" w:right="40"/>
              <w:jc w:val="right"/>
              <w:rPr>
                <w:sz w:val="20"/>
              </w:rPr>
            </w:pPr>
            <w:r>
              <w:rPr>
                <w:color w:val="231F20"/>
                <w:spacing w:val="-2"/>
                <w:sz w:val="20"/>
              </w:rPr>
              <w:t>(7,720,405)</w:t>
            </w:r>
          </w:p>
        </w:tc>
      </w:tr>
      <w:tr>
        <w:trPr>
          <w:trHeight w:val="264" w:hRule="atLeast"/>
        </w:trPr>
        <w:tc>
          <w:tcPr>
            <w:tcW w:w="7734" w:type="dxa"/>
          </w:tcPr>
          <w:p>
            <w:pPr>
              <w:pStyle w:val="TableParagraph"/>
              <w:spacing w:before="13"/>
              <w:ind w:left="331"/>
              <w:rPr>
                <w:sz w:val="20"/>
              </w:rPr>
            </w:pPr>
            <w:r>
              <w:rPr>
                <w:color w:val="231F20"/>
                <w:sz w:val="20"/>
              </w:rPr>
              <w:t>Payable</w:t>
            </w:r>
            <w:r>
              <w:rPr>
                <w:color w:val="231F20"/>
                <w:spacing w:val="-2"/>
                <w:sz w:val="20"/>
              </w:rPr>
              <w:t> adjustment</w:t>
            </w:r>
          </w:p>
        </w:tc>
        <w:tc>
          <w:tcPr>
            <w:tcW w:w="1601" w:type="dxa"/>
          </w:tcPr>
          <w:p>
            <w:pPr>
              <w:pStyle w:val="TableParagraph"/>
              <w:spacing w:before="13"/>
              <w:ind w:left="-2" w:right="106"/>
              <w:jc w:val="right"/>
              <w:rPr>
                <w:sz w:val="20"/>
              </w:rPr>
            </w:pPr>
            <w:r>
              <w:rPr>
                <w:color w:val="231F20"/>
                <w:spacing w:val="-2"/>
                <w:sz w:val="20"/>
              </w:rPr>
              <w:t>2,331,629</w:t>
            </w:r>
          </w:p>
        </w:tc>
      </w:tr>
      <w:tr>
        <w:trPr>
          <w:trHeight w:val="265" w:hRule="atLeast"/>
        </w:trPr>
        <w:tc>
          <w:tcPr>
            <w:tcW w:w="7734" w:type="dxa"/>
          </w:tcPr>
          <w:p>
            <w:pPr>
              <w:pStyle w:val="TableParagraph"/>
              <w:spacing w:before="14"/>
              <w:ind w:left="331"/>
              <w:rPr>
                <w:sz w:val="20"/>
              </w:rPr>
            </w:pPr>
            <w:r>
              <w:rPr>
                <w:color w:val="231F20"/>
                <w:sz w:val="20"/>
              </w:rPr>
              <w:t>Internal</w:t>
            </w:r>
            <w:r>
              <w:rPr>
                <w:color w:val="231F20"/>
                <w:spacing w:val="-2"/>
                <w:sz w:val="20"/>
              </w:rPr>
              <w:t> </w:t>
            </w:r>
            <w:r>
              <w:rPr>
                <w:color w:val="231F20"/>
                <w:sz w:val="20"/>
              </w:rPr>
              <w:t>service</w:t>
            </w:r>
            <w:r>
              <w:rPr>
                <w:color w:val="231F20"/>
                <w:spacing w:val="-1"/>
                <w:sz w:val="20"/>
              </w:rPr>
              <w:t> </w:t>
            </w:r>
            <w:r>
              <w:rPr>
                <w:color w:val="231F20"/>
                <w:sz w:val="20"/>
              </w:rPr>
              <w:t>cost</w:t>
            </w:r>
            <w:r>
              <w:rPr>
                <w:color w:val="231F20"/>
                <w:spacing w:val="-1"/>
                <w:sz w:val="20"/>
              </w:rPr>
              <w:t> </w:t>
            </w:r>
            <w:r>
              <w:rPr>
                <w:color w:val="231F20"/>
                <w:sz w:val="20"/>
              </w:rPr>
              <w:t>recovery</w:t>
            </w:r>
            <w:r>
              <w:rPr>
                <w:color w:val="231F20"/>
                <w:spacing w:val="-3"/>
                <w:sz w:val="20"/>
              </w:rPr>
              <w:t> </w:t>
            </w:r>
            <w:r>
              <w:rPr>
                <w:color w:val="231F20"/>
                <w:spacing w:val="-2"/>
                <w:sz w:val="20"/>
              </w:rPr>
              <w:t>adjustment</w:t>
            </w:r>
          </w:p>
        </w:tc>
        <w:tc>
          <w:tcPr>
            <w:tcW w:w="1601" w:type="dxa"/>
          </w:tcPr>
          <w:p>
            <w:pPr>
              <w:pStyle w:val="TableParagraph"/>
              <w:spacing w:before="14"/>
              <w:ind w:left="-2" w:right="108"/>
              <w:jc w:val="right"/>
              <w:rPr>
                <w:sz w:val="20"/>
              </w:rPr>
            </w:pPr>
            <w:r>
              <w:rPr>
                <w:color w:val="231F20"/>
                <w:spacing w:val="-2"/>
                <w:sz w:val="20"/>
              </w:rPr>
              <w:t>3,748,289</w:t>
            </w:r>
          </w:p>
        </w:tc>
      </w:tr>
      <w:tr>
        <w:trPr>
          <w:trHeight w:val="264" w:hRule="atLeast"/>
        </w:trPr>
        <w:tc>
          <w:tcPr>
            <w:tcW w:w="7734" w:type="dxa"/>
          </w:tcPr>
          <w:p>
            <w:pPr>
              <w:pStyle w:val="TableParagraph"/>
              <w:spacing w:before="14"/>
              <w:ind w:left="331"/>
              <w:rPr>
                <w:sz w:val="20"/>
              </w:rPr>
            </w:pPr>
            <w:r>
              <w:rPr>
                <w:color w:val="231F20"/>
                <w:sz w:val="20"/>
              </w:rPr>
              <w:t>Bank</w:t>
            </w:r>
            <w:r>
              <w:rPr>
                <w:color w:val="231F20"/>
                <w:spacing w:val="-1"/>
                <w:sz w:val="20"/>
              </w:rPr>
              <w:t> </w:t>
            </w:r>
            <w:r>
              <w:rPr>
                <w:color w:val="231F20"/>
                <w:spacing w:val="-2"/>
                <w:sz w:val="20"/>
              </w:rPr>
              <w:t>adjustment</w:t>
            </w:r>
          </w:p>
        </w:tc>
        <w:tc>
          <w:tcPr>
            <w:tcW w:w="1601" w:type="dxa"/>
          </w:tcPr>
          <w:p>
            <w:pPr>
              <w:pStyle w:val="TableParagraph"/>
              <w:spacing w:before="14"/>
              <w:ind w:left="-2" w:right="37"/>
              <w:jc w:val="right"/>
              <w:rPr>
                <w:sz w:val="20"/>
              </w:rPr>
            </w:pPr>
            <w:r>
              <w:rPr>
                <w:color w:val="231F20"/>
                <w:spacing w:val="-2"/>
                <w:sz w:val="20"/>
              </w:rPr>
              <w:t>(405,123)</w:t>
            </w:r>
          </w:p>
        </w:tc>
      </w:tr>
      <w:tr>
        <w:trPr>
          <w:trHeight w:val="264" w:hRule="atLeast"/>
        </w:trPr>
        <w:tc>
          <w:tcPr>
            <w:tcW w:w="7734" w:type="dxa"/>
          </w:tcPr>
          <w:p>
            <w:pPr>
              <w:pStyle w:val="TableParagraph"/>
              <w:spacing w:before="13"/>
              <w:ind w:left="331"/>
              <w:rPr>
                <w:sz w:val="20"/>
              </w:rPr>
            </w:pPr>
            <w:r>
              <w:rPr>
                <w:color w:val="231F20"/>
                <w:sz w:val="20"/>
              </w:rPr>
              <w:t>Benefit</w:t>
            </w:r>
            <w:r>
              <w:rPr>
                <w:color w:val="231F20"/>
                <w:spacing w:val="-4"/>
                <w:sz w:val="20"/>
              </w:rPr>
              <w:t> </w:t>
            </w:r>
            <w:r>
              <w:rPr>
                <w:color w:val="231F20"/>
                <w:sz w:val="20"/>
              </w:rPr>
              <w:t>Trust</w:t>
            </w:r>
            <w:r>
              <w:rPr>
                <w:color w:val="231F20"/>
                <w:spacing w:val="-1"/>
                <w:sz w:val="20"/>
              </w:rPr>
              <w:t> </w:t>
            </w:r>
            <w:r>
              <w:rPr>
                <w:color w:val="231F20"/>
                <w:spacing w:val="-2"/>
                <w:sz w:val="20"/>
              </w:rPr>
              <w:t>expenses</w:t>
            </w:r>
          </w:p>
        </w:tc>
        <w:tc>
          <w:tcPr>
            <w:tcW w:w="1601" w:type="dxa"/>
          </w:tcPr>
          <w:p>
            <w:pPr>
              <w:pStyle w:val="TableParagraph"/>
              <w:spacing w:before="13"/>
              <w:ind w:left="-2" w:right="105"/>
              <w:jc w:val="right"/>
              <w:rPr>
                <w:sz w:val="20"/>
              </w:rPr>
            </w:pPr>
            <w:r>
              <w:rPr>
                <w:color w:val="231F20"/>
                <w:spacing w:val="-2"/>
                <w:sz w:val="20"/>
              </w:rPr>
              <w:t>592,350</w:t>
            </w:r>
          </w:p>
        </w:tc>
      </w:tr>
      <w:tr>
        <w:trPr>
          <w:trHeight w:val="265" w:hRule="atLeast"/>
        </w:trPr>
        <w:tc>
          <w:tcPr>
            <w:tcW w:w="7734" w:type="dxa"/>
          </w:tcPr>
          <w:p>
            <w:pPr>
              <w:pStyle w:val="TableParagraph"/>
              <w:spacing w:before="14"/>
              <w:ind w:left="331"/>
              <w:rPr>
                <w:sz w:val="20"/>
              </w:rPr>
            </w:pPr>
            <w:r>
              <w:rPr>
                <w:color w:val="231F20"/>
                <w:sz w:val="20"/>
              </w:rPr>
              <w:t>OPEB</w:t>
            </w:r>
            <w:r>
              <w:rPr>
                <w:color w:val="231F20"/>
                <w:spacing w:val="-4"/>
                <w:sz w:val="20"/>
              </w:rPr>
              <w:t> </w:t>
            </w:r>
            <w:r>
              <w:rPr>
                <w:color w:val="231F20"/>
                <w:spacing w:val="-2"/>
                <w:sz w:val="20"/>
              </w:rPr>
              <w:t>expense</w:t>
            </w:r>
          </w:p>
        </w:tc>
        <w:tc>
          <w:tcPr>
            <w:tcW w:w="1601" w:type="dxa"/>
          </w:tcPr>
          <w:p>
            <w:pPr>
              <w:pStyle w:val="TableParagraph"/>
              <w:spacing w:before="14"/>
              <w:ind w:left="-2" w:right="105"/>
              <w:jc w:val="right"/>
              <w:rPr>
                <w:sz w:val="20"/>
              </w:rPr>
            </w:pPr>
            <w:r>
              <w:rPr>
                <w:color w:val="231F20"/>
                <w:spacing w:val="-2"/>
                <w:sz w:val="20"/>
              </w:rPr>
              <w:t>4,703,664</w:t>
            </w:r>
          </w:p>
        </w:tc>
      </w:tr>
      <w:tr>
        <w:trPr>
          <w:trHeight w:val="264" w:hRule="atLeast"/>
        </w:trPr>
        <w:tc>
          <w:tcPr>
            <w:tcW w:w="7734" w:type="dxa"/>
          </w:tcPr>
          <w:p>
            <w:pPr>
              <w:pStyle w:val="TableParagraph"/>
              <w:spacing w:before="14"/>
              <w:ind w:left="330"/>
              <w:rPr>
                <w:sz w:val="20"/>
              </w:rPr>
            </w:pPr>
            <w:r>
              <w:rPr>
                <w:color w:val="231F20"/>
                <w:sz w:val="20"/>
              </w:rPr>
              <w:t>Pension</w:t>
            </w:r>
            <w:r>
              <w:rPr>
                <w:color w:val="231F20"/>
                <w:spacing w:val="-2"/>
                <w:sz w:val="20"/>
              </w:rPr>
              <w:t> expense</w:t>
            </w:r>
          </w:p>
        </w:tc>
        <w:tc>
          <w:tcPr>
            <w:tcW w:w="1601" w:type="dxa"/>
          </w:tcPr>
          <w:p>
            <w:pPr>
              <w:pStyle w:val="TableParagraph"/>
              <w:spacing w:before="14"/>
              <w:ind w:left="-2" w:right="105"/>
              <w:jc w:val="right"/>
              <w:rPr>
                <w:sz w:val="20"/>
              </w:rPr>
            </w:pPr>
            <w:r>
              <w:rPr>
                <w:color w:val="231F20"/>
                <w:spacing w:val="-2"/>
                <w:sz w:val="20"/>
              </w:rPr>
              <w:t>1,908,754</w:t>
            </w:r>
          </w:p>
        </w:tc>
      </w:tr>
      <w:tr>
        <w:trPr>
          <w:trHeight w:val="264" w:hRule="atLeast"/>
        </w:trPr>
        <w:tc>
          <w:tcPr>
            <w:tcW w:w="7734" w:type="dxa"/>
          </w:tcPr>
          <w:p>
            <w:pPr>
              <w:pStyle w:val="TableParagraph"/>
              <w:spacing w:before="13"/>
              <w:ind w:left="330"/>
              <w:rPr>
                <w:sz w:val="20"/>
              </w:rPr>
            </w:pPr>
            <w:r>
              <w:rPr>
                <w:color w:val="231F20"/>
                <w:sz w:val="20"/>
              </w:rPr>
              <w:t>Payable</w:t>
            </w:r>
            <w:r>
              <w:rPr>
                <w:color w:val="231F20"/>
                <w:spacing w:val="-4"/>
                <w:sz w:val="20"/>
              </w:rPr>
              <w:t> </w:t>
            </w:r>
            <w:r>
              <w:rPr>
                <w:color w:val="231F20"/>
                <w:sz w:val="20"/>
              </w:rPr>
              <w:t>and</w:t>
            </w:r>
            <w:r>
              <w:rPr>
                <w:color w:val="231F20"/>
                <w:spacing w:val="-3"/>
                <w:sz w:val="20"/>
              </w:rPr>
              <w:t> </w:t>
            </w:r>
            <w:r>
              <w:rPr>
                <w:color w:val="231F20"/>
                <w:sz w:val="20"/>
              </w:rPr>
              <w:t>other</w:t>
            </w:r>
            <w:r>
              <w:rPr>
                <w:color w:val="231F20"/>
                <w:spacing w:val="-3"/>
                <w:sz w:val="20"/>
              </w:rPr>
              <w:t> </w:t>
            </w:r>
            <w:r>
              <w:rPr>
                <w:color w:val="231F20"/>
                <w:spacing w:val="-2"/>
                <w:sz w:val="20"/>
              </w:rPr>
              <w:t>adjustments</w:t>
            </w:r>
          </w:p>
        </w:tc>
        <w:tc>
          <w:tcPr>
            <w:tcW w:w="1601" w:type="dxa"/>
          </w:tcPr>
          <w:p>
            <w:pPr>
              <w:pStyle w:val="TableParagraph"/>
              <w:spacing w:before="13"/>
              <w:ind w:right="107"/>
              <w:jc w:val="right"/>
              <w:rPr>
                <w:sz w:val="20"/>
              </w:rPr>
            </w:pPr>
            <w:r>
              <w:rPr>
                <w:color w:val="231F20"/>
                <w:w w:val="100"/>
                <w:sz w:val="20"/>
              </w:rPr>
              <w:t>-</w:t>
            </w:r>
          </w:p>
        </w:tc>
      </w:tr>
      <w:tr>
        <w:trPr>
          <w:trHeight w:val="264" w:hRule="atLeast"/>
        </w:trPr>
        <w:tc>
          <w:tcPr>
            <w:tcW w:w="7734" w:type="dxa"/>
          </w:tcPr>
          <w:p>
            <w:pPr>
              <w:pStyle w:val="TableParagraph"/>
              <w:spacing w:before="14"/>
              <w:ind w:left="330"/>
              <w:rPr>
                <w:sz w:val="20"/>
              </w:rPr>
            </w:pPr>
            <w:r>
              <w:rPr>
                <w:color w:val="231F20"/>
                <w:sz w:val="20"/>
              </w:rPr>
              <w:t>Blended</w:t>
            </w:r>
            <w:r>
              <w:rPr>
                <w:color w:val="231F20"/>
                <w:spacing w:val="-7"/>
                <w:sz w:val="20"/>
              </w:rPr>
              <w:t> </w:t>
            </w:r>
            <w:r>
              <w:rPr>
                <w:color w:val="231F20"/>
                <w:sz w:val="20"/>
              </w:rPr>
              <w:t>component</w:t>
            </w:r>
            <w:r>
              <w:rPr>
                <w:color w:val="231F20"/>
                <w:spacing w:val="-4"/>
                <w:sz w:val="20"/>
              </w:rPr>
              <w:t> </w:t>
            </w:r>
            <w:r>
              <w:rPr>
                <w:color w:val="231F20"/>
                <w:sz w:val="20"/>
              </w:rPr>
              <w:t>unit</w:t>
            </w:r>
            <w:r>
              <w:rPr>
                <w:color w:val="231F20"/>
                <w:spacing w:val="-3"/>
                <w:sz w:val="20"/>
              </w:rPr>
              <w:t> </w:t>
            </w:r>
            <w:r>
              <w:rPr>
                <w:color w:val="231F20"/>
                <w:sz w:val="20"/>
              </w:rPr>
              <w:t>(amount</w:t>
            </w:r>
            <w:r>
              <w:rPr>
                <w:color w:val="231F20"/>
                <w:spacing w:val="-4"/>
                <w:sz w:val="20"/>
              </w:rPr>
              <w:t> </w:t>
            </w:r>
            <w:r>
              <w:rPr>
                <w:color w:val="231F20"/>
                <w:sz w:val="20"/>
              </w:rPr>
              <w:t>not</w:t>
            </w:r>
            <w:r>
              <w:rPr>
                <w:color w:val="231F20"/>
                <w:spacing w:val="-3"/>
                <w:sz w:val="20"/>
              </w:rPr>
              <w:t> </w:t>
            </w:r>
            <w:r>
              <w:rPr>
                <w:color w:val="231F20"/>
                <w:sz w:val="20"/>
              </w:rPr>
              <w:t>in</w:t>
            </w:r>
            <w:r>
              <w:rPr>
                <w:color w:val="231F20"/>
                <w:spacing w:val="-4"/>
                <w:sz w:val="20"/>
              </w:rPr>
              <w:t> </w:t>
            </w:r>
            <w:r>
              <w:rPr>
                <w:color w:val="231F20"/>
                <w:sz w:val="20"/>
              </w:rPr>
              <w:t>budgetary</w:t>
            </w:r>
            <w:r>
              <w:rPr>
                <w:color w:val="231F20"/>
                <w:spacing w:val="-3"/>
                <w:sz w:val="20"/>
              </w:rPr>
              <w:t> </w:t>
            </w:r>
            <w:r>
              <w:rPr>
                <w:color w:val="231F20"/>
                <w:spacing w:val="-2"/>
                <w:sz w:val="20"/>
              </w:rPr>
              <w:t>basis)</w:t>
            </w:r>
          </w:p>
        </w:tc>
        <w:tc>
          <w:tcPr>
            <w:tcW w:w="1601" w:type="dxa"/>
          </w:tcPr>
          <w:p>
            <w:pPr>
              <w:pStyle w:val="TableParagraph"/>
              <w:spacing w:before="14"/>
              <w:ind w:left="-2" w:right="111"/>
              <w:jc w:val="right"/>
              <w:rPr>
                <w:sz w:val="20"/>
              </w:rPr>
            </w:pPr>
            <w:r>
              <w:rPr>
                <w:color w:val="231F20"/>
                <w:spacing w:val="-2"/>
                <w:sz w:val="20"/>
              </w:rPr>
              <w:t>86,743</w:t>
            </w:r>
          </w:p>
        </w:tc>
      </w:tr>
      <w:tr>
        <w:trPr>
          <w:trHeight w:val="251" w:hRule="atLeast"/>
        </w:trPr>
        <w:tc>
          <w:tcPr>
            <w:tcW w:w="7734" w:type="dxa"/>
          </w:tcPr>
          <w:p>
            <w:pPr>
              <w:pStyle w:val="TableParagraph"/>
              <w:spacing w:line="218" w:lineRule="exact" w:before="13"/>
              <w:ind w:left="330"/>
              <w:rPr>
                <w:sz w:val="20"/>
              </w:rPr>
            </w:pPr>
            <w:r>
              <w:rPr>
                <w:color w:val="231F20"/>
                <w:sz w:val="20"/>
              </w:rPr>
              <w:t>Other</w:t>
            </w:r>
            <w:r>
              <w:rPr>
                <w:color w:val="231F20"/>
                <w:spacing w:val="-1"/>
                <w:sz w:val="20"/>
              </w:rPr>
              <w:t> </w:t>
            </w:r>
            <w:r>
              <w:rPr>
                <w:color w:val="231F20"/>
                <w:spacing w:val="-2"/>
                <w:sz w:val="20"/>
              </w:rPr>
              <w:t>adjustments</w:t>
            </w:r>
          </w:p>
        </w:tc>
        <w:tc>
          <w:tcPr>
            <w:tcW w:w="1601" w:type="dxa"/>
            <w:tcBorders>
              <w:bottom w:val="single" w:sz="8" w:space="0" w:color="231F20"/>
            </w:tcBorders>
          </w:tcPr>
          <w:p>
            <w:pPr>
              <w:pStyle w:val="TableParagraph"/>
              <w:spacing w:line="218" w:lineRule="exact" w:before="13"/>
              <w:ind w:left="-2" w:right="38"/>
              <w:jc w:val="right"/>
              <w:rPr>
                <w:sz w:val="20"/>
              </w:rPr>
            </w:pPr>
            <w:r>
              <w:rPr>
                <w:color w:val="231F20"/>
                <w:spacing w:val="-2"/>
                <w:sz w:val="20"/>
              </w:rPr>
              <w:t>(9,567)</w:t>
            </w:r>
          </w:p>
        </w:tc>
      </w:tr>
      <w:tr>
        <w:trPr>
          <w:trHeight w:val="268" w:hRule="atLeast"/>
        </w:trPr>
        <w:tc>
          <w:tcPr>
            <w:tcW w:w="7734" w:type="dxa"/>
          </w:tcPr>
          <w:p>
            <w:pPr>
              <w:pStyle w:val="TableParagraph"/>
              <w:spacing w:line="224" w:lineRule="exact" w:before="25"/>
              <w:ind w:left="50"/>
              <w:rPr>
                <w:sz w:val="20"/>
              </w:rPr>
            </w:pPr>
            <w:r>
              <w:rPr>
                <w:color w:val="231F20"/>
                <w:sz w:val="20"/>
              </w:rPr>
              <w:t>Total</w:t>
            </w:r>
            <w:r>
              <w:rPr>
                <w:color w:val="231F20"/>
                <w:spacing w:val="-1"/>
                <w:sz w:val="20"/>
              </w:rPr>
              <w:t> </w:t>
            </w:r>
            <w:r>
              <w:rPr>
                <w:color w:val="231F20"/>
                <w:sz w:val="20"/>
              </w:rPr>
              <w:t>reconciling</w:t>
            </w:r>
            <w:r>
              <w:rPr>
                <w:color w:val="231F20"/>
                <w:spacing w:val="-1"/>
                <w:sz w:val="20"/>
              </w:rPr>
              <w:t> </w:t>
            </w:r>
            <w:r>
              <w:rPr>
                <w:color w:val="231F20"/>
                <w:spacing w:val="-2"/>
                <w:sz w:val="20"/>
              </w:rPr>
              <w:t>items</w:t>
            </w:r>
          </w:p>
        </w:tc>
        <w:tc>
          <w:tcPr>
            <w:tcW w:w="1601" w:type="dxa"/>
            <w:tcBorders>
              <w:top w:val="single" w:sz="8" w:space="0" w:color="231F20"/>
              <w:bottom w:val="double" w:sz="8" w:space="0" w:color="231F20"/>
            </w:tcBorders>
          </w:tcPr>
          <w:p>
            <w:pPr>
              <w:pStyle w:val="TableParagraph"/>
              <w:tabs>
                <w:tab w:pos="430" w:val="left" w:leader="none"/>
              </w:tabs>
              <w:spacing w:line="224" w:lineRule="exact" w:before="25"/>
              <w:ind w:right="39"/>
              <w:jc w:val="right"/>
              <w:rPr>
                <w:sz w:val="20"/>
              </w:rPr>
            </w:pPr>
            <w:r>
              <w:rPr>
                <w:color w:val="231F20"/>
                <w:spacing w:val="-10"/>
                <w:sz w:val="20"/>
              </w:rPr>
              <w:t>$</w:t>
            </w:r>
            <w:r>
              <w:rPr>
                <w:color w:val="231F20"/>
                <w:sz w:val="20"/>
              </w:rPr>
              <w:tab/>
            </w:r>
            <w:r>
              <w:rPr>
                <w:color w:val="231F20"/>
                <w:spacing w:val="-2"/>
                <w:sz w:val="20"/>
              </w:rPr>
              <w:t>(3,080,903)</w:t>
            </w:r>
          </w:p>
        </w:tc>
      </w:tr>
    </w:tbl>
    <w:p>
      <w:pPr>
        <w:spacing w:after="0" w:line="224" w:lineRule="exact"/>
        <w:jc w:val="right"/>
        <w:rPr>
          <w:sz w:val="20"/>
        </w:rPr>
        <w:sectPr>
          <w:type w:val="continuous"/>
          <w:pgSz w:w="12240" w:h="15840"/>
          <w:pgMar w:header="1282" w:footer="1097" w:top="1460" w:bottom="280" w:left="0" w:right="580"/>
        </w:sectPr>
      </w:pPr>
    </w:p>
    <w:p>
      <w:pPr>
        <w:pStyle w:val="BodyText"/>
        <w:spacing w:line="254" w:lineRule="auto" w:before="1"/>
        <w:ind w:left="1768" w:hanging="141"/>
      </w:pPr>
      <w:r>
        <w:rPr>
          <w:color w:val="231F20"/>
        </w:rPr>
        <w:t>Total</w:t>
      </w:r>
      <w:r>
        <w:rPr>
          <w:color w:val="231F20"/>
          <w:spacing w:val="-5"/>
        </w:rPr>
        <w:t> </w:t>
      </w:r>
      <w:r>
        <w:rPr>
          <w:color w:val="231F20"/>
        </w:rPr>
        <w:t>reconciled</w:t>
      </w:r>
      <w:r>
        <w:rPr>
          <w:color w:val="231F20"/>
          <w:spacing w:val="-5"/>
        </w:rPr>
        <w:t> </w:t>
      </w:r>
      <w:r>
        <w:rPr>
          <w:color w:val="231F20"/>
        </w:rPr>
        <w:t>unrestricted</w:t>
      </w:r>
      <w:r>
        <w:rPr>
          <w:color w:val="231F20"/>
          <w:spacing w:val="-5"/>
        </w:rPr>
        <w:t> </w:t>
      </w:r>
      <w:r>
        <w:rPr>
          <w:color w:val="231F20"/>
        </w:rPr>
        <w:t>and</w:t>
      </w:r>
      <w:r>
        <w:rPr>
          <w:color w:val="231F20"/>
          <w:spacing w:val="-5"/>
        </w:rPr>
        <w:t> </w:t>
      </w:r>
      <w:r>
        <w:rPr>
          <w:color w:val="231F20"/>
        </w:rPr>
        <w:t>restricted</w:t>
      </w:r>
      <w:r>
        <w:rPr>
          <w:color w:val="231F20"/>
          <w:spacing w:val="-5"/>
        </w:rPr>
        <w:t> </w:t>
      </w:r>
      <w:r>
        <w:rPr>
          <w:color w:val="231F20"/>
        </w:rPr>
        <w:t>expenditures</w:t>
      </w:r>
      <w:r>
        <w:rPr>
          <w:color w:val="231F20"/>
          <w:spacing w:val="-5"/>
        </w:rPr>
        <w:t> </w:t>
      </w:r>
      <w:r>
        <w:rPr>
          <w:color w:val="231F20"/>
        </w:rPr>
        <w:t>per budgetary basis</w:t>
      </w:r>
    </w:p>
    <w:p>
      <w:pPr>
        <w:spacing w:line="240" w:lineRule="auto" w:before="4"/>
        <w:rPr>
          <w:sz w:val="21"/>
        </w:rPr>
      </w:pPr>
      <w:r>
        <w:rPr/>
        <w:br w:type="column"/>
      </w:r>
      <w:r>
        <w:rPr>
          <w:sz w:val="21"/>
        </w:rPr>
      </w:r>
    </w:p>
    <w:p>
      <w:pPr>
        <w:pStyle w:val="BodyText"/>
        <w:ind w:left="1627"/>
      </w:pPr>
      <w:r>
        <w:rPr>
          <w:color w:val="231F20"/>
        </w:rPr>
        <w:t>$</w:t>
      </w:r>
      <w:r>
        <w:rPr>
          <w:color w:val="231F20"/>
          <w:spacing w:val="78"/>
          <w:w w:val="150"/>
        </w:rPr>
        <w:t> </w:t>
      </w:r>
      <w:r>
        <w:rPr>
          <w:color w:val="231F20"/>
          <w:spacing w:val="-2"/>
        </w:rPr>
        <w:t>166,477,729</w:t>
      </w:r>
    </w:p>
    <w:p>
      <w:pPr>
        <w:spacing w:after="0"/>
        <w:sectPr>
          <w:type w:val="continuous"/>
          <w:pgSz w:w="12240" w:h="15840"/>
          <w:pgMar w:header="1282" w:footer="1097" w:top="1460" w:bottom="280" w:left="0" w:right="580"/>
          <w:cols w:num="2" w:equalWidth="0">
            <w:col w:w="7002" w:space="647"/>
            <w:col w:w="4011"/>
          </w:cols>
        </w:sectPr>
      </w:pPr>
    </w:p>
    <w:p>
      <w:pPr>
        <w:pStyle w:val="BodyText"/>
        <w:spacing w:line="57" w:lineRule="exact"/>
        <w:ind w:left="9171"/>
        <w:rPr>
          <w:sz w:val="5"/>
        </w:rPr>
      </w:pPr>
      <w:r>
        <w:rPr>
          <w:position w:val="0"/>
          <w:sz w:val="5"/>
        </w:rPr>
        <w:pict>
          <v:group style="width:80.05pt;height:2.9pt;mso-position-horizontal-relative:char;mso-position-vertical-relative:line" id="docshapegroup375" coordorigin="0,0" coordsize="1601,58">
            <v:shape style="position:absolute;left:0;top:0;width:1601;height:58" id="docshape376" coordorigin="0,0" coordsize="1601,58" path="m1601,38l0,38,0,58,1601,58,1601,38xm1601,0l0,0,0,19,1601,19,1601,0xe" filled="true" fillcolor="#231f20" stroked="false">
              <v:path arrowok="t"/>
              <v:fill type="solid"/>
            </v:shape>
          </v:group>
        </w:pict>
      </w:r>
      <w:r>
        <w:rPr>
          <w:position w:val="0"/>
          <w:sz w:val="5"/>
        </w:rPr>
      </w:r>
    </w:p>
    <w:p>
      <w:pPr>
        <w:pStyle w:val="BodyText"/>
        <w:spacing w:before="2"/>
        <w:rPr>
          <w:sz w:val="12"/>
        </w:rPr>
      </w:pPr>
    </w:p>
    <w:p>
      <w:pPr>
        <w:spacing w:after="0"/>
        <w:rPr>
          <w:sz w:val="12"/>
        </w:rPr>
        <w:sectPr>
          <w:type w:val="continuous"/>
          <w:pgSz w:w="12240" w:h="15840"/>
          <w:pgMar w:header="1282" w:footer="1097" w:top="1460" w:bottom="280" w:left="0" w:right="580"/>
        </w:sectPr>
      </w:pPr>
    </w:p>
    <w:p>
      <w:pPr>
        <w:pStyle w:val="BodyText"/>
        <w:spacing w:line="259" w:lineRule="auto" w:before="94"/>
        <w:ind w:left="1768" w:hanging="281"/>
      </w:pPr>
      <w:r>
        <w:rPr>
          <w:color w:val="231F20"/>
        </w:rPr>
        <w:t>Basic</w:t>
      </w:r>
      <w:r>
        <w:rPr>
          <w:color w:val="231F20"/>
          <w:spacing w:val="-14"/>
        </w:rPr>
        <w:t> </w:t>
      </w:r>
      <w:r>
        <w:rPr>
          <w:color w:val="231F20"/>
        </w:rPr>
        <w:t>Financial</w:t>
      </w:r>
      <w:r>
        <w:rPr>
          <w:color w:val="231F20"/>
          <w:spacing w:val="-14"/>
        </w:rPr>
        <w:t> </w:t>
      </w:r>
      <w:r>
        <w:rPr>
          <w:color w:val="231F20"/>
        </w:rPr>
        <w:t>Statements Operating</w:t>
      </w:r>
      <w:r>
        <w:rPr>
          <w:color w:val="231F20"/>
          <w:spacing w:val="-2"/>
        </w:rPr>
        <w:t> expenditures</w:t>
      </w:r>
    </w:p>
    <w:p>
      <w:pPr>
        <w:spacing w:line="240" w:lineRule="auto" w:before="9"/>
        <w:rPr>
          <w:sz w:val="29"/>
        </w:rPr>
      </w:pPr>
      <w:r>
        <w:rPr/>
        <w:br w:type="column"/>
      </w:r>
      <w:r>
        <w:rPr>
          <w:sz w:val="29"/>
        </w:rPr>
      </w:r>
    </w:p>
    <w:p>
      <w:pPr>
        <w:pStyle w:val="BodyText"/>
        <w:ind w:left="1487"/>
      </w:pPr>
      <w:r>
        <w:rPr>
          <w:color w:val="231F20"/>
        </w:rPr>
        <w:t>$</w:t>
      </w:r>
      <w:r>
        <w:rPr>
          <w:color w:val="231F20"/>
          <w:spacing w:val="79"/>
          <w:w w:val="150"/>
        </w:rPr>
        <w:t> </w:t>
      </w:r>
      <w:r>
        <w:rPr>
          <w:color w:val="231F20"/>
          <w:spacing w:val="-2"/>
        </w:rPr>
        <w:t>166,477,729</w:t>
      </w:r>
    </w:p>
    <w:p>
      <w:pPr>
        <w:spacing w:after="0"/>
        <w:sectPr>
          <w:type w:val="continuous"/>
          <w:pgSz w:w="12240" w:h="15840"/>
          <w:pgMar w:header="1282" w:footer="1097" w:top="1460" w:bottom="280" w:left="0" w:right="580"/>
          <w:cols w:num="2" w:equalWidth="0">
            <w:col w:w="3943" w:space="3846"/>
            <w:col w:w="3871"/>
          </w:cols>
        </w:sectPr>
      </w:pPr>
    </w:p>
    <w:p>
      <w:pPr>
        <w:pStyle w:val="BodyText"/>
        <w:spacing w:line="21" w:lineRule="exact"/>
        <w:ind w:left="9170"/>
        <w:rPr>
          <w:sz w:val="2"/>
        </w:rPr>
      </w:pPr>
      <w:r>
        <w:rPr>
          <w:sz w:val="2"/>
        </w:rPr>
        <w:pict>
          <v:group style="width:80.05pt;height:1.05pt;mso-position-horizontal-relative:char;mso-position-vertical-relative:line" id="docshapegroup377" coordorigin="0,0" coordsize="1601,21">
            <v:line style="position:absolute" from="0,1" to="1601,1" stroked="true" strokeweight=".06pt" strokecolor="#231f20">
              <v:stroke dashstyle="solid"/>
            </v:line>
            <v:rect style="position:absolute;left:0;top:1;width:1601;height:20" id="docshape378" filled="true" fillcolor="#231f20" stroked="false">
              <v:fill type="solid"/>
            </v:rect>
          </v:group>
        </w:pict>
      </w:r>
      <w:r>
        <w:rPr>
          <w:sz w:val="2"/>
        </w:rPr>
      </w:r>
    </w:p>
    <w:p>
      <w:pPr>
        <w:pStyle w:val="BodyText"/>
        <w:spacing w:before="9"/>
        <w:rPr>
          <w:sz w:val="7"/>
        </w:rPr>
      </w:pPr>
    </w:p>
    <w:p>
      <w:pPr>
        <w:pStyle w:val="BodyText"/>
        <w:tabs>
          <w:tab w:pos="9276" w:val="left" w:leader="none"/>
        </w:tabs>
        <w:spacing w:before="94" w:after="8"/>
        <w:ind w:left="1487"/>
      </w:pPr>
      <w:r>
        <w:rPr>
          <w:color w:val="231F20"/>
        </w:rPr>
        <w:t>Total</w:t>
      </w:r>
      <w:r>
        <w:rPr>
          <w:color w:val="231F20"/>
          <w:spacing w:val="-4"/>
        </w:rPr>
        <w:t> </w:t>
      </w:r>
      <w:r>
        <w:rPr>
          <w:color w:val="231F20"/>
        </w:rPr>
        <w:t>unrestricted</w:t>
      </w:r>
      <w:r>
        <w:rPr>
          <w:color w:val="231F20"/>
          <w:spacing w:val="-2"/>
        </w:rPr>
        <w:t> </w:t>
      </w:r>
      <w:r>
        <w:rPr>
          <w:color w:val="231F20"/>
        </w:rPr>
        <w:t>and</w:t>
      </w:r>
      <w:r>
        <w:rPr>
          <w:color w:val="231F20"/>
          <w:spacing w:val="-2"/>
        </w:rPr>
        <w:t> </w:t>
      </w:r>
      <w:r>
        <w:rPr>
          <w:color w:val="231F20"/>
        </w:rPr>
        <w:t>restricted</w:t>
      </w:r>
      <w:r>
        <w:rPr>
          <w:color w:val="231F20"/>
          <w:spacing w:val="-1"/>
        </w:rPr>
        <w:t> </w:t>
      </w:r>
      <w:r>
        <w:rPr>
          <w:color w:val="231F20"/>
        </w:rPr>
        <w:t>expenditures</w:t>
      </w:r>
      <w:r>
        <w:rPr>
          <w:color w:val="231F20"/>
          <w:spacing w:val="-2"/>
        </w:rPr>
        <w:t> </w:t>
      </w:r>
      <w:r>
        <w:rPr>
          <w:color w:val="231F20"/>
        </w:rPr>
        <w:t>per</w:t>
      </w:r>
      <w:r>
        <w:rPr>
          <w:color w:val="231F20"/>
          <w:spacing w:val="-2"/>
        </w:rPr>
        <w:t> </w:t>
      </w:r>
      <w:r>
        <w:rPr>
          <w:color w:val="231F20"/>
        </w:rPr>
        <w:t>financial</w:t>
      </w:r>
      <w:r>
        <w:rPr>
          <w:color w:val="231F20"/>
          <w:spacing w:val="-1"/>
        </w:rPr>
        <w:t> </w:t>
      </w:r>
      <w:r>
        <w:rPr>
          <w:color w:val="231F20"/>
          <w:spacing w:val="-2"/>
        </w:rPr>
        <w:t>statements</w:t>
      </w:r>
      <w:r>
        <w:rPr>
          <w:color w:val="231F20"/>
        </w:rPr>
        <w:tab/>
        <w:t>$</w:t>
      </w:r>
      <w:r>
        <w:rPr>
          <w:color w:val="231F20"/>
          <w:spacing w:val="77"/>
          <w:w w:val="150"/>
        </w:rPr>
        <w:t> </w:t>
      </w:r>
      <w:r>
        <w:rPr>
          <w:color w:val="231F20"/>
          <w:spacing w:val="-2"/>
        </w:rPr>
        <w:t>166,477,729</w:t>
      </w:r>
    </w:p>
    <w:p>
      <w:pPr>
        <w:pStyle w:val="BodyText"/>
        <w:spacing w:line="57" w:lineRule="exact"/>
        <w:ind w:left="9171"/>
        <w:rPr>
          <w:sz w:val="5"/>
        </w:rPr>
      </w:pPr>
      <w:r>
        <w:rPr>
          <w:position w:val="0"/>
          <w:sz w:val="5"/>
        </w:rPr>
        <w:pict>
          <v:group style="width:80.05pt;height:2.9pt;mso-position-horizontal-relative:char;mso-position-vertical-relative:line" id="docshapegroup379" coordorigin="0,0" coordsize="1601,58">
            <v:shape style="position:absolute;left:0;top:0;width:1601;height:58" id="docshape380" coordorigin="0,0" coordsize="1601,58" path="m1601,38l0,38,0,58,1601,58,1601,38xm1601,0l0,0,0,19,1601,19,1601,0xe" filled="true" fillcolor="#231f20" stroked="false">
              <v:path arrowok="t"/>
              <v:fill type="solid"/>
            </v:shape>
          </v:group>
        </w:pict>
      </w:r>
      <w:r>
        <w:rPr>
          <w:position w:val="0"/>
          <w:sz w:val="5"/>
        </w:rPr>
      </w:r>
    </w:p>
    <w:p>
      <w:pPr>
        <w:pStyle w:val="BodyText"/>
      </w:pPr>
    </w:p>
    <w:p>
      <w:pPr>
        <w:pStyle w:val="Heading4"/>
        <w:spacing w:line="494" w:lineRule="exact" w:before="41"/>
        <w:ind w:left="1439" w:right="2097"/>
      </w:pPr>
      <w:r>
        <w:rPr>
          <w:color w:val="231F20"/>
        </w:rPr>
        <w:t>Note</w:t>
      </w:r>
      <w:r>
        <w:rPr>
          <w:color w:val="231F20"/>
          <w:spacing w:val="-4"/>
        </w:rPr>
        <w:t> </w:t>
      </w:r>
      <w:r>
        <w:rPr>
          <w:color w:val="231F20"/>
        </w:rPr>
        <w:t>15</w:t>
      </w:r>
      <w:r>
        <w:rPr>
          <w:color w:val="231F20"/>
          <w:spacing w:val="-4"/>
        </w:rPr>
        <w:t> </w:t>
      </w:r>
      <w:r>
        <w:rPr>
          <w:color w:val="231F20"/>
        </w:rPr>
        <w:t>–</w:t>
      </w:r>
      <w:r>
        <w:rPr>
          <w:color w:val="231F20"/>
          <w:spacing w:val="-4"/>
        </w:rPr>
        <w:t> </w:t>
      </w:r>
      <w:r>
        <w:rPr>
          <w:color w:val="231F20"/>
        </w:rPr>
        <w:t>Discretely</w:t>
      </w:r>
      <w:r>
        <w:rPr>
          <w:color w:val="231F20"/>
          <w:spacing w:val="-4"/>
        </w:rPr>
        <w:t> </w:t>
      </w:r>
      <w:r>
        <w:rPr>
          <w:color w:val="231F20"/>
        </w:rPr>
        <w:t>Presented</w:t>
      </w:r>
      <w:r>
        <w:rPr>
          <w:color w:val="231F20"/>
          <w:spacing w:val="-4"/>
        </w:rPr>
        <w:t> </w:t>
      </w:r>
      <w:r>
        <w:rPr>
          <w:color w:val="231F20"/>
        </w:rPr>
        <w:t>Component</w:t>
      </w:r>
      <w:r>
        <w:rPr>
          <w:color w:val="231F20"/>
          <w:spacing w:val="-3"/>
        </w:rPr>
        <w:t> </w:t>
      </w:r>
      <w:r>
        <w:rPr>
          <w:color w:val="231F20"/>
        </w:rPr>
        <w:t>Unit</w:t>
      </w:r>
      <w:r>
        <w:rPr>
          <w:color w:val="231F20"/>
          <w:spacing w:val="-5"/>
        </w:rPr>
        <w:t> </w:t>
      </w:r>
      <w:r>
        <w:rPr>
          <w:color w:val="231F20"/>
        </w:rPr>
        <w:t>–</w:t>
      </w:r>
      <w:r>
        <w:rPr>
          <w:color w:val="231F20"/>
          <w:spacing w:val="-4"/>
        </w:rPr>
        <w:t> </w:t>
      </w:r>
      <w:r>
        <w:rPr>
          <w:color w:val="231F20"/>
        </w:rPr>
        <w:t>The</w:t>
      </w:r>
      <w:r>
        <w:rPr>
          <w:color w:val="231F20"/>
          <w:spacing w:val="-4"/>
        </w:rPr>
        <w:t> </w:t>
      </w:r>
      <w:r>
        <w:rPr>
          <w:color w:val="231F20"/>
        </w:rPr>
        <w:t>New</w:t>
      </w:r>
      <w:r>
        <w:rPr>
          <w:color w:val="231F20"/>
          <w:spacing w:val="-4"/>
        </w:rPr>
        <w:t> </w:t>
      </w:r>
      <w:r>
        <w:rPr>
          <w:color w:val="231F20"/>
        </w:rPr>
        <w:t>Mexico</w:t>
      </w:r>
      <w:r>
        <w:rPr>
          <w:color w:val="231F20"/>
          <w:spacing w:val="-5"/>
        </w:rPr>
        <w:t> </w:t>
      </w:r>
      <w:r>
        <w:rPr>
          <w:color w:val="231F20"/>
        </w:rPr>
        <w:t>Tech</w:t>
      </w:r>
      <w:r>
        <w:rPr>
          <w:color w:val="231F20"/>
          <w:spacing w:val="-4"/>
        </w:rPr>
        <w:t> </w:t>
      </w:r>
      <w:r>
        <w:rPr>
          <w:color w:val="231F20"/>
        </w:rPr>
        <w:t>Foundation Summary of Significant Accounting Policies</w:t>
      </w:r>
    </w:p>
    <w:p>
      <w:pPr>
        <w:spacing w:line="207" w:lineRule="exact" w:before="0"/>
        <w:ind w:left="1439" w:right="0" w:firstLine="0"/>
        <w:jc w:val="left"/>
        <w:rPr>
          <w:sz w:val="20"/>
        </w:rPr>
      </w:pPr>
      <w:r>
        <w:rPr>
          <w:i/>
          <w:color w:val="231F20"/>
          <w:sz w:val="20"/>
        </w:rPr>
        <w:t>Revenue</w:t>
      </w:r>
      <w:r>
        <w:rPr>
          <w:i/>
          <w:color w:val="231F20"/>
          <w:spacing w:val="-6"/>
          <w:sz w:val="20"/>
        </w:rPr>
        <w:t> </w:t>
      </w:r>
      <w:r>
        <w:rPr>
          <w:i/>
          <w:color w:val="231F20"/>
          <w:sz w:val="20"/>
        </w:rPr>
        <w:t>and</w:t>
      </w:r>
      <w:r>
        <w:rPr>
          <w:i/>
          <w:color w:val="231F20"/>
          <w:spacing w:val="-5"/>
          <w:sz w:val="20"/>
        </w:rPr>
        <w:t> </w:t>
      </w:r>
      <w:r>
        <w:rPr>
          <w:i/>
          <w:color w:val="231F20"/>
          <w:sz w:val="20"/>
        </w:rPr>
        <w:t>Cost</w:t>
      </w:r>
      <w:r>
        <w:rPr>
          <w:i/>
          <w:color w:val="231F20"/>
          <w:spacing w:val="-3"/>
          <w:sz w:val="20"/>
        </w:rPr>
        <w:t> </w:t>
      </w:r>
      <w:r>
        <w:rPr>
          <w:i/>
          <w:color w:val="231F20"/>
          <w:sz w:val="20"/>
        </w:rPr>
        <w:t>Recognition</w:t>
      </w:r>
      <w:r>
        <w:rPr>
          <w:i/>
          <w:color w:val="231F20"/>
          <w:spacing w:val="-2"/>
          <w:sz w:val="20"/>
        </w:rPr>
        <w:t> </w:t>
      </w:r>
      <w:r>
        <w:rPr>
          <w:color w:val="231F20"/>
          <w:sz w:val="20"/>
        </w:rPr>
        <w:t>–</w:t>
      </w:r>
      <w:r>
        <w:rPr>
          <w:color w:val="231F20"/>
          <w:spacing w:val="-3"/>
          <w:sz w:val="20"/>
        </w:rPr>
        <w:t> </w:t>
      </w:r>
      <w:r>
        <w:rPr>
          <w:color w:val="231F20"/>
          <w:sz w:val="20"/>
        </w:rPr>
        <w:t>The</w:t>
      </w:r>
      <w:r>
        <w:rPr>
          <w:color w:val="231F20"/>
          <w:spacing w:val="-4"/>
          <w:sz w:val="20"/>
        </w:rPr>
        <w:t> </w:t>
      </w:r>
      <w:r>
        <w:rPr>
          <w:color w:val="231F20"/>
          <w:sz w:val="20"/>
        </w:rPr>
        <w:t>Foundation's</w:t>
      </w:r>
      <w:r>
        <w:rPr>
          <w:color w:val="231F20"/>
          <w:spacing w:val="-3"/>
          <w:sz w:val="20"/>
        </w:rPr>
        <w:t> </w:t>
      </w:r>
      <w:r>
        <w:rPr>
          <w:color w:val="231F20"/>
          <w:sz w:val="20"/>
        </w:rPr>
        <w:t>financial</w:t>
      </w:r>
      <w:r>
        <w:rPr>
          <w:color w:val="231F20"/>
          <w:spacing w:val="-4"/>
          <w:sz w:val="20"/>
        </w:rPr>
        <w:t> </w:t>
      </w:r>
      <w:r>
        <w:rPr>
          <w:color w:val="231F20"/>
          <w:sz w:val="20"/>
        </w:rPr>
        <w:t>statements</w:t>
      </w:r>
      <w:r>
        <w:rPr>
          <w:color w:val="231F20"/>
          <w:spacing w:val="-3"/>
          <w:sz w:val="20"/>
        </w:rPr>
        <w:t> </w:t>
      </w:r>
      <w:r>
        <w:rPr>
          <w:color w:val="231F20"/>
          <w:sz w:val="20"/>
        </w:rPr>
        <w:t>are</w:t>
      </w:r>
      <w:r>
        <w:rPr>
          <w:color w:val="231F20"/>
          <w:spacing w:val="-4"/>
          <w:sz w:val="20"/>
        </w:rPr>
        <w:t> </w:t>
      </w:r>
      <w:r>
        <w:rPr>
          <w:color w:val="231F20"/>
          <w:sz w:val="20"/>
        </w:rPr>
        <w:t>reported</w:t>
      </w:r>
      <w:r>
        <w:rPr>
          <w:color w:val="231F20"/>
          <w:spacing w:val="-3"/>
          <w:sz w:val="20"/>
        </w:rPr>
        <w:t> </w:t>
      </w:r>
      <w:r>
        <w:rPr>
          <w:color w:val="231F20"/>
          <w:sz w:val="20"/>
        </w:rPr>
        <w:t>using</w:t>
      </w:r>
      <w:r>
        <w:rPr>
          <w:color w:val="231F20"/>
          <w:spacing w:val="-4"/>
          <w:sz w:val="20"/>
        </w:rPr>
        <w:t> </w:t>
      </w:r>
      <w:r>
        <w:rPr>
          <w:color w:val="231F20"/>
          <w:sz w:val="20"/>
        </w:rPr>
        <w:t>the</w:t>
      </w:r>
      <w:r>
        <w:rPr>
          <w:color w:val="231F20"/>
          <w:spacing w:val="-4"/>
          <w:sz w:val="20"/>
        </w:rPr>
        <w:t> </w:t>
      </w:r>
      <w:r>
        <w:rPr>
          <w:color w:val="231F20"/>
          <w:spacing w:val="-2"/>
          <w:sz w:val="20"/>
        </w:rPr>
        <w:t>economic</w:t>
      </w:r>
    </w:p>
    <w:p>
      <w:pPr>
        <w:pStyle w:val="BodyText"/>
        <w:spacing w:line="276" w:lineRule="auto" w:before="35"/>
        <w:ind w:left="1439" w:right="1505"/>
      </w:pPr>
      <w:r>
        <w:rPr>
          <w:color w:val="231F20"/>
        </w:rPr>
        <w:t>resources measurement focus and the full accrual basis of accounting. Accordingly, revenues are recognized</w:t>
      </w:r>
      <w:r>
        <w:rPr>
          <w:color w:val="231F20"/>
          <w:spacing w:val="-3"/>
        </w:rPr>
        <w:t> </w:t>
      </w:r>
      <w:r>
        <w:rPr>
          <w:color w:val="231F20"/>
        </w:rPr>
        <w:t>when</w:t>
      </w:r>
      <w:r>
        <w:rPr>
          <w:color w:val="231F20"/>
          <w:spacing w:val="-3"/>
        </w:rPr>
        <w:t> </w:t>
      </w:r>
      <w:r>
        <w:rPr>
          <w:color w:val="231F20"/>
        </w:rPr>
        <w:t>they</w:t>
      </w:r>
      <w:r>
        <w:rPr>
          <w:color w:val="231F20"/>
          <w:spacing w:val="-2"/>
        </w:rPr>
        <w:t> </w:t>
      </w:r>
      <w:r>
        <w:rPr>
          <w:color w:val="231F20"/>
        </w:rPr>
        <w:t>are</w:t>
      </w:r>
      <w:r>
        <w:rPr>
          <w:color w:val="231F20"/>
          <w:spacing w:val="-4"/>
        </w:rPr>
        <w:t> </w:t>
      </w:r>
      <w:r>
        <w:rPr>
          <w:color w:val="231F20"/>
        </w:rPr>
        <w:t>earned</w:t>
      </w:r>
      <w:r>
        <w:rPr>
          <w:color w:val="231F20"/>
          <w:spacing w:val="-3"/>
        </w:rPr>
        <w:t> </w:t>
      </w:r>
      <w:r>
        <w:rPr>
          <w:color w:val="231F20"/>
        </w:rPr>
        <w:t>and</w:t>
      </w:r>
      <w:r>
        <w:rPr>
          <w:color w:val="231F20"/>
          <w:spacing w:val="-3"/>
        </w:rPr>
        <w:t> </w:t>
      </w:r>
      <w:r>
        <w:rPr>
          <w:color w:val="231F20"/>
        </w:rPr>
        <w:t>expenses</w:t>
      </w:r>
      <w:r>
        <w:rPr>
          <w:color w:val="231F20"/>
          <w:spacing w:val="-3"/>
        </w:rPr>
        <w:t> </w:t>
      </w:r>
      <w:r>
        <w:rPr>
          <w:color w:val="231F20"/>
        </w:rPr>
        <w:t>are</w:t>
      </w:r>
      <w:r>
        <w:rPr>
          <w:color w:val="231F20"/>
          <w:spacing w:val="-3"/>
        </w:rPr>
        <w:t> </w:t>
      </w:r>
      <w:r>
        <w:rPr>
          <w:color w:val="231F20"/>
        </w:rPr>
        <w:t>recognized</w:t>
      </w:r>
      <w:r>
        <w:rPr>
          <w:color w:val="231F20"/>
          <w:spacing w:val="-3"/>
        </w:rPr>
        <w:t> </w:t>
      </w:r>
      <w:r>
        <w:rPr>
          <w:color w:val="231F20"/>
        </w:rPr>
        <w:t>as</w:t>
      </w:r>
      <w:r>
        <w:rPr>
          <w:color w:val="231F20"/>
          <w:spacing w:val="-3"/>
        </w:rPr>
        <w:t> </w:t>
      </w:r>
      <w:r>
        <w:rPr>
          <w:color w:val="231F20"/>
        </w:rPr>
        <w:t>soon</w:t>
      </w:r>
      <w:r>
        <w:rPr>
          <w:color w:val="231F20"/>
          <w:spacing w:val="-3"/>
        </w:rPr>
        <w:t> </w:t>
      </w:r>
      <w:r>
        <w:rPr>
          <w:color w:val="231F20"/>
        </w:rPr>
        <w:t>as</w:t>
      </w:r>
      <w:r>
        <w:rPr>
          <w:color w:val="231F20"/>
          <w:spacing w:val="-2"/>
        </w:rPr>
        <w:t> </w:t>
      </w:r>
      <w:r>
        <w:rPr>
          <w:color w:val="231F20"/>
        </w:rPr>
        <w:t>the</w:t>
      </w:r>
      <w:r>
        <w:rPr>
          <w:color w:val="231F20"/>
          <w:spacing w:val="-3"/>
        </w:rPr>
        <w:t> </w:t>
      </w:r>
      <w:r>
        <w:rPr>
          <w:color w:val="231F20"/>
        </w:rPr>
        <w:t>liability</w:t>
      </w:r>
      <w:r>
        <w:rPr>
          <w:color w:val="231F20"/>
          <w:spacing w:val="-3"/>
        </w:rPr>
        <w:t> </w:t>
      </w:r>
      <w:r>
        <w:rPr>
          <w:color w:val="231F20"/>
        </w:rPr>
        <w:t>is</w:t>
      </w:r>
      <w:r>
        <w:rPr>
          <w:color w:val="231F20"/>
          <w:spacing w:val="-3"/>
        </w:rPr>
        <w:t> </w:t>
      </w:r>
      <w:r>
        <w:rPr>
          <w:color w:val="231F20"/>
        </w:rPr>
        <w:t>incurred.</w:t>
      </w:r>
    </w:p>
    <w:p>
      <w:pPr>
        <w:pStyle w:val="BodyText"/>
        <w:rPr>
          <w:sz w:val="23"/>
        </w:rPr>
      </w:pPr>
    </w:p>
    <w:p>
      <w:pPr>
        <w:pStyle w:val="BodyText"/>
        <w:spacing w:line="276" w:lineRule="auto"/>
        <w:ind w:left="1439" w:right="891"/>
      </w:pPr>
      <w:r>
        <w:rPr>
          <w:color w:val="231F20"/>
        </w:rPr>
        <w:t>Operating</w:t>
      </w:r>
      <w:r>
        <w:rPr>
          <w:color w:val="231F20"/>
          <w:spacing w:val="-2"/>
        </w:rPr>
        <w:t> </w:t>
      </w:r>
      <w:r>
        <w:rPr>
          <w:color w:val="231F20"/>
        </w:rPr>
        <w:t>revenues</w:t>
      </w:r>
      <w:r>
        <w:rPr>
          <w:color w:val="231F20"/>
          <w:spacing w:val="-2"/>
        </w:rPr>
        <w:t> </w:t>
      </w:r>
      <w:r>
        <w:rPr>
          <w:color w:val="231F20"/>
        </w:rPr>
        <w:t>and</w:t>
      </w:r>
      <w:r>
        <w:rPr>
          <w:color w:val="231F20"/>
          <w:spacing w:val="-2"/>
        </w:rPr>
        <w:t> </w:t>
      </w:r>
      <w:r>
        <w:rPr>
          <w:color w:val="231F20"/>
        </w:rPr>
        <w:t>contributions</w:t>
      </w:r>
      <w:r>
        <w:rPr>
          <w:color w:val="231F20"/>
          <w:spacing w:val="-2"/>
        </w:rPr>
        <w:t> </w:t>
      </w:r>
      <w:r>
        <w:rPr>
          <w:color w:val="231F20"/>
        </w:rPr>
        <w:t>are</w:t>
      </w:r>
      <w:r>
        <w:rPr>
          <w:color w:val="231F20"/>
          <w:spacing w:val="-2"/>
        </w:rPr>
        <w:t> </w:t>
      </w:r>
      <w:r>
        <w:rPr>
          <w:color w:val="231F20"/>
        </w:rPr>
        <w:t>those</w:t>
      </w:r>
      <w:r>
        <w:rPr>
          <w:color w:val="231F20"/>
          <w:spacing w:val="-3"/>
        </w:rPr>
        <w:t> </w:t>
      </w:r>
      <w:r>
        <w:rPr>
          <w:color w:val="231F20"/>
        </w:rPr>
        <w:t>received</w:t>
      </w:r>
      <w:r>
        <w:rPr>
          <w:color w:val="231F20"/>
          <w:spacing w:val="-2"/>
        </w:rPr>
        <w:t> </w:t>
      </w:r>
      <w:r>
        <w:rPr>
          <w:color w:val="231F20"/>
        </w:rPr>
        <w:t>by</w:t>
      </w:r>
      <w:r>
        <w:rPr>
          <w:color w:val="231F20"/>
          <w:spacing w:val="-1"/>
        </w:rPr>
        <w:t> </w:t>
      </w:r>
      <w:r>
        <w:rPr>
          <w:color w:val="231F20"/>
        </w:rPr>
        <w:t>the</w:t>
      </w:r>
      <w:r>
        <w:rPr>
          <w:color w:val="231F20"/>
          <w:spacing w:val="-2"/>
        </w:rPr>
        <w:t> </w:t>
      </w:r>
      <w:r>
        <w:rPr>
          <w:color w:val="231F20"/>
        </w:rPr>
        <w:t>Foundation</w:t>
      </w:r>
      <w:r>
        <w:rPr>
          <w:color w:val="231F20"/>
          <w:spacing w:val="-2"/>
        </w:rPr>
        <w:t> </w:t>
      </w:r>
      <w:r>
        <w:rPr>
          <w:color w:val="231F20"/>
        </w:rPr>
        <w:t>for</w:t>
      </w:r>
      <w:r>
        <w:rPr>
          <w:color w:val="231F20"/>
          <w:spacing w:val="-2"/>
        </w:rPr>
        <w:t> </w:t>
      </w:r>
      <w:r>
        <w:rPr>
          <w:color w:val="231F20"/>
        </w:rPr>
        <w:t>events</w:t>
      </w:r>
      <w:r>
        <w:rPr>
          <w:color w:val="231F20"/>
          <w:spacing w:val="-2"/>
        </w:rPr>
        <w:t> </w:t>
      </w:r>
      <w:r>
        <w:rPr>
          <w:color w:val="231F20"/>
        </w:rPr>
        <w:t>and</w:t>
      </w:r>
      <w:r>
        <w:rPr>
          <w:color w:val="231F20"/>
          <w:spacing w:val="-2"/>
        </w:rPr>
        <w:t> </w:t>
      </w:r>
      <w:r>
        <w:rPr>
          <w:color w:val="231F20"/>
        </w:rPr>
        <w:t>activities</w:t>
      </w:r>
      <w:r>
        <w:rPr>
          <w:color w:val="231F20"/>
          <w:spacing w:val="-2"/>
        </w:rPr>
        <w:t> </w:t>
      </w:r>
      <w:r>
        <w:rPr>
          <w:color w:val="231F20"/>
        </w:rPr>
        <w:t>that relate</w:t>
      </w:r>
      <w:r>
        <w:rPr>
          <w:color w:val="231F20"/>
          <w:spacing w:val="-3"/>
        </w:rPr>
        <w:t> </w:t>
      </w:r>
      <w:r>
        <w:rPr>
          <w:color w:val="231F20"/>
        </w:rPr>
        <w:t>directly</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Foundation,</w:t>
      </w:r>
      <w:r>
        <w:rPr>
          <w:color w:val="231F20"/>
          <w:spacing w:val="-3"/>
        </w:rPr>
        <w:t> </w:t>
      </w:r>
      <w:r>
        <w:rPr>
          <w:color w:val="231F20"/>
        </w:rPr>
        <w:t>and</w:t>
      </w:r>
      <w:r>
        <w:rPr>
          <w:color w:val="231F20"/>
          <w:spacing w:val="-3"/>
        </w:rPr>
        <w:t> </w:t>
      </w:r>
      <w:r>
        <w:rPr>
          <w:color w:val="231F20"/>
        </w:rPr>
        <w:t>operating</w:t>
      </w:r>
      <w:r>
        <w:rPr>
          <w:color w:val="231F20"/>
          <w:spacing w:val="-3"/>
        </w:rPr>
        <w:t> </w:t>
      </w:r>
      <w:r>
        <w:rPr>
          <w:color w:val="231F20"/>
        </w:rPr>
        <w:t>expenses</w:t>
      </w:r>
      <w:r>
        <w:rPr>
          <w:color w:val="231F20"/>
          <w:spacing w:val="-1"/>
        </w:rPr>
        <w:t> </w:t>
      </w:r>
      <w:r>
        <w:rPr>
          <w:color w:val="231F20"/>
        </w:rPr>
        <w:t>are</w:t>
      </w:r>
      <w:r>
        <w:rPr>
          <w:color w:val="231F20"/>
          <w:spacing w:val="-3"/>
        </w:rPr>
        <w:t> </w:t>
      </w:r>
      <w:r>
        <w:rPr>
          <w:color w:val="231F20"/>
        </w:rPr>
        <w:t>those</w:t>
      </w:r>
      <w:r>
        <w:rPr>
          <w:color w:val="231F20"/>
          <w:spacing w:val="-4"/>
        </w:rPr>
        <w:t> </w:t>
      </w:r>
      <w:r>
        <w:rPr>
          <w:color w:val="231F20"/>
        </w:rPr>
        <w:t>incurred</w:t>
      </w:r>
      <w:r>
        <w:rPr>
          <w:color w:val="231F20"/>
          <w:spacing w:val="-3"/>
        </w:rPr>
        <w:t> </w:t>
      </w:r>
      <w:r>
        <w:rPr>
          <w:color w:val="231F20"/>
        </w:rPr>
        <w:t>for</w:t>
      </w:r>
      <w:r>
        <w:rPr>
          <w:color w:val="231F20"/>
          <w:spacing w:val="-3"/>
        </w:rPr>
        <w:t> </w:t>
      </w:r>
      <w:r>
        <w:rPr>
          <w:color w:val="231F20"/>
        </w:rPr>
        <w:t>events</w:t>
      </w:r>
      <w:r>
        <w:rPr>
          <w:color w:val="231F20"/>
          <w:spacing w:val="-3"/>
        </w:rPr>
        <w:t> </w:t>
      </w:r>
      <w:r>
        <w:rPr>
          <w:color w:val="231F20"/>
        </w:rPr>
        <w:t>and</w:t>
      </w:r>
      <w:r>
        <w:rPr>
          <w:color w:val="231F20"/>
          <w:spacing w:val="-3"/>
        </w:rPr>
        <w:t> </w:t>
      </w:r>
      <w:r>
        <w:rPr>
          <w:color w:val="231F20"/>
        </w:rPr>
        <w:t>activities</w:t>
      </w:r>
      <w:r>
        <w:rPr>
          <w:color w:val="231F20"/>
          <w:spacing w:val="-2"/>
        </w:rPr>
        <w:t> </w:t>
      </w:r>
      <w:r>
        <w:rPr>
          <w:color w:val="231F20"/>
        </w:rPr>
        <w:t>that relate to administration, scholarships, and awards for students. Revenues, expenses, gains, and losses from investments are considered non-operating.</w:t>
      </w:r>
    </w:p>
    <w:p>
      <w:pPr>
        <w:spacing w:after="0" w:line="276" w:lineRule="auto"/>
        <w:sectPr>
          <w:type w:val="continuous"/>
          <w:pgSz w:w="12240" w:h="15840"/>
          <w:pgMar w:header="1282" w:footer="1097" w:top="1460" w:bottom="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6"/>
        </w:rPr>
      </w:pPr>
    </w:p>
    <w:p>
      <w:pPr>
        <w:pStyle w:val="BodyText"/>
        <w:spacing w:line="276" w:lineRule="auto"/>
        <w:ind w:left="1440" w:right="1505"/>
      </w:pPr>
      <w:r>
        <w:rPr>
          <w:i/>
          <w:color w:val="231F20"/>
        </w:rPr>
        <w:t>Classification</w:t>
      </w:r>
      <w:r>
        <w:rPr>
          <w:i/>
          <w:color w:val="231F20"/>
          <w:spacing w:val="-5"/>
        </w:rPr>
        <w:t> </w:t>
      </w:r>
      <w:r>
        <w:rPr>
          <w:i/>
          <w:color w:val="231F20"/>
        </w:rPr>
        <w:t>of</w:t>
      </w:r>
      <w:r>
        <w:rPr>
          <w:i/>
          <w:color w:val="231F20"/>
          <w:spacing w:val="-4"/>
        </w:rPr>
        <w:t> </w:t>
      </w:r>
      <w:r>
        <w:rPr>
          <w:i/>
          <w:color w:val="231F20"/>
        </w:rPr>
        <w:t>Revenues</w:t>
      </w:r>
      <w:r>
        <w:rPr>
          <w:i/>
          <w:color w:val="231F20"/>
          <w:spacing w:val="-1"/>
        </w:rPr>
        <w:t> </w:t>
      </w:r>
      <w:r>
        <w:rPr>
          <w:color w:val="231F20"/>
        </w:rPr>
        <w:t>–</w:t>
      </w:r>
      <w:r>
        <w:rPr>
          <w:color w:val="231F20"/>
          <w:spacing w:val="-4"/>
        </w:rPr>
        <w:t> </w:t>
      </w:r>
      <w:r>
        <w:rPr>
          <w:color w:val="231F20"/>
        </w:rPr>
        <w:t>The</w:t>
      </w:r>
      <w:r>
        <w:rPr>
          <w:color w:val="231F20"/>
          <w:spacing w:val="-4"/>
        </w:rPr>
        <w:t> </w:t>
      </w:r>
      <w:r>
        <w:rPr>
          <w:color w:val="231F20"/>
        </w:rPr>
        <w:t>Foundation</w:t>
      </w:r>
      <w:r>
        <w:rPr>
          <w:color w:val="231F20"/>
          <w:spacing w:val="-4"/>
        </w:rPr>
        <w:t> </w:t>
      </w:r>
      <w:r>
        <w:rPr>
          <w:color w:val="231F20"/>
        </w:rPr>
        <w:t>has</w:t>
      </w:r>
      <w:r>
        <w:rPr>
          <w:color w:val="231F20"/>
          <w:spacing w:val="-4"/>
        </w:rPr>
        <w:t> </w:t>
      </w:r>
      <w:r>
        <w:rPr>
          <w:color w:val="231F20"/>
        </w:rPr>
        <w:t>classified</w:t>
      </w:r>
      <w:r>
        <w:rPr>
          <w:color w:val="231F20"/>
          <w:spacing w:val="-4"/>
        </w:rPr>
        <w:t> </w:t>
      </w:r>
      <w:r>
        <w:rPr>
          <w:color w:val="231F20"/>
        </w:rPr>
        <w:t>its</w:t>
      </w:r>
      <w:r>
        <w:rPr>
          <w:color w:val="231F20"/>
          <w:spacing w:val="-4"/>
        </w:rPr>
        <w:t> </w:t>
      </w:r>
      <w:r>
        <w:rPr>
          <w:color w:val="231F20"/>
        </w:rPr>
        <w:t>revenues</w:t>
      </w:r>
      <w:r>
        <w:rPr>
          <w:color w:val="231F20"/>
          <w:spacing w:val="-4"/>
        </w:rPr>
        <w:t> </w:t>
      </w:r>
      <w:r>
        <w:rPr>
          <w:color w:val="231F20"/>
        </w:rPr>
        <w:t>as</w:t>
      </w:r>
      <w:r>
        <w:rPr>
          <w:color w:val="231F20"/>
          <w:spacing w:val="-4"/>
        </w:rPr>
        <w:t> </w:t>
      </w:r>
      <w:r>
        <w:rPr>
          <w:color w:val="231F20"/>
        </w:rPr>
        <w:t>either</w:t>
      </w:r>
      <w:r>
        <w:rPr>
          <w:color w:val="231F20"/>
          <w:spacing w:val="-3"/>
        </w:rPr>
        <w:t> </w:t>
      </w:r>
      <w:r>
        <w:rPr>
          <w:color w:val="231F20"/>
        </w:rPr>
        <w:t>operating</w:t>
      </w:r>
      <w:r>
        <w:rPr>
          <w:color w:val="231F20"/>
          <w:spacing w:val="-4"/>
        </w:rPr>
        <w:t> </w:t>
      </w:r>
      <w:r>
        <w:rPr>
          <w:color w:val="231F20"/>
        </w:rPr>
        <w:t>or nonoperating according to the following criteria:</w:t>
      </w:r>
    </w:p>
    <w:p>
      <w:pPr>
        <w:pStyle w:val="BodyText"/>
        <w:rPr>
          <w:sz w:val="23"/>
        </w:rPr>
      </w:pPr>
    </w:p>
    <w:p>
      <w:pPr>
        <w:pStyle w:val="BodyText"/>
        <w:spacing w:line="276" w:lineRule="auto"/>
        <w:ind w:left="1440" w:right="1203" w:hanging="1"/>
        <w:jc w:val="both"/>
      </w:pPr>
      <w:r>
        <w:rPr>
          <w:i/>
          <w:color w:val="231F20"/>
        </w:rPr>
        <w:t>Operating</w:t>
      </w:r>
      <w:r>
        <w:rPr>
          <w:i/>
          <w:color w:val="231F20"/>
          <w:spacing w:val="-4"/>
        </w:rPr>
        <w:t> </w:t>
      </w:r>
      <w:r>
        <w:rPr>
          <w:i/>
          <w:color w:val="231F20"/>
        </w:rPr>
        <w:t>Revenues</w:t>
      </w:r>
      <w:r>
        <w:rPr>
          <w:i/>
          <w:color w:val="231F20"/>
          <w:spacing w:val="-2"/>
        </w:rPr>
        <w:t> </w:t>
      </w:r>
      <w:r>
        <w:rPr>
          <w:color w:val="231F20"/>
        </w:rPr>
        <w:t>–</w:t>
      </w:r>
      <w:r>
        <w:rPr>
          <w:color w:val="231F20"/>
          <w:spacing w:val="-4"/>
        </w:rPr>
        <w:t> </w:t>
      </w:r>
      <w:r>
        <w:rPr>
          <w:color w:val="231F20"/>
        </w:rPr>
        <w:t>Operating</w:t>
      </w:r>
      <w:r>
        <w:rPr>
          <w:color w:val="231F20"/>
          <w:spacing w:val="-5"/>
        </w:rPr>
        <w:t> </w:t>
      </w:r>
      <w:r>
        <w:rPr>
          <w:color w:val="231F20"/>
        </w:rPr>
        <w:t>revenues</w:t>
      </w:r>
      <w:r>
        <w:rPr>
          <w:color w:val="231F20"/>
          <w:spacing w:val="-4"/>
        </w:rPr>
        <w:t> </w:t>
      </w:r>
      <w:r>
        <w:rPr>
          <w:color w:val="231F20"/>
        </w:rPr>
        <w:t>include</w:t>
      </w:r>
      <w:r>
        <w:rPr>
          <w:color w:val="231F20"/>
          <w:spacing w:val="-4"/>
        </w:rPr>
        <w:t> </w:t>
      </w:r>
      <w:r>
        <w:rPr>
          <w:color w:val="231F20"/>
        </w:rPr>
        <w:t>activities</w:t>
      </w:r>
      <w:r>
        <w:rPr>
          <w:color w:val="231F20"/>
          <w:spacing w:val="-1"/>
        </w:rPr>
        <w:t> </w:t>
      </w:r>
      <w:r>
        <w:rPr>
          <w:color w:val="231F20"/>
        </w:rPr>
        <w:t>that</w:t>
      </w:r>
      <w:r>
        <w:rPr>
          <w:color w:val="231F20"/>
          <w:spacing w:val="-4"/>
        </w:rPr>
        <w:t> </w:t>
      </w:r>
      <w:r>
        <w:rPr>
          <w:color w:val="231F20"/>
        </w:rPr>
        <w:t>have</w:t>
      </w:r>
      <w:r>
        <w:rPr>
          <w:color w:val="231F20"/>
          <w:spacing w:val="-4"/>
        </w:rPr>
        <w:t> </w:t>
      </w:r>
      <w:r>
        <w:rPr>
          <w:color w:val="231F20"/>
        </w:rPr>
        <w:t>the</w:t>
      </w:r>
      <w:r>
        <w:rPr>
          <w:color w:val="231F20"/>
          <w:spacing w:val="-5"/>
        </w:rPr>
        <w:t> </w:t>
      </w:r>
      <w:r>
        <w:rPr>
          <w:color w:val="231F20"/>
        </w:rPr>
        <w:t>characteristics</w:t>
      </w:r>
      <w:r>
        <w:rPr>
          <w:color w:val="231F20"/>
          <w:spacing w:val="-4"/>
        </w:rPr>
        <w:t> </w:t>
      </w:r>
      <w:r>
        <w:rPr>
          <w:color w:val="231F20"/>
        </w:rPr>
        <w:t>of</w:t>
      </w:r>
      <w:r>
        <w:rPr>
          <w:color w:val="231F20"/>
          <w:spacing w:val="-4"/>
        </w:rPr>
        <w:t> </w:t>
      </w:r>
      <w:r>
        <w:rPr>
          <w:color w:val="231F20"/>
        </w:rPr>
        <w:t>exchange transactions</w:t>
      </w:r>
      <w:r>
        <w:rPr>
          <w:color w:val="231F20"/>
          <w:spacing w:val="-5"/>
        </w:rPr>
        <w:t> </w:t>
      </w:r>
      <w:r>
        <w:rPr>
          <w:color w:val="231F20"/>
        </w:rPr>
        <w:t>such</w:t>
      </w:r>
      <w:r>
        <w:rPr>
          <w:color w:val="231F20"/>
          <w:spacing w:val="-4"/>
        </w:rPr>
        <w:t> </w:t>
      </w:r>
      <w:r>
        <w:rPr>
          <w:color w:val="231F20"/>
        </w:rPr>
        <w:t>as</w:t>
      </w:r>
      <w:r>
        <w:rPr>
          <w:color w:val="231F20"/>
          <w:spacing w:val="-3"/>
        </w:rPr>
        <w:t> </w:t>
      </w:r>
      <w:r>
        <w:rPr>
          <w:color w:val="231F20"/>
        </w:rPr>
        <w:t>nonexchange</w:t>
      </w:r>
      <w:r>
        <w:rPr>
          <w:color w:val="231F20"/>
          <w:spacing w:val="-4"/>
        </w:rPr>
        <w:t> </w:t>
      </w:r>
      <w:r>
        <w:rPr>
          <w:color w:val="231F20"/>
        </w:rPr>
        <w:t>transactions</w:t>
      </w:r>
      <w:r>
        <w:rPr>
          <w:color w:val="231F20"/>
          <w:spacing w:val="-4"/>
        </w:rPr>
        <w:t> </w:t>
      </w:r>
      <w:r>
        <w:rPr>
          <w:color w:val="231F20"/>
        </w:rPr>
        <w:t>such</w:t>
      </w:r>
      <w:r>
        <w:rPr>
          <w:color w:val="231F20"/>
          <w:spacing w:val="-4"/>
        </w:rPr>
        <w:t> </w:t>
      </w:r>
      <w:r>
        <w:rPr>
          <w:color w:val="231F20"/>
        </w:rPr>
        <w:t>as</w:t>
      </w:r>
      <w:r>
        <w:rPr>
          <w:color w:val="231F20"/>
          <w:spacing w:val="-4"/>
        </w:rPr>
        <w:t> </w:t>
      </w:r>
      <w:r>
        <w:rPr>
          <w:color w:val="231F20"/>
        </w:rPr>
        <w:t>gifts</w:t>
      </w:r>
      <w:r>
        <w:rPr>
          <w:color w:val="231F20"/>
          <w:spacing w:val="-4"/>
        </w:rPr>
        <w:t> </w:t>
      </w:r>
      <w:r>
        <w:rPr>
          <w:color w:val="231F20"/>
        </w:rPr>
        <w:t>and</w:t>
      </w:r>
      <w:r>
        <w:rPr>
          <w:color w:val="231F20"/>
          <w:spacing w:val="-5"/>
        </w:rPr>
        <w:t> </w:t>
      </w:r>
      <w:r>
        <w:rPr>
          <w:color w:val="231F20"/>
        </w:rPr>
        <w:t>contributions.</w:t>
      </w:r>
      <w:r>
        <w:rPr>
          <w:color w:val="231F20"/>
          <w:spacing w:val="-5"/>
        </w:rPr>
        <w:t> </w:t>
      </w:r>
      <w:r>
        <w:rPr>
          <w:color w:val="231F20"/>
        </w:rPr>
        <w:t>Revenue</w:t>
      </w:r>
      <w:r>
        <w:rPr>
          <w:color w:val="231F20"/>
          <w:spacing w:val="-4"/>
        </w:rPr>
        <w:t> </w:t>
      </w:r>
      <w:r>
        <w:rPr>
          <w:color w:val="231F20"/>
        </w:rPr>
        <w:t>on</w:t>
      </w:r>
      <w:r>
        <w:rPr>
          <w:color w:val="231F20"/>
          <w:spacing w:val="-5"/>
        </w:rPr>
        <w:t> </w:t>
      </w:r>
      <w:r>
        <w:rPr>
          <w:color w:val="231F20"/>
        </w:rPr>
        <w:t>contracts and grants are recognized to the extent that the underlying exchange transaction has occurred.</w:t>
      </w:r>
    </w:p>
    <w:p>
      <w:pPr>
        <w:pStyle w:val="BodyText"/>
        <w:spacing w:line="230" w:lineRule="exact"/>
        <w:ind w:left="1440"/>
        <w:jc w:val="both"/>
      </w:pPr>
      <w:r>
        <w:rPr>
          <w:color w:val="231F20"/>
        </w:rPr>
        <w:t>Contributions</w:t>
      </w:r>
      <w:r>
        <w:rPr>
          <w:color w:val="231F20"/>
          <w:spacing w:val="-8"/>
        </w:rPr>
        <w:t> </w:t>
      </w:r>
      <w:r>
        <w:rPr>
          <w:color w:val="231F20"/>
        </w:rPr>
        <w:t>of</w:t>
      </w:r>
      <w:r>
        <w:rPr>
          <w:color w:val="231F20"/>
          <w:spacing w:val="-5"/>
        </w:rPr>
        <w:t> </w:t>
      </w:r>
      <w:r>
        <w:rPr>
          <w:color w:val="231F20"/>
        </w:rPr>
        <w:t>donated</w:t>
      </w:r>
      <w:r>
        <w:rPr>
          <w:color w:val="231F20"/>
          <w:spacing w:val="-5"/>
        </w:rPr>
        <w:t> </w:t>
      </w:r>
      <w:r>
        <w:rPr>
          <w:color w:val="231F20"/>
        </w:rPr>
        <w:t>noncash</w:t>
      </w:r>
      <w:r>
        <w:rPr>
          <w:color w:val="231F20"/>
          <w:spacing w:val="-5"/>
        </w:rPr>
        <w:t> </w:t>
      </w:r>
      <w:r>
        <w:rPr>
          <w:color w:val="231F20"/>
        </w:rPr>
        <w:t>assets</w:t>
      </w:r>
      <w:r>
        <w:rPr>
          <w:color w:val="231F20"/>
          <w:spacing w:val="-5"/>
        </w:rPr>
        <w:t> </w:t>
      </w:r>
      <w:r>
        <w:rPr>
          <w:color w:val="231F20"/>
        </w:rPr>
        <w:t>are</w:t>
      </w:r>
      <w:r>
        <w:rPr>
          <w:color w:val="231F20"/>
          <w:spacing w:val="-6"/>
        </w:rPr>
        <w:t> </w:t>
      </w:r>
      <w:r>
        <w:rPr>
          <w:color w:val="231F20"/>
        </w:rPr>
        <w:t>recorded</w:t>
      </w:r>
      <w:r>
        <w:rPr>
          <w:color w:val="231F20"/>
          <w:spacing w:val="-4"/>
        </w:rPr>
        <w:t> </w:t>
      </w:r>
      <w:r>
        <w:rPr>
          <w:color w:val="231F20"/>
        </w:rPr>
        <w:t>at</w:t>
      </w:r>
      <w:r>
        <w:rPr>
          <w:color w:val="231F20"/>
          <w:spacing w:val="-5"/>
        </w:rPr>
        <w:t> </w:t>
      </w:r>
      <w:r>
        <w:rPr>
          <w:color w:val="231F20"/>
        </w:rPr>
        <w:t>their</w:t>
      </w:r>
      <w:r>
        <w:rPr>
          <w:color w:val="231F20"/>
          <w:spacing w:val="-5"/>
        </w:rPr>
        <w:t> </w:t>
      </w:r>
      <w:r>
        <w:rPr>
          <w:color w:val="231F20"/>
        </w:rPr>
        <w:t>fair</w:t>
      </w:r>
      <w:r>
        <w:rPr>
          <w:color w:val="231F20"/>
          <w:spacing w:val="-6"/>
        </w:rPr>
        <w:t> </w:t>
      </w:r>
      <w:r>
        <w:rPr>
          <w:color w:val="231F20"/>
        </w:rPr>
        <w:t>values</w:t>
      </w:r>
      <w:r>
        <w:rPr>
          <w:color w:val="231F20"/>
          <w:spacing w:val="-5"/>
        </w:rPr>
        <w:t> </w:t>
      </w:r>
      <w:r>
        <w:rPr>
          <w:color w:val="231F20"/>
        </w:rPr>
        <w:t>in</w:t>
      </w:r>
      <w:r>
        <w:rPr>
          <w:color w:val="231F20"/>
          <w:spacing w:val="-5"/>
        </w:rPr>
        <w:t> </w:t>
      </w:r>
      <w:r>
        <w:rPr>
          <w:color w:val="231F20"/>
        </w:rPr>
        <w:t>the</w:t>
      </w:r>
      <w:r>
        <w:rPr>
          <w:color w:val="231F20"/>
          <w:spacing w:val="-6"/>
        </w:rPr>
        <w:t> </w:t>
      </w:r>
      <w:r>
        <w:rPr>
          <w:color w:val="231F20"/>
        </w:rPr>
        <w:t>period</w:t>
      </w:r>
      <w:r>
        <w:rPr>
          <w:color w:val="231F20"/>
          <w:spacing w:val="-5"/>
        </w:rPr>
        <w:t> </w:t>
      </w:r>
      <w:r>
        <w:rPr>
          <w:color w:val="231F20"/>
          <w:spacing w:val="-2"/>
        </w:rPr>
        <w:t>received.</w:t>
      </w:r>
    </w:p>
    <w:p>
      <w:pPr>
        <w:pStyle w:val="BodyText"/>
        <w:rPr>
          <w:sz w:val="26"/>
        </w:rPr>
      </w:pPr>
    </w:p>
    <w:p>
      <w:pPr>
        <w:pStyle w:val="BodyText"/>
        <w:spacing w:line="276" w:lineRule="auto"/>
        <w:ind w:left="1440" w:right="891" w:hanging="1"/>
      </w:pPr>
      <w:r>
        <w:rPr>
          <w:i/>
          <w:color w:val="231F20"/>
        </w:rPr>
        <w:t>Nonoperating Revenues </w:t>
      </w:r>
      <w:r>
        <w:rPr>
          <w:color w:val="231F20"/>
        </w:rPr>
        <w:t>– Nonoperating revenues include activities that have the characteristics of nonexchange</w:t>
      </w:r>
      <w:r>
        <w:rPr>
          <w:color w:val="231F20"/>
          <w:spacing w:val="-5"/>
        </w:rPr>
        <w:t> </w:t>
      </w:r>
      <w:r>
        <w:rPr>
          <w:color w:val="231F20"/>
        </w:rPr>
        <w:t>transactions,</w:t>
      </w:r>
      <w:r>
        <w:rPr>
          <w:color w:val="231F20"/>
          <w:spacing w:val="-5"/>
        </w:rPr>
        <w:t> </w:t>
      </w:r>
      <w:r>
        <w:rPr>
          <w:color w:val="231F20"/>
        </w:rPr>
        <w:t>including</w:t>
      </w:r>
      <w:r>
        <w:rPr>
          <w:color w:val="231F20"/>
          <w:spacing w:val="-4"/>
        </w:rPr>
        <w:t> </w:t>
      </w:r>
      <w:r>
        <w:rPr>
          <w:color w:val="231F20"/>
        </w:rPr>
        <w:t>other</w:t>
      </w:r>
      <w:r>
        <w:rPr>
          <w:color w:val="231F20"/>
          <w:spacing w:val="-4"/>
        </w:rPr>
        <w:t> </w:t>
      </w:r>
      <w:r>
        <w:rPr>
          <w:color w:val="231F20"/>
        </w:rPr>
        <w:t>revenue</w:t>
      </w:r>
      <w:r>
        <w:rPr>
          <w:color w:val="231F20"/>
          <w:spacing w:val="-5"/>
        </w:rPr>
        <w:t> </w:t>
      </w:r>
      <w:r>
        <w:rPr>
          <w:color w:val="231F20"/>
        </w:rPr>
        <w:t>sources</w:t>
      </w:r>
      <w:r>
        <w:rPr>
          <w:color w:val="231F20"/>
          <w:spacing w:val="-4"/>
        </w:rPr>
        <w:t> </w:t>
      </w:r>
      <w:r>
        <w:rPr>
          <w:color w:val="231F20"/>
        </w:rPr>
        <w:t>that</w:t>
      </w:r>
      <w:r>
        <w:rPr>
          <w:color w:val="231F20"/>
          <w:spacing w:val="-4"/>
        </w:rPr>
        <w:t> </w:t>
      </w:r>
      <w:r>
        <w:rPr>
          <w:color w:val="231F20"/>
        </w:rPr>
        <w:t>are</w:t>
      </w:r>
      <w:r>
        <w:rPr>
          <w:color w:val="231F20"/>
          <w:spacing w:val="-5"/>
        </w:rPr>
        <w:t> </w:t>
      </w:r>
      <w:r>
        <w:rPr>
          <w:color w:val="231F20"/>
        </w:rPr>
        <w:t>consistently</w:t>
      </w:r>
      <w:r>
        <w:rPr>
          <w:color w:val="231F20"/>
          <w:spacing w:val="-5"/>
        </w:rPr>
        <w:t> </w:t>
      </w:r>
      <w:r>
        <w:rPr>
          <w:color w:val="231F20"/>
        </w:rPr>
        <w:t>applied</w:t>
      </w:r>
      <w:r>
        <w:rPr>
          <w:color w:val="231F20"/>
          <w:spacing w:val="-4"/>
        </w:rPr>
        <w:t> </w:t>
      </w:r>
      <w:r>
        <w:rPr>
          <w:color w:val="231F20"/>
        </w:rPr>
        <w:t>as</w:t>
      </w:r>
      <w:r>
        <w:rPr>
          <w:color w:val="231F20"/>
          <w:spacing w:val="-4"/>
        </w:rPr>
        <w:t> </w:t>
      </w:r>
      <w:r>
        <w:rPr>
          <w:color w:val="231F20"/>
        </w:rPr>
        <w:t>nonoperating revenues, such as lease income, investment, and interest income.</w:t>
      </w:r>
    </w:p>
    <w:p>
      <w:pPr>
        <w:pStyle w:val="BodyText"/>
        <w:spacing w:before="10"/>
        <w:rPr>
          <w:sz w:val="22"/>
        </w:rPr>
      </w:pPr>
    </w:p>
    <w:p>
      <w:pPr>
        <w:pStyle w:val="BodyText"/>
        <w:spacing w:line="276" w:lineRule="auto" w:before="1"/>
        <w:ind w:left="1440" w:right="1281"/>
        <w:jc w:val="both"/>
      </w:pPr>
      <w:r>
        <w:rPr>
          <w:color w:val="231F20"/>
        </w:rPr>
        <w:t>When</w:t>
      </w:r>
      <w:r>
        <w:rPr>
          <w:color w:val="231F20"/>
          <w:spacing w:val="-3"/>
        </w:rPr>
        <w:t> </w:t>
      </w:r>
      <w:r>
        <w:rPr>
          <w:color w:val="231F20"/>
        </w:rPr>
        <w:t>both</w:t>
      </w:r>
      <w:r>
        <w:rPr>
          <w:color w:val="231F20"/>
          <w:spacing w:val="-3"/>
        </w:rPr>
        <w:t> </w:t>
      </w:r>
      <w:r>
        <w:rPr>
          <w:color w:val="231F20"/>
        </w:rPr>
        <w:t>restricted</w:t>
      </w:r>
      <w:r>
        <w:rPr>
          <w:color w:val="231F20"/>
          <w:spacing w:val="-3"/>
        </w:rPr>
        <w:t> </w:t>
      </w:r>
      <w:r>
        <w:rPr>
          <w:color w:val="231F20"/>
        </w:rPr>
        <w:t>and</w:t>
      </w:r>
      <w:r>
        <w:rPr>
          <w:color w:val="231F20"/>
          <w:spacing w:val="-3"/>
        </w:rPr>
        <w:t> </w:t>
      </w:r>
      <w:r>
        <w:rPr>
          <w:color w:val="231F20"/>
        </w:rPr>
        <w:t>unrestricted</w:t>
      </w:r>
      <w:r>
        <w:rPr>
          <w:color w:val="231F20"/>
          <w:spacing w:val="-3"/>
        </w:rPr>
        <w:t> </w:t>
      </w:r>
      <w:r>
        <w:rPr>
          <w:color w:val="231F20"/>
        </w:rPr>
        <w:t>resources</w:t>
      </w:r>
      <w:r>
        <w:rPr>
          <w:color w:val="231F20"/>
          <w:spacing w:val="-3"/>
        </w:rPr>
        <w:t> </w:t>
      </w:r>
      <w:r>
        <w:rPr>
          <w:color w:val="231F20"/>
        </w:rPr>
        <w:t>are</w:t>
      </w:r>
      <w:r>
        <w:rPr>
          <w:color w:val="231F20"/>
          <w:spacing w:val="-3"/>
        </w:rPr>
        <w:t> </w:t>
      </w:r>
      <w:r>
        <w:rPr>
          <w:color w:val="231F20"/>
        </w:rPr>
        <w:t>available</w:t>
      </w:r>
      <w:r>
        <w:rPr>
          <w:color w:val="231F20"/>
          <w:spacing w:val="-3"/>
        </w:rPr>
        <w:t> </w:t>
      </w:r>
      <w:r>
        <w:rPr>
          <w:color w:val="231F20"/>
        </w:rPr>
        <w:t>for</w:t>
      </w:r>
      <w:r>
        <w:rPr>
          <w:color w:val="231F20"/>
          <w:spacing w:val="-3"/>
        </w:rPr>
        <w:t> </w:t>
      </w:r>
      <w:r>
        <w:rPr>
          <w:color w:val="231F20"/>
        </w:rPr>
        <w:t>use,</w:t>
      </w:r>
      <w:r>
        <w:rPr>
          <w:color w:val="231F20"/>
          <w:spacing w:val="-3"/>
        </w:rPr>
        <w:t> </w:t>
      </w:r>
      <w:r>
        <w:rPr>
          <w:color w:val="231F20"/>
        </w:rPr>
        <w:t>generally</w:t>
      </w:r>
      <w:r>
        <w:rPr>
          <w:color w:val="231F20"/>
          <w:spacing w:val="-4"/>
        </w:rPr>
        <w:t> </w:t>
      </w:r>
      <w:r>
        <w:rPr>
          <w:color w:val="231F20"/>
        </w:rPr>
        <w:t>it</w:t>
      </w:r>
      <w:r>
        <w:rPr>
          <w:color w:val="231F20"/>
          <w:spacing w:val="-3"/>
        </w:rPr>
        <w:t> </w:t>
      </w:r>
      <w:r>
        <w:rPr>
          <w:color w:val="231F20"/>
        </w:rPr>
        <w:t>is</w:t>
      </w:r>
      <w:r>
        <w:rPr>
          <w:color w:val="231F20"/>
          <w:spacing w:val="-3"/>
        </w:rPr>
        <w:t> </w:t>
      </w:r>
      <w:r>
        <w:rPr>
          <w:color w:val="231F20"/>
        </w:rPr>
        <w:t>the</w:t>
      </w:r>
      <w:r>
        <w:rPr>
          <w:color w:val="231F20"/>
          <w:spacing w:val="-3"/>
        </w:rPr>
        <w:t> </w:t>
      </w:r>
      <w:r>
        <w:rPr>
          <w:color w:val="231F20"/>
        </w:rPr>
        <w:t>Foundation’s policy to use the restricted resources first.</w:t>
      </w:r>
    </w:p>
    <w:p>
      <w:pPr>
        <w:pStyle w:val="BodyText"/>
        <w:spacing w:before="10"/>
        <w:rPr>
          <w:sz w:val="22"/>
        </w:rPr>
      </w:pPr>
    </w:p>
    <w:p>
      <w:pPr>
        <w:pStyle w:val="BodyText"/>
        <w:spacing w:line="276" w:lineRule="auto" w:before="1"/>
        <w:ind w:left="1440" w:right="891"/>
      </w:pPr>
      <w:r>
        <w:rPr>
          <w:i/>
          <w:color w:val="231F20"/>
        </w:rPr>
        <w:t>Net Position </w:t>
      </w:r>
      <w:r>
        <w:rPr>
          <w:color w:val="231F20"/>
        </w:rPr>
        <w:t>– Unrestricted net position represents resources whose use is not limited or restricted by donors. Unrestricted net position has arisen from exchange transactions, receipt of unrestricted contributions,</w:t>
      </w:r>
      <w:r>
        <w:rPr>
          <w:color w:val="231F20"/>
          <w:spacing w:val="-5"/>
        </w:rPr>
        <w:t> </w:t>
      </w:r>
      <w:r>
        <w:rPr>
          <w:color w:val="231F20"/>
        </w:rPr>
        <w:t>and</w:t>
      </w:r>
      <w:r>
        <w:rPr>
          <w:color w:val="231F20"/>
          <w:spacing w:val="-4"/>
        </w:rPr>
        <w:t> </w:t>
      </w:r>
      <w:r>
        <w:rPr>
          <w:color w:val="231F20"/>
        </w:rPr>
        <w:t>expirations</w:t>
      </w:r>
      <w:r>
        <w:rPr>
          <w:color w:val="231F20"/>
          <w:spacing w:val="-4"/>
        </w:rPr>
        <w:t> </w:t>
      </w:r>
      <w:r>
        <w:rPr>
          <w:color w:val="231F20"/>
        </w:rPr>
        <w:t>of</w:t>
      </w:r>
      <w:r>
        <w:rPr>
          <w:color w:val="231F20"/>
          <w:spacing w:val="-4"/>
        </w:rPr>
        <w:t> </w:t>
      </w:r>
      <w:r>
        <w:rPr>
          <w:color w:val="231F20"/>
        </w:rPr>
        <w:t>existing</w:t>
      </w:r>
      <w:r>
        <w:rPr>
          <w:color w:val="231F20"/>
          <w:spacing w:val="-5"/>
        </w:rPr>
        <w:t> </w:t>
      </w:r>
      <w:r>
        <w:rPr>
          <w:color w:val="231F20"/>
        </w:rPr>
        <w:t>restrictions.</w:t>
      </w:r>
      <w:r>
        <w:rPr>
          <w:color w:val="231F20"/>
          <w:spacing w:val="-4"/>
        </w:rPr>
        <w:t> </w:t>
      </w:r>
      <w:r>
        <w:rPr>
          <w:color w:val="231F20"/>
        </w:rPr>
        <w:t>Restricted</w:t>
      </w:r>
      <w:r>
        <w:rPr>
          <w:color w:val="231F20"/>
          <w:spacing w:val="-4"/>
        </w:rPr>
        <w:t> </w:t>
      </w:r>
      <w:r>
        <w:rPr>
          <w:color w:val="231F20"/>
        </w:rPr>
        <w:t>expendable</w:t>
      </w:r>
      <w:r>
        <w:rPr>
          <w:color w:val="231F20"/>
          <w:spacing w:val="-4"/>
        </w:rPr>
        <w:t> </w:t>
      </w:r>
      <w:r>
        <w:rPr>
          <w:color w:val="231F20"/>
        </w:rPr>
        <w:t>contributions</w:t>
      </w:r>
      <w:r>
        <w:rPr>
          <w:color w:val="231F20"/>
          <w:spacing w:val="-4"/>
        </w:rPr>
        <w:t> </w:t>
      </w:r>
      <w:r>
        <w:rPr>
          <w:color w:val="231F20"/>
        </w:rPr>
        <w:t>are</w:t>
      </w:r>
      <w:r>
        <w:rPr>
          <w:color w:val="231F20"/>
          <w:spacing w:val="-5"/>
        </w:rPr>
        <w:t> </w:t>
      </w:r>
      <w:r>
        <w:rPr>
          <w:color w:val="231F20"/>
        </w:rPr>
        <w:t>recorded</w:t>
      </w:r>
      <w:r>
        <w:rPr>
          <w:color w:val="231F20"/>
          <w:spacing w:val="-4"/>
        </w:rPr>
        <w:t> </w:t>
      </w:r>
      <w:r>
        <w:rPr>
          <w:color w:val="231F20"/>
        </w:rPr>
        <w:t>as unrestricted to the extent the restrictions expire in the same reporting period.</w:t>
      </w:r>
    </w:p>
    <w:p>
      <w:pPr>
        <w:pStyle w:val="BodyText"/>
        <w:spacing w:before="11"/>
        <w:rPr>
          <w:sz w:val="22"/>
        </w:rPr>
      </w:pPr>
    </w:p>
    <w:p>
      <w:pPr>
        <w:pStyle w:val="BodyText"/>
        <w:spacing w:line="276" w:lineRule="auto"/>
        <w:ind w:left="1440" w:right="857"/>
      </w:pPr>
      <w:r>
        <w:rPr>
          <w:color w:val="231F20"/>
        </w:rPr>
        <w:t>Restricted</w:t>
      </w:r>
      <w:r>
        <w:rPr>
          <w:color w:val="231F20"/>
          <w:spacing w:val="-3"/>
        </w:rPr>
        <w:t> </w:t>
      </w:r>
      <w:r>
        <w:rPr>
          <w:color w:val="231F20"/>
        </w:rPr>
        <w:t>expendable</w:t>
      </w:r>
      <w:r>
        <w:rPr>
          <w:color w:val="231F20"/>
          <w:spacing w:val="-3"/>
        </w:rPr>
        <w:t> </w:t>
      </w:r>
      <w:r>
        <w:rPr>
          <w:color w:val="231F20"/>
        </w:rPr>
        <w:t>net</w:t>
      </w:r>
      <w:r>
        <w:rPr>
          <w:color w:val="231F20"/>
          <w:spacing w:val="-4"/>
        </w:rPr>
        <w:t> </w:t>
      </w:r>
      <w:r>
        <w:rPr>
          <w:color w:val="231F20"/>
        </w:rPr>
        <w:t>position</w:t>
      </w:r>
      <w:r>
        <w:rPr>
          <w:color w:val="231F20"/>
          <w:spacing w:val="-3"/>
        </w:rPr>
        <w:t> </w:t>
      </w:r>
      <w:r>
        <w:rPr>
          <w:color w:val="231F20"/>
        </w:rPr>
        <w:t>represents</w:t>
      </w:r>
      <w:r>
        <w:rPr>
          <w:color w:val="231F20"/>
          <w:spacing w:val="-3"/>
        </w:rPr>
        <w:t> </w:t>
      </w:r>
      <w:r>
        <w:rPr>
          <w:color w:val="231F20"/>
        </w:rPr>
        <w:t>resources</w:t>
      </w:r>
      <w:r>
        <w:rPr>
          <w:color w:val="231F20"/>
          <w:spacing w:val="-3"/>
        </w:rPr>
        <w:t> </w:t>
      </w:r>
      <w:r>
        <w:rPr>
          <w:color w:val="231F20"/>
        </w:rPr>
        <w:t>whose</w:t>
      </w:r>
      <w:r>
        <w:rPr>
          <w:color w:val="231F20"/>
          <w:spacing w:val="-3"/>
        </w:rPr>
        <w:t> </w:t>
      </w:r>
      <w:r>
        <w:rPr>
          <w:color w:val="231F20"/>
        </w:rPr>
        <w:t>use</w:t>
      </w:r>
      <w:r>
        <w:rPr>
          <w:color w:val="231F20"/>
          <w:spacing w:val="-4"/>
        </w:rPr>
        <w:t> </w:t>
      </w:r>
      <w:r>
        <w:rPr>
          <w:color w:val="231F20"/>
        </w:rPr>
        <w:t>is</w:t>
      </w:r>
      <w:r>
        <w:rPr>
          <w:color w:val="231F20"/>
          <w:spacing w:val="-3"/>
        </w:rPr>
        <w:t> </w:t>
      </w:r>
      <w:r>
        <w:rPr>
          <w:color w:val="231F20"/>
        </w:rPr>
        <w:t>limited</w:t>
      </w:r>
      <w:r>
        <w:rPr>
          <w:color w:val="231F20"/>
          <w:spacing w:val="-3"/>
        </w:rPr>
        <w:t> </w:t>
      </w:r>
      <w:r>
        <w:rPr>
          <w:color w:val="231F20"/>
        </w:rPr>
        <w:t>by</w:t>
      </w:r>
      <w:r>
        <w:rPr>
          <w:color w:val="231F20"/>
          <w:spacing w:val="-4"/>
        </w:rPr>
        <w:t> </w:t>
      </w:r>
      <w:r>
        <w:rPr>
          <w:color w:val="231F20"/>
        </w:rPr>
        <w:t>donors</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support</w:t>
      </w:r>
      <w:r>
        <w:rPr>
          <w:color w:val="231F20"/>
          <w:spacing w:val="-3"/>
        </w:rPr>
        <w:t> </w:t>
      </w:r>
      <w:r>
        <w:rPr>
          <w:color w:val="231F20"/>
        </w:rPr>
        <w:t>of the academic activities of the Institute faculty and/or students. Such restrictions are legally enforceable or contractually obligated to spend in accordance with imposed restrictions by third parties. Restricted expendable net position is released from restriction as the purpose restrictions are met.</w:t>
      </w:r>
    </w:p>
    <w:p>
      <w:pPr>
        <w:pStyle w:val="BodyText"/>
        <w:spacing w:before="11"/>
        <w:rPr>
          <w:sz w:val="22"/>
        </w:rPr>
      </w:pPr>
    </w:p>
    <w:p>
      <w:pPr>
        <w:pStyle w:val="BodyText"/>
        <w:spacing w:line="276" w:lineRule="auto"/>
        <w:ind w:left="1440" w:right="891"/>
      </w:pPr>
      <w:r>
        <w:rPr>
          <w:color w:val="231F20"/>
        </w:rPr>
        <w:t>Restricted nonexpendable assets represent those that cannot be expended based on donor restriction. Nonexpendable restricted net position consists of endowment and similar type funds in which donors or other outside sources have stipulated, as a condition of the gift instrument, that the principal is to be maintained inviolate and in perpetuity, and invested for the purpose of producing present and future income,</w:t>
      </w:r>
      <w:r>
        <w:rPr>
          <w:color w:val="231F20"/>
          <w:spacing w:val="-3"/>
        </w:rPr>
        <w:t> </w:t>
      </w:r>
      <w:r>
        <w:rPr>
          <w:color w:val="231F20"/>
        </w:rPr>
        <w:t>which</w:t>
      </w:r>
      <w:r>
        <w:rPr>
          <w:color w:val="231F20"/>
          <w:spacing w:val="-3"/>
        </w:rPr>
        <w:t> </w:t>
      </w:r>
      <w:r>
        <w:rPr>
          <w:color w:val="231F20"/>
        </w:rPr>
        <w:t>may</w:t>
      </w:r>
      <w:r>
        <w:rPr>
          <w:color w:val="231F20"/>
          <w:spacing w:val="-3"/>
        </w:rPr>
        <w:t> </w:t>
      </w:r>
      <w:r>
        <w:rPr>
          <w:color w:val="231F20"/>
        </w:rPr>
        <w:t>either</w:t>
      </w:r>
      <w:r>
        <w:rPr>
          <w:color w:val="231F20"/>
          <w:spacing w:val="-4"/>
        </w:rPr>
        <w:t> </w:t>
      </w:r>
      <w:r>
        <w:rPr>
          <w:color w:val="231F20"/>
        </w:rPr>
        <w:t>be</w:t>
      </w:r>
      <w:r>
        <w:rPr>
          <w:color w:val="231F20"/>
          <w:spacing w:val="-3"/>
        </w:rPr>
        <w:t> </w:t>
      </w:r>
      <w:r>
        <w:rPr>
          <w:color w:val="231F20"/>
        </w:rPr>
        <w:t>expended</w:t>
      </w:r>
      <w:r>
        <w:rPr>
          <w:color w:val="231F20"/>
          <w:spacing w:val="-4"/>
        </w:rPr>
        <w:t> </w:t>
      </w:r>
      <w:r>
        <w:rPr>
          <w:color w:val="231F20"/>
        </w:rPr>
        <w:t>or</w:t>
      </w:r>
      <w:r>
        <w:rPr>
          <w:color w:val="231F20"/>
          <w:spacing w:val="-3"/>
        </w:rPr>
        <w:t> </w:t>
      </w:r>
      <w:r>
        <w:rPr>
          <w:color w:val="231F20"/>
        </w:rPr>
        <w:t>added</w:t>
      </w:r>
      <w:r>
        <w:rPr>
          <w:color w:val="231F20"/>
          <w:spacing w:val="-3"/>
        </w:rPr>
        <w:t> </w:t>
      </w:r>
      <w:r>
        <w:rPr>
          <w:color w:val="231F20"/>
        </w:rPr>
        <w:t>to</w:t>
      </w:r>
      <w:r>
        <w:rPr>
          <w:color w:val="231F20"/>
          <w:spacing w:val="-3"/>
        </w:rPr>
        <w:t> </w:t>
      </w:r>
      <w:r>
        <w:rPr>
          <w:color w:val="231F20"/>
        </w:rPr>
        <w:t>principal.</w:t>
      </w:r>
      <w:r>
        <w:rPr>
          <w:color w:val="231F20"/>
          <w:spacing w:val="-3"/>
        </w:rPr>
        <w:t> </w:t>
      </w:r>
      <w:r>
        <w:rPr>
          <w:color w:val="231F20"/>
        </w:rPr>
        <w:t>When</w:t>
      </w:r>
      <w:r>
        <w:rPr>
          <w:color w:val="231F20"/>
          <w:spacing w:val="-3"/>
        </w:rPr>
        <w:t> </w:t>
      </w:r>
      <w:r>
        <w:rPr>
          <w:color w:val="231F20"/>
        </w:rPr>
        <w:t>both</w:t>
      </w:r>
      <w:r>
        <w:rPr>
          <w:color w:val="231F20"/>
          <w:spacing w:val="-3"/>
        </w:rPr>
        <w:t> </w:t>
      </w:r>
      <w:r>
        <w:rPr>
          <w:color w:val="231F20"/>
        </w:rPr>
        <w:t>restricted</w:t>
      </w:r>
      <w:r>
        <w:rPr>
          <w:color w:val="231F20"/>
          <w:spacing w:val="-3"/>
        </w:rPr>
        <w:t> </w:t>
      </w:r>
      <w:r>
        <w:rPr>
          <w:color w:val="231F20"/>
        </w:rPr>
        <w:t>and</w:t>
      </w:r>
      <w:r>
        <w:rPr>
          <w:color w:val="231F20"/>
          <w:spacing w:val="-3"/>
        </w:rPr>
        <w:t> </w:t>
      </w:r>
      <w:r>
        <w:rPr>
          <w:color w:val="231F20"/>
        </w:rPr>
        <w:t>unrestricted</w:t>
      </w:r>
      <w:r>
        <w:rPr>
          <w:color w:val="231F20"/>
          <w:spacing w:val="-3"/>
        </w:rPr>
        <w:t> </w:t>
      </w:r>
      <w:r>
        <w:rPr>
          <w:color w:val="231F20"/>
        </w:rPr>
        <w:t>funds are available, restricted funds are expended first.</w:t>
      </w:r>
    </w:p>
    <w:p>
      <w:pPr>
        <w:pStyle w:val="BodyText"/>
        <w:rPr>
          <w:sz w:val="23"/>
        </w:rPr>
      </w:pPr>
    </w:p>
    <w:p>
      <w:pPr>
        <w:pStyle w:val="BodyText"/>
        <w:spacing w:line="276" w:lineRule="auto"/>
        <w:ind w:left="1440" w:right="891"/>
      </w:pPr>
      <w:r>
        <w:rPr>
          <w:color w:val="231F20"/>
        </w:rPr>
        <w:t>Net</w:t>
      </w:r>
      <w:r>
        <w:rPr>
          <w:color w:val="231F20"/>
          <w:spacing w:val="-3"/>
        </w:rPr>
        <w:t> </w:t>
      </w:r>
      <w:r>
        <w:rPr>
          <w:color w:val="231F20"/>
        </w:rPr>
        <w:t>investment</w:t>
      </w:r>
      <w:r>
        <w:rPr>
          <w:color w:val="231F20"/>
          <w:spacing w:val="-3"/>
        </w:rPr>
        <w:t> </w:t>
      </w:r>
      <w:r>
        <w:rPr>
          <w:color w:val="231F20"/>
        </w:rPr>
        <w:t>in</w:t>
      </w:r>
      <w:r>
        <w:rPr>
          <w:color w:val="231F20"/>
          <w:spacing w:val="-3"/>
        </w:rPr>
        <w:t> </w:t>
      </w:r>
      <w:r>
        <w:rPr>
          <w:color w:val="231F20"/>
        </w:rPr>
        <w:t>capital</w:t>
      </w:r>
      <w:r>
        <w:rPr>
          <w:color w:val="231F20"/>
          <w:spacing w:val="-3"/>
        </w:rPr>
        <w:t> </w:t>
      </w:r>
      <w:r>
        <w:rPr>
          <w:color w:val="231F20"/>
        </w:rPr>
        <w:t>assets</w:t>
      </w:r>
      <w:r>
        <w:rPr>
          <w:color w:val="231F20"/>
          <w:spacing w:val="-3"/>
        </w:rPr>
        <w:t> </w:t>
      </w:r>
      <w:r>
        <w:rPr>
          <w:color w:val="231F20"/>
        </w:rPr>
        <w:t>is intended</w:t>
      </w:r>
      <w:r>
        <w:rPr>
          <w:color w:val="231F20"/>
          <w:spacing w:val="-3"/>
        </w:rPr>
        <w:t> </w:t>
      </w:r>
      <w:r>
        <w:rPr>
          <w:color w:val="231F20"/>
        </w:rPr>
        <w:t>to</w:t>
      </w:r>
      <w:r>
        <w:rPr>
          <w:color w:val="231F20"/>
          <w:spacing w:val="-3"/>
        </w:rPr>
        <w:t> </w:t>
      </w:r>
      <w:r>
        <w:rPr>
          <w:color w:val="231F20"/>
        </w:rPr>
        <w:t>reflect</w:t>
      </w:r>
      <w:r>
        <w:rPr>
          <w:color w:val="231F20"/>
          <w:spacing w:val="-3"/>
        </w:rPr>
        <w:t> </w:t>
      </w:r>
      <w:r>
        <w:rPr>
          <w:color w:val="231F20"/>
        </w:rPr>
        <w:t>the</w:t>
      </w:r>
      <w:r>
        <w:rPr>
          <w:color w:val="231F20"/>
          <w:spacing w:val="-3"/>
        </w:rPr>
        <w:t> </w:t>
      </w:r>
      <w:r>
        <w:rPr>
          <w:color w:val="231F20"/>
        </w:rPr>
        <w:t>portion</w:t>
      </w:r>
      <w:r>
        <w:rPr>
          <w:color w:val="231F20"/>
          <w:spacing w:val="-3"/>
        </w:rPr>
        <w:t> </w:t>
      </w:r>
      <w:r>
        <w:rPr>
          <w:color w:val="231F20"/>
        </w:rPr>
        <w:t>of</w:t>
      </w:r>
      <w:r>
        <w:rPr>
          <w:color w:val="231F20"/>
          <w:spacing w:val="-4"/>
        </w:rPr>
        <w:t> </w:t>
      </w:r>
      <w:r>
        <w:rPr>
          <w:color w:val="231F20"/>
        </w:rPr>
        <w:t>net</w:t>
      </w:r>
      <w:r>
        <w:rPr>
          <w:color w:val="231F20"/>
          <w:spacing w:val="-3"/>
        </w:rPr>
        <w:t> </w:t>
      </w:r>
      <w:r>
        <w:rPr>
          <w:color w:val="231F20"/>
        </w:rPr>
        <w:t>position,</w:t>
      </w:r>
      <w:r>
        <w:rPr>
          <w:color w:val="231F20"/>
          <w:spacing w:val="-3"/>
        </w:rPr>
        <w:t> </w:t>
      </w:r>
      <w:r>
        <w:rPr>
          <w:color w:val="231F20"/>
        </w:rPr>
        <w:t>which</w:t>
      </w:r>
      <w:r>
        <w:rPr>
          <w:color w:val="231F20"/>
          <w:spacing w:val="-3"/>
        </w:rPr>
        <w:t> </w:t>
      </w:r>
      <w:r>
        <w:rPr>
          <w:color w:val="231F20"/>
        </w:rPr>
        <w:t>is</w:t>
      </w:r>
      <w:r>
        <w:rPr>
          <w:color w:val="231F20"/>
          <w:spacing w:val="-3"/>
        </w:rPr>
        <w:t> </w:t>
      </w:r>
      <w:r>
        <w:rPr>
          <w:color w:val="231F20"/>
        </w:rPr>
        <w:t>associated</w:t>
      </w:r>
      <w:r>
        <w:rPr>
          <w:color w:val="231F20"/>
          <w:spacing w:val="-4"/>
        </w:rPr>
        <w:t> </w:t>
      </w:r>
      <w:r>
        <w:rPr>
          <w:color w:val="231F20"/>
        </w:rPr>
        <w:t>with nonliquid, capital assets. There is no related debt.</w:t>
      </w:r>
    </w:p>
    <w:p>
      <w:pPr>
        <w:pStyle w:val="BodyText"/>
        <w:spacing w:before="11"/>
        <w:rPr>
          <w:sz w:val="22"/>
        </w:rPr>
      </w:pPr>
    </w:p>
    <w:p>
      <w:pPr>
        <w:pStyle w:val="BodyText"/>
        <w:spacing w:line="276" w:lineRule="auto"/>
        <w:ind w:left="1440" w:right="1048"/>
      </w:pPr>
      <w:r>
        <w:rPr>
          <w:color w:val="231F20"/>
        </w:rPr>
        <w:t>Deferred</w:t>
      </w:r>
      <w:r>
        <w:rPr>
          <w:color w:val="231F20"/>
          <w:spacing w:val="-4"/>
        </w:rPr>
        <w:t> </w:t>
      </w:r>
      <w:r>
        <w:rPr>
          <w:color w:val="231F20"/>
        </w:rPr>
        <w:t>outflows</w:t>
      </w:r>
      <w:r>
        <w:rPr>
          <w:color w:val="231F20"/>
          <w:spacing w:val="-4"/>
        </w:rPr>
        <w:t> </w:t>
      </w:r>
      <w:r>
        <w:rPr>
          <w:color w:val="231F20"/>
        </w:rPr>
        <w:t>of</w:t>
      </w:r>
      <w:r>
        <w:rPr>
          <w:color w:val="231F20"/>
          <w:spacing w:val="-4"/>
        </w:rPr>
        <w:t> </w:t>
      </w:r>
      <w:r>
        <w:rPr>
          <w:color w:val="231F20"/>
        </w:rPr>
        <w:t>resources</w:t>
      </w:r>
      <w:r>
        <w:rPr>
          <w:color w:val="231F20"/>
          <w:spacing w:val="-4"/>
        </w:rPr>
        <w:t> </w:t>
      </w:r>
      <w:r>
        <w:rPr>
          <w:color w:val="231F20"/>
        </w:rPr>
        <w:t>consumed</w:t>
      </w:r>
      <w:r>
        <w:rPr>
          <w:color w:val="231F20"/>
          <w:spacing w:val="-4"/>
        </w:rPr>
        <w:t> </w:t>
      </w:r>
      <w:r>
        <w:rPr>
          <w:color w:val="231F20"/>
        </w:rPr>
        <w:t>and</w:t>
      </w:r>
      <w:r>
        <w:rPr>
          <w:color w:val="231F20"/>
          <w:spacing w:val="-4"/>
        </w:rPr>
        <w:t> </w:t>
      </w:r>
      <w:r>
        <w:rPr>
          <w:color w:val="231F20"/>
        </w:rPr>
        <w:t>deferred</w:t>
      </w:r>
      <w:r>
        <w:rPr>
          <w:color w:val="231F20"/>
          <w:spacing w:val="-4"/>
        </w:rPr>
        <w:t> </w:t>
      </w:r>
      <w:r>
        <w:rPr>
          <w:color w:val="231F20"/>
        </w:rPr>
        <w:t>inflows</w:t>
      </w:r>
      <w:r>
        <w:rPr>
          <w:color w:val="231F20"/>
          <w:spacing w:val="-4"/>
        </w:rPr>
        <w:t> </w:t>
      </w:r>
      <w:r>
        <w:rPr>
          <w:color w:val="231F20"/>
        </w:rPr>
        <w:t>of</w:t>
      </w:r>
      <w:r>
        <w:rPr>
          <w:color w:val="231F20"/>
          <w:spacing w:val="-4"/>
        </w:rPr>
        <w:t> </w:t>
      </w:r>
      <w:r>
        <w:rPr>
          <w:color w:val="231F20"/>
        </w:rPr>
        <w:t>resources</w:t>
      </w:r>
      <w:r>
        <w:rPr>
          <w:color w:val="231F20"/>
          <w:spacing w:val="-4"/>
        </w:rPr>
        <w:t> </w:t>
      </w:r>
      <w:r>
        <w:rPr>
          <w:color w:val="231F20"/>
        </w:rPr>
        <w:t>received</w:t>
      </w:r>
      <w:r>
        <w:rPr>
          <w:color w:val="231F20"/>
          <w:spacing w:val="-4"/>
        </w:rPr>
        <w:t> </w:t>
      </w:r>
      <w:r>
        <w:rPr>
          <w:color w:val="231F20"/>
        </w:rPr>
        <w:t>and</w:t>
      </w:r>
      <w:r>
        <w:rPr>
          <w:color w:val="231F20"/>
          <w:spacing w:val="-4"/>
        </w:rPr>
        <w:t> </w:t>
      </w:r>
      <w:r>
        <w:rPr>
          <w:color w:val="231F20"/>
        </w:rPr>
        <w:t>available</w:t>
      </w:r>
      <w:r>
        <w:rPr>
          <w:color w:val="231F20"/>
          <w:spacing w:val="-4"/>
        </w:rPr>
        <w:t> </w:t>
      </w:r>
      <w:r>
        <w:rPr>
          <w:color w:val="231F20"/>
        </w:rPr>
        <w:t>are elements of the Statement of Net Position. There were deferred inflows of resources of $334,862 at June 30, 2022. There were no deferred outflow of resources at June 30, 2022. The deferred inflows of resources will be amortized over the life of the lease.</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6"/>
        </w:rPr>
      </w:pPr>
    </w:p>
    <w:p>
      <w:pPr>
        <w:pStyle w:val="BodyText"/>
        <w:spacing w:line="276" w:lineRule="auto"/>
        <w:ind w:left="1440" w:right="891"/>
      </w:pPr>
      <w:r>
        <w:rPr>
          <w:i/>
          <w:color w:val="231F20"/>
        </w:rPr>
        <w:t>Cash and Cash Equivalents </w:t>
      </w:r>
      <w:r>
        <w:rPr>
          <w:color w:val="231F20"/>
        </w:rPr>
        <w:t>– For purposes of the statement of cash flows, the Foundation considers cash</w:t>
      </w:r>
      <w:r>
        <w:rPr>
          <w:color w:val="231F20"/>
          <w:spacing w:val="-3"/>
        </w:rPr>
        <w:t> </w:t>
      </w:r>
      <w:r>
        <w:rPr>
          <w:color w:val="231F20"/>
        </w:rPr>
        <w:t>on</w:t>
      </w:r>
      <w:r>
        <w:rPr>
          <w:color w:val="231F20"/>
          <w:spacing w:val="-3"/>
        </w:rPr>
        <w:t> </w:t>
      </w:r>
      <w:r>
        <w:rPr>
          <w:color w:val="231F20"/>
        </w:rPr>
        <w:t>hand,</w:t>
      </w:r>
      <w:r>
        <w:rPr>
          <w:color w:val="231F20"/>
          <w:spacing w:val="-3"/>
        </w:rPr>
        <w:t> </w:t>
      </w:r>
      <w:r>
        <w:rPr>
          <w:color w:val="231F20"/>
        </w:rPr>
        <w:t>cash</w:t>
      </w:r>
      <w:r>
        <w:rPr>
          <w:color w:val="231F20"/>
          <w:spacing w:val="-3"/>
        </w:rPr>
        <w:t> </w:t>
      </w:r>
      <w:r>
        <w:rPr>
          <w:color w:val="231F20"/>
        </w:rPr>
        <w:t>held</w:t>
      </w:r>
      <w:r>
        <w:rPr>
          <w:color w:val="231F20"/>
          <w:spacing w:val="-3"/>
        </w:rPr>
        <w:t> </w:t>
      </w:r>
      <w:r>
        <w:rPr>
          <w:color w:val="231F20"/>
        </w:rPr>
        <w:t>in</w:t>
      </w:r>
      <w:r>
        <w:rPr>
          <w:color w:val="231F20"/>
          <w:spacing w:val="-4"/>
        </w:rPr>
        <w:t> </w:t>
      </w:r>
      <w:r>
        <w:rPr>
          <w:color w:val="231F20"/>
        </w:rPr>
        <w:t>banks,</w:t>
      </w:r>
      <w:r>
        <w:rPr>
          <w:color w:val="231F20"/>
          <w:spacing w:val="-3"/>
        </w:rPr>
        <w:t> </w:t>
      </w:r>
      <w:r>
        <w:rPr>
          <w:color w:val="231F20"/>
        </w:rPr>
        <w:t>and</w:t>
      </w:r>
      <w:r>
        <w:rPr>
          <w:color w:val="231F20"/>
          <w:spacing w:val="-3"/>
        </w:rPr>
        <w:t> </w:t>
      </w:r>
      <w:r>
        <w:rPr>
          <w:color w:val="231F20"/>
        </w:rPr>
        <w:t>highly</w:t>
      </w:r>
      <w:r>
        <w:rPr>
          <w:color w:val="231F20"/>
          <w:spacing w:val="-3"/>
        </w:rPr>
        <w:t> </w:t>
      </w:r>
      <w:r>
        <w:rPr>
          <w:color w:val="231F20"/>
        </w:rPr>
        <w:t>liquid</w:t>
      </w:r>
      <w:r>
        <w:rPr>
          <w:color w:val="231F20"/>
          <w:spacing w:val="-3"/>
        </w:rPr>
        <w:t> </w:t>
      </w:r>
      <w:r>
        <w:rPr>
          <w:color w:val="231F20"/>
        </w:rPr>
        <w:t>instruments</w:t>
      </w:r>
      <w:r>
        <w:rPr>
          <w:color w:val="231F20"/>
          <w:spacing w:val="-4"/>
        </w:rPr>
        <w:t> </w:t>
      </w:r>
      <w:r>
        <w:rPr>
          <w:color w:val="231F20"/>
        </w:rPr>
        <w:t>with</w:t>
      </w:r>
      <w:r>
        <w:rPr>
          <w:color w:val="231F20"/>
          <w:spacing w:val="-3"/>
        </w:rPr>
        <w:t> </w:t>
      </w:r>
      <w:r>
        <w:rPr>
          <w:color w:val="231F20"/>
        </w:rPr>
        <w:t>original</w:t>
      </w:r>
      <w:r>
        <w:rPr>
          <w:color w:val="231F20"/>
          <w:spacing w:val="-3"/>
        </w:rPr>
        <w:t> </w:t>
      </w:r>
      <w:r>
        <w:rPr>
          <w:color w:val="231F20"/>
        </w:rPr>
        <w:t>maturities</w:t>
      </w:r>
      <w:r>
        <w:rPr>
          <w:color w:val="231F20"/>
          <w:spacing w:val="-3"/>
        </w:rPr>
        <w:t> </w:t>
      </w:r>
      <w:r>
        <w:rPr>
          <w:color w:val="231F20"/>
        </w:rPr>
        <w:t>of</w:t>
      </w:r>
      <w:r>
        <w:rPr>
          <w:color w:val="231F20"/>
          <w:spacing w:val="-3"/>
        </w:rPr>
        <w:t> </w:t>
      </w:r>
      <w:r>
        <w:rPr>
          <w:color w:val="231F20"/>
        </w:rPr>
        <w:t>three</w:t>
      </w:r>
      <w:r>
        <w:rPr>
          <w:color w:val="231F20"/>
          <w:spacing w:val="-3"/>
        </w:rPr>
        <w:t> </w:t>
      </w:r>
      <w:r>
        <w:rPr>
          <w:color w:val="231F20"/>
        </w:rPr>
        <w:t>months</w:t>
      </w:r>
      <w:r>
        <w:rPr>
          <w:color w:val="231F20"/>
          <w:spacing w:val="-3"/>
        </w:rPr>
        <w:t> </w:t>
      </w:r>
      <w:r>
        <w:rPr>
          <w:color w:val="231F20"/>
        </w:rPr>
        <w:t>or less to be cash and cash equivalents.</w:t>
      </w:r>
    </w:p>
    <w:p>
      <w:pPr>
        <w:pStyle w:val="BodyText"/>
        <w:spacing w:before="11"/>
        <w:rPr>
          <w:sz w:val="22"/>
        </w:rPr>
      </w:pPr>
    </w:p>
    <w:p>
      <w:pPr>
        <w:pStyle w:val="BodyText"/>
        <w:spacing w:line="276" w:lineRule="auto"/>
        <w:ind w:left="1439" w:right="889"/>
      </w:pPr>
      <w:r>
        <w:rPr>
          <w:i/>
          <w:color w:val="231F20"/>
        </w:rPr>
        <w:t>Promises to Give </w:t>
      </w:r>
      <w:r>
        <w:rPr>
          <w:color w:val="231F20"/>
        </w:rPr>
        <w:t>– Promises to give, which are nonendowed, are recognized as increases in assets and nonoperating revenues upon receipt of a signed commitment, so long as collectability is probable, and when all applicable eligibility requirements are met. An allowance for doubtful promises to give is</w:t>
      </w:r>
      <w:r>
        <w:rPr>
          <w:color w:val="231F20"/>
          <w:spacing w:val="40"/>
        </w:rPr>
        <w:t> </w:t>
      </w:r>
      <w:r>
        <w:rPr>
          <w:color w:val="231F20"/>
        </w:rPr>
        <w:t>recorded</w:t>
      </w:r>
      <w:r>
        <w:rPr>
          <w:color w:val="231F20"/>
          <w:spacing w:val="-4"/>
        </w:rPr>
        <w:t> </w:t>
      </w:r>
      <w:r>
        <w:rPr>
          <w:color w:val="231F20"/>
        </w:rPr>
        <w:t>when</w:t>
      </w:r>
      <w:r>
        <w:rPr>
          <w:color w:val="231F20"/>
          <w:spacing w:val="-3"/>
        </w:rPr>
        <w:t> </w:t>
      </w:r>
      <w:r>
        <w:rPr>
          <w:color w:val="231F20"/>
        </w:rPr>
        <w:t>the</w:t>
      </w:r>
      <w:r>
        <w:rPr>
          <w:color w:val="231F20"/>
          <w:spacing w:val="-3"/>
        </w:rPr>
        <w:t> </w:t>
      </w:r>
      <w:r>
        <w:rPr>
          <w:color w:val="231F20"/>
        </w:rPr>
        <w:t>promise</w:t>
      </w:r>
      <w:r>
        <w:rPr>
          <w:color w:val="231F20"/>
          <w:spacing w:val="-4"/>
        </w:rPr>
        <w:t> </w:t>
      </w:r>
      <w:r>
        <w:rPr>
          <w:color w:val="231F20"/>
        </w:rPr>
        <w:t>is</w:t>
      </w:r>
      <w:r>
        <w:rPr>
          <w:color w:val="231F20"/>
          <w:spacing w:val="-3"/>
        </w:rPr>
        <w:t> </w:t>
      </w:r>
      <w:r>
        <w:rPr>
          <w:color w:val="231F20"/>
        </w:rPr>
        <w:t>recorded.</w:t>
      </w:r>
      <w:r>
        <w:rPr>
          <w:color w:val="231F20"/>
          <w:spacing w:val="-4"/>
        </w:rPr>
        <w:t> </w:t>
      </w:r>
      <w:r>
        <w:rPr>
          <w:color w:val="231F20"/>
        </w:rPr>
        <w:t>The</w:t>
      </w:r>
      <w:r>
        <w:rPr>
          <w:color w:val="231F20"/>
          <w:spacing w:val="-3"/>
        </w:rPr>
        <w:t> </w:t>
      </w:r>
      <w:r>
        <w:rPr>
          <w:color w:val="231F20"/>
        </w:rPr>
        <w:t>allowance</w:t>
      </w:r>
      <w:r>
        <w:rPr>
          <w:color w:val="231F20"/>
          <w:spacing w:val="-1"/>
        </w:rPr>
        <w:t> </w:t>
      </w:r>
      <w:r>
        <w:rPr>
          <w:color w:val="231F20"/>
        </w:rPr>
        <w:t>is</w:t>
      </w:r>
      <w:r>
        <w:rPr>
          <w:color w:val="231F20"/>
          <w:spacing w:val="-3"/>
        </w:rPr>
        <w:t> </w:t>
      </w:r>
      <w:r>
        <w:rPr>
          <w:color w:val="231F20"/>
        </w:rPr>
        <w:t>based</w:t>
      </w:r>
      <w:r>
        <w:rPr>
          <w:color w:val="231F20"/>
          <w:spacing w:val="-3"/>
        </w:rPr>
        <w:t> </w:t>
      </w:r>
      <w:r>
        <w:rPr>
          <w:color w:val="231F20"/>
        </w:rPr>
        <w:t>on</w:t>
      </w:r>
      <w:r>
        <w:rPr>
          <w:color w:val="231F20"/>
          <w:spacing w:val="-4"/>
        </w:rPr>
        <w:t> </w:t>
      </w:r>
      <w:r>
        <w:rPr>
          <w:color w:val="231F20"/>
        </w:rPr>
        <w:t>loss</w:t>
      </w:r>
      <w:r>
        <w:rPr>
          <w:color w:val="231F20"/>
          <w:spacing w:val="-3"/>
        </w:rPr>
        <w:t> </w:t>
      </w:r>
      <w:r>
        <w:rPr>
          <w:color w:val="231F20"/>
        </w:rPr>
        <w:t>experience</w:t>
      </w:r>
      <w:r>
        <w:rPr>
          <w:color w:val="231F20"/>
          <w:spacing w:val="-3"/>
        </w:rPr>
        <w:t> </w:t>
      </w:r>
      <w:r>
        <w:rPr>
          <w:color w:val="231F20"/>
        </w:rPr>
        <w:t>and</w:t>
      </w:r>
      <w:r>
        <w:rPr>
          <w:color w:val="231F20"/>
          <w:spacing w:val="-3"/>
        </w:rPr>
        <w:t> </w:t>
      </w:r>
      <w:r>
        <w:rPr>
          <w:color w:val="231F20"/>
        </w:rPr>
        <w:t>other</w:t>
      </w:r>
      <w:r>
        <w:rPr>
          <w:color w:val="231F20"/>
          <w:spacing w:val="-3"/>
        </w:rPr>
        <w:t> </w:t>
      </w:r>
      <w:r>
        <w:rPr>
          <w:color w:val="231F20"/>
        </w:rPr>
        <w:t>factors</w:t>
      </w:r>
      <w:r>
        <w:rPr>
          <w:color w:val="231F20"/>
          <w:spacing w:val="-3"/>
        </w:rPr>
        <w:t> </w:t>
      </w:r>
      <w:r>
        <w:rPr>
          <w:color w:val="231F20"/>
        </w:rPr>
        <w:t>that management considers necessary in estimating losses on promises to give. Noncurrent promises to give are</w:t>
      </w:r>
      <w:r>
        <w:rPr>
          <w:color w:val="231F20"/>
          <w:spacing w:val="-2"/>
        </w:rPr>
        <w:t> </w:t>
      </w:r>
      <w:r>
        <w:rPr>
          <w:color w:val="231F20"/>
        </w:rPr>
        <w:t>discounted</w:t>
      </w:r>
      <w:r>
        <w:rPr>
          <w:color w:val="231F20"/>
          <w:spacing w:val="-2"/>
        </w:rPr>
        <w:t> </w:t>
      </w:r>
      <w:r>
        <w:rPr>
          <w:color w:val="231F20"/>
        </w:rPr>
        <w:t>between</w:t>
      </w:r>
      <w:r>
        <w:rPr>
          <w:color w:val="231F20"/>
          <w:spacing w:val="-2"/>
        </w:rPr>
        <w:t> </w:t>
      </w:r>
      <w:r>
        <w:rPr>
          <w:color w:val="231F20"/>
        </w:rPr>
        <w:t>0.46%-0.87%</w:t>
      </w:r>
      <w:r>
        <w:rPr>
          <w:color w:val="231F20"/>
          <w:spacing w:val="-3"/>
        </w:rPr>
        <w:t> </w:t>
      </w:r>
      <w:r>
        <w:rPr>
          <w:color w:val="231F20"/>
        </w:rPr>
        <w:t>which</w:t>
      </w:r>
      <w:r>
        <w:rPr>
          <w:color w:val="231F20"/>
          <w:spacing w:val="-2"/>
        </w:rPr>
        <w:t> </w:t>
      </w:r>
      <w:r>
        <w:rPr>
          <w:color w:val="231F20"/>
        </w:rPr>
        <w:t>is</w:t>
      </w:r>
      <w:r>
        <w:rPr>
          <w:color w:val="231F20"/>
          <w:spacing w:val="-2"/>
        </w:rPr>
        <w:t> </w:t>
      </w:r>
      <w:r>
        <w:rPr>
          <w:color w:val="231F20"/>
        </w:rPr>
        <w:t>the</w:t>
      </w:r>
      <w:r>
        <w:rPr>
          <w:color w:val="231F20"/>
          <w:spacing w:val="-3"/>
        </w:rPr>
        <w:t> </w:t>
      </w:r>
      <w:r>
        <w:rPr>
          <w:color w:val="231F20"/>
        </w:rPr>
        <w:t>U.S.</w:t>
      </w:r>
      <w:r>
        <w:rPr>
          <w:color w:val="231F20"/>
          <w:spacing w:val="-2"/>
        </w:rPr>
        <w:t> </w:t>
      </w:r>
      <w:r>
        <w:rPr>
          <w:color w:val="231F20"/>
        </w:rPr>
        <w:t>prime</w:t>
      </w:r>
      <w:r>
        <w:rPr>
          <w:color w:val="231F20"/>
          <w:spacing w:val="-2"/>
        </w:rPr>
        <w:t> </w:t>
      </w:r>
      <w:r>
        <w:rPr>
          <w:color w:val="231F20"/>
        </w:rPr>
        <w:t>rate</w:t>
      </w:r>
      <w:r>
        <w:rPr>
          <w:color w:val="231F20"/>
          <w:spacing w:val="-2"/>
        </w:rPr>
        <w:t> </w:t>
      </w:r>
      <w:r>
        <w:rPr>
          <w:color w:val="231F20"/>
        </w:rPr>
        <w:t>in</w:t>
      </w:r>
      <w:r>
        <w:rPr>
          <w:color w:val="231F20"/>
          <w:spacing w:val="-2"/>
        </w:rPr>
        <w:t> </w:t>
      </w:r>
      <w:r>
        <w:rPr>
          <w:color w:val="231F20"/>
        </w:rPr>
        <w:t>effect</w:t>
      </w:r>
      <w:r>
        <w:rPr>
          <w:color w:val="231F20"/>
          <w:spacing w:val="-2"/>
        </w:rPr>
        <w:t> </w:t>
      </w:r>
      <w:r>
        <w:rPr>
          <w:color w:val="231F20"/>
        </w:rPr>
        <w:t>coinciding</w:t>
      </w:r>
      <w:r>
        <w:rPr>
          <w:color w:val="231F20"/>
          <w:spacing w:val="-2"/>
        </w:rPr>
        <w:t> </w:t>
      </w:r>
      <w:r>
        <w:rPr>
          <w:color w:val="231F20"/>
        </w:rPr>
        <w:t>with</w:t>
      </w:r>
      <w:r>
        <w:rPr>
          <w:color w:val="231F20"/>
          <w:spacing w:val="-2"/>
        </w:rPr>
        <w:t> </w:t>
      </w:r>
      <w:r>
        <w:rPr>
          <w:color w:val="231F20"/>
        </w:rPr>
        <w:t>the</w:t>
      </w:r>
      <w:r>
        <w:rPr>
          <w:color w:val="231F20"/>
          <w:spacing w:val="-2"/>
        </w:rPr>
        <w:t> </w:t>
      </w:r>
      <w:r>
        <w:rPr>
          <w:color w:val="231F20"/>
        </w:rPr>
        <w:t>date</w:t>
      </w:r>
      <w:r>
        <w:rPr>
          <w:color w:val="231F20"/>
          <w:spacing w:val="-2"/>
        </w:rPr>
        <w:t> </w:t>
      </w:r>
      <w:r>
        <w:rPr>
          <w:color w:val="231F20"/>
        </w:rPr>
        <w:t>of</w:t>
      </w:r>
      <w:r>
        <w:rPr>
          <w:color w:val="231F20"/>
          <w:spacing w:val="-2"/>
        </w:rPr>
        <w:t> </w:t>
      </w:r>
      <w:r>
        <w:rPr>
          <w:color w:val="231F20"/>
        </w:rPr>
        <w:t>the promise. All promises to give are for nonendowed donations. No allowance for doubtful accounts related to such promises was deemed necessary at June 30, 2022.</w:t>
      </w:r>
    </w:p>
    <w:p>
      <w:pPr>
        <w:pStyle w:val="BodyText"/>
        <w:rPr>
          <w:sz w:val="23"/>
        </w:rPr>
      </w:pPr>
    </w:p>
    <w:p>
      <w:pPr>
        <w:pStyle w:val="BodyText"/>
        <w:spacing w:line="276" w:lineRule="auto"/>
        <w:ind w:left="1439" w:right="1048"/>
      </w:pPr>
      <w:r>
        <w:rPr>
          <w:i/>
          <w:color w:val="231F20"/>
        </w:rPr>
        <w:t>Investments </w:t>
      </w:r>
      <w:r>
        <w:rPr>
          <w:color w:val="231F20"/>
        </w:rPr>
        <w:t>– The Board of Trustees has the sole authority and responsibility to make changes to the Foundation's investment policies. There were no significant changes to its investment policy during the year.</w:t>
      </w:r>
      <w:r>
        <w:rPr>
          <w:color w:val="231F20"/>
          <w:spacing w:val="-3"/>
        </w:rPr>
        <w:t> </w:t>
      </w:r>
      <w:r>
        <w:rPr>
          <w:color w:val="231F20"/>
        </w:rPr>
        <w:t>In</w:t>
      </w:r>
      <w:r>
        <w:rPr>
          <w:color w:val="231F20"/>
          <w:spacing w:val="-3"/>
        </w:rPr>
        <w:t> </w:t>
      </w:r>
      <w:r>
        <w:rPr>
          <w:color w:val="231F20"/>
        </w:rPr>
        <w:t>conformity</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Uniform</w:t>
      </w:r>
      <w:r>
        <w:rPr>
          <w:color w:val="231F20"/>
          <w:spacing w:val="-3"/>
        </w:rPr>
        <w:t> </w:t>
      </w:r>
      <w:r>
        <w:rPr>
          <w:color w:val="231F20"/>
        </w:rPr>
        <w:t>Prudent</w:t>
      </w:r>
      <w:r>
        <w:rPr>
          <w:color w:val="231F20"/>
          <w:spacing w:val="-3"/>
        </w:rPr>
        <w:t> </w:t>
      </w:r>
      <w:r>
        <w:rPr>
          <w:color w:val="231F20"/>
        </w:rPr>
        <w:t>Management</w:t>
      </w:r>
      <w:r>
        <w:rPr>
          <w:color w:val="231F20"/>
          <w:spacing w:val="-3"/>
        </w:rPr>
        <w:t> </w:t>
      </w:r>
      <w:r>
        <w:rPr>
          <w:color w:val="231F20"/>
        </w:rPr>
        <w:t>of</w:t>
      </w:r>
      <w:r>
        <w:rPr>
          <w:color w:val="231F20"/>
          <w:spacing w:val="-3"/>
        </w:rPr>
        <w:t> </w:t>
      </w:r>
      <w:r>
        <w:rPr>
          <w:color w:val="231F20"/>
        </w:rPr>
        <w:t>Institutional</w:t>
      </w:r>
      <w:r>
        <w:rPr>
          <w:color w:val="231F20"/>
          <w:spacing w:val="-3"/>
        </w:rPr>
        <w:t> </w:t>
      </w:r>
      <w:r>
        <w:rPr>
          <w:color w:val="231F20"/>
        </w:rPr>
        <w:t>Funds</w:t>
      </w:r>
      <w:r>
        <w:rPr>
          <w:color w:val="231F20"/>
          <w:spacing w:val="-3"/>
        </w:rPr>
        <w:t> </w:t>
      </w:r>
      <w:r>
        <w:rPr>
          <w:color w:val="231F20"/>
        </w:rPr>
        <w:t>Act</w:t>
      </w:r>
      <w:r>
        <w:rPr>
          <w:color w:val="231F20"/>
          <w:spacing w:val="-3"/>
        </w:rPr>
        <w:t> </w:t>
      </w:r>
      <w:r>
        <w:rPr>
          <w:color w:val="231F20"/>
        </w:rPr>
        <w:t>(UPMIFA)</w:t>
      </w:r>
      <w:r>
        <w:rPr>
          <w:color w:val="231F20"/>
          <w:spacing w:val="-3"/>
        </w:rPr>
        <w:t> </w:t>
      </w:r>
      <w:r>
        <w:rPr>
          <w:color w:val="231F20"/>
        </w:rPr>
        <w:t>(Chapter 46, Article 9A 1-10 NMSA 1978), the Foundation primarily invests through the New Mexico State Investment Council's (NMSIC) investment funds or in various mutual funds held and managed by a national brokerage firm.</w:t>
      </w:r>
    </w:p>
    <w:p>
      <w:pPr>
        <w:pStyle w:val="BodyText"/>
        <w:spacing w:before="10"/>
        <w:rPr>
          <w:sz w:val="22"/>
        </w:rPr>
      </w:pPr>
    </w:p>
    <w:p>
      <w:pPr>
        <w:pStyle w:val="BodyText"/>
        <w:spacing w:line="276" w:lineRule="auto"/>
        <w:ind w:left="1439" w:right="890"/>
      </w:pPr>
      <w:r>
        <w:rPr>
          <w:color w:val="231F20"/>
        </w:rPr>
        <w:t>Investments</w:t>
      </w:r>
      <w:r>
        <w:rPr>
          <w:color w:val="231F20"/>
          <w:spacing w:val="-3"/>
        </w:rPr>
        <w:t> </w:t>
      </w:r>
      <w:r>
        <w:rPr>
          <w:color w:val="231F20"/>
        </w:rPr>
        <w:t>in</w:t>
      </w:r>
      <w:r>
        <w:rPr>
          <w:color w:val="231F20"/>
          <w:spacing w:val="-3"/>
        </w:rPr>
        <w:t> </w:t>
      </w:r>
      <w:r>
        <w:rPr>
          <w:color w:val="231F20"/>
        </w:rPr>
        <w:t>equity</w:t>
      </w:r>
      <w:r>
        <w:rPr>
          <w:color w:val="231F20"/>
          <w:spacing w:val="-4"/>
        </w:rPr>
        <w:t> </w:t>
      </w:r>
      <w:r>
        <w:rPr>
          <w:color w:val="231F20"/>
        </w:rPr>
        <w:t>securities</w:t>
      </w:r>
      <w:r>
        <w:rPr>
          <w:color w:val="231F20"/>
          <w:spacing w:val="-3"/>
        </w:rPr>
        <w:t> </w:t>
      </w:r>
      <w:r>
        <w:rPr>
          <w:color w:val="231F20"/>
        </w:rPr>
        <w:t>with</w:t>
      </w:r>
      <w:r>
        <w:rPr>
          <w:color w:val="231F20"/>
          <w:spacing w:val="-4"/>
        </w:rPr>
        <w:t> </w:t>
      </w:r>
      <w:r>
        <w:rPr>
          <w:color w:val="231F20"/>
        </w:rPr>
        <w:t>readily</w:t>
      </w:r>
      <w:r>
        <w:rPr>
          <w:color w:val="231F20"/>
          <w:spacing w:val="-3"/>
        </w:rPr>
        <w:t> </w:t>
      </w:r>
      <w:r>
        <w:rPr>
          <w:color w:val="231F20"/>
        </w:rPr>
        <w:t>determinable</w:t>
      </w:r>
      <w:r>
        <w:rPr>
          <w:color w:val="231F20"/>
          <w:spacing w:val="-3"/>
        </w:rPr>
        <w:t> </w:t>
      </w:r>
      <w:r>
        <w:rPr>
          <w:color w:val="231F20"/>
        </w:rPr>
        <w:t>fair</w:t>
      </w:r>
      <w:r>
        <w:rPr>
          <w:color w:val="231F20"/>
          <w:spacing w:val="-3"/>
        </w:rPr>
        <w:t> </w:t>
      </w:r>
      <w:r>
        <w:rPr>
          <w:color w:val="231F20"/>
        </w:rPr>
        <w:t>values</w:t>
      </w:r>
      <w:r>
        <w:rPr>
          <w:color w:val="231F20"/>
          <w:spacing w:val="-3"/>
        </w:rPr>
        <w:t> </w:t>
      </w:r>
      <w:r>
        <w:rPr>
          <w:color w:val="231F20"/>
        </w:rPr>
        <w:t>and</w:t>
      </w:r>
      <w:r>
        <w:rPr>
          <w:color w:val="231F20"/>
          <w:spacing w:val="-3"/>
        </w:rPr>
        <w:t> </w:t>
      </w:r>
      <w:r>
        <w:rPr>
          <w:color w:val="231F20"/>
        </w:rPr>
        <w:t>all</w:t>
      </w:r>
      <w:r>
        <w:rPr>
          <w:color w:val="231F20"/>
          <w:spacing w:val="-3"/>
        </w:rPr>
        <w:t> </w:t>
      </w:r>
      <w:r>
        <w:rPr>
          <w:color w:val="231F20"/>
        </w:rPr>
        <w:t>investments</w:t>
      </w:r>
      <w:r>
        <w:rPr>
          <w:color w:val="231F20"/>
          <w:spacing w:val="-3"/>
        </w:rPr>
        <w:t> </w:t>
      </w:r>
      <w:r>
        <w:rPr>
          <w:color w:val="231F20"/>
        </w:rPr>
        <w:t>in</w:t>
      </w:r>
      <w:r>
        <w:rPr>
          <w:color w:val="231F20"/>
          <w:spacing w:val="-3"/>
        </w:rPr>
        <w:t> </w:t>
      </w:r>
      <w:r>
        <w:rPr>
          <w:color w:val="231F20"/>
        </w:rPr>
        <w:t>debt</w:t>
      </w:r>
      <w:r>
        <w:rPr>
          <w:color w:val="231F20"/>
          <w:spacing w:val="-3"/>
        </w:rPr>
        <w:t> </w:t>
      </w:r>
      <w:r>
        <w:rPr>
          <w:color w:val="231F20"/>
        </w:rPr>
        <w:t>securities are measured at fair value in the balance sheet in accordance with GASB 72. Mutual funds are based on the Foundation's pro-rata share of unit value of the mutual funds. Investment transactions are recorded</w:t>
      </w:r>
      <w:r>
        <w:rPr>
          <w:color w:val="231F20"/>
          <w:spacing w:val="40"/>
        </w:rPr>
        <w:t> </w:t>
      </w:r>
      <w:r>
        <w:rPr>
          <w:color w:val="231F20"/>
        </w:rPr>
        <w:t>on the trade date basis. Dividends are recognized as income when declared. Investment income or loss (including realized and unrealized gains and losses on investments, interest, and dividends) are reported as increases or decreases in net position on the statement of revenues, expenses, and changes in net </w:t>
      </w:r>
      <w:r>
        <w:rPr>
          <w:color w:val="231F20"/>
          <w:spacing w:val="-2"/>
        </w:rPr>
        <w:t>position.</w:t>
      </w:r>
    </w:p>
    <w:p>
      <w:pPr>
        <w:pStyle w:val="BodyText"/>
        <w:rPr>
          <w:sz w:val="23"/>
        </w:rPr>
      </w:pPr>
    </w:p>
    <w:p>
      <w:pPr>
        <w:pStyle w:val="BodyText"/>
        <w:spacing w:line="276" w:lineRule="auto"/>
        <w:ind w:left="1439" w:right="891"/>
      </w:pPr>
      <w:r>
        <w:rPr>
          <w:color w:val="231F20"/>
        </w:rPr>
        <w:t>The</w:t>
      </w:r>
      <w:r>
        <w:rPr>
          <w:color w:val="231F20"/>
          <w:spacing w:val="-3"/>
        </w:rPr>
        <w:t> </w:t>
      </w:r>
      <w:r>
        <w:rPr>
          <w:color w:val="231F20"/>
        </w:rPr>
        <w:t>Foundation</w:t>
      </w:r>
      <w:r>
        <w:rPr>
          <w:color w:val="231F20"/>
          <w:spacing w:val="-3"/>
        </w:rPr>
        <w:t> </w:t>
      </w:r>
      <w:r>
        <w:rPr>
          <w:color w:val="231F20"/>
        </w:rPr>
        <w:t>has</w:t>
      </w:r>
      <w:r>
        <w:rPr>
          <w:color w:val="231F20"/>
          <w:spacing w:val="-3"/>
        </w:rPr>
        <w:t> </w:t>
      </w:r>
      <w:r>
        <w:rPr>
          <w:color w:val="231F20"/>
        </w:rPr>
        <w:t>no</w:t>
      </w:r>
      <w:r>
        <w:rPr>
          <w:color w:val="231F20"/>
          <w:spacing w:val="-3"/>
        </w:rPr>
        <w:t> </w:t>
      </w:r>
      <w:r>
        <w:rPr>
          <w:color w:val="231F20"/>
        </w:rPr>
        <w:t>limitations</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types</w:t>
      </w:r>
      <w:r>
        <w:rPr>
          <w:color w:val="231F20"/>
          <w:spacing w:val="-3"/>
        </w:rPr>
        <w:t> </w:t>
      </w:r>
      <w:r>
        <w:rPr>
          <w:color w:val="231F20"/>
        </w:rPr>
        <w:t>of</w:t>
      </w:r>
      <w:r>
        <w:rPr>
          <w:color w:val="231F20"/>
          <w:spacing w:val="-3"/>
        </w:rPr>
        <w:t> </w:t>
      </w:r>
      <w:r>
        <w:rPr>
          <w:color w:val="231F20"/>
        </w:rPr>
        <w:t>investments</w:t>
      </w:r>
      <w:r>
        <w:rPr>
          <w:color w:val="231F20"/>
          <w:spacing w:val="-3"/>
        </w:rPr>
        <w:t> </w:t>
      </w:r>
      <w:r>
        <w:rPr>
          <w:color w:val="231F20"/>
        </w:rPr>
        <w:t>or</w:t>
      </w:r>
      <w:r>
        <w:rPr>
          <w:color w:val="231F20"/>
          <w:spacing w:val="-3"/>
        </w:rPr>
        <w:t> </w:t>
      </w:r>
      <w:r>
        <w:rPr>
          <w:color w:val="231F20"/>
        </w:rPr>
        <w:t>deposits</w:t>
      </w:r>
      <w:r>
        <w:rPr>
          <w:color w:val="231F20"/>
          <w:spacing w:val="-3"/>
        </w:rPr>
        <w:t> </w:t>
      </w:r>
      <w:r>
        <w:rPr>
          <w:color w:val="231F20"/>
        </w:rPr>
        <w:t>it</w:t>
      </w:r>
      <w:r>
        <w:rPr>
          <w:color w:val="231F20"/>
          <w:spacing w:val="-3"/>
        </w:rPr>
        <w:t> </w:t>
      </w:r>
      <w:r>
        <w:rPr>
          <w:color w:val="231F20"/>
        </w:rPr>
        <w:t>can</w:t>
      </w:r>
      <w:r>
        <w:rPr>
          <w:color w:val="231F20"/>
          <w:spacing w:val="-4"/>
        </w:rPr>
        <w:t> </w:t>
      </w:r>
      <w:r>
        <w:rPr>
          <w:color w:val="231F20"/>
        </w:rPr>
        <w:t>make</w:t>
      </w:r>
      <w:r>
        <w:rPr>
          <w:color w:val="231F20"/>
          <w:spacing w:val="-4"/>
        </w:rPr>
        <w:t> </w:t>
      </w:r>
      <w:r>
        <w:rPr>
          <w:color w:val="231F20"/>
        </w:rPr>
        <w:t>within</w:t>
      </w:r>
      <w:r>
        <w:rPr>
          <w:color w:val="231F20"/>
          <w:spacing w:val="-3"/>
        </w:rPr>
        <w:t> </w:t>
      </w:r>
      <w:r>
        <w:rPr>
          <w:color w:val="231F20"/>
        </w:rPr>
        <w:t>the</w:t>
      </w:r>
      <w:r>
        <w:rPr>
          <w:color w:val="231F20"/>
          <w:spacing w:val="-3"/>
        </w:rPr>
        <w:t> </w:t>
      </w:r>
      <w:r>
        <w:rPr>
          <w:color w:val="231F20"/>
        </w:rPr>
        <w:t>scope</w:t>
      </w:r>
      <w:r>
        <w:rPr>
          <w:color w:val="231F20"/>
          <w:spacing w:val="-3"/>
        </w:rPr>
        <w:t> </w:t>
      </w:r>
      <w:r>
        <w:rPr>
          <w:color w:val="231F20"/>
        </w:rPr>
        <w:t>of its investment policy. The following are the target allocations for the investments:</w:t>
      </w:r>
    </w:p>
    <w:p>
      <w:pPr>
        <w:pStyle w:val="BodyText"/>
        <w:spacing w:before="10"/>
        <w:rPr>
          <w:sz w:val="24"/>
        </w:rPr>
      </w:pPr>
    </w:p>
    <w:tbl>
      <w:tblPr>
        <w:tblW w:w="0" w:type="auto"/>
        <w:jc w:val="left"/>
        <w:tblInd w:w="1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5"/>
        <w:gridCol w:w="2257"/>
        <w:gridCol w:w="2314"/>
      </w:tblGrid>
      <w:tr>
        <w:trPr>
          <w:trHeight w:val="282" w:hRule="atLeast"/>
        </w:trPr>
        <w:tc>
          <w:tcPr>
            <w:tcW w:w="3085" w:type="dxa"/>
          </w:tcPr>
          <w:p>
            <w:pPr>
              <w:pStyle w:val="TableParagraph"/>
              <w:tabs>
                <w:tab w:pos="970" w:val="left" w:leader="none"/>
                <w:tab w:pos="2933" w:val="left" w:leader="none"/>
              </w:tabs>
              <w:spacing w:line="218" w:lineRule="exact"/>
              <w:ind w:left="50"/>
              <w:rPr>
                <w:sz w:val="19"/>
              </w:rPr>
            </w:pPr>
            <w:r>
              <w:rPr>
                <w:color w:val="231F20"/>
                <w:sz w:val="19"/>
                <w:u w:val="single" w:color="231F20"/>
              </w:rPr>
              <w:tab/>
            </w:r>
            <w:r>
              <w:rPr>
                <w:color w:val="231F20"/>
                <w:w w:val="105"/>
                <w:sz w:val="19"/>
                <w:u w:val="single" w:color="231F20"/>
              </w:rPr>
              <w:t>Asset</w:t>
            </w:r>
            <w:r>
              <w:rPr>
                <w:color w:val="231F20"/>
                <w:spacing w:val="-1"/>
                <w:w w:val="105"/>
                <w:sz w:val="19"/>
                <w:u w:val="single" w:color="231F20"/>
              </w:rPr>
              <w:t> </w:t>
            </w:r>
            <w:r>
              <w:rPr>
                <w:color w:val="231F20"/>
                <w:spacing w:val="-4"/>
                <w:w w:val="105"/>
                <w:sz w:val="19"/>
                <w:u w:val="single" w:color="231F20"/>
              </w:rPr>
              <w:t>Class</w:t>
            </w:r>
            <w:r>
              <w:rPr>
                <w:color w:val="231F20"/>
                <w:sz w:val="19"/>
                <w:u w:val="single" w:color="231F20"/>
              </w:rPr>
              <w:tab/>
            </w:r>
          </w:p>
        </w:tc>
        <w:tc>
          <w:tcPr>
            <w:tcW w:w="2257" w:type="dxa"/>
          </w:tcPr>
          <w:p>
            <w:pPr>
              <w:pStyle w:val="TableParagraph"/>
              <w:spacing w:line="218" w:lineRule="exact"/>
              <w:ind w:left="1"/>
              <w:jc w:val="center"/>
              <w:rPr>
                <w:sz w:val="19"/>
              </w:rPr>
            </w:pPr>
            <w:r>
              <w:rPr>
                <w:color w:val="231F20"/>
                <w:spacing w:val="31"/>
                <w:w w:val="105"/>
                <w:sz w:val="19"/>
                <w:u w:val="single" w:color="231F20"/>
              </w:rPr>
              <w:t>  </w:t>
            </w:r>
            <w:r>
              <w:rPr>
                <w:color w:val="231F20"/>
                <w:w w:val="105"/>
                <w:sz w:val="19"/>
                <w:u w:val="single" w:color="231F20"/>
              </w:rPr>
              <w:t>Long-Term</w:t>
            </w:r>
            <w:r>
              <w:rPr>
                <w:color w:val="231F20"/>
                <w:spacing w:val="1"/>
                <w:w w:val="105"/>
                <w:sz w:val="19"/>
                <w:u w:val="single" w:color="231F20"/>
              </w:rPr>
              <w:t> </w:t>
            </w:r>
            <w:r>
              <w:rPr>
                <w:color w:val="231F20"/>
                <w:spacing w:val="-2"/>
                <w:w w:val="105"/>
                <w:sz w:val="19"/>
                <w:u w:val="single" w:color="231F20"/>
              </w:rPr>
              <w:t>Target</w:t>
            </w:r>
            <w:r>
              <w:rPr>
                <w:color w:val="231F20"/>
                <w:spacing w:val="40"/>
                <w:w w:val="105"/>
                <w:sz w:val="19"/>
                <w:u w:val="single" w:color="231F20"/>
              </w:rPr>
              <w:t> </w:t>
            </w:r>
          </w:p>
        </w:tc>
        <w:tc>
          <w:tcPr>
            <w:tcW w:w="2314" w:type="dxa"/>
          </w:tcPr>
          <w:p>
            <w:pPr>
              <w:pStyle w:val="TableParagraph"/>
              <w:tabs>
                <w:tab w:pos="413" w:val="left" w:leader="none"/>
                <w:tab w:pos="2214" w:val="left" w:leader="none"/>
              </w:tabs>
              <w:spacing w:line="218" w:lineRule="exact"/>
              <w:ind w:left="102"/>
              <w:jc w:val="center"/>
              <w:rPr>
                <w:sz w:val="19"/>
              </w:rPr>
            </w:pPr>
            <w:r>
              <w:rPr>
                <w:color w:val="231F20"/>
                <w:sz w:val="19"/>
                <w:u w:val="single" w:color="231F20"/>
              </w:rPr>
              <w:tab/>
            </w:r>
            <w:r>
              <w:rPr>
                <w:color w:val="231F20"/>
                <w:w w:val="105"/>
                <w:sz w:val="19"/>
                <w:u w:val="single" w:color="231F20"/>
              </w:rPr>
              <w:t>Allowable</w:t>
            </w:r>
            <w:r>
              <w:rPr>
                <w:color w:val="231F20"/>
                <w:spacing w:val="-1"/>
                <w:w w:val="105"/>
                <w:sz w:val="19"/>
                <w:u w:val="single" w:color="231F20"/>
              </w:rPr>
              <w:t> </w:t>
            </w:r>
            <w:r>
              <w:rPr>
                <w:color w:val="231F20"/>
                <w:spacing w:val="-2"/>
                <w:w w:val="105"/>
                <w:sz w:val="19"/>
                <w:u w:val="single" w:color="231F20"/>
              </w:rPr>
              <w:t>Range</w:t>
            </w:r>
            <w:r>
              <w:rPr>
                <w:color w:val="231F20"/>
                <w:sz w:val="19"/>
                <w:u w:val="single" w:color="231F20"/>
              </w:rPr>
              <w:tab/>
            </w:r>
          </w:p>
        </w:tc>
      </w:tr>
      <w:tr>
        <w:trPr>
          <w:trHeight w:val="294" w:hRule="atLeast"/>
        </w:trPr>
        <w:tc>
          <w:tcPr>
            <w:tcW w:w="3085" w:type="dxa"/>
          </w:tcPr>
          <w:p>
            <w:pPr>
              <w:pStyle w:val="TableParagraph"/>
              <w:spacing w:line="212" w:lineRule="exact" w:before="62"/>
              <w:ind w:left="88"/>
              <w:rPr>
                <w:sz w:val="19"/>
              </w:rPr>
            </w:pPr>
            <w:r>
              <w:rPr>
                <w:color w:val="231F20"/>
                <w:w w:val="105"/>
                <w:sz w:val="19"/>
              </w:rPr>
              <w:t>Fixed</w:t>
            </w:r>
            <w:r>
              <w:rPr>
                <w:color w:val="231F20"/>
                <w:spacing w:val="-1"/>
                <w:w w:val="105"/>
                <w:sz w:val="19"/>
              </w:rPr>
              <w:t> </w:t>
            </w:r>
            <w:r>
              <w:rPr>
                <w:color w:val="231F20"/>
                <w:spacing w:val="-2"/>
                <w:w w:val="105"/>
                <w:sz w:val="19"/>
              </w:rPr>
              <w:t>income</w:t>
            </w:r>
          </w:p>
        </w:tc>
        <w:tc>
          <w:tcPr>
            <w:tcW w:w="2257" w:type="dxa"/>
          </w:tcPr>
          <w:p>
            <w:pPr>
              <w:pStyle w:val="TableParagraph"/>
              <w:spacing w:line="212" w:lineRule="exact" w:before="62"/>
              <w:ind w:left="19"/>
              <w:jc w:val="center"/>
              <w:rPr>
                <w:sz w:val="19"/>
              </w:rPr>
            </w:pPr>
            <w:r>
              <w:rPr>
                <w:color w:val="231F20"/>
                <w:spacing w:val="-5"/>
                <w:w w:val="105"/>
                <w:sz w:val="19"/>
              </w:rPr>
              <w:t>30%</w:t>
            </w:r>
          </w:p>
        </w:tc>
        <w:tc>
          <w:tcPr>
            <w:tcW w:w="2314" w:type="dxa"/>
          </w:tcPr>
          <w:p>
            <w:pPr>
              <w:pStyle w:val="TableParagraph"/>
              <w:spacing w:line="212" w:lineRule="exact" w:before="62"/>
              <w:ind w:left="122"/>
              <w:jc w:val="center"/>
              <w:rPr>
                <w:sz w:val="19"/>
              </w:rPr>
            </w:pPr>
            <w:r>
              <w:rPr>
                <w:color w:val="231F20"/>
                <w:w w:val="105"/>
                <w:sz w:val="19"/>
              </w:rPr>
              <w:t>25</w:t>
            </w:r>
            <w:r>
              <w:rPr>
                <w:color w:val="231F20"/>
                <w:spacing w:val="-2"/>
                <w:w w:val="105"/>
                <w:sz w:val="19"/>
              </w:rPr>
              <w:t> </w:t>
            </w:r>
            <w:r>
              <w:rPr>
                <w:color w:val="231F20"/>
                <w:w w:val="105"/>
                <w:sz w:val="19"/>
              </w:rPr>
              <w:t>-</w:t>
            </w:r>
            <w:r>
              <w:rPr>
                <w:color w:val="231F20"/>
                <w:spacing w:val="-1"/>
                <w:w w:val="105"/>
                <w:sz w:val="19"/>
              </w:rPr>
              <w:t> </w:t>
            </w:r>
            <w:r>
              <w:rPr>
                <w:color w:val="231F20"/>
                <w:spacing w:val="-5"/>
                <w:w w:val="105"/>
                <w:sz w:val="19"/>
              </w:rPr>
              <w:t>50%</w:t>
            </w:r>
          </w:p>
        </w:tc>
      </w:tr>
      <w:tr>
        <w:trPr>
          <w:trHeight w:val="231" w:hRule="atLeast"/>
        </w:trPr>
        <w:tc>
          <w:tcPr>
            <w:tcW w:w="3085" w:type="dxa"/>
          </w:tcPr>
          <w:p>
            <w:pPr>
              <w:pStyle w:val="TableParagraph"/>
              <w:spacing w:line="200" w:lineRule="exact" w:before="11"/>
              <w:ind w:left="88"/>
              <w:rPr>
                <w:sz w:val="19"/>
              </w:rPr>
            </w:pPr>
            <w:r>
              <w:rPr>
                <w:color w:val="231F20"/>
                <w:spacing w:val="-2"/>
                <w:w w:val="105"/>
                <w:sz w:val="19"/>
              </w:rPr>
              <w:t>Equity</w:t>
            </w:r>
          </w:p>
        </w:tc>
        <w:tc>
          <w:tcPr>
            <w:tcW w:w="2257" w:type="dxa"/>
          </w:tcPr>
          <w:p>
            <w:pPr>
              <w:pStyle w:val="TableParagraph"/>
              <w:spacing w:line="200" w:lineRule="exact" w:before="11"/>
              <w:ind w:left="19"/>
              <w:jc w:val="center"/>
              <w:rPr>
                <w:sz w:val="19"/>
              </w:rPr>
            </w:pPr>
            <w:r>
              <w:rPr>
                <w:color w:val="231F20"/>
                <w:spacing w:val="-5"/>
                <w:w w:val="105"/>
                <w:sz w:val="19"/>
              </w:rPr>
              <w:t>70%</w:t>
            </w:r>
          </w:p>
        </w:tc>
        <w:tc>
          <w:tcPr>
            <w:tcW w:w="2314" w:type="dxa"/>
          </w:tcPr>
          <w:p>
            <w:pPr>
              <w:pStyle w:val="TableParagraph"/>
              <w:spacing w:line="200" w:lineRule="exact" w:before="11"/>
              <w:ind w:left="122"/>
              <w:jc w:val="center"/>
              <w:rPr>
                <w:sz w:val="19"/>
              </w:rPr>
            </w:pPr>
            <w:r>
              <w:rPr>
                <w:color w:val="231F20"/>
                <w:w w:val="105"/>
                <w:sz w:val="19"/>
              </w:rPr>
              <w:t>50</w:t>
            </w:r>
            <w:r>
              <w:rPr>
                <w:color w:val="231F20"/>
                <w:spacing w:val="-2"/>
                <w:w w:val="105"/>
                <w:sz w:val="19"/>
              </w:rPr>
              <w:t> </w:t>
            </w:r>
            <w:r>
              <w:rPr>
                <w:color w:val="231F20"/>
                <w:w w:val="105"/>
                <w:sz w:val="19"/>
              </w:rPr>
              <w:t>-</w:t>
            </w:r>
            <w:r>
              <w:rPr>
                <w:color w:val="231F20"/>
                <w:spacing w:val="-1"/>
                <w:w w:val="105"/>
                <w:sz w:val="19"/>
              </w:rPr>
              <w:t> </w:t>
            </w:r>
            <w:r>
              <w:rPr>
                <w:color w:val="231F20"/>
                <w:spacing w:val="-5"/>
                <w:w w:val="105"/>
                <w:sz w:val="19"/>
              </w:rPr>
              <w:t>70%</w:t>
            </w:r>
          </w:p>
        </w:tc>
      </w:tr>
    </w:tbl>
    <w:p>
      <w:pPr>
        <w:spacing w:after="0" w:line="200" w:lineRule="exact"/>
        <w:jc w:val="center"/>
        <w:rPr>
          <w:sz w:val="19"/>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6"/>
        </w:rPr>
      </w:pPr>
    </w:p>
    <w:p>
      <w:pPr>
        <w:pStyle w:val="BodyText"/>
        <w:spacing w:line="276" w:lineRule="auto"/>
        <w:ind w:left="1440" w:right="1047"/>
      </w:pPr>
      <w:r>
        <w:rPr>
          <w:color w:val="231F20"/>
        </w:rPr>
        <w:t>Due</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nature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investments,</w:t>
      </w:r>
      <w:r>
        <w:rPr>
          <w:color w:val="231F20"/>
          <w:spacing w:val="-3"/>
        </w:rPr>
        <w:t> </w:t>
      </w:r>
      <w:r>
        <w:rPr>
          <w:color w:val="231F20"/>
        </w:rPr>
        <w:t>it</w:t>
      </w:r>
      <w:r>
        <w:rPr>
          <w:color w:val="231F20"/>
          <w:spacing w:val="-3"/>
        </w:rPr>
        <w:t> </w:t>
      </w:r>
      <w:r>
        <w:rPr>
          <w:color w:val="231F20"/>
        </w:rPr>
        <w:t>is</w:t>
      </w:r>
      <w:r>
        <w:rPr>
          <w:color w:val="231F20"/>
          <w:spacing w:val="-3"/>
        </w:rPr>
        <w:t> </w:t>
      </w:r>
      <w:r>
        <w:rPr>
          <w:color w:val="231F20"/>
        </w:rPr>
        <w:t>reasonable</w:t>
      </w:r>
      <w:r>
        <w:rPr>
          <w:color w:val="231F20"/>
          <w:spacing w:val="-3"/>
        </w:rPr>
        <w:t> </w:t>
      </w:r>
      <w:r>
        <w:rPr>
          <w:color w:val="231F20"/>
        </w:rPr>
        <w:t>that</w:t>
      </w:r>
      <w:r>
        <w:rPr>
          <w:color w:val="231F20"/>
          <w:spacing w:val="-3"/>
        </w:rPr>
        <w:t> </w:t>
      </w:r>
      <w:r>
        <w:rPr>
          <w:color w:val="231F20"/>
        </w:rPr>
        <w:t>changes</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value</w:t>
      </w:r>
      <w:r>
        <w:rPr>
          <w:color w:val="231F20"/>
          <w:spacing w:val="-3"/>
        </w:rPr>
        <w:t> </w:t>
      </w:r>
      <w:r>
        <w:rPr>
          <w:color w:val="231F20"/>
        </w:rPr>
        <w:t>of</w:t>
      </w:r>
      <w:r>
        <w:rPr>
          <w:color w:val="231F20"/>
          <w:spacing w:val="-3"/>
        </w:rPr>
        <w:t> </w:t>
      </w:r>
      <w:r>
        <w:rPr>
          <w:color w:val="231F20"/>
        </w:rPr>
        <w:t>investments</w:t>
      </w:r>
      <w:r>
        <w:rPr>
          <w:color w:val="231F20"/>
          <w:spacing w:val="-4"/>
        </w:rPr>
        <w:t> </w:t>
      </w:r>
      <w:r>
        <w:rPr>
          <w:color w:val="231F20"/>
        </w:rPr>
        <w:t>will</w:t>
      </w:r>
      <w:r>
        <w:rPr>
          <w:color w:val="231F20"/>
          <w:spacing w:val="-3"/>
        </w:rPr>
        <w:t> </w:t>
      </w:r>
      <w:r>
        <w:rPr>
          <w:color w:val="231F20"/>
        </w:rPr>
        <w:t>occur in the near future and could materially affect the amounts reported. The determination of fair values includes,</w:t>
      </w:r>
      <w:r>
        <w:rPr>
          <w:color w:val="231F20"/>
          <w:spacing w:val="-3"/>
        </w:rPr>
        <w:t> </w:t>
      </w:r>
      <w:r>
        <w:rPr>
          <w:color w:val="231F20"/>
        </w:rPr>
        <w:t>among</w:t>
      </w:r>
      <w:r>
        <w:rPr>
          <w:color w:val="231F20"/>
          <w:spacing w:val="-3"/>
        </w:rPr>
        <w:t> </w:t>
      </w:r>
      <w:r>
        <w:rPr>
          <w:color w:val="231F20"/>
        </w:rPr>
        <w:t>other</w:t>
      </w:r>
      <w:r>
        <w:rPr>
          <w:color w:val="231F20"/>
          <w:spacing w:val="-3"/>
        </w:rPr>
        <w:t> </w:t>
      </w:r>
      <w:r>
        <w:rPr>
          <w:color w:val="231F20"/>
        </w:rPr>
        <w:t>things,</w:t>
      </w:r>
      <w:r>
        <w:rPr>
          <w:color w:val="231F20"/>
          <w:spacing w:val="-3"/>
        </w:rPr>
        <w:t> </w:t>
      </w:r>
      <w:r>
        <w:rPr>
          <w:color w:val="231F20"/>
        </w:rPr>
        <w:t>published</w:t>
      </w:r>
      <w:r>
        <w:rPr>
          <w:color w:val="231F20"/>
          <w:spacing w:val="-4"/>
        </w:rPr>
        <w:t> </w:t>
      </w:r>
      <w:r>
        <w:rPr>
          <w:color w:val="231F20"/>
        </w:rPr>
        <w:t>market</w:t>
      </w:r>
      <w:r>
        <w:rPr>
          <w:color w:val="231F20"/>
          <w:spacing w:val="-3"/>
        </w:rPr>
        <w:t> </w:t>
      </w:r>
      <w:r>
        <w:rPr>
          <w:color w:val="231F20"/>
        </w:rPr>
        <w:t>prices,</w:t>
      </w:r>
      <w:r>
        <w:rPr>
          <w:color w:val="231F20"/>
          <w:spacing w:val="-3"/>
        </w:rPr>
        <w:t> </w:t>
      </w:r>
      <w:r>
        <w:rPr>
          <w:color w:val="231F20"/>
        </w:rPr>
        <w:t>prices</w:t>
      </w:r>
      <w:r>
        <w:rPr>
          <w:color w:val="231F20"/>
          <w:spacing w:val="-2"/>
        </w:rPr>
        <w:t> </w:t>
      </w:r>
      <w:r>
        <w:rPr>
          <w:color w:val="231F20"/>
        </w:rPr>
        <w:t>obtained</w:t>
      </w:r>
      <w:r>
        <w:rPr>
          <w:color w:val="231F20"/>
          <w:spacing w:val="-3"/>
        </w:rPr>
        <w:t> </w:t>
      </w:r>
      <w:r>
        <w:rPr>
          <w:color w:val="231F20"/>
        </w:rPr>
        <w:t>from</w:t>
      </w:r>
      <w:r>
        <w:rPr>
          <w:color w:val="231F20"/>
          <w:spacing w:val="-3"/>
        </w:rPr>
        <w:t> </w:t>
      </w:r>
      <w:r>
        <w:rPr>
          <w:color w:val="231F20"/>
        </w:rPr>
        <w:t>pricing</w:t>
      </w:r>
      <w:r>
        <w:rPr>
          <w:color w:val="231F20"/>
          <w:spacing w:val="-3"/>
        </w:rPr>
        <w:t> </w:t>
      </w:r>
      <w:r>
        <w:rPr>
          <w:color w:val="231F20"/>
        </w:rPr>
        <w:t>services,</w:t>
      </w:r>
      <w:r>
        <w:rPr>
          <w:color w:val="231F20"/>
          <w:spacing w:val="-3"/>
        </w:rPr>
        <w:t> </w:t>
      </w:r>
      <w:r>
        <w:rPr>
          <w:color w:val="231F20"/>
        </w:rPr>
        <w:t>and</w:t>
      </w:r>
      <w:r>
        <w:rPr>
          <w:color w:val="231F20"/>
          <w:spacing w:val="-3"/>
        </w:rPr>
        <w:t> </w:t>
      </w:r>
      <w:r>
        <w:rPr>
          <w:color w:val="231F20"/>
        </w:rPr>
        <w:t>prices quoted by independent brokers at current exchange rates.</w:t>
      </w:r>
    </w:p>
    <w:p>
      <w:pPr>
        <w:pStyle w:val="BodyText"/>
        <w:rPr>
          <w:sz w:val="23"/>
        </w:rPr>
      </w:pPr>
    </w:p>
    <w:p>
      <w:pPr>
        <w:pStyle w:val="BodyText"/>
        <w:spacing w:line="276" w:lineRule="auto"/>
        <w:ind w:left="1440" w:right="1048"/>
      </w:pPr>
      <w:r>
        <w:rPr>
          <w:color w:val="231F20"/>
        </w:rPr>
        <w:t>The</w:t>
      </w:r>
      <w:r>
        <w:rPr>
          <w:color w:val="231F20"/>
          <w:spacing w:val="-3"/>
        </w:rPr>
        <w:t> </w:t>
      </w:r>
      <w:r>
        <w:rPr>
          <w:color w:val="231F20"/>
        </w:rPr>
        <w:t>Foundation</w:t>
      </w:r>
      <w:r>
        <w:rPr>
          <w:color w:val="231F20"/>
          <w:spacing w:val="-3"/>
        </w:rPr>
        <w:t> </w:t>
      </w:r>
      <w:r>
        <w:rPr>
          <w:color w:val="231F20"/>
        </w:rPr>
        <w:t>has</w:t>
      </w:r>
      <w:r>
        <w:rPr>
          <w:color w:val="231F20"/>
          <w:spacing w:val="-3"/>
        </w:rPr>
        <w:t> </w:t>
      </w:r>
      <w:r>
        <w:rPr>
          <w:color w:val="231F20"/>
        </w:rPr>
        <w:t>an</w:t>
      </w:r>
      <w:r>
        <w:rPr>
          <w:color w:val="231F20"/>
          <w:spacing w:val="-3"/>
        </w:rPr>
        <w:t> </w:t>
      </w:r>
      <w:r>
        <w:rPr>
          <w:color w:val="231F20"/>
        </w:rPr>
        <w:t>agreement</w:t>
      </w:r>
      <w:r>
        <w:rPr>
          <w:color w:val="231F20"/>
          <w:spacing w:val="-3"/>
        </w:rPr>
        <w:t> </w:t>
      </w:r>
      <w:r>
        <w:rPr>
          <w:color w:val="231F20"/>
        </w:rPr>
        <w:t>with</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for</w:t>
      </w:r>
      <w:r>
        <w:rPr>
          <w:color w:val="231F20"/>
          <w:spacing w:val="-3"/>
        </w:rPr>
        <w:t> </w:t>
      </w:r>
      <w:r>
        <w:rPr>
          <w:color w:val="231F20"/>
        </w:rPr>
        <w:t>investment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majority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Foundation's funds. Income is allocated based on the proportionate market value of the investment of each participating fund.</w:t>
      </w:r>
    </w:p>
    <w:p>
      <w:pPr>
        <w:pStyle w:val="BodyText"/>
        <w:spacing w:before="10"/>
        <w:rPr>
          <w:sz w:val="22"/>
        </w:rPr>
      </w:pPr>
    </w:p>
    <w:p>
      <w:pPr>
        <w:pStyle w:val="BodyText"/>
        <w:spacing w:line="276" w:lineRule="auto" w:before="1"/>
        <w:ind w:left="1440" w:right="992"/>
      </w:pPr>
      <w:r>
        <w:rPr>
          <w:color w:val="231F20"/>
        </w:rPr>
        <w:t>Information relating to the NMSIC’s use of derivatives is not made available to the Foundation. For</w:t>
      </w:r>
      <w:r>
        <w:rPr>
          <w:color w:val="231F20"/>
        </w:rPr>
        <w:t> GASB</w:t>
      </w:r>
      <w:r>
        <w:rPr>
          <w:color w:val="231F20"/>
          <w:spacing w:val="-3"/>
        </w:rPr>
        <w:t> </w:t>
      </w:r>
      <w:r>
        <w:rPr>
          <w:color w:val="231F20"/>
        </w:rPr>
        <w:t>40</w:t>
      </w:r>
      <w:r>
        <w:rPr>
          <w:color w:val="231F20"/>
          <w:spacing w:val="-3"/>
        </w:rPr>
        <w:t> </w:t>
      </w:r>
      <w:r>
        <w:rPr>
          <w:color w:val="231F20"/>
        </w:rPr>
        <w:t>disclosure</w:t>
      </w:r>
      <w:r>
        <w:rPr>
          <w:color w:val="231F20"/>
          <w:spacing w:val="-3"/>
        </w:rPr>
        <w:t> </w:t>
      </w:r>
      <w:r>
        <w:rPr>
          <w:color w:val="231F20"/>
        </w:rPr>
        <w:t>information</w:t>
      </w:r>
      <w:r>
        <w:rPr>
          <w:color w:val="231F20"/>
          <w:spacing w:val="-3"/>
        </w:rPr>
        <w:t> </w:t>
      </w:r>
      <w:r>
        <w:rPr>
          <w:color w:val="231F20"/>
        </w:rPr>
        <w:t>related</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investments</w:t>
      </w:r>
      <w:r>
        <w:rPr>
          <w:color w:val="231F20"/>
          <w:spacing w:val="-3"/>
        </w:rPr>
        <w:t> </w:t>
      </w:r>
      <w:r>
        <w:rPr>
          <w:color w:val="231F20"/>
        </w:rPr>
        <w:t>held</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NMSIC,</w:t>
      </w:r>
      <w:r>
        <w:rPr>
          <w:color w:val="231F20"/>
          <w:spacing w:val="-3"/>
        </w:rPr>
        <w:t> </w:t>
      </w:r>
      <w:r>
        <w:rPr>
          <w:color w:val="231F20"/>
        </w:rPr>
        <w:t>the</w:t>
      </w:r>
      <w:r>
        <w:rPr>
          <w:color w:val="231F20"/>
          <w:spacing w:val="-3"/>
        </w:rPr>
        <w:t> </w:t>
      </w:r>
      <w:r>
        <w:rPr>
          <w:color w:val="231F20"/>
        </w:rPr>
        <w:t>reader</w:t>
      </w:r>
      <w:r>
        <w:rPr>
          <w:color w:val="231F20"/>
          <w:spacing w:val="-4"/>
        </w:rPr>
        <w:t> </w:t>
      </w:r>
      <w:r>
        <w:rPr>
          <w:color w:val="231F20"/>
        </w:rPr>
        <w:t>should</w:t>
      </w:r>
      <w:r>
        <w:rPr>
          <w:color w:val="231F20"/>
          <w:spacing w:val="-3"/>
        </w:rPr>
        <w:t> </w:t>
      </w:r>
      <w:r>
        <w:rPr>
          <w:color w:val="231F20"/>
        </w:rPr>
        <w:t>refer</w:t>
      </w:r>
      <w:r>
        <w:rPr>
          <w:color w:val="231F20"/>
          <w:spacing w:val="-3"/>
        </w:rPr>
        <w:t> </w:t>
      </w:r>
      <w:r>
        <w:rPr>
          <w:color w:val="231F20"/>
        </w:rPr>
        <w:t>to the</w:t>
      </w:r>
      <w:r>
        <w:rPr>
          <w:color w:val="231F20"/>
          <w:spacing w:val="-2"/>
        </w:rPr>
        <w:t> </w:t>
      </w:r>
      <w:r>
        <w:rPr>
          <w:color w:val="231F20"/>
        </w:rPr>
        <w:t>separate</w:t>
      </w:r>
      <w:r>
        <w:rPr>
          <w:color w:val="231F20"/>
          <w:spacing w:val="-3"/>
        </w:rPr>
        <w:t> </w:t>
      </w:r>
      <w:r>
        <w:rPr>
          <w:color w:val="231F20"/>
        </w:rPr>
        <w:t>audit</w:t>
      </w:r>
      <w:r>
        <w:rPr>
          <w:color w:val="231F20"/>
          <w:spacing w:val="-2"/>
        </w:rPr>
        <w:t> </w:t>
      </w:r>
      <w:r>
        <w:rPr>
          <w:color w:val="231F20"/>
        </w:rPr>
        <w:t>report</w:t>
      </w:r>
      <w:r>
        <w:rPr>
          <w:color w:val="231F20"/>
          <w:spacing w:val="-2"/>
        </w:rPr>
        <w:t> </w:t>
      </w:r>
      <w:r>
        <w:rPr>
          <w:color w:val="231F20"/>
        </w:rPr>
        <w:t>and</w:t>
      </w:r>
      <w:r>
        <w:rPr>
          <w:color w:val="231F20"/>
          <w:spacing w:val="-2"/>
        </w:rPr>
        <w:t> </w:t>
      </w:r>
      <w:r>
        <w:rPr>
          <w:color w:val="231F20"/>
        </w:rPr>
        <w:t>required</w:t>
      </w:r>
      <w:r>
        <w:rPr>
          <w:color w:val="231F20"/>
          <w:spacing w:val="-2"/>
        </w:rPr>
        <w:t> </w:t>
      </w:r>
      <w:r>
        <w:rPr>
          <w:color w:val="231F20"/>
        </w:rPr>
        <w:t>supplementary</w:t>
      </w:r>
      <w:r>
        <w:rPr>
          <w:color w:val="231F20"/>
          <w:spacing w:val="-2"/>
        </w:rPr>
        <w:t> </w:t>
      </w:r>
      <w:r>
        <w:rPr>
          <w:color w:val="231F20"/>
        </w:rPr>
        <w:t>information</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NMSIC</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fiscal</w:t>
      </w:r>
      <w:r>
        <w:rPr>
          <w:color w:val="231F20"/>
          <w:spacing w:val="-2"/>
        </w:rPr>
        <w:t> </w:t>
      </w:r>
      <w:r>
        <w:rPr>
          <w:color w:val="231F20"/>
        </w:rPr>
        <w:t>year</w:t>
      </w:r>
      <w:r>
        <w:rPr>
          <w:color w:val="231F20"/>
          <w:spacing w:val="-2"/>
        </w:rPr>
        <w:t> </w:t>
      </w:r>
      <w:r>
        <w:rPr>
          <w:color w:val="231F20"/>
        </w:rPr>
        <w:t>ended June 30, 2022. That report may be obtained by writing to the New Mexico State Investment Council,</w:t>
      </w:r>
    </w:p>
    <w:p>
      <w:pPr>
        <w:pStyle w:val="BodyText"/>
        <w:spacing w:line="276" w:lineRule="auto"/>
        <w:ind w:left="1440"/>
      </w:pPr>
      <w:r>
        <w:rPr>
          <w:color w:val="231F20"/>
        </w:rPr>
        <w:t>41</w:t>
      </w:r>
      <w:r>
        <w:rPr>
          <w:color w:val="231F20"/>
          <w:spacing w:val="-3"/>
        </w:rPr>
        <w:t> </w:t>
      </w:r>
      <w:r>
        <w:rPr>
          <w:color w:val="231F20"/>
        </w:rPr>
        <w:t>Plaza</w:t>
      </w:r>
      <w:r>
        <w:rPr>
          <w:color w:val="231F20"/>
          <w:spacing w:val="-3"/>
        </w:rPr>
        <w:t> </w:t>
      </w:r>
      <w:r>
        <w:rPr>
          <w:color w:val="231F20"/>
        </w:rPr>
        <w:t>la</w:t>
      </w:r>
      <w:r>
        <w:rPr>
          <w:color w:val="231F20"/>
          <w:spacing w:val="-3"/>
        </w:rPr>
        <w:t> </w:t>
      </w:r>
      <w:r>
        <w:rPr>
          <w:color w:val="231F20"/>
        </w:rPr>
        <w:t>Prensa,</w:t>
      </w:r>
      <w:r>
        <w:rPr>
          <w:color w:val="231F20"/>
          <w:spacing w:val="-3"/>
        </w:rPr>
        <w:t> </w:t>
      </w:r>
      <w:r>
        <w:rPr>
          <w:color w:val="231F20"/>
        </w:rPr>
        <w:t>Santa</w:t>
      </w:r>
      <w:r>
        <w:rPr>
          <w:color w:val="231F20"/>
          <w:spacing w:val="-4"/>
        </w:rPr>
        <w:t> </w:t>
      </w:r>
      <w:r>
        <w:rPr>
          <w:color w:val="231F20"/>
        </w:rPr>
        <w:t>Fe,</w:t>
      </w:r>
      <w:r>
        <w:rPr>
          <w:color w:val="231F20"/>
          <w:spacing w:val="-3"/>
        </w:rPr>
        <w:t> </w:t>
      </w:r>
      <w:r>
        <w:rPr>
          <w:color w:val="231F20"/>
        </w:rPr>
        <w:t>New</w:t>
      </w:r>
      <w:r>
        <w:rPr>
          <w:color w:val="231F20"/>
          <w:spacing w:val="-3"/>
        </w:rPr>
        <w:t> </w:t>
      </w:r>
      <w:r>
        <w:rPr>
          <w:color w:val="231F20"/>
        </w:rPr>
        <w:t>Mexico</w:t>
      </w:r>
      <w:r>
        <w:rPr>
          <w:color w:val="231F20"/>
          <w:spacing w:val="-3"/>
        </w:rPr>
        <w:t> </w:t>
      </w:r>
      <w:r>
        <w:rPr>
          <w:color w:val="231F20"/>
        </w:rPr>
        <w:t>87507.</w:t>
      </w:r>
      <w:r>
        <w:rPr>
          <w:color w:val="231F20"/>
          <w:spacing w:val="-3"/>
        </w:rPr>
        <w:t> </w:t>
      </w:r>
      <w:r>
        <w:rPr>
          <w:color w:val="231F20"/>
        </w:rPr>
        <w:t>The</w:t>
      </w:r>
      <w:r>
        <w:rPr>
          <w:color w:val="231F20"/>
          <w:spacing w:val="-3"/>
        </w:rPr>
        <w:t> </w:t>
      </w:r>
      <w:r>
        <w:rPr>
          <w:color w:val="231F20"/>
        </w:rPr>
        <w:t>report</w:t>
      </w:r>
      <w:r>
        <w:rPr>
          <w:color w:val="231F20"/>
          <w:spacing w:val="-3"/>
        </w:rPr>
        <w:t> </w:t>
      </w:r>
      <w:r>
        <w:rPr>
          <w:color w:val="231F20"/>
        </w:rPr>
        <w:t>is</w:t>
      </w:r>
      <w:r>
        <w:rPr>
          <w:color w:val="231F20"/>
          <w:spacing w:val="-3"/>
        </w:rPr>
        <w:t> </w:t>
      </w:r>
      <w:r>
        <w:rPr>
          <w:color w:val="231F20"/>
        </w:rPr>
        <w:t>also</w:t>
      </w:r>
      <w:r>
        <w:rPr>
          <w:color w:val="231F20"/>
          <w:spacing w:val="-3"/>
        </w:rPr>
        <w:t> </w:t>
      </w:r>
      <w:r>
        <w:rPr>
          <w:color w:val="231F20"/>
        </w:rPr>
        <w:t>available</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NMSIC</w:t>
      </w:r>
      <w:r>
        <w:rPr>
          <w:color w:val="231F20"/>
          <w:spacing w:val="-4"/>
        </w:rPr>
        <w:t> </w:t>
      </w:r>
      <w:r>
        <w:rPr>
          <w:color w:val="231F20"/>
        </w:rPr>
        <w:t>website</w:t>
      </w:r>
      <w:r>
        <w:rPr>
          <w:color w:val="231F20"/>
          <w:spacing w:val="-3"/>
        </w:rPr>
        <w:t> </w:t>
      </w:r>
      <w:r>
        <w:rPr>
          <w:color w:val="231F20"/>
        </w:rPr>
        <w:t>at </w:t>
      </w:r>
      <w:hyperlink r:id="rId47">
        <w:r>
          <w:rPr>
            <w:color w:val="2864B0"/>
            <w:spacing w:val="-2"/>
            <w:u w:val="single" w:color="2864B0"/>
          </w:rPr>
          <w:t>www.sic.state.nm.us</w:t>
        </w:r>
        <w:r>
          <w:rPr>
            <w:color w:val="231F20"/>
            <w:spacing w:val="-2"/>
          </w:rPr>
          <w:t>.</w:t>
        </w:r>
      </w:hyperlink>
    </w:p>
    <w:p>
      <w:pPr>
        <w:pStyle w:val="BodyText"/>
        <w:spacing w:before="10"/>
        <w:rPr>
          <w:sz w:val="14"/>
        </w:rPr>
      </w:pPr>
    </w:p>
    <w:p>
      <w:pPr>
        <w:pStyle w:val="BodyText"/>
        <w:spacing w:line="276" w:lineRule="auto" w:before="94"/>
        <w:ind w:left="1440" w:right="1505"/>
      </w:pPr>
      <w:r>
        <w:rPr>
          <w:color w:val="231F20"/>
        </w:rPr>
        <w:t>Net</w:t>
      </w:r>
      <w:r>
        <w:rPr>
          <w:color w:val="231F20"/>
          <w:spacing w:val="-5"/>
        </w:rPr>
        <w:t> </w:t>
      </w:r>
      <w:r>
        <w:rPr>
          <w:color w:val="231F20"/>
        </w:rPr>
        <w:t>appreciation/depreciation</w:t>
      </w:r>
      <w:r>
        <w:rPr>
          <w:color w:val="231F20"/>
          <w:spacing w:val="-5"/>
        </w:rPr>
        <w:t> </w:t>
      </w:r>
      <w:r>
        <w:rPr>
          <w:color w:val="231F20"/>
        </w:rPr>
        <w:t>on</w:t>
      </w:r>
      <w:r>
        <w:rPr>
          <w:color w:val="231F20"/>
          <w:spacing w:val="-5"/>
        </w:rPr>
        <w:t> </w:t>
      </w:r>
      <w:r>
        <w:rPr>
          <w:color w:val="231F20"/>
        </w:rPr>
        <w:t>donor</w:t>
      </w:r>
      <w:r>
        <w:rPr>
          <w:color w:val="231F20"/>
          <w:spacing w:val="-6"/>
        </w:rPr>
        <w:t> </w:t>
      </w:r>
      <w:r>
        <w:rPr>
          <w:color w:val="231F20"/>
        </w:rPr>
        <w:t>restricted</w:t>
      </w:r>
      <w:r>
        <w:rPr>
          <w:color w:val="231F20"/>
          <w:spacing w:val="-5"/>
        </w:rPr>
        <w:t> </w:t>
      </w:r>
      <w:r>
        <w:rPr>
          <w:color w:val="231F20"/>
        </w:rPr>
        <w:t>endowments</w:t>
      </w:r>
      <w:r>
        <w:rPr>
          <w:color w:val="231F20"/>
          <w:spacing w:val="-5"/>
        </w:rPr>
        <w:t> </w:t>
      </w:r>
      <w:r>
        <w:rPr>
          <w:color w:val="231F20"/>
        </w:rPr>
        <w:t>and</w:t>
      </w:r>
      <w:r>
        <w:rPr>
          <w:color w:val="231F20"/>
          <w:spacing w:val="-6"/>
        </w:rPr>
        <w:t> </w:t>
      </w:r>
      <w:r>
        <w:rPr>
          <w:color w:val="231F20"/>
        </w:rPr>
        <w:t>related</w:t>
      </w:r>
      <w:r>
        <w:rPr>
          <w:color w:val="231F20"/>
          <w:spacing w:val="-5"/>
        </w:rPr>
        <w:t> </w:t>
      </w:r>
      <w:r>
        <w:rPr>
          <w:color w:val="231F20"/>
        </w:rPr>
        <w:t>investment</w:t>
      </w:r>
      <w:r>
        <w:rPr>
          <w:color w:val="231F20"/>
          <w:spacing w:val="-5"/>
        </w:rPr>
        <w:t> </w:t>
      </w:r>
      <w:r>
        <w:rPr>
          <w:color w:val="231F20"/>
        </w:rPr>
        <w:t>income</w:t>
      </w:r>
      <w:r>
        <w:rPr>
          <w:color w:val="231F20"/>
          <w:spacing w:val="-6"/>
        </w:rPr>
        <w:t> </w:t>
      </w:r>
      <w:r>
        <w:rPr>
          <w:color w:val="231F20"/>
        </w:rPr>
        <w:t>are recorded as an increase in restricted, expendable net position until the amount is expended in accordance with donor specifications.</w:t>
      </w:r>
    </w:p>
    <w:p>
      <w:pPr>
        <w:pStyle w:val="BodyText"/>
        <w:spacing w:before="10"/>
        <w:rPr>
          <w:sz w:val="22"/>
        </w:rPr>
      </w:pPr>
    </w:p>
    <w:p>
      <w:pPr>
        <w:pStyle w:val="BodyText"/>
        <w:spacing w:line="276" w:lineRule="auto" w:before="1"/>
        <w:ind w:left="1440" w:right="891" w:hanging="1"/>
      </w:pPr>
      <w:r>
        <w:rPr>
          <w:i/>
          <w:color w:val="231F20"/>
        </w:rPr>
        <w:t>Capital Assets </w:t>
      </w:r>
      <w:r>
        <w:rPr>
          <w:color w:val="231F20"/>
        </w:rPr>
        <w:t>– The Foundation records tangible and intangible capital assets purchased at cost, and donations</w:t>
      </w:r>
      <w:r>
        <w:rPr>
          <w:color w:val="231F20"/>
          <w:spacing w:val="-3"/>
        </w:rPr>
        <w:t> </w:t>
      </w:r>
      <w:r>
        <w:rPr>
          <w:color w:val="231F20"/>
        </w:rPr>
        <w:t>at</w:t>
      </w:r>
      <w:r>
        <w:rPr>
          <w:color w:val="231F20"/>
          <w:spacing w:val="-3"/>
        </w:rPr>
        <w:t> </w:t>
      </w:r>
      <w:r>
        <w:rPr>
          <w:color w:val="231F20"/>
        </w:rPr>
        <w:t>their</w:t>
      </w:r>
      <w:r>
        <w:rPr>
          <w:color w:val="231F20"/>
          <w:spacing w:val="-3"/>
        </w:rPr>
        <w:t> </w:t>
      </w:r>
      <w:r>
        <w:rPr>
          <w:color w:val="231F20"/>
        </w:rPr>
        <w:t>estimated</w:t>
      </w:r>
      <w:r>
        <w:rPr>
          <w:color w:val="231F20"/>
          <w:spacing w:val="-3"/>
        </w:rPr>
        <w:t> </w:t>
      </w:r>
      <w:r>
        <w:rPr>
          <w:color w:val="231F20"/>
        </w:rPr>
        <w:t>fair</w:t>
      </w:r>
      <w:r>
        <w:rPr>
          <w:color w:val="231F20"/>
          <w:spacing w:val="-3"/>
        </w:rPr>
        <w:t> </w:t>
      </w:r>
      <w:r>
        <w:rPr>
          <w:color w:val="231F20"/>
        </w:rPr>
        <w:t>value</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date</w:t>
      </w:r>
      <w:r>
        <w:rPr>
          <w:color w:val="231F20"/>
          <w:spacing w:val="-3"/>
        </w:rPr>
        <w:t> </w:t>
      </w:r>
      <w:r>
        <w:rPr>
          <w:color w:val="231F20"/>
        </w:rPr>
        <w:t>of</w:t>
      </w:r>
      <w:r>
        <w:rPr>
          <w:color w:val="231F20"/>
          <w:spacing w:val="-2"/>
        </w:rPr>
        <w:t> </w:t>
      </w:r>
      <w:r>
        <w:rPr>
          <w:color w:val="231F20"/>
        </w:rPr>
        <w:t>donation.</w:t>
      </w:r>
      <w:r>
        <w:rPr>
          <w:color w:val="231F20"/>
          <w:spacing w:val="-3"/>
        </w:rPr>
        <w:t> </w:t>
      </w:r>
      <w:r>
        <w:rPr>
          <w:color w:val="231F20"/>
        </w:rPr>
        <w:t>The</w:t>
      </w:r>
      <w:r>
        <w:rPr>
          <w:color w:val="231F20"/>
          <w:spacing w:val="-4"/>
        </w:rPr>
        <w:t> </w:t>
      </w:r>
      <w:r>
        <w:rPr>
          <w:color w:val="231F20"/>
        </w:rPr>
        <w:t>building,</w:t>
      </w:r>
      <w:r>
        <w:rPr>
          <w:color w:val="231F20"/>
          <w:spacing w:val="-3"/>
        </w:rPr>
        <w:t> </w:t>
      </w:r>
      <w:r>
        <w:rPr>
          <w:color w:val="231F20"/>
        </w:rPr>
        <w:t>which</w:t>
      </w:r>
      <w:r>
        <w:rPr>
          <w:color w:val="231F20"/>
          <w:spacing w:val="-3"/>
        </w:rPr>
        <w:t> </w:t>
      </w:r>
      <w:r>
        <w:rPr>
          <w:color w:val="231F20"/>
        </w:rPr>
        <w:t>is</w:t>
      </w:r>
      <w:r>
        <w:rPr>
          <w:color w:val="231F20"/>
          <w:spacing w:val="-3"/>
        </w:rPr>
        <w:t> </w:t>
      </w:r>
      <w:r>
        <w:rPr>
          <w:color w:val="231F20"/>
        </w:rPr>
        <w:t>the</w:t>
      </w:r>
      <w:r>
        <w:rPr>
          <w:color w:val="231F20"/>
          <w:spacing w:val="-3"/>
        </w:rPr>
        <w:t> </w:t>
      </w:r>
      <w:r>
        <w:rPr>
          <w:color w:val="231F20"/>
        </w:rPr>
        <w:t>only</w:t>
      </w:r>
      <w:r>
        <w:rPr>
          <w:color w:val="231F20"/>
          <w:spacing w:val="-4"/>
        </w:rPr>
        <w:t> </w:t>
      </w:r>
      <w:r>
        <w:rPr>
          <w:color w:val="231F20"/>
        </w:rPr>
        <w:t>depreciable asset, is depreciated using a straight-line method over a twenty-seven and a half year estimated useful life. The Foundation capitalizes real property over $100,000 and equipment purchases with a cost over</w:t>
      </w:r>
    </w:p>
    <w:p>
      <w:pPr>
        <w:pStyle w:val="BodyText"/>
        <w:ind w:left="1440"/>
      </w:pPr>
      <w:r>
        <w:rPr>
          <w:color w:val="231F20"/>
          <w:spacing w:val="-2"/>
        </w:rPr>
        <w:t>$5,000.</w:t>
      </w:r>
    </w:p>
    <w:p>
      <w:pPr>
        <w:pStyle w:val="BodyText"/>
        <w:rPr>
          <w:sz w:val="26"/>
        </w:rPr>
      </w:pPr>
    </w:p>
    <w:p>
      <w:pPr>
        <w:pStyle w:val="BodyText"/>
        <w:spacing w:line="276" w:lineRule="auto"/>
        <w:ind w:left="1440" w:right="926"/>
      </w:pPr>
      <w:r>
        <w:rPr>
          <w:i/>
          <w:color w:val="231F20"/>
        </w:rPr>
        <w:t>Long-Lived Assets </w:t>
      </w:r>
      <w:r>
        <w:rPr>
          <w:color w:val="231F20"/>
        </w:rPr>
        <w:t>– The Foundation reviews its long-lived assets (property) for impairment whenever events or changes in circumstances indicate that the carrying amount of an asset may not be recoverable. Recoverability of assets to be held and used is measured by a comparison of the carrying amount of an asset to future net cash flows expected to be generated by the asset. If such assets are considered to be impaired, the impairment to be recognized is measured by the amount by which the carrying</w:t>
      </w:r>
      <w:r>
        <w:rPr>
          <w:color w:val="231F20"/>
          <w:spacing w:val="-3"/>
        </w:rPr>
        <w:t> </w:t>
      </w:r>
      <w:r>
        <w:rPr>
          <w:color w:val="231F20"/>
        </w:rPr>
        <w:t>amount</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assets</w:t>
      </w:r>
      <w:r>
        <w:rPr>
          <w:color w:val="231F20"/>
          <w:spacing w:val="-3"/>
        </w:rPr>
        <w:t> </w:t>
      </w:r>
      <w:r>
        <w:rPr>
          <w:color w:val="231F20"/>
        </w:rPr>
        <w:t>exceeds</w:t>
      </w:r>
      <w:r>
        <w:rPr>
          <w:color w:val="231F20"/>
          <w:spacing w:val="-3"/>
        </w:rPr>
        <w:t> </w:t>
      </w:r>
      <w:r>
        <w:rPr>
          <w:color w:val="231F20"/>
        </w:rPr>
        <w:t>the</w:t>
      </w:r>
      <w:r>
        <w:rPr>
          <w:color w:val="231F20"/>
          <w:spacing w:val="-3"/>
        </w:rPr>
        <w:t> </w:t>
      </w:r>
      <w:r>
        <w:rPr>
          <w:color w:val="231F20"/>
        </w:rPr>
        <w:t>fair</w:t>
      </w:r>
      <w:r>
        <w:rPr>
          <w:color w:val="231F20"/>
          <w:spacing w:val="-3"/>
        </w:rPr>
        <w:t> </w:t>
      </w:r>
      <w:r>
        <w:rPr>
          <w:color w:val="231F20"/>
        </w:rPr>
        <w:t>value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assets.</w:t>
      </w:r>
      <w:r>
        <w:rPr>
          <w:color w:val="231F20"/>
          <w:spacing w:val="-5"/>
        </w:rPr>
        <w:t> </w:t>
      </w:r>
      <w:r>
        <w:rPr>
          <w:color w:val="231F20"/>
        </w:rPr>
        <w:t>Assets</w:t>
      </w:r>
      <w:r>
        <w:rPr>
          <w:color w:val="231F20"/>
          <w:spacing w:val="-2"/>
        </w:rPr>
        <w:t> </w:t>
      </w:r>
      <w:r>
        <w:rPr>
          <w:color w:val="231F20"/>
        </w:rPr>
        <w:t>to</w:t>
      </w:r>
      <w:r>
        <w:rPr>
          <w:color w:val="231F20"/>
          <w:spacing w:val="-3"/>
        </w:rPr>
        <w:t> </w:t>
      </w:r>
      <w:r>
        <w:rPr>
          <w:color w:val="231F20"/>
        </w:rPr>
        <w:t>be</w:t>
      </w:r>
      <w:r>
        <w:rPr>
          <w:color w:val="231F20"/>
          <w:spacing w:val="-3"/>
        </w:rPr>
        <w:t> </w:t>
      </w:r>
      <w:r>
        <w:rPr>
          <w:color w:val="231F20"/>
        </w:rPr>
        <w:t>disposed</w:t>
      </w:r>
      <w:r>
        <w:rPr>
          <w:color w:val="231F20"/>
          <w:spacing w:val="-3"/>
        </w:rPr>
        <w:t> </w:t>
      </w:r>
      <w:r>
        <w:rPr>
          <w:color w:val="231F20"/>
        </w:rPr>
        <w:t>of</w:t>
      </w:r>
      <w:r>
        <w:rPr>
          <w:color w:val="231F20"/>
          <w:spacing w:val="-3"/>
        </w:rPr>
        <w:t> </w:t>
      </w:r>
      <w:r>
        <w:rPr>
          <w:color w:val="231F20"/>
        </w:rPr>
        <w:t>are</w:t>
      </w:r>
      <w:r>
        <w:rPr>
          <w:color w:val="231F20"/>
          <w:spacing w:val="-3"/>
        </w:rPr>
        <w:t> </w:t>
      </w:r>
      <w:r>
        <w:rPr>
          <w:color w:val="231F20"/>
        </w:rPr>
        <w:t>reported at the lower of the carrying amount or fair value less costs to sell. There was no impairment of such assets as of June 30, 2022.</w:t>
      </w:r>
    </w:p>
    <w:p>
      <w:pPr>
        <w:pStyle w:val="BodyText"/>
        <w:spacing w:before="10"/>
        <w:rPr>
          <w:sz w:val="22"/>
        </w:rPr>
      </w:pPr>
    </w:p>
    <w:p>
      <w:pPr>
        <w:pStyle w:val="BodyText"/>
        <w:spacing w:line="276" w:lineRule="auto"/>
        <w:ind w:left="1440" w:right="919"/>
      </w:pPr>
      <w:r>
        <w:rPr>
          <w:i/>
          <w:color w:val="231F20"/>
        </w:rPr>
        <w:t>Leases</w:t>
      </w:r>
      <w:r>
        <w:rPr>
          <w:i/>
          <w:color w:val="231F20"/>
          <w:spacing w:val="-2"/>
        </w:rPr>
        <w:t> </w:t>
      </w:r>
      <w:r>
        <w:rPr>
          <w:i/>
          <w:color w:val="231F20"/>
        </w:rPr>
        <w:t>–</w:t>
      </w:r>
      <w:r>
        <w:rPr>
          <w:i/>
          <w:color w:val="231F20"/>
          <w:spacing w:val="-2"/>
        </w:rPr>
        <w:t> </w:t>
      </w:r>
      <w:r>
        <w:rPr>
          <w:color w:val="231F20"/>
        </w:rPr>
        <w:t>The</w:t>
      </w:r>
      <w:r>
        <w:rPr>
          <w:color w:val="231F20"/>
          <w:spacing w:val="-4"/>
        </w:rPr>
        <w:t> </w:t>
      </w:r>
      <w:r>
        <w:rPr>
          <w:color w:val="231F20"/>
        </w:rPr>
        <w:t>Foundation</w:t>
      </w:r>
      <w:r>
        <w:rPr>
          <w:color w:val="231F20"/>
          <w:spacing w:val="-3"/>
        </w:rPr>
        <w:t> </w:t>
      </w:r>
      <w:r>
        <w:rPr>
          <w:color w:val="231F20"/>
        </w:rPr>
        <w:t>recognizes</w:t>
      </w:r>
      <w:r>
        <w:rPr>
          <w:color w:val="231F20"/>
          <w:spacing w:val="-3"/>
        </w:rPr>
        <w:t> </w:t>
      </w:r>
      <w:r>
        <w:rPr>
          <w:color w:val="231F20"/>
        </w:rPr>
        <w:t>lease</w:t>
      </w:r>
      <w:r>
        <w:rPr>
          <w:color w:val="231F20"/>
          <w:spacing w:val="-3"/>
        </w:rPr>
        <w:t> </w:t>
      </w:r>
      <w:r>
        <w:rPr>
          <w:color w:val="231F20"/>
        </w:rPr>
        <w:t>contracts</w:t>
      </w:r>
      <w:r>
        <w:rPr>
          <w:color w:val="231F20"/>
          <w:spacing w:val="-3"/>
        </w:rPr>
        <w:t> </w:t>
      </w:r>
      <w:r>
        <w:rPr>
          <w:color w:val="231F20"/>
        </w:rPr>
        <w:t>or</w:t>
      </w:r>
      <w:r>
        <w:rPr>
          <w:color w:val="231F20"/>
          <w:spacing w:val="-3"/>
        </w:rPr>
        <w:t> </w:t>
      </w:r>
      <w:r>
        <w:rPr>
          <w:color w:val="231F20"/>
        </w:rPr>
        <w:t>equivalents</w:t>
      </w:r>
      <w:r>
        <w:rPr>
          <w:color w:val="231F20"/>
          <w:spacing w:val="-3"/>
        </w:rPr>
        <w:t> </w:t>
      </w:r>
      <w:r>
        <w:rPr>
          <w:color w:val="231F20"/>
        </w:rPr>
        <w:t>that</w:t>
      </w:r>
      <w:r>
        <w:rPr>
          <w:color w:val="231F20"/>
          <w:spacing w:val="-3"/>
        </w:rPr>
        <w:t> </w:t>
      </w:r>
      <w:r>
        <w:rPr>
          <w:color w:val="231F20"/>
        </w:rPr>
        <w:t>have</w:t>
      </w:r>
      <w:r>
        <w:rPr>
          <w:color w:val="231F20"/>
          <w:spacing w:val="-3"/>
        </w:rPr>
        <w:t> </w:t>
      </w:r>
      <w:r>
        <w:rPr>
          <w:color w:val="231F20"/>
        </w:rPr>
        <w:t>a</w:t>
      </w:r>
      <w:r>
        <w:rPr>
          <w:color w:val="231F20"/>
          <w:spacing w:val="-3"/>
        </w:rPr>
        <w:t> </w:t>
      </w:r>
      <w:r>
        <w:rPr>
          <w:color w:val="231F20"/>
        </w:rPr>
        <w:t>term</w:t>
      </w:r>
      <w:r>
        <w:rPr>
          <w:color w:val="231F20"/>
          <w:spacing w:val="-3"/>
        </w:rPr>
        <w:t> </w:t>
      </w:r>
      <w:r>
        <w:rPr>
          <w:color w:val="231F20"/>
        </w:rPr>
        <w:t>exceeding</w:t>
      </w:r>
      <w:r>
        <w:rPr>
          <w:color w:val="231F20"/>
          <w:spacing w:val="-3"/>
        </w:rPr>
        <w:t> </w:t>
      </w:r>
      <w:r>
        <w:rPr>
          <w:color w:val="231F20"/>
        </w:rPr>
        <w:t>one</w:t>
      </w:r>
      <w:r>
        <w:rPr>
          <w:color w:val="231F20"/>
          <w:spacing w:val="-4"/>
        </w:rPr>
        <w:t> </w:t>
      </w:r>
      <w:r>
        <w:rPr>
          <w:color w:val="231F20"/>
        </w:rPr>
        <w:t>year and the cumulative future receipts on the contract exceed $25,000 that meet the definition of an other than short-term lease. The Foundation uses the same interest rate it charges to lessee as the discount rate or that is implicit in the contract to the lessee. Short-term lease receipts and variable lease receipts not included in the measurement of the lease receivable are recognized as income when earned.</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3"/>
        </w:rPr>
      </w:pPr>
    </w:p>
    <w:p>
      <w:pPr>
        <w:pStyle w:val="BodyText"/>
        <w:spacing w:line="276" w:lineRule="auto"/>
        <w:ind w:left="1440" w:right="891"/>
      </w:pPr>
      <w:r>
        <w:rPr>
          <w:i/>
          <w:color w:val="231F20"/>
        </w:rPr>
        <w:t>Endowments </w:t>
      </w:r>
      <w:r>
        <w:rPr>
          <w:color w:val="231F20"/>
        </w:rPr>
        <w:t>– The endowment spending policy is in alignment with the long-term endowment management philosophy of the Foundation, which is to preserve the permanent viability of the endowment. The Foundation supports vital scholarship and other programs from the earnings of its endowment.</w:t>
      </w:r>
      <w:r>
        <w:rPr>
          <w:color w:val="231F20"/>
          <w:spacing w:val="-3"/>
        </w:rPr>
        <w:t> </w:t>
      </w:r>
      <w:r>
        <w:rPr>
          <w:color w:val="231F20"/>
        </w:rPr>
        <w:t>These</w:t>
      </w:r>
      <w:r>
        <w:rPr>
          <w:color w:val="231F20"/>
          <w:spacing w:val="-3"/>
        </w:rPr>
        <w:t> </w:t>
      </w:r>
      <w:r>
        <w:rPr>
          <w:color w:val="231F20"/>
        </w:rPr>
        <w:t>programs</w:t>
      </w:r>
      <w:r>
        <w:rPr>
          <w:color w:val="231F20"/>
          <w:spacing w:val="-3"/>
        </w:rPr>
        <w:t> </w:t>
      </w:r>
      <w:r>
        <w:rPr>
          <w:color w:val="231F20"/>
        </w:rPr>
        <w:t>are</w:t>
      </w:r>
      <w:r>
        <w:rPr>
          <w:color w:val="231F20"/>
          <w:spacing w:val="-3"/>
        </w:rPr>
        <w:t> </w:t>
      </w:r>
      <w:r>
        <w:rPr>
          <w:color w:val="231F20"/>
        </w:rPr>
        <w:t>in</w:t>
      </w:r>
      <w:r>
        <w:rPr>
          <w:color w:val="231F20"/>
          <w:spacing w:val="-3"/>
        </w:rPr>
        <w:t> </w:t>
      </w:r>
      <w:r>
        <w:rPr>
          <w:color w:val="231F20"/>
        </w:rPr>
        <w:t>concert</w:t>
      </w:r>
      <w:r>
        <w:rPr>
          <w:color w:val="231F20"/>
          <w:spacing w:val="-4"/>
        </w:rPr>
        <w:t> </w:t>
      </w:r>
      <w:r>
        <w:rPr>
          <w:color w:val="231F20"/>
        </w:rPr>
        <w:t>with</w:t>
      </w:r>
      <w:r>
        <w:rPr>
          <w:color w:val="231F20"/>
          <w:spacing w:val="-3"/>
        </w:rPr>
        <w:t> </w:t>
      </w:r>
      <w:r>
        <w:rPr>
          <w:color w:val="231F20"/>
        </w:rPr>
        <w:t>provisions</w:t>
      </w:r>
      <w:r>
        <w:rPr>
          <w:color w:val="231F20"/>
          <w:spacing w:val="-3"/>
        </w:rPr>
        <w:t> </w:t>
      </w:r>
      <w:r>
        <w:rPr>
          <w:color w:val="231F20"/>
        </w:rPr>
        <w:t>established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donors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endowment. Net appreciation/depreciation on donor-restricted endowments and related investment income are recorded as an increase in restricted, expendable net position and are available for expenditure in accordance with donor specifications and in accordance with the State of New Mexico Uniform Prudent Management of Institutional Funds Act (46-9A 1-10 NMSA 1978).</w:t>
      </w:r>
    </w:p>
    <w:p>
      <w:pPr>
        <w:pStyle w:val="BodyText"/>
        <w:spacing w:before="10"/>
        <w:rPr>
          <w:sz w:val="22"/>
        </w:rPr>
      </w:pPr>
    </w:p>
    <w:p>
      <w:pPr>
        <w:pStyle w:val="BodyText"/>
        <w:spacing w:line="276" w:lineRule="auto"/>
        <w:ind w:left="1440" w:right="1505" w:hanging="1"/>
      </w:pPr>
      <w:r>
        <w:rPr>
          <w:i/>
          <w:color w:val="231F20"/>
        </w:rPr>
        <w:t>Estimates </w:t>
      </w:r>
      <w:r>
        <w:rPr>
          <w:color w:val="231F20"/>
        </w:rPr>
        <w:t>– The preparation of financial statements in conformity with U.S. generally accepted accounting</w:t>
      </w:r>
      <w:r>
        <w:rPr>
          <w:color w:val="231F20"/>
          <w:spacing w:val="-4"/>
        </w:rPr>
        <w:t> </w:t>
      </w:r>
      <w:r>
        <w:rPr>
          <w:color w:val="231F20"/>
        </w:rPr>
        <w:t>principles</w:t>
      </w:r>
      <w:r>
        <w:rPr>
          <w:color w:val="231F20"/>
          <w:spacing w:val="-4"/>
        </w:rPr>
        <w:t> </w:t>
      </w:r>
      <w:r>
        <w:rPr>
          <w:color w:val="231F20"/>
        </w:rPr>
        <w:t>requires</w:t>
      </w:r>
      <w:r>
        <w:rPr>
          <w:color w:val="231F20"/>
          <w:spacing w:val="-4"/>
        </w:rPr>
        <w:t> </w:t>
      </w:r>
      <w:r>
        <w:rPr>
          <w:color w:val="231F20"/>
        </w:rPr>
        <w:t>management</w:t>
      </w:r>
      <w:r>
        <w:rPr>
          <w:color w:val="231F20"/>
          <w:spacing w:val="-4"/>
        </w:rPr>
        <w:t> </w:t>
      </w:r>
      <w:r>
        <w:rPr>
          <w:color w:val="231F20"/>
        </w:rPr>
        <w:t>to</w:t>
      </w:r>
      <w:r>
        <w:rPr>
          <w:color w:val="231F20"/>
          <w:spacing w:val="-4"/>
        </w:rPr>
        <w:t> </w:t>
      </w:r>
      <w:r>
        <w:rPr>
          <w:color w:val="231F20"/>
        </w:rPr>
        <w:t>make</w:t>
      </w:r>
      <w:r>
        <w:rPr>
          <w:color w:val="231F20"/>
          <w:spacing w:val="-3"/>
        </w:rPr>
        <w:t> </w:t>
      </w:r>
      <w:r>
        <w:rPr>
          <w:color w:val="231F20"/>
        </w:rPr>
        <w:t>estimates</w:t>
      </w:r>
      <w:r>
        <w:rPr>
          <w:color w:val="231F20"/>
          <w:spacing w:val="-4"/>
        </w:rPr>
        <w:t> </w:t>
      </w:r>
      <w:r>
        <w:rPr>
          <w:color w:val="231F20"/>
        </w:rPr>
        <w:t>and</w:t>
      </w:r>
      <w:r>
        <w:rPr>
          <w:color w:val="231F20"/>
          <w:spacing w:val="-5"/>
        </w:rPr>
        <w:t> </w:t>
      </w:r>
      <w:r>
        <w:rPr>
          <w:color w:val="231F20"/>
        </w:rPr>
        <w:t>assumptions</w:t>
      </w:r>
      <w:r>
        <w:rPr>
          <w:color w:val="231F20"/>
          <w:spacing w:val="-5"/>
        </w:rPr>
        <w:t> </w:t>
      </w:r>
      <w:r>
        <w:rPr>
          <w:color w:val="231F20"/>
        </w:rPr>
        <w:t>that</w:t>
      </w:r>
      <w:r>
        <w:rPr>
          <w:color w:val="231F20"/>
          <w:spacing w:val="-4"/>
        </w:rPr>
        <w:t> </w:t>
      </w:r>
      <w:r>
        <w:rPr>
          <w:color w:val="231F20"/>
        </w:rPr>
        <w:t>affect</w:t>
      </w:r>
      <w:r>
        <w:rPr>
          <w:color w:val="231F20"/>
          <w:spacing w:val="-4"/>
        </w:rPr>
        <w:t> </w:t>
      </w:r>
      <w:r>
        <w:rPr>
          <w:color w:val="231F20"/>
        </w:rPr>
        <w:t>certain reported amounts and disclosures. Accordingly, actual results could differ from those estimates.</w:t>
      </w:r>
    </w:p>
    <w:p>
      <w:pPr>
        <w:pStyle w:val="BodyText"/>
        <w:spacing w:line="276" w:lineRule="auto" w:before="1"/>
        <w:ind w:left="1440" w:right="1048"/>
      </w:pPr>
      <w:r>
        <w:rPr>
          <w:color w:val="231F20"/>
        </w:rPr>
        <w:t>Significant</w:t>
      </w:r>
      <w:r>
        <w:rPr>
          <w:color w:val="231F20"/>
          <w:spacing w:val="-3"/>
        </w:rPr>
        <w:t> </w:t>
      </w:r>
      <w:r>
        <w:rPr>
          <w:color w:val="231F20"/>
        </w:rPr>
        <w:t>estimates</w:t>
      </w:r>
      <w:r>
        <w:rPr>
          <w:color w:val="231F20"/>
          <w:spacing w:val="-3"/>
        </w:rPr>
        <w:t> </w:t>
      </w:r>
      <w:r>
        <w:rPr>
          <w:color w:val="231F20"/>
        </w:rPr>
        <w:t>used</w:t>
      </w:r>
      <w:r>
        <w:rPr>
          <w:color w:val="231F20"/>
          <w:spacing w:val="-4"/>
        </w:rPr>
        <w:t> </w:t>
      </w:r>
      <w:r>
        <w:rPr>
          <w:color w:val="231F20"/>
        </w:rPr>
        <w:t>in</w:t>
      </w:r>
      <w:r>
        <w:rPr>
          <w:color w:val="231F20"/>
          <w:spacing w:val="-3"/>
        </w:rPr>
        <w:t> </w:t>
      </w:r>
      <w:r>
        <w:rPr>
          <w:color w:val="231F20"/>
        </w:rPr>
        <w:t>preparing</w:t>
      </w:r>
      <w:r>
        <w:rPr>
          <w:color w:val="231F20"/>
          <w:spacing w:val="-3"/>
        </w:rPr>
        <w:t> </w:t>
      </w:r>
      <w:r>
        <w:rPr>
          <w:color w:val="231F20"/>
        </w:rPr>
        <w:t>these</w:t>
      </w:r>
      <w:r>
        <w:rPr>
          <w:color w:val="231F20"/>
          <w:spacing w:val="-3"/>
        </w:rPr>
        <w:t> </w:t>
      </w:r>
      <w:r>
        <w:rPr>
          <w:color w:val="231F20"/>
        </w:rPr>
        <w:t>financial</w:t>
      </w:r>
      <w:r>
        <w:rPr>
          <w:color w:val="231F20"/>
          <w:spacing w:val="-4"/>
        </w:rPr>
        <w:t> </w:t>
      </w:r>
      <w:r>
        <w:rPr>
          <w:color w:val="231F20"/>
        </w:rPr>
        <w:t>statements</w:t>
      </w:r>
      <w:r>
        <w:rPr>
          <w:color w:val="231F20"/>
          <w:spacing w:val="-3"/>
        </w:rPr>
        <w:t> </w:t>
      </w:r>
      <w:r>
        <w:rPr>
          <w:color w:val="231F20"/>
        </w:rPr>
        <w:t>include</w:t>
      </w:r>
      <w:r>
        <w:rPr>
          <w:color w:val="231F20"/>
          <w:spacing w:val="-3"/>
        </w:rPr>
        <w:t> </w:t>
      </w:r>
      <w:r>
        <w:rPr>
          <w:color w:val="231F20"/>
        </w:rPr>
        <w:t>the</w:t>
      </w:r>
      <w:r>
        <w:rPr>
          <w:color w:val="231F20"/>
          <w:spacing w:val="-3"/>
        </w:rPr>
        <w:t> </w:t>
      </w:r>
      <w:r>
        <w:rPr>
          <w:color w:val="231F20"/>
        </w:rPr>
        <w:t>estimated</w:t>
      </w:r>
      <w:r>
        <w:rPr>
          <w:color w:val="231F20"/>
          <w:spacing w:val="-3"/>
        </w:rPr>
        <w:t> </w:t>
      </w:r>
      <w:r>
        <w:rPr>
          <w:color w:val="231F20"/>
        </w:rPr>
        <w:t>useful</w:t>
      </w:r>
      <w:r>
        <w:rPr>
          <w:color w:val="231F20"/>
          <w:spacing w:val="-3"/>
        </w:rPr>
        <w:t> </w:t>
      </w:r>
      <w:r>
        <w:rPr>
          <w:color w:val="231F20"/>
        </w:rPr>
        <w:t>life</w:t>
      </w:r>
      <w:r>
        <w:rPr>
          <w:color w:val="231F20"/>
          <w:spacing w:val="-3"/>
        </w:rPr>
        <w:t> </w:t>
      </w:r>
      <w:r>
        <w:rPr>
          <w:color w:val="231F20"/>
        </w:rPr>
        <w:t>of capital assets and the valuation of investments.</w:t>
      </w:r>
    </w:p>
    <w:p>
      <w:pPr>
        <w:pStyle w:val="BodyText"/>
        <w:rPr>
          <w:sz w:val="23"/>
        </w:rPr>
      </w:pPr>
    </w:p>
    <w:p>
      <w:pPr>
        <w:pStyle w:val="BodyText"/>
        <w:spacing w:line="276" w:lineRule="auto"/>
        <w:ind w:left="1440" w:right="926" w:hanging="1"/>
      </w:pPr>
      <w:r>
        <w:rPr>
          <w:i/>
          <w:color w:val="231F20"/>
        </w:rPr>
        <w:t>Income Taxes </w:t>
      </w:r>
      <w:r>
        <w:rPr>
          <w:color w:val="231F20"/>
        </w:rPr>
        <w:t>– The Foundation is exempt from federal income tax under Section 501(c)(3) of the Internal</w:t>
      </w:r>
      <w:r>
        <w:rPr>
          <w:color w:val="231F20"/>
          <w:spacing w:val="-3"/>
        </w:rPr>
        <w:t> </w:t>
      </w:r>
      <w:r>
        <w:rPr>
          <w:color w:val="231F20"/>
        </w:rPr>
        <w:t>Revenue</w:t>
      </w:r>
      <w:r>
        <w:rPr>
          <w:color w:val="231F20"/>
          <w:spacing w:val="-3"/>
        </w:rPr>
        <w:t> </w:t>
      </w:r>
      <w:r>
        <w:rPr>
          <w:color w:val="231F20"/>
        </w:rPr>
        <w:t>Code,</w:t>
      </w:r>
      <w:r>
        <w:rPr>
          <w:color w:val="231F20"/>
          <w:spacing w:val="-3"/>
        </w:rPr>
        <w:t> </w:t>
      </w:r>
      <w:r>
        <w:rPr>
          <w:color w:val="231F20"/>
        </w:rPr>
        <w:t>and</w:t>
      </w:r>
      <w:r>
        <w:rPr>
          <w:color w:val="231F20"/>
          <w:spacing w:val="-3"/>
        </w:rPr>
        <w:t> </w:t>
      </w:r>
      <w:r>
        <w:rPr>
          <w:color w:val="231F20"/>
        </w:rPr>
        <w:t>has</w:t>
      </w:r>
      <w:r>
        <w:rPr>
          <w:color w:val="231F20"/>
          <w:spacing w:val="-3"/>
        </w:rPr>
        <w:t> </w:t>
      </w:r>
      <w:r>
        <w:rPr>
          <w:color w:val="231F20"/>
        </w:rPr>
        <w:t>been</w:t>
      </w:r>
      <w:r>
        <w:rPr>
          <w:color w:val="231F20"/>
          <w:spacing w:val="-4"/>
        </w:rPr>
        <w:t> </w:t>
      </w:r>
      <w:r>
        <w:rPr>
          <w:color w:val="231F20"/>
        </w:rPr>
        <w:t>classified</w:t>
      </w:r>
      <w:r>
        <w:rPr>
          <w:color w:val="231F20"/>
          <w:spacing w:val="-3"/>
        </w:rPr>
        <w:t> </w:t>
      </w:r>
      <w:r>
        <w:rPr>
          <w:color w:val="231F20"/>
        </w:rPr>
        <w:t>by</w:t>
      </w:r>
      <w:r>
        <w:rPr>
          <w:color w:val="231F20"/>
          <w:spacing w:val="-2"/>
        </w:rPr>
        <w:t> </w:t>
      </w:r>
      <w:r>
        <w:rPr>
          <w:color w:val="231F20"/>
        </w:rPr>
        <w:t>the</w:t>
      </w:r>
      <w:r>
        <w:rPr>
          <w:color w:val="231F20"/>
          <w:spacing w:val="-3"/>
        </w:rPr>
        <w:t> </w:t>
      </w:r>
      <w:r>
        <w:rPr>
          <w:color w:val="231F20"/>
        </w:rPr>
        <w:t>Internal</w:t>
      </w:r>
      <w:r>
        <w:rPr>
          <w:color w:val="231F20"/>
          <w:spacing w:val="-3"/>
        </w:rPr>
        <w:t> </w:t>
      </w:r>
      <w:r>
        <w:rPr>
          <w:color w:val="231F20"/>
        </w:rPr>
        <w:t>Revenue</w:t>
      </w:r>
      <w:r>
        <w:rPr>
          <w:color w:val="231F20"/>
          <w:spacing w:val="-3"/>
        </w:rPr>
        <w:t> </w:t>
      </w:r>
      <w:r>
        <w:rPr>
          <w:color w:val="231F20"/>
        </w:rPr>
        <w:t>Service</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public</w:t>
      </w:r>
      <w:r>
        <w:rPr>
          <w:color w:val="231F20"/>
          <w:spacing w:val="-4"/>
        </w:rPr>
        <w:t> </w:t>
      </w:r>
      <w:r>
        <w:rPr>
          <w:color w:val="231F20"/>
        </w:rPr>
        <w:t>charity.</w:t>
      </w:r>
      <w:r>
        <w:rPr>
          <w:color w:val="231F20"/>
          <w:spacing w:val="-3"/>
        </w:rPr>
        <w:t> </w:t>
      </w:r>
      <w:r>
        <w:rPr>
          <w:color w:val="231F20"/>
        </w:rPr>
        <w:t>The Foundation is exempt from income taxation on its normal activities. The Foundation is classified as a supporting organization of the Institute and not a private foundation.</w:t>
      </w:r>
    </w:p>
    <w:p>
      <w:pPr>
        <w:pStyle w:val="BodyText"/>
        <w:spacing w:before="11"/>
        <w:rPr>
          <w:sz w:val="22"/>
        </w:rPr>
      </w:pPr>
    </w:p>
    <w:p>
      <w:pPr>
        <w:pStyle w:val="BodyText"/>
        <w:spacing w:line="276" w:lineRule="auto"/>
        <w:ind w:left="1440" w:right="1048"/>
      </w:pPr>
      <w:r>
        <w:rPr>
          <w:color w:val="231F20"/>
        </w:rPr>
        <w:t>The Foundation adopted GASB 87 during the year ended June 30, 2022. The Foundation evaluated contracts that were formerly accounted for as operating leases to determine whether they meet the definition of a lease as defined in GASB 87. The Foundation has entered into lease agreements as the lessor</w:t>
      </w:r>
      <w:r>
        <w:rPr>
          <w:color w:val="231F20"/>
          <w:spacing w:val="-4"/>
        </w:rPr>
        <w:t> </w:t>
      </w:r>
      <w:r>
        <w:rPr>
          <w:color w:val="231F20"/>
        </w:rPr>
        <w:t>and,</w:t>
      </w:r>
      <w:r>
        <w:rPr>
          <w:color w:val="231F20"/>
          <w:spacing w:val="-4"/>
        </w:rPr>
        <w:t> </w:t>
      </w:r>
      <w:r>
        <w:rPr>
          <w:color w:val="231F20"/>
        </w:rPr>
        <w:t>as</w:t>
      </w:r>
      <w:r>
        <w:rPr>
          <w:color w:val="231F20"/>
          <w:spacing w:val="-3"/>
        </w:rPr>
        <w:t> </w:t>
      </w:r>
      <w:r>
        <w:rPr>
          <w:color w:val="231F20"/>
        </w:rPr>
        <w:t>such,</w:t>
      </w:r>
      <w:r>
        <w:rPr>
          <w:color w:val="231F20"/>
          <w:spacing w:val="-4"/>
        </w:rPr>
        <w:t> </w:t>
      </w:r>
      <w:r>
        <w:rPr>
          <w:color w:val="231F20"/>
        </w:rPr>
        <w:t>has</w:t>
      </w:r>
      <w:r>
        <w:rPr>
          <w:color w:val="231F20"/>
          <w:spacing w:val="-4"/>
        </w:rPr>
        <w:t> </w:t>
      </w:r>
      <w:r>
        <w:rPr>
          <w:color w:val="231F20"/>
        </w:rPr>
        <w:t>recognized</w:t>
      </w:r>
      <w:r>
        <w:rPr>
          <w:color w:val="231F20"/>
          <w:spacing w:val="-4"/>
        </w:rPr>
        <w:t> </w:t>
      </w:r>
      <w:r>
        <w:rPr>
          <w:color w:val="231F20"/>
        </w:rPr>
        <w:t>the</w:t>
      </w:r>
      <w:r>
        <w:rPr>
          <w:color w:val="231F20"/>
          <w:spacing w:val="-4"/>
        </w:rPr>
        <w:t> </w:t>
      </w:r>
      <w:r>
        <w:rPr>
          <w:color w:val="231F20"/>
        </w:rPr>
        <w:t>corresponding</w:t>
      </w:r>
      <w:r>
        <w:rPr>
          <w:color w:val="231F20"/>
          <w:spacing w:val="-4"/>
        </w:rPr>
        <w:t> </w:t>
      </w:r>
      <w:r>
        <w:rPr>
          <w:color w:val="231F20"/>
        </w:rPr>
        <w:t>receivables</w:t>
      </w:r>
      <w:r>
        <w:rPr>
          <w:color w:val="231F20"/>
          <w:spacing w:val="-4"/>
        </w:rPr>
        <w:t> </w:t>
      </w:r>
      <w:r>
        <w:rPr>
          <w:color w:val="231F20"/>
        </w:rPr>
        <w:t>and</w:t>
      </w:r>
      <w:r>
        <w:rPr>
          <w:color w:val="231F20"/>
          <w:spacing w:val="-4"/>
        </w:rPr>
        <w:t> </w:t>
      </w:r>
      <w:r>
        <w:rPr>
          <w:color w:val="231F20"/>
        </w:rPr>
        <w:t>deferred</w:t>
      </w:r>
      <w:r>
        <w:rPr>
          <w:color w:val="231F20"/>
          <w:spacing w:val="-4"/>
        </w:rPr>
        <w:t> </w:t>
      </w:r>
      <w:r>
        <w:rPr>
          <w:color w:val="231F20"/>
        </w:rPr>
        <w:t>inflows</w:t>
      </w:r>
      <w:r>
        <w:rPr>
          <w:color w:val="231F20"/>
          <w:spacing w:val="-4"/>
        </w:rPr>
        <w:t> </w:t>
      </w:r>
      <w:r>
        <w:rPr>
          <w:color w:val="231F20"/>
        </w:rPr>
        <w:t>required</w:t>
      </w:r>
      <w:r>
        <w:rPr>
          <w:color w:val="231F20"/>
          <w:spacing w:val="-4"/>
        </w:rPr>
        <w:t> </w:t>
      </w:r>
      <w:r>
        <w:rPr>
          <w:color w:val="231F20"/>
        </w:rPr>
        <w:t>under this statement.</w:t>
      </w:r>
    </w:p>
    <w:p>
      <w:pPr>
        <w:pStyle w:val="BodyText"/>
        <w:spacing w:before="10"/>
        <w:rPr>
          <w:sz w:val="22"/>
        </w:rPr>
      </w:pPr>
    </w:p>
    <w:p>
      <w:pPr>
        <w:pStyle w:val="Heading4"/>
        <w:spacing w:before="1"/>
      </w:pPr>
      <w:r>
        <w:rPr>
          <w:color w:val="231F20"/>
        </w:rPr>
        <w:t>Cash</w:t>
      </w:r>
      <w:r>
        <w:rPr>
          <w:color w:val="231F20"/>
          <w:spacing w:val="-5"/>
        </w:rPr>
        <w:t> </w:t>
      </w:r>
      <w:r>
        <w:rPr>
          <w:color w:val="231F20"/>
        </w:rPr>
        <w:t>and</w:t>
      </w:r>
      <w:r>
        <w:rPr>
          <w:color w:val="231F20"/>
          <w:spacing w:val="-4"/>
        </w:rPr>
        <w:t> </w:t>
      </w:r>
      <w:r>
        <w:rPr>
          <w:color w:val="231F20"/>
        </w:rPr>
        <w:t>Cash</w:t>
      </w:r>
      <w:r>
        <w:rPr>
          <w:color w:val="231F20"/>
          <w:spacing w:val="-4"/>
        </w:rPr>
        <w:t> </w:t>
      </w:r>
      <w:r>
        <w:rPr>
          <w:color w:val="231F20"/>
          <w:spacing w:val="-2"/>
        </w:rPr>
        <w:t>Equivalents</w:t>
      </w:r>
    </w:p>
    <w:p>
      <w:pPr>
        <w:pStyle w:val="BodyText"/>
        <w:spacing w:line="276" w:lineRule="auto" w:before="35"/>
        <w:ind w:left="1440" w:right="891"/>
      </w:pPr>
      <w:r>
        <w:rPr>
          <w:color w:val="231F20"/>
        </w:rPr>
        <w:t>Custodial</w:t>
      </w:r>
      <w:r>
        <w:rPr>
          <w:color w:val="231F20"/>
          <w:spacing w:val="-3"/>
        </w:rPr>
        <w:t> </w:t>
      </w:r>
      <w:r>
        <w:rPr>
          <w:color w:val="231F20"/>
        </w:rPr>
        <w:t>credit</w:t>
      </w:r>
      <w:r>
        <w:rPr>
          <w:color w:val="231F20"/>
          <w:spacing w:val="-2"/>
        </w:rPr>
        <w:t> </w:t>
      </w:r>
      <w:r>
        <w:rPr>
          <w:color w:val="231F20"/>
        </w:rPr>
        <w:t>risk</w:t>
      </w:r>
      <w:r>
        <w:rPr>
          <w:color w:val="231F20"/>
          <w:spacing w:val="-2"/>
        </w:rPr>
        <w:t> </w:t>
      </w:r>
      <w:r>
        <w:rPr>
          <w:color w:val="231F20"/>
        </w:rPr>
        <w:t>is</w:t>
      </w:r>
      <w:r>
        <w:rPr>
          <w:color w:val="231F20"/>
          <w:spacing w:val="-1"/>
        </w:rPr>
        <w:t> </w:t>
      </w:r>
      <w:r>
        <w:rPr>
          <w:color w:val="231F20"/>
        </w:rPr>
        <w:t>the</w:t>
      </w:r>
      <w:r>
        <w:rPr>
          <w:color w:val="231F20"/>
          <w:spacing w:val="-3"/>
        </w:rPr>
        <w:t> </w:t>
      </w:r>
      <w:r>
        <w:rPr>
          <w:color w:val="231F20"/>
        </w:rPr>
        <w:t>risk</w:t>
      </w:r>
      <w:r>
        <w:rPr>
          <w:color w:val="231F20"/>
          <w:spacing w:val="-2"/>
        </w:rPr>
        <w:t> </w:t>
      </w:r>
      <w:r>
        <w:rPr>
          <w:color w:val="231F20"/>
        </w:rPr>
        <w:t>that</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event of</w:t>
      </w:r>
      <w:r>
        <w:rPr>
          <w:color w:val="231F20"/>
          <w:spacing w:val="-2"/>
        </w:rPr>
        <w:t> </w:t>
      </w:r>
      <w:r>
        <w:rPr>
          <w:color w:val="231F20"/>
        </w:rPr>
        <w:t>a</w:t>
      </w:r>
      <w:r>
        <w:rPr>
          <w:color w:val="231F20"/>
          <w:spacing w:val="-2"/>
        </w:rPr>
        <w:t> </w:t>
      </w:r>
      <w:r>
        <w:rPr>
          <w:color w:val="231F20"/>
        </w:rPr>
        <w:t>bank</w:t>
      </w:r>
      <w:r>
        <w:rPr>
          <w:color w:val="231F20"/>
          <w:spacing w:val="-2"/>
        </w:rPr>
        <w:t> </w:t>
      </w:r>
      <w:r>
        <w:rPr>
          <w:color w:val="231F20"/>
        </w:rPr>
        <w:t>failure,</w:t>
      </w:r>
      <w:r>
        <w:rPr>
          <w:color w:val="231F20"/>
          <w:spacing w:val="-2"/>
        </w:rPr>
        <w:t> </w:t>
      </w:r>
      <w:r>
        <w:rPr>
          <w:color w:val="231F20"/>
        </w:rPr>
        <w:t>the</w:t>
      </w:r>
      <w:r>
        <w:rPr>
          <w:color w:val="231F20"/>
          <w:spacing w:val="-2"/>
        </w:rPr>
        <w:t> </w:t>
      </w:r>
      <w:r>
        <w:rPr>
          <w:color w:val="231F20"/>
        </w:rPr>
        <w:t>entity's</w:t>
      </w:r>
      <w:r>
        <w:rPr>
          <w:color w:val="231F20"/>
          <w:spacing w:val="-2"/>
        </w:rPr>
        <w:t> </w:t>
      </w:r>
      <w:r>
        <w:rPr>
          <w:color w:val="231F20"/>
        </w:rPr>
        <w:t>deposits</w:t>
      </w:r>
      <w:r>
        <w:rPr>
          <w:color w:val="231F20"/>
          <w:spacing w:val="-2"/>
        </w:rPr>
        <w:t> </w:t>
      </w:r>
      <w:r>
        <w:rPr>
          <w:color w:val="231F20"/>
        </w:rPr>
        <w:t>may</w:t>
      </w:r>
      <w:r>
        <w:rPr>
          <w:color w:val="231F20"/>
          <w:spacing w:val="-2"/>
        </w:rPr>
        <w:t> </w:t>
      </w:r>
      <w:r>
        <w:rPr>
          <w:color w:val="231F20"/>
        </w:rPr>
        <w:t>not</w:t>
      </w:r>
      <w:r>
        <w:rPr>
          <w:color w:val="231F20"/>
          <w:spacing w:val="-3"/>
        </w:rPr>
        <w:t> </w:t>
      </w:r>
      <w:r>
        <w:rPr>
          <w:color w:val="231F20"/>
        </w:rPr>
        <w:t>be</w:t>
      </w:r>
      <w:r>
        <w:rPr>
          <w:color w:val="231F20"/>
          <w:spacing w:val="-2"/>
        </w:rPr>
        <w:t> </w:t>
      </w:r>
      <w:r>
        <w:rPr>
          <w:color w:val="231F20"/>
        </w:rPr>
        <w:t>returned to it. The Foundation does not have a deposit policy for custodial credit risk. As of June 30, 2022, the Foundation's deposits were exposed to custodial credit risk as follows:</w:t>
      </w:r>
    </w:p>
    <w:p>
      <w:pPr>
        <w:pStyle w:val="BodyText"/>
        <w:spacing w:before="7"/>
        <w:rPr>
          <w:sz w:val="24"/>
        </w:rPr>
      </w:pPr>
    </w:p>
    <w:tbl>
      <w:tblPr>
        <w:tblW w:w="0" w:type="auto"/>
        <w:jc w:val="left"/>
        <w:tblInd w:w="1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78"/>
        <w:gridCol w:w="2800"/>
        <w:gridCol w:w="1624"/>
        <w:gridCol w:w="1539"/>
      </w:tblGrid>
      <w:tr>
        <w:trPr>
          <w:trHeight w:val="247" w:hRule="atLeast"/>
        </w:trPr>
        <w:tc>
          <w:tcPr>
            <w:tcW w:w="3478" w:type="dxa"/>
          </w:tcPr>
          <w:p>
            <w:pPr>
              <w:pStyle w:val="TableParagraph"/>
              <w:rPr>
                <w:rFonts w:ascii="Times New Roman"/>
                <w:sz w:val="18"/>
              </w:rPr>
            </w:pPr>
          </w:p>
        </w:tc>
        <w:tc>
          <w:tcPr>
            <w:tcW w:w="2800" w:type="dxa"/>
          </w:tcPr>
          <w:p>
            <w:pPr>
              <w:pStyle w:val="TableParagraph"/>
              <w:spacing w:line="192" w:lineRule="exact"/>
              <w:ind w:right="132"/>
              <w:jc w:val="right"/>
              <w:rPr>
                <w:sz w:val="17"/>
              </w:rPr>
            </w:pPr>
            <w:r>
              <w:rPr>
                <w:color w:val="231F20"/>
                <w:spacing w:val="29"/>
                <w:sz w:val="17"/>
                <w:u w:val="single" w:color="231F20"/>
              </w:rPr>
              <w:t> </w:t>
            </w:r>
            <w:r>
              <w:rPr>
                <w:color w:val="231F20"/>
                <w:sz w:val="17"/>
                <w:u w:val="single" w:color="231F20"/>
              </w:rPr>
              <w:t>First</w:t>
            </w:r>
            <w:r>
              <w:rPr>
                <w:color w:val="231F20"/>
                <w:spacing w:val="-4"/>
                <w:sz w:val="17"/>
                <w:u w:val="single" w:color="231F20"/>
              </w:rPr>
              <w:t> </w:t>
            </w:r>
            <w:r>
              <w:rPr>
                <w:color w:val="231F20"/>
                <w:sz w:val="17"/>
                <w:u w:val="single" w:color="231F20"/>
              </w:rPr>
              <w:t>State</w:t>
            </w:r>
            <w:r>
              <w:rPr>
                <w:color w:val="231F20"/>
                <w:spacing w:val="-4"/>
                <w:sz w:val="17"/>
                <w:u w:val="single" w:color="231F20"/>
              </w:rPr>
              <w:t> Bank</w:t>
            </w:r>
            <w:r>
              <w:rPr>
                <w:color w:val="231F20"/>
                <w:spacing w:val="40"/>
                <w:sz w:val="17"/>
                <w:u w:val="single" w:color="231F20"/>
              </w:rPr>
              <w:t> </w:t>
            </w:r>
          </w:p>
        </w:tc>
        <w:tc>
          <w:tcPr>
            <w:tcW w:w="1624" w:type="dxa"/>
          </w:tcPr>
          <w:p>
            <w:pPr>
              <w:pStyle w:val="TableParagraph"/>
              <w:tabs>
                <w:tab w:pos="1356" w:val="left" w:leader="none"/>
              </w:tabs>
              <w:spacing w:line="192" w:lineRule="exact"/>
              <w:ind w:left="1"/>
              <w:jc w:val="center"/>
              <w:rPr>
                <w:sz w:val="17"/>
              </w:rPr>
            </w:pPr>
            <w:r>
              <w:rPr>
                <w:color w:val="231F20"/>
                <w:spacing w:val="66"/>
                <w:sz w:val="17"/>
                <w:u w:val="single" w:color="231F20"/>
              </w:rPr>
              <w:t>  </w:t>
            </w:r>
            <w:r>
              <w:rPr>
                <w:color w:val="231F20"/>
                <w:sz w:val="17"/>
                <w:u w:val="single" w:color="231F20"/>
              </w:rPr>
              <w:t>Wells</w:t>
            </w:r>
            <w:r>
              <w:rPr>
                <w:color w:val="231F20"/>
                <w:spacing w:val="-1"/>
                <w:sz w:val="17"/>
                <w:u w:val="single" w:color="231F20"/>
              </w:rPr>
              <w:t> </w:t>
            </w:r>
            <w:r>
              <w:rPr>
                <w:color w:val="231F20"/>
                <w:spacing w:val="-2"/>
                <w:sz w:val="17"/>
                <w:u w:val="single" w:color="231F20"/>
              </w:rPr>
              <w:t>Fargo</w:t>
            </w:r>
            <w:r>
              <w:rPr>
                <w:color w:val="231F20"/>
                <w:sz w:val="17"/>
                <w:u w:val="single" w:color="231F20"/>
              </w:rPr>
              <w:tab/>
            </w:r>
          </w:p>
        </w:tc>
        <w:tc>
          <w:tcPr>
            <w:tcW w:w="1539" w:type="dxa"/>
          </w:tcPr>
          <w:p>
            <w:pPr>
              <w:pStyle w:val="TableParagraph"/>
              <w:tabs>
                <w:tab w:pos="583" w:val="left" w:leader="none"/>
                <w:tab w:pos="1440" w:val="left" w:leader="none"/>
              </w:tabs>
              <w:spacing w:line="192" w:lineRule="exact"/>
              <w:ind w:left="86"/>
              <w:jc w:val="center"/>
              <w:rPr>
                <w:sz w:val="17"/>
              </w:rPr>
            </w:pPr>
            <w:r>
              <w:rPr>
                <w:color w:val="231F20"/>
                <w:sz w:val="17"/>
                <w:u w:val="single" w:color="231F20"/>
              </w:rPr>
              <w:tab/>
            </w:r>
            <w:r>
              <w:rPr>
                <w:color w:val="231F20"/>
                <w:spacing w:val="-2"/>
                <w:sz w:val="17"/>
                <w:u w:val="single" w:color="231F20"/>
              </w:rPr>
              <w:t>Total</w:t>
            </w:r>
            <w:r>
              <w:rPr>
                <w:color w:val="231F20"/>
                <w:sz w:val="17"/>
                <w:u w:val="single" w:color="231F20"/>
              </w:rPr>
              <w:tab/>
            </w:r>
          </w:p>
        </w:tc>
      </w:tr>
      <w:tr>
        <w:trPr>
          <w:trHeight w:val="258" w:hRule="atLeast"/>
        </w:trPr>
        <w:tc>
          <w:tcPr>
            <w:tcW w:w="3478" w:type="dxa"/>
          </w:tcPr>
          <w:p>
            <w:pPr>
              <w:pStyle w:val="TableParagraph"/>
              <w:spacing w:line="187" w:lineRule="exact" w:before="51"/>
              <w:ind w:left="50"/>
              <w:rPr>
                <w:sz w:val="17"/>
              </w:rPr>
            </w:pPr>
            <w:r>
              <w:rPr>
                <w:color w:val="231F20"/>
                <w:sz w:val="17"/>
              </w:rPr>
              <w:t>Total</w:t>
            </w:r>
            <w:r>
              <w:rPr>
                <w:color w:val="231F20"/>
                <w:spacing w:val="-5"/>
                <w:sz w:val="17"/>
              </w:rPr>
              <w:t> </w:t>
            </w:r>
            <w:r>
              <w:rPr>
                <w:color w:val="231F20"/>
                <w:sz w:val="17"/>
              </w:rPr>
              <w:t>of</w:t>
            </w:r>
            <w:r>
              <w:rPr>
                <w:color w:val="231F20"/>
                <w:spacing w:val="-5"/>
                <w:sz w:val="17"/>
              </w:rPr>
              <w:t> </w:t>
            </w:r>
            <w:r>
              <w:rPr>
                <w:color w:val="231F20"/>
                <w:sz w:val="17"/>
              </w:rPr>
              <w:t>deposits</w:t>
            </w:r>
            <w:r>
              <w:rPr>
                <w:color w:val="231F20"/>
                <w:spacing w:val="-5"/>
                <w:sz w:val="17"/>
              </w:rPr>
              <w:t> </w:t>
            </w:r>
            <w:r>
              <w:rPr>
                <w:color w:val="231F20"/>
                <w:sz w:val="17"/>
              </w:rPr>
              <w:t>in</w:t>
            </w:r>
            <w:r>
              <w:rPr>
                <w:color w:val="231F20"/>
                <w:spacing w:val="-6"/>
                <w:sz w:val="17"/>
              </w:rPr>
              <w:t> </w:t>
            </w:r>
            <w:r>
              <w:rPr>
                <w:color w:val="231F20"/>
                <w:sz w:val="17"/>
              </w:rPr>
              <w:t>the</w:t>
            </w:r>
            <w:r>
              <w:rPr>
                <w:color w:val="231F20"/>
                <w:spacing w:val="-5"/>
                <w:sz w:val="17"/>
              </w:rPr>
              <w:t> </w:t>
            </w:r>
            <w:r>
              <w:rPr>
                <w:color w:val="231F20"/>
                <w:spacing w:val="-4"/>
                <w:sz w:val="17"/>
              </w:rPr>
              <w:t>bank</w:t>
            </w:r>
          </w:p>
        </w:tc>
        <w:tc>
          <w:tcPr>
            <w:tcW w:w="2800" w:type="dxa"/>
          </w:tcPr>
          <w:p>
            <w:pPr>
              <w:pStyle w:val="TableParagraph"/>
              <w:tabs>
                <w:tab w:pos="420" w:val="left" w:leader="none"/>
              </w:tabs>
              <w:spacing w:line="187" w:lineRule="exact" w:before="51"/>
              <w:ind w:right="222"/>
              <w:jc w:val="right"/>
              <w:rPr>
                <w:sz w:val="17"/>
              </w:rPr>
            </w:pPr>
            <w:r>
              <w:rPr>
                <w:color w:val="231F20"/>
                <w:spacing w:val="-10"/>
                <w:sz w:val="17"/>
              </w:rPr>
              <w:t>$</w:t>
            </w:r>
            <w:r>
              <w:rPr>
                <w:color w:val="231F20"/>
                <w:sz w:val="17"/>
              </w:rPr>
              <w:tab/>
            </w:r>
            <w:r>
              <w:rPr>
                <w:color w:val="231F20"/>
                <w:spacing w:val="-2"/>
                <w:sz w:val="17"/>
              </w:rPr>
              <w:t>1,687,074</w:t>
            </w:r>
          </w:p>
        </w:tc>
        <w:tc>
          <w:tcPr>
            <w:tcW w:w="1624" w:type="dxa"/>
          </w:tcPr>
          <w:p>
            <w:pPr>
              <w:pStyle w:val="TableParagraph"/>
              <w:tabs>
                <w:tab w:pos="657" w:val="left" w:leader="none"/>
              </w:tabs>
              <w:spacing w:line="187" w:lineRule="exact" w:before="51"/>
              <w:ind w:left="1"/>
              <w:jc w:val="center"/>
              <w:rPr>
                <w:sz w:val="17"/>
              </w:rPr>
            </w:pPr>
            <w:r>
              <w:rPr>
                <w:color w:val="231F20"/>
                <w:spacing w:val="-10"/>
                <w:sz w:val="17"/>
              </w:rPr>
              <w:t>$</w:t>
            </w:r>
            <w:r>
              <w:rPr>
                <w:color w:val="231F20"/>
                <w:sz w:val="17"/>
              </w:rPr>
              <w:tab/>
            </w:r>
            <w:r>
              <w:rPr>
                <w:color w:val="231F20"/>
                <w:spacing w:val="-2"/>
                <w:sz w:val="17"/>
              </w:rPr>
              <w:t>68,533</w:t>
            </w:r>
          </w:p>
        </w:tc>
        <w:tc>
          <w:tcPr>
            <w:tcW w:w="1539" w:type="dxa"/>
          </w:tcPr>
          <w:p>
            <w:pPr>
              <w:pStyle w:val="TableParagraph"/>
              <w:tabs>
                <w:tab w:pos="508" w:val="left" w:leader="none"/>
              </w:tabs>
              <w:spacing w:line="187" w:lineRule="exact" w:before="51"/>
              <w:ind w:left="85"/>
              <w:jc w:val="center"/>
              <w:rPr>
                <w:sz w:val="17"/>
              </w:rPr>
            </w:pPr>
            <w:r>
              <w:rPr>
                <w:color w:val="231F20"/>
                <w:spacing w:val="-10"/>
                <w:sz w:val="17"/>
              </w:rPr>
              <w:t>$</w:t>
            </w:r>
            <w:r>
              <w:rPr>
                <w:color w:val="231F20"/>
                <w:sz w:val="17"/>
              </w:rPr>
              <w:tab/>
            </w:r>
            <w:r>
              <w:rPr>
                <w:color w:val="231F20"/>
                <w:spacing w:val="-2"/>
                <w:sz w:val="17"/>
              </w:rPr>
              <w:t>1,755,607</w:t>
            </w:r>
          </w:p>
        </w:tc>
      </w:tr>
      <w:tr>
        <w:trPr>
          <w:trHeight w:val="300" w:hRule="atLeast"/>
        </w:trPr>
        <w:tc>
          <w:tcPr>
            <w:tcW w:w="3478" w:type="dxa"/>
          </w:tcPr>
          <w:p>
            <w:pPr>
              <w:pStyle w:val="TableParagraph"/>
              <w:spacing w:before="7"/>
              <w:ind w:left="50"/>
              <w:rPr>
                <w:sz w:val="17"/>
              </w:rPr>
            </w:pPr>
            <w:r>
              <w:rPr>
                <w:color w:val="231F20"/>
                <w:sz w:val="17"/>
              </w:rPr>
              <w:t>FDIC</w:t>
            </w:r>
            <w:r>
              <w:rPr>
                <w:color w:val="231F20"/>
                <w:spacing w:val="-7"/>
                <w:sz w:val="17"/>
              </w:rPr>
              <w:t> </w:t>
            </w:r>
            <w:r>
              <w:rPr>
                <w:color w:val="231F20"/>
                <w:spacing w:val="-2"/>
                <w:sz w:val="17"/>
              </w:rPr>
              <w:t>coverage</w:t>
            </w:r>
          </w:p>
        </w:tc>
        <w:tc>
          <w:tcPr>
            <w:tcW w:w="2800" w:type="dxa"/>
          </w:tcPr>
          <w:p>
            <w:pPr>
              <w:pStyle w:val="TableParagraph"/>
              <w:tabs>
                <w:tab w:pos="595" w:val="left" w:leader="none"/>
              </w:tabs>
              <w:spacing w:before="7"/>
              <w:ind w:right="165"/>
              <w:jc w:val="right"/>
              <w:rPr>
                <w:sz w:val="17"/>
              </w:rPr>
            </w:pPr>
            <w:r>
              <w:rPr>
                <w:color w:val="231F20"/>
                <w:sz w:val="17"/>
                <w:u w:val="single" w:color="231F20"/>
              </w:rPr>
              <w:tab/>
            </w:r>
            <w:r>
              <w:rPr>
                <w:color w:val="231F20"/>
                <w:spacing w:val="-2"/>
                <w:sz w:val="17"/>
                <w:u w:val="single" w:color="231F20"/>
              </w:rPr>
              <w:t>(250,000)</w:t>
            </w:r>
          </w:p>
        </w:tc>
        <w:tc>
          <w:tcPr>
            <w:tcW w:w="1624" w:type="dxa"/>
          </w:tcPr>
          <w:p>
            <w:pPr>
              <w:pStyle w:val="TableParagraph"/>
              <w:tabs>
                <w:tab w:pos="689" w:val="left" w:leader="none"/>
              </w:tabs>
              <w:spacing w:before="7"/>
              <w:ind w:right="30"/>
              <w:jc w:val="center"/>
              <w:rPr>
                <w:sz w:val="17"/>
              </w:rPr>
            </w:pPr>
            <w:r>
              <w:rPr>
                <w:color w:val="231F20"/>
                <w:sz w:val="17"/>
                <w:u w:val="single" w:color="231F20"/>
              </w:rPr>
              <w:tab/>
            </w:r>
            <w:r>
              <w:rPr>
                <w:color w:val="231F20"/>
                <w:spacing w:val="-2"/>
                <w:sz w:val="17"/>
                <w:u w:val="single" w:color="231F20"/>
              </w:rPr>
              <w:t>(68,533)</w:t>
            </w:r>
          </w:p>
        </w:tc>
        <w:tc>
          <w:tcPr>
            <w:tcW w:w="1539" w:type="dxa"/>
          </w:tcPr>
          <w:p>
            <w:pPr>
              <w:pStyle w:val="TableParagraph"/>
              <w:tabs>
                <w:tab w:pos="647" w:val="left" w:leader="none"/>
              </w:tabs>
              <w:spacing w:before="7"/>
              <w:ind w:left="51"/>
              <w:jc w:val="center"/>
              <w:rPr>
                <w:sz w:val="17"/>
              </w:rPr>
            </w:pPr>
            <w:r>
              <w:rPr>
                <w:color w:val="231F20"/>
                <w:sz w:val="17"/>
                <w:u w:val="single" w:color="231F20"/>
              </w:rPr>
              <w:tab/>
            </w:r>
            <w:r>
              <w:rPr>
                <w:color w:val="231F20"/>
                <w:spacing w:val="-2"/>
                <w:sz w:val="17"/>
                <w:u w:val="single" w:color="231F20"/>
              </w:rPr>
              <w:t>(318,533)</w:t>
            </w:r>
          </w:p>
        </w:tc>
      </w:tr>
      <w:tr>
        <w:trPr>
          <w:trHeight w:val="344" w:hRule="atLeast"/>
        </w:trPr>
        <w:tc>
          <w:tcPr>
            <w:tcW w:w="3478" w:type="dxa"/>
          </w:tcPr>
          <w:p>
            <w:pPr>
              <w:pStyle w:val="TableParagraph"/>
              <w:spacing w:before="94"/>
              <w:ind w:left="406"/>
              <w:rPr>
                <w:sz w:val="17"/>
              </w:rPr>
            </w:pPr>
            <w:r>
              <w:rPr>
                <w:color w:val="231F20"/>
                <w:sz w:val="17"/>
              </w:rPr>
              <w:t>Total</w:t>
            </w:r>
            <w:r>
              <w:rPr>
                <w:color w:val="231F20"/>
                <w:spacing w:val="-9"/>
                <w:sz w:val="17"/>
              </w:rPr>
              <w:t> </w:t>
            </w:r>
            <w:r>
              <w:rPr>
                <w:color w:val="231F20"/>
                <w:sz w:val="17"/>
              </w:rPr>
              <w:t>uninsured</w:t>
            </w:r>
            <w:r>
              <w:rPr>
                <w:color w:val="231F20"/>
                <w:spacing w:val="-8"/>
                <w:sz w:val="17"/>
              </w:rPr>
              <w:t> </w:t>
            </w:r>
            <w:r>
              <w:rPr>
                <w:color w:val="231F20"/>
                <w:spacing w:val="-2"/>
                <w:sz w:val="17"/>
              </w:rPr>
              <w:t>funds</w:t>
            </w:r>
          </w:p>
        </w:tc>
        <w:tc>
          <w:tcPr>
            <w:tcW w:w="2800" w:type="dxa"/>
          </w:tcPr>
          <w:p>
            <w:pPr>
              <w:pStyle w:val="TableParagraph"/>
              <w:tabs>
                <w:tab w:pos="510" w:val="left" w:leader="none"/>
              </w:tabs>
              <w:spacing w:before="94"/>
              <w:ind w:right="132"/>
              <w:jc w:val="right"/>
              <w:rPr>
                <w:sz w:val="17"/>
              </w:rPr>
            </w:pPr>
            <w:r>
              <w:rPr>
                <w:color w:val="231F20"/>
                <w:spacing w:val="40"/>
                <w:sz w:val="17"/>
                <w:u w:val="single" w:color="231F20"/>
              </w:rPr>
              <w:t> </w:t>
            </w:r>
            <w:r>
              <w:rPr>
                <w:color w:val="231F20"/>
                <w:spacing w:val="-10"/>
                <w:sz w:val="17"/>
                <w:u w:val="single" w:color="231F20"/>
              </w:rPr>
              <w:t>$</w:t>
            </w:r>
            <w:r>
              <w:rPr>
                <w:color w:val="231F20"/>
                <w:sz w:val="17"/>
                <w:u w:val="single" w:color="231F20"/>
              </w:rPr>
              <w:tab/>
            </w:r>
            <w:r>
              <w:rPr>
                <w:color w:val="231F20"/>
                <w:spacing w:val="-2"/>
                <w:sz w:val="17"/>
                <w:u w:val="single" w:color="231F20"/>
              </w:rPr>
              <w:t>1,437,074</w:t>
            </w:r>
            <w:r>
              <w:rPr>
                <w:color w:val="231F20"/>
                <w:spacing w:val="80"/>
                <w:sz w:val="17"/>
                <w:u w:val="single" w:color="231F20"/>
              </w:rPr>
              <w:t> </w:t>
            </w:r>
          </w:p>
        </w:tc>
        <w:tc>
          <w:tcPr>
            <w:tcW w:w="1624" w:type="dxa"/>
          </w:tcPr>
          <w:p>
            <w:pPr>
              <w:pStyle w:val="TableParagraph"/>
              <w:tabs>
                <w:tab w:pos="1208" w:val="left" w:leader="none"/>
              </w:tabs>
              <w:spacing w:before="94"/>
              <w:ind w:left="1"/>
              <w:jc w:val="center"/>
              <w:rPr>
                <w:sz w:val="17"/>
              </w:rPr>
            </w:pPr>
            <w:r>
              <w:rPr>
                <w:color w:val="231F20"/>
                <w:spacing w:val="41"/>
                <w:sz w:val="17"/>
                <w:u w:val="single" w:color="231F20"/>
              </w:rPr>
              <w:t> </w:t>
            </w:r>
            <w:r>
              <w:rPr>
                <w:color w:val="231F20"/>
                <w:spacing w:val="-10"/>
                <w:sz w:val="17"/>
                <w:u w:val="single" w:color="231F20"/>
              </w:rPr>
              <w:t>$</w:t>
            </w:r>
            <w:r>
              <w:rPr>
                <w:color w:val="231F20"/>
                <w:sz w:val="17"/>
                <w:u w:val="single" w:color="231F20"/>
              </w:rPr>
              <w:tab/>
            </w:r>
            <w:r>
              <w:rPr>
                <w:color w:val="231F20"/>
                <w:spacing w:val="-12"/>
                <w:sz w:val="17"/>
                <w:u w:val="single" w:color="231F20"/>
              </w:rPr>
              <w:t>-</w:t>
            </w:r>
            <w:r>
              <w:rPr>
                <w:color w:val="231F20"/>
                <w:spacing w:val="80"/>
                <w:sz w:val="17"/>
                <w:u w:val="single" w:color="231F20"/>
              </w:rPr>
              <w:t> </w:t>
            </w:r>
          </w:p>
        </w:tc>
        <w:tc>
          <w:tcPr>
            <w:tcW w:w="1539" w:type="dxa"/>
          </w:tcPr>
          <w:p>
            <w:pPr>
              <w:pStyle w:val="TableParagraph"/>
              <w:tabs>
                <w:tab w:pos="599" w:val="left" w:leader="none"/>
              </w:tabs>
              <w:spacing w:before="94"/>
              <w:ind w:left="87"/>
              <w:jc w:val="center"/>
              <w:rPr>
                <w:sz w:val="17"/>
              </w:rPr>
            </w:pPr>
            <w:r>
              <w:rPr>
                <w:color w:val="231F20"/>
                <w:spacing w:val="40"/>
                <w:sz w:val="17"/>
                <w:u w:val="single" w:color="231F20"/>
              </w:rPr>
              <w:t> </w:t>
            </w:r>
            <w:r>
              <w:rPr>
                <w:color w:val="231F20"/>
                <w:spacing w:val="-10"/>
                <w:sz w:val="17"/>
                <w:u w:val="single" w:color="231F20"/>
              </w:rPr>
              <w:t>$</w:t>
            </w:r>
            <w:r>
              <w:rPr>
                <w:color w:val="231F20"/>
                <w:sz w:val="17"/>
                <w:u w:val="single" w:color="231F20"/>
              </w:rPr>
              <w:tab/>
            </w:r>
            <w:r>
              <w:rPr>
                <w:color w:val="231F20"/>
                <w:spacing w:val="-2"/>
                <w:sz w:val="17"/>
                <w:u w:val="single" w:color="231F20"/>
              </w:rPr>
              <w:t>1,437,074</w:t>
            </w:r>
            <w:r>
              <w:rPr>
                <w:color w:val="231F20"/>
                <w:spacing w:val="80"/>
                <w:sz w:val="17"/>
                <w:u w:val="single" w:color="231F20"/>
              </w:rPr>
              <w:t> </w:t>
            </w:r>
          </w:p>
        </w:tc>
      </w:tr>
    </w:tbl>
    <w:p>
      <w:pPr>
        <w:tabs>
          <w:tab w:pos="7844" w:val="left" w:leader="none"/>
          <w:tab w:pos="9469" w:val="left" w:leader="none"/>
        </w:tabs>
        <w:spacing w:line="20" w:lineRule="exact"/>
        <w:ind w:left="6220" w:right="0" w:firstLine="0"/>
        <w:jc w:val="left"/>
        <w:rPr>
          <w:sz w:val="2"/>
        </w:rPr>
      </w:pPr>
      <w:r>
        <w:rPr>
          <w:sz w:val="2"/>
        </w:rPr>
        <w:pict>
          <v:group style="width:67.7pt;height:.8pt;mso-position-horizontal-relative:char;mso-position-vertical-relative:line" id="docshapegroup381" coordorigin="0,0" coordsize="1354,16">
            <v:rect style="position:absolute;left:0;top:0;width:1354;height:16" id="docshape382" filled="true" fillcolor="#231f20" stroked="false">
              <v:fill type="solid"/>
            </v:rect>
          </v:group>
        </w:pict>
      </w:r>
      <w:r>
        <w:rPr>
          <w:sz w:val="2"/>
        </w:rPr>
      </w:r>
      <w:r>
        <w:rPr>
          <w:sz w:val="2"/>
        </w:rPr>
        <w:tab/>
      </w:r>
      <w:r>
        <w:rPr>
          <w:sz w:val="2"/>
        </w:rPr>
        <w:pict>
          <v:group style="width:67.75pt;height:.8pt;mso-position-horizontal-relative:char;mso-position-vertical-relative:line" id="docshapegroup383" coordorigin="0,0" coordsize="1355,16">
            <v:rect style="position:absolute;left:0;top:0;width:1355;height:16" id="docshape384" filled="true" fillcolor="#231f20" stroked="false">
              <v:fill type="solid"/>
            </v:rect>
          </v:group>
        </w:pict>
      </w:r>
      <w:r>
        <w:rPr>
          <w:sz w:val="2"/>
        </w:rPr>
      </w:r>
      <w:r>
        <w:rPr>
          <w:sz w:val="2"/>
        </w:rPr>
        <w:tab/>
      </w:r>
      <w:r>
        <w:rPr>
          <w:sz w:val="2"/>
        </w:rPr>
        <w:pict>
          <v:group style="width:67.7pt;height:.8pt;mso-position-horizontal-relative:char;mso-position-vertical-relative:line" id="docshapegroup385" coordorigin="0,0" coordsize="1354,16">
            <v:rect style="position:absolute;left:0;top:0;width:1354;height:16" id="docshape386" filled="true" fillcolor="#231f20" stroked="false">
              <v:fill type="solid"/>
            </v:rect>
          </v:group>
        </w:pict>
      </w:r>
      <w:r>
        <w:rPr>
          <w:sz w:val="2"/>
        </w:rPr>
      </w:r>
    </w:p>
    <w:p>
      <w:pPr>
        <w:pStyle w:val="BodyText"/>
        <w:spacing w:before="193"/>
        <w:ind w:left="1440"/>
      </w:pPr>
      <w:r>
        <w:rPr/>
        <w:pict>
          <v:rect style="position:absolute;margin-left:337.621002pt;margin-top:97.390991pt;width:56.16pt;height:.600010pt;mso-position-horizontal-relative:page;mso-position-vertical-relative:paragraph;z-index:15799808" id="docshape387" filled="true" fillcolor="#231f20" stroked="false">
            <v:fill type="solid"/>
            <w10:wrap type="none"/>
          </v:rect>
        </w:pict>
      </w:r>
      <w:r>
        <w:rPr/>
        <w:pict>
          <v:shape style="position:absolute;margin-left:405.001007pt;margin-top:96.191994pt;width:56.2pt;height:1.8pt;mso-position-horizontal-relative:page;mso-position-vertical-relative:paragraph;z-index:15800320" id="docshape388" coordorigin="8100,1924" coordsize="1124,36" path="m9223,1948l8100,1948,8100,1960,9223,1960,9223,1948xm9223,1924l8100,1924,8100,1936,9223,1936,9223,1924xe" filled="true" fillcolor="#231f20" stroked="false">
            <v:path arrowok="t"/>
            <v:fill type="solid"/>
            <w10:wrap type="none"/>
          </v:shape>
        </w:pict>
      </w:r>
      <w:r>
        <w:rPr/>
        <w:pict>
          <v:shape style="position:absolute;margin-left:472.321014pt;margin-top:96.191994pt;width:67.95pt;height:1.8pt;mso-position-horizontal-relative:page;mso-position-vertical-relative:paragraph;z-index:15800832" id="docshape389" coordorigin="9446,1924" coordsize="1359,36" path="m10805,1948l9446,1948,9446,1960,10805,1960,10805,1948xm10805,1924l9446,1924,9446,1936,10805,1936,10805,1924xe" filled="true" fillcolor="#231f20" stroked="false">
            <v:path arrowok="t"/>
            <v:fill type="solid"/>
            <w10:wrap type="none"/>
          </v:shape>
        </w:pict>
      </w:r>
      <w:r>
        <w:rPr>
          <w:color w:val="231F20"/>
        </w:rPr>
        <w:t>Deposit</w:t>
      </w:r>
      <w:r>
        <w:rPr>
          <w:color w:val="231F20"/>
          <w:spacing w:val="-8"/>
        </w:rPr>
        <w:t> </w:t>
      </w:r>
      <w:r>
        <w:rPr>
          <w:color w:val="231F20"/>
        </w:rPr>
        <w:t>classification</w:t>
      </w:r>
      <w:r>
        <w:rPr>
          <w:color w:val="231F20"/>
          <w:spacing w:val="-5"/>
        </w:rPr>
        <w:t> </w:t>
      </w:r>
      <w:r>
        <w:rPr>
          <w:color w:val="231F20"/>
        </w:rPr>
        <w:t>in</w:t>
      </w:r>
      <w:r>
        <w:rPr>
          <w:color w:val="231F20"/>
          <w:spacing w:val="-5"/>
        </w:rPr>
        <w:t> </w:t>
      </w:r>
      <w:r>
        <w:rPr>
          <w:color w:val="231F20"/>
        </w:rPr>
        <w:t>the</w:t>
      </w:r>
      <w:r>
        <w:rPr>
          <w:color w:val="231F20"/>
          <w:spacing w:val="-6"/>
        </w:rPr>
        <w:t> </w:t>
      </w:r>
      <w:r>
        <w:rPr>
          <w:color w:val="231F20"/>
        </w:rPr>
        <w:t>financial</w:t>
      </w:r>
      <w:r>
        <w:rPr>
          <w:color w:val="231F20"/>
          <w:spacing w:val="-6"/>
        </w:rPr>
        <w:t> </w:t>
      </w:r>
      <w:r>
        <w:rPr>
          <w:color w:val="231F20"/>
        </w:rPr>
        <w:t>statements</w:t>
      </w:r>
      <w:r>
        <w:rPr>
          <w:color w:val="231F20"/>
          <w:spacing w:val="-6"/>
        </w:rPr>
        <w:t> </w:t>
      </w:r>
      <w:r>
        <w:rPr>
          <w:color w:val="231F20"/>
        </w:rPr>
        <w:t>at</w:t>
      </w:r>
      <w:r>
        <w:rPr>
          <w:color w:val="231F20"/>
          <w:spacing w:val="-6"/>
        </w:rPr>
        <w:t> </w:t>
      </w:r>
      <w:r>
        <w:rPr>
          <w:color w:val="231F20"/>
        </w:rPr>
        <w:t>June</w:t>
      </w:r>
      <w:r>
        <w:rPr>
          <w:color w:val="231F20"/>
          <w:spacing w:val="-5"/>
        </w:rPr>
        <w:t> </w:t>
      </w:r>
      <w:r>
        <w:rPr>
          <w:color w:val="231F20"/>
        </w:rPr>
        <w:t>30,</w:t>
      </w:r>
      <w:r>
        <w:rPr>
          <w:color w:val="231F20"/>
          <w:spacing w:val="-5"/>
        </w:rPr>
        <w:t> </w:t>
      </w:r>
      <w:r>
        <w:rPr>
          <w:color w:val="231F20"/>
        </w:rPr>
        <w:t>2022</w:t>
      </w:r>
      <w:r>
        <w:rPr>
          <w:color w:val="231F20"/>
          <w:spacing w:val="-5"/>
        </w:rPr>
        <w:t> </w:t>
      </w:r>
      <w:r>
        <w:rPr>
          <w:color w:val="231F20"/>
          <w:spacing w:val="-2"/>
        </w:rPr>
        <w:t>follows:</w:t>
      </w:r>
    </w:p>
    <w:p>
      <w:pPr>
        <w:pStyle w:val="BodyText"/>
        <w:spacing w:before="2" w:after="1"/>
        <w:rPr>
          <w:sz w:val="27"/>
        </w:rPr>
      </w:pPr>
    </w:p>
    <w:tbl>
      <w:tblPr>
        <w:tblW w:w="0" w:type="auto"/>
        <w:jc w:val="left"/>
        <w:tblInd w:w="1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1"/>
        <w:gridCol w:w="1347"/>
        <w:gridCol w:w="1348"/>
        <w:gridCol w:w="1347"/>
        <w:gridCol w:w="1348"/>
        <w:gridCol w:w="1520"/>
      </w:tblGrid>
      <w:tr>
        <w:trPr>
          <w:trHeight w:val="341" w:hRule="atLeast"/>
        </w:trPr>
        <w:tc>
          <w:tcPr>
            <w:tcW w:w="2551" w:type="dxa"/>
          </w:tcPr>
          <w:p>
            <w:pPr>
              <w:pStyle w:val="TableParagraph"/>
              <w:spacing w:before="11"/>
              <w:rPr>
                <w:sz w:val="13"/>
              </w:rPr>
            </w:pPr>
          </w:p>
          <w:p>
            <w:pPr>
              <w:pStyle w:val="TableParagraph"/>
              <w:tabs>
                <w:tab w:pos="2439" w:val="left" w:leader="none"/>
              </w:tabs>
              <w:ind w:left="50"/>
              <w:rPr>
                <w:sz w:val="12"/>
              </w:rPr>
            </w:pPr>
            <w:r>
              <w:rPr>
                <w:color w:val="231F20"/>
                <w:spacing w:val="-11"/>
                <w:w w:val="115"/>
                <w:sz w:val="12"/>
                <w:u w:val="single" w:color="231F20"/>
              </w:rPr>
              <w:t> </w:t>
            </w:r>
            <w:r>
              <w:rPr>
                <w:color w:val="231F20"/>
                <w:w w:val="115"/>
                <w:sz w:val="12"/>
                <w:u w:val="single" w:color="231F20"/>
              </w:rPr>
              <w:t>Name</w:t>
            </w:r>
            <w:r>
              <w:rPr>
                <w:color w:val="231F20"/>
                <w:spacing w:val="1"/>
                <w:w w:val="115"/>
                <w:sz w:val="12"/>
                <w:u w:val="single" w:color="231F20"/>
              </w:rPr>
              <w:t> </w:t>
            </w:r>
            <w:r>
              <w:rPr>
                <w:color w:val="231F20"/>
                <w:w w:val="115"/>
                <w:sz w:val="12"/>
                <w:u w:val="single" w:color="231F20"/>
              </w:rPr>
              <w:t>of</w:t>
            </w:r>
            <w:r>
              <w:rPr>
                <w:color w:val="231F20"/>
                <w:spacing w:val="1"/>
                <w:w w:val="115"/>
                <w:sz w:val="12"/>
                <w:u w:val="single" w:color="231F20"/>
              </w:rPr>
              <w:t> </w:t>
            </w:r>
            <w:r>
              <w:rPr>
                <w:color w:val="231F20"/>
                <w:spacing w:val="-2"/>
                <w:w w:val="115"/>
                <w:sz w:val="12"/>
                <w:u w:val="single" w:color="231F20"/>
              </w:rPr>
              <w:t>Depository</w:t>
            </w:r>
            <w:r>
              <w:rPr>
                <w:color w:val="231F20"/>
                <w:sz w:val="12"/>
                <w:u w:val="single" w:color="231F20"/>
              </w:rPr>
              <w:tab/>
            </w:r>
          </w:p>
        </w:tc>
        <w:tc>
          <w:tcPr>
            <w:tcW w:w="1347" w:type="dxa"/>
          </w:tcPr>
          <w:p>
            <w:pPr>
              <w:pStyle w:val="TableParagraph"/>
              <w:spacing w:before="11"/>
              <w:rPr>
                <w:sz w:val="13"/>
              </w:rPr>
            </w:pPr>
          </w:p>
          <w:p>
            <w:pPr>
              <w:pStyle w:val="TableParagraph"/>
              <w:ind w:right="1"/>
              <w:jc w:val="center"/>
              <w:rPr>
                <w:sz w:val="12"/>
              </w:rPr>
            </w:pPr>
            <w:r>
              <w:rPr>
                <w:color w:val="231F20"/>
                <w:spacing w:val="64"/>
                <w:w w:val="115"/>
                <w:sz w:val="12"/>
                <w:u w:val="single" w:color="231F20"/>
              </w:rPr>
              <w:t> </w:t>
            </w:r>
            <w:r>
              <w:rPr>
                <w:color w:val="231F20"/>
                <w:w w:val="115"/>
                <w:sz w:val="12"/>
                <w:u w:val="single" w:color="231F20"/>
              </w:rPr>
              <w:t>Account</w:t>
            </w:r>
            <w:r>
              <w:rPr>
                <w:color w:val="231F20"/>
                <w:spacing w:val="3"/>
                <w:w w:val="115"/>
                <w:sz w:val="12"/>
                <w:u w:val="single" w:color="231F20"/>
              </w:rPr>
              <w:t> </w:t>
            </w:r>
            <w:r>
              <w:rPr>
                <w:color w:val="231F20"/>
                <w:spacing w:val="-4"/>
                <w:w w:val="115"/>
                <w:sz w:val="12"/>
                <w:u w:val="single" w:color="231F20"/>
              </w:rPr>
              <w:t>Name</w:t>
            </w:r>
            <w:r>
              <w:rPr>
                <w:color w:val="231F20"/>
                <w:spacing w:val="40"/>
                <w:w w:val="115"/>
                <w:sz w:val="12"/>
                <w:u w:val="single" w:color="231F20"/>
              </w:rPr>
              <w:t> </w:t>
            </w:r>
          </w:p>
        </w:tc>
        <w:tc>
          <w:tcPr>
            <w:tcW w:w="1348" w:type="dxa"/>
          </w:tcPr>
          <w:p>
            <w:pPr>
              <w:pStyle w:val="TableParagraph"/>
              <w:spacing w:before="2"/>
              <w:ind w:left="11" w:right="1"/>
              <w:jc w:val="center"/>
              <w:rPr>
                <w:sz w:val="12"/>
              </w:rPr>
            </w:pPr>
            <w:r>
              <w:rPr>
                <w:color w:val="231F20"/>
                <w:w w:val="115"/>
                <w:sz w:val="12"/>
              </w:rPr>
              <w:t>Bank</w:t>
            </w:r>
            <w:r>
              <w:rPr>
                <w:color w:val="231F20"/>
                <w:spacing w:val="6"/>
                <w:w w:val="115"/>
                <w:sz w:val="12"/>
              </w:rPr>
              <w:t> </w:t>
            </w:r>
            <w:r>
              <w:rPr>
                <w:color w:val="231F20"/>
                <w:spacing w:val="-2"/>
                <w:w w:val="115"/>
                <w:sz w:val="12"/>
              </w:rPr>
              <w:t>Account</w:t>
            </w:r>
          </w:p>
          <w:p>
            <w:pPr>
              <w:pStyle w:val="TableParagraph"/>
              <w:tabs>
                <w:tab w:pos="408" w:val="left" w:leader="none"/>
                <w:tab w:pos="1124" w:val="left" w:leader="none"/>
              </w:tabs>
              <w:spacing w:before="21"/>
              <w:ind w:right="1"/>
              <w:jc w:val="center"/>
              <w:rPr>
                <w:sz w:val="12"/>
              </w:rPr>
            </w:pPr>
            <w:r>
              <w:rPr>
                <w:color w:val="231F20"/>
                <w:sz w:val="12"/>
                <w:u w:val="single" w:color="231F20"/>
              </w:rPr>
              <w:tab/>
            </w:r>
            <w:r>
              <w:rPr>
                <w:color w:val="231F20"/>
                <w:spacing w:val="-4"/>
                <w:w w:val="115"/>
                <w:sz w:val="12"/>
                <w:u w:val="single" w:color="231F20"/>
              </w:rPr>
              <w:t>Type</w:t>
            </w:r>
            <w:r>
              <w:rPr>
                <w:color w:val="231F20"/>
                <w:sz w:val="12"/>
                <w:u w:val="single" w:color="231F20"/>
              </w:rPr>
              <w:tab/>
            </w:r>
          </w:p>
        </w:tc>
        <w:tc>
          <w:tcPr>
            <w:tcW w:w="1347" w:type="dxa"/>
          </w:tcPr>
          <w:p>
            <w:pPr>
              <w:pStyle w:val="TableParagraph"/>
              <w:spacing w:before="11"/>
              <w:rPr>
                <w:sz w:val="13"/>
              </w:rPr>
            </w:pPr>
          </w:p>
          <w:p>
            <w:pPr>
              <w:pStyle w:val="TableParagraph"/>
              <w:ind w:right="111"/>
              <w:jc w:val="right"/>
              <w:rPr>
                <w:sz w:val="12"/>
              </w:rPr>
            </w:pPr>
            <w:r>
              <w:rPr>
                <w:color w:val="231F20"/>
                <w:spacing w:val="27"/>
                <w:w w:val="115"/>
                <w:sz w:val="12"/>
                <w:u w:val="single" w:color="231F20"/>
              </w:rPr>
              <w:t>  </w:t>
            </w:r>
            <w:r>
              <w:rPr>
                <w:color w:val="231F20"/>
                <w:w w:val="115"/>
                <w:sz w:val="12"/>
                <w:u w:val="single" w:color="231F20"/>
              </w:rPr>
              <w:t>Bank </w:t>
            </w:r>
            <w:r>
              <w:rPr>
                <w:color w:val="231F20"/>
                <w:spacing w:val="-2"/>
                <w:w w:val="115"/>
                <w:sz w:val="12"/>
                <w:u w:val="single" w:color="231F20"/>
              </w:rPr>
              <w:t>Balance</w:t>
            </w:r>
            <w:r>
              <w:rPr>
                <w:color w:val="231F20"/>
                <w:spacing w:val="40"/>
                <w:w w:val="115"/>
                <w:sz w:val="12"/>
                <w:u w:val="single" w:color="231F20"/>
              </w:rPr>
              <w:t> </w:t>
            </w:r>
          </w:p>
        </w:tc>
        <w:tc>
          <w:tcPr>
            <w:tcW w:w="1348" w:type="dxa"/>
          </w:tcPr>
          <w:p>
            <w:pPr>
              <w:pStyle w:val="TableParagraph"/>
              <w:spacing w:before="2"/>
              <w:ind w:left="11" w:right="1"/>
              <w:jc w:val="center"/>
              <w:rPr>
                <w:sz w:val="12"/>
              </w:rPr>
            </w:pPr>
            <w:r>
              <w:rPr>
                <w:color w:val="231F20"/>
                <w:spacing w:val="-2"/>
                <w:w w:val="115"/>
                <w:sz w:val="12"/>
              </w:rPr>
              <w:t>Reconciling</w:t>
            </w:r>
          </w:p>
          <w:p>
            <w:pPr>
              <w:pStyle w:val="TableParagraph"/>
              <w:tabs>
                <w:tab w:pos="392" w:val="left" w:leader="none"/>
                <w:tab w:pos="1124" w:val="left" w:leader="none"/>
              </w:tabs>
              <w:spacing w:before="21"/>
              <w:ind w:right="1"/>
              <w:jc w:val="center"/>
              <w:rPr>
                <w:sz w:val="12"/>
              </w:rPr>
            </w:pPr>
            <w:r>
              <w:rPr>
                <w:color w:val="231F20"/>
                <w:sz w:val="12"/>
                <w:u w:val="single" w:color="231F20"/>
              </w:rPr>
              <w:tab/>
            </w:r>
            <w:r>
              <w:rPr>
                <w:color w:val="231F20"/>
                <w:spacing w:val="-2"/>
                <w:w w:val="115"/>
                <w:sz w:val="12"/>
                <w:u w:val="single" w:color="231F20"/>
              </w:rPr>
              <w:t>Items</w:t>
            </w:r>
            <w:r>
              <w:rPr>
                <w:color w:val="231F20"/>
                <w:sz w:val="12"/>
                <w:u w:val="single" w:color="231F20"/>
              </w:rPr>
              <w:tab/>
            </w:r>
          </w:p>
        </w:tc>
        <w:tc>
          <w:tcPr>
            <w:tcW w:w="1520" w:type="dxa"/>
          </w:tcPr>
          <w:p>
            <w:pPr>
              <w:pStyle w:val="TableParagraph"/>
              <w:spacing w:before="2"/>
              <w:ind w:left="71"/>
              <w:jc w:val="center"/>
              <w:rPr>
                <w:sz w:val="12"/>
              </w:rPr>
            </w:pPr>
            <w:r>
              <w:rPr>
                <w:color w:val="231F20"/>
                <w:spacing w:val="-2"/>
                <w:w w:val="115"/>
                <w:sz w:val="12"/>
              </w:rPr>
              <w:t>Financial</w:t>
            </w:r>
          </w:p>
          <w:p>
            <w:pPr>
              <w:pStyle w:val="TableParagraph"/>
              <w:spacing w:before="21"/>
              <w:ind w:left="57"/>
              <w:jc w:val="center"/>
              <w:rPr>
                <w:sz w:val="12"/>
              </w:rPr>
            </w:pPr>
            <w:r>
              <w:rPr>
                <w:color w:val="231F20"/>
                <w:spacing w:val="53"/>
                <w:w w:val="115"/>
                <w:sz w:val="12"/>
                <w:u w:val="single" w:color="231F20"/>
              </w:rPr>
              <w:t> </w:t>
            </w:r>
            <w:r>
              <w:rPr>
                <w:color w:val="231F20"/>
                <w:w w:val="115"/>
                <w:sz w:val="12"/>
                <w:u w:val="single" w:color="231F20"/>
              </w:rPr>
              <w:t>Statement</w:t>
            </w:r>
            <w:r>
              <w:rPr>
                <w:color w:val="231F20"/>
                <w:spacing w:val="1"/>
                <w:w w:val="115"/>
                <w:sz w:val="12"/>
                <w:u w:val="single" w:color="231F20"/>
              </w:rPr>
              <w:t> </w:t>
            </w:r>
            <w:r>
              <w:rPr>
                <w:color w:val="231F20"/>
                <w:spacing w:val="-2"/>
                <w:w w:val="115"/>
                <w:sz w:val="12"/>
                <w:u w:val="single" w:color="231F20"/>
              </w:rPr>
              <w:t>Balance</w:t>
            </w:r>
            <w:r>
              <w:rPr>
                <w:color w:val="231F20"/>
                <w:spacing w:val="40"/>
                <w:w w:val="115"/>
                <w:sz w:val="12"/>
                <w:u w:val="single" w:color="231F20"/>
              </w:rPr>
              <w:t> </w:t>
            </w:r>
          </w:p>
        </w:tc>
      </w:tr>
      <w:tr>
        <w:trPr>
          <w:trHeight w:val="205" w:hRule="atLeast"/>
        </w:trPr>
        <w:tc>
          <w:tcPr>
            <w:tcW w:w="2551" w:type="dxa"/>
          </w:tcPr>
          <w:p>
            <w:pPr>
              <w:pStyle w:val="TableParagraph"/>
              <w:spacing w:before="43"/>
              <w:ind w:left="77"/>
              <w:rPr>
                <w:sz w:val="12"/>
              </w:rPr>
            </w:pPr>
            <w:r>
              <w:rPr>
                <w:color w:val="231F20"/>
                <w:w w:val="115"/>
                <w:sz w:val="12"/>
              </w:rPr>
              <w:t>First</w:t>
            </w:r>
            <w:r>
              <w:rPr>
                <w:color w:val="231F20"/>
                <w:spacing w:val="2"/>
                <w:w w:val="115"/>
                <w:sz w:val="12"/>
              </w:rPr>
              <w:t> </w:t>
            </w:r>
            <w:r>
              <w:rPr>
                <w:color w:val="231F20"/>
                <w:w w:val="115"/>
                <w:sz w:val="12"/>
              </w:rPr>
              <w:t>State</w:t>
            </w:r>
            <w:r>
              <w:rPr>
                <w:color w:val="231F20"/>
                <w:spacing w:val="1"/>
                <w:w w:val="115"/>
                <w:sz w:val="12"/>
              </w:rPr>
              <w:t> </w:t>
            </w:r>
            <w:r>
              <w:rPr>
                <w:color w:val="231F20"/>
                <w:spacing w:val="-4"/>
                <w:w w:val="115"/>
                <w:sz w:val="12"/>
              </w:rPr>
              <w:t>Bank</w:t>
            </w:r>
          </w:p>
        </w:tc>
        <w:tc>
          <w:tcPr>
            <w:tcW w:w="1347" w:type="dxa"/>
          </w:tcPr>
          <w:p>
            <w:pPr>
              <w:pStyle w:val="TableParagraph"/>
              <w:spacing w:before="43"/>
              <w:ind w:left="11" w:right="1"/>
              <w:jc w:val="center"/>
              <w:rPr>
                <w:sz w:val="12"/>
              </w:rPr>
            </w:pPr>
            <w:r>
              <w:rPr>
                <w:color w:val="231F20"/>
                <w:spacing w:val="-2"/>
                <w:w w:val="115"/>
                <w:sz w:val="12"/>
              </w:rPr>
              <w:t>Checking</w:t>
            </w:r>
          </w:p>
        </w:tc>
        <w:tc>
          <w:tcPr>
            <w:tcW w:w="1348" w:type="dxa"/>
          </w:tcPr>
          <w:p>
            <w:pPr>
              <w:pStyle w:val="TableParagraph"/>
              <w:spacing w:before="43"/>
              <w:ind w:right="504"/>
              <w:jc w:val="right"/>
              <w:rPr>
                <w:sz w:val="12"/>
              </w:rPr>
            </w:pPr>
            <w:r>
              <w:rPr>
                <w:color w:val="231F20"/>
                <w:spacing w:val="-4"/>
                <w:w w:val="115"/>
                <w:sz w:val="12"/>
              </w:rPr>
              <w:t>Cash</w:t>
            </w:r>
          </w:p>
        </w:tc>
        <w:tc>
          <w:tcPr>
            <w:tcW w:w="1347" w:type="dxa"/>
          </w:tcPr>
          <w:p>
            <w:pPr>
              <w:pStyle w:val="TableParagraph"/>
              <w:tabs>
                <w:tab w:pos="346" w:val="left" w:leader="none"/>
              </w:tabs>
              <w:spacing w:before="43"/>
              <w:ind w:right="186"/>
              <w:jc w:val="right"/>
              <w:rPr>
                <w:sz w:val="12"/>
              </w:rPr>
            </w:pPr>
            <w:r>
              <w:rPr>
                <w:color w:val="231F20"/>
                <w:spacing w:val="-10"/>
                <w:w w:val="115"/>
                <w:sz w:val="12"/>
              </w:rPr>
              <w:t>$</w:t>
            </w:r>
            <w:r>
              <w:rPr>
                <w:color w:val="231F20"/>
                <w:sz w:val="12"/>
              </w:rPr>
              <w:tab/>
            </w:r>
            <w:r>
              <w:rPr>
                <w:color w:val="231F20"/>
                <w:spacing w:val="-2"/>
                <w:w w:val="115"/>
                <w:sz w:val="12"/>
              </w:rPr>
              <w:t>1,643,985</w:t>
            </w:r>
          </w:p>
        </w:tc>
        <w:tc>
          <w:tcPr>
            <w:tcW w:w="1348" w:type="dxa"/>
          </w:tcPr>
          <w:p>
            <w:pPr>
              <w:pStyle w:val="TableParagraph"/>
              <w:tabs>
                <w:tab w:pos="692" w:val="left" w:leader="none"/>
              </w:tabs>
              <w:spacing w:before="43"/>
              <w:ind w:right="140"/>
              <w:jc w:val="right"/>
              <w:rPr>
                <w:sz w:val="12"/>
              </w:rPr>
            </w:pPr>
            <w:r>
              <w:rPr>
                <w:color w:val="231F20"/>
                <w:spacing w:val="-10"/>
                <w:w w:val="115"/>
                <w:sz w:val="12"/>
              </w:rPr>
              <w:t>$</w:t>
            </w:r>
            <w:r>
              <w:rPr>
                <w:color w:val="231F20"/>
                <w:sz w:val="12"/>
              </w:rPr>
              <w:tab/>
            </w:r>
            <w:r>
              <w:rPr>
                <w:color w:val="231F20"/>
                <w:spacing w:val="-2"/>
                <w:w w:val="115"/>
                <w:sz w:val="12"/>
              </w:rPr>
              <w:t>(566)</w:t>
            </w:r>
          </w:p>
        </w:tc>
        <w:tc>
          <w:tcPr>
            <w:tcW w:w="1520" w:type="dxa"/>
          </w:tcPr>
          <w:p>
            <w:pPr>
              <w:pStyle w:val="TableParagraph"/>
              <w:tabs>
                <w:tab w:pos="768" w:val="left" w:leader="none"/>
              </w:tabs>
              <w:spacing w:before="43"/>
              <w:ind w:left="183"/>
              <w:rPr>
                <w:sz w:val="12"/>
              </w:rPr>
            </w:pPr>
            <w:r>
              <w:rPr>
                <w:color w:val="231F20"/>
                <w:spacing w:val="-10"/>
                <w:w w:val="115"/>
                <w:sz w:val="12"/>
              </w:rPr>
              <w:t>$</w:t>
            </w:r>
            <w:r>
              <w:rPr>
                <w:color w:val="231F20"/>
                <w:sz w:val="12"/>
              </w:rPr>
              <w:tab/>
            </w:r>
            <w:r>
              <w:rPr>
                <w:color w:val="231F20"/>
                <w:spacing w:val="-2"/>
                <w:w w:val="115"/>
                <w:sz w:val="12"/>
              </w:rPr>
              <w:t>1,643,419</w:t>
            </w:r>
          </w:p>
        </w:tc>
      </w:tr>
      <w:tr>
        <w:trPr>
          <w:trHeight w:val="186" w:hRule="atLeast"/>
        </w:trPr>
        <w:tc>
          <w:tcPr>
            <w:tcW w:w="2551" w:type="dxa"/>
          </w:tcPr>
          <w:p>
            <w:pPr>
              <w:pStyle w:val="TableParagraph"/>
              <w:spacing w:before="25"/>
              <w:ind w:left="77"/>
              <w:rPr>
                <w:sz w:val="12"/>
              </w:rPr>
            </w:pPr>
            <w:r>
              <w:rPr>
                <w:color w:val="231F20"/>
                <w:w w:val="115"/>
                <w:sz w:val="12"/>
              </w:rPr>
              <w:t>First</w:t>
            </w:r>
            <w:r>
              <w:rPr>
                <w:color w:val="231F20"/>
                <w:spacing w:val="1"/>
                <w:w w:val="115"/>
                <w:sz w:val="12"/>
              </w:rPr>
              <w:t> </w:t>
            </w:r>
            <w:r>
              <w:rPr>
                <w:color w:val="231F20"/>
                <w:w w:val="115"/>
                <w:sz w:val="12"/>
              </w:rPr>
              <w:t>State</w:t>
            </w:r>
            <w:r>
              <w:rPr>
                <w:color w:val="231F20"/>
                <w:spacing w:val="1"/>
                <w:w w:val="115"/>
                <w:sz w:val="12"/>
              </w:rPr>
              <w:t> </w:t>
            </w:r>
            <w:r>
              <w:rPr>
                <w:color w:val="231F20"/>
                <w:spacing w:val="-4"/>
                <w:w w:val="115"/>
                <w:sz w:val="12"/>
              </w:rPr>
              <w:t>Bank</w:t>
            </w:r>
          </w:p>
        </w:tc>
        <w:tc>
          <w:tcPr>
            <w:tcW w:w="1347" w:type="dxa"/>
          </w:tcPr>
          <w:p>
            <w:pPr>
              <w:pStyle w:val="TableParagraph"/>
              <w:spacing w:before="25"/>
              <w:ind w:left="10" w:right="1"/>
              <w:jc w:val="center"/>
              <w:rPr>
                <w:sz w:val="12"/>
              </w:rPr>
            </w:pPr>
            <w:r>
              <w:rPr>
                <w:color w:val="231F20"/>
                <w:spacing w:val="-2"/>
                <w:w w:val="115"/>
                <w:sz w:val="12"/>
              </w:rPr>
              <w:t>Savings</w:t>
            </w:r>
          </w:p>
        </w:tc>
        <w:tc>
          <w:tcPr>
            <w:tcW w:w="1348" w:type="dxa"/>
          </w:tcPr>
          <w:p>
            <w:pPr>
              <w:pStyle w:val="TableParagraph"/>
              <w:spacing w:before="25"/>
              <w:ind w:right="502"/>
              <w:jc w:val="right"/>
              <w:rPr>
                <w:sz w:val="12"/>
              </w:rPr>
            </w:pPr>
            <w:r>
              <w:rPr>
                <w:color w:val="231F20"/>
                <w:spacing w:val="-4"/>
                <w:w w:val="115"/>
                <w:sz w:val="12"/>
              </w:rPr>
              <w:t>Cash</w:t>
            </w:r>
          </w:p>
        </w:tc>
        <w:tc>
          <w:tcPr>
            <w:tcW w:w="1347" w:type="dxa"/>
          </w:tcPr>
          <w:p>
            <w:pPr>
              <w:pStyle w:val="TableParagraph"/>
              <w:spacing w:before="25"/>
              <w:ind w:right="186"/>
              <w:jc w:val="right"/>
              <w:rPr>
                <w:sz w:val="12"/>
              </w:rPr>
            </w:pPr>
            <w:r>
              <w:rPr>
                <w:color w:val="231F20"/>
                <w:spacing w:val="-2"/>
                <w:w w:val="115"/>
                <w:sz w:val="12"/>
              </w:rPr>
              <w:t>43,089</w:t>
            </w:r>
          </w:p>
        </w:tc>
        <w:tc>
          <w:tcPr>
            <w:tcW w:w="1348" w:type="dxa"/>
          </w:tcPr>
          <w:p>
            <w:pPr>
              <w:pStyle w:val="TableParagraph"/>
              <w:spacing w:before="25"/>
              <w:ind w:right="186"/>
              <w:jc w:val="right"/>
              <w:rPr>
                <w:sz w:val="12"/>
              </w:rPr>
            </w:pPr>
            <w:r>
              <w:rPr>
                <w:color w:val="231F20"/>
                <w:w w:val="117"/>
                <w:sz w:val="12"/>
              </w:rPr>
              <w:t>-</w:t>
            </w:r>
          </w:p>
        </w:tc>
        <w:tc>
          <w:tcPr>
            <w:tcW w:w="1520" w:type="dxa"/>
          </w:tcPr>
          <w:p>
            <w:pPr>
              <w:pStyle w:val="TableParagraph"/>
              <w:spacing w:before="25"/>
              <w:ind w:right="123"/>
              <w:jc w:val="right"/>
              <w:rPr>
                <w:sz w:val="12"/>
              </w:rPr>
            </w:pPr>
            <w:r>
              <w:rPr>
                <w:color w:val="231F20"/>
                <w:spacing w:val="-2"/>
                <w:w w:val="115"/>
                <w:sz w:val="12"/>
              </w:rPr>
              <w:t>43,089</w:t>
            </w:r>
          </w:p>
        </w:tc>
      </w:tr>
      <w:tr>
        <w:trPr>
          <w:trHeight w:val="236" w:hRule="atLeast"/>
        </w:trPr>
        <w:tc>
          <w:tcPr>
            <w:tcW w:w="2551" w:type="dxa"/>
          </w:tcPr>
          <w:p>
            <w:pPr>
              <w:pStyle w:val="TableParagraph"/>
              <w:spacing w:before="24"/>
              <w:ind w:left="77"/>
              <w:rPr>
                <w:sz w:val="12"/>
              </w:rPr>
            </w:pPr>
            <w:r>
              <w:rPr>
                <w:color w:val="231F20"/>
                <w:w w:val="115"/>
                <w:sz w:val="12"/>
              </w:rPr>
              <w:t>Wells</w:t>
            </w:r>
            <w:r>
              <w:rPr>
                <w:color w:val="231F20"/>
                <w:spacing w:val="5"/>
                <w:w w:val="115"/>
                <w:sz w:val="12"/>
              </w:rPr>
              <w:t> </w:t>
            </w:r>
            <w:r>
              <w:rPr>
                <w:color w:val="231F20"/>
                <w:spacing w:val="-2"/>
                <w:w w:val="115"/>
                <w:sz w:val="12"/>
              </w:rPr>
              <w:t>Fargo</w:t>
            </w:r>
          </w:p>
        </w:tc>
        <w:tc>
          <w:tcPr>
            <w:tcW w:w="1347" w:type="dxa"/>
          </w:tcPr>
          <w:p>
            <w:pPr>
              <w:pStyle w:val="TableParagraph"/>
              <w:spacing w:before="24"/>
              <w:ind w:left="10" w:right="1"/>
              <w:jc w:val="center"/>
              <w:rPr>
                <w:sz w:val="12"/>
              </w:rPr>
            </w:pPr>
            <w:r>
              <w:rPr>
                <w:color w:val="231F20"/>
                <w:spacing w:val="-2"/>
                <w:w w:val="115"/>
                <w:sz w:val="12"/>
              </w:rPr>
              <w:t>Checking</w:t>
            </w:r>
          </w:p>
        </w:tc>
        <w:tc>
          <w:tcPr>
            <w:tcW w:w="1348" w:type="dxa"/>
          </w:tcPr>
          <w:p>
            <w:pPr>
              <w:pStyle w:val="TableParagraph"/>
              <w:spacing w:before="24"/>
              <w:ind w:right="504"/>
              <w:jc w:val="right"/>
              <w:rPr>
                <w:sz w:val="12"/>
              </w:rPr>
            </w:pPr>
            <w:r>
              <w:rPr>
                <w:color w:val="231F20"/>
                <w:spacing w:val="-4"/>
                <w:w w:val="115"/>
                <w:sz w:val="12"/>
              </w:rPr>
              <w:t>Cash</w:t>
            </w:r>
          </w:p>
        </w:tc>
        <w:tc>
          <w:tcPr>
            <w:tcW w:w="1347" w:type="dxa"/>
          </w:tcPr>
          <w:p>
            <w:pPr>
              <w:pStyle w:val="TableParagraph"/>
              <w:tabs>
                <w:tab w:pos="616" w:val="left" w:leader="none"/>
              </w:tabs>
              <w:spacing w:before="24"/>
              <w:ind w:right="111"/>
              <w:jc w:val="right"/>
              <w:rPr>
                <w:sz w:val="12"/>
              </w:rPr>
            </w:pPr>
            <w:r>
              <w:rPr>
                <w:color w:val="231F20"/>
                <w:sz w:val="12"/>
                <w:u w:val="single" w:color="231F20"/>
              </w:rPr>
              <w:tab/>
            </w:r>
            <w:r>
              <w:rPr>
                <w:color w:val="231F20"/>
                <w:spacing w:val="-2"/>
                <w:w w:val="115"/>
                <w:sz w:val="12"/>
                <w:u w:val="single" w:color="231F20"/>
              </w:rPr>
              <w:t>68,533</w:t>
            </w:r>
            <w:r>
              <w:rPr>
                <w:color w:val="231F20"/>
                <w:spacing w:val="80"/>
                <w:w w:val="115"/>
                <w:sz w:val="12"/>
                <w:u w:val="single" w:color="231F20"/>
              </w:rPr>
              <w:t> </w:t>
            </w:r>
          </w:p>
        </w:tc>
        <w:tc>
          <w:tcPr>
            <w:tcW w:w="1348" w:type="dxa"/>
          </w:tcPr>
          <w:p>
            <w:pPr>
              <w:pStyle w:val="TableParagraph"/>
              <w:tabs>
                <w:tab w:pos="1002" w:val="left" w:leader="none"/>
              </w:tabs>
              <w:spacing w:before="24"/>
              <w:ind w:right="111"/>
              <w:jc w:val="right"/>
              <w:rPr>
                <w:sz w:val="12"/>
              </w:rPr>
            </w:pPr>
            <w:r>
              <w:rPr>
                <w:color w:val="231F20"/>
                <w:sz w:val="12"/>
                <w:u w:val="single" w:color="231F20"/>
              </w:rPr>
              <w:tab/>
            </w:r>
            <w:r>
              <w:rPr>
                <w:color w:val="231F20"/>
                <w:spacing w:val="-10"/>
                <w:w w:val="115"/>
                <w:sz w:val="12"/>
                <w:u w:val="single" w:color="231F20"/>
              </w:rPr>
              <w:t>-</w:t>
            </w:r>
            <w:r>
              <w:rPr>
                <w:color w:val="231F20"/>
                <w:spacing w:val="80"/>
                <w:w w:val="115"/>
                <w:sz w:val="12"/>
                <w:u w:val="single" w:color="231F20"/>
              </w:rPr>
              <w:t> </w:t>
            </w:r>
          </w:p>
        </w:tc>
        <w:tc>
          <w:tcPr>
            <w:tcW w:w="1520" w:type="dxa"/>
          </w:tcPr>
          <w:p>
            <w:pPr>
              <w:pStyle w:val="TableParagraph"/>
              <w:tabs>
                <w:tab w:pos="854" w:val="left" w:leader="none"/>
              </w:tabs>
              <w:spacing w:before="24"/>
              <w:ind w:right="50"/>
              <w:jc w:val="right"/>
              <w:rPr>
                <w:sz w:val="12"/>
              </w:rPr>
            </w:pPr>
            <w:r>
              <w:rPr>
                <w:color w:val="231F20"/>
                <w:sz w:val="12"/>
                <w:u w:val="single" w:color="231F20"/>
              </w:rPr>
              <w:tab/>
            </w:r>
            <w:r>
              <w:rPr>
                <w:color w:val="231F20"/>
                <w:spacing w:val="-2"/>
                <w:w w:val="115"/>
                <w:sz w:val="12"/>
                <w:u w:val="single" w:color="231F20"/>
              </w:rPr>
              <w:t>68,533</w:t>
            </w:r>
            <w:r>
              <w:rPr>
                <w:color w:val="231F20"/>
                <w:spacing w:val="80"/>
                <w:w w:val="115"/>
                <w:sz w:val="12"/>
                <w:u w:val="single" w:color="231F20"/>
              </w:rPr>
              <w:t> </w:t>
            </w:r>
          </w:p>
        </w:tc>
      </w:tr>
      <w:tr>
        <w:trPr>
          <w:trHeight w:val="254" w:hRule="atLeast"/>
        </w:trPr>
        <w:tc>
          <w:tcPr>
            <w:tcW w:w="2551" w:type="dxa"/>
          </w:tcPr>
          <w:p>
            <w:pPr>
              <w:pStyle w:val="TableParagraph"/>
              <w:spacing w:before="75"/>
              <w:ind w:left="77"/>
              <w:rPr>
                <w:sz w:val="12"/>
              </w:rPr>
            </w:pPr>
            <w:r>
              <w:rPr>
                <w:color w:val="231F20"/>
                <w:w w:val="115"/>
                <w:sz w:val="12"/>
              </w:rPr>
              <w:t>Total</w:t>
            </w:r>
            <w:r>
              <w:rPr>
                <w:color w:val="231F20"/>
                <w:spacing w:val="2"/>
                <w:w w:val="115"/>
                <w:sz w:val="12"/>
              </w:rPr>
              <w:t> </w:t>
            </w:r>
            <w:r>
              <w:rPr>
                <w:color w:val="231F20"/>
                <w:w w:val="115"/>
                <w:sz w:val="12"/>
              </w:rPr>
              <w:t>cash</w:t>
            </w:r>
            <w:r>
              <w:rPr>
                <w:color w:val="231F20"/>
                <w:spacing w:val="3"/>
                <w:w w:val="115"/>
                <w:sz w:val="12"/>
              </w:rPr>
              <w:t> </w:t>
            </w:r>
            <w:r>
              <w:rPr>
                <w:color w:val="231F20"/>
                <w:w w:val="115"/>
                <w:sz w:val="12"/>
              </w:rPr>
              <w:t>and</w:t>
            </w:r>
            <w:r>
              <w:rPr>
                <w:color w:val="231F20"/>
                <w:spacing w:val="4"/>
                <w:w w:val="115"/>
                <w:sz w:val="12"/>
              </w:rPr>
              <w:t> </w:t>
            </w:r>
            <w:r>
              <w:rPr>
                <w:color w:val="231F20"/>
                <w:w w:val="115"/>
                <w:sz w:val="12"/>
              </w:rPr>
              <w:t>cash</w:t>
            </w:r>
            <w:r>
              <w:rPr>
                <w:color w:val="231F20"/>
                <w:spacing w:val="1"/>
                <w:w w:val="115"/>
                <w:sz w:val="12"/>
              </w:rPr>
              <w:t> </w:t>
            </w:r>
            <w:r>
              <w:rPr>
                <w:color w:val="231F20"/>
                <w:spacing w:val="-2"/>
                <w:w w:val="115"/>
                <w:sz w:val="12"/>
              </w:rPr>
              <w:t>equivalents</w:t>
            </w:r>
          </w:p>
        </w:tc>
        <w:tc>
          <w:tcPr>
            <w:tcW w:w="1347" w:type="dxa"/>
          </w:tcPr>
          <w:p>
            <w:pPr>
              <w:pStyle w:val="TableParagraph"/>
              <w:rPr>
                <w:rFonts w:ascii="Times New Roman"/>
                <w:sz w:val="18"/>
              </w:rPr>
            </w:pPr>
          </w:p>
        </w:tc>
        <w:tc>
          <w:tcPr>
            <w:tcW w:w="1348" w:type="dxa"/>
          </w:tcPr>
          <w:p>
            <w:pPr>
              <w:pStyle w:val="TableParagraph"/>
              <w:rPr>
                <w:rFonts w:ascii="Times New Roman"/>
                <w:sz w:val="18"/>
              </w:rPr>
            </w:pPr>
          </w:p>
        </w:tc>
        <w:tc>
          <w:tcPr>
            <w:tcW w:w="1347" w:type="dxa"/>
          </w:tcPr>
          <w:p>
            <w:pPr>
              <w:pStyle w:val="TableParagraph"/>
              <w:tabs>
                <w:tab w:pos="421" w:val="left" w:leader="none"/>
              </w:tabs>
              <w:spacing w:before="75"/>
              <w:ind w:right="111"/>
              <w:jc w:val="right"/>
              <w:rPr>
                <w:sz w:val="12"/>
              </w:rPr>
            </w:pPr>
            <w:r>
              <w:rPr>
                <w:color w:val="231F20"/>
                <w:spacing w:val="34"/>
                <w:w w:val="115"/>
                <w:sz w:val="12"/>
                <w:u w:val="single" w:color="231F20"/>
              </w:rPr>
              <w:t> </w:t>
            </w:r>
            <w:r>
              <w:rPr>
                <w:color w:val="231F20"/>
                <w:spacing w:val="-10"/>
                <w:w w:val="115"/>
                <w:sz w:val="12"/>
                <w:u w:val="single" w:color="231F20"/>
              </w:rPr>
              <w:t>$</w:t>
            </w:r>
            <w:r>
              <w:rPr>
                <w:color w:val="231F20"/>
                <w:sz w:val="12"/>
                <w:u w:val="single" w:color="231F20"/>
              </w:rPr>
              <w:tab/>
            </w:r>
            <w:r>
              <w:rPr>
                <w:color w:val="231F20"/>
                <w:spacing w:val="-2"/>
                <w:w w:val="115"/>
                <w:sz w:val="12"/>
                <w:u w:val="single" w:color="231F20"/>
              </w:rPr>
              <w:t>1,755,607</w:t>
            </w:r>
            <w:r>
              <w:rPr>
                <w:color w:val="231F20"/>
                <w:spacing w:val="80"/>
                <w:w w:val="115"/>
                <w:sz w:val="12"/>
                <w:u w:val="single" w:color="231F20"/>
              </w:rPr>
              <w:t> </w:t>
            </w:r>
          </w:p>
        </w:tc>
        <w:tc>
          <w:tcPr>
            <w:tcW w:w="1348" w:type="dxa"/>
          </w:tcPr>
          <w:p>
            <w:pPr>
              <w:pStyle w:val="TableParagraph"/>
              <w:tabs>
                <w:tab w:pos="692" w:val="left" w:leader="none"/>
              </w:tabs>
              <w:spacing w:before="75"/>
              <w:ind w:right="139"/>
              <w:jc w:val="right"/>
              <w:rPr>
                <w:sz w:val="12"/>
              </w:rPr>
            </w:pPr>
            <w:r>
              <w:rPr>
                <w:color w:val="231F20"/>
                <w:spacing w:val="-10"/>
                <w:w w:val="115"/>
                <w:sz w:val="12"/>
              </w:rPr>
              <w:t>$</w:t>
            </w:r>
            <w:r>
              <w:rPr>
                <w:color w:val="231F20"/>
                <w:sz w:val="12"/>
              </w:rPr>
              <w:tab/>
            </w:r>
            <w:r>
              <w:rPr>
                <w:color w:val="231F20"/>
                <w:spacing w:val="-2"/>
                <w:w w:val="115"/>
                <w:sz w:val="12"/>
              </w:rPr>
              <w:t>(566)</w:t>
            </w:r>
          </w:p>
        </w:tc>
        <w:tc>
          <w:tcPr>
            <w:tcW w:w="1520" w:type="dxa"/>
          </w:tcPr>
          <w:p>
            <w:pPr>
              <w:pStyle w:val="TableParagraph"/>
              <w:tabs>
                <w:tab w:pos="768" w:val="left" w:leader="none"/>
              </w:tabs>
              <w:spacing w:before="75"/>
              <w:ind w:left="183"/>
              <w:rPr>
                <w:sz w:val="12"/>
              </w:rPr>
            </w:pPr>
            <w:r>
              <w:rPr>
                <w:color w:val="231F20"/>
                <w:spacing w:val="-10"/>
                <w:w w:val="115"/>
                <w:sz w:val="12"/>
              </w:rPr>
              <w:t>$</w:t>
            </w:r>
            <w:r>
              <w:rPr>
                <w:color w:val="231F20"/>
                <w:sz w:val="12"/>
              </w:rPr>
              <w:tab/>
            </w:r>
            <w:r>
              <w:rPr>
                <w:color w:val="231F20"/>
                <w:spacing w:val="-2"/>
                <w:w w:val="115"/>
                <w:sz w:val="12"/>
              </w:rPr>
              <w:t>1,755,041</w:t>
            </w:r>
          </w:p>
        </w:tc>
      </w:tr>
    </w:tbl>
    <w:p>
      <w:pPr>
        <w:spacing w:after="0"/>
        <w:rPr>
          <w:sz w:val="12"/>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spacing w:before="7"/>
        <w:rPr>
          <w:b/>
        </w:r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5"/>
        <w:gridCol w:w="1693"/>
        <w:gridCol w:w="1649"/>
      </w:tblGrid>
      <w:tr>
        <w:trPr>
          <w:trHeight w:val="226" w:hRule="atLeast"/>
        </w:trPr>
        <w:tc>
          <w:tcPr>
            <w:tcW w:w="5835" w:type="dxa"/>
          </w:tcPr>
          <w:p>
            <w:pPr>
              <w:pStyle w:val="TableParagraph"/>
              <w:spacing w:line="207" w:lineRule="exact"/>
              <w:ind w:left="50"/>
              <w:rPr>
                <w:b/>
                <w:sz w:val="20"/>
              </w:rPr>
            </w:pPr>
            <w:r>
              <w:rPr>
                <w:b/>
                <w:color w:val="231F20"/>
                <w:spacing w:val="-2"/>
                <w:sz w:val="20"/>
              </w:rPr>
              <w:t>Investments</w:t>
            </w:r>
          </w:p>
        </w:tc>
        <w:tc>
          <w:tcPr>
            <w:tcW w:w="3342" w:type="dxa"/>
            <w:gridSpan w:val="2"/>
            <w:vMerge w:val="restart"/>
          </w:tcPr>
          <w:p>
            <w:pPr>
              <w:pStyle w:val="TableParagraph"/>
              <w:rPr>
                <w:rFonts w:ascii="Times New Roman"/>
                <w:sz w:val="18"/>
              </w:rPr>
            </w:pPr>
          </w:p>
        </w:tc>
      </w:tr>
      <w:tr>
        <w:trPr>
          <w:trHeight w:val="385" w:hRule="atLeast"/>
        </w:trPr>
        <w:tc>
          <w:tcPr>
            <w:tcW w:w="5835" w:type="dxa"/>
          </w:tcPr>
          <w:p>
            <w:pPr>
              <w:pStyle w:val="TableParagraph"/>
              <w:spacing w:line="226" w:lineRule="exact"/>
              <w:ind w:left="50"/>
              <w:rPr>
                <w:sz w:val="20"/>
              </w:rPr>
            </w:pPr>
            <w:r>
              <w:rPr>
                <w:color w:val="231F20"/>
                <w:sz w:val="20"/>
              </w:rPr>
              <w:t>A</w:t>
            </w:r>
            <w:r>
              <w:rPr>
                <w:color w:val="231F20"/>
                <w:spacing w:val="-7"/>
                <w:sz w:val="20"/>
              </w:rPr>
              <w:t> </w:t>
            </w:r>
            <w:r>
              <w:rPr>
                <w:color w:val="231F20"/>
                <w:sz w:val="20"/>
              </w:rPr>
              <w:t>summary</w:t>
            </w:r>
            <w:r>
              <w:rPr>
                <w:color w:val="231F20"/>
                <w:spacing w:val="-4"/>
                <w:sz w:val="20"/>
              </w:rPr>
              <w:t> </w:t>
            </w:r>
            <w:r>
              <w:rPr>
                <w:color w:val="231F20"/>
                <w:sz w:val="20"/>
              </w:rPr>
              <w:t>of</w:t>
            </w:r>
            <w:r>
              <w:rPr>
                <w:color w:val="231F20"/>
                <w:spacing w:val="-4"/>
                <w:sz w:val="20"/>
              </w:rPr>
              <w:t> </w:t>
            </w:r>
            <w:r>
              <w:rPr>
                <w:color w:val="231F20"/>
                <w:sz w:val="20"/>
              </w:rPr>
              <w:t>the</w:t>
            </w:r>
            <w:r>
              <w:rPr>
                <w:color w:val="231F20"/>
                <w:spacing w:val="-4"/>
                <w:sz w:val="20"/>
              </w:rPr>
              <w:t> </w:t>
            </w:r>
            <w:r>
              <w:rPr>
                <w:color w:val="231F20"/>
                <w:sz w:val="20"/>
              </w:rPr>
              <w:t>investments</w:t>
            </w:r>
            <w:r>
              <w:rPr>
                <w:color w:val="231F20"/>
                <w:spacing w:val="-4"/>
                <w:sz w:val="20"/>
              </w:rPr>
              <w:t> </w:t>
            </w:r>
            <w:r>
              <w:rPr>
                <w:color w:val="231F20"/>
                <w:sz w:val="20"/>
              </w:rPr>
              <w:t>at</w:t>
            </w:r>
            <w:r>
              <w:rPr>
                <w:color w:val="231F20"/>
                <w:spacing w:val="-4"/>
                <w:sz w:val="20"/>
              </w:rPr>
              <w:t> </w:t>
            </w:r>
            <w:r>
              <w:rPr>
                <w:color w:val="231F20"/>
                <w:sz w:val="20"/>
              </w:rPr>
              <w:t>June</w:t>
            </w:r>
            <w:r>
              <w:rPr>
                <w:color w:val="231F20"/>
                <w:spacing w:val="-5"/>
                <w:sz w:val="20"/>
              </w:rPr>
              <w:t> </w:t>
            </w:r>
            <w:r>
              <w:rPr>
                <w:color w:val="231F20"/>
                <w:sz w:val="20"/>
              </w:rPr>
              <w:t>30,</w:t>
            </w:r>
            <w:r>
              <w:rPr>
                <w:color w:val="231F20"/>
                <w:spacing w:val="-4"/>
                <w:sz w:val="20"/>
              </w:rPr>
              <w:t> </w:t>
            </w:r>
            <w:r>
              <w:rPr>
                <w:color w:val="231F20"/>
                <w:sz w:val="20"/>
              </w:rPr>
              <w:t>2022,</w:t>
            </w:r>
            <w:r>
              <w:rPr>
                <w:color w:val="231F20"/>
                <w:spacing w:val="-4"/>
                <w:sz w:val="20"/>
              </w:rPr>
              <w:t> </w:t>
            </w:r>
            <w:r>
              <w:rPr>
                <w:color w:val="231F20"/>
                <w:sz w:val="20"/>
              </w:rPr>
              <w:t>are</w:t>
            </w:r>
            <w:r>
              <w:rPr>
                <w:color w:val="231F20"/>
                <w:spacing w:val="-5"/>
                <w:sz w:val="20"/>
              </w:rPr>
              <w:t> </w:t>
            </w:r>
            <w:r>
              <w:rPr>
                <w:color w:val="231F20"/>
                <w:sz w:val="20"/>
              </w:rPr>
              <w:t>as</w:t>
            </w:r>
            <w:r>
              <w:rPr>
                <w:color w:val="231F20"/>
                <w:spacing w:val="-4"/>
                <w:sz w:val="20"/>
              </w:rPr>
              <w:t> </w:t>
            </w:r>
            <w:r>
              <w:rPr>
                <w:color w:val="231F20"/>
                <w:spacing w:val="-2"/>
                <w:sz w:val="20"/>
              </w:rPr>
              <w:t>follows:</w:t>
            </w:r>
          </w:p>
        </w:tc>
        <w:tc>
          <w:tcPr>
            <w:tcW w:w="3342" w:type="dxa"/>
            <w:gridSpan w:val="2"/>
            <w:vMerge/>
            <w:tcBorders>
              <w:top w:val="nil"/>
            </w:tcBorders>
          </w:tcPr>
          <w:p>
            <w:pPr>
              <w:rPr>
                <w:sz w:val="2"/>
                <w:szCs w:val="2"/>
              </w:rPr>
            </w:pPr>
          </w:p>
        </w:tc>
      </w:tr>
      <w:tr>
        <w:trPr>
          <w:trHeight w:val="449" w:hRule="atLeast"/>
        </w:trPr>
        <w:tc>
          <w:tcPr>
            <w:tcW w:w="5835" w:type="dxa"/>
          </w:tcPr>
          <w:p>
            <w:pPr>
              <w:pStyle w:val="TableParagraph"/>
              <w:tabs>
                <w:tab w:pos="1342" w:val="left" w:leader="none"/>
                <w:tab w:pos="5740" w:val="left" w:leader="none"/>
              </w:tabs>
              <w:spacing w:before="154"/>
              <w:ind w:left="58"/>
              <w:rPr>
                <w:sz w:val="20"/>
              </w:rPr>
            </w:pPr>
            <w:r>
              <w:rPr>
                <w:color w:val="231F20"/>
                <w:sz w:val="20"/>
                <w:u w:val="thick" w:color="231F20"/>
              </w:rPr>
              <w:tab/>
            </w:r>
            <w:r>
              <w:rPr>
                <w:color w:val="231F20"/>
                <w:spacing w:val="-2"/>
                <w:sz w:val="20"/>
                <w:u w:val="thick" w:color="231F20"/>
              </w:rPr>
              <w:t>Investments</w:t>
            </w:r>
            <w:r>
              <w:rPr>
                <w:color w:val="231F20"/>
                <w:sz w:val="20"/>
                <w:u w:val="thick" w:color="231F20"/>
              </w:rPr>
              <w:tab/>
            </w:r>
          </w:p>
        </w:tc>
        <w:tc>
          <w:tcPr>
            <w:tcW w:w="1693" w:type="dxa"/>
          </w:tcPr>
          <w:p>
            <w:pPr>
              <w:pStyle w:val="TableParagraph"/>
              <w:tabs>
                <w:tab w:pos="442" w:val="left" w:leader="none"/>
                <w:tab w:pos="1503" w:val="left" w:leader="none"/>
              </w:tabs>
              <w:spacing w:before="154"/>
              <w:jc w:val="center"/>
              <w:rPr>
                <w:sz w:val="20"/>
              </w:rPr>
            </w:pPr>
            <w:r>
              <w:rPr>
                <w:color w:val="231F20"/>
                <w:sz w:val="20"/>
                <w:u w:val="thick" w:color="231F20"/>
              </w:rPr>
              <w:tab/>
            </w:r>
            <w:r>
              <w:rPr>
                <w:color w:val="231F20"/>
                <w:spacing w:val="-2"/>
                <w:sz w:val="20"/>
                <w:u w:val="thick" w:color="231F20"/>
              </w:rPr>
              <w:t>Ratings</w:t>
            </w:r>
            <w:r>
              <w:rPr>
                <w:color w:val="231F20"/>
                <w:sz w:val="20"/>
                <w:u w:val="thick" w:color="231F20"/>
              </w:rPr>
              <w:tab/>
            </w:r>
          </w:p>
        </w:tc>
        <w:tc>
          <w:tcPr>
            <w:tcW w:w="1649" w:type="dxa"/>
          </w:tcPr>
          <w:p>
            <w:pPr>
              <w:pStyle w:val="TableParagraph"/>
              <w:tabs>
                <w:tab w:pos="332" w:val="left" w:leader="none"/>
                <w:tab w:pos="1504" w:val="left" w:leader="none"/>
              </w:tabs>
              <w:spacing w:before="154"/>
              <w:ind w:right="47"/>
              <w:jc w:val="right"/>
              <w:rPr>
                <w:sz w:val="20"/>
              </w:rPr>
            </w:pPr>
            <w:r>
              <w:rPr>
                <w:color w:val="231F20"/>
                <w:sz w:val="20"/>
                <w:u w:val="thick" w:color="231F20"/>
              </w:rPr>
              <w:tab/>
            </w:r>
            <w:r>
              <w:rPr>
                <w:color w:val="231F20"/>
                <w:w w:val="95"/>
                <w:sz w:val="20"/>
                <w:u w:val="thick" w:color="231F20"/>
              </w:rPr>
              <w:t>Fair</w:t>
            </w:r>
            <w:r>
              <w:rPr>
                <w:color w:val="231F20"/>
                <w:spacing w:val="-9"/>
                <w:w w:val="95"/>
                <w:sz w:val="20"/>
                <w:u w:val="thick" w:color="231F20"/>
              </w:rPr>
              <w:t> </w:t>
            </w:r>
            <w:r>
              <w:rPr>
                <w:color w:val="231F20"/>
                <w:spacing w:val="-2"/>
                <w:sz w:val="20"/>
                <w:u w:val="thick" w:color="231F20"/>
              </w:rPr>
              <w:t>Value</w:t>
            </w:r>
            <w:r>
              <w:rPr>
                <w:color w:val="231F20"/>
                <w:sz w:val="20"/>
                <w:u w:val="thick" w:color="231F20"/>
              </w:rPr>
              <w:tab/>
            </w:r>
          </w:p>
        </w:tc>
      </w:tr>
      <w:tr>
        <w:trPr>
          <w:trHeight w:val="806" w:hRule="atLeast"/>
        </w:trPr>
        <w:tc>
          <w:tcPr>
            <w:tcW w:w="5835" w:type="dxa"/>
          </w:tcPr>
          <w:p>
            <w:pPr>
              <w:pStyle w:val="TableParagraph"/>
              <w:spacing w:line="261" w:lineRule="auto" w:before="60"/>
              <w:ind w:left="147" w:right="461" w:hanging="52"/>
              <w:rPr>
                <w:sz w:val="20"/>
              </w:rPr>
            </w:pPr>
            <w:r>
              <w:rPr>
                <w:color w:val="231F20"/>
                <w:w w:val="95"/>
                <w:sz w:val="20"/>
              </w:rPr>
              <w:t>Investments</w:t>
            </w:r>
            <w:r>
              <w:rPr>
                <w:color w:val="231F20"/>
                <w:spacing w:val="-12"/>
                <w:w w:val="95"/>
                <w:sz w:val="20"/>
              </w:rPr>
              <w:t> </w:t>
            </w:r>
            <w:r>
              <w:rPr>
                <w:color w:val="231F20"/>
                <w:w w:val="95"/>
                <w:sz w:val="20"/>
              </w:rPr>
              <w:t>held</w:t>
            </w:r>
            <w:r>
              <w:rPr>
                <w:color w:val="231F20"/>
                <w:spacing w:val="-11"/>
                <w:w w:val="95"/>
                <w:sz w:val="20"/>
              </w:rPr>
              <w:t> </w:t>
            </w:r>
            <w:r>
              <w:rPr>
                <w:color w:val="231F20"/>
                <w:w w:val="95"/>
                <w:sz w:val="20"/>
              </w:rPr>
              <w:t>with</w:t>
            </w:r>
            <w:r>
              <w:rPr>
                <w:color w:val="231F20"/>
                <w:spacing w:val="-11"/>
                <w:w w:val="95"/>
                <w:sz w:val="20"/>
              </w:rPr>
              <w:t> </w:t>
            </w:r>
            <w:r>
              <w:rPr>
                <w:color w:val="231F20"/>
                <w:w w:val="95"/>
                <w:sz w:val="20"/>
              </w:rPr>
              <w:t>the</w:t>
            </w:r>
            <w:r>
              <w:rPr>
                <w:color w:val="231F20"/>
                <w:spacing w:val="-11"/>
                <w:w w:val="95"/>
                <w:sz w:val="20"/>
              </w:rPr>
              <w:t> </w:t>
            </w:r>
            <w:r>
              <w:rPr>
                <w:color w:val="231F20"/>
                <w:w w:val="95"/>
                <w:sz w:val="20"/>
              </w:rPr>
              <w:t>New</w:t>
            </w:r>
            <w:r>
              <w:rPr>
                <w:color w:val="231F20"/>
                <w:spacing w:val="-11"/>
                <w:w w:val="95"/>
                <w:sz w:val="20"/>
              </w:rPr>
              <w:t> </w:t>
            </w:r>
            <w:r>
              <w:rPr>
                <w:color w:val="231F20"/>
                <w:w w:val="95"/>
                <w:sz w:val="20"/>
              </w:rPr>
              <w:t>Mexico</w:t>
            </w:r>
            <w:r>
              <w:rPr>
                <w:color w:val="231F20"/>
                <w:spacing w:val="-11"/>
                <w:w w:val="95"/>
                <w:sz w:val="20"/>
              </w:rPr>
              <w:t> </w:t>
            </w:r>
            <w:r>
              <w:rPr>
                <w:color w:val="231F20"/>
                <w:w w:val="95"/>
                <w:sz w:val="20"/>
              </w:rPr>
              <w:t>State</w:t>
            </w:r>
            <w:r>
              <w:rPr>
                <w:color w:val="231F20"/>
                <w:spacing w:val="-11"/>
                <w:w w:val="95"/>
                <w:sz w:val="20"/>
              </w:rPr>
              <w:t> </w:t>
            </w:r>
            <w:r>
              <w:rPr>
                <w:color w:val="231F20"/>
                <w:w w:val="95"/>
                <w:sz w:val="20"/>
              </w:rPr>
              <w:t>Investment </w:t>
            </w:r>
            <w:r>
              <w:rPr>
                <w:color w:val="231F20"/>
                <w:sz w:val="20"/>
              </w:rPr>
              <w:t>Council</w:t>
            </w:r>
            <w:r>
              <w:rPr>
                <w:color w:val="231F20"/>
                <w:spacing w:val="-1"/>
                <w:sz w:val="20"/>
              </w:rPr>
              <w:t> </w:t>
            </w:r>
            <w:r>
              <w:rPr>
                <w:color w:val="231F20"/>
                <w:sz w:val="20"/>
              </w:rPr>
              <w:t>(SIC) pooled funds</w:t>
            </w:r>
          </w:p>
          <w:p>
            <w:pPr>
              <w:pStyle w:val="TableParagraph"/>
              <w:spacing w:line="224" w:lineRule="exact" w:before="2"/>
              <w:ind w:left="358"/>
              <w:rPr>
                <w:sz w:val="20"/>
              </w:rPr>
            </w:pPr>
            <w:r>
              <w:rPr>
                <w:color w:val="231F20"/>
                <w:w w:val="95"/>
                <w:sz w:val="20"/>
              </w:rPr>
              <w:t>Large</w:t>
            </w:r>
            <w:r>
              <w:rPr>
                <w:color w:val="231F20"/>
                <w:spacing w:val="-7"/>
                <w:w w:val="95"/>
                <w:sz w:val="20"/>
              </w:rPr>
              <w:t> </w:t>
            </w:r>
            <w:r>
              <w:rPr>
                <w:color w:val="231F20"/>
                <w:w w:val="95"/>
                <w:sz w:val="20"/>
              </w:rPr>
              <w:t>Cap</w:t>
            </w:r>
            <w:r>
              <w:rPr>
                <w:color w:val="231F20"/>
                <w:spacing w:val="-9"/>
                <w:w w:val="95"/>
                <w:sz w:val="20"/>
              </w:rPr>
              <w:t> </w:t>
            </w:r>
            <w:r>
              <w:rPr>
                <w:color w:val="231F20"/>
                <w:w w:val="95"/>
                <w:sz w:val="20"/>
              </w:rPr>
              <w:t>Index</w:t>
            </w:r>
            <w:r>
              <w:rPr>
                <w:color w:val="231F20"/>
                <w:spacing w:val="-9"/>
                <w:w w:val="95"/>
                <w:sz w:val="20"/>
              </w:rPr>
              <w:t> </w:t>
            </w:r>
            <w:r>
              <w:rPr>
                <w:color w:val="231F20"/>
                <w:spacing w:val="-4"/>
                <w:w w:val="95"/>
                <w:sz w:val="20"/>
              </w:rPr>
              <w:t>Fund</w:t>
            </w:r>
          </w:p>
        </w:tc>
        <w:tc>
          <w:tcPr>
            <w:tcW w:w="1693" w:type="dxa"/>
          </w:tcPr>
          <w:p>
            <w:pPr>
              <w:pStyle w:val="TableParagraph"/>
              <w:rPr>
                <w:b/>
                <w:sz w:val="22"/>
              </w:rPr>
            </w:pPr>
          </w:p>
          <w:p>
            <w:pPr>
              <w:pStyle w:val="TableParagraph"/>
              <w:spacing w:before="11"/>
              <w:rPr>
                <w:b/>
                <w:sz w:val="26"/>
              </w:rPr>
            </w:pPr>
          </w:p>
          <w:p>
            <w:pPr>
              <w:pStyle w:val="TableParagraph"/>
              <w:spacing w:line="224" w:lineRule="exact"/>
              <w:ind w:left="14"/>
              <w:jc w:val="center"/>
              <w:rPr>
                <w:sz w:val="20"/>
              </w:rPr>
            </w:pPr>
            <w:r>
              <w:rPr>
                <w:color w:val="231F20"/>
                <w:w w:val="95"/>
                <w:sz w:val="20"/>
              </w:rPr>
              <w:t>Not</w:t>
            </w:r>
            <w:r>
              <w:rPr>
                <w:color w:val="231F20"/>
                <w:spacing w:val="-7"/>
                <w:w w:val="95"/>
                <w:sz w:val="20"/>
              </w:rPr>
              <w:t> </w:t>
            </w:r>
            <w:r>
              <w:rPr>
                <w:color w:val="231F20"/>
                <w:spacing w:val="-2"/>
                <w:sz w:val="20"/>
              </w:rPr>
              <w:t>rated</w:t>
            </w:r>
          </w:p>
        </w:tc>
        <w:tc>
          <w:tcPr>
            <w:tcW w:w="1649" w:type="dxa"/>
          </w:tcPr>
          <w:p>
            <w:pPr>
              <w:pStyle w:val="TableParagraph"/>
              <w:rPr>
                <w:b/>
                <w:sz w:val="22"/>
              </w:rPr>
            </w:pPr>
          </w:p>
          <w:p>
            <w:pPr>
              <w:pStyle w:val="TableParagraph"/>
              <w:spacing w:before="11"/>
              <w:rPr>
                <w:b/>
                <w:sz w:val="26"/>
              </w:rPr>
            </w:pPr>
          </w:p>
          <w:p>
            <w:pPr>
              <w:pStyle w:val="TableParagraph"/>
              <w:tabs>
                <w:tab w:pos="661" w:val="left" w:leader="none"/>
              </w:tabs>
              <w:spacing w:line="224" w:lineRule="exact"/>
              <w:ind w:left="196"/>
              <w:rPr>
                <w:sz w:val="20"/>
              </w:rPr>
            </w:pPr>
            <w:r>
              <w:rPr>
                <w:color w:val="231F20"/>
                <w:spacing w:val="-10"/>
                <w:sz w:val="20"/>
              </w:rPr>
              <w:t>$</w:t>
            </w:r>
            <w:r>
              <w:rPr>
                <w:color w:val="231F20"/>
                <w:sz w:val="20"/>
              </w:rPr>
              <w:tab/>
            </w:r>
            <w:r>
              <w:rPr>
                <w:color w:val="231F20"/>
                <w:spacing w:val="-2"/>
                <w:sz w:val="20"/>
              </w:rPr>
              <w:t>2,234,555</w:t>
            </w:r>
          </w:p>
        </w:tc>
      </w:tr>
      <w:tr>
        <w:trPr>
          <w:trHeight w:val="251" w:hRule="atLeast"/>
        </w:trPr>
        <w:tc>
          <w:tcPr>
            <w:tcW w:w="5835" w:type="dxa"/>
          </w:tcPr>
          <w:p>
            <w:pPr>
              <w:pStyle w:val="TableParagraph"/>
              <w:spacing w:line="224" w:lineRule="exact" w:before="8"/>
              <w:ind w:left="358"/>
              <w:rPr>
                <w:sz w:val="20"/>
              </w:rPr>
            </w:pPr>
            <w:r>
              <w:rPr>
                <w:color w:val="231F20"/>
                <w:w w:val="95"/>
                <w:sz w:val="20"/>
              </w:rPr>
              <w:t>Core</w:t>
            </w:r>
            <w:r>
              <w:rPr>
                <w:color w:val="231F20"/>
                <w:spacing w:val="-9"/>
                <w:w w:val="95"/>
                <w:sz w:val="20"/>
              </w:rPr>
              <w:t> </w:t>
            </w:r>
            <w:r>
              <w:rPr>
                <w:color w:val="231F20"/>
                <w:w w:val="95"/>
                <w:sz w:val="20"/>
              </w:rPr>
              <w:t>Plus</w:t>
            </w:r>
            <w:r>
              <w:rPr>
                <w:color w:val="231F20"/>
                <w:spacing w:val="-8"/>
                <w:w w:val="95"/>
                <w:sz w:val="20"/>
              </w:rPr>
              <w:t> </w:t>
            </w:r>
            <w:r>
              <w:rPr>
                <w:color w:val="231F20"/>
                <w:w w:val="95"/>
                <w:sz w:val="20"/>
              </w:rPr>
              <w:t>Bonds</w:t>
            </w:r>
            <w:r>
              <w:rPr>
                <w:color w:val="231F20"/>
                <w:spacing w:val="-7"/>
                <w:w w:val="95"/>
                <w:sz w:val="20"/>
              </w:rPr>
              <w:t> </w:t>
            </w:r>
            <w:r>
              <w:rPr>
                <w:color w:val="231F20"/>
                <w:spacing w:val="-4"/>
                <w:w w:val="95"/>
                <w:sz w:val="20"/>
              </w:rPr>
              <w:t>Pool</w:t>
            </w:r>
          </w:p>
        </w:tc>
        <w:tc>
          <w:tcPr>
            <w:tcW w:w="1693" w:type="dxa"/>
          </w:tcPr>
          <w:p>
            <w:pPr>
              <w:pStyle w:val="TableParagraph"/>
              <w:spacing w:line="224" w:lineRule="exact" w:before="8"/>
              <w:ind w:left="18"/>
              <w:jc w:val="center"/>
              <w:rPr>
                <w:sz w:val="20"/>
              </w:rPr>
            </w:pPr>
            <w:r>
              <w:rPr>
                <w:color w:val="231F20"/>
                <w:spacing w:val="-5"/>
                <w:sz w:val="20"/>
              </w:rPr>
              <w:t>A1</w:t>
            </w:r>
          </w:p>
        </w:tc>
        <w:tc>
          <w:tcPr>
            <w:tcW w:w="1649" w:type="dxa"/>
          </w:tcPr>
          <w:p>
            <w:pPr>
              <w:pStyle w:val="TableParagraph"/>
              <w:spacing w:line="224" w:lineRule="exact" w:before="8"/>
              <w:ind w:right="148"/>
              <w:jc w:val="right"/>
              <w:rPr>
                <w:sz w:val="20"/>
              </w:rPr>
            </w:pPr>
            <w:r>
              <w:rPr>
                <w:color w:val="231F20"/>
                <w:spacing w:val="-2"/>
                <w:sz w:val="20"/>
              </w:rPr>
              <w:t>3,987,447</w:t>
            </w:r>
          </w:p>
        </w:tc>
      </w:tr>
      <w:tr>
        <w:trPr>
          <w:trHeight w:val="251" w:hRule="atLeast"/>
        </w:trPr>
        <w:tc>
          <w:tcPr>
            <w:tcW w:w="5835" w:type="dxa"/>
          </w:tcPr>
          <w:p>
            <w:pPr>
              <w:pStyle w:val="TableParagraph"/>
              <w:spacing w:line="223" w:lineRule="exact" w:before="8"/>
              <w:ind w:left="358"/>
              <w:rPr>
                <w:sz w:val="20"/>
              </w:rPr>
            </w:pPr>
            <w:r>
              <w:rPr>
                <w:color w:val="231F20"/>
                <w:spacing w:val="-2"/>
                <w:w w:val="95"/>
                <w:sz w:val="20"/>
              </w:rPr>
              <w:t>Non-US</w:t>
            </w:r>
            <w:r>
              <w:rPr>
                <w:color w:val="231F20"/>
                <w:spacing w:val="-2"/>
                <w:sz w:val="20"/>
              </w:rPr>
              <w:t> </w:t>
            </w:r>
            <w:r>
              <w:rPr>
                <w:color w:val="231F20"/>
                <w:spacing w:val="-2"/>
                <w:w w:val="95"/>
                <w:sz w:val="20"/>
              </w:rPr>
              <w:t>Emerging</w:t>
            </w:r>
            <w:r>
              <w:rPr>
                <w:color w:val="231F20"/>
                <w:spacing w:val="-2"/>
                <w:sz w:val="20"/>
              </w:rPr>
              <w:t> </w:t>
            </w:r>
            <w:r>
              <w:rPr>
                <w:color w:val="231F20"/>
                <w:spacing w:val="-2"/>
                <w:w w:val="95"/>
                <w:sz w:val="20"/>
              </w:rPr>
              <w:t>Markets</w:t>
            </w:r>
            <w:r>
              <w:rPr>
                <w:color w:val="231F20"/>
                <w:spacing w:val="-2"/>
                <w:sz w:val="20"/>
              </w:rPr>
              <w:t> </w:t>
            </w:r>
            <w:r>
              <w:rPr>
                <w:color w:val="231F20"/>
                <w:spacing w:val="-2"/>
                <w:w w:val="95"/>
                <w:sz w:val="20"/>
              </w:rPr>
              <w:t>Active</w:t>
            </w:r>
            <w:r>
              <w:rPr>
                <w:color w:val="231F20"/>
                <w:spacing w:val="-3"/>
                <w:sz w:val="20"/>
              </w:rPr>
              <w:t> </w:t>
            </w:r>
            <w:r>
              <w:rPr>
                <w:color w:val="231F20"/>
                <w:spacing w:val="-4"/>
                <w:w w:val="95"/>
                <w:sz w:val="20"/>
              </w:rPr>
              <w:t>Pool</w:t>
            </w:r>
          </w:p>
        </w:tc>
        <w:tc>
          <w:tcPr>
            <w:tcW w:w="1693" w:type="dxa"/>
          </w:tcPr>
          <w:p>
            <w:pPr>
              <w:pStyle w:val="TableParagraph"/>
              <w:spacing w:line="223" w:lineRule="exact" w:before="8"/>
              <w:ind w:left="15"/>
              <w:jc w:val="center"/>
              <w:rPr>
                <w:sz w:val="20"/>
              </w:rPr>
            </w:pPr>
            <w:r>
              <w:rPr>
                <w:color w:val="231F20"/>
                <w:w w:val="95"/>
                <w:sz w:val="20"/>
              </w:rPr>
              <w:t>Not</w:t>
            </w:r>
            <w:r>
              <w:rPr>
                <w:color w:val="231F20"/>
                <w:spacing w:val="-7"/>
                <w:w w:val="95"/>
                <w:sz w:val="20"/>
              </w:rPr>
              <w:t> </w:t>
            </w:r>
            <w:r>
              <w:rPr>
                <w:color w:val="231F20"/>
                <w:spacing w:val="-2"/>
                <w:sz w:val="20"/>
              </w:rPr>
              <w:t>rated</w:t>
            </w:r>
          </w:p>
        </w:tc>
        <w:tc>
          <w:tcPr>
            <w:tcW w:w="1649" w:type="dxa"/>
          </w:tcPr>
          <w:p>
            <w:pPr>
              <w:pStyle w:val="TableParagraph"/>
              <w:spacing w:line="223" w:lineRule="exact" w:before="8"/>
              <w:ind w:right="148"/>
              <w:jc w:val="right"/>
              <w:rPr>
                <w:sz w:val="20"/>
              </w:rPr>
            </w:pPr>
            <w:r>
              <w:rPr>
                <w:color w:val="231F20"/>
                <w:spacing w:val="-2"/>
                <w:sz w:val="20"/>
              </w:rPr>
              <w:t>2,640,515</w:t>
            </w:r>
          </w:p>
        </w:tc>
      </w:tr>
      <w:tr>
        <w:trPr>
          <w:trHeight w:val="251" w:hRule="atLeast"/>
        </w:trPr>
        <w:tc>
          <w:tcPr>
            <w:tcW w:w="5835" w:type="dxa"/>
          </w:tcPr>
          <w:p>
            <w:pPr>
              <w:pStyle w:val="TableParagraph"/>
              <w:spacing w:line="224" w:lineRule="exact" w:before="8"/>
              <w:ind w:left="358"/>
              <w:rPr>
                <w:sz w:val="20"/>
              </w:rPr>
            </w:pPr>
            <w:r>
              <w:rPr>
                <w:color w:val="231F20"/>
                <w:w w:val="95"/>
                <w:sz w:val="20"/>
              </w:rPr>
              <w:t>US</w:t>
            </w:r>
            <w:r>
              <w:rPr>
                <w:color w:val="231F20"/>
                <w:spacing w:val="-11"/>
                <w:w w:val="95"/>
                <w:sz w:val="20"/>
              </w:rPr>
              <w:t> </w:t>
            </w:r>
            <w:r>
              <w:rPr>
                <w:color w:val="231F20"/>
                <w:w w:val="95"/>
                <w:sz w:val="20"/>
              </w:rPr>
              <w:t>SMID</w:t>
            </w:r>
            <w:r>
              <w:rPr>
                <w:color w:val="231F20"/>
                <w:spacing w:val="-12"/>
                <w:w w:val="95"/>
                <w:sz w:val="20"/>
              </w:rPr>
              <w:t> </w:t>
            </w:r>
            <w:r>
              <w:rPr>
                <w:color w:val="231F20"/>
                <w:w w:val="95"/>
                <w:sz w:val="20"/>
              </w:rPr>
              <w:t>Cap</w:t>
            </w:r>
            <w:r>
              <w:rPr>
                <w:color w:val="231F20"/>
                <w:spacing w:val="-10"/>
                <w:w w:val="95"/>
                <w:sz w:val="20"/>
              </w:rPr>
              <w:t> </w:t>
            </w:r>
            <w:r>
              <w:rPr>
                <w:color w:val="231F20"/>
                <w:w w:val="95"/>
                <w:sz w:val="20"/>
              </w:rPr>
              <w:t>Alternative</w:t>
            </w:r>
            <w:r>
              <w:rPr>
                <w:color w:val="231F20"/>
                <w:spacing w:val="-11"/>
                <w:w w:val="95"/>
                <w:sz w:val="20"/>
              </w:rPr>
              <w:t> </w:t>
            </w:r>
            <w:r>
              <w:rPr>
                <w:color w:val="231F20"/>
                <w:w w:val="95"/>
                <w:sz w:val="20"/>
              </w:rPr>
              <w:t>Weighted</w:t>
            </w:r>
            <w:r>
              <w:rPr>
                <w:color w:val="231F20"/>
                <w:spacing w:val="-9"/>
                <w:w w:val="95"/>
                <w:sz w:val="20"/>
              </w:rPr>
              <w:t> </w:t>
            </w:r>
            <w:r>
              <w:rPr>
                <w:color w:val="231F20"/>
                <w:w w:val="95"/>
                <w:sz w:val="20"/>
              </w:rPr>
              <w:t>Index</w:t>
            </w:r>
            <w:r>
              <w:rPr>
                <w:color w:val="231F20"/>
                <w:spacing w:val="-11"/>
                <w:w w:val="95"/>
                <w:sz w:val="20"/>
              </w:rPr>
              <w:t> </w:t>
            </w:r>
            <w:r>
              <w:rPr>
                <w:color w:val="231F20"/>
                <w:spacing w:val="-4"/>
                <w:w w:val="95"/>
                <w:sz w:val="20"/>
              </w:rPr>
              <w:t>Pool</w:t>
            </w:r>
          </w:p>
        </w:tc>
        <w:tc>
          <w:tcPr>
            <w:tcW w:w="1693" w:type="dxa"/>
          </w:tcPr>
          <w:p>
            <w:pPr>
              <w:pStyle w:val="TableParagraph"/>
              <w:spacing w:line="224" w:lineRule="exact" w:before="8"/>
              <w:ind w:left="12"/>
              <w:jc w:val="center"/>
              <w:rPr>
                <w:sz w:val="20"/>
              </w:rPr>
            </w:pPr>
            <w:r>
              <w:rPr>
                <w:color w:val="231F20"/>
                <w:w w:val="95"/>
                <w:sz w:val="20"/>
              </w:rPr>
              <w:t>Not</w:t>
            </w:r>
            <w:r>
              <w:rPr>
                <w:color w:val="231F20"/>
                <w:spacing w:val="-7"/>
                <w:w w:val="95"/>
                <w:sz w:val="20"/>
              </w:rPr>
              <w:t> </w:t>
            </w:r>
            <w:r>
              <w:rPr>
                <w:color w:val="231F20"/>
                <w:spacing w:val="-2"/>
                <w:sz w:val="20"/>
              </w:rPr>
              <w:t>rated</w:t>
            </w:r>
          </w:p>
        </w:tc>
        <w:tc>
          <w:tcPr>
            <w:tcW w:w="1649" w:type="dxa"/>
          </w:tcPr>
          <w:p>
            <w:pPr>
              <w:pStyle w:val="TableParagraph"/>
              <w:spacing w:line="224" w:lineRule="exact" w:before="8"/>
              <w:ind w:right="150"/>
              <w:jc w:val="right"/>
              <w:rPr>
                <w:sz w:val="20"/>
              </w:rPr>
            </w:pPr>
            <w:r>
              <w:rPr>
                <w:color w:val="231F20"/>
                <w:spacing w:val="-2"/>
                <w:sz w:val="20"/>
              </w:rPr>
              <w:t>1,771,406</w:t>
            </w:r>
          </w:p>
        </w:tc>
      </w:tr>
      <w:tr>
        <w:trPr>
          <w:trHeight w:val="251" w:hRule="atLeast"/>
        </w:trPr>
        <w:tc>
          <w:tcPr>
            <w:tcW w:w="5835" w:type="dxa"/>
          </w:tcPr>
          <w:p>
            <w:pPr>
              <w:pStyle w:val="TableParagraph"/>
              <w:spacing w:line="224" w:lineRule="exact" w:before="8"/>
              <w:ind w:left="358"/>
              <w:rPr>
                <w:sz w:val="20"/>
              </w:rPr>
            </w:pPr>
            <w:r>
              <w:rPr>
                <w:color w:val="231F20"/>
                <w:w w:val="95"/>
                <w:sz w:val="20"/>
              </w:rPr>
              <w:t>US</w:t>
            </w:r>
            <w:r>
              <w:rPr>
                <w:color w:val="231F20"/>
                <w:spacing w:val="-9"/>
                <w:w w:val="95"/>
                <w:sz w:val="20"/>
              </w:rPr>
              <w:t> </w:t>
            </w:r>
            <w:r>
              <w:rPr>
                <w:color w:val="231F20"/>
                <w:w w:val="95"/>
                <w:sz w:val="20"/>
              </w:rPr>
              <w:t>Large</w:t>
            </w:r>
            <w:r>
              <w:rPr>
                <w:color w:val="231F20"/>
                <w:spacing w:val="-7"/>
                <w:w w:val="95"/>
                <w:sz w:val="20"/>
              </w:rPr>
              <w:t> </w:t>
            </w:r>
            <w:r>
              <w:rPr>
                <w:color w:val="231F20"/>
                <w:w w:val="95"/>
                <w:sz w:val="20"/>
              </w:rPr>
              <w:t>Cap</w:t>
            </w:r>
            <w:r>
              <w:rPr>
                <w:color w:val="231F20"/>
                <w:spacing w:val="-8"/>
                <w:w w:val="95"/>
                <w:sz w:val="20"/>
              </w:rPr>
              <w:t> </w:t>
            </w:r>
            <w:r>
              <w:rPr>
                <w:color w:val="231F20"/>
                <w:w w:val="95"/>
                <w:sz w:val="20"/>
              </w:rPr>
              <w:t>Active</w:t>
            </w:r>
            <w:r>
              <w:rPr>
                <w:color w:val="231F20"/>
                <w:spacing w:val="-8"/>
                <w:w w:val="95"/>
                <w:sz w:val="20"/>
              </w:rPr>
              <w:t> </w:t>
            </w:r>
            <w:r>
              <w:rPr>
                <w:color w:val="231F20"/>
                <w:spacing w:val="-4"/>
                <w:w w:val="95"/>
                <w:sz w:val="20"/>
              </w:rPr>
              <w:t>Pool</w:t>
            </w:r>
          </w:p>
        </w:tc>
        <w:tc>
          <w:tcPr>
            <w:tcW w:w="1693" w:type="dxa"/>
          </w:tcPr>
          <w:p>
            <w:pPr>
              <w:pStyle w:val="TableParagraph"/>
              <w:spacing w:line="224" w:lineRule="exact" w:before="8"/>
              <w:ind w:left="14"/>
              <w:jc w:val="center"/>
              <w:rPr>
                <w:sz w:val="20"/>
              </w:rPr>
            </w:pPr>
            <w:r>
              <w:rPr>
                <w:color w:val="231F20"/>
                <w:w w:val="95"/>
                <w:sz w:val="20"/>
              </w:rPr>
              <w:t>Not</w:t>
            </w:r>
            <w:r>
              <w:rPr>
                <w:color w:val="231F20"/>
                <w:spacing w:val="-7"/>
                <w:w w:val="95"/>
                <w:sz w:val="20"/>
              </w:rPr>
              <w:t> </w:t>
            </w:r>
            <w:r>
              <w:rPr>
                <w:color w:val="231F20"/>
                <w:spacing w:val="-2"/>
                <w:sz w:val="20"/>
              </w:rPr>
              <w:t>rated</w:t>
            </w:r>
          </w:p>
        </w:tc>
        <w:tc>
          <w:tcPr>
            <w:tcW w:w="1649" w:type="dxa"/>
          </w:tcPr>
          <w:p>
            <w:pPr>
              <w:pStyle w:val="TableParagraph"/>
              <w:spacing w:line="224" w:lineRule="exact" w:before="8"/>
              <w:ind w:right="149"/>
              <w:jc w:val="right"/>
              <w:rPr>
                <w:sz w:val="20"/>
              </w:rPr>
            </w:pPr>
            <w:r>
              <w:rPr>
                <w:color w:val="231F20"/>
                <w:spacing w:val="-2"/>
                <w:sz w:val="20"/>
              </w:rPr>
              <w:t>6,191,759</w:t>
            </w:r>
          </w:p>
        </w:tc>
      </w:tr>
      <w:tr>
        <w:trPr>
          <w:trHeight w:val="238" w:hRule="atLeast"/>
        </w:trPr>
        <w:tc>
          <w:tcPr>
            <w:tcW w:w="5835" w:type="dxa"/>
          </w:tcPr>
          <w:p>
            <w:pPr>
              <w:pStyle w:val="TableParagraph"/>
              <w:spacing w:line="210" w:lineRule="exact" w:before="8"/>
              <w:ind w:left="358"/>
              <w:rPr>
                <w:sz w:val="20"/>
              </w:rPr>
            </w:pPr>
            <w:r>
              <w:rPr>
                <w:color w:val="231F20"/>
                <w:spacing w:val="-2"/>
                <w:w w:val="95"/>
                <w:sz w:val="20"/>
              </w:rPr>
              <w:t>Non-US</w:t>
            </w:r>
            <w:r>
              <w:rPr>
                <w:color w:val="231F20"/>
                <w:spacing w:val="-2"/>
                <w:sz w:val="20"/>
              </w:rPr>
              <w:t> </w:t>
            </w:r>
            <w:r>
              <w:rPr>
                <w:color w:val="231F20"/>
                <w:spacing w:val="-2"/>
                <w:w w:val="95"/>
                <w:sz w:val="20"/>
              </w:rPr>
              <w:t>Developed</w:t>
            </w:r>
            <w:r>
              <w:rPr>
                <w:color w:val="231F20"/>
                <w:spacing w:val="-2"/>
                <w:sz w:val="20"/>
              </w:rPr>
              <w:t> </w:t>
            </w:r>
            <w:r>
              <w:rPr>
                <w:color w:val="231F20"/>
                <w:spacing w:val="-2"/>
                <w:w w:val="95"/>
                <w:sz w:val="20"/>
              </w:rPr>
              <w:t>Markets</w:t>
            </w:r>
            <w:r>
              <w:rPr>
                <w:color w:val="231F20"/>
                <w:spacing w:val="-2"/>
                <w:sz w:val="20"/>
              </w:rPr>
              <w:t> </w:t>
            </w:r>
            <w:r>
              <w:rPr>
                <w:color w:val="231F20"/>
                <w:spacing w:val="-2"/>
                <w:w w:val="95"/>
                <w:sz w:val="20"/>
              </w:rPr>
              <w:t>Index</w:t>
            </w:r>
            <w:r>
              <w:rPr>
                <w:color w:val="231F20"/>
                <w:spacing w:val="-2"/>
                <w:sz w:val="20"/>
              </w:rPr>
              <w:t> </w:t>
            </w:r>
            <w:r>
              <w:rPr>
                <w:color w:val="231F20"/>
                <w:spacing w:val="-4"/>
                <w:w w:val="95"/>
                <w:sz w:val="20"/>
              </w:rPr>
              <w:t>Pool</w:t>
            </w:r>
          </w:p>
        </w:tc>
        <w:tc>
          <w:tcPr>
            <w:tcW w:w="1693" w:type="dxa"/>
          </w:tcPr>
          <w:p>
            <w:pPr>
              <w:pStyle w:val="TableParagraph"/>
              <w:spacing w:line="210" w:lineRule="exact" w:before="8"/>
              <w:ind w:left="13"/>
              <w:jc w:val="center"/>
              <w:rPr>
                <w:sz w:val="20"/>
              </w:rPr>
            </w:pPr>
            <w:r>
              <w:rPr>
                <w:color w:val="231F20"/>
                <w:w w:val="95"/>
                <w:sz w:val="20"/>
              </w:rPr>
              <w:t>Not</w:t>
            </w:r>
            <w:r>
              <w:rPr>
                <w:color w:val="231F20"/>
                <w:spacing w:val="-7"/>
                <w:w w:val="95"/>
                <w:sz w:val="20"/>
              </w:rPr>
              <w:t> </w:t>
            </w:r>
            <w:r>
              <w:rPr>
                <w:color w:val="231F20"/>
                <w:spacing w:val="-2"/>
                <w:sz w:val="20"/>
              </w:rPr>
              <w:t>rated</w:t>
            </w:r>
          </w:p>
        </w:tc>
        <w:tc>
          <w:tcPr>
            <w:tcW w:w="1649" w:type="dxa"/>
          </w:tcPr>
          <w:p>
            <w:pPr>
              <w:pStyle w:val="TableParagraph"/>
              <w:spacing w:line="210" w:lineRule="exact" w:before="8"/>
              <w:ind w:right="149"/>
              <w:jc w:val="right"/>
              <w:rPr>
                <w:sz w:val="20"/>
              </w:rPr>
            </w:pPr>
            <w:r>
              <w:rPr>
                <w:color w:val="231F20"/>
                <w:spacing w:val="-2"/>
                <w:sz w:val="20"/>
              </w:rPr>
              <w:t>5,746,591</w:t>
            </w:r>
          </w:p>
        </w:tc>
      </w:tr>
    </w:tbl>
    <w:p>
      <w:pPr>
        <w:pStyle w:val="BodyText"/>
        <w:spacing w:before="2"/>
        <w:rPr>
          <w:b/>
          <w:sz w:val="24"/>
        </w:rPr>
      </w:pPr>
    </w:p>
    <w:p>
      <w:pPr>
        <w:pStyle w:val="BodyText"/>
        <w:ind w:left="1485"/>
      </w:pPr>
      <w:r>
        <w:rPr>
          <w:color w:val="231F20"/>
          <w:w w:val="95"/>
        </w:rPr>
        <w:t>Investments</w:t>
      </w:r>
      <w:r>
        <w:rPr>
          <w:color w:val="231F20"/>
          <w:spacing w:val="-11"/>
          <w:w w:val="95"/>
        </w:rPr>
        <w:t> </w:t>
      </w:r>
      <w:r>
        <w:rPr>
          <w:color w:val="231F20"/>
          <w:w w:val="95"/>
        </w:rPr>
        <w:t>not</w:t>
      </w:r>
      <w:r>
        <w:rPr>
          <w:color w:val="231F20"/>
          <w:spacing w:val="-11"/>
          <w:w w:val="95"/>
        </w:rPr>
        <w:t> </w:t>
      </w:r>
      <w:r>
        <w:rPr>
          <w:color w:val="231F20"/>
          <w:w w:val="95"/>
        </w:rPr>
        <w:t>subject</w:t>
      </w:r>
      <w:r>
        <w:rPr>
          <w:color w:val="231F20"/>
          <w:spacing w:val="-10"/>
          <w:w w:val="95"/>
        </w:rPr>
        <w:t> </w:t>
      </w:r>
      <w:r>
        <w:rPr>
          <w:color w:val="231F20"/>
          <w:w w:val="95"/>
        </w:rPr>
        <w:t>to</w:t>
      </w:r>
      <w:r>
        <w:rPr>
          <w:color w:val="231F20"/>
          <w:spacing w:val="-11"/>
          <w:w w:val="95"/>
        </w:rPr>
        <w:t> </w:t>
      </w:r>
      <w:r>
        <w:rPr>
          <w:color w:val="231F20"/>
          <w:spacing w:val="-2"/>
          <w:w w:val="95"/>
        </w:rPr>
        <w:t>categorization</w:t>
      </w:r>
    </w:p>
    <w:p>
      <w:pPr>
        <w:pStyle w:val="BodyText"/>
        <w:tabs>
          <w:tab w:pos="9013" w:val="left" w:leader="none"/>
          <w:tab w:pos="9579" w:val="left" w:leader="none"/>
        </w:tabs>
        <w:spacing w:before="22"/>
        <w:ind w:left="1748"/>
      </w:pPr>
      <w:r>
        <w:rPr>
          <w:color w:val="231F20"/>
          <w:spacing w:val="-2"/>
          <w:w w:val="95"/>
        </w:rPr>
        <w:t>State</w:t>
      </w:r>
      <w:r>
        <w:rPr>
          <w:color w:val="231F20"/>
          <w:spacing w:val="-2"/>
        </w:rPr>
        <w:t> </w:t>
      </w:r>
      <w:r>
        <w:rPr>
          <w:color w:val="231F20"/>
          <w:spacing w:val="-2"/>
          <w:w w:val="95"/>
        </w:rPr>
        <w:t>Investment</w:t>
      </w:r>
      <w:r>
        <w:rPr>
          <w:color w:val="231F20"/>
          <w:spacing w:val="-2"/>
        </w:rPr>
        <w:t> </w:t>
      </w:r>
      <w:r>
        <w:rPr>
          <w:color w:val="231F20"/>
          <w:spacing w:val="-2"/>
          <w:w w:val="95"/>
        </w:rPr>
        <w:t>Council</w:t>
      </w:r>
      <w:r>
        <w:rPr>
          <w:color w:val="231F20"/>
          <w:spacing w:val="-2"/>
        </w:rPr>
        <w:t> </w:t>
      </w:r>
      <w:r>
        <w:rPr>
          <w:color w:val="231F20"/>
          <w:spacing w:val="-2"/>
          <w:w w:val="95"/>
        </w:rPr>
        <w:t>Pooled</w:t>
      </w:r>
      <w:r>
        <w:rPr>
          <w:color w:val="231F20"/>
          <w:spacing w:val="-2"/>
        </w:rPr>
        <w:t> </w:t>
      </w:r>
      <w:r>
        <w:rPr>
          <w:color w:val="231F20"/>
          <w:spacing w:val="-2"/>
          <w:w w:val="95"/>
        </w:rPr>
        <w:t>Funds</w:t>
      </w:r>
      <w:r>
        <w:rPr>
          <w:color w:val="231F20"/>
        </w:rPr>
        <w:tab/>
      </w:r>
      <w:r>
        <w:rPr>
          <w:color w:val="231F20"/>
          <w:u w:val="thick" w:color="231F20"/>
        </w:rPr>
        <w:tab/>
      </w:r>
      <w:r>
        <w:rPr>
          <w:color w:val="231F20"/>
          <w:spacing w:val="-2"/>
          <w:u w:val="thick" w:color="231F20"/>
        </w:rPr>
        <w:t>9,259,223</w:t>
      </w:r>
      <w:r>
        <w:rPr>
          <w:color w:val="231F20"/>
          <w:spacing w:val="80"/>
          <w:u w:val="thick" w:color="231F20"/>
        </w:rPr>
        <w:t> </w:t>
      </w:r>
    </w:p>
    <w:p>
      <w:pPr>
        <w:pStyle w:val="BodyText"/>
        <w:spacing w:before="1"/>
        <w:rPr>
          <w:sz w:val="15"/>
        </w:rPr>
      </w:pPr>
    </w:p>
    <w:p>
      <w:pPr>
        <w:pStyle w:val="BodyText"/>
        <w:tabs>
          <w:tab w:pos="7872" w:val="left" w:leader="none"/>
          <w:tab w:pos="8334" w:val="left" w:leader="none"/>
        </w:tabs>
        <w:spacing w:before="96"/>
        <w:ind w:left="343"/>
        <w:jc w:val="center"/>
      </w:pPr>
      <w:r>
        <w:rPr/>
        <w:pict>
          <v:rect style="position:absolute;margin-left:450.721008pt;margin-top:18.630405pt;width:75.180pt;height:.95999pt;mso-position-horizontal-relative:page;mso-position-vertical-relative:paragraph;z-index:-15655936;mso-wrap-distance-left:0;mso-wrap-distance-right:0" id="docshape390" filled="true" fillcolor="#231f20" stroked="false">
            <v:fill type="solid"/>
            <w10:wrap type="topAndBottom"/>
          </v:rect>
        </w:pict>
      </w:r>
      <w:r>
        <w:rPr>
          <w:color w:val="231F20"/>
          <w:w w:val="95"/>
        </w:rPr>
        <w:t>Total</w:t>
      </w:r>
      <w:r>
        <w:rPr>
          <w:color w:val="231F20"/>
          <w:spacing w:val="-9"/>
          <w:w w:val="95"/>
        </w:rPr>
        <w:t> </w:t>
      </w:r>
      <w:r>
        <w:rPr>
          <w:color w:val="231F20"/>
          <w:spacing w:val="-2"/>
        </w:rPr>
        <w:t>investments</w:t>
      </w:r>
      <w:r>
        <w:rPr>
          <w:color w:val="231F20"/>
        </w:rPr>
        <w:tab/>
      </w:r>
      <w:r>
        <w:rPr>
          <w:color w:val="231F20"/>
          <w:spacing w:val="40"/>
          <w:u w:val="single" w:color="231F20"/>
        </w:rPr>
        <w:t> </w:t>
      </w:r>
      <w:r>
        <w:rPr>
          <w:color w:val="231F20"/>
          <w:u w:val="single" w:color="231F20"/>
        </w:rPr>
        <w:t>$</w:t>
        <w:tab/>
      </w:r>
      <w:r>
        <w:rPr>
          <w:color w:val="231F20"/>
          <w:spacing w:val="-2"/>
          <w:u w:val="single" w:color="231F20"/>
        </w:rPr>
        <w:t>31,831,496</w:t>
      </w:r>
      <w:r>
        <w:rPr>
          <w:color w:val="231F20"/>
          <w:spacing w:val="80"/>
          <w:u w:val="single" w:color="231F20"/>
        </w:rPr>
        <w:t> </w:t>
      </w:r>
    </w:p>
    <w:p>
      <w:pPr>
        <w:pStyle w:val="BodyText"/>
        <w:spacing w:before="5"/>
        <w:rPr>
          <w:sz w:val="13"/>
        </w:rPr>
      </w:pPr>
    </w:p>
    <w:p>
      <w:pPr>
        <w:pStyle w:val="BodyText"/>
        <w:spacing w:line="276" w:lineRule="auto" w:before="94"/>
        <w:ind w:left="1440" w:right="1048" w:hanging="1"/>
      </w:pPr>
      <w:r>
        <w:rPr>
          <w:color w:val="231F20"/>
        </w:rPr>
        <w:t>The</w:t>
      </w:r>
      <w:r>
        <w:rPr>
          <w:color w:val="231F20"/>
          <w:spacing w:val="-4"/>
        </w:rPr>
        <w:t> </w:t>
      </w:r>
      <w:r>
        <w:rPr>
          <w:color w:val="231F20"/>
        </w:rPr>
        <w:t>NMSIC</w:t>
      </w:r>
      <w:r>
        <w:rPr>
          <w:color w:val="231F20"/>
          <w:spacing w:val="-4"/>
        </w:rPr>
        <w:t> </w:t>
      </w:r>
      <w:r>
        <w:rPr>
          <w:color w:val="231F20"/>
        </w:rPr>
        <w:t>provides</w:t>
      </w:r>
      <w:r>
        <w:rPr>
          <w:color w:val="231F20"/>
          <w:spacing w:val="-3"/>
        </w:rPr>
        <w:t> </w:t>
      </w:r>
      <w:r>
        <w:rPr>
          <w:color w:val="231F20"/>
        </w:rPr>
        <w:t>investment</w:t>
      </w:r>
      <w:r>
        <w:rPr>
          <w:color w:val="231F20"/>
          <w:spacing w:val="-4"/>
        </w:rPr>
        <w:t> </w:t>
      </w:r>
      <w:r>
        <w:rPr>
          <w:color w:val="231F20"/>
        </w:rPr>
        <w:t>services</w:t>
      </w:r>
      <w:r>
        <w:rPr>
          <w:color w:val="231F20"/>
          <w:spacing w:val="-4"/>
        </w:rPr>
        <w:t> </w:t>
      </w:r>
      <w:r>
        <w:rPr>
          <w:color w:val="231F20"/>
        </w:rPr>
        <w:t>in</w:t>
      </w:r>
      <w:r>
        <w:rPr>
          <w:color w:val="231F20"/>
          <w:spacing w:val="-4"/>
        </w:rPr>
        <w:t> </w:t>
      </w:r>
      <w:r>
        <w:rPr>
          <w:color w:val="231F20"/>
        </w:rPr>
        <w:t>accordance</w:t>
      </w:r>
      <w:r>
        <w:rPr>
          <w:color w:val="231F20"/>
          <w:spacing w:val="-4"/>
        </w:rPr>
        <w:t> </w:t>
      </w:r>
      <w:r>
        <w:rPr>
          <w:color w:val="231F20"/>
        </w:rPr>
        <w:t>with</w:t>
      </w:r>
      <w:r>
        <w:rPr>
          <w:color w:val="231F20"/>
          <w:spacing w:val="-4"/>
        </w:rPr>
        <w:t> </w:t>
      </w:r>
      <w:r>
        <w:rPr>
          <w:color w:val="231F20"/>
        </w:rPr>
        <w:t>its</w:t>
      </w:r>
      <w:r>
        <w:rPr>
          <w:color w:val="231F20"/>
          <w:spacing w:val="-4"/>
        </w:rPr>
        <w:t> </w:t>
      </w:r>
      <w:r>
        <w:rPr>
          <w:color w:val="231F20"/>
        </w:rPr>
        <w:t>policies</w:t>
      </w:r>
      <w:r>
        <w:rPr>
          <w:color w:val="231F20"/>
          <w:spacing w:val="-3"/>
        </w:rPr>
        <w:t> </w:t>
      </w:r>
      <w:r>
        <w:rPr>
          <w:color w:val="231F20"/>
        </w:rPr>
        <w:t>and</w:t>
      </w:r>
      <w:r>
        <w:rPr>
          <w:color w:val="231F20"/>
          <w:spacing w:val="-4"/>
        </w:rPr>
        <w:t> </w:t>
      </w:r>
      <w:r>
        <w:rPr>
          <w:color w:val="231F20"/>
        </w:rPr>
        <w:t>statutory</w:t>
      </w:r>
      <w:r>
        <w:rPr>
          <w:color w:val="231F20"/>
          <w:spacing w:val="-4"/>
        </w:rPr>
        <w:t> </w:t>
      </w:r>
      <w:r>
        <w:rPr>
          <w:color w:val="231F20"/>
        </w:rPr>
        <w:t>requirements</w:t>
      </w:r>
      <w:r>
        <w:rPr>
          <w:color w:val="231F20"/>
          <w:spacing w:val="-4"/>
        </w:rPr>
        <w:t> </w:t>
      </w:r>
      <w:r>
        <w:rPr>
          <w:color w:val="231F20"/>
        </w:rPr>
        <w:t>of NMSA 1978 Section 6-8-9.</w:t>
      </w:r>
    </w:p>
    <w:p>
      <w:pPr>
        <w:pStyle w:val="BodyText"/>
        <w:spacing w:before="1"/>
      </w:pPr>
    </w:p>
    <w:p>
      <w:pPr>
        <w:pStyle w:val="BodyText"/>
        <w:spacing w:line="276" w:lineRule="auto"/>
        <w:ind w:left="1440" w:right="1048"/>
      </w:pPr>
      <w:r>
        <w:rPr>
          <w:color w:val="231F20"/>
        </w:rPr>
        <w:t>Interest</w:t>
      </w:r>
      <w:r>
        <w:rPr>
          <w:color w:val="231F20"/>
          <w:spacing w:val="-4"/>
        </w:rPr>
        <w:t> </w:t>
      </w:r>
      <w:r>
        <w:rPr>
          <w:color w:val="231F20"/>
        </w:rPr>
        <w:t>Rate</w:t>
      </w:r>
      <w:r>
        <w:rPr>
          <w:color w:val="231F20"/>
          <w:spacing w:val="-4"/>
        </w:rPr>
        <w:t> </w:t>
      </w:r>
      <w:r>
        <w:rPr>
          <w:color w:val="231F20"/>
        </w:rPr>
        <w:t>Risk</w:t>
      </w:r>
      <w:r>
        <w:rPr>
          <w:color w:val="231F20"/>
          <w:spacing w:val="-3"/>
        </w:rPr>
        <w:t> </w:t>
      </w:r>
      <w:r>
        <w:rPr>
          <w:color w:val="231F20"/>
        </w:rPr>
        <w:t>–</w:t>
      </w:r>
      <w:r>
        <w:rPr>
          <w:color w:val="231F20"/>
          <w:spacing w:val="-3"/>
        </w:rPr>
        <w:t> </w:t>
      </w:r>
      <w:r>
        <w:rPr>
          <w:color w:val="231F20"/>
        </w:rPr>
        <w:t>Interest</w:t>
      </w:r>
      <w:r>
        <w:rPr>
          <w:color w:val="231F20"/>
          <w:spacing w:val="-3"/>
        </w:rPr>
        <w:t> </w:t>
      </w:r>
      <w:r>
        <w:rPr>
          <w:color w:val="231F20"/>
        </w:rPr>
        <w:t>Rate</w:t>
      </w:r>
      <w:r>
        <w:rPr>
          <w:color w:val="231F20"/>
          <w:spacing w:val="-2"/>
        </w:rPr>
        <w:t> </w:t>
      </w:r>
      <w:r>
        <w:rPr>
          <w:color w:val="231F20"/>
        </w:rPr>
        <w:t>Risk</w:t>
      </w:r>
      <w:r>
        <w:rPr>
          <w:color w:val="231F20"/>
          <w:spacing w:val="-3"/>
        </w:rPr>
        <w:t> </w:t>
      </w:r>
      <w:r>
        <w:rPr>
          <w:color w:val="231F20"/>
        </w:rPr>
        <w:t>is</w:t>
      </w:r>
      <w:r>
        <w:rPr>
          <w:color w:val="231F20"/>
          <w:spacing w:val="-3"/>
        </w:rPr>
        <w:t> </w:t>
      </w:r>
      <w:r>
        <w:rPr>
          <w:color w:val="231F20"/>
        </w:rPr>
        <w:t>the</w:t>
      </w:r>
      <w:r>
        <w:rPr>
          <w:color w:val="231F20"/>
          <w:spacing w:val="-3"/>
        </w:rPr>
        <w:t> </w:t>
      </w:r>
      <w:r>
        <w:rPr>
          <w:color w:val="231F20"/>
        </w:rPr>
        <w:t>risk</w:t>
      </w:r>
      <w:r>
        <w:rPr>
          <w:color w:val="231F20"/>
          <w:spacing w:val="-3"/>
        </w:rPr>
        <w:t> </w:t>
      </w:r>
      <w:r>
        <w:rPr>
          <w:color w:val="231F20"/>
        </w:rPr>
        <w:t>that</w:t>
      </w:r>
      <w:r>
        <w:rPr>
          <w:color w:val="231F20"/>
          <w:spacing w:val="-3"/>
        </w:rPr>
        <w:t> </w:t>
      </w:r>
      <w:r>
        <w:rPr>
          <w:color w:val="231F20"/>
        </w:rPr>
        <w:t>changes</w:t>
      </w:r>
      <w:r>
        <w:rPr>
          <w:color w:val="231F20"/>
          <w:spacing w:val="-3"/>
        </w:rPr>
        <w:t> </w:t>
      </w:r>
      <w:r>
        <w:rPr>
          <w:color w:val="231F20"/>
        </w:rPr>
        <w:t>in</w:t>
      </w:r>
      <w:r>
        <w:rPr>
          <w:color w:val="231F20"/>
          <w:spacing w:val="-3"/>
        </w:rPr>
        <w:t> </w:t>
      </w:r>
      <w:r>
        <w:rPr>
          <w:color w:val="231F20"/>
        </w:rPr>
        <w:t>interest</w:t>
      </w:r>
      <w:r>
        <w:rPr>
          <w:color w:val="231F20"/>
          <w:spacing w:val="-3"/>
        </w:rPr>
        <w:t> </w:t>
      </w:r>
      <w:r>
        <w:rPr>
          <w:color w:val="231F20"/>
        </w:rPr>
        <w:t>rates</w:t>
      </w:r>
      <w:r>
        <w:rPr>
          <w:color w:val="231F20"/>
          <w:spacing w:val="-4"/>
        </w:rPr>
        <w:t> </w:t>
      </w:r>
      <w:r>
        <w:rPr>
          <w:color w:val="231F20"/>
        </w:rPr>
        <w:t>will</w:t>
      </w:r>
      <w:r>
        <w:rPr>
          <w:color w:val="231F20"/>
          <w:spacing w:val="-3"/>
        </w:rPr>
        <w:t> </w:t>
      </w:r>
      <w:r>
        <w:rPr>
          <w:color w:val="231F20"/>
        </w:rPr>
        <w:t>adversely</w:t>
      </w:r>
      <w:r>
        <w:rPr>
          <w:color w:val="231F20"/>
          <w:spacing w:val="-3"/>
        </w:rPr>
        <w:t> </w:t>
      </w:r>
      <w:r>
        <w:rPr>
          <w:color w:val="231F20"/>
        </w:rPr>
        <w:t>affect</w:t>
      </w:r>
      <w:r>
        <w:rPr>
          <w:color w:val="231F20"/>
          <w:spacing w:val="-3"/>
        </w:rPr>
        <w:t> </w:t>
      </w:r>
      <w:r>
        <w:rPr>
          <w:color w:val="231F20"/>
        </w:rPr>
        <w:t>the fair value of an investment. As of June 30, 2022, the Foundation had fixed income and bond type investments subject to interest rate risk.</w:t>
      </w:r>
    </w:p>
    <w:p>
      <w:pPr>
        <w:pStyle w:val="BodyText"/>
      </w:pPr>
    </w:p>
    <w:p>
      <w:pPr>
        <w:pStyle w:val="BodyText"/>
        <w:spacing w:line="276" w:lineRule="auto"/>
        <w:ind w:left="1439" w:right="1048"/>
      </w:pPr>
      <w:r>
        <w:rPr>
          <w:color w:val="231F20"/>
        </w:rPr>
        <w:t>Credit</w:t>
      </w:r>
      <w:r>
        <w:rPr>
          <w:color w:val="231F20"/>
          <w:spacing w:val="-3"/>
        </w:rPr>
        <w:t> </w:t>
      </w:r>
      <w:r>
        <w:rPr>
          <w:color w:val="231F20"/>
        </w:rPr>
        <w:t>Risk</w:t>
      </w:r>
      <w:r>
        <w:rPr>
          <w:color w:val="231F20"/>
          <w:spacing w:val="-3"/>
        </w:rPr>
        <w:t> </w:t>
      </w:r>
      <w:r>
        <w:rPr>
          <w:color w:val="231F20"/>
        </w:rPr>
        <w:t>–</w:t>
      </w:r>
      <w:r>
        <w:rPr>
          <w:color w:val="231F20"/>
          <w:spacing w:val="-4"/>
        </w:rPr>
        <w:t> </w:t>
      </w:r>
      <w:r>
        <w:rPr>
          <w:color w:val="231F20"/>
        </w:rPr>
        <w:t>Credit</w:t>
      </w:r>
      <w:r>
        <w:rPr>
          <w:color w:val="231F20"/>
          <w:spacing w:val="-3"/>
        </w:rPr>
        <w:t> </w:t>
      </w:r>
      <w:r>
        <w:rPr>
          <w:color w:val="231F20"/>
        </w:rPr>
        <w:t>Risk</w:t>
      </w:r>
      <w:r>
        <w:rPr>
          <w:color w:val="231F20"/>
          <w:spacing w:val="-3"/>
        </w:rPr>
        <w:t> </w:t>
      </w:r>
      <w:r>
        <w:rPr>
          <w:color w:val="231F20"/>
        </w:rPr>
        <w:t>is</w:t>
      </w:r>
      <w:r>
        <w:rPr>
          <w:color w:val="231F20"/>
          <w:spacing w:val="-3"/>
        </w:rPr>
        <w:t> </w:t>
      </w:r>
      <w:r>
        <w:rPr>
          <w:color w:val="231F20"/>
        </w:rPr>
        <w:t>the</w:t>
      </w:r>
      <w:r>
        <w:rPr>
          <w:color w:val="231F20"/>
          <w:spacing w:val="-3"/>
        </w:rPr>
        <w:t> </w:t>
      </w:r>
      <w:r>
        <w:rPr>
          <w:color w:val="231F20"/>
        </w:rPr>
        <w:t>risk</w:t>
      </w:r>
      <w:r>
        <w:rPr>
          <w:color w:val="231F20"/>
          <w:spacing w:val="-3"/>
        </w:rPr>
        <w:t> </w:t>
      </w:r>
      <w:r>
        <w:rPr>
          <w:color w:val="231F20"/>
        </w:rPr>
        <w:t>that</w:t>
      </w:r>
      <w:r>
        <w:rPr>
          <w:color w:val="231F20"/>
          <w:spacing w:val="-3"/>
        </w:rPr>
        <w:t> </w:t>
      </w:r>
      <w:r>
        <w:rPr>
          <w:color w:val="231F20"/>
        </w:rPr>
        <w:t>an</w:t>
      </w:r>
      <w:r>
        <w:rPr>
          <w:color w:val="231F20"/>
          <w:spacing w:val="-3"/>
        </w:rPr>
        <w:t> </w:t>
      </w:r>
      <w:r>
        <w:rPr>
          <w:color w:val="231F20"/>
        </w:rPr>
        <w:t>issuer</w:t>
      </w:r>
      <w:r>
        <w:rPr>
          <w:color w:val="231F20"/>
          <w:spacing w:val="-3"/>
        </w:rPr>
        <w:t> </w:t>
      </w:r>
      <w:r>
        <w:rPr>
          <w:color w:val="231F20"/>
        </w:rPr>
        <w:t>or</w:t>
      </w:r>
      <w:r>
        <w:rPr>
          <w:color w:val="231F20"/>
          <w:spacing w:val="-3"/>
        </w:rPr>
        <w:t> </w:t>
      </w:r>
      <w:r>
        <w:rPr>
          <w:color w:val="231F20"/>
        </w:rPr>
        <w:t>other</w:t>
      </w:r>
      <w:r>
        <w:rPr>
          <w:color w:val="231F20"/>
          <w:spacing w:val="-3"/>
        </w:rPr>
        <w:t> </w:t>
      </w:r>
      <w:r>
        <w:rPr>
          <w:color w:val="231F20"/>
        </w:rPr>
        <w:t>counterparty</w:t>
      </w:r>
      <w:r>
        <w:rPr>
          <w:color w:val="231F20"/>
          <w:spacing w:val="-3"/>
        </w:rPr>
        <w:t> </w:t>
      </w:r>
      <w:r>
        <w:rPr>
          <w:color w:val="231F20"/>
        </w:rPr>
        <w:t>to</w:t>
      </w:r>
      <w:r>
        <w:rPr>
          <w:color w:val="231F20"/>
          <w:spacing w:val="-3"/>
        </w:rPr>
        <w:t> </w:t>
      </w:r>
      <w:r>
        <w:rPr>
          <w:color w:val="231F20"/>
        </w:rPr>
        <w:t>an</w:t>
      </w:r>
      <w:r>
        <w:rPr>
          <w:color w:val="231F20"/>
          <w:spacing w:val="-3"/>
        </w:rPr>
        <w:t> </w:t>
      </w:r>
      <w:r>
        <w:rPr>
          <w:color w:val="231F20"/>
        </w:rPr>
        <w:t>investment</w:t>
      </w:r>
      <w:r>
        <w:rPr>
          <w:color w:val="231F20"/>
          <w:spacing w:val="-4"/>
        </w:rPr>
        <w:t> </w:t>
      </w:r>
      <w:r>
        <w:rPr>
          <w:color w:val="231F20"/>
        </w:rPr>
        <w:t>will</w:t>
      </w:r>
      <w:r>
        <w:rPr>
          <w:color w:val="231F20"/>
          <w:spacing w:val="-3"/>
        </w:rPr>
        <w:t> </w:t>
      </w:r>
      <w:r>
        <w:rPr>
          <w:color w:val="231F20"/>
        </w:rPr>
        <w:t>not</w:t>
      </w:r>
      <w:r>
        <w:rPr>
          <w:color w:val="231F20"/>
          <w:spacing w:val="-3"/>
        </w:rPr>
        <w:t> </w:t>
      </w:r>
      <w:r>
        <w:rPr>
          <w:color w:val="231F20"/>
        </w:rPr>
        <w:t>fulfill</w:t>
      </w:r>
      <w:r>
        <w:rPr>
          <w:color w:val="231F20"/>
          <w:spacing w:val="-3"/>
        </w:rPr>
        <w:t> </w:t>
      </w:r>
      <w:r>
        <w:rPr>
          <w:color w:val="231F20"/>
        </w:rPr>
        <w:t>its obligations. As of June 30, 2022, none of the above investments were subject to credit risk.</w:t>
      </w:r>
    </w:p>
    <w:p>
      <w:pPr>
        <w:pStyle w:val="BodyText"/>
        <w:rPr>
          <w:sz w:val="23"/>
        </w:rPr>
      </w:pPr>
    </w:p>
    <w:p>
      <w:pPr>
        <w:pStyle w:val="Heading4"/>
        <w:ind w:left="1439"/>
      </w:pPr>
      <w:r>
        <w:rPr>
          <w:color w:val="231F20"/>
        </w:rPr>
        <w:t>Fair</w:t>
      </w:r>
      <w:r>
        <w:rPr>
          <w:color w:val="231F20"/>
          <w:spacing w:val="-4"/>
        </w:rPr>
        <w:t> </w:t>
      </w:r>
      <w:r>
        <w:rPr>
          <w:color w:val="231F20"/>
        </w:rPr>
        <w:t>Value</w:t>
      </w:r>
      <w:r>
        <w:rPr>
          <w:color w:val="231F20"/>
          <w:spacing w:val="-4"/>
        </w:rPr>
        <w:t> </w:t>
      </w:r>
      <w:r>
        <w:rPr>
          <w:color w:val="231F20"/>
        </w:rPr>
        <w:t>of</w:t>
      </w:r>
      <w:r>
        <w:rPr>
          <w:color w:val="231F20"/>
          <w:spacing w:val="-3"/>
        </w:rPr>
        <w:t> </w:t>
      </w:r>
      <w:r>
        <w:rPr>
          <w:color w:val="231F20"/>
          <w:spacing w:val="-2"/>
        </w:rPr>
        <w:t>Investments</w:t>
      </w:r>
    </w:p>
    <w:p>
      <w:pPr>
        <w:pStyle w:val="BodyText"/>
        <w:spacing w:line="276" w:lineRule="auto" w:before="34"/>
        <w:ind w:left="1439" w:right="891"/>
      </w:pPr>
      <w:r>
        <w:rPr>
          <w:color w:val="231F20"/>
        </w:rPr>
        <w:t>US generally accepted accounting principles establish a framework for measuring fair value. The framework provides a fair value hierarchy that prioritizes the inputs to valuation techniques used to measure</w:t>
      </w:r>
      <w:r>
        <w:rPr>
          <w:color w:val="231F20"/>
          <w:spacing w:val="-3"/>
        </w:rPr>
        <w:t> </w:t>
      </w:r>
      <w:r>
        <w:rPr>
          <w:color w:val="231F20"/>
        </w:rPr>
        <w:t>fair</w:t>
      </w:r>
      <w:r>
        <w:rPr>
          <w:color w:val="231F20"/>
          <w:spacing w:val="-3"/>
        </w:rPr>
        <w:t> </w:t>
      </w:r>
      <w:r>
        <w:rPr>
          <w:color w:val="231F20"/>
        </w:rPr>
        <w:t>value.</w:t>
      </w:r>
      <w:r>
        <w:rPr>
          <w:color w:val="231F20"/>
          <w:spacing w:val="-3"/>
        </w:rPr>
        <w:t> </w:t>
      </w:r>
      <w:r>
        <w:rPr>
          <w:color w:val="231F20"/>
        </w:rPr>
        <w:t>The</w:t>
      </w:r>
      <w:r>
        <w:rPr>
          <w:color w:val="231F20"/>
          <w:spacing w:val="-3"/>
        </w:rPr>
        <w:t> </w:t>
      </w:r>
      <w:r>
        <w:rPr>
          <w:color w:val="231F20"/>
        </w:rPr>
        <w:t>hierarchy</w:t>
      </w:r>
      <w:r>
        <w:rPr>
          <w:color w:val="231F20"/>
          <w:spacing w:val="-3"/>
        </w:rPr>
        <w:t> </w:t>
      </w:r>
      <w:r>
        <w:rPr>
          <w:color w:val="231F20"/>
        </w:rPr>
        <w:t>gives</w:t>
      </w:r>
      <w:r>
        <w:rPr>
          <w:color w:val="231F20"/>
          <w:spacing w:val="-3"/>
        </w:rPr>
        <w:t> </w:t>
      </w:r>
      <w:r>
        <w:rPr>
          <w:color w:val="231F20"/>
        </w:rPr>
        <w:t>the</w:t>
      </w:r>
      <w:r>
        <w:rPr>
          <w:color w:val="231F20"/>
          <w:spacing w:val="-3"/>
        </w:rPr>
        <w:t> </w:t>
      </w:r>
      <w:r>
        <w:rPr>
          <w:color w:val="231F20"/>
        </w:rPr>
        <w:t>highest</w:t>
      </w:r>
      <w:r>
        <w:rPr>
          <w:color w:val="231F20"/>
          <w:spacing w:val="-3"/>
        </w:rPr>
        <w:t> </w:t>
      </w:r>
      <w:r>
        <w:rPr>
          <w:color w:val="231F20"/>
        </w:rPr>
        <w:t>priority</w:t>
      </w:r>
      <w:r>
        <w:rPr>
          <w:color w:val="231F20"/>
          <w:spacing w:val="-2"/>
        </w:rPr>
        <w:t> </w:t>
      </w:r>
      <w:r>
        <w:rPr>
          <w:color w:val="231F20"/>
        </w:rPr>
        <w:t>to</w:t>
      </w:r>
      <w:r>
        <w:rPr>
          <w:color w:val="231F20"/>
          <w:spacing w:val="-3"/>
        </w:rPr>
        <w:t> </w:t>
      </w:r>
      <w:r>
        <w:rPr>
          <w:color w:val="231F20"/>
        </w:rPr>
        <w:t>unadjusted</w:t>
      </w:r>
      <w:r>
        <w:rPr>
          <w:color w:val="231F20"/>
          <w:spacing w:val="-3"/>
        </w:rPr>
        <w:t> </w:t>
      </w:r>
      <w:r>
        <w:rPr>
          <w:color w:val="231F20"/>
        </w:rPr>
        <w:t>quoted</w:t>
      </w:r>
      <w:r>
        <w:rPr>
          <w:color w:val="231F20"/>
          <w:spacing w:val="-4"/>
        </w:rPr>
        <w:t> </w:t>
      </w:r>
      <w:r>
        <w:rPr>
          <w:color w:val="231F20"/>
        </w:rPr>
        <w:t>prices</w:t>
      </w:r>
      <w:r>
        <w:rPr>
          <w:color w:val="231F20"/>
          <w:spacing w:val="-2"/>
        </w:rPr>
        <w:t> </w:t>
      </w:r>
      <w:r>
        <w:rPr>
          <w:color w:val="231F20"/>
        </w:rPr>
        <w:t>in</w:t>
      </w:r>
      <w:r>
        <w:rPr>
          <w:color w:val="231F20"/>
          <w:spacing w:val="-3"/>
        </w:rPr>
        <w:t> </w:t>
      </w:r>
      <w:r>
        <w:rPr>
          <w:color w:val="231F20"/>
        </w:rPr>
        <w:t>active</w:t>
      </w:r>
      <w:r>
        <w:rPr>
          <w:color w:val="231F20"/>
          <w:spacing w:val="-3"/>
        </w:rPr>
        <w:t> </w:t>
      </w:r>
      <w:r>
        <w:rPr>
          <w:color w:val="231F20"/>
        </w:rPr>
        <w:t>markets for identical assets or liabilities (Level 1 measurements) and the lowest priority to unobservable inputs (Level 3 measurements). The three levels of the fair value hierarchy are described as follows:</w:t>
      </w:r>
    </w:p>
    <w:p>
      <w:pPr>
        <w:pStyle w:val="BodyText"/>
      </w:pPr>
    </w:p>
    <w:p>
      <w:pPr>
        <w:pStyle w:val="BodyText"/>
        <w:spacing w:line="276" w:lineRule="auto"/>
        <w:ind w:left="1889" w:right="1048"/>
      </w:pPr>
      <w:r>
        <w:rPr>
          <w:b/>
          <w:color w:val="231F20"/>
        </w:rPr>
        <w:t>Level</w:t>
      </w:r>
      <w:r>
        <w:rPr>
          <w:b/>
          <w:color w:val="231F20"/>
          <w:spacing w:val="-3"/>
        </w:rPr>
        <w:t> </w:t>
      </w:r>
      <w:r>
        <w:rPr>
          <w:b/>
          <w:color w:val="231F20"/>
        </w:rPr>
        <w:t>1</w:t>
      </w:r>
      <w:r>
        <w:rPr>
          <w:b/>
          <w:color w:val="231F20"/>
          <w:spacing w:val="-2"/>
        </w:rPr>
        <w:t> </w:t>
      </w:r>
      <w:r>
        <w:rPr>
          <w:color w:val="231F20"/>
        </w:rPr>
        <w:t>–</w:t>
      </w:r>
      <w:r>
        <w:rPr>
          <w:color w:val="231F20"/>
          <w:spacing w:val="-3"/>
        </w:rPr>
        <w:t> </w:t>
      </w:r>
      <w:r>
        <w:rPr>
          <w:color w:val="231F20"/>
        </w:rPr>
        <w:t>Inputs</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valuation</w:t>
      </w:r>
      <w:r>
        <w:rPr>
          <w:color w:val="231F20"/>
          <w:spacing w:val="-3"/>
        </w:rPr>
        <w:t> </w:t>
      </w:r>
      <w:r>
        <w:rPr>
          <w:color w:val="231F20"/>
        </w:rPr>
        <w:t>methodology</w:t>
      </w:r>
      <w:r>
        <w:rPr>
          <w:color w:val="231F20"/>
          <w:spacing w:val="-3"/>
        </w:rPr>
        <w:t> </w:t>
      </w:r>
      <w:r>
        <w:rPr>
          <w:color w:val="231F20"/>
        </w:rPr>
        <w:t>are</w:t>
      </w:r>
      <w:r>
        <w:rPr>
          <w:color w:val="231F20"/>
          <w:spacing w:val="-3"/>
        </w:rPr>
        <w:t> </w:t>
      </w:r>
      <w:r>
        <w:rPr>
          <w:color w:val="231F20"/>
        </w:rPr>
        <w:t>unadjusted</w:t>
      </w:r>
      <w:r>
        <w:rPr>
          <w:color w:val="231F20"/>
          <w:spacing w:val="-3"/>
        </w:rPr>
        <w:t> </w:t>
      </w:r>
      <w:r>
        <w:rPr>
          <w:color w:val="231F20"/>
        </w:rPr>
        <w:t>quoted</w:t>
      </w:r>
      <w:r>
        <w:rPr>
          <w:color w:val="231F20"/>
          <w:spacing w:val="-3"/>
        </w:rPr>
        <w:t> </w:t>
      </w:r>
      <w:r>
        <w:rPr>
          <w:color w:val="231F20"/>
        </w:rPr>
        <w:t>prices</w:t>
      </w:r>
      <w:r>
        <w:rPr>
          <w:color w:val="231F20"/>
          <w:spacing w:val="-2"/>
        </w:rPr>
        <w:t> </w:t>
      </w:r>
      <w:r>
        <w:rPr>
          <w:color w:val="231F20"/>
        </w:rPr>
        <w:t>for</w:t>
      </w:r>
      <w:r>
        <w:rPr>
          <w:color w:val="231F20"/>
          <w:spacing w:val="-3"/>
        </w:rPr>
        <w:t> </w:t>
      </w:r>
      <w:r>
        <w:rPr>
          <w:color w:val="231F20"/>
        </w:rPr>
        <w:t>identical</w:t>
      </w:r>
      <w:r>
        <w:rPr>
          <w:color w:val="231F20"/>
          <w:spacing w:val="-3"/>
        </w:rPr>
        <w:t> </w:t>
      </w:r>
      <w:r>
        <w:rPr>
          <w:color w:val="231F20"/>
        </w:rPr>
        <w:t>assets</w:t>
      </w:r>
      <w:r>
        <w:rPr>
          <w:color w:val="231F20"/>
          <w:spacing w:val="-2"/>
        </w:rPr>
        <w:t> </w:t>
      </w:r>
      <w:r>
        <w:rPr>
          <w:color w:val="231F20"/>
        </w:rPr>
        <w:t>or liabilities in active markets that the Foundation has the ability to access.</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3"/>
        </w:rPr>
      </w:pPr>
    </w:p>
    <w:p>
      <w:pPr>
        <w:pStyle w:val="BodyText"/>
        <w:ind w:left="1889"/>
      </w:pPr>
      <w:r>
        <w:rPr>
          <w:b/>
          <w:color w:val="231F20"/>
        </w:rPr>
        <w:t>Level</w:t>
      </w:r>
      <w:r>
        <w:rPr>
          <w:b/>
          <w:color w:val="231F20"/>
          <w:spacing w:val="-8"/>
        </w:rPr>
        <w:t> </w:t>
      </w:r>
      <w:r>
        <w:rPr>
          <w:b/>
          <w:color w:val="231F20"/>
        </w:rPr>
        <w:t>2</w:t>
      </w:r>
      <w:r>
        <w:rPr>
          <w:b/>
          <w:color w:val="231F20"/>
          <w:spacing w:val="-7"/>
        </w:rPr>
        <w:t> </w:t>
      </w:r>
      <w:r>
        <w:rPr>
          <w:color w:val="231F20"/>
        </w:rPr>
        <w:t>–</w:t>
      </w:r>
      <w:r>
        <w:rPr>
          <w:color w:val="231F20"/>
          <w:spacing w:val="-8"/>
        </w:rPr>
        <w:t> </w:t>
      </w:r>
      <w:r>
        <w:rPr>
          <w:color w:val="231F20"/>
        </w:rPr>
        <w:t>Inputs</w:t>
      </w:r>
      <w:r>
        <w:rPr>
          <w:color w:val="231F20"/>
          <w:spacing w:val="-10"/>
        </w:rPr>
        <w:t> </w:t>
      </w:r>
      <w:r>
        <w:rPr>
          <w:color w:val="231F20"/>
        </w:rPr>
        <w:t>to</w:t>
      </w:r>
      <w:r>
        <w:rPr>
          <w:color w:val="231F20"/>
          <w:spacing w:val="-9"/>
        </w:rPr>
        <w:t> </w:t>
      </w:r>
      <w:r>
        <w:rPr>
          <w:color w:val="231F20"/>
        </w:rPr>
        <w:t>the</w:t>
      </w:r>
      <w:r>
        <w:rPr>
          <w:color w:val="231F20"/>
          <w:spacing w:val="-9"/>
        </w:rPr>
        <w:t> </w:t>
      </w:r>
      <w:r>
        <w:rPr>
          <w:color w:val="231F20"/>
        </w:rPr>
        <w:t>valuation</w:t>
      </w:r>
      <w:r>
        <w:rPr>
          <w:color w:val="231F20"/>
          <w:spacing w:val="-10"/>
        </w:rPr>
        <w:t> </w:t>
      </w:r>
      <w:r>
        <w:rPr>
          <w:color w:val="231F20"/>
        </w:rPr>
        <w:t>methodology</w:t>
      </w:r>
      <w:r>
        <w:rPr>
          <w:color w:val="231F20"/>
          <w:spacing w:val="-9"/>
        </w:rPr>
        <w:t> </w:t>
      </w:r>
      <w:r>
        <w:rPr>
          <w:color w:val="231F20"/>
          <w:spacing w:val="-2"/>
        </w:rPr>
        <w:t>include:</w:t>
      </w:r>
    </w:p>
    <w:p>
      <w:pPr>
        <w:pStyle w:val="ListParagraph"/>
        <w:numPr>
          <w:ilvl w:val="0"/>
          <w:numId w:val="12"/>
        </w:numPr>
        <w:tabs>
          <w:tab w:pos="3150" w:val="left" w:leader="none"/>
          <w:tab w:pos="3151" w:val="left" w:leader="none"/>
        </w:tabs>
        <w:spacing w:line="240" w:lineRule="auto" w:before="155" w:after="0"/>
        <w:ind w:left="3150" w:right="0" w:hanging="362"/>
        <w:jc w:val="left"/>
        <w:rPr>
          <w:sz w:val="20"/>
        </w:rPr>
      </w:pPr>
      <w:r>
        <w:rPr>
          <w:color w:val="231F20"/>
          <w:sz w:val="20"/>
        </w:rPr>
        <w:t>quoted</w:t>
      </w:r>
      <w:r>
        <w:rPr>
          <w:color w:val="231F20"/>
          <w:spacing w:val="-8"/>
          <w:sz w:val="20"/>
        </w:rPr>
        <w:t> </w:t>
      </w:r>
      <w:r>
        <w:rPr>
          <w:color w:val="231F20"/>
          <w:sz w:val="20"/>
        </w:rPr>
        <w:t>prices</w:t>
      </w:r>
      <w:r>
        <w:rPr>
          <w:color w:val="231F20"/>
          <w:spacing w:val="-5"/>
          <w:sz w:val="20"/>
        </w:rPr>
        <w:t> </w:t>
      </w:r>
      <w:r>
        <w:rPr>
          <w:color w:val="231F20"/>
          <w:sz w:val="20"/>
        </w:rPr>
        <w:t>for</w:t>
      </w:r>
      <w:r>
        <w:rPr>
          <w:color w:val="231F20"/>
          <w:spacing w:val="-5"/>
          <w:sz w:val="20"/>
        </w:rPr>
        <w:t> </w:t>
      </w:r>
      <w:r>
        <w:rPr>
          <w:color w:val="231F20"/>
          <w:sz w:val="20"/>
        </w:rPr>
        <w:t>similar</w:t>
      </w:r>
      <w:r>
        <w:rPr>
          <w:color w:val="231F20"/>
          <w:spacing w:val="-5"/>
          <w:sz w:val="20"/>
        </w:rPr>
        <w:t> </w:t>
      </w:r>
      <w:r>
        <w:rPr>
          <w:color w:val="231F20"/>
          <w:sz w:val="20"/>
        </w:rPr>
        <w:t>assets</w:t>
      </w:r>
      <w:r>
        <w:rPr>
          <w:color w:val="231F20"/>
          <w:spacing w:val="-5"/>
          <w:sz w:val="20"/>
        </w:rPr>
        <w:t> </w:t>
      </w:r>
      <w:r>
        <w:rPr>
          <w:color w:val="231F20"/>
          <w:sz w:val="20"/>
        </w:rPr>
        <w:t>or</w:t>
      </w:r>
      <w:r>
        <w:rPr>
          <w:color w:val="231F20"/>
          <w:spacing w:val="-4"/>
          <w:sz w:val="20"/>
        </w:rPr>
        <w:t> </w:t>
      </w:r>
      <w:r>
        <w:rPr>
          <w:color w:val="231F20"/>
          <w:sz w:val="20"/>
        </w:rPr>
        <w:t>liabilities</w:t>
      </w:r>
      <w:r>
        <w:rPr>
          <w:color w:val="231F20"/>
          <w:spacing w:val="-5"/>
          <w:sz w:val="20"/>
        </w:rPr>
        <w:t> </w:t>
      </w:r>
      <w:r>
        <w:rPr>
          <w:color w:val="231F20"/>
          <w:sz w:val="20"/>
        </w:rPr>
        <w:t>in</w:t>
      </w:r>
      <w:r>
        <w:rPr>
          <w:color w:val="231F20"/>
          <w:spacing w:val="-5"/>
          <w:sz w:val="20"/>
        </w:rPr>
        <w:t> </w:t>
      </w:r>
      <w:r>
        <w:rPr>
          <w:color w:val="231F20"/>
          <w:sz w:val="20"/>
        </w:rPr>
        <w:t>active</w:t>
      </w:r>
      <w:r>
        <w:rPr>
          <w:color w:val="231F20"/>
          <w:spacing w:val="-5"/>
          <w:sz w:val="20"/>
        </w:rPr>
        <w:t> </w:t>
      </w:r>
      <w:r>
        <w:rPr>
          <w:color w:val="231F20"/>
          <w:spacing w:val="-2"/>
          <w:sz w:val="20"/>
        </w:rPr>
        <w:t>markets;</w:t>
      </w:r>
    </w:p>
    <w:p>
      <w:pPr>
        <w:pStyle w:val="ListParagraph"/>
        <w:numPr>
          <w:ilvl w:val="0"/>
          <w:numId w:val="12"/>
        </w:numPr>
        <w:tabs>
          <w:tab w:pos="3150" w:val="left" w:leader="none"/>
          <w:tab w:pos="3151" w:val="left" w:leader="none"/>
        </w:tabs>
        <w:spacing w:line="240" w:lineRule="auto" w:before="34" w:after="0"/>
        <w:ind w:left="3150" w:right="0" w:hanging="362"/>
        <w:jc w:val="left"/>
        <w:rPr>
          <w:sz w:val="20"/>
        </w:rPr>
      </w:pPr>
      <w:r>
        <w:rPr>
          <w:color w:val="231F20"/>
          <w:sz w:val="20"/>
        </w:rPr>
        <w:t>quoted</w:t>
      </w:r>
      <w:r>
        <w:rPr>
          <w:color w:val="231F20"/>
          <w:spacing w:val="-6"/>
          <w:sz w:val="20"/>
        </w:rPr>
        <w:t> </w:t>
      </w:r>
      <w:r>
        <w:rPr>
          <w:color w:val="231F20"/>
          <w:sz w:val="20"/>
        </w:rPr>
        <w:t>prices</w:t>
      </w:r>
      <w:r>
        <w:rPr>
          <w:color w:val="231F20"/>
          <w:spacing w:val="-6"/>
          <w:sz w:val="20"/>
        </w:rPr>
        <w:t> </w:t>
      </w:r>
      <w:r>
        <w:rPr>
          <w:color w:val="231F20"/>
          <w:sz w:val="20"/>
        </w:rPr>
        <w:t>for</w:t>
      </w:r>
      <w:r>
        <w:rPr>
          <w:color w:val="231F20"/>
          <w:spacing w:val="-5"/>
          <w:sz w:val="20"/>
        </w:rPr>
        <w:t> </w:t>
      </w:r>
      <w:r>
        <w:rPr>
          <w:color w:val="231F20"/>
          <w:sz w:val="20"/>
        </w:rPr>
        <w:t>identical</w:t>
      </w:r>
      <w:r>
        <w:rPr>
          <w:color w:val="231F20"/>
          <w:spacing w:val="-7"/>
          <w:sz w:val="20"/>
        </w:rPr>
        <w:t> </w:t>
      </w:r>
      <w:r>
        <w:rPr>
          <w:color w:val="231F20"/>
          <w:sz w:val="20"/>
        </w:rPr>
        <w:t>or</w:t>
      </w:r>
      <w:r>
        <w:rPr>
          <w:color w:val="231F20"/>
          <w:spacing w:val="-6"/>
          <w:sz w:val="20"/>
        </w:rPr>
        <w:t> </w:t>
      </w:r>
      <w:r>
        <w:rPr>
          <w:color w:val="231F20"/>
          <w:sz w:val="20"/>
        </w:rPr>
        <w:t>similar</w:t>
      </w:r>
      <w:r>
        <w:rPr>
          <w:color w:val="231F20"/>
          <w:spacing w:val="-5"/>
          <w:sz w:val="20"/>
        </w:rPr>
        <w:t> </w:t>
      </w:r>
      <w:r>
        <w:rPr>
          <w:color w:val="231F20"/>
          <w:sz w:val="20"/>
        </w:rPr>
        <w:t>assets</w:t>
      </w:r>
      <w:r>
        <w:rPr>
          <w:color w:val="231F20"/>
          <w:spacing w:val="-6"/>
          <w:sz w:val="20"/>
        </w:rPr>
        <w:t> </w:t>
      </w:r>
      <w:r>
        <w:rPr>
          <w:color w:val="231F20"/>
          <w:sz w:val="20"/>
        </w:rPr>
        <w:t>or</w:t>
      </w:r>
      <w:r>
        <w:rPr>
          <w:color w:val="231F20"/>
          <w:spacing w:val="-6"/>
          <w:sz w:val="20"/>
        </w:rPr>
        <w:t> </w:t>
      </w:r>
      <w:r>
        <w:rPr>
          <w:color w:val="231F20"/>
          <w:sz w:val="20"/>
        </w:rPr>
        <w:t>liabilities</w:t>
      </w:r>
      <w:r>
        <w:rPr>
          <w:color w:val="231F20"/>
          <w:spacing w:val="-5"/>
          <w:sz w:val="20"/>
        </w:rPr>
        <w:t> </w:t>
      </w:r>
      <w:r>
        <w:rPr>
          <w:color w:val="231F20"/>
          <w:sz w:val="20"/>
        </w:rPr>
        <w:t>in</w:t>
      </w:r>
      <w:r>
        <w:rPr>
          <w:color w:val="231F20"/>
          <w:spacing w:val="-6"/>
          <w:sz w:val="20"/>
        </w:rPr>
        <w:t> </w:t>
      </w:r>
      <w:r>
        <w:rPr>
          <w:color w:val="231F20"/>
          <w:sz w:val="20"/>
        </w:rPr>
        <w:t>inactive</w:t>
      </w:r>
      <w:r>
        <w:rPr>
          <w:color w:val="231F20"/>
          <w:spacing w:val="-6"/>
          <w:sz w:val="20"/>
        </w:rPr>
        <w:t> </w:t>
      </w:r>
      <w:r>
        <w:rPr>
          <w:color w:val="231F20"/>
          <w:spacing w:val="-2"/>
          <w:sz w:val="20"/>
        </w:rPr>
        <w:t>markets;</w:t>
      </w:r>
    </w:p>
    <w:p>
      <w:pPr>
        <w:pStyle w:val="ListParagraph"/>
        <w:numPr>
          <w:ilvl w:val="0"/>
          <w:numId w:val="12"/>
        </w:numPr>
        <w:tabs>
          <w:tab w:pos="3150" w:val="left" w:leader="none"/>
          <w:tab w:pos="3151" w:val="left" w:leader="none"/>
        </w:tabs>
        <w:spacing w:line="240" w:lineRule="auto" w:before="32" w:after="0"/>
        <w:ind w:left="3150" w:right="0" w:hanging="362"/>
        <w:jc w:val="left"/>
        <w:rPr>
          <w:sz w:val="20"/>
        </w:rPr>
      </w:pPr>
      <w:r>
        <w:rPr>
          <w:color w:val="231F20"/>
          <w:sz w:val="20"/>
        </w:rPr>
        <w:t>inputs</w:t>
      </w:r>
      <w:r>
        <w:rPr>
          <w:color w:val="231F20"/>
          <w:spacing w:val="-7"/>
          <w:sz w:val="20"/>
        </w:rPr>
        <w:t> </w:t>
      </w:r>
      <w:r>
        <w:rPr>
          <w:color w:val="231F20"/>
          <w:sz w:val="20"/>
        </w:rPr>
        <w:t>other</w:t>
      </w:r>
      <w:r>
        <w:rPr>
          <w:color w:val="231F20"/>
          <w:spacing w:val="-4"/>
          <w:sz w:val="20"/>
        </w:rPr>
        <w:t> </w:t>
      </w:r>
      <w:r>
        <w:rPr>
          <w:color w:val="231F20"/>
          <w:sz w:val="20"/>
        </w:rPr>
        <w:t>than</w:t>
      </w:r>
      <w:r>
        <w:rPr>
          <w:color w:val="231F20"/>
          <w:spacing w:val="-4"/>
          <w:sz w:val="20"/>
        </w:rPr>
        <w:t> </w:t>
      </w:r>
      <w:r>
        <w:rPr>
          <w:color w:val="231F20"/>
          <w:sz w:val="20"/>
        </w:rPr>
        <w:t>quoted</w:t>
      </w:r>
      <w:r>
        <w:rPr>
          <w:color w:val="231F20"/>
          <w:spacing w:val="-4"/>
          <w:sz w:val="20"/>
        </w:rPr>
        <w:t> </w:t>
      </w:r>
      <w:r>
        <w:rPr>
          <w:color w:val="231F20"/>
          <w:sz w:val="20"/>
        </w:rPr>
        <w:t>prices</w:t>
      </w:r>
      <w:r>
        <w:rPr>
          <w:color w:val="231F20"/>
          <w:spacing w:val="-4"/>
          <w:sz w:val="20"/>
        </w:rPr>
        <w:t> </w:t>
      </w:r>
      <w:r>
        <w:rPr>
          <w:color w:val="231F20"/>
          <w:sz w:val="20"/>
        </w:rPr>
        <w:t>that</w:t>
      </w:r>
      <w:r>
        <w:rPr>
          <w:color w:val="231F20"/>
          <w:spacing w:val="-4"/>
          <w:sz w:val="20"/>
        </w:rPr>
        <w:t> </w:t>
      </w:r>
      <w:r>
        <w:rPr>
          <w:color w:val="231F20"/>
          <w:sz w:val="20"/>
        </w:rPr>
        <w:t>are</w:t>
      </w:r>
      <w:r>
        <w:rPr>
          <w:color w:val="231F20"/>
          <w:spacing w:val="-4"/>
          <w:sz w:val="20"/>
        </w:rPr>
        <w:t> </w:t>
      </w:r>
      <w:r>
        <w:rPr>
          <w:color w:val="231F20"/>
          <w:sz w:val="20"/>
        </w:rPr>
        <w:t>observable</w:t>
      </w:r>
      <w:r>
        <w:rPr>
          <w:color w:val="231F20"/>
          <w:spacing w:val="-5"/>
          <w:sz w:val="20"/>
        </w:rPr>
        <w:t> </w:t>
      </w:r>
      <w:r>
        <w:rPr>
          <w:color w:val="231F20"/>
          <w:sz w:val="20"/>
        </w:rPr>
        <w:t>for</w:t>
      </w:r>
      <w:r>
        <w:rPr>
          <w:color w:val="231F20"/>
          <w:spacing w:val="-4"/>
          <w:sz w:val="20"/>
        </w:rPr>
        <w:t> </w:t>
      </w:r>
      <w:r>
        <w:rPr>
          <w:color w:val="231F20"/>
          <w:sz w:val="20"/>
        </w:rPr>
        <w:t>the</w:t>
      </w:r>
      <w:r>
        <w:rPr>
          <w:color w:val="231F20"/>
          <w:spacing w:val="-4"/>
          <w:sz w:val="20"/>
        </w:rPr>
        <w:t> </w:t>
      </w:r>
      <w:r>
        <w:rPr>
          <w:color w:val="231F20"/>
          <w:sz w:val="20"/>
        </w:rPr>
        <w:t>asset</w:t>
      </w:r>
      <w:r>
        <w:rPr>
          <w:color w:val="231F20"/>
          <w:spacing w:val="-4"/>
          <w:sz w:val="20"/>
        </w:rPr>
        <w:t> </w:t>
      </w:r>
      <w:r>
        <w:rPr>
          <w:color w:val="231F20"/>
          <w:sz w:val="20"/>
        </w:rPr>
        <w:t>or</w:t>
      </w:r>
      <w:r>
        <w:rPr>
          <w:color w:val="231F20"/>
          <w:spacing w:val="-5"/>
          <w:sz w:val="20"/>
        </w:rPr>
        <w:t> </w:t>
      </w:r>
      <w:r>
        <w:rPr>
          <w:color w:val="231F20"/>
          <w:spacing w:val="-2"/>
          <w:sz w:val="20"/>
        </w:rPr>
        <w:t>liability;</w:t>
      </w:r>
    </w:p>
    <w:p>
      <w:pPr>
        <w:pStyle w:val="ListParagraph"/>
        <w:numPr>
          <w:ilvl w:val="0"/>
          <w:numId w:val="12"/>
        </w:numPr>
        <w:tabs>
          <w:tab w:pos="3150" w:val="left" w:leader="none"/>
          <w:tab w:pos="3151" w:val="left" w:leader="none"/>
        </w:tabs>
        <w:spacing w:line="271" w:lineRule="auto" w:before="33" w:after="0"/>
        <w:ind w:left="3150" w:right="1026" w:hanging="361"/>
        <w:jc w:val="left"/>
        <w:rPr>
          <w:sz w:val="20"/>
        </w:rPr>
      </w:pPr>
      <w:r>
        <w:rPr>
          <w:color w:val="231F20"/>
          <w:sz w:val="20"/>
        </w:rPr>
        <w:t>inputs</w:t>
      </w:r>
      <w:r>
        <w:rPr>
          <w:color w:val="231F20"/>
          <w:spacing w:val="-4"/>
          <w:sz w:val="20"/>
        </w:rPr>
        <w:t> </w:t>
      </w:r>
      <w:r>
        <w:rPr>
          <w:color w:val="231F20"/>
          <w:sz w:val="20"/>
        </w:rPr>
        <w:t>that</w:t>
      </w:r>
      <w:r>
        <w:rPr>
          <w:color w:val="231F20"/>
          <w:spacing w:val="-4"/>
          <w:sz w:val="20"/>
        </w:rPr>
        <w:t> </w:t>
      </w:r>
      <w:r>
        <w:rPr>
          <w:color w:val="231F20"/>
          <w:sz w:val="20"/>
        </w:rPr>
        <w:t>are</w:t>
      </w:r>
      <w:r>
        <w:rPr>
          <w:color w:val="231F20"/>
          <w:spacing w:val="-4"/>
          <w:sz w:val="20"/>
        </w:rPr>
        <w:t> </w:t>
      </w:r>
      <w:r>
        <w:rPr>
          <w:color w:val="231F20"/>
          <w:sz w:val="20"/>
        </w:rPr>
        <w:t>derived</w:t>
      </w:r>
      <w:r>
        <w:rPr>
          <w:color w:val="231F20"/>
          <w:spacing w:val="-4"/>
          <w:sz w:val="20"/>
        </w:rPr>
        <w:t> </w:t>
      </w:r>
      <w:r>
        <w:rPr>
          <w:color w:val="231F20"/>
          <w:sz w:val="20"/>
        </w:rPr>
        <w:t>principally</w:t>
      </w:r>
      <w:r>
        <w:rPr>
          <w:color w:val="231F20"/>
          <w:spacing w:val="-4"/>
          <w:sz w:val="20"/>
        </w:rPr>
        <w:t> </w:t>
      </w:r>
      <w:r>
        <w:rPr>
          <w:color w:val="231F20"/>
          <w:sz w:val="20"/>
        </w:rPr>
        <w:t>from</w:t>
      </w:r>
      <w:r>
        <w:rPr>
          <w:color w:val="231F20"/>
          <w:spacing w:val="-4"/>
          <w:sz w:val="20"/>
        </w:rPr>
        <w:t> </w:t>
      </w:r>
      <w:r>
        <w:rPr>
          <w:color w:val="231F20"/>
          <w:sz w:val="20"/>
        </w:rPr>
        <w:t>or</w:t>
      </w:r>
      <w:r>
        <w:rPr>
          <w:color w:val="231F20"/>
          <w:spacing w:val="-2"/>
          <w:sz w:val="20"/>
        </w:rPr>
        <w:t> </w:t>
      </w:r>
      <w:r>
        <w:rPr>
          <w:color w:val="231F20"/>
          <w:sz w:val="20"/>
        </w:rPr>
        <w:t>corroborated</w:t>
      </w:r>
      <w:r>
        <w:rPr>
          <w:color w:val="231F20"/>
          <w:spacing w:val="-4"/>
          <w:sz w:val="20"/>
        </w:rPr>
        <w:t> </w:t>
      </w:r>
      <w:r>
        <w:rPr>
          <w:color w:val="231F20"/>
          <w:sz w:val="20"/>
        </w:rPr>
        <w:t>by</w:t>
      </w:r>
      <w:r>
        <w:rPr>
          <w:color w:val="231F20"/>
          <w:spacing w:val="-4"/>
          <w:sz w:val="20"/>
        </w:rPr>
        <w:t> </w:t>
      </w:r>
      <w:r>
        <w:rPr>
          <w:color w:val="231F20"/>
          <w:sz w:val="20"/>
        </w:rPr>
        <w:t>observable</w:t>
      </w:r>
      <w:r>
        <w:rPr>
          <w:color w:val="231F20"/>
          <w:spacing w:val="-4"/>
          <w:sz w:val="20"/>
        </w:rPr>
        <w:t> </w:t>
      </w:r>
      <w:r>
        <w:rPr>
          <w:color w:val="231F20"/>
          <w:sz w:val="20"/>
        </w:rPr>
        <w:t>market</w:t>
      </w:r>
      <w:r>
        <w:rPr>
          <w:color w:val="231F20"/>
          <w:spacing w:val="-4"/>
          <w:sz w:val="20"/>
        </w:rPr>
        <w:t> </w:t>
      </w:r>
      <w:r>
        <w:rPr>
          <w:color w:val="231F20"/>
          <w:sz w:val="20"/>
        </w:rPr>
        <w:t>data</w:t>
      </w:r>
      <w:r>
        <w:rPr>
          <w:color w:val="231F20"/>
          <w:spacing w:val="-4"/>
          <w:sz w:val="20"/>
        </w:rPr>
        <w:t> </w:t>
      </w:r>
      <w:r>
        <w:rPr>
          <w:color w:val="231F20"/>
          <w:sz w:val="20"/>
        </w:rPr>
        <w:t>by correlation or other means.</w:t>
      </w:r>
    </w:p>
    <w:p>
      <w:pPr>
        <w:pStyle w:val="BodyText"/>
        <w:spacing w:line="276" w:lineRule="auto" w:before="125"/>
        <w:ind w:left="2789" w:right="1505"/>
      </w:pPr>
      <w:r>
        <w:rPr>
          <w:color w:val="231F20"/>
        </w:rPr>
        <w:t>If</w:t>
      </w:r>
      <w:r>
        <w:rPr>
          <w:color w:val="231F20"/>
          <w:spacing w:val="-3"/>
        </w:rPr>
        <w:t> </w:t>
      </w:r>
      <w:r>
        <w:rPr>
          <w:color w:val="231F20"/>
        </w:rPr>
        <w:t>the</w:t>
      </w:r>
      <w:r>
        <w:rPr>
          <w:color w:val="231F20"/>
          <w:spacing w:val="-3"/>
        </w:rPr>
        <w:t> </w:t>
      </w:r>
      <w:r>
        <w:rPr>
          <w:color w:val="231F20"/>
        </w:rPr>
        <w:t>asset</w:t>
      </w:r>
      <w:r>
        <w:rPr>
          <w:color w:val="231F20"/>
          <w:spacing w:val="-3"/>
        </w:rPr>
        <w:t> </w:t>
      </w:r>
      <w:r>
        <w:rPr>
          <w:color w:val="231F20"/>
        </w:rPr>
        <w:t>or</w:t>
      </w:r>
      <w:r>
        <w:rPr>
          <w:color w:val="231F20"/>
          <w:spacing w:val="-3"/>
        </w:rPr>
        <w:t> </w:t>
      </w:r>
      <w:r>
        <w:rPr>
          <w:color w:val="231F20"/>
        </w:rPr>
        <w:t>liability</w:t>
      </w:r>
      <w:r>
        <w:rPr>
          <w:color w:val="231F20"/>
          <w:spacing w:val="-3"/>
        </w:rPr>
        <w:t> </w:t>
      </w:r>
      <w:r>
        <w:rPr>
          <w:color w:val="231F20"/>
        </w:rPr>
        <w:t>has</w:t>
      </w:r>
      <w:r>
        <w:rPr>
          <w:color w:val="231F20"/>
          <w:spacing w:val="-3"/>
        </w:rPr>
        <w:t> </w:t>
      </w:r>
      <w:r>
        <w:rPr>
          <w:color w:val="231F20"/>
        </w:rPr>
        <w:t>a</w:t>
      </w:r>
      <w:r>
        <w:rPr>
          <w:color w:val="231F20"/>
          <w:spacing w:val="-4"/>
        </w:rPr>
        <w:t> </w:t>
      </w:r>
      <w:r>
        <w:rPr>
          <w:color w:val="231F20"/>
        </w:rPr>
        <w:t>specified</w:t>
      </w:r>
      <w:r>
        <w:rPr>
          <w:color w:val="231F20"/>
          <w:spacing w:val="-3"/>
        </w:rPr>
        <w:t> </w:t>
      </w:r>
      <w:r>
        <w:rPr>
          <w:color w:val="231F20"/>
        </w:rPr>
        <w:t>(contractual)</w:t>
      </w:r>
      <w:r>
        <w:rPr>
          <w:color w:val="231F20"/>
          <w:spacing w:val="-3"/>
        </w:rPr>
        <w:t> </w:t>
      </w:r>
      <w:r>
        <w:rPr>
          <w:color w:val="231F20"/>
        </w:rPr>
        <w:t>term,</w:t>
      </w:r>
      <w:r>
        <w:rPr>
          <w:color w:val="231F20"/>
          <w:spacing w:val="-3"/>
        </w:rPr>
        <w:t> </w:t>
      </w:r>
      <w:r>
        <w:rPr>
          <w:color w:val="231F20"/>
        </w:rPr>
        <w:t>the</w:t>
      </w:r>
      <w:r>
        <w:rPr>
          <w:color w:val="231F20"/>
          <w:spacing w:val="-3"/>
        </w:rPr>
        <w:t> </w:t>
      </w:r>
      <w:r>
        <w:rPr>
          <w:color w:val="231F20"/>
        </w:rPr>
        <w:t>Level</w:t>
      </w:r>
      <w:r>
        <w:rPr>
          <w:color w:val="231F20"/>
          <w:spacing w:val="-4"/>
        </w:rPr>
        <w:t> </w:t>
      </w:r>
      <w:r>
        <w:rPr>
          <w:color w:val="231F20"/>
        </w:rPr>
        <w:t>2</w:t>
      </w:r>
      <w:r>
        <w:rPr>
          <w:color w:val="231F20"/>
          <w:spacing w:val="-3"/>
        </w:rPr>
        <w:t> </w:t>
      </w:r>
      <w:r>
        <w:rPr>
          <w:color w:val="231F20"/>
        </w:rPr>
        <w:t>input</w:t>
      </w:r>
      <w:r>
        <w:rPr>
          <w:color w:val="231F20"/>
          <w:spacing w:val="-3"/>
        </w:rPr>
        <w:t> </w:t>
      </w:r>
      <w:r>
        <w:rPr>
          <w:color w:val="231F20"/>
        </w:rPr>
        <w:t>must</w:t>
      </w:r>
      <w:r>
        <w:rPr>
          <w:color w:val="231F20"/>
          <w:spacing w:val="-4"/>
        </w:rPr>
        <w:t> </w:t>
      </w:r>
      <w:r>
        <w:rPr>
          <w:color w:val="231F20"/>
        </w:rPr>
        <w:t>be observable for substantially the full term of the asset or liability.</w:t>
      </w:r>
    </w:p>
    <w:p>
      <w:pPr>
        <w:pStyle w:val="BodyText"/>
        <w:spacing w:before="11"/>
        <w:rPr>
          <w:sz w:val="22"/>
        </w:rPr>
      </w:pPr>
    </w:p>
    <w:p>
      <w:pPr>
        <w:pStyle w:val="BodyText"/>
        <w:spacing w:line="276" w:lineRule="auto"/>
        <w:ind w:left="1889" w:right="1048"/>
      </w:pPr>
      <w:r>
        <w:rPr>
          <w:b/>
          <w:color w:val="231F20"/>
        </w:rPr>
        <w:t>Level</w:t>
      </w:r>
      <w:r>
        <w:rPr>
          <w:b/>
          <w:color w:val="231F20"/>
          <w:spacing w:val="-3"/>
        </w:rPr>
        <w:t> </w:t>
      </w:r>
      <w:r>
        <w:rPr>
          <w:b/>
          <w:color w:val="231F20"/>
        </w:rPr>
        <w:t>3</w:t>
      </w:r>
      <w:r>
        <w:rPr>
          <w:b/>
          <w:color w:val="231F20"/>
          <w:spacing w:val="-2"/>
        </w:rPr>
        <w:t> </w:t>
      </w:r>
      <w:r>
        <w:rPr>
          <w:color w:val="231F20"/>
        </w:rPr>
        <w:t>–</w:t>
      </w:r>
      <w:r>
        <w:rPr>
          <w:color w:val="231F20"/>
          <w:spacing w:val="-3"/>
        </w:rPr>
        <w:t> </w:t>
      </w:r>
      <w:r>
        <w:rPr>
          <w:color w:val="231F20"/>
        </w:rPr>
        <w:t>Inputs</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valuation</w:t>
      </w:r>
      <w:r>
        <w:rPr>
          <w:color w:val="231F20"/>
          <w:spacing w:val="-3"/>
        </w:rPr>
        <w:t> </w:t>
      </w:r>
      <w:r>
        <w:rPr>
          <w:color w:val="231F20"/>
        </w:rPr>
        <w:t>methodology</w:t>
      </w:r>
      <w:r>
        <w:rPr>
          <w:color w:val="231F20"/>
          <w:spacing w:val="-3"/>
        </w:rPr>
        <w:t> </w:t>
      </w:r>
      <w:r>
        <w:rPr>
          <w:color w:val="231F20"/>
        </w:rPr>
        <w:t>are</w:t>
      </w:r>
      <w:r>
        <w:rPr>
          <w:color w:val="231F20"/>
          <w:spacing w:val="-3"/>
        </w:rPr>
        <w:t> </w:t>
      </w:r>
      <w:r>
        <w:rPr>
          <w:color w:val="231F20"/>
        </w:rPr>
        <w:t>unobservable</w:t>
      </w:r>
      <w:r>
        <w:rPr>
          <w:color w:val="231F20"/>
          <w:spacing w:val="-3"/>
        </w:rPr>
        <w:t> </w:t>
      </w:r>
      <w:r>
        <w:rPr>
          <w:color w:val="231F20"/>
        </w:rPr>
        <w:t>and</w:t>
      </w:r>
      <w:r>
        <w:rPr>
          <w:color w:val="231F20"/>
          <w:spacing w:val="-3"/>
        </w:rPr>
        <w:t> </w:t>
      </w:r>
      <w:r>
        <w:rPr>
          <w:color w:val="231F20"/>
        </w:rPr>
        <w:t>significant</w:t>
      </w:r>
      <w:r>
        <w:rPr>
          <w:color w:val="231F20"/>
          <w:spacing w:val="-3"/>
        </w:rPr>
        <w:t> </w:t>
      </w:r>
      <w:r>
        <w:rPr>
          <w:color w:val="231F20"/>
        </w:rPr>
        <w:t>to</w:t>
      </w:r>
      <w:r>
        <w:rPr>
          <w:color w:val="231F20"/>
          <w:spacing w:val="-3"/>
        </w:rPr>
        <w:t> </w:t>
      </w:r>
      <w:r>
        <w:rPr>
          <w:color w:val="231F20"/>
        </w:rPr>
        <w:t>the</w:t>
      </w:r>
      <w:r>
        <w:rPr>
          <w:color w:val="231F20"/>
          <w:spacing w:val="-3"/>
        </w:rPr>
        <w:t> </w:t>
      </w:r>
      <w:r>
        <w:rPr>
          <w:color w:val="231F20"/>
        </w:rPr>
        <w:t>fair</w:t>
      </w:r>
      <w:r>
        <w:rPr>
          <w:color w:val="231F20"/>
          <w:spacing w:val="-3"/>
        </w:rPr>
        <w:t> </w:t>
      </w:r>
      <w:r>
        <w:rPr>
          <w:color w:val="231F20"/>
        </w:rPr>
        <w:t>value </w:t>
      </w:r>
      <w:r>
        <w:rPr>
          <w:color w:val="231F20"/>
          <w:spacing w:val="-2"/>
        </w:rPr>
        <w:t>measurement.</w:t>
      </w:r>
    </w:p>
    <w:p>
      <w:pPr>
        <w:pStyle w:val="BodyText"/>
        <w:rPr>
          <w:sz w:val="23"/>
        </w:rPr>
      </w:pPr>
    </w:p>
    <w:p>
      <w:pPr>
        <w:pStyle w:val="BodyText"/>
        <w:spacing w:line="276" w:lineRule="auto"/>
        <w:ind w:left="1440" w:right="891" w:hanging="1"/>
      </w:pPr>
      <w:r>
        <w:rPr>
          <w:color w:val="231F20"/>
        </w:rPr>
        <w:t>The</w:t>
      </w:r>
      <w:r>
        <w:rPr>
          <w:color w:val="231F20"/>
          <w:spacing w:val="-3"/>
        </w:rPr>
        <w:t> </w:t>
      </w:r>
      <w:r>
        <w:rPr>
          <w:color w:val="231F20"/>
        </w:rPr>
        <w:t>asset's</w:t>
      </w:r>
      <w:r>
        <w:rPr>
          <w:color w:val="231F20"/>
          <w:spacing w:val="-3"/>
        </w:rPr>
        <w:t> </w:t>
      </w:r>
      <w:r>
        <w:rPr>
          <w:color w:val="231F20"/>
        </w:rPr>
        <w:t>or</w:t>
      </w:r>
      <w:r>
        <w:rPr>
          <w:color w:val="231F20"/>
          <w:spacing w:val="-3"/>
        </w:rPr>
        <w:t> </w:t>
      </w:r>
      <w:r>
        <w:rPr>
          <w:color w:val="231F20"/>
        </w:rPr>
        <w:t>liability's</w:t>
      </w:r>
      <w:r>
        <w:rPr>
          <w:color w:val="231F20"/>
          <w:spacing w:val="-3"/>
        </w:rPr>
        <w:t> </w:t>
      </w:r>
      <w:r>
        <w:rPr>
          <w:color w:val="231F20"/>
        </w:rPr>
        <w:t>fair</w:t>
      </w:r>
      <w:r>
        <w:rPr>
          <w:color w:val="231F20"/>
          <w:spacing w:val="-3"/>
        </w:rPr>
        <w:t> </w:t>
      </w:r>
      <w:r>
        <w:rPr>
          <w:color w:val="231F20"/>
        </w:rPr>
        <w:t>value</w:t>
      </w:r>
      <w:r>
        <w:rPr>
          <w:color w:val="231F20"/>
          <w:spacing w:val="-3"/>
        </w:rPr>
        <w:t> </w:t>
      </w:r>
      <w:r>
        <w:rPr>
          <w:color w:val="231F20"/>
        </w:rPr>
        <w:t>measurement</w:t>
      </w:r>
      <w:r>
        <w:rPr>
          <w:color w:val="231F20"/>
          <w:spacing w:val="-3"/>
        </w:rPr>
        <w:t> </w:t>
      </w:r>
      <w:r>
        <w:rPr>
          <w:color w:val="231F20"/>
        </w:rPr>
        <w:t>level</w:t>
      </w:r>
      <w:r>
        <w:rPr>
          <w:color w:val="231F20"/>
          <w:spacing w:val="-4"/>
        </w:rPr>
        <w:t> </w:t>
      </w:r>
      <w:r>
        <w:rPr>
          <w:color w:val="231F20"/>
        </w:rPr>
        <w:t>within</w:t>
      </w:r>
      <w:r>
        <w:rPr>
          <w:color w:val="231F20"/>
          <w:spacing w:val="-3"/>
        </w:rPr>
        <w:t> </w:t>
      </w:r>
      <w:r>
        <w:rPr>
          <w:color w:val="231F20"/>
        </w:rPr>
        <w:t>the</w:t>
      </w:r>
      <w:r>
        <w:rPr>
          <w:color w:val="231F20"/>
          <w:spacing w:val="-3"/>
        </w:rPr>
        <w:t> </w:t>
      </w:r>
      <w:r>
        <w:rPr>
          <w:color w:val="231F20"/>
        </w:rPr>
        <w:t>fair</w:t>
      </w:r>
      <w:r>
        <w:rPr>
          <w:color w:val="231F20"/>
          <w:spacing w:val="-3"/>
        </w:rPr>
        <w:t> </w:t>
      </w:r>
      <w:r>
        <w:rPr>
          <w:color w:val="231F20"/>
        </w:rPr>
        <w:t>value</w:t>
      </w:r>
      <w:r>
        <w:rPr>
          <w:color w:val="231F20"/>
          <w:spacing w:val="-3"/>
        </w:rPr>
        <w:t> </w:t>
      </w:r>
      <w:r>
        <w:rPr>
          <w:color w:val="231F20"/>
        </w:rPr>
        <w:t>hierarchy</w:t>
      </w:r>
      <w:r>
        <w:rPr>
          <w:color w:val="231F20"/>
          <w:spacing w:val="-3"/>
        </w:rPr>
        <w:t> </w:t>
      </w:r>
      <w:r>
        <w:rPr>
          <w:color w:val="231F20"/>
        </w:rPr>
        <w:t>is</w:t>
      </w:r>
      <w:r>
        <w:rPr>
          <w:color w:val="231F20"/>
          <w:spacing w:val="-3"/>
        </w:rPr>
        <w:t> </w:t>
      </w:r>
      <w:r>
        <w:rPr>
          <w:color w:val="231F20"/>
        </w:rPr>
        <w:t>based</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lowest level of any input that is significant to the fair value measurement. Valuation techniques used need to maximize the use of observable inputs and minimize the use of unobservable inputs.</w:t>
      </w:r>
    </w:p>
    <w:p>
      <w:pPr>
        <w:pStyle w:val="BodyText"/>
        <w:rPr>
          <w:sz w:val="23"/>
        </w:rPr>
      </w:pPr>
    </w:p>
    <w:p>
      <w:pPr>
        <w:pStyle w:val="BodyText"/>
        <w:spacing w:line="276" w:lineRule="auto"/>
        <w:ind w:left="1440" w:right="1048"/>
      </w:pPr>
      <w:r>
        <w:rPr>
          <w:color w:val="231F20"/>
        </w:rPr>
        <w:t>The</w:t>
      </w:r>
      <w:r>
        <w:rPr>
          <w:color w:val="231F20"/>
          <w:spacing w:val="-3"/>
        </w:rPr>
        <w:t> </w:t>
      </w:r>
      <w:r>
        <w:rPr>
          <w:color w:val="231F20"/>
        </w:rPr>
        <w:t>following</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description</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valuation</w:t>
      </w:r>
      <w:r>
        <w:rPr>
          <w:color w:val="231F20"/>
          <w:spacing w:val="-3"/>
        </w:rPr>
        <w:t> </w:t>
      </w:r>
      <w:r>
        <w:rPr>
          <w:color w:val="231F20"/>
        </w:rPr>
        <w:t>methodologies</w:t>
      </w:r>
      <w:r>
        <w:rPr>
          <w:color w:val="231F20"/>
          <w:spacing w:val="-3"/>
        </w:rPr>
        <w:t> </w:t>
      </w:r>
      <w:r>
        <w:rPr>
          <w:color w:val="231F20"/>
        </w:rPr>
        <w:t>used</w:t>
      </w:r>
      <w:r>
        <w:rPr>
          <w:color w:val="231F20"/>
          <w:spacing w:val="-4"/>
        </w:rPr>
        <w:t> </w:t>
      </w:r>
      <w:r>
        <w:rPr>
          <w:color w:val="231F20"/>
        </w:rPr>
        <w:t>for</w:t>
      </w:r>
      <w:r>
        <w:rPr>
          <w:color w:val="231F20"/>
          <w:spacing w:val="-3"/>
        </w:rPr>
        <w:t> </w:t>
      </w:r>
      <w:r>
        <w:rPr>
          <w:color w:val="231F20"/>
        </w:rPr>
        <w:t>assets</w:t>
      </w:r>
      <w:r>
        <w:rPr>
          <w:color w:val="231F20"/>
          <w:spacing w:val="-2"/>
        </w:rPr>
        <w:t> </w:t>
      </w:r>
      <w:r>
        <w:rPr>
          <w:color w:val="231F20"/>
        </w:rPr>
        <w:t>and</w:t>
      </w:r>
      <w:r>
        <w:rPr>
          <w:color w:val="231F20"/>
          <w:spacing w:val="-3"/>
        </w:rPr>
        <w:t> </w:t>
      </w:r>
      <w:r>
        <w:rPr>
          <w:color w:val="231F20"/>
        </w:rPr>
        <w:t>liabilities</w:t>
      </w:r>
      <w:r>
        <w:rPr>
          <w:color w:val="231F20"/>
          <w:spacing w:val="-3"/>
        </w:rPr>
        <w:t> </w:t>
      </w:r>
      <w:r>
        <w:rPr>
          <w:color w:val="231F20"/>
        </w:rPr>
        <w:t>measured</w:t>
      </w:r>
      <w:r>
        <w:rPr>
          <w:color w:val="231F20"/>
          <w:spacing w:val="-3"/>
        </w:rPr>
        <w:t> </w:t>
      </w:r>
      <w:r>
        <w:rPr>
          <w:color w:val="231F20"/>
        </w:rPr>
        <w:t>at fair value. There have been no changes in the methodologies used at June 30, 2022.</w:t>
      </w:r>
    </w:p>
    <w:p>
      <w:pPr>
        <w:pStyle w:val="BodyText"/>
        <w:rPr>
          <w:sz w:val="23"/>
        </w:rPr>
      </w:pPr>
    </w:p>
    <w:p>
      <w:pPr>
        <w:pStyle w:val="BodyText"/>
        <w:spacing w:line="276" w:lineRule="auto"/>
        <w:ind w:left="1440" w:right="891"/>
      </w:pPr>
      <w:r>
        <w:rPr>
          <w:color w:val="231F20"/>
        </w:rPr>
        <w:t>The investment portfolio is comprised of pooled investments with the NMSIC and is recorded in the financial</w:t>
      </w:r>
      <w:r>
        <w:rPr>
          <w:color w:val="231F20"/>
          <w:spacing w:val="-3"/>
        </w:rPr>
        <w:t> </w:t>
      </w:r>
      <w:r>
        <w:rPr>
          <w:color w:val="231F20"/>
        </w:rPr>
        <w:t>statements</w:t>
      </w:r>
      <w:r>
        <w:rPr>
          <w:color w:val="231F20"/>
          <w:spacing w:val="-3"/>
        </w:rPr>
        <w:t> </w:t>
      </w:r>
      <w:r>
        <w:rPr>
          <w:color w:val="231F20"/>
        </w:rPr>
        <w:t>at</w:t>
      </w:r>
      <w:r>
        <w:rPr>
          <w:color w:val="231F20"/>
          <w:spacing w:val="-3"/>
        </w:rPr>
        <w:t> </w:t>
      </w:r>
      <w:r>
        <w:rPr>
          <w:color w:val="231F20"/>
        </w:rPr>
        <w:t>fair</w:t>
      </w:r>
      <w:r>
        <w:rPr>
          <w:color w:val="231F20"/>
          <w:spacing w:val="-4"/>
        </w:rPr>
        <w:t> </w:t>
      </w:r>
      <w:r>
        <w:rPr>
          <w:color w:val="231F20"/>
        </w:rPr>
        <w:t>value.</w:t>
      </w:r>
      <w:r>
        <w:rPr>
          <w:color w:val="231F20"/>
          <w:spacing w:val="-3"/>
        </w:rPr>
        <w:t> </w:t>
      </w:r>
      <w:r>
        <w:rPr>
          <w:color w:val="231F20"/>
        </w:rPr>
        <w:t>The</w:t>
      </w:r>
      <w:r>
        <w:rPr>
          <w:color w:val="231F20"/>
          <w:spacing w:val="-3"/>
        </w:rPr>
        <w:t> </w:t>
      </w:r>
      <w:r>
        <w:rPr>
          <w:color w:val="231F20"/>
        </w:rPr>
        <w:t>corresponding</w:t>
      </w:r>
      <w:r>
        <w:rPr>
          <w:color w:val="231F20"/>
          <w:spacing w:val="-3"/>
        </w:rPr>
        <w:t> </w:t>
      </w:r>
      <w:r>
        <w:rPr>
          <w:color w:val="231F20"/>
        </w:rPr>
        <w:t>unrealized</w:t>
      </w:r>
      <w:r>
        <w:rPr>
          <w:color w:val="231F20"/>
          <w:spacing w:val="-3"/>
        </w:rPr>
        <w:t> </w:t>
      </w:r>
      <w:r>
        <w:rPr>
          <w:color w:val="231F20"/>
        </w:rPr>
        <w:t>gain</w:t>
      </w:r>
      <w:r>
        <w:rPr>
          <w:color w:val="231F20"/>
          <w:spacing w:val="-3"/>
        </w:rPr>
        <w:t> </w:t>
      </w:r>
      <w:r>
        <w:rPr>
          <w:color w:val="231F20"/>
        </w:rPr>
        <w:t>or</w:t>
      </w:r>
      <w:r>
        <w:rPr>
          <w:color w:val="231F20"/>
          <w:spacing w:val="-3"/>
        </w:rPr>
        <w:t> </w:t>
      </w:r>
      <w:r>
        <w:rPr>
          <w:color w:val="231F20"/>
        </w:rPr>
        <w:t>loss</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fair</w:t>
      </w:r>
      <w:r>
        <w:rPr>
          <w:color w:val="231F20"/>
          <w:spacing w:val="-3"/>
        </w:rPr>
        <w:t> </w:t>
      </w:r>
      <w:r>
        <w:rPr>
          <w:color w:val="231F20"/>
        </w:rPr>
        <w:t>value</w:t>
      </w:r>
      <w:r>
        <w:rPr>
          <w:color w:val="231F20"/>
          <w:spacing w:val="-3"/>
        </w:rPr>
        <w:t> </w:t>
      </w:r>
      <w:r>
        <w:rPr>
          <w:color w:val="231F20"/>
        </w:rPr>
        <w:t>in</w:t>
      </w:r>
      <w:r>
        <w:rPr>
          <w:color w:val="231F20"/>
          <w:spacing w:val="-4"/>
        </w:rPr>
        <w:t> </w:t>
      </w:r>
      <w:r>
        <w:rPr>
          <w:color w:val="231F20"/>
        </w:rPr>
        <w:t>relation</w:t>
      </w:r>
      <w:r>
        <w:rPr>
          <w:color w:val="231F20"/>
          <w:spacing w:val="-3"/>
        </w:rPr>
        <w:t> </w:t>
      </w:r>
      <w:r>
        <w:rPr>
          <w:color w:val="231F20"/>
        </w:rPr>
        <w:t>to cost is accounted for as a separate item in the statement of revenues, expenses, and changes in net </w:t>
      </w:r>
      <w:r>
        <w:rPr>
          <w:color w:val="231F20"/>
          <w:spacing w:val="-2"/>
        </w:rPr>
        <w:t>position.</w:t>
      </w:r>
    </w:p>
    <w:p>
      <w:pPr>
        <w:pStyle w:val="BodyText"/>
        <w:rPr>
          <w:sz w:val="23"/>
        </w:rPr>
      </w:pPr>
    </w:p>
    <w:p>
      <w:pPr>
        <w:pStyle w:val="BodyText"/>
        <w:spacing w:line="276" w:lineRule="auto"/>
        <w:ind w:left="1440" w:right="891"/>
      </w:pPr>
      <w:r>
        <w:rPr>
          <w:color w:val="231F20"/>
        </w:rPr>
        <w:t>During</w:t>
      </w:r>
      <w:r>
        <w:rPr>
          <w:color w:val="231F20"/>
          <w:spacing w:val="-3"/>
        </w:rPr>
        <w:t> </w:t>
      </w:r>
      <w:r>
        <w:rPr>
          <w:color w:val="231F20"/>
        </w:rPr>
        <w:t>2022,</w:t>
      </w:r>
      <w:r>
        <w:rPr>
          <w:color w:val="231F20"/>
          <w:spacing w:val="-3"/>
        </w:rPr>
        <w:t> </w:t>
      </w:r>
      <w:r>
        <w:rPr>
          <w:color w:val="231F20"/>
        </w:rPr>
        <w:t>the</w:t>
      </w:r>
      <w:r>
        <w:rPr>
          <w:color w:val="231F20"/>
          <w:spacing w:val="-3"/>
        </w:rPr>
        <w:t> </w:t>
      </w:r>
      <w:r>
        <w:rPr>
          <w:color w:val="231F20"/>
        </w:rPr>
        <w:t>Foundation</w:t>
      </w:r>
      <w:r>
        <w:rPr>
          <w:color w:val="231F20"/>
          <w:spacing w:val="-3"/>
        </w:rPr>
        <w:t> </w:t>
      </w:r>
      <w:r>
        <w:rPr>
          <w:color w:val="231F20"/>
        </w:rPr>
        <w:t>used</w:t>
      </w:r>
      <w:r>
        <w:rPr>
          <w:color w:val="231F20"/>
          <w:spacing w:val="-3"/>
        </w:rPr>
        <w:t> </w:t>
      </w:r>
      <w:r>
        <w:rPr>
          <w:color w:val="231F20"/>
        </w:rPr>
        <w:t>the</w:t>
      </w:r>
      <w:r>
        <w:rPr>
          <w:color w:val="231F20"/>
          <w:spacing w:val="-3"/>
        </w:rPr>
        <w:t> </w:t>
      </w:r>
      <w:r>
        <w:rPr>
          <w:color w:val="231F20"/>
        </w:rPr>
        <w:t>net</w:t>
      </w:r>
      <w:r>
        <w:rPr>
          <w:color w:val="231F20"/>
          <w:spacing w:val="-3"/>
        </w:rPr>
        <w:t> </w:t>
      </w:r>
      <w:r>
        <w:rPr>
          <w:color w:val="231F20"/>
        </w:rPr>
        <w:t>asset</w:t>
      </w:r>
      <w:r>
        <w:rPr>
          <w:color w:val="231F20"/>
          <w:spacing w:val="-3"/>
        </w:rPr>
        <w:t> </w:t>
      </w:r>
      <w:r>
        <w:rPr>
          <w:color w:val="231F20"/>
        </w:rPr>
        <w:t>value</w:t>
      </w:r>
      <w:r>
        <w:rPr>
          <w:color w:val="231F20"/>
          <w:spacing w:val="-3"/>
        </w:rPr>
        <w:t> </w:t>
      </w:r>
      <w:r>
        <w:rPr>
          <w:color w:val="231F20"/>
        </w:rPr>
        <w:t>provided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NMSIC</w:t>
      </w:r>
      <w:r>
        <w:rPr>
          <w:color w:val="231F20"/>
          <w:spacing w:val="-3"/>
        </w:rPr>
        <w:t> </w:t>
      </w:r>
      <w:r>
        <w:rPr>
          <w:color w:val="231F20"/>
        </w:rPr>
        <w:t>as</w:t>
      </w:r>
      <w:r>
        <w:rPr>
          <w:color w:val="231F20"/>
          <w:spacing w:val="-3"/>
        </w:rPr>
        <w:t> </w:t>
      </w:r>
      <w:r>
        <w:rPr>
          <w:color w:val="231F20"/>
        </w:rPr>
        <w:t>an</w:t>
      </w:r>
      <w:r>
        <w:rPr>
          <w:color w:val="231F20"/>
          <w:spacing w:val="-3"/>
        </w:rPr>
        <w:t> </w:t>
      </w:r>
      <w:r>
        <w:rPr>
          <w:color w:val="231F20"/>
        </w:rPr>
        <w:t>approximation</w:t>
      </w:r>
      <w:r>
        <w:rPr>
          <w:color w:val="231F20"/>
          <w:spacing w:val="-3"/>
        </w:rPr>
        <w:t> </w:t>
      </w:r>
      <w:r>
        <w:rPr>
          <w:color w:val="231F20"/>
        </w:rPr>
        <w:t>of</w:t>
      </w:r>
      <w:r>
        <w:rPr>
          <w:color w:val="231F20"/>
          <w:spacing w:val="-3"/>
        </w:rPr>
        <w:t> </w:t>
      </w:r>
      <w:r>
        <w:rPr>
          <w:color w:val="231F20"/>
        </w:rPr>
        <w:t>the fair value of NMSIC investments. These investments are classified within Level 2 of the fair value hierarchy. This approach has not changed from previous periods.</w:t>
      </w:r>
    </w:p>
    <w:p>
      <w:pPr>
        <w:pStyle w:val="BodyText"/>
        <w:rPr>
          <w:sz w:val="23"/>
        </w:rPr>
      </w:pPr>
    </w:p>
    <w:p>
      <w:pPr>
        <w:pStyle w:val="BodyText"/>
        <w:spacing w:line="276" w:lineRule="auto"/>
        <w:ind w:left="1440" w:right="891"/>
      </w:pPr>
      <w:r>
        <w:rPr>
          <w:color w:val="231F20"/>
        </w:rPr>
        <w:t>The method described above may produce a fair value calculation that may not be indicative of net realizable value or reflective of future fair values. Furthermore, while management believes its valuation methods</w:t>
      </w:r>
      <w:r>
        <w:rPr>
          <w:color w:val="231F20"/>
          <w:spacing w:val="-4"/>
        </w:rPr>
        <w:t> </w:t>
      </w:r>
      <w:r>
        <w:rPr>
          <w:color w:val="231F20"/>
        </w:rPr>
        <w:t>are</w:t>
      </w:r>
      <w:r>
        <w:rPr>
          <w:color w:val="231F20"/>
          <w:spacing w:val="-4"/>
        </w:rPr>
        <w:t> </w:t>
      </w:r>
      <w:r>
        <w:rPr>
          <w:color w:val="231F20"/>
        </w:rPr>
        <w:t>appropriate</w:t>
      </w:r>
      <w:r>
        <w:rPr>
          <w:color w:val="231F20"/>
          <w:spacing w:val="-4"/>
        </w:rPr>
        <w:t> </w:t>
      </w:r>
      <w:r>
        <w:rPr>
          <w:color w:val="231F20"/>
        </w:rPr>
        <w:t>and</w:t>
      </w:r>
      <w:r>
        <w:rPr>
          <w:color w:val="231F20"/>
          <w:spacing w:val="-4"/>
        </w:rPr>
        <w:t> </w:t>
      </w:r>
      <w:r>
        <w:rPr>
          <w:color w:val="231F20"/>
        </w:rPr>
        <w:t>consistent</w:t>
      </w:r>
      <w:r>
        <w:rPr>
          <w:color w:val="231F20"/>
          <w:spacing w:val="-5"/>
        </w:rPr>
        <w:t> </w:t>
      </w:r>
      <w:r>
        <w:rPr>
          <w:color w:val="231F20"/>
        </w:rPr>
        <w:t>with</w:t>
      </w:r>
      <w:r>
        <w:rPr>
          <w:color w:val="231F20"/>
          <w:spacing w:val="-4"/>
        </w:rPr>
        <w:t> </w:t>
      </w:r>
      <w:r>
        <w:rPr>
          <w:color w:val="231F20"/>
        </w:rPr>
        <w:t>other</w:t>
      </w:r>
      <w:r>
        <w:rPr>
          <w:color w:val="231F20"/>
          <w:spacing w:val="-4"/>
        </w:rPr>
        <w:t> </w:t>
      </w:r>
      <w:r>
        <w:rPr>
          <w:color w:val="231F20"/>
        </w:rPr>
        <w:t>market</w:t>
      </w:r>
      <w:r>
        <w:rPr>
          <w:color w:val="231F20"/>
          <w:spacing w:val="-4"/>
        </w:rPr>
        <w:t> </w:t>
      </w:r>
      <w:r>
        <w:rPr>
          <w:color w:val="231F20"/>
        </w:rPr>
        <w:t>participants,</w:t>
      </w:r>
      <w:r>
        <w:rPr>
          <w:color w:val="231F20"/>
          <w:spacing w:val="-1"/>
        </w:rPr>
        <w:t> </w:t>
      </w:r>
      <w:r>
        <w:rPr>
          <w:color w:val="231F20"/>
        </w:rPr>
        <w:t>the</w:t>
      </w:r>
      <w:r>
        <w:rPr>
          <w:color w:val="231F20"/>
          <w:spacing w:val="-4"/>
        </w:rPr>
        <w:t> </w:t>
      </w:r>
      <w:r>
        <w:rPr>
          <w:color w:val="231F20"/>
        </w:rPr>
        <w:t>use</w:t>
      </w:r>
      <w:r>
        <w:rPr>
          <w:color w:val="231F20"/>
          <w:spacing w:val="-4"/>
        </w:rPr>
        <w:t> </w:t>
      </w:r>
      <w:r>
        <w:rPr>
          <w:color w:val="231F20"/>
        </w:rPr>
        <w:t>of</w:t>
      </w:r>
      <w:r>
        <w:rPr>
          <w:color w:val="231F20"/>
          <w:spacing w:val="-4"/>
        </w:rPr>
        <w:t> </w:t>
      </w:r>
      <w:r>
        <w:rPr>
          <w:color w:val="231F20"/>
        </w:rPr>
        <w:t>different</w:t>
      </w:r>
      <w:r>
        <w:rPr>
          <w:color w:val="231F20"/>
          <w:spacing w:val="-4"/>
        </w:rPr>
        <w:t> </w:t>
      </w:r>
      <w:r>
        <w:rPr>
          <w:color w:val="231F20"/>
        </w:rPr>
        <w:t>methodologies or assumptions to determine the fair value of certain financial instruments could result in a different fair value measurement at the reporting date.</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3"/>
        </w:rPr>
      </w:pPr>
    </w:p>
    <w:p>
      <w:pPr>
        <w:pStyle w:val="BodyText"/>
        <w:ind w:left="1440"/>
      </w:pPr>
      <w:r>
        <w:rPr>
          <w:color w:val="231F20"/>
        </w:rPr>
        <w:t>The</w:t>
      </w:r>
      <w:r>
        <w:rPr>
          <w:color w:val="231F20"/>
          <w:spacing w:val="-7"/>
        </w:rPr>
        <w:t> </w:t>
      </w:r>
      <w:r>
        <w:rPr>
          <w:color w:val="231F20"/>
        </w:rPr>
        <w:t>following</w:t>
      </w:r>
      <w:r>
        <w:rPr>
          <w:color w:val="231F20"/>
          <w:spacing w:val="-5"/>
        </w:rPr>
        <w:t> </w:t>
      </w:r>
      <w:r>
        <w:rPr>
          <w:color w:val="231F20"/>
        </w:rPr>
        <w:t>table</w:t>
      </w:r>
      <w:r>
        <w:rPr>
          <w:color w:val="231F20"/>
          <w:spacing w:val="-5"/>
        </w:rPr>
        <w:t> </w:t>
      </w:r>
      <w:r>
        <w:rPr>
          <w:color w:val="231F20"/>
        </w:rPr>
        <w:t>presents</w:t>
      </w:r>
      <w:r>
        <w:rPr>
          <w:color w:val="231F20"/>
          <w:spacing w:val="-4"/>
        </w:rPr>
        <w:t> </w:t>
      </w:r>
      <w:r>
        <w:rPr>
          <w:color w:val="231F20"/>
        </w:rPr>
        <w:t>the</w:t>
      </w:r>
      <w:r>
        <w:rPr>
          <w:color w:val="231F20"/>
          <w:spacing w:val="-4"/>
        </w:rPr>
        <w:t> </w:t>
      </w:r>
      <w:r>
        <w:rPr>
          <w:color w:val="231F20"/>
        </w:rPr>
        <w:t>fair</w:t>
      </w:r>
      <w:r>
        <w:rPr>
          <w:color w:val="231F20"/>
          <w:spacing w:val="-5"/>
        </w:rPr>
        <w:t> </w:t>
      </w:r>
      <w:r>
        <w:rPr>
          <w:color w:val="231F20"/>
        </w:rPr>
        <w:t>value</w:t>
      </w:r>
      <w:r>
        <w:rPr>
          <w:color w:val="231F20"/>
          <w:spacing w:val="-4"/>
        </w:rPr>
        <w:t> </w:t>
      </w:r>
      <w:r>
        <w:rPr>
          <w:color w:val="231F20"/>
        </w:rPr>
        <w:t>measurements</w:t>
      </w:r>
      <w:r>
        <w:rPr>
          <w:color w:val="231F20"/>
          <w:spacing w:val="-5"/>
        </w:rPr>
        <w:t> </w:t>
      </w:r>
      <w:r>
        <w:rPr>
          <w:color w:val="231F20"/>
        </w:rPr>
        <w:t>of</w:t>
      </w:r>
      <w:r>
        <w:rPr>
          <w:color w:val="231F20"/>
          <w:spacing w:val="-4"/>
        </w:rPr>
        <w:t> </w:t>
      </w:r>
      <w:r>
        <w:rPr>
          <w:color w:val="231F20"/>
        </w:rPr>
        <w:t>assets</w:t>
      </w:r>
      <w:r>
        <w:rPr>
          <w:color w:val="231F20"/>
          <w:spacing w:val="-5"/>
        </w:rPr>
        <w:t> </w:t>
      </w:r>
      <w:r>
        <w:rPr>
          <w:color w:val="231F20"/>
        </w:rPr>
        <w:t>and</w:t>
      </w:r>
      <w:r>
        <w:rPr>
          <w:color w:val="231F20"/>
          <w:spacing w:val="-5"/>
        </w:rPr>
        <w:t> </w:t>
      </w:r>
      <w:r>
        <w:rPr>
          <w:color w:val="231F20"/>
        </w:rPr>
        <w:t>liabilities</w:t>
      </w:r>
      <w:r>
        <w:rPr>
          <w:color w:val="231F20"/>
          <w:spacing w:val="-4"/>
        </w:rPr>
        <w:t> </w:t>
      </w:r>
      <w:r>
        <w:rPr>
          <w:color w:val="231F20"/>
        </w:rPr>
        <w:t>at</w:t>
      </w:r>
      <w:r>
        <w:rPr>
          <w:color w:val="231F20"/>
          <w:spacing w:val="-5"/>
        </w:rPr>
        <w:t> </w:t>
      </w:r>
      <w:r>
        <w:rPr>
          <w:color w:val="231F20"/>
        </w:rPr>
        <w:t>June</w:t>
      </w:r>
      <w:r>
        <w:rPr>
          <w:color w:val="231F20"/>
          <w:spacing w:val="-4"/>
        </w:rPr>
        <w:t> </w:t>
      </w:r>
      <w:r>
        <w:rPr>
          <w:color w:val="231F20"/>
        </w:rPr>
        <w:t>30,</w:t>
      </w:r>
      <w:r>
        <w:rPr>
          <w:color w:val="231F20"/>
          <w:spacing w:val="-4"/>
        </w:rPr>
        <w:t> </w:t>
      </w:r>
      <w:r>
        <w:rPr>
          <w:color w:val="231F20"/>
          <w:spacing w:val="-2"/>
        </w:rPr>
        <w:t>2022:</w:t>
      </w:r>
    </w:p>
    <w:p>
      <w:pPr>
        <w:pStyle w:val="BodyText"/>
        <w:spacing w:before="4"/>
        <w:rPr>
          <w:sz w:val="24"/>
        </w:rPr>
      </w:pPr>
    </w:p>
    <w:p>
      <w:pPr>
        <w:spacing w:before="1" w:after="14"/>
        <w:ind w:left="6127" w:right="0" w:firstLine="0"/>
        <w:jc w:val="left"/>
        <w:rPr>
          <w:sz w:val="16"/>
        </w:rPr>
      </w:pPr>
      <w:r>
        <w:rPr>
          <w:color w:val="231F20"/>
          <w:w w:val="105"/>
          <w:sz w:val="16"/>
        </w:rPr>
        <w:t>Fair</w:t>
      </w:r>
      <w:r>
        <w:rPr>
          <w:color w:val="231F20"/>
          <w:spacing w:val="-12"/>
          <w:w w:val="105"/>
          <w:sz w:val="16"/>
        </w:rPr>
        <w:t> </w:t>
      </w:r>
      <w:r>
        <w:rPr>
          <w:color w:val="231F20"/>
          <w:w w:val="105"/>
          <w:sz w:val="16"/>
        </w:rPr>
        <w:t>Value</w:t>
      </w:r>
      <w:r>
        <w:rPr>
          <w:color w:val="231F20"/>
          <w:spacing w:val="-12"/>
          <w:w w:val="105"/>
          <w:sz w:val="16"/>
        </w:rPr>
        <w:t> </w:t>
      </w:r>
      <w:r>
        <w:rPr>
          <w:color w:val="231F20"/>
          <w:w w:val="105"/>
          <w:sz w:val="16"/>
        </w:rPr>
        <w:t>Measurements</w:t>
      </w:r>
      <w:r>
        <w:rPr>
          <w:color w:val="231F20"/>
          <w:spacing w:val="-11"/>
          <w:w w:val="105"/>
          <w:sz w:val="16"/>
        </w:rPr>
        <w:t> </w:t>
      </w:r>
      <w:r>
        <w:rPr>
          <w:color w:val="231F20"/>
          <w:spacing w:val="-2"/>
          <w:w w:val="105"/>
          <w:sz w:val="16"/>
        </w:rPr>
        <w:t>Using</w:t>
      </w:r>
    </w:p>
    <w:tbl>
      <w:tblPr>
        <w:tblW w:w="0" w:type="auto"/>
        <w:jc w:val="left"/>
        <w:tblInd w:w="1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8"/>
        <w:gridCol w:w="1414"/>
        <w:gridCol w:w="1497"/>
        <w:gridCol w:w="2781"/>
      </w:tblGrid>
      <w:tr>
        <w:trPr>
          <w:trHeight w:val="399" w:hRule="atLeast"/>
        </w:trPr>
        <w:tc>
          <w:tcPr>
            <w:tcW w:w="3698" w:type="dxa"/>
            <w:vMerge w:val="restart"/>
          </w:tcPr>
          <w:p>
            <w:pPr>
              <w:pStyle w:val="TableParagraph"/>
              <w:rPr>
                <w:sz w:val="20"/>
              </w:rPr>
            </w:pPr>
          </w:p>
          <w:p>
            <w:pPr>
              <w:pStyle w:val="TableParagraph"/>
              <w:rPr>
                <w:sz w:val="20"/>
              </w:rPr>
            </w:pPr>
          </w:p>
          <w:p>
            <w:pPr>
              <w:pStyle w:val="TableParagraph"/>
              <w:rPr>
                <w:sz w:val="20"/>
              </w:rPr>
            </w:pPr>
          </w:p>
          <w:p>
            <w:pPr>
              <w:pStyle w:val="TableParagraph"/>
              <w:spacing w:before="10"/>
              <w:rPr>
                <w:sz w:val="27"/>
              </w:rPr>
            </w:pPr>
          </w:p>
          <w:p>
            <w:pPr>
              <w:pStyle w:val="TableParagraph"/>
              <w:spacing w:line="20" w:lineRule="exact"/>
              <w:ind w:left="-1"/>
              <w:rPr>
                <w:sz w:val="2"/>
              </w:rPr>
            </w:pPr>
            <w:r>
              <w:rPr>
                <w:sz w:val="2"/>
              </w:rPr>
              <w:pict>
                <v:group style="width:157.8pt;height:.85pt;mso-position-horizontal-relative:char;mso-position-vertical-relative:line" id="docshapegroup391" coordorigin="0,0" coordsize="3156,17">
                  <v:line style="position:absolute" from="0,1" to="3155,1" stroked="true" strokeweight=".06pt" strokecolor="#231f20">
                    <v:stroke dashstyle="solid"/>
                  </v:line>
                  <v:rect style="position:absolute;left:1;top:0;width:3155;height:16" id="docshape392" filled="true" fillcolor="#231f20" stroked="false">
                    <v:fill type="solid"/>
                  </v:rect>
                </v:group>
              </w:pict>
            </w:r>
            <w:r>
              <w:rPr>
                <w:sz w:val="2"/>
              </w:rPr>
            </w:r>
          </w:p>
        </w:tc>
        <w:tc>
          <w:tcPr>
            <w:tcW w:w="1414" w:type="dxa"/>
            <w:tcBorders>
              <w:top w:val="single" w:sz="8" w:space="0" w:color="231F20"/>
            </w:tcBorders>
          </w:tcPr>
          <w:p>
            <w:pPr>
              <w:pStyle w:val="TableParagraph"/>
              <w:spacing w:line="183" w:lineRule="exact"/>
              <w:ind w:left="56"/>
              <w:rPr>
                <w:sz w:val="16"/>
              </w:rPr>
            </w:pPr>
            <w:r>
              <w:rPr>
                <w:color w:val="231F20"/>
                <w:w w:val="105"/>
                <w:sz w:val="16"/>
              </w:rPr>
              <w:t>Quoted</w:t>
            </w:r>
            <w:r>
              <w:rPr>
                <w:color w:val="231F20"/>
                <w:spacing w:val="-9"/>
                <w:w w:val="105"/>
                <w:sz w:val="16"/>
              </w:rPr>
              <w:t> </w:t>
            </w:r>
            <w:r>
              <w:rPr>
                <w:color w:val="231F20"/>
                <w:w w:val="105"/>
                <w:sz w:val="16"/>
              </w:rPr>
              <w:t>Prices</w:t>
            </w:r>
            <w:r>
              <w:rPr>
                <w:color w:val="231F20"/>
                <w:spacing w:val="-9"/>
                <w:w w:val="105"/>
                <w:sz w:val="16"/>
              </w:rPr>
              <w:t> </w:t>
            </w:r>
            <w:r>
              <w:rPr>
                <w:color w:val="231F20"/>
                <w:spacing w:val="-5"/>
                <w:w w:val="105"/>
                <w:sz w:val="16"/>
              </w:rPr>
              <w:t>in</w:t>
            </w:r>
          </w:p>
          <w:p>
            <w:pPr>
              <w:pStyle w:val="TableParagraph"/>
              <w:spacing w:line="176" w:lineRule="exact" w:before="21"/>
              <w:ind w:left="127"/>
              <w:rPr>
                <w:sz w:val="16"/>
              </w:rPr>
            </w:pPr>
            <w:r>
              <w:rPr>
                <w:color w:val="231F20"/>
                <w:w w:val="105"/>
                <w:sz w:val="16"/>
              </w:rPr>
              <w:t>Active</w:t>
            </w:r>
            <w:r>
              <w:rPr>
                <w:color w:val="231F20"/>
                <w:spacing w:val="-9"/>
                <w:w w:val="105"/>
                <w:sz w:val="16"/>
              </w:rPr>
              <w:t> </w:t>
            </w:r>
            <w:r>
              <w:rPr>
                <w:color w:val="231F20"/>
                <w:spacing w:val="-2"/>
                <w:w w:val="105"/>
                <w:sz w:val="16"/>
              </w:rPr>
              <w:t>Markets</w:t>
            </w:r>
          </w:p>
        </w:tc>
        <w:tc>
          <w:tcPr>
            <w:tcW w:w="1497" w:type="dxa"/>
            <w:tcBorders>
              <w:top w:val="single" w:sz="8" w:space="0" w:color="231F20"/>
            </w:tcBorders>
          </w:tcPr>
          <w:p>
            <w:pPr>
              <w:pStyle w:val="TableParagraph"/>
              <w:spacing w:before="8"/>
              <w:rPr>
                <w:sz w:val="17"/>
              </w:rPr>
            </w:pPr>
          </w:p>
          <w:p>
            <w:pPr>
              <w:pStyle w:val="TableParagraph"/>
              <w:spacing w:line="176" w:lineRule="exact"/>
              <w:ind w:right="125"/>
              <w:jc w:val="right"/>
              <w:rPr>
                <w:sz w:val="16"/>
              </w:rPr>
            </w:pPr>
            <w:r>
              <w:rPr>
                <w:color w:val="231F20"/>
                <w:spacing w:val="-2"/>
                <w:w w:val="105"/>
                <w:sz w:val="16"/>
              </w:rPr>
              <w:t>Significant</w:t>
            </w:r>
            <w:r>
              <w:rPr>
                <w:color w:val="231F20"/>
                <w:spacing w:val="3"/>
                <w:w w:val="105"/>
                <w:sz w:val="16"/>
              </w:rPr>
              <w:t> </w:t>
            </w:r>
            <w:r>
              <w:rPr>
                <w:color w:val="231F20"/>
                <w:spacing w:val="-2"/>
                <w:w w:val="105"/>
                <w:sz w:val="16"/>
              </w:rPr>
              <w:t>Other</w:t>
            </w:r>
          </w:p>
        </w:tc>
        <w:tc>
          <w:tcPr>
            <w:tcW w:w="2781" w:type="dxa"/>
            <w:tcBorders>
              <w:top w:val="single" w:sz="8" w:space="0" w:color="231F20"/>
            </w:tcBorders>
          </w:tcPr>
          <w:p>
            <w:pPr>
              <w:pStyle w:val="TableParagraph"/>
              <w:spacing w:before="8"/>
              <w:rPr>
                <w:sz w:val="17"/>
              </w:rPr>
            </w:pPr>
          </w:p>
          <w:p>
            <w:pPr>
              <w:pStyle w:val="TableParagraph"/>
              <w:spacing w:line="176" w:lineRule="exact"/>
              <w:ind w:left="351"/>
              <w:rPr>
                <w:sz w:val="16"/>
              </w:rPr>
            </w:pPr>
            <w:r>
              <w:rPr>
                <w:color w:val="231F20"/>
                <w:spacing w:val="-2"/>
                <w:w w:val="105"/>
                <w:sz w:val="16"/>
              </w:rPr>
              <w:t>Significant</w:t>
            </w:r>
          </w:p>
        </w:tc>
      </w:tr>
      <w:tr>
        <w:trPr>
          <w:trHeight w:val="619" w:hRule="atLeast"/>
        </w:trPr>
        <w:tc>
          <w:tcPr>
            <w:tcW w:w="3698" w:type="dxa"/>
            <w:vMerge/>
            <w:tcBorders>
              <w:top w:val="nil"/>
            </w:tcBorders>
          </w:tcPr>
          <w:p>
            <w:pPr>
              <w:rPr>
                <w:sz w:val="2"/>
                <w:szCs w:val="2"/>
              </w:rPr>
            </w:pPr>
          </w:p>
        </w:tc>
        <w:tc>
          <w:tcPr>
            <w:tcW w:w="1414" w:type="dxa"/>
          </w:tcPr>
          <w:p>
            <w:pPr>
              <w:pStyle w:val="TableParagraph"/>
              <w:spacing w:line="268" w:lineRule="auto" w:before="10"/>
              <w:ind w:left="242" w:right="308"/>
              <w:jc w:val="center"/>
              <w:rPr>
                <w:sz w:val="16"/>
              </w:rPr>
            </w:pPr>
            <w:r>
              <w:rPr>
                <w:color w:val="231F20"/>
                <w:spacing w:val="-2"/>
                <w:w w:val="105"/>
                <w:sz w:val="16"/>
              </w:rPr>
              <w:t>for</w:t>
            </w:r>
            <w:r>
              <w:rPr>
                <w:color w:val="231F20"/>
                <w:spacing w:val="-10"/>
                <w:w w:val="105"/>
                <w:sz w:val="16"/>
              </w:rPr>
              <w:t> </w:t>
            </w:r>
            <w:r>
              <w:rPr>
                <w:color w:val="231F20"/>
                <w:spacing w:val="-2"/>
                <w:w w:val="105"/>
                <w:sz w:val="16"/>
              </w:rPr>
              <w:t>Identical Assets</w:t>
            </w:r>
          </w:p>
          <w:p>
            <w:pPr>
              <w:pStyle w:val="TableParagraph"/>
              <w:tabs>
                <w:tab w:pos="349" w:val="left" w:leader="none"/>
                <w:tab w:pos="1330" w:val="left" w:leader="none"/>
              </w:tabs>
              <w:spacing w:line="177" w:lineRule="exact"/>
              <w:ind w:right="80"/>
              <w:jc w:val="center"/>
              <w:rPr>
                <w:sz w:val="16"/>
              </w:rPr>
            </w:pPr>
            <w:r>
              <w:rPr>
                <w:color w:val="231F20"/>
                <w:sz w:val="16"/>
                <w:u w:val="single" w:color="231F20"/>
              </w:rPr>
              <w:tab/>
            </w:r>
            <w:r>
              <w:rPr>
                <w:color w:val="231F20"/>
                <w:w w:val="105"/>
                <w:sz w:val="16"/>
                <w:u w:val="single" w:color="231F20"/>
              </w:rPr>
              <w:t>(Level</w:t>
            </w:r>
            <w:r>
              <w:rPr>
                <w:color w:val="231F20"/>
                <w:spacing w:val="-9"/>
                <w:w w:val="105"/>
                <w:sz w:val="16"/>
                <w:u w:val="single" w:color="231F20"/>
              </w:rPr>
              <w:t> </w:t>
            </w:r>
            <w:r>
              <w:rPr>
                <w:color w:val="231F20"/>
                <w:spacing w:val="-5"/>
                <w:w w:val="105"/>
                <w:sz w:val="16"/>
                <w:u w:val="single" w:color="231F20"/>
              </w:rPr>
              <w:t>1)</w:t>
            </w:r>
            <w:r>
              <w:rPr>
                <w:color w:val="231F20"/>
                <w:sz w:val="16"/>
                <w:u w:val="single" w:color="231F20"/>
              </w:rPr>
              <w:tab/>
            </w:r>
          </w:p>
        </w:tc>
        <w:tc>
          <w:tcPr>
            <w:tcW w:w="1497" w:type="dxa"/>
          </w:tcPr>
          <w:p>
            <w:pPr>
              <w:pStyle w:val="TableParagraph"/>
              <w:spacing w:line="268" w:lineRule="auto" w:before="10"/>
              <w:ind w:left="286" w:right="357"/>
              <w:jc w:val="center"/>
              <w:rPr>
                <w:sz w:val="16"/>
              </w:rPr>
            </w:pPr>
            <w:r>
              <w:rPr>
                <w:color w:val="231F20"/>
                <w:spacing w:val="-2"/>
                <w:w w:val="105"/>
                <w:sz w:val="16"/>
              </w:rPr>
              <w:t>Observable Inputs</w:t>
            </w:r>
          </w:p>
          <w:p>
            <w:pPr>
              <w:pStyle w:val="TableParagraph"/>
              <w:tabs>
                <w:tab w:pos="353" w:val="left" w:leader="none"/>
                <w:tab w:pos="1334" w:val="left" w:leader="none"/>
              </w:tabs>
              <w:spacing w:line="177" w:lineRule="exact"/>
              <w:ind w:left="4"/>
              <w:jc w:val="center"/>
              <w:rPr>
                <w:sz w:val="16"/>
              </w:rPr>
            </w:pPr>
            <w:r>
              <w:rPr>
                <w:color w:val="231F20"/>
                <w:sz w:val="16"/>
                <w:u w:val="single" w:color="231F20"/>
              </w:rPr>
              <w:tab/>
            </w:r>
            <w:r>
              <w:rPr>
                <w:color w:val="231F20"/>
                <w:w w:val="105"/>
                <w:sz w:val="16"/>
                <w:u w:val="single" w:color="231F20"/>
              </w:rPr>
              <w:t>(Level</w:t>
            </w:r>
            <w:r>
              <w:rPr>
                <w:color w:val="231F20"/>
                <w:spacing w:val="-8"/>
                <w:w w:val="105"/>
                <w:sz w:val="16"/>
                <w:u w:val="single" w:color="231F20"/>
              </w:rPr>
              <w:t> </w:t>
            </w:r>
            <w:r>
              <w:rPr>
                <w:color w:val="231F20"/>
                <w:spacing w:val="-5"/>
                <w:w w:val="105"/>
                <w:sz w:val="16"/>
                <w:u w:val="single" w:color="231F20"/>
              </w:rPr>
              <w:t>2)</w:t>
            </w:r>
            <w:r>
              <w:rPr>
                <w:color w:val="231F20"/>
                <w:sz w:val="16"/>
                <w:u w:val="single" w:color="231F20"/>
              </w:rPr>
              <w:tab/>
            </w:r>
          </w:p>
        </w:tc>
        <w:tc>
          <w:tcPr>
            <w:tcW w:w="2781" w:type="dxa"/>
          </w:tcPr>
          <w:p>
            <w:pPr>
              <w:pStyle w:val="TableParagraph"/>
              <w:spacing w:line="268" w:lineRule="auto" w:before="10"/>
              <w:ind w:left="532" w:right="1503" w:hanging="287"/>
              <w:rPr>
                <w:sz w:val="16"/>
              </w:rPr>
            </w:pPr>
            <w:r>
              <w:rPr>
                <w:color w:val="231F20"/>
                <w:spacing w:val="-2"/>
                <w:w w:val="105"/>
                <w:sz w:val="16"/>
              </w:rPr>
              <w:t>Unobservable Inputs</w:t>
            </w:r>
          </w:p>
          <w:p>
            <w:pPr>
              <w:pStyle w:val="TableParagraph"/>
              <w:tabs>
                <w:tab w:pos="437" w:val="left" w:leader="none"/>
                <w:tab w:pos="1416" w:val="left" w:leader="none"/>
              </w:tabs>
              <w:spacing w:line="177" w:lineRule="exact"/>
              <w:ind w:left="85"/>
              <w:rPr>
                <w:sz w:val="16"/>
              </w:rPr>
            </w:pPr>
            <w:r>
              <w:rPr>
                <w:color w:val="231F20"/>
                <w:sz w:val="16"/>
                <w:u w:val="single" w:color="231F20"/>
              </w:rPr>
              <w:tab/>
            </w:r>
            <w:r>
              <w:rPr>
                <w:color w:val="231F20"/>
                <w:w w:val="105"/>
                <w:sz w:val="16"/>
                <w:u w:val="single" w:color="231F20"/>
              </w:rPr>
              <w:t>(Level</w:t>
            </w:r>
            <w:r>
              <w:rPr>
                <w:color w:val="231F20"/>
                <w:spacing w:val="-9"/>
                <w:w w:val="105"/>
                <w:sz w:val="16"/>
                <w:u w:val="single" w:color="231F20"/>
              </w:rPr>
              <w:t> </w:t>
            </w:r>
            <w:r>
              <w:rPr>
                <w:color w:val="231F20"/>
                <w:spacing w:val="-5"/>
                <w:w w:val="105"/>
                <w:sz w:val="16"/>
                <w:u w:val="single" w:color="231F20"/>
              </w:rPr>
              <w:t>3)</w:t>
            </w:r>
            <w:r>
              <w:rPr>
                <w:color w:val="231F20"/>
                <w:sz w:val="16"/>
                <w:u w:val="single" w:color="231F20"/>
              </w:rPr>
              <w:tab/>
            </w:r>
            <w:r>
              <w:rPr>
                <w:color w:val="231F20"/>
                <w:spacing w:val="123"/>
                <w:sz w:val="16"/>
              </w:rPr>
              <w:t> </w:t>
            </w:r>
            <w:r>
              <w:rPr>
                <w:color w:val="231F20"/>
                <w:spacing w:val="123"/>
                <w:sz w:val="16"/>
                <w:u w:val="single" w:color="231F20"/>
              </w:rPr>
              <w:t> </w:t>
            </w:r>
            <w:r>
              <w:rPr>
                <w:color w:val="231F20"/>
                <w:w w:val="105"/>
                <w:sz w:val="16"/>
                <w:u w:val="single" w:color="231F20"/>
              </w:rPr>
              <w:t>Fair Value</w:t>
            </w:r>
            <w:r>
              <w:rPr>
                <w:color w:val="231F20"/>
                <w:spacing w:val="40"/>
                <w:w w:val="105"/>
                <w:sz w:val="16"/>
                <w:u w:val="single" w:color="231F20"/>
              </w:rPr>
              <w:t> </w:t>
            </w:r>
          </w:p>
        </w:tc>
      </w:tr>
      <w:tr>
        <w:trPr>
          <w:trHeight w:val="894" w:hRule="atLeast"/>
        </w:trPr>
        <w:tc>
          <w:tcPr>
            <w:tcW w:w="3698" w:type="dxa"/>
          </w:tcPr>
          <w:p>
            <w:pPr>
              <w:pStyle w:val="TableParagraph"/>
              <w:spacing w:line="268" w:lineRule="auto" w:before="81"/>
              <w:ind w:left="78" w:right="829" w:hanging="46"/>
              <w:rPr>
                <w:sz w:val="16"/>
              </w:rPr>
            </w:pPr>
            <w:r>
              <w:rPr>
                <w:color w:val="231F20"/>
                <w:w w:val="105"/>
                <w:sz w:val="16"/>
              </w:rPr>
              <w:t>Investments</w:t>
            </w:r>
            <w:r>
              <w:rPr>
                <w:color w:val="231F20"/>
                <w:spacing w:val="-12"/>
                <w:w w:val="105"/>
                <w:sz w:val="16"/>
              </w:rPr>
              <w:t> </w:t>
            </w:r>
            <w:r>
              <w:rPr>
                <w:color w:val="231F20"/>
                <w:w w:val="105"/>
                <w:sz w:val="16"/>
              </w:rPr>
              <w:t>held</w:t>
            </w:r>
            <w:r>
              <w:rPr>
                <w:color w:val="231F20"/>
                <w:spacing w:val="-12"/>
                <w:w w:val="105"/>
                <w:sz w:val="16"/>
              </w:rPr>
              <w:t> </w:t>
            </w:r>
            <w:r>
              <w:rPr>
                <w:color w:val="231F20"/>
                <w:w w:val="105"/>
                <w:sz w:val="16"/>
              </w:rPr>
              <w:t>with</w:t>
            </w:r>
            <w:r>
              <w:rPr>
                <w:color w:val="231F20"/>
                <w:spacing w:val="-11"/>
                <w:w w:val="105"/>
                <w:sz w:val="16"/>
              </w:rPr>
              <w:t> </w:t>
            </w:r>
            <w:r>
              <w:rPr>
                <w:color w:val="231F20"/>
                <w:w w:val="105"/>
                <w:sz w:val="16"/>
              </w:rPr>
              <w:t>the</w:t>
            </w:r>
            <w:r>
              <w:rPr>
                <w:color w:val="231F20"/>
                <w:spacing w:val="-12"/>
                <w:w w:val="105"/>
                <w:sz w:val="16"/>
              </w:rPr>
              <w:t> </w:t>
            </w:r>
            <w:r>
              <w:rPr>
                <w:color w:val="231F20"/>
                <w:w w:val="105"/>
                <w:sz w:val="16"/>
              </w:rPr>
              <w:t>New</w:t>
            </w:r>
            <w:r>
              <w:rPr>
                <w:color w:val="231F20"/>
                <w:spacing w:val="-12"/>
                <w:w w:val="105"/>
                <w:sz w:val="16"/>
              </w:rPr>
              <w:t> </w:t>
            </w:r>
            <w:r>
              <w:rPr>
                <w:color w:val="231F20"/>
                <w:w w:val="105"/>
                <w:sz w:val="16"/>
              </w:rPr>
              <w:t>Mexico State Investment Council (SIC) pooled funds</w:t>
            </w:r>
          </w:p>
          <w:p>
            <w:pPr>
              <w:pStyle w:val="TableParagraph"/>
              <w:spacing w:line="175" w:lineRule="exact"/>
              <w:ind w:left="148"/>
              <w:rPr>
                <w:sz w:val="16"/>
              </w:rPr>
            </w:pPr>
            <w:r>
              <w:rPr>
                <w:color w:val="231F20"/>
                <w:w w:val="105"/>
                <w:sz w:val="16"/>
              </w:rPr>
              <w:t>Large</w:t>
            </w:r>
            <w:r>
              <w:rPr>
                <w:color w:val="231F20"/>
                <w:spacing w:val="-7"/>
                <w:w w:val="105"/>
                <w:sz w:val="16"/>
              </w:rPr>
              <w:t> </w:t>
            </w:r>
            <w:r>
              <w:rPr>
                <w:color w:val="231F20"/>
                <w:w w:val="105"/>
                <w:sz w:val="16"/>
              </w:rPr>
              <w:t>Cap</w:t>
            </w:r>
            <w:r>
              <w:rPr>
                <w:color w:val="231F20"/>
                <w:spacing w:val="-7"/>
                <w:w w:val="105"/>
                <w:sz w:val="16"/>
              </w:rPr>
              <w:t> </w:t>
            </w:r>
            <w:r>
              <w:rPr>
                <w:color w:val="231F20"/>
                <w:w w:val="105"/>
                <w:sz w:val="16"/>
              </w:rPr>
              <w:t>Index</w:t>
            </w:r>
            <w:r>
              <w:rPr>
                <w:color w:val="231F20"/>
                <w:spacing w:val="-7"/>
                <w:w w:val="105"/>
                <w:sz w:val="16"/>
              </w:rPr>
              <w:t> </w:t>
            </w:r>
            <w:r>
              <w:rPr>
                <w:color w:val="231F20"/>
                <w:spacing w:val="-4"/>
                <w:w w:val="105"/>
                <w:sz w:val="16"/>
              </w:rPr>
              <w:t>Fund</w:t>
            </w:r>
          </w:p>
        </w:tc>
        <w:tc>
          <w:tcPr>
            <w:tcW w:w="1414" w:type="dxa"/>
          </w:tcPr>
          <w:p>
            <w:pPr>
              <w:pStyle w:val="TableParagraph"/>
              <w:rPr>
                <w:sz w:val="18"/>
              </w:rPr>
            </w:pPr>
          </w:p>
          <w:p>
            <w:pPr>
              <w:pStyle w:val="TableParagraph"/>
              <w:rPr>
                <w:sz w:val="18"/>
              </w:rPr>
            </w:pPr>
          </w:p>
          <w:p>
            <w:pPr>
              <w:pStyle w:val="TableParagraph"/>
              <w:spacing w:before="9"/>
              <w:rPr>
                <w:sz w:val="24"/>
              </w:rPr>
            </w:pPr>
          </w:p>
          <w:p>
            <w:pPr>
              <w:pStyle w:val="TableParagraph"/>
              <w:tabs>
                <w:tab w:pos="500" w:val="left" w:leader="none"/>
              </w:tabs>
              <w:spacing w:line="175" w:lineRule="exact"/>
              <w:ind w:left="88"/>
              <w:rPr>
                <w:sz w:val="16"/>
              </w:rPr>
            </w:pPr>
            <w:r>
              <w:rPr>
                <w:color w:val="231F20"/>
                <w:spacing w:val="-10"/>
                <w:w w:val="105"/>
                <w:sz w:val="16"/>
              </w:rPr>
              <w:t>$</w:t>
            </w:r>
            <w:r>
              <w:rPr>
                <w:color w:val="231F20"/>
                <w:sz w:val="16"/>
              </w:rPr>
              <w:tab/>
            </w:r>
            <w:r>
              <w:rPr>
                <w:color w:val="231F20"/>
                <w:spacing w:val="-2"/>
                <w:w w:val="105"/>
                <w:sz w:val="16"/>
              </w:rPr>
              <w:t>2,234,555</w:t>
            </w:r>
          </w:p>
        </w:tc>
        <w:tc>
          <w:tcPr>
            <w:tcW w:w="1497" w:type="dxa"/>
          </w:tcPr>
          <w:p>
            <w:pPr>
              <w:pStyle w:val="TableParagraph"/>
              <w:rPr>
                <w:sz w:val="18"/>
              </w:rPr>
            </w:pPr>
          </w:p>
          <w:p>
            <w:pPr>
              <w:pStyle w:val="TableParagraph"/>
              <w:rPr>
                <w:sz w:val="18"/>
              </w:rPr>
            </w:pPr>
          </w:p>
          <w:p>
            <w:pPr>
              <w:pStyle w:val="TableParagraph"/>
              <w:spacing w:before="9"/>
              <w:rPr>
                <w:sz w:val="24"/>
              </w:rPr>
            </w:pPr>
          </w:p>
          <w:p>
            <w:pPr>
              <w:pStyle w:val="TableParagraph"/>
              <w:tabs>
                <w:tab w:pos="1097" w:val="left" w:leader="none"/>
              </w:tabs>
              <w:spacing w:line="175" w:lineRule="exact"/>
              <w:ind w:right="168"/>
              <w:jc w:val="right"/>
              <w:rPr>
                <w:sz w:val="16"/>
              </w:rPr>
            </w:pPr>
            <w:r>
              <w:rPr>
                <w:color w:val="231F20"/>
                <w:spacing w:val="-10"/>
                <w:w w:val="105"/>
                <w:sz w:val="16"/>
              </w:rPr>
              <w:t>$</w:t>
            </w:r>
            <w:r>
              <w:rPr>
                <w:color w:val="231F20"/>
                <w:sz w:val="16"/>
              </w:rPr>
              <w:tab/>
            </w:r>
            <w:r>
              <w:rPr>
                <w:color w:val="231F20"/>
                <w:spacing w:val="-10"/>
                <w:w w:val="105"/>
                <w:sz w:val="16"/>
              </w:rPr>
              <w:t>-</w:t>
            </w:r>
          </w:p>
        </w:tc>
        <w:tc>
          <w:tcPr>
            <w:tcW w:w="2781" w:type="dxa"/>
          </w:tcPr>
          <w:p>
            <w:pPr>
              <w:pStyle w:val="TableParagraph"/>
              <w:rPr>
                <w:sz w:val="18"/>
              </w:rPr>
            </w:pPr>
          </w:p>
          <w:p>
            <w:pPr>
              <w:pStyle w:val="TableParagraph"/>
              <w:rPr>
                <w:sz w:val="18"/>
              </w:rPr>
            </w:pPr>
          </w:p>
          <w:p>
            <w:pPr>
              <w:pStyle w:val="TableParagraph"/>
              <w:spacing w:before="9"/>
              <w:rPr>
                <w:sz w:val="24"/>
              </w:rPr>
            </w:pPr>
          </w:p>
          <w:p>
            <w:pPr>
              <w:pStyle w:val="TableParagraph"/>
              <w:tabs>
                <w:tab w:pos="1273" w:val="left" w:leader="none"/>
                <w:tab w:pos="1673" w:val="left" w:leader="none"/>
              </w:tabs>
              <w:spacing w:line="175" w:lineRule="exact"/>
              <w:ind w:left="174"/>
              <w:rPr>
                <w:sz w:val="16"/>
              </w:rPr>
            </w:pPr>
            <w:r>
              <w:rPr>
                <w:color w:val="231F20"/>
                <w:spacing w:val="-10"/>
                <w:w w:val="105"/>
                <w:sz w:val="16"/>
              </w:rPr>
              <w:t>$</w:t>
            </w:r>
            <w:r>
              <w:rPr>
                <w:color w:val="231F20"/>
                <w:sz w:val="16"/>
              </w:rPr>
              <w:tab/>
            </w:r>
            <w:r>
              <w:rPr>
                <w:color w:val="231F20"/>
                <w:spacing w:val="-12"/>
                <w:w w:val="105"/>
                <w:sz w:val="16"/>
              </w:rPr>
              <w:t>-</w:t>
            </w:r>
            <w:r>
              <w:rPr>
                <w:color w:val="231F20"/>
                <w:sz w:val="16"/>
              </w:rPr>
              <w:tab/>
            </w:r>
            <w:r>
              <w:rPr>
                <w:color w:val="231F20"/>
                <w:w w:val="105"/>
                <w:sz w:val="16"/>
              </w:rPr>
              <w:t>$</w:t>
            </w:r>
            <w:r>
              <w:rPr>
                <w:color w:val="231F20"/>
                <w:spacing w:val="70"/>
                <w:w w:val="150"/>
                <w:sz w:val="16"/>
              </w:rPr>
              <w:t> </w:t>
            </w:r>
            <w:r>
              <w:rPr>
                <w:color w:val="231F20"/>
                <w:spacing w:val="-2"/>
                <w:w w:val="105"/>
                <w:sz w:val="16"/>
              </w:rPr>
              <w:t>2,234,555</w:t>
            </w:r>
          </w:p>
        </w:tc>
      </w:tr>
      <w:tr>
        <w:trPr>
          <w:trHeight w:val="205" w:hRule="atLeast"/>
        </w:trPr>
        <w:tc>
          <w:tcPr>
            <w:tcW w:w="3698" w:type="dxa"/>
          </w:tcPr>
          <w:p>
            <w:pPr>
              <w:pStyle w:val="TableParagraph"/>
              <w:spacing w:line="176" w:lineRule="exact" w:before="10"/>
              <w:ind w:left="148"/>
              <w:rPr>
                <w:sz w:val="16"/>
              </w:rPr>
            </w:pPr>
            <w:r>
              <w:rPr>
                <w:color w:val="231F20"/>
                <w:w w:val="105"/>
                <w:sz w:val="16"/>
              </w:rPr>
              <w:t>Core</w:t>
            </w:r>
            <w:r>
              <w:rPr>
                <w:color w:val="231F20"/>
                <w:spacing w:val="-7"/>
                <w:w w:val="105"/>
                <w:sz w:val="16"/>
              </w:rPr>
              <w:t> </w:t>
            </w:r>
            <w:r>
              <w:rPr>
                <w:color w:val="231F20"/>
                <w:w w:val="105"/>
                <w:sz w:val="16"/>
              </w:rPr>
              <w:t>Plus</w:t>
            </w:r>
            <w:r>
              <w:rPr>
                <w:color w:val="231F20"/>
                <w:spacing w:val="-6"/>
                <w:w w:val="105"/>
                <w:sz w:val="16"/>
              </w:rPr>
              <w:t> </w:t>
            </w:r>
            <w:r>
              <w:rPr>
                <w:color w:val="231F20"/>
                <w:w w:val="105"/>
                <w:sz w:val="16"/>
              </w:rPr>
              <w:t>Bonds</w:t>
            </w:r>
            <w:r>
              <w:rPr>
                <w:color w:val="231F20"/>
                <w:spacing w:val="-6"/>
                <w:w w:val="105"/>
                <w:sz w:val="16"/>
              </w:rPr>
              <w:t> </w:t>
            </w:r>
            <w:r>
              <w:rPr>
                <w:color w:val="231F20"/>
                <w:spacing w:val="-4"/>
                <w:w w:val="105"/>
                <w:sz w:val="16"/>
              </w:rPr>
              <w:t>Pool</w:t>
            </w:r>
          </w:p>
        </w:tc>
        <w:tc>
          <w:tcPr>
            <w:tcW w:w="1414" w:type="dxa"/>
          </w:tcPr>
          <w:p>
            <w:pPr>
              <w:pStyle w:val="TableParagraph"/>
              <w:spacing w:line="176" w:lineRule="exact" w:before="10"/>
              <w:ind w:right="171"/>
              <w:jc w:val="right"/>
              <w:rPr>
                <w:sz w:val="16"/>
              </w:rPr>
            </w:pPr>
            <w:r>
              <w:rPr>
                <w:color w:val="231F20"/>
                <w:w w:val="104"/>
                <w:sz w:val="16"/>
              </w:rPr>
              <w:t>-</w:t>
            </w:r>
          </w:p>
        </w:tc>
        <w:tc>
          <w:tcPr>
            <w:tcW w:w="1497" w:type="dxa"/>
          </w:tcPr>
          <w:p>
            <w:pPr>
              <w:pStyle w:val="TableParagraph"/>
              <w:spacing w:line="176" w:lineRule="exact" w:before="10"/>
              <w:ind w:right="170"/>
              <w:jc w:val="right"/>
              <w:rPr>
                <w:sz w:val="16"/>
              </w:rPr>
            </w:pPr>
            <w:r>
              <w:rPr>
                <w:color w:val="231F20"/>
                <w:spacing w:val="-2"/>
                <w:w w:val="105"/>
                <w:sz w:val="16"/>
              </w:rPr>
              <w:t>3,987,447</w:t>
            </w:r>
          </w:p>
        </w:tc>
        <w:tc>
          <w:tcPr>
            <w:tcW w:w="2781" w:type="dxa"/>
          </w:tcPr>
          <w:p>
            <w:pPr>
              <w:pStyle w:val="TableParagraph"/>
              <w:tabs>
                <w:tab w:pos="632" w:val="left" w:leader="none"/>
              </w:tabs>
              <w:spacing w:line="176" w:lineRule="exact" w:before="10"/>
              <w:ind w:right="134"/>
              <w:jc w:val="right"/>
              <w:rPr>
                <w:sz w:val="16"/>
              </w:rPr>
            </w:pPr>
            <w:r>
              <w:rPr>
                <w:color w:val="231F20"/>
                <w:spacing w:val="-10"/>
                <w:w w:val="105"/>
                <w:sz w:val="16"/>
              </w:rPr>
              <w:t>-</w:t>
            </w:r>
            <w:r>
              <w:rPr>
                <w:color w:val="231F20"/>
                <w:sz w:val="16"/>
              </w:rPr>
              <w:tab/>
            </w:r>
            <w:r>
              <w:rPr>
                <w:color w:val="231F20"/>
                <w:spacing w:val="-2"/>
                <w:w w:val="105"/>
                <w:sz w:val="16"/>
              </w:rPr>
              <w:t>3,987,447</w:t>
            </w:r>
          </w:p>
        </w:tc>
      </w:tr>
      <w:tr>
        <w:trPr>
          <w:trHeight w:val="205" w:hRule="atLeast"/>
        </w:trPr>
        <w:tc>
          <w:tcPr>
            <w:tcW w:w="3698" w:type="dxa"/>
          </w:tcPr>
          <w:p>
            <w:pPr>
              <w:pStyle w:val="TableParagraph"/>
              <w:spacing w:line="175" w:lineRule="exact" w:before="10"/>
              <w:ind w:left="148"/>
              <w:rPr>
                <w:sz w:val="16"/>
              </w:rPr>
            </w:pPr>
            <w:r>
              <w:rPr>
                <w:color w:val="231F20"/>
                <w:w w:val="105"/>
                <w:sz w:val="16"/>
              </w:rPr>
              <w:t>Non-US</w:t>
            </w:r>
            <w:r>
              <w:rPr>
                <w:color w:val="231F20"/>
                <w:spacing w:val="-10"/>
                <w:w w:val="105"/>
                <w:sz w:val="16"/>
              </w:rPr>
              <w:t> </w:t>
            </w:r>
            <w:r>
              <w:rPr>
                <w:color w:val="231F20"/>
                <w:w w:val="105"/>
                <w:sz w:val="16"/>
              </w:rPr>
              <w:t>Emerging</w:t>
            </w:r>
            <w:r>
              <w:rPr>
                <w:color w:val="231F20"/>
                <w:spacing w:val="-10"/>
                <w:w w:val="105"/>
                <w:sz w:val="16"/>
              </w:rPr>
              <w:t> </w:t>
            </w:r>
            <w:r>
              <w:rPr>
                <w:color w:val="231F20"/>
                <w:w w:val="105"/>
                <w:sz w:val="16"/>
              </w:rPr>
              <w:t>Markets</w:t>
            </w:r>
            <w:r>
              <w:rPr>
                <w:color w:val="231F20"/>
                <w:spacing w:val="-10"/>
                <w:w w:val="105"/>
                <w:sz w:val="16"/>
              </w:rPr>
              <w:t> </w:t>
            </w:r>
            <w:r>
              <w:rPr>
                <w:color w:val="231F20"/>
                <w:w w:val="105"/>
                <w:sz w:val="16"/>
              </w:rPr>
              <w:t>Active</w:t>
            </w:r>
            <w:r>
              <w:rPr>
                <w:color w:val="231F20"/>
                <w:spacing w:val="-12"/>
                <w:w w:val="105"/>
                <w:sz w:val="16"/>
              </w:rPr>
              <w:t> </w:t>
            </w:r>
            <w:r>
              <w:rPr>
                <w:color w:val="231F20"/>
                <w:spacing w:val="-4"/>
                <w:w w:val="105"/>
                <w:sz w:val="16"/>
              </w:rPr>
              <w:t>Pool</w:t>
            </w:r>
          </w:p>
        </w:tc>
        <w:tc>
          <w:tcPr>
            <w:tcW w:w="1414" w:type="dxa"/>
          </w:tcPr>
          <w:p>
            <w:pPr>
              <w:pStyle w:val="TableParagraph"/>
              <w:spacing w:line="175" w:lineRule="exact" w:before="10"/>
              <w:ind w:right="170"/>
              <w:jc w:val="right"/>
              <w:rPr>
                <w:sz w:val="16"/>
              </w:rPr>
            </w:pPr>
            <w:r>
              <w:rPr>
                <w:color w:val="231F20"/>
                <w:spacing w:val="-2"/>
                <w:w w:val="105"/>
                <w:sz w:val="16"/>
              </w:rPr>
              <w:t>2,640,515</w:t>
            </w:r>
          </w:p>
        </w:tc>
        <w:tc>
          <w:tcPr>
            <w:tcW w:w="1497" w:type="dxa"/>
          </w:tcPr>
          <w:p>
            <w:pPr>
              <w:pStyle w:val="TableParagraph"/>
              <w:spacing w:line="175" w:lineRule="exact" w:before="10"/>
              <w:ind w:right="168"/>
              <w:jc w:val="right"/>
              <w:rPr>
                <w:sz w:val="16"/>
              </w:rPr>
            </w:pPr>
            <w:r>
              <w:rPr>
                <w:color w:val="231F20"/>
                <w:w w:val="104"/>
                <w:sz w:val="16"/>
              </w:rPr>
              <w:t>-</w:t>
            </w:r>
          </w:p>
        </w:tc>
        <w:tc>
          <w:tcPr>
            <w:tcW w:w="2781" w:type="dxa"/>
          </w:tcPr>
          <w:p>
            <w:pPr>
              <w:pStyle w:val="TableParagraph"/>
              <w:tabs>
                <w:tab w:pos="632" w:val="left" w:leader="none"/>
              </w:tabs>
              <w:spacing w:line="175" w:lineRule="exact" w:before="10"/>
              <w:ind w:right="135"/>
              <w:jc w:val="right"/>
              <w:rPr>
                <w:sz w:val="16"/>
              </w:rPr>
            </w:pPr>
            <w:r>
              <w:rPr>
                <w:color w:val="231F20"/>
                <w:spacing w:val="-10"/>
                <w:w w:val="105"/>
                <w:sz w:val="16"/>
              </w:rPr>
              <w:t>-</w:t>
            </w:r>
            <w:r>
              <w:rPr>
                <w:color w:val="231F20"/>
                <w:sz w:val="16"/>
              </w:rPr>
              <w:tab/>
            </w:r>
            <w:r>
              <w:rPr>
                <w:color w:val="231F20"/>
                <w:spacing w:val="-2"/>
                <w:w w:val="105"/>
                <w:sz w:val="16"/>
              </w:rPr>
              <w:t>2,640,515</w:t>
            </w:r>
          </w:p>
        </w:tc>
      </w:tr>
      <w:tr>
        <w:trPr>
          <w:trHeight w:val="205" w:hRule="atLeast"/>
        </w:trPr>
        <w:tc>
          <w:tcPr>
            <w:tcW w:w="3698" w:type="dxa"/>
          </w:tcPr>
          <w:p>
            <w:pPr>
              <w:pStyle w:val="TableParagraph"/>
              <w:spacing w:line="176" w:lineRule="exact" w:before="10"/>
              <w:ind w:left="148"/>
              <w:rPr>
                <w:sz w:val="16"/>
              </w:rPr>
            </w:pPr>
            <w:r>
              <w:rPr>
                <w:color w:val="231F20"/>
                <w:w w:val="105"/>
                <w:sz w:val="16"/>
              </w:rPr>
              <w:t>US</w:t>
            </w:r>
            <w:r>
              <w:rPr>
                <w:color w:val="231F20"/>
                <w:spacing w:val="-10"/>
                <w:w w:val="105"/>
                <w:sz w:val="16"/>
              </w:rPr>
              <w:t> </w:t>
            </w:r>
            <w:r>
              <w:rPr>
                <w:color w:val="231F20"/>
                <w:w w:val="105"/>
                <w:sz w:val="16"/>
              </w:rPr>
              <w:t>SMID</w:t>
            </w:r>
            <w:r>
              <w:rPr>
                <w:color w:val="231F20"/>
                <w:spacing w:val="-8"/>
                <w:w w:val="105"/>
                <w:sz w:val="16"/>
              </w:rPr>
              <w:t> </w:t>
            </w:r>
            <w:r>
              <w:rPr>
                <w:color w:val="231F20"/>
                <w:w w:val="105"/>
                <w:sz w:val="16"/>
              </w:rPr>
              <w:t>Cap</w:t>
            </w:r>
            <w:r>
              <w:rPr>
                <w:color w:val="231F20"/>
                <w:spacing w:val="-8"/>
                <w:w w:val="105"/>
                <w:sz w:val="16"/>
              </w:rPr>
              <w:t> </w:t>
            </w:r>
            <w:r>
              <w:rPr>
                <w:color w:val="231F20"/>
                <w:w w:val="105"/>
                <w:sz w:val="16"/>
              </w:rPr>
              <w:t>Alternative</w:t>
            </w:r>
            <w:r>
              <w:rPr>
                <w:color w:val="231F20"/>
                <w:spacing w:val="-10"/>
                <w:w w:val="105"/>
                <w:sz w:val="16"/>
              </w:rPr>
              <w:t> </w:t>
            </w:r>
            <w:r>
              <w:rPr>
                <w:color w:val="231F20"/>
                <w:w w:val="105"/>
                <w:sz w:val="16"/>
              </w:rPr>
              <w:t>Weighted</w:t>
            </w:r>
            <w:r>
              <w:rPr>
                <w:color w:val="231F20"/>
                <w:spacing w:val="-8"/>
                <w:w w:val="105"/>
                <w:sz w:val="16"/>
              </w:rPr>
              <w:t> </w:t>
            </w:r>
            <w:r>
              <w:rPr>
                <w:color w:val="231F20"/>
                <w:w w:val="105"/>
                <w:sz w:val="16"/>
              </w:rPr>
              <w:t>Index</w:t>
            </w:r>
            <w:r>
              <w:rPr>
                <w:color w:val="231F20"/>
                <w:spacing w:val="-9"/>
                <w:w w:val="105"/>
                <w:sz w:val="16"/>
              </w:rPr>
              <w:t> </w:t>
            </w:r>
            <w:r>
              <w:rPr>
                <w:color w:val="231F20"/>
                <w:spacing w:val="-4"/>
                <w:w w:val="105"/>
                <w:sz w:val="16"/>
              </w:rPr>
              <w:t>Pool</w:t>
            </w:r>
          </w:p>
        </w:tc>
        <w:tc>
          <w:tcPr>
            <w:tcW w:w="1414" w:type="dxa"/>
          </w:tcPr>
          <w:p>
            <w:pPr>
              <w:pStyle w:val="TableParagraph"/>
              <w:spacing w:line="176" w:lineRule="exact" w:before="10"/>
              <w:ind w:right="172"/>
              <w:jc w:val="right"/>
              <w:rPr>
                <w:sz w:val="16"/>
              </w:rPr>
            </w:pPr>
            <w:r>
              <w:rPr>
                <w:color w:val="231F20"/>
                <w:spacing w:val="-2"/>
                <w:w w:val="105"/>
                <w:sz w:val="16"/>
              </w:rPr>
              <w:t>1,771,406</w:t>
            </w:r>
          </w:p>
        </w:tc>
        <w:tc>
          <w:tcPr>
            <w:tcW w:w="1497" w:type="dxa"/>
          </w:tcPr>
          <w:p>
            <w:pPr>
              <w:pStyle w:val="TableParagraph"/>
              <w:spacing w:line="176" w:lineRule="exact" w:before="10"/>
              <w:ind w:right="168"/>
              <w:jc w:val="right"/>
              <w:rPr>
                <w:sz w:val="16"/>
              </w:rPr>
            </w:pPr>
            <w:r>
              <w:rPr>
                <w:color w:val="231F20"/>
                <w:w w:val="104"/>
                <w:sz w:val="16"/>
              </w:rPr>
              <w:t>-</w:t>
            </w:r>
          </w:p>
        </w:tc>
        <w:tc>
          <w:tcPr>
            <w:tcW w:w="2781" w:type="dxa"/>
          </w:tcPr>
          <w:p>
            <w:pPr>
              <w:pStyle w:val="TableParagraph"/>
              <w:tabs>
                <w:tab w:pos="632" w:val="left" w:leader="none"/>
              </w:tabs>
              <w:spacing w:line="176" w:lineRule="exact" w:before="10"/>
              <w:ind w:right="135"/>
              <w:jc w:val="right"/>
              <w:rPr>
                <w:sz w:val="16"/>
              </w:rPr>
            </w:pPr>
            <w:r>
              <w:rPr>
                <w:color w:val="231F20"/>
                <w:spacing w:val="-10"/>
                <w:w w:val="105"/>
                <w:sz w:val="16"/>
              </w:rPr>
              <w:t>-</w:t>
            </w:r>
            <w:r>
              <w:rPr>
                <w:color w:val="231F20"/>
                <w:sz w:val="16"/>
              </w:rPr>
              <w:tab/>
            </w:r>
            <w:r>
              <w:rPr>
                <w:color w:val="231F20"/>
                <w:spacing w:val="-2"/>
                <w:w w:val="105"/>
                <w:sz w:val="16"/>
              </w:rPr>
              <w:t>1,771,406</w:t>
            </w:r>
          </w:p>
        </w:tc>
      </w:tr>
      <w:tr>
        <w:trPr>
          <w:trHeight w:val="205" w:hRule="atLeast"/>
        </w:trPr>
        <w:tc>
          <w:tcPr>
            <w:tcW w:w="3698" w:type="dxa"/>
          </w:tcPr>
          <w:p>
            <w:pPr>
              <w:pStyle w:val="TableParagraph"/>
              <w:spacing w:line="175" w:lineRule="exact" w:before="10"/>
              <w:ind w:left="148"/>
              <w:rPr>
                <w:sz w:val="16"/>
              </w:rPr>
            </w:pPr>
            <w:r>
              <w:rPr>
                <w:color w:val="231F20"/>
                <w:w w:val="105"/>
                <w:sz w:val="16"/>
              </w:rPr>
              <w:t>US</w:t>
            </w:r>
            <w:r>
              <w:rPr>
                <w:color w:val="231F20"/>
                <w:spacing w:val="-8"/>
                <w:w w:val="105"/>
                <w:sz w:val="16"/>
              </w:rPr>
              <w:t> </w:t>
            </w:r>
            <w:r>
              <w:rPr>
                <w:color w:val="231F20"/>
                <w:w w:val="105"/>
                <w:sz w:val="16"/>
              </w:rPr>
              <w:t>Large</w:t>
            </w:r>
            <w:r>
              <w:rPr>
                <w:color w:val="231F20"/>
                <w:spacing w:val="-5"/>
                <w:w w:val="105"/>
                <w:sz w:val="16"/>
              </w:rPr>
              <w:t> </w:t>
            </w:r>
            <w:r>
              <w:rPr>
                <w:color w:val="231F20"/>
                <w:w w:val="105"/>
                <w:sz w:val="16"/>
              </w:rPr>
              <w:t>Cap</w:t>
            </w:r>
            <w:r>
              <w:rPr>
                <w:color w:val="231F20"/>
                <w:spacing w:val="-8"/>
                <w:w w:val="105"/>
                <w:sz w:val="16"/>
              </w:rPr>
              <w:t> </w:t>
            </w:r>
            <w:r>
              <w:rPr>
                <w:color w:val="231F20"/>
                <w:w w:val="105"/>
                <w:sz w:val="16"/>
              </w:rPr>
              <w:t>Active</w:t>
            </w:r>
            <w:r>
              <w:rPr>
                <w:color w:val="231F20"/>
                <w:spacing w:val="-7"/>
                <w:w w:val="105"/>
                <w:sz w:val="16"/>
              </w:rPr>
              <w:t> </w:t>
            </w:r>
            <w:r>
              <w:rPr>
                <w:color w:val="231F20"/>
                <w:spacing w:val="-4"/>
                <w:w w:val="105"/>
                <w:sz w:val="16"/>
              </w:rPr>
              <w:t>Pool</w:t>
            </w:r>
          </w:p>
        </w:tc>
        <w:tc>
          <w:tcPr>
            <w:tcW w:w="1414" w:type="dxa"/>
          </w:tcPr>
          <w:p>
            <w:pPr>
              <w:pStyle w:val="TableParagraph"/>
              <w:spacing w:line="175" w:lineRule="exact" w:before="10"/>
              <w:ind w:right="170"/>
              <w:jc w:val="right"/>
              <w:rPr>
                <w:sz w:val="16"/>
              </w:rPr>
            </w:pPr>
            <w:r>
              <w:rPr>
                <w:color w:val="231F20"/>
                <w:spacing w:val="-2"/>
                <w:w w:val="105"/>
                <w:sz w:val="16"/>
              </w:rPr>
              <w:t>6,191,759</w:t>
            </w:r>
          </w:p>
        </w:tc>
        <w:tc>
          <w:tcPr>
            <w:tcW w:w="1497" w:type="dxa"/>
          </w:tcPr>
          <w:p>
            <w:pPr>
              <w:pStyle w:val="TableParagraph"/>
              <w:spacing w:line="175" w:lineRule="exact" w:before="10"/>
              <w:ind w:right="168"/>
              <w:jc w:val="right"/>
              <w:rPr>
                <w:sz w:val="16"/>
              </w:rPr>
            </w:pPr>
            <w:r>
              <w:rPr>
                <w:color w:val="231F20"/>
                <w:w w:val="104"/>
                <w:sz w:val="16"/>
              </w:rPr>
              <w:t>-</w:t>
            </w:r>
          </w:p>
        </w:tc>
        <w:tc>
          <w:tcPr>
            <w:tcW w:w="2781" w:type="dxa"/>
          </w:tcPr>
          <w:p>
            <w:pPr>
              <w:pStyle w:val="TableParagraph"/>
              <w:tabs>
                <w:tab w:pos="632" w:val="left" w:leader="none"/>
              </w:tabs>
              <w:spacing w:line="175" w:lineRule="exact" w:before="10"/>
              <w:ind w:right="135"/>
              <w:jc w:val="right"/>
              <w:rPr>
                <w:sz w:val="16"/>
              </w:rPr>
            </w:pPr>
            <w:r>
              <w:rPr>
                <w:color w:val="231F20"/>
                <w:spacing w:val="-10"/>
                <w:w w:val="105"/>
                <w:sz w:val="16"/>
              </w:rPr>
              <w:t>-</w:t>
            </w:r>
            <w:r>
              <w:rPr>
                <w:color w:val="231F20"/>
                <w:sz w:val="16"/>
              </w:rPr>
              <w:tab/>
            </w:r>
            <w:r>
              <w:rPr>
                <w:color w:val="231F20"/>
                <w:spacing w:val="-2"/>
                <w:w w:val="105"/>
                <w:sz w:val="16"/>
              </w:rPr>
              <w:t>6,191,759</w:t>
            </w:r>
          </w:p>
        </w:tc>
      </w:tr>
      <w:tr>
        <w:trPr>
          <w:trHeight w:val="240" w:hRule="atLeast"/>
        </w:trPr>
        <w:tc>
          <w:tcPr>
            <w:tcW w:w="3698" w:type="dxa"/>
          </w:tcPr>
          <w:p>
            <w:pPr>
              <w:pStyle w:val="TableParagraph"/>
              <w:spacing w:before="10"/>
              <w:ind w:left="148"/>
              <w:rPr>
                <w:sz w:val="16"/>
              </w:rPr>
            </w:pPr>
            <w:r>
              <w:rPr>
                <w:color w:val="231F20"/>
                <w:w w:val="105"/>
                <w:sz w:val="16"/>
              </w:rPr>
              <w:t>Non-US</w:t>
            </w:r>
            <w:r>
              <w:rPr>
                <w:color w:val="231F20"/>
                <w:spacing w:val="-11"/>
                <w:w w:val="105"/>
                <w:sz w:val="16"/>
              </w:rPr>
              <w:t> </w:t>
            </w:r>
            <w:r>
              <w:rPr>
                <w:color w:val="231F20"/>
                <w:w w:val="105"/>
                <w:sz w:val="16"/>
              </w:rPr>
              <w:t>Developed</w:t>
            </w:r>
            <w:r>
              <w:rPr>
                <w:color w:val="231F20"/>
                <w:spacing w:val="-11"/>
                <w:w w:val="105"/>
                <w:sz w:val="16"/>
              </w:rPr>
              <w:t> </w:t>
            </w:r>
            <w:r>
              <w:rPr>
                <w:color w:val="231F20"/>
                <w:w w:val="105"/>
                <w:sz w:val="16"/>
              </w:rPr>
              <w:t>Markets</w:t>
            </w:r>
            <w:r>
              <w:rPr>
                <w:color w:val="231F20"/>
                <w:spacing w:val="-10"/>
                <w:w w:val="105"/>
                <w:sz w:val="16"/>
              </w:rPr>
              <w:t> </w:t>
            </w:r>
            <w:r>
              <w:rPr>
                <w:color w:val="231F20"/>
                <w:w w:val="105"/>
                <w:sz w:val="16"/>
              </w:rPr>
              <w:t>Index</w:t>
            </w:r>
            <w:r>
              <w:rPr>
                <w:color w:val="231F20"/>
                <w:spacing w:val="-10"/>
                <w:w w:val="105"/>
                <w:sz w:val="16"/>
              </w:rPr>
              <w:t> </w:t>
            </w:r>
            <w:r>
              <w:rPr>
                <w:color w:val="231F20"/>
                <w:spacing w:val="-4"/>
                <w:w w:val="105"/>
                <w:sz w:val="16"/>
              </w:rPr>
              <w:t>Pool</w:t>
            </w:r>
          </w:p>
        </w:tc>
        <w:tc>
          <w:tcPr>
            <w:tcW w:w="1414" w:type="dxa"/>
          </w:tcPr>
          <w:p>
            <w:pPr>
              <w:pStyle w:val="TableParagraph"/>
              <w:tabs>
                <w:tab w:pos="501" w:val="left" w:leader="none"/>
              </w:tabs>
              <w:spacing w:before="10"/>
              <w:ind w:right="80"/>
              <w:jc w:val="right"/>
              <w:rPr>
                <w:sz w:val="16"/>
              </w:rPr>
            </w:pPr>
            <w:r>
              <w:rPr>
                <w:color w:val="231F20"/>
                <w:sz w:val="16"/>
                <w:u w:val="single" w:color="231F20"/>
              </w:rPr>
              <w:tab/>
            </w:r>
            <w:r>
              <w:rPr>
                <w:color w:val="231F20"/>
                <w:spacing w:val="-2"/>
                <w:w w:val="105"/>
                <w:sz w:val="16"/>
                <w:u w:val="single" w:color="231F20"/>
              </w:rPr>
              <w:t>5,746,591</w:t>
            </w:r>
            <w:r>
              <w:rPr>
                <w:color w:val="231F20"/>
                <w:spacing w:val="80"/>
                <w:w w:val="105"/>
                <w:sz w:val="16"/>
                <w:u w:val="single" w:color="231F20"/>
              </w:rPr>
              <w:t> </w:t>
            </w:r>
          </w:p>
        </w:tc>
        <w:tc>
          <w:tcPr>
            <w:tcW w:w="1497" w:type="dxa"/>
          </w:tcPr>
          <w:p>
            <w:pPr>
              <w:pStyle w:val="TableParagraph"/>
              <w:tabs>
                <w:tab w:pos="1185" w:val="left" w:leader="none"/>
              </w:tabs>
              <w:spacing w:before="10"/>
              <w:ind w:right="78"/>
              <w:jc w:val="right"/>
              <w:rPr>
                <w:sz w:val="16"/>
              </w:rPr>
            </w:pPr>
            <w:r>
              <w:rPr>
                <w:color w:val="231F20"/>
                <w:sz w:val="16"/>
                <w:u w:val="single" w:color="231F20"/>
              </w:rPr>
              <w:tab/>
            </w:r>
            <w:r>
              <w:rPr>
                <w:color w:val="231F20"/>
                <w:spacing w:val="-10"/>
                <w:w w:val="105"/>
                <w:sz w:val="16"/>
                <w:u w:val="single" w:color="231F20"/>
              </w:rPr>
              <w:t>-</w:t>
            </w:r>
            <w:r>
              <w:rPr>
                <w:color w:val="231F20"/>
                <w:spacing w:val="80"/>
                <w:w w:val="105"/>
                <w:sz w:val="16"/>
                <w:u w:val="single" w:color="231F20"/>
              </w:rPr>
              <w:t> </w:t>
            </w:r>
          </w:p>
        </w:tc>
        <w:tc>
          <w:tcPr>
            <w:tcW w:w="2781" w:type="dxa"/>
          </w:tcPr>
          <w:p>
            <w:pPr>
              <w:pStyle w:val="TableParagraph"/>
              <w:tabs>
                <w:tab w:pos="1273" w:val="left" w:leader="none"/>
                <w:tab w:pos="1905" w:val="left" w:leader="none"/>
              </w:tabs>
              <w:spacing w:before="10"/>
              <w:ind w:left="85"/>
              <w:rPr>
                <w:sz w:val="16"/>
              </w:rPr>
            </w:pPr>
            <w:r>
              <w:rPr>
                <w:color w:val="231F20"/>
                <w:sz w:val="16"/>
                <w:u w:val="single" w:color="231F20"/>
              </w:rPr>
              <w:tab/>
            </w:r>
            <w:r>
              <w:rPr>
                <w:color w:val="231F20"/>
                <w:w w:val="105"/>
                <w:sz w:val="16"/>
                <w:u w:val="single" w:color="231F20"/>
              </w:rPr>
              <w:t>-</w:t>
            </w:r>
            <w:r>
              <w:rPr>
                <w:color w:val="231F20"/>
                <w:spacing w:val="42"/>
                <w:w w:val="105"/>
                <w:sz w:val="16"/>
                <w:u w:val="single" w:color="231F20"/>
              </w:rPr>
              <w:t> </w:t>
            </w:r>
            <w:r>
              <w:rPr>
                <w:color w:val="231F20"/>
                <w:spacing w:val="123"/>
                <w:w w:val="105"/>
                <w:sz w:val="16"/>
              </w:rPr>
              <w:t> </w:t>
            </w:r>
            <w:r>
              <w:rPr>
                <w:color w:val="231F20"/>
                <w:sz w:val="16"/>
                <w:u w:val="single" w:color="231F20"/>
              </w:rPr>
              <w:tab/>
            </w:r>
            <w:r>
              <w:rPr>
                <w:color w:val="231F20"/>
                <w:spacing w:val="-2"/>
                <w:w w:val="105"/>
                <w:sz w:val="16"/>
                <w:u w:val="single" w:color="231F20"/>
              </w:rPr>
              <w:t>5,746,591</w:t>
            </w:r>
            <w:r>
              <w:rPr>
                <w:color w:val="231F20"/>
                <w:spacing w:val="80"/>
                <w:w w:val="105"/>
                <w:sz w:val="16"/>
                <w:u w:val="single" w:color="231F20"/>
              </w:rPr>
              <w:t> </w:t>
            </w:r>
          </w:p>
        </w:tc>
      </w:tr>
      <w:tr>
        <w:trPr>
          <w:trHeight w:val="282" w:hRule="atLeast"/>
        </w:trPr>
        <w:tc>
          <w:tcPr>
            <w:tcW w:w="3698" w:type="dxa"/>
          </w:tcPr>
          <w:p>
            <w:pPr>
              <w:pStyle w:val="TableParagraph"/>
              <w:spacing w:before="44"/>
              <w:ind w:left="382"/>
              <w:rPr>
                <w:sz w:val="16"/>
              </w:rPr>
            </w:pPr>
            <w:r>
              <w:rPr>
                <w:color w:val="231F20"/>
                <w:w w:val="105"/>
                <w:sz w:val="16"/>
              </w:rPr>
              <w:t>Total</w:t>
            </w:r>
            <w:r>
              <w:rPr>
                <w:color w:val="231F20"/>
                <w:spacing w:val="-9"/>
                <w:w w:val="105"/>
                <w:sz w:val="16"/>
              </w:rPr>
              <w:t> </w:t>
            </w:r>
            <w:r>
              <w:rPr>
                <w:color w:val="231F20"/>
                <w:spacing w:val="-2"/>
                <w:w w:val="105"/>
                <w:sz w:val="16"/>
              </w:rPr>
              <w:t>investments</w:t>
            </w:r>
          </w:p>
        </w:tc>
        <w:tc>
          <w:tcPr>
            <w:tcW w:w="1414" w:type="dxa"/>
          </w:tcPr>
          <w:p>
            <w:pPr>
              <w:pStyle w:val="TableParagraph"/>
              <w:tabs>
                <w:tab w:pos="409" w:val="left" w:leader="none"/>
              </w:tabs>
              <w:spacing w:before="44"/>
              <w:ind w:right="80"/>
              <w:jc w:val="right"/>
              <w:rPr>
                <w:sz w:val="16"/>
              </w:rPr>
            </w:pPr>
            <w:r>
              <w:rPr>
                <w:color w:val="231F20"/>
                <w:spacing w:val="39"/>
                <w:w w:val="105"/>
                <w:sz w:val="16"/>
                <w:u w:val="single" w:color="231F20"/>
              </w:rPr>
              <w:t> </w:t>
            </w:r>
            <w:r>
              <w:rPr>
                <w:color w:val="231F20"/>
                <w:spacing w:val="-12"/>
                <w:w w:val="105"/>
                <w:sz w:val="16"/>
                <w:u w:val="single" w:color="231F20"/>
              </w:rPr>
              <w:t>$</w:t>
            </w:r>
            <w:r>
              <w:rPr>
                <w:color w:val="231F20"/>
                <w:sz w:val="16"/>
                <w:u w:val="single" w:color="231F20"/>
              </w:rPr>
              <w:tab/>
            </w:r>
            <w:r>
              <w:rPr>
                <w:color w:val="231F20"/>
                <w:spacing w:val="-2"/>
                <w:w w:val="105"/>
                <w:sz w:val="16"/>
                <w:u w:val="single" w:color="231F20"/>
              </w:rPr>
              <w:t>18,584,826</w:t>
            </w:r>
            <w:r>
              <w:rPr>
                <w:color w:val="231F20"/>
                <w:spacing w:val="80"/>
                <w:w w:val="105"/>
                <w:sz w:val="16"/>
                <w:u w:val="single" w:color="231F20"/>
              </w:rPr>
              <w:t> </w:t>
            </w:r>
          </w:p>
        </w:tc>
        <w:tc>
          <w:tcPr>
            <w:tcW w:w="1497" w:type="dxa"/>
          </w:tcPr>
          <w:p>
            <w:pPr>
              <w:pStyle w:val="TableParagraph"/>
              <w:tabs>
                <w:tab w:pos="501" w:val="left" w:leader="none"/>
              </w:tabs>
              <w:spacing w:before="44"/>
              <w:ind w:right="78"/>
              <w:jc w:val="right"/>
              <w:rPr>
                <w:sz w:val="16"/>
              </w:rPr>
            </w:pPr>
            <w:r>
              <w:rPr>
                <w:color w:val="231F20"/>
                <w:spacing w:val="39"/>
                <w:w w:val="105"/>
                <w:sz w:val="16"/>
                <w:u w:val="single" w:color="231F20"/>
              </w:rPr>
              <w:t> </w:t>
            </w:r>
            <w:r>
              <w:rPr>
                <w:color w:val="231F20"/>
                <w:spacing w:val="-12"/>
                <w:w w:val="105"/>
                <w:sz w:val="16"/>
                <w:u w:val="single" w:color="231F20"/>
              </w:rPr>
              <w:t>$</w:t>
            </w:r>
            <w:r>
              <w:rPr>
                <w:color w:val="231F20"/>
                <w:sz w:val="16"/>
                <w:u w:val="single" w:color="231F20"/>
              </w:rPr>
              <w:tab/>
            </w:r>
            <w:r>
              <w:rPr>
                <w:color w:val="231F20"/>
                <w:spacing w:val="-2"/>
                <w:w w:val="105"/>
                <w:sz w:val="16"/>
                <w:u w:val="single" w:color="231F20"/>
              </w:rPr>
              <w:t>3,987,447</w:t>
            </w:r>
            <w:r>
              <w:rPr>
                <w:color w:val="231F20"/>
                <w:spacing w:val="80"/>
                <w:w w:val="105"/>
                <w:sz w:val="16"/>
                <w:u w:val="single" w:color="231F20"/>
              </w:rPr>
              <w:t> </w:t>
            </w:r>
          </w:p>
        </w:tc>
        <w:tc>
          <w:tcPr>
            <w:tcW w:w="2781" w:type="dxa"/>
          </w:tcPr>
          <w:p>
            <w:pPr>
              <w:pStyle w:val="TableParagraph"/>
              <w:tabs>
                <w:tab w:pos="1272" w:val="left" w:leader="none"/>
                <w:tab w:pos="1812" w:val="left" w:leader="none"/>
              </w:tabs>
              <w:spacing w:before="44"/>
              <w:ind w:left="87"/>
              <w:rPr>
                <w:sz w:val="16"/>
              </w:rPr>
            </w:pPr>
            <w:r>
              <w:rPr>
                <w:color w:val="231F20"/>
                <w:spacing w:val="39"/>
                <w:w w:val="105"/>
                <w:sz w:val="16"/>
                <w:u w:val="single" w:color="231F20"/>
              </w:rPr>
              <w:t> </w:t>
            </w:r>
            <w:r>
              <w:rPr>
                <w:color w:val="231F20"/>
                <w:spacing w:val="-12"/>
                <w:w w:val="105"/>
                <w:sz w:val="16"/>
                <w:u w:val="single" w:color="231F20"/>
              </w:rPr>
              <w:t>$</w:t>
            </w:r>
            <w:r>
              <w:rPr>
                <w:color w:val="231F20"/>
                <w:sz w:val="16"/>
                <w:u w:val="single" w:color="231F20"/>
              </w:rPr>
              <w:tab/>
            </w:r>
            <w:r>
              <w:rPr>
                <w:color w:val="231F20"/>
                <w:w w:val="105"/>
                <w:sz w:val="16"/>
                <w:u w:val="single" w:color="231F20"/>
              </w:rPr>
              <w:t>-</w:t>
            </w:r>
            <w:r>
              <w:rPr>
                <w:color w:val="231F20"/>
                <w:spacing w:val="40"/>
                <w:w w:val="105"/>
                <w:sz w:val="16"/>
                <w:u w:val="single" w:color="231F20"/>
              </w:rPr>
              <w:t> </w:t>
            </w:r>
            <w:r>
              <w:rPr>
                <w:color w:val="231F20"/>
                <w:sz w:val="16"/>
              </w:rPr>
              <w:tab/>
            </w:r>
            <w:r>
              <w:rPr>
                <w:color w:val="231F20"/>
                <w:spacing w:val="-2"/>
                <w:w w:val="105"/>
                <w:sz w:val="16"/>
              </w:rPr>
              <w:t>22,572,273</w:t>
            </w:r>
          </w:p>
        </w:tc>
      </w:tr>
    </w:tbl>
    <w:p>
      <w:pPr>
        <w:pStyle w:val="BodyText"/>
        <w:spacing w:before="6"/>
        <w:rPr>
          <w:sz w:val="23"/>
        </w:rPr>
      </w:pPr>
    </w:p>
    <w:p>
      <w:pPr>
        <w:spacing w:before="0" w:after="22"/>
        <w:ind w:left="1479" w:right="0" w:firstLine="0"/>
        <w:jc w:val="left"/>
        <w:rPr>
          <w:sz w:val="16"/>
        </w:rPr>
      </w:pPr>
      <w:r>
        <w:rPr/>
        <w:pict>
          <v:rect style="position:absolute;margin-left:257.279999pt;margin-top:-14.575809pt;width:66.540pt;height:.78pt;mso-position-horizontal-relative:page;mso-position-vertical-relative:paragraph;z-index:15802880" id="docshape393" filled="true" fillcolor="#231f20" stroked="false">
            <v:fill type="solid"/>
            <w10:wrap type="none"/>
          </v:rect>
        </w:pict>
      </w:r>
      <w:r>
        <w:rPr/>
        <w:pict>
          <v:rect style="position:absolute;margin-left:332.221008pt;margin-top:-14.575809pt;width:66.540pt;height:.78pt;mso-position-horizontal-relative:page;mso-position-vertical-relative:paragraph;z-index:15803392" id="docshape394" filled="true" fillcolor="#231f20" stroked="false">
            <v:fill type="solid"/>
            <w10:wrap type="none"/>
          </v:rect>
        </w:pict>
      </w:r>
      <w:r>
        <w:rPr/>
        <w:pict>
          <v:rect style="position:absolute;margin-left:407.161011pt;margin-top:-14.575809pt;width:66.48pt;height:.78pt;mso-position-horizontal-relative:page;mso-position-vertical-relative:paragraph;z-index:15803904" id="docshape395" filled="true" fillcolor="#231f20" stroked="false">
            <v:fill type="solid"/>
            <w10:wrap type="none"/>
          </v:rect>
        </w:pict>
      </w:r>
      <w:r>
        <w:rPr>
          <w:color w:val="231F20"/>
          <w:w w:val="105"/>
          <w:sz w:val="16"/>
        </w:rPr>
        <w:t>Investments</w:t>
      </w:r>
      <w:r>
        <w:rPr>
          <w:color w:val="231F20"/>
          <w:spacing w:val="-10"/>
          <w:w w:val="105"/>
          <w:sz w:val="16"/>
        </w:rPr>
        <w:t> </w:t>
      </w:r>
      <w:r>
        <w:rPr>
          <w:color w:val="231F20"/>
          <w:w w:val="105"/>
          <w:sz w:val="16"/>
        </w:rPr>
        <w:t>Measured</w:t>
      </w:r>
      <w:r>
        <w:rPr>
          <w:color w:val="231F20"/>
          <w:spacing w:val="-9"/>
          <w:w w:val="105"/>
          <w:sz w:val="16"/>
        </w:rPr>
        <w:t> </w:t>
      </w:r>
      <w:r>
        <w:rPr>
          <w:color w:val="231F20"/>
          <w:w w:val="105"/>
          <w:sz w:val="16"/>
        </w:rPr>
        <w:t>at</w:t>
      </w:r>
      <w:r>
        <w:rPr>
          <w:color w:val="231F20"/>
          <w:spacing w:val="-11"/>
          <w:w w:val="105"/>
          <w:sz w:val="16"/>
        </w:rPr>
        <w:t> </w:t>
      </w:r>
      <w:r>
        <w:rPr>
          <w:color w:val="231F20"/>
          <w:w w:val="105"/>
          <w:sz w:val="16"/>
        </w:rPr>
        <w:t>NAV</w:t>
      </w:r>
      <w:r>
        <w:rPr>
          <w:color w:val="231F20"/>
          <w:spacing w:val="-10"/>
          <w:w w:val="105"/>
          <w:sz w:val="16"/>
        </w:rPr>
        <w:t> </w:t>
      </w:r>
      <w:r>
        <w:rPr>
          <w:color w:val="231F20"/>
          <w:w w:val="105"/>
          <w:sz w:val="16"/>
        </w:rPr>
        <w:t>Practical</w:t>
      </w:r>
      <w:r>
        <w:rPr>
          <w:color w:val="231F20"/>
          <w:spacing w:val="-11"/>
          <w:w w:val="105"/>
          <w:sz w:val="16"/>
        </w:rPr>
        <w:t> </w:t>
      </w:r>
      <w:r>
        <w:rPr>
          <w:color w:val="231F20"/>
          <w:spacing w:val="-2"/>
          <w:w w:val="105"/>
          <w:sz w:val="16"/>
        </w:rPr>
        <w:t>Expedient</w:t>
      </w: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6"/>
        <w:gridCol w:w="2329"/>
      </w:tblGrid>
      <w:tr>
        <w:trPr>
          <w:trHeight w:val="401" w:hRule="atLeast"/>
        </w:trPr>
        <w:tc>
          <w:tcPr>
            <w:tcW w:w="7086" w:type="dxa"/>
          </w:tcPr>
          <w:p>
            <w:pPr>
              <w:pStyle w:val="TableParagraph"/>
              <w:spacing w:line="183" w:lineRule="exact"/>
              <w:ind w:left="205"/>
              <w:rPr>
                <w:sz w:val="16"/>
              </w:rPr>
            </w:pPr>
            <w:r>
              <w:rPr>
                <w:color w:val="231F20"/>
                <w:w w:val="105"/>
                <w:sz w:val="16"/>
              </w:rPr>
              <w:t>Investments</w:t>
            </w:r>
            <w:r>
              <w:rPr>
                <w:color w:val="231F20"/>
                <w:spacing w:val="-10"/>
                <w:w w:val="105"/>
                <w:sz w:val="16"/>
              </w:rPr>
              <w:t> </w:t>
            </w:r>
            <w:r>
              <w:rPr>
                <w:color w:val="231F20"/>
                <w:w w:val="105"/>
                <w:sz w:val="16"/>
              </w:rPr>
              <w:t>held</w:t>
            </w:r>
            <w:r>
              <w:rPr>
                <w:color w:val="231F20"/>
                <w:spacing w:val="-8"/>
                <w:w w:val="105"/>
                <w:sz w:val="16"/>
              </w:rPr>
              <w:t> </w:t>
            </w:r>
            <w:r>
              <w:rPr>
                <w:color w:val="231F20"/>
                <w:w w:val="105"/>
                <w:sz w:val="16"/>
              </w:rPr>
              <w:t>with</w:t>
            </w:r>
            <w:r>
              <w:rPr>
                <w:color w:val="231F20"/>
                <w:spacing w:val="-11"/>
                <w:w w:val="105"/>
                <w:sz w:val="16"/>
              </w:rPr>
              <w:t> </w:t>
            </w:r>
            <w:r>
              <w:rPr>
                <w:color w:val="231F20"/>
                <w:w w:val="105"/>
                <w:sz w:val="16"/>
              </w:rPr>
              <w:t>the</w:t>
            </w:r>
            <w:r>
              <w:rPr>
                <w:color w:val="231F20"/>
                <w:spacing w:val="-9"/>
                <w:w w:val="105"/>
                <w:sz w:val="16"/>
              </w:rPr>
              <w:t> </w:t>
            </w:r>
            <w:r>
              <w:rPr>
                <w:color w:val="231F20"/>
                <w:w w:val="105"/>
                <w:sz w:val="16"/>
              </w:rPr>
              <w:t>New</w:t>
            </w:r>
            <w:r>
              <w:rPr>
                <w:color w:val="231F20"/>
                <w:spacing w:val="-9"/>
                <w:w w:val="105"/>
                <w:sz w:val="16"/>
              </w:rPr>
              <w:t> </w:t>
            </w:r>
            <w:r>
              <w:rPr>
                <w:color w:val="231F20"/>
                <w:w w:val="105"/>
                <w:sz w:val="16"/>
              </w:rPr>
              <w:t>Mexico</w:t>
            </w:r>
            <w:r>
              <w:rPr>
                <w:color w:val="231F20"/>
                <w:spacing w:val="-10"/>
                <w:w w:val="105"/>
                <w:sz w:val="16"/>
              </w:rPr>
              <w:t> </w:t>
            </w:r>
            <w:r>
              <w:rPr>
                <w:color w:val="231F20"/>
                <w:w w:val="105"/>
                <w:sz w:val="16"/>
              </w:rPr>
              <w:t>State</w:t>
            </w:r>
            <w:r>
              <w:rPr>
                <w:color w:val="231F20"/>
                <w:spacing w:val="-10"/>
                <w:w w:val="105"/>
                <w:sz w:val="16"/>
              </w:rPr>
              <w:t> </w:t>
            </w:r>
            <w:r>
              <w:rPr>
                <w:color w:val="231F20"/>
                <w:w w:val="105"/>
                <w:sz w:val="16"/>
              </w:rPr>
              <w:t>Investment</w:t>
            </w:r>
            <w:r>
              <w:rPr>
                <w:color w:val="231F20"/>
                <w:spacing w:val="-10"/>
                <w:w w:val="105"/>
                <w:sz w:val="16"/>
              </w:rPr>
              <w:t> </w:t>
            </w:r>
            <w:r>
              <w:rPr>
                <w:color w:val="231F20"/>
                <w:w w:val="105"/>
                <w:sz w:val="16"/>
              </w:rPr>
              <w:t>Council</w:t>
            </w:r>
            <w:r>
              <w:rPr>
                <w:color w:val="231F20"/>
                <w:spacing w:val="-9"/>
                <w:w w:val="105"/>
                <w:sz w:val="16"/>
              </w:rPr>
              <w:t> </w:t>
            </w:r>
            <w:r>
              <w:rPr>
                <w:color w:val="231F20"/>
                <w:w w:val="105"/>
                <w:sz w:val="16"/>
              </w:rPr>
              <w:t>Pooled</w:t>
            </w:r>
            <w:r>
              <w:rPr>
                <w:color w:val="231F20"/>
                <w:spacing w:val="-9"/>
                <w:w w:val="105"/>
                <w:sz w:val="16"/>
              </w:rPr>
              <w:t> </w:t>
            </w:r>
            <w:r>
              <w:rPr>
                <w:color w:val="231F20"/>
                <w:spacing w:val="-2"/>
                <w:w w:val="105"/>
                <w:sz w:val="16"/>
              </w:rPr>
              <w:t>Funds:</w:t>
            </w:r>
          </w:p>
          <w:p>
            <w:pPr>
              <w:pStyle w:val="TableParagraph"/>
              <w:spacing w:line="175" w:lineRule="exact" w:before="22"/>
              <w:ind w:left="205"/>
              <w:rPr>
                <w:sz w:val="16"/>
              </w:rPr>
            </w:pPr>
            <w:r>
              <w:rPr>
                <w:color w:val="231F20"/>
                <w:w w:val="105"/>
                <w:sz w:val="16"/>
              </w:rPr>
              <w:t>Credit</w:t>
            </w:r>
            <w:r>
              <w:rPr>
                <w:color w:val="231F20"/>
                <w:spacing w:val="-10"/>
                <w:w w:val="105"/>
                <w:sz w:val="16"/>
              </w:rPr>
              <w:t> </w:t>
            </w:r>
            <w:r>
              <w:rPr>
                <w:color w:val="231F20"/>
                <w:w w:val="105"/>
                <w:sz w:val="16"/>
              </w:rPr>
              <w:t>&amp;</w:t>
            </w:r>
            <w:r>
              <w:rPr>
                <w:color w:val="231F20"/>
                <w:spacing w:val="-10"/>
                <w:w w:val="105"/>
                <w:sz w:val="16"/>
              </w:rPr>
              <w:t> </w:t>
            </w:r>
            <w:r>
              <w:rPr>
                <w:color w:val="231F20"/>
                <w:w w:val="105"/>
                <w:sz w:val="16"/>
              </w:rPr>
              <w:t>Structured</w:t>
            </w:r>
            <w:r>
              <w:rPr>
                <w:color w:val="231F20"/>
                <w:spacing w:val="-8"/>
                <w:w w:val="105"/>
                <w:sz w:val="16"/>
              </w:rPr>
              <w:t> </w:t>
            </w:r>
            <w:r>
              <w:rPr>
                <w:color w:val="231F20"/>
                <w:spacing w:val="-2"/>
                <w:w w:val="105"/>
                <w:sz w:val="16"/>
              </w:rPr>
              <w:t>Finance</w:t>
            </w:r>
          </w:p>
        </w:tc>
        <w:tc>
          <w:tcPr>
            <w:tcW w:w="2329" w:type="dxa"/>
          </w:tcPr>
          <w:p>
            <w:pPr>
              <w:pStyle w:val="TableParagraph"/>
              <w:spacing w:before="10"/>
              <w:rPr>
                <w:sz w:val="17"/>
              </w:rPr>
            </w:pPr>
          </w:p>
          <w:p>
            <w:pPr>
              <w:pStyle w:val="TableParagraph"/>
              <w:spacing w:line="175" w:lineRule="exact"/>
              <w:ind w:right="103"/>
              <w:jc w:val="right"/>
              <w:rPr>
                <w:sz w:val="16"/>
              </w:rPr>
            </w:pPr>
            <w:r>
              <w:rPr>
                <w:color w:val="231F20"/>
                <w:spacing w:val="-2"/>
                <w:w w:val="105"/>
                <w:sz w:val="16"/>
              </w:rPr>
              <w:t>1,994,858</w:t>
            </w:r>
          </w:p>
        </w:tc>
      </w:tr>
      <w:tr>
        <w:trPr>
          <w:trHeight w:val="205" w:hRule="atLeast"/>
        </w:trPr>
        <w:tc>
          <w:tcPr>
            <w:tcW w:w="7086" w:type="dxa"/>
          </w:tcPr>
          <w:p>
            <w:pPr>
              <w:pStyle w:val="TableParagraph"/>
              <w:spacing w:line="176" w:lineRule="exact" w:before="10"/>
              <w:ind w:left="205"/>
              <w:rPr>
                <w:sz w:val="16"/>
              </w:rPr>
            </w:pPr>
            <w:r>
              <w:rPr>
                <w:color w:val="231F20"/>
                <w:w w:val="105"/>
                <w:sz w:val="16"/>
              </w:rPr>
              <w:t>Private</w:t>
            </w:r>
            <w:r>
              <w:rPr>
                <w:color w:val="231F20"/>
                <w:spacing w:val="-12"/>
                <w:w w:val="105"/>
                <w:sz w:val="16"/>
              </w:rPr>
              <w:t> </w:t>
            </w:r>
            <w:r>
              <w:rPr>
                <w:color w:val="231F20"/>
                <w:w w:val="105"/>
                <w:sz w:val="16"/>
              </w:rPr>
              <w:t>Equity</w:t>
            </w:r>
            <w:r>
              <w:rPr>
                <w:color w:val="231F20"/>
                <w:spacing w:val="-11"/>
                <w:w w:val="105"/>
                <w:sz w:val="16"/>
              </w:rPr>
              <w:t> </w:t>
            </w:r>
            <w:r>
              <w:rPr>
                <w:color w:val="231F20"/>
                <w:spacing w:val="-4"/>
                <w:w w:val="105"/>
                <w:sz w:val="16"/>
              </w:rPr>
              <w:t>Pool</w:t>
            </w:r>
          </w:p>
        </w:tc>
        <w:tc>
          <w:tcPr>
            <w:tcW w:w="2329" w:type="dxa"/>
          </w:tcPr>
          <w:p>
            <w:pPr>
              <w:pStyle w:val="TableParagraph"/>
              <w:spacing w:line="176" w:lineRule="exact" w:before="10"/>
              <w:ind w:right="103"/>
              <w:jc w:val="right"/>
              <w:rPr>
                <w:sz w:val="16"/>
              </w:rPr>
            </w:pPr>
            <w:r>
              <w:rPr>
                <w:color w:val="231F20"/>
                <w:spacing w:val="-2"/>
                <w:w w:val="105"/>
                <w:sz w:val="16"/>
              </w:rPr>
              <w:t>4,805,564</w:t>
            </w:r>
          </w:p>
        </w:tc>
      </w:tr>
      <w:tr>
        <w:trPr>
          <w:trHeight w:val="240" w:hRule="atLeast"/>
        </w:trPr>
        <w:tc>
          <w:tcPr>
            <w:tcW w:w="7086" w:type="dxa"/>
          </w:tcPr>
          <w:p>
            <w:pPr>
              <w:pStyle w:val="TableParagraph"/>
              <w:spacing w:before="10"/>
              <w:ind w:left="205"/>
              <w:rPr>
                <w:sz w:val="16"/>
              </w:rPr>
            </w:pPr>
            <w:r>
              <w:rPr>
                <w:color w:val="231F20"/>
                <w:w w:val="105"/>
                <w:sz w:val="16"/>
              </w:rPr>
              <w:t>Real</w:t>
            </w:r>
            <w:r>
              <w:rPr>
                <w:color w:val="231F20"/>
                <w:spacing w:val="-9"/>
                <w:w w:val="105"/>
                <w:sz w:val="16"/>
              </w:rPr>
              <w:t> </w:t>
            </w:r>
            <w:r>
              <w:rPr>
                <w:color w:val="231F20"/>
                <w:w w:val="105"/>
                <w:sz w:val="16"/>
              </w:rPr>
              <w:t>Estate</w:t>
            </w:r>
            <w:r>
              <w:rPr>
                <w:color w:val="231F20"/>
                <w:spacing w:val="-8"/>
                <w:w w:val="105"/>
                <w:sz w:val="16"/>
              </w:rPr>
              <w:t> </w:t>
            </w:r>
            <w:r>
              <w:rPr>
                <w:color w:val="231F20"/>
                <w:spacing w:val="-4"/>
                <w:w w:val="105"/>
                <w:sz w:val="16"/>
              </w:rPr>
              <w:t>Pool</w:t>
            </w:r>
          </w:p>
        </w:tc>
        <w:tc>
          <w:tcPr>
            <w:tcW w:w="2329" w:type="dxa"/>
          </w:tcPr>
          <w:p>
            <w:pPr>
              <w:pStyle w:val="TableParagraph"/>
              <w:tabs>
                <w:tab w:pos="320" w:val="left" w:leader="none"/>
              </w:tabs>
              <w:spacing w:before="10"/>
              <w:ind w:right="12"/>
              <w:jc w:val="right"/>
              <w:rPr>
                <w:sz w:val="16"/>
              </w:rPr>
            </w:pPr>
            <w:r>
              <w:rPr>
                <w:color w:val="231F20"/>
                <w:sz w:val="16"/>
                <w:u w:val="single" w:color="231F20"/>
              </w:rPr>
              <w:tab/>
            </w:r>
            <w:r>
              <w:rPr>
                <w:color w:val="231F20"/>
                <w:spacing w:val="-2"/>
                <w:w w:val="105"/>
                <w:sz w:val="16"/>
                <w:u w:val="single" w:color="231F20"/>
              </w:rPr>
              <w:t>2,458,801</w:t>
            </w:r>
            <w:r>
              <w:rPr>
                <w:color w:val="231F20"/>
                <w:spacing w:val="80"/>
                <w:w w:val="105"/>
                <w:sz w:val="16"/>
                <w:u w:val="single" w:color="231F20"/>
              </w:rPr>
              <w:t> </w:t>
            </w:r>
          </w:p>
        </w:tc>
      </w:tr>
      <w:tr>
        <w:trPr>
          <w:trHeight w:val="274" w:hRule="atLeast"/>
        </w:trPr>
        <w:tc>
          <w:tcPr>
            <w:tcW w:w="7086" w:type="dxa"/>
          </w:tcPr>
          <w:p>
            <w:pPr>
              <w:pStyle w:val="TableParagraph"/>
              <w:rPr>
                <w:rFonts w:ascii="Times New Roman"/>
                <w:sz w:val="18"/>
              </w:rPr>
            </w:pPr>
          </w:p>
        </w:tc>
        <w:tc>
          <w:tcPr>
            <w:tcW w:w="2329" w:type="dxa"/>
          </w:tcPr>
          <w:p>
            <w:pPr>
              <w:pStyle w:val="TableParagraph"/>
              <w:spacing w:before="44"/>
              <w:ind w:right="12"/>
              <w:jc w:val="right"/>
              <w:rPr>
                <w:sz w:val="16"/>
              </w:rPr>
            </w:pPr>
            <w:r>
              <w:rPr>
                <w:color w:val="231F20"/>
                <w:spacing w:val="39"/>
                <w:w w:val="105"/>
                <w:sz w:val="16"/>
                <w:u w:val="single" w:color="231F20"/>
              </w:rPr>
              <w:t> </w:t>
            </w:r>
            <w:r>
              <w:rPr>
                <w:color w:val="231F20"/>
                <w:w w:val="105"/>
                <w:sz w:val="16"/>
                <w:u w:val="single" w:color="231F20"/>
              </w:rPr>
              <w:t>$</w:t>
            </w:r>
            <w:r>
              <w:rPr>
                <w:color w:val="231F20"/>
                <w:spacing w:val="-1"/>
                <w:w w:val="105"/>
                <w:sz w:val="16"/>
                <w:u w:val="single" w:color="231F20"/>
              </w:rPr>
              <w:t> </w:t>
            </w:r>
            <w:r>
              <w:rPr>
                <w:color w:val="231F20"/>
                <w:spacing w:val="-2"/>
                <w:w w:val="105"/>
                <w:sz w:val="16"/>
                <w:u w:val="single" w:color="231F20"/>
              </w:rPr>
              <w:t>31,831,496</w:t>
            </w:r>
            <w:r>
              <w:rPr>
                <w:color w:val="231F20"/>
                <w:spacing w:val="80"/>
                <w:w w:val="105"/>
                <w:sz w:val="16"/>
                <w:u w:val="single" w:color="231F20"/>
              </w:rPr>
              <w:t> </w:t>
            </w:r>
          </w:p>
        </w:tc>
      </w:tr>
      <w:tr>
        <w:trPr>
          <w:trHeight w:val="496" w:hRule="atLeast"/>
        </w:trPr>
        <w:tc>
          <w:tcPr>
            <w:tcW w:w="7086" w:type="dxa"/>
          </w:tcPr>
          <w:p>
            <w:pPr>
              <w:pStyle w:val="TableParagraph"/>
              <w:spacing w:before="4"/>
              <w:rPr>
                <w:sz w:val="21"/>
              </w:rPr>
            </w:pPr>
          </w:p>
          <w:p>
            <w:pPr>
              <w:pStyle w:val="TableParagraph"/>
              <w:ind w:left="50"/>
              <w:rPr>
                <w:b/>
                <w:sz w:val="20"/>
              </w:rPr>
            </w:pPr>
            <w:r>
              <w:rPr>
                <w:b/>
                <w:color w:val="231F20"/>
                <w:sz w:val="20"/>
              </w:rPr>
              <w:t>Promise</w:t>
            </w:r>
            <w:r>
              <w:rPr>
                <w:b/>
                <w:color w:val="231F20"/>
                <w:spacing w:val="-6"/>
                <w:sz w:val="20"/>
              </w:rPr>
              <w:t> </w:t>
            </w:r>
            <w:r>
              <w:rPr>
                <w:b/>
                <w:color w:val="231F20"/>
                <w:sz w:val="20"/>
              </w:rPr>
              <w:t>to</w:t>
            </w:r>
            <w:r>
              <w:rPr>
                <w:b/>
                <w:color w:val="231F20"/>
                <w:spacing w:val="-4"/>
                <w:sz w:val="20"/>
              </w:rPr>
              <w:t> Give</w:t>
            </w:r>
          </w:p>
        </w:tc>
        <w:tc>
          <w:tcPr>
            <w:tcW w:w="2329" w:type="dxa"/>
          </w:tcPr>
          <w:p>
            <w:pPr>
              <w:pStyle w:val="TableParagraph"/>
              <w:spacing w:line="20" w:lineRule="exact"/>
              <w:ind w:left="1166" w:right="-44"/>
              <w:rPr>
                <w:sz w:val="2"/>
              </w:rPr>
            </w:pPr>
            <w:r>
              <w:rPr>
                <w:sz w:val="2"/>
              </w:rPr>
              <w:pict>
                <v:group style="width:57.45pt;height:.8pt;mso-position-horizontal-relative:char;mso-position-vertical-relative:line" id="docshapegroup396" coordorigin="0,0" coordsize="1149,16">
                  <v:rect style="position:absolute;left:0;top:0;width:1149;height:16" id="docshape397" filled="true" fillcolor="#231f20" stroked="false">
                    <v:fill type="solid"/>
                  </v:rect>
                </v:group>
              </w:pict>
            </w:r>
            <w:r>
              <w:rPr>
                <w:sz w:val="2"/>
              </w:rPr>
            </w:r>
          </w:p>
        </w:tc>
      </w:tr>
      <w:tr>
        <w:trPr>
          <w:trHeight w:val="402" w:hRule="atLeast"/>
        </w:trPr>
        <w:tc>
          <w:tcPr>
            <w:tcW w:w="7086" w:type="dxa"/>
          </w:tcPr>
          <w:p>
            <w:pPr>
              <w:pStyle w:val="TableParagraph"/>
              <w:spacing w:before="14"/>
              <w:ind w:left="50"/>
              <w:rPr>
                <w:sz w:val="20"/>
              </w:rPr>
            </w:pPr>
            <w:r>
              <w:rPr>
                <w:color w:val="231F20"/>
                <w:sz w:val="20"/>
              </w:rPr>
              <w:t>Promise</w:t>
            </w:r>
            <w:r>
              <w:rPr>
                <w:color w:val="231F20"/>
                <w:spacing w:val="-7"/>
                <w:sz w:val="20"/>
              </w:rPr>
              <w:t> </w:t>
            </w:r>
            <w:r>
              <w:rPr>
                <w:color w:val="231F20"/>
                <w:sz w:val="20"/>
              </w:rPr>
              <w:t>to</w:t>
            </w:r>
            <w:r>
              <w:rPr>
                <w:color w:val="231F20"/>
                <w:spacing w:val="-4"/>
                <w:sz w:val="20"/>
              </w:rPr>
              <w:t> </w:t>
            </w:r>
            <w:r>
              <w:rPr>
                <w:color w:val="231F20"/>
                <w:sz w:val="20"/>
              </w:rPr>
              <w:t>give</w:t>
            </w:r>
            <w:r>
              <w:rPr>
                <w:color w:val="231F20"/>
                <w:spacing w:val="-5"/>
                <w:sz w:val="20"/>
              </w:rPr>
              <w:t> </w:t>
            </w:r>
            <w:r>
              <w:rPr>
                <w:color w:val="231F20"/>
                <w:sz w:val="20"/>
              </w:rPr>
              <w:t>consist</w:t>
            </w:r>
            <w:r>
              <w:rPr>
                <w:color w:val="231F20"/>
                <w:spacing w:val="-4"/>
                <w:sz w:val="20"/>
              </w:rPr>
              <w:t> </w:t>
            </w:r>
            <w:r>
              <w:rPr>
                <w:color w:val="231F20"/>
                <w:sz w:val="20"/>
              </w:rPr>
              <w:t>of</w:t>
            </w:r>
            <w:r>
              <w:rPr>
                <w:color w:val="231F20"/>
                <w:spacing w:val="-5"/>
                <w:sz w:val="20"/>
              </w:rPr>
              <w:t> </w:t>
            </w:r>
            <w:r>
              <w:rPr>
                <w:color w:val="231F20"/>
                <w:sz w:val="20"/>
              </w:rPr>
              <w:t>the</w:t>
            </w:r>
            <w:r>
              <w:rPr>
                <w:color w:val="231F20"/>
                <w:spacing w:val="-4"/>
                <w:sz w:val="20"/>
              </w:rPr>
              <w:t> </w:t>
            </w:r>
            <w:r>
              <w:rPr>
                <w:color w:val="231F20"/>
                <w:sz w:val="20"/>
              </w:rPr>
              <w:t>following</w:t>
            </w:r>
            <w:r>
              <w:rPr>
                <w:color w:val="231F20"/>
                <w:spacing w:val="-5"/>
                <w:sz w:val="20"/>
              </w:rPr>
              <w:t> </w:t>
            </w:r>
            <w:r>
              <w:rPr>
                <w:color w:val="231F20"/>
                <w:sz w:val="20"/>
              </w:rPr>
              <w:t>at</w:t>
            </w:r>
            <w:r>
              <w:rPr>
                <w:color w:val="231F20"/>
                <w:spacing w:val="-4"/>
                <w:sz w:val="20"/>
              </w:rPr>
              <w:t> </w:t>
            </w:r>
            <w:r>
              <w:rPr>
                <w:color w:val="231F20"/>
                <w:sz w:val="20"/>
              </w:rPr>
              <w:t>June</w:t>
            </w:r>
            <w:r>
              <w:rPr>
                <w:color w:val="231F20"/>
                <w:spacing w:val="-5"/>
                <w:sz w:val="20"/>
              </w:rPr>
              <w:t> </w:t>
            </w:r>
            <w:r>
              <w:rPr>
                <w:color w:val="231F20"/>
                <w:sz w:val="20"/>
              </w:rPr>
              <w:t>30,</w:t>
            </w:r>
            <w:r>
              <w:rPr>
                <w:color w:val="231F20"/>
                <w:spacing w:val="-4"/>
                <w:sz w:val="20"/>
              </w:rPr>
              <w:t> 2022:</w:t>
            </w:r>
          </w:p>
        </w:tc>
        <w:tc>
          <w:tcPr>
            <w:tcW w:w="2329" w:type="dxa"/>
          </w:tcPr>
          <w:p>
            <w:pPr>
              <w:pStyle w:val="TableParagraph"/>
              <w:rPr>
                <w:rFonts w:ascii="Times New Roman"/>
                <w:sz w:val="18"/>
              </w:rPr>
            </w:pPr>
          </w:p>
        </w:tc>
      </w:tr>
      <w:tr>
        <w:trPr>
          <w:trHeight w:val="382" w:hRule="atLeast"/>
        </w:trPr>
        <w:tc>
          <w:tcPr>
            <w:tcW w:w="7086" w:type="dxa"/>
          </w:tcPr>
          <w:p>
            <w:pPr>
              <w:pStyle w:val="TableParagraph"/>
              <w:spacing w:line="211" w:lineRule="exact" w:before="152"/>
              <w:ind w:left="95"/>
              <w:rPr>
                <w:sz w:val="19"/>
              </w:rPr>
            </w:pPr>
            <w:r>
              <w:rPr>
                <w:color w:val="231F20"/>
                <w:sz w:val="19"/>
              </w:rPr>
              <w:t>Amounts</w:t>
            </w:r>
            <w:r>
              <w:rPr>
                <w:color w:val="231F20"/>
                <w:spacing w:val="-8"/>
                <w:sz w:val="19"/>
              </w:rPr>
              <w:t> </w:t>
            </w:r>
            <w:r>
              <w:rPr>
                <w:color w:val="231F20"/>
                <w:sz w:val="19"/>
              </w:rPr>
              <w:t>receivable</w:t>
            </w:r>
            <w:r>
              <w:rPr>
                <w:color w:val="231F20"/>
                <w:spacing w:val="-7"/>
                <w:sz w:val="19"/>
              </w:rPr>
              <w:t> </w:t>
            </w:r>
            <w:r>
              <w:rPr>
                <w:color w:val="231F20"/>
                <w:sz w:val="19"/>
              </w:rPr>
              <w:t>in</w:t>
            </w:r>
            <w:r>
              <w:rPr>
                <w:color w:val="231F20"/>
                <w:spacing w:val="-8"/>
                <w:sz w:val="19"/>
              </w:rPr>
              <w:t> </w:t>
            </w:r>
            <w:r>
              <w:rPr>
                <w:color w:val="231F20"/>
                <w:sz w:val="19"/>
              </w:rPr>
              <w:t>less</w:t>
            </w:r>
            <w:r>
              <w:rPr>
                <w:color w:val="231F20"/>
                <w:spacing w:val="-7"/>
                <w:sz w:val="19"/>
              </w:rPr>
              <w:t> </w:t>
            </w:r>
            <w:r>
              <w:rPr>
                <w:color w:val="231F20"/>
                <w:sz w:val="19"/>
              </w:rPr>
              <w:t>than</w:t>
            </w:r>
            <w:r>
              <w:rPr>
                <w:color w:val="231F20"/>
                <w:spacing w:val="-8"/>
                <w:sz w:val="19"/>
              </w:rPr>
              <w:t> </w:t>
            </w:r>
            <w:r>
              <w:rPr>
                <w:color w:val="231F20"/>
                <w:sz w:val="19"/>
              </w:rPr>
              <w:t>one</w:t>
            </w:r>
            <w:r>
              <w:rPr>
                <w:color w:val="231F20"/>
                <w:spacing w:val="-7"/>
                <w:sz w:val="19"/>
              </w:rPr>
              <w:t> </w:t>
            </w:r>
            <w:r>
              <w:rPr>
                <w:color w:val="231F20"/>
                <w:spacing w:val="-4"/>
                <w:sz w:val="19"/>
              </w:rPr>
              <w:t>year</w:t>
            </w:r>
          </w:p>
        </w:tc>
        <w:tc>
          <w:tcPr>
            <w:tcW w:w="2329" w:type="dxa"/>
          </w:tcPr>
          <w:p>
            <w:pPr>
              <w:pStyle w:val="TableParagraph"/>
              <w:spacing w:line="211" w:lineRule="exact" w:before="152"/>
              <w:ind w:right="100"/>
              <w:jc w:val="right"/>
              <w:rPr>
                <w:sz w:val="19"/>
              </w:rPr>
            </w:pPr>
            <w:r>
              <w:rPr>
                <w:color w:val="231F20"/>
                <w:sz w:val="19"/>
              </w:rPr>
              <w:t>$</w:t>
            </w:r>
            <w:r>
              <w:rPr>
                <w:color w:val="231F20"/>
                <w:spacing w:val="62"/>
                <w:w w:val="150"/>
                <w:sz w:val="19"/>
              </w:rPr>
              <w:t> </w:t>
            </w:r>
            <w:r>
              <w:rPr>
                <w:color w:val="231F20"/>
                <w:spacing w:val="-2"/>
                <w:sz w:val="19"/>
              </w:rPr>
              <w:t>1,104,333</w:t>
            </w:r>
          </w:p>
        </w:tc>
      </w:tr>
      <w:tr>
        <w:trPr>
          <w:trHeight w:val="290" w:hRule="atLeast"/>
        </w:trPr>
        <w:tc>
          <w:tcPr>
            <w:tcW w:w="7086" w:type="dxa"/>
          </w:tcPr>
          <w:p>
            <w:pPr>
              <w:pStyle w:val="TableParagraph"/>
              <w:spacing w:before="5"/>
              <w:ind w:left="95"/>
              <w:rPr>
                <w:sz w:val="19"/>
              </w:rPr>
            </w:pPr>
            <w:r>
              <w:rPr>
                <w:color w:val="231F20"/>
                <w:sz w:val="19"/>
              </w:rPr>
              <w:t>Amount</w:t>
            </w:r>
            <w:r>
              <w:rPr>
                <w:color w:val="231F20"/>
                <w:spacing w:val="-8"/>
                <w:sz w:val="19"/>
              </w:rPr>
              <w:t> </w:t>
            </w:r>
            <w:r>
              <w:rPr>
                <w:color w:val="231F20"/>
                <w:sz w:val="19"/>
              </w:rPr>
              <w:t>receivable</w:t>
            </w:r>
            <w:r>
              <w:rPr>
                <w:color w:val="231F20"/>
                <w:spacing w:val="-7"/>
                <w:sz w:val="19"/>
              </w:rPr>
              <w:t> </w:t>
            </w:r>
            <w:r>
              <w:rPr>
                <w:color w:val="231F20"/>
                <w:sz w:val="19"/>
              </w:rPr>
              <w:t>in</w:t>
            </w:r>
            <w:r>
              <w:rPr>
                <w:color w:val="231F20"/>
                <w:spacing w:val="-8"/>
                <w:sz w:val="19"/>
              </w:rPr>
              <w:t> </w:t>
            </w:r>
            <w:r>
              <w:rPr>
                <w:color w:val="231F20"/>
                <w:sz w:val="19"/>
              </w:rPr>
              <w:t>more</w:t>
            </w:r>
            <w:r>
              <w:rPr>
                <w:color w:val="231F20"/>
                <w:spacing w:val="-8"/>
                <w:sz w:val="19"/>
              </w:rPr>
              <w:t> </w:t>
            </w:r>
            <w:r>
              <w:rPr>
                <w:color w:val="231F20"/>
                <w:sz w:val="19"/>
              </w:rPr>
              <w:t>than</w:t>
            </w:r>
            <w:r>
              <w:rPr>
                <w:color w:val="231F20"/>
                <w:spacing w:val="-7"/>
                <w:sz w:val="19"/>
              </w:rPr>
              <w:t> </w:t>
            </w:r>
            <w:r>
              <w:rPr>
                <w:color w:val="231F20"/>
                <w:sz w:val="19"/>
              </w:rPr>
              <w:t>one</w:t>
            </w:r>
            <w:r>
              <w:rPr>
                <w:color w:val="231F20"/>
                <w:spacing w:val="-7"/>
                <w:sz w:val="19"/>
              </w:rPr>
              <w:t> </w:t>
            </w:r>
            <w:r>
              <w:rPr>
                <w:color w:val="231F20"/>
                <w:spacing w:val="-4"/>
                <w:sz w:val="19"/>
              </w:rPr>
              <w:t>year</w:t>
            </w:r>
          </w:p>
        </w:tc>
        <w:tc>
          <w:tcPr>
            <w:tcW w:w="2329" w:type="dxa"/>
          </w:tcPr>
          <w:p>
            <w:pPr>
              <w:pStyle w:val="TableParagraph"/>
              <w:tabs>
                <w:tab w:pos="348" w:val="left" w:leader="none"/>
              </w:tabs>
              <w:spacing w:before="5"/>
              <w:ind w:right="-15"/>
              <w:jc w:val="right"/>
              <w:rPr>
                <w:sz w:val="19"/>
              </w:rPr>
            </w:pPr>
            <w:r>
              <w:rPr>
                <w:color w:val="231F20"/>
                <w:sz w:val="19"/>
                <w:u w:val="single" w:color="231F20"/>
              </w:rPr>
              <w:tab/>
            </w:r>
            <w:r>
              <w:rPr>
                <w:color w:val="231F20"/>
                <w:spacing w:val="-2"/>
                <w:sz w:val="19"/>
                <w:u w:val="single" w:color="231F20"/>
              </w:rPr>
              <w:t>3,272,000</w:t>
            </w:r>
            <w:r>
              <w:rPr>
                <w:color w:val="231F20"/>
                <w:spacing w:val="80"/>
                <w:sz w:val="19"/>
                <w:u w:val="single" w:color="231F20"/>
              </w:rPr>
              <w:t> </w:t>
            </w:r>
          </w:p>
        </w:tc>
      </w:tr>
      <w:tr>
        <w:trPr>
          <w:trHeight w:val="346" w:hRule="atLeast"/>
        </w:trPr>
        <w:tc>
          <w:tcPr>
            <w:tcW w:w="7086" w:type="dxa"/>
          </w:tcPr>
          <w:p>
            <w:pPr>
              <w:pStyle w:val="TableParagraph"/>
              <w:spacing w:before="60"/>
              <w:ind w:left="849"/>
              <w:rPr>
                <w:sz w:val="19"/>
              </w:rPr>
            </w:pPr>
            <w:r>
              <w:rPr>
                <w:color w:val="231F20"/>
                <w:sz w:val="19"/>
              </w:rPr>
              <w:t>Total</w:t>
            </w:r>
            <w:r>
              <w:rPr>
                <w:color w:val="231F20"/>
                <w:spacing w:val="-6"/>
                <w:sz w:val="19"/>
              </w:rPr>
              <w:t> </w:t>
            </w:r>
            <w:r>
              <w:rPr>
                <w:color w:val="231F20"/>
                <w:sz w:val="19"/>
              </w:rPr>
              <w:t>promise</w:t>
            </w:r>
            <w:r>
              <w:rPr>
                <w:color w:val="231F20"/>
                <w:spacing w:val="-7"/>
                <w:sz w:val="19"/>
              </w:rPr>
              <w:t> </w:t>
            </w:r>
            <w:r>
              <w:rPr>
                <w:color w:val="231F20"/>
                <w:sz w:val="19"/>
              </w:rPr>
              <w:t>to</w:t>
            </w:r>
            <w:r>
              <w:rPr>
                <w:color w:val="231F20"/>
                <w:spacing w:val="-6"/>
                <w:sz w:val="19"/>
              </w:rPr>
              <w:t> </w:t>
            </w:r>
            <w:r>
              <w:rPr>
                <w:color w:val="231F20"/>
                <w:spacing w:val="-4"/>
                <w:sz w:val="19"/>
              </w:rPr>
              <w:t>give</w:t>
            </w:r>
          </w:p>
        </w:tc>
        <w:tc>
          <w:tcPr>
            <w:tcW w:w="2329" w:type="dxa"/>
          </w:tcPr>
          <w:p>
            <w:pPr>
              <w:pStyle w:val="TableParagraph"/>
              <w:tabs>
                <w:tab w:pos="350" w:val="left" w:leader="none"/>
              </w:tabs>
              <w:spacing w:before="60"/>
              <w:ind w:right="-15"/>
              <w:jc w:val="right"/>
              <w:rPr>
                <w:sz w:val="19"/>
              </w:rPr>
            </w:pPr>
            <w:r>
              <w:rPr>
                <w:color w:val="231F20"/>
                <w:sz w:val="19"/>
                <w:u w:val="single" w:color="231F20"/>
              </w:rPr>
              <w:tab/>
            </w:r>
            <w:r>
              <w:rPr>
                <w:color w:val="231F20"/>
                <w:spacing w:val="-2"/>
                <w:sz w:val="19"/>
                <w:u w:val="single" w:color="231F20"/>
              </w:rPr>
              <w:t>4,376,333</w:t>
            </w:r>
            <w:r>
              <w:rPr>
                <w:color w:val="231F20"/>
                <w:spacing w:val="80"/>
                <w:sz w:val="19"/>
                <w:u w:val="single" w:color="231F20"/>
              </w:rPr>
              <w:t> </w:t>
            </w:r>
          </w:p>
        </w:tc>
      </w:tr>
      <w:tr>
        <w:trPr>
          <w:trHeight w:val="346" w:hRule="atLeast"/>
        </w:trPr>
        <w:tc>
          <w:tcPr>
            <w:tcW w:w="7086" w:type="dxa"/>
          </w:tcPr>
          <w:p>
            <w:pPr>
              <w:pStyle w:val="TableParagraph"/>
              <w:spacing w:before="61"/>
              <w:ind w:left="95"/>
              <w:rPr>
                <w:sz w:val="19"/>
              </w:rPr>
            </w:pPr>
            <w:r>
              <w:rPr>
                <w:color w:val="231F20"/>
                <w:sz w:val="19"/>
              </w:rPr>
              <w:t>Discount</w:t>
            </w:r>
            <w:r>
              <w:rPr>
                <w:color w:val="231F20"/>
                <w:spacing w:val="-8"/>
                <w:sz w:val="19"/>
              </w:rPr>
              <w:t> </w:t>
            </w:r>
            <w:r>
              <w:rPr>
                <w:color w:val="231F20"/>
                <w:sz w:val="19"/>
              </w:rPr>
              <w:t>to</w:t>
            </w:r>
            <w:r>
              <w:rPr>
                <w:color w:val="231F20"/>
                <w:spacing w:val="-7"/>
                <w:sz w:val="19"/>
              </w:rPr>
              <w:t> </w:t>
            </w:r>
            <w:r>
              <w:rPr>
                <w:color w:val="231F20"/>
                <w:sz w:val="19"/>
              </w:rPr>
              <w:t>net</w:t>
            </w:r>
            <w:r>
              <w:rPr>
                <w:color w:val="231F20"/>
                <w:spacing w:val="-7"/>
                <w:sz w:val="19"/>
              </w:rPr>
              <w:t> </w:t>
            </w:r>
            <w:r>
              <w:rPr>
                <w:color w:val="231F20"/>
                <w:sz w:val="19"/>
              </w:rPr>
              <w:t>present</w:t>
            </w:r>
            <w:r>
              <w:rPr>
                <w:color w:val="231F20"/>
                <w:spacing w:val="-8"/>
                <w:sz w:val="19"/>
              </w:rPr>
              <w:t> </w:t>
            </w:r>
            <w:r>
              <w:rPr>
                <w:color w:val="231F20"/>
                <w:spacing w:val="-4"/>
                <w:sz w:val="19"/>
              </w:rPr>
              <w:t>value</w:t>
            </w:r>
          </w:p>
        </w:tc>
        <w:tc>
          <w:tcPr>
            <w:tcW w:w="2329" w:type="dxa"/>
          </w:tcPr>
          <w:p>
            <w:pPr>
              <w:pStyle w:val="TableParagraph"/>
              <w:spacing w:before="61"/>
              <w:ind w:right="36"/>
              <w:jc w:val="right"/>
              <w:rPr>
                <w:sz w:val="19"/>
              </w:rPr>
            </w:pPr>
            <w:r>
              <w:rPr>
                <w:color w:val="231F20"/>
                <w:spacing w:val="-2"/>
                <w:sz w:val="19"/>
              </w:rPr>
              <w:t>(1,081,384)</w:t>
            </w:r>
          </w:p>
        </w:tc>
      </w:tr>
      <w:tr>
        <w:trPr>
          <w:trHeight w:val="346" w:hRule="atLeast"/>
        </w:trPr>
        <w:tc>
          <w:tcPr>
            <w:tcW w:w="7086" w:type="dxa"/>
          </w:tcPr>
          <w:p>
            <w:pPr>
              <w:pStyle w:val="TableParagraph"/>
              <w:spacing w:before="61"/>
              <w:ind w:left="849"/>
              <w:rPr>
                <w:sz w:val="19"/>
              </w:rPr>
            </w:pPr>
            <w:r>
              <w:rPr>
                <w:color w:val="231F20"/>
                <w:sz w:val="19"/>
              </w:rPr>
              <w:t>Promise</w:t>
            </w:r>
            <w:r>
              <w:rPr>
                <w:color w:val="231F20"/>
                <w:spacing w:val="-8"/>
                <w:sz w:val="19"/>
              </w:rPr>
              <w:t> </w:t>
            </w:r>
            <w:r>
              <w:rPr>
                <w:color w:val="231F20"/>
                <w:sz w:val="19"/>
              </w:rPr>
              <w:t>to</w:t>
            </w:r>
            <w:r>
              <w:rPr>
                <w:color w:val="231F20"/>
                <w:spacing w:val="-8"/>
                <w:sz w:val="19"/>
              </w:rPr>
              <w:t> </w:t>
            </w:r>
            <w:r>
              <w:rPr>
                <w:color w:val="231F20"/>
                <w:sz w:val="19"/>
              </w:rPr>
              <w:t>give,</w:t>
            </w:r>
            <w:r>
              <w:rPr>
                <w:color w:val="231F20"/>
                <w:spacing w:val="-7"/>
                <w:sz w:val="19"/>
              </w:rPr>
              <w:t> </w:t>
            </w:r>
            <w:r>
              <w:rPr>
                <w:color w:val="231F20"/>
                <w:spacing w:val="-5"/>
                <w:sz w:val="19"/>
              </w:rPr>
              <w:t>net</w:t>
            </w:r>
          </w:p>
        </w:tc>
        <w:tc>
          <w:tcPr>
            <w:tcW w:w="2329" w:type="dxa"/>
          </w:tcPr>
          <w:p>
            <w:pPr>
              <w:pStyle w:val="TableParagraph"/>
              <w:spacing w:before="61"/>
              <w:ind w:right="98"/>
              <w:jc w:val="right"/>
              <w:rPr>
                <w:sz w:val="19"/>
              </w:rPr>
            </w:pPr>
            <w:r>
              <w:rPr>
                <w:color w:val="231F20"/>
                <w:spacing w:val="-2"/>
                <w:sz w:val="19"/>
              </w:rPr>
              <w:t>3,294,949</w:t>
            </w:r>
          </w:p>
        </w:tc>
      </w:tr>
      <w:tr>
        <w:trPr>
          <w:trHeight w:val="345" w:hRule="atLeast"/>
        </w:trPr>
        <w:tc>
          <w:tcPr>
            <w:tcW w:w="7086" w:type="dxa"/>
          </w:tcPr>
          <w:p>
            <w:pPr>
              <w:pStyle w:val="TableParagraph"/>
              <w:spacing w:before="61"/>
              <w:ind w:left="95"/>
              <w:rPr>
                <w:sz w:val="19"/>
              </w:rPr>
            </w:pPr>
            <w:r>
              <w:rPr>
                <w:color w:val="231F20"/>
                <w:sz w:val="19"/>
              </w:rPr>
              <w:t>Less</w:t>
            </w:r>
            <w:r>
              <w:rPr>
                <w:color w:val="231F20"/>
                <w:spacing w:val="-7"/>
                <w:sz w:val="19"/>
              </w:rPr>
              <w:t> </w:t>
            </w:r>
            <w:r>
              <w:rPr>
                <w:color w:val="231F20"/>
                <w:sz w:val="19"/>
              </w:rPr>
              <w:t>current</w:t>
            </w:r>
            <w:r>
              <w:rPr>
                <w:color w:val="231F20"/>
                <w:spacing w:val="-7"/>
                <w:sz w:val="19"/>
              </w:rPr>
              <w:t> </w:t>
            </w:r>
            <w:r>
              <w:rPr>
                <w:color w:val="231F20"/>
                <w:spacing w:val="-2"/>
                <w:sz w:val="19"/>
              </w:rPr>
              <w:t>portion</w:t>
            </w:r>
          </w:p>
        </w:tc>
        <w:tc>
          <w:tcPr>
            <w:tcW w:w="2329" w:type="dxa"/>
          </w:tcPr>
          <w:p>
            <w:pPr>
              <w:pStyle w:val="TableParagraph"/>
              <w:tabs>
                <w:tab w:pos="286" w:val="left" w:leader="none"/>
              </w:tabs>
              <w:spacing w:before="61"/>
              <w:ind w:right="35"/>
              <w:jc w:val="right"/>
              <w:rPr>
                <w:sz w:val="19"/>
              </w:rPr>
            </w:pPr>
            <w:r>
              <w:rPr>
                <w:color w:val="231F20"/>
                <w:sz w:val="19"/>
                <w:u w:val="single" w:color="231F20"/>
              </w:rPr>
              <w:tab/>
            </w:r>
            <w:r>
              <w:rPr>
                <w:color w:val="231F20"/>
                <w:spacing w:val="-2"/>
                <w:sz w:val="19"/>
                <w:u w:val="single" w:color="231F20"/>
              </w:rPr>
              <w:t>(1,104,333)</w:t>
            </w:r>
          </w:p>
        </w:tc>
      </w:tr>
      <w:tr>
        <w:trPr>
          <w:trHeight w:val="277" w:hRule="atLeast"/>
        </w:trPr>
        <w:tc>
          <w:tcPr>
            <w:tcW w:w="7086" w:type="dxa"/>
          </w:tcPr>
          <w:p>
            <w:pPr>
              <w:pStyle w:val="TableParagraph"/>
              <w:spacing w:line="198" w:lineRule="exact" w:before="59"/>
              <w:ind w:left="849"/>
              <w:rPr>
                <w:sz w:val="19"/>
              </w:rPr>
            </w:pPr>
            <w:r>
              <w:rPr>
                <w:color w:val="231F20"/>
                <w:spacing w:val="-2"/>
                <w:sz w:val="19"/>
              </w:rPr>
              <w:t>Noncurrent</w:t>
            </w:r>
            <w:r>
              <w:rPr>
                <w:color w:val="231F20"/>
                <w:spacing w:val="5"/>
                <w:sz w:val="19"/>
              </w:rPr>
              <w:t> </w:t>
            </w:r>
            <w:r>
              <w:rPr>
                <w:color w:val="231F20"/>
                <w:spacing w:val="-2"/>
                <w:sz w:val="19"/>
              </w:rPr>
              <w:t>portion</w:t>
            </w:r>
          </w:p>
        </w:tc>
        <w:tc>
          <w:tcPr>
            <w:tcW w:w="2329" w:type="dxa"/>
          </w:tcPr>
          <w:p>
            <w:pPr>
              <w:pStyle w:val="TableParagraph"/>
              <w:spacing w:line="198" w:lineRule="exact" w:before="59"/>
              <w:ind w:right="-15"/>
              <w:jc w:val="right"/>
              <w:rPr>
                <w:sz w:val="19"/>
              </w:rPr>
            </w:pPr>
            <w:r>
              <w:rPr>
                <w:color w:val="231F20"/>
                <w:spacing w:val="45"/>
                <w:sz w:val="19"/>
                <w:u w:val="double" w:color="231F20"/>
              </w:rPr>
              <w:t> </w:t>
            </w:r>
            <w:r>
              <w:rPr>
                <w:color w:val="231F20"/>
                <w:sz w:val="19"/>
                <w:u w:val="double" w:color="231F20"/>
              </w:rPr>
              <w:t>$</w:t>
            </w:r>
            <w:r>
              <w:rPr>
                <w:color w:val="231F20"/>
                <w:spacing w:val="63"/>
                <w:w w:val="150"/>
                <w:sz w:val="19"/>
                <w:u w:val="double" w:color="231F20"/>
              </w:rPr>
              <w:t> </w:t>
            </w:r>
            <w:r>
              <w:rPr>
                <w:color w:val="231F20"/>
                <w:spacing w:val="-2"/>
                <w:sz w:val="19"/>
                <w:u w:val="double" w:color="231F20"/>
              </w:rPr>
              <w:t>2,190,616</w:t>
            </w:r>
            <w:r>
              <w:rPr>
                <w:color w:val="231F20"/>
                <w:spacing w:val="80"/>
                <w:sz w:val="19"/>
                <w:u w:val="double" w:color="231F20"/>
              </w:rPr>
              <w:t> </w:t>
            </w:r>
          </w:p>
        </w:tc>
      </w:tr>
    </w:tbl>
    <w:p>
      <w:pPr>
        <w:spacing w:after="0" w:line="198" w:lineRule="exact"/>
        <w:jc w:val="right"/>
        <w:rPr>
          <w:sz w:val="19"/>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3"/>
        </w:rPr>
      </w:pPr>
    </w:p>
    <w:p>
      <w:pPr>
        <w:spacing w:before="0"/>
        <w:ind w:left="1440" w:right="0" w:firstLine="0"/>
        <w:jc w:val="left"/>
        <w:rPr>
          <w:b/>
          <w:sz w:val="20"/>
        </w:rPr>
      </w:pPr>
      <w:r>
        <w:rPr>
          <w:b/>
          <w:color w:val="231F20"/>
          <w:sz w:val="20"/>
        </w:rPr>
        <w:t>Capital</w:t>
      </w:r>
      <w:r>
        <w:rPr>
          <w:b/>
          <w:color w:val="231F20"/>
          <w:spacing w:val="-7"/>
          <w:sz w:val="20"/>
        </w:rPr>
        <w:t> </w:t>
      </w:r>
      <w:r>
        <w:rPr>
          <w:b/>
          <w:color w:val="231F20"/>
          <w:spacing w:val="-2"/>
          <w:sz w:val="20"/>
        </w:rPr>
        <w:t>Assets</w:t>
      </w:r>
    </w:p>
    <w:p>
      <w:pPr>
        <w:pStyle w:val="BodyText"/>
        <w:spacing w:before="34"/>
        <w:ind w:left="1440"/>
      </w:pPr>
      <w:r>
        <w:rPr>
          <w:color w:val="231F20"/>
        </w:rPr>
        <w:t>Capital</w:t>
      </w:r>
      <w:r>
        <w:rPr>
          <w:color w:val="231F20"/>
          <w:spacing w:val="-6"/>
        </w:rPr>
        <w:t> </w:t>
      </w:r>
      <w:r>
        <w:rPr>
          <w:color w:val="231F20"/>
        </w:rPr>
        <w:t>assets</w:t>
      </w:r>
      <w:r>
        <w:rPr>
          <w:color w:val="231F20"/>
          <w:spacing w:val="-4"/>
        </w:rPr>
        <w:t> </w:t>
      </w:r>
      <w:r>
        <w:rPr>
          <w:color w:val="231F20"/>
        </w:rPr>
        <w:t>consist</w:t>
      </w:r>
      <w:r>
        <w:rPr>
          <w:color w:val="231F20"/>
          <w:spacing w:val="-6"/>
        </w:rPr>
        <w:t> </w:t>
      </w:r>
      <w:r>
        <w:rPr>
          <w:color w:val="231F20"/>
        </w:rPr>
        <w:t>of</w:t>
      </w:r>
      <w:r>
        <w:rPr>
          <w:color w:val="231F20"/>
          <w:spacing w:val="-5"/>
        </w:rPr>
        <w:t> </w:t>
      </w:r>
      <w:r>
        <w:rPr>
          <w:color w:val="231F20"/>
        </w:rPr>
        <w:t>the</w:t>
      </w:r>
      <w:r>
        <w:rPr>
          <w:color w:val="231F20"/>
          <w:spacing w:val="-5"/>
        </w:rPr>
        <w:t> </w:t>
      </w:r>
      <w:r>
        <w:rPr>
          <w:color w:val="231F20"/>
        </w:rPr>
        <w:t>following</w:t>
      </w:r>
      <w:r>
        <w:rPr>
          <w:color w:val="231F20"/>
          <w:spacing w:val="-6"/>
        </w:rPr>
        <w:t> </w:t>
      </w:r>
      <w:r>
        <w:rPr>
          <w:color w:val="231F20"/>
        </w:rPr>
        <w:t>at</w:t>
      </w:r>
      <w:r>
        <w:rPr>
          <w:color w:val="231F20"/>
          <w:spacing w:val="-5"/>
        </w:rPr>
        <w:t> </w:t>
      </w:r>
      <w:r>
        <w:rPr>
          <w:color w:val="231F20"/>
        </w:rPr>
        <w:t>June</w:t>
      </w:r>
      <w:r>
        <w:rPr>
          <w:color w:val="231F20"/>
          <w:spacing w:val="-5"/>
        </w:rPr>
        <w:t> </w:t>
      </w:r>
      <w:r>
        <w:rPr>
          <w:color w:val="231F20"/>
        </w:rPr>
        <w:t>30,</w:t>
      </w:r>
      <w:r>
        <w:rPr>
          <w:color w:val="231F20"/>
          <w:spacing w:val="-5"/>
        </w:rPr>
        <w:t> </w:t>
      </w:r>
      <w:r>
        <w:rPr>
          <w:color w:val="231F20"/>
          <w:spacing w:val="-4"/>
        </w:rPr>
        <w:t>2022:</w:t>
      </w:r>
    </w:p>
    <w:p>
      <w:pPr>
        <w:pStyle w:val="BodyText"/>
        <w:spacing w:before="11"/>
        <w:rPr>
          <w:sz w:val="18"/>
        </w:rPr>
      </w:pPr>
    </w:p>
    <w:p>
      <w:pPr>
        <w:spacing w:after="0"/>
        <w:rPr>
          <w:sz w:val="18"/>
        </w:rPr>
        <w:sectPr>
          <w:pgSz w:w="12240" w:h="15840"/>
          <w:pgMar w:header="1282" w:footer="1097" w:top="1900" w:bottom="1280" w:left="0" w:right="580"/>
        </w:sectPr>
      </w:pPr>
    </w:p>
    <w:p>
      <w:pPr>
        <w:pStyle w:val="BodyText"/>
      </w:pPr>
    </w:p>
    <w:p>
      <w:pPr>
        <w:pStyle w:val="BodyText"/>
        <w:spacing w:before="2"/>
        <w:rPr>
          <w:sz w:val="29"/>
        </w:rPr>
      </w:pPr>
    </w:p>
    <w:p>
      <w:pPr>
        <w:spacing w:before="0"/>
        <w:ind w:left="1484" w:right="0" w:firstLine="0"/>
        <w:jc w:val="left"/>
        <w:rPr>
          <w:sz w:val="18"/>
        </w:rPr>
      </w:pPr>
      <w:r>
        <w:rPr>
          <w:color w:val="231F20"/>
          <w:w w:val="105"/>
          <w:sz w:val="18"/>
        </w:rPr>
        <w:t>Capital</w:t>
      </w:r>
      <w:r>
        <w:rPr>
          <w:color w:val="231F20"/>
          <w:spacing w:val="-10"/>
          <w:w w:val="105"/>
          <w:sz w:val="18"/>
        </w:rPr>
        <w:t> </w:t>
      </w:r>
      <w:r>
        <w:rPr>
          <w:color w:val="231F20"/>
          <w:w w:val="105"/>
          <w:sz w:val="18"/>
        </w:rPr>
        <w:t>assets</w:t>
      </w:r>
      <w:r>
        <w:rPr>
          <w:color w:val="231F20"/>
          <w:spacing w:val="-10"/>
          <w:w w:val="105"/>
          <w:sz w:val="18"/>
        </w:rPr>
        <w:t> </w:t>
      </w:r>
      <w:r>
        <w:rPr>
          <w:color w:val="231F20"/>
          <w:w w:val="105"/>
          <w:sz w:val="18"/>
        </w:rPr>
        <w:t>not</w:t>
      </w:r>
      <w:r>
        <w:rPr>
          <w:color w:val="231F20"/>
          <w:spacing w:val="-9"/>
          <w:w w:val="105"/>
          <w:sz w:val="18"/>
        </w:rPr>
        <w:t> </w:t>
      </w:r>
      <w:r>
        <w:rPr>
          <w:color w:val="231F20"/>
          <w:spacing w:val="-2"/>
          <w:w w:val="105"/>
          <w:sz w:val="18"/>
        </w:rPr>
        <w:t>depreciating</w:t>
      </w:r>
    </w:p>
    <w:p>
      <w:pPr>
        <w:tabs>
          <w:tab w:pos="5852" w:val="left" w:leader="none"/>
        </w:tabs>
        <w:spacing w:before="100"/>
        <w:ind w:left="365" w:right="0" w:firstLine="0"/>
        <w:jc w:val="left"/>
        <w:rPr>
          <w:sz w:val="18"/>
        </w:rPr>
      </w:pPr>
      <w:r>
        <w:rPr/>
        <w:br w:type="column"/>
      </w:r>
      <w:r>
        <w:rPr>
          <w:color w:val="231F20"/>
          <w:spacing w:val="-2"/>
          <w:w w:val="105"/>
          <w:sz w:val="18"/>
        </w:rPr>
        <w:t>Beginning</w:t>
      </w:r>
      <w:r>
        <w:rPr>
          <w:color w:val="231F20"/>
          <w:sz w:val="18"/>
        </w:rPr>
        <w:tab/>
      </w:r>
      <w:r>
        <w:rPr>
          <w:color w:val="231F20"/>
          <w:spacing w:val="-2"/>
          <w:w w:val="105"/>
          <w:sz w:val="18"/>
        </w:rPr>
        <w:t>Ending</w:t>
      </w:r>
    </w:p>
    <w:p>
      <w:pPr>
        <w:tabs>
          <w:tab w:pos="1379" w:val="left" w:leader="none"/>
          <w:tab w:pos="5383" w:val="left" w:leader="none"/>
          <w:tab w:pos="6717" w:val="left" w:leader="none"/>
        </w:tabs>
        <w:spacing w:before="26"/>
        <w:ind w:left="220" w:right="0" w:firstLine="0"/>
        <w:jc w:val="left"/>
        <w:rPr>
          <w:sz w:val="18"/>
        </w:rPr>
      </w:pPr>
      <w:r>
        <w:rPr>
          <w:color w:val="231F20"/>
          <w:spacing w:val="71"/>
          <w:w w:val="105"/>
          <w:sz w:val="18"/>
          <w:u w:val="single" w:color="231F20"/>
        </w:rPr>
        <w:t>  </w:t>
      </w:r>
      <w:r>
        <w:rPr>
          <w:color w:val="231F20"/>
          <w:spacing w:val="-2"/>
          <w:w w:val="105"/>
          <w:sz w:val="18"/>
          <w:u w:val="single" w:color="231F20"/>
        </w:rPr>
        <w:t>Balance</w:t>
      </w:r>
      <w:r>
        <w:rPr>
          <w:color w:val="231F20"/>
          <w:sz w:val="18"/>
          <w:u w:val="single" w:color="231F20"/>
        </w:rPr>
        <w:tab/>
      </w:r>
      <w:r>
        <w:rPr>
          <w:color w:val="231F20"/>
          <w:spacing w:val="125"/>
          <w:sz w:val="18"/>
        </w:rPr>
        <w:t> </w:t>
      </w:r>
      <w:r>
        <w:rPr>
          <w:color w:val="231F20"/>
          <w:spacing w:val="125"/>
          <w:sz w:val="18"/>
          <w:u w:val="single" w:color="231F20"/>
        </w:rPr>
        <w:t> </w:t>
      </w:r>
      <w:r>
        <w:rPr>
          <w:color w:val="231F20"/>
          <w:w w:val="105"/>
          <w:sz w:val="18"/>
          <w:u w:val="single" w:color="231F20"/>
        </w:rPr>
        <w:t>Increases</w:t>
      </w:r>
      <w:r>
        <w:rPr>
          <w:color w:val="231F20"/>
          <w:spacing w:val="116"/>
          <w:w w:val="105"/>
          <w:sz w:val="18"/>
          <w:u w:val="single" w:color="231F20"/>
        </w:rPr>
        <w:t> </w:t>
      </w:r>
      <w:r>
        <w:rPr>
          <w:color w:val="231F20"/>
          <w:spacing w:val="116"/>
          <w:w w:val="105"/>
          <w:sz w:val="18"/>
        </w:rPr>
        <w:t> </w:t>
      </w:r>
      <w:r>
        <w:rPr>
          <w:color w:val="231F20"/>
          <w:spacing w:val="100"/>
          <w:w w:val="105"/>
          <w:sz w:val="18"/>
          <w:u w:val="single" w:color="231F20"/>
        </w:rPr>
        <w:t> </w:t>
      </w:r>
      <w:r>
        <w:rPr>
          <w:color w:val="231F20"/>
          <w:w w:val="105"/>
          <w:sz w:val="18"/>
          <w:u w:val="single" w:color="231F20"/>
        </w:rPr>
        <w:t>Decreases</w:t>
      </w:r>
      <w:r>
        <w:rPr>
          <w:color w:val="231F20"/>
          <w:spacing w:val="74"/>
          <w:w w:val="105"/>
          <w:sz w:val="18"/>
          <w:u w:val="single" w:color="231F20"/>
        </w:rPr>
        <w:t> </w:t>
      </w:r>
      <w:r>
        <w:rPr>
          <w:color w:val="231F20"/>
          <w:spacing w:val="125"/>
          <w:w w:val="105"/>
          <w:sz w:val="18"/>
        </w:rPr>
        <w:t> </w:t>
      </w:r>
      <w:r>
        <w:rPr>
          <w:color w:val="231F20"/>
          <w:spacing w:val="80"/>
          <w:w w:val="105"/>
          <w:sz w:val="18"/>
          <w:u w:val="single" w:color="231F20"/>
        </w:rPr>
        <w:t>  </w:t>
      </w:r>
      <w:r>
        <w:rPr>
          <w:color w:val="231F20"/>
          <w:w w:val="105"/>
          <w:sz w:val="18"/>
          <w:u w:val="single" w:color="231F20"/>
        </w:rPr>
        <w:t>Transfer</w:t>
      </w:r>
      <w:r>
        <w:rPr>
          <w:color w:val="231F20"/>
          <w:sz w:val="18"/>
          <w:u w:val="single" w:color="231F20"/>
        </w:rPr>
        <w:tab/>
      </w:r>
      <w:r>
        <w:rPr>
          <w:color w:val="231F20"/>
          <w:spacing w:val="125"/>
          <w:sz w:val="18"/>
        </w:rPr>
        <w:t> </w:t>
      </w:r>
      <w:r>
        <w:rPr>
          <w:color w:val="231F20"/>
          <w:spacing w:val="125"/>
          <w:sz w:val="18"/>
          <w:u w:val="single" w:color="231F20"/>
        </w:rPr>
        <w:t> </w:t>
      </w:r>
      <w:r>
        <w:rPr>
          <w:color w:val="231F20"/>
          <w:w w:val="105"/>
          <w:sz w:val="18"/>
          <w:u w:val="single" w:color="231F20"/>
        </w:rPr>
        <w:t>Balance</w:t>
      </w:r>
      <w:r>
        <w:rPr>
          <w:color w:val="231F20"/>
          <w:sz w:val="18"/>
          <w:u w:val="single" w:color="231F20"/>
        </w:rPr>
        <w:tab/>
      </w:r>
    </w:p>
    <w:p>
      <w:pPr>
        <w:spacing w:after="0"/>
        <w:jc w:val="left"/>
        <w:rPr>
          <w:sz w:val="18"/>
        </w:rPr>
        <w:sectPr>
          <w:type w:val="continuous"/>
          <w:pgSz w:w="12240" w:h="15840"/>
          <w:pgMar w:header="1282" w:footer="1097" w:top="1460" w:bottom="280" w:left="0" w:right="580"/>
          <w:cols w:num="2" w:equalWidth="0">
            <w:col w:w="4047" w:space="40"/>
            <w:col w:w="7573"/>
          </w:cols>
        </w:sectPr>
      </w:pPr>
    </w:p>
    <w:p>
      <w:pPr>
        <w:pStyle w:val="BodyText"/>
        <w:spacing w:before="3"/>
        <w:rPr>
          <w:sz w:val="2"/>
        </w:rPr>
      </w:pPr>
    </w:p>
    <w:tbl>
      <w:tblPr>
        <w:tblW w:w="0" w:type="auto"/>
        <w:jc w:val="left"/>
        <w:tblInd w:w="1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9"/>
        <w:gridCol w:w="1461"/>
        <w:gridCol w:w="1334"/>
        <w:gridCol w:w="1334"/>
        <w:gridCol w:w="1334"/>
        <w:gridCol w:w="1296"/>
      </w:tblGrid>
      <w:tr>
        <w:trPr>
          <w:trHeight w:val="453" w:hRule="atLeast"/>
        </w:trPr>
        <w:tc>
          <w:tcPr>
            <w:tcW w:w="2659" w:type="dxa"/>
          </w:tcPr>
          <w:p>
            <w:pPr>
              <w:pStyle w:val="TableParagraph"/>
              <w:ind w:left="182"/>
              <w:rPr>
                <w:sz w:val="18"/>
              </w:rPr>
            </w:pPr>
            <w:r>
              <w:rPr>
                <w:color w:val="231F20"/>
                <w:w w:val="105"/>
                <w:sz w:val="18"/>
              </w:rPr>
              <w:t>Land</w:t>
            </w:r>
            <w:r>
              <w:rPr>
                <w:color w:val="231F20"/>
                <w:spacing w:val="-7"/>
                <w:w w:val="105"/>
                <w:sz w:val="18"/>
              </w:rPr>
              <w:t> </w:t>
            </w:r>
            <w:r>
              <w:rPr>
                <w:color w:val="231F20"/>
                <w:w w:val="105"/>
                <w:sz w:val="18"/>
              </w:rPr>
              <w:t>and</w:t>
            </w:r>
            <w:r>
              <w:rPr>
                <w:color w:val="231F20"/>
                <w:spacing w:val="-7"/>
                <w:w w:val="105"/>
                <w:sz w:val="18"/>
              </w:rPr>
              <w:t> </w:t>
            </w:r>
            <w:r>
              <w:rPr>
                <w:color w:val="231F20"/>
                <w:w w:val="105"/>
                <w:sz w:val="18"/>
              </w:rPr>
              <w:t>building</w:t>
            </w:r>
            <w:r>
              <w:rPr>
                <w:color w:val="231F20"/>
                <w:spacing w:val="-6"/>
                <w:w w:val="105"/>
                <w:sz w:val="18"/>
              </w:rPr>
              <w:t> </w:t>
            </w:r>
            <w:r>
              <w:rPr>
                <w:color w:val="231F20"/>
                <w:spacing w:val="-4"/>
                <w:w w:val="105"/>
                <w:sz w:val="18"/>
              </w:rPr>
              <w:t>held</w:t>
            </w:r>
          </w:p>
          <w:p>
            <w:pPr>
              <w:pStyle w:val="TableParagraph"/>
              <w:spacing w:line="200" w:lineRule="exact" w:before="26"/>
              <w:ind w:left="313"/>
              <w:rPr>
                <w:sz w:val="18"/>
              </w:rPr>
            </w:pPr>
            <w:r>
              <w:rPr>
                <w:color w:val="231F20"/>
                <w:w w:val="105"/>
                <w:sz w:val="18"/>
              </w:rPr>
              <w:t>for</w:t>
            </w:r>
            <w:r>
              <w:rPr>
                <w:color w:val="231F20"/>
                <w:spacing w:val="-5"/>
                <w:w w:val="105"/>
                <w:sz w:val="18"/>
              </w:rPr>
              <w:t> </w:t>
            </w:r>
            <w:r>
              <w:rPr>
                <w:color w:val="231F20"/>
                <w:spacing w:val="-2"/>
                <w:w w:val="105"/>
                <w:sz w:val="18"/>
              </w:rPr>
              <w:t>investment</w:t>
            </w:r>
          </w:p>
        </w:tc>
        <w:tc>
          <w:tcPr>
            <w:tcW w:w="1461" w:type="dxa"/>
          </w:tcPr>
          <w:p>
            <w:pPr>
              <w:pStyle w:val="TableParagraph"/>
              <w:spacing w:before="3"/>
              <w:rPr>
                <w:sz w:val="20"/>
              </w:rPr>
            </w:pPr>
          </w:p>
          <w:p>
            <w:pPr>
              <w:pStyle w:val="TableParagraph"/>
              <w:spacing w:line="200" w:lineRule="exact"/>
              <w:ind w:left="123"/>
              <w:jc w:val="center"/>
              <w:rPr>
                <w:sz w:val="18"/>
              </w:rPr>
            </w:pPr>
            <w:r>
              <w:rPr>
                <w:color w:val="231F20"/>
                <w:w w:val="105"/>
                <w:sz w:val="18"/>
              </w:rPr>
              <w:t>$</w:t>
            </w:r>
            <w:r>
              <w:rPr>
                <w:color w:val="231F20"/>
                <w:spacing w:val="34"/>
                <w:w w:val="105"/>
                <w:sz w:val="18"/>
              </w:rPr>
              <w:t>  </w:t>
            </w:r>
            <w:r>
              <w:rPr>
                <w:color w:val="231F20"/>
                <w:spacing w:val="-2"/>
                <w:w w:val="105"/>
                <w:sz w:val="18"/>
              </w:rPr>
              <w:t>645,164</w:t>
            </w:r>
          </w:p>
        </w:tc>
        <w:tc>
          <w:tcPr>
            <w:tcW w:w="1334" w:type="dxa"/>
          </w:tcPr>
          <w:p>
            <w:pPr>
              <w:pStyle w:val="TableParagraph"/>
              <w:spacing w:before="3"/>
              <w:rPr>
                <w:sz w:val="20"/>
              </w:rPr>
            </w:pPr>
          </w:p>
          <w:p>
            <w:pPr>
              <w:pStyle w:val="TableParagraph"/>
              <w:tabs>
                <w:tab w:pos="896" w:val="left" w:leader="none"/>
              </w:tabs>
              <w:spacing w:line="200" w:lineRule="exact"/>
              <w:jc w:val="center"/>
              <w:rPr>
                <w:sz w:val="18"/>
              </w:rPr>
            </w:pPr>
            <w:r>
              <w:rPr>
                <w:color w:val="231F20"/>
                <w:spacing w:val="-10"/>
                <w:w w:val="105"/>
                <w:sz w:val="18"/>
              </w:rPr>
              <w:t>$</w:t>
            </w:r>
            <w:r>
              <w:rPr>
                <w:color w:val="231F20"/>
                <w:sz w:val="18"/>
              </w:rPr>
              <w:tab/>
            </w:r>
            <w:r>
              <w:rPr>
                <w:color w:val="231F20"/>
                <w:spacing w:val="-10"/>
                <w:w w:val="105"/>
                <w:sz w:val="18"/>
              </w:rPr>
              <w:t>-</w:t>
            </w:r>
          </w:p>
        </w:tc>
        <w:tc>
          <w:tcPr>
            <w:tcW w:w="1334" w:type="dxa"/>
          </w:tcPr>
          <w:p>
            <w:pPr>
              <w:pStyle w:val="TableParagraph"/>
              <w:spacing w:before="3"/>
              <w:rPr>
                <w:sz w:val="20"/>
              </w:rPr>
            </w:pPr>
          </w:p>
          <w:p>
            <w:pPr>
              <w:pStyle w:val="TableParagraph"/>
              <w:tabs>
                <w:tab w:pos="896" w:val="left" w:leader="none"/>
              </w:tabs>
              <w:spacing w:line="200" w:lineRule="exact"/>
              <w:jc w:val="center"/>
              <w:rPr>
                <w:sz w:val="18"/>
              </w:rPr>
            </w:pPr>
            <w:r>
              <w:rPr>
                <w:color w:val="231F20"/>
                <w:spacing w:val="-10"/>
                <w:w w:val="105"/>
                <w:sz w:val="18"/>
              </w:rPr>
              <w:t>$</w:t>
            </w:r>
            <w:r>
              <w:rPr>
                <w:color w:val="231F20"/>
                <w:sz w:val="18"/>
              </w:rPr>
              <w:tab/>
            </w:r>
            <w:r>
              <w:rPr>
                <w:color w:val="231F20"/>
                <w:spacing w:val="-10"/>
                <w:w w:val="105"/>
                <w:sz w:val="18"/>
              </w:rPr>
              <w:t>-</w:t>
            </w:r>
          </w:p>
        </w:tc>
        <w:tc>
          <w:tcPr>
            <w:tcW w:w="1334" w:type="dxa"/>
          </w:tcPr>
          <w:p>
            <w:pPr>
              <w:pStyle w:val="TableParagraph"/>
              <w:spacing w:before="3"/>
              <w:rPr>
                <w:sz w:val="20"/>
              </w:rPr>
            </w:pPr>
          </w:p>
          <w:p>
            <w:pPr>
              <w:pStyle w:val="TableParagraph"/>
              <w:spacing w:line="200" w:lineRule="exact"/>
              <w:ind w:left="60"/>
              <w:jc w:val="center"/>
              <w:rPr>
                <w:sz w:val="18"/>
              </w:rPr>
            </w:pPr>
            <w:r>
              <w:rPr>
                <w:color w:val="231F20"/>
                <w:w w:val="105"/>
                <w:sz w:val="18"/>
              </w:rPr>
              <w:t>$</w:t>
            </w:r>
            <w:r>
              <w:rPr>
                <w:color w:val="231F20"/>
                <w:spacing w:val="60"/>
                <w:w w:val="105"/>
                <w:sz w:val="18"/>
              </w:rPr>
              <w:t> </w:t>
            </w:r>
            <w:r>
              <w:rPr>
                <w:color w:val="231F20"/>
                <w:spacing w:val="-2"/>
                <w:w w:val="105"/>
                <w:sz w:val="18"/>
              </w:rPr>
              <w:t>(208,063)</w:t>
            </w:r>
          </w:p>
        </w:tc>
        <w:tc>
          <w:tcPr>
            <w:tcW w:w="1296" w:type="dxa"/>
          </w:tcPr>
          <w:p>
            <w:pPr>
              <w:pStyle w:val="TableParagraph"/>
              <w:spacing w:before="3"/>
              <w:rPr>
                <w:sz w:val="20"/>
              </w:rPr>
            </w:pPr>
          </w:p>
          <w:p>
            <w:pPr>
              <w:pStyle w:val="TableParagraph"/>
              <w:spacing w:line="200" w:lineRule="exact"/>
              <w:ind w:left="37"/>
              <w:jc w:val="center"/>
              <w:rPr>
                <w:sz w:val="18"/>
              </w:rPr>
            </w:pPr>
            <w:r>
              <w:rPr>
                <w:color w:val="231F20"/>
                <w:w w:val="105"/>
                <w:sz w:val="18"/>
              </w:rPr>
              <w:t>$</w:t>
            </w:r>
            <w:r>
              <w:rPr>
                <w:color w:val="231F20"/>
                <w:spacing w:val="35"/>
                <w:w w:val="105"/>
                <w:sz w:val="18"/>
              </w:rPr>
              <w:t>  </w:t>
            </w:r>
            <w:r>
              <w:rPr>
                <w:color w:val="231F20"/>
                <w:spacing w:val="-2"/>
                <w:w w:val="105"/>
                <w:sz w:val="18"/>
              </w:rPr>
              <w:t>437,101</w:t>
            </w:r>
          </w:p>
        </w:tc>
      </w:tr>
      <w:tr>
        <w:trPr>
          <w:trHeight w:val="287" w:hRule="atLeast"/>
        </w:trPr>
        <w:tc>
          <w:tcPr>
            <w:tcW w:w="2659" w:type="dxa"/>
          </w:tcPr>
          <w:p>
            <w:pPr>
              <w:pStyle w:val="TableParagraph"/>
              <w:spacing w:before="12"/>
              <w:ind w:left="182"/>
              <w:rPr>
                <w:sz w:val="18"/>
              </w:rPr>
            </w:pPr>
            <w:r>
              <w:rPr>
                <w:color w:val="231F20"/>
                <w:spacing w:val="-2"/>
                <w:w w:val="105"/>
                <w:sz w:val="18"/>
              </w:rPr>
              <w:t>Artwork</w:t>
            </w:r>
          </w:p>
        </w:tc>
        <w:tc>
          <w:tcPr>
            <w:tcW w:w="1461" w:type="dxa"/>
          </w:tcPr>
          <w:p>
            <w:pPr>
              <w:pStyle w:val="TableParagraph"/>
              <w:tabs>
                <w:tab w:pos="507" w:val="left" w:leader="none"/>
              </w:tabs>
              <w:spacing w:before="12"/>
              <w:ind w:left="125"/>
              <w:jc w:val="center"/>
              <w:rPr>
                <w:sz w:val="18"/>
              </w:rPr>
            </w:pPr>
            <w:r>
              <w:rPr>
                <w:color w:val="231F20"/>
                <w:sz w:val="18"/>
                <w:u w:val="single" w:color="231F20"/>
              </w:rPr>
              <w:tab/>
            </w:r>
            <w:r>
              <w:rPr>
                <w:color w:val="231F20"/>
                <w:spacing w:val="-2"/>
                <w:w w:val="105"/>
                <w:sz w:val="18"/>
                <w:u w:val="single" w:color="231F20"/>
              </w:rPr>
              <w:t>130,500</w:t>
            </w:r>
            <w:r>
              <w:rPr>
                <w:color w:val="231F20"/>
                <w:spacing w:val="80"/>
                <w:w w:val="105"/>
                <w:sz w:val="18"/>
                <w:u w:val="single" w:color="231F20"/>
              </w:rPr>
              <w:t> </w:t>
            </w:r>
          </w:p>
        </w:tc>
        <w:tc>
          <w:tcPr>
            <w:tcW w:w="1334" w:type="dxa"/>
          </w:tcPr>
          <w:p>
            <w:pPr>
              <w:pStyle w:val="TableParagraph"/>
              <w:tabs>
                <w:tab w:pos="996" w:val="left" w:leader="none"/>
              </w:tabs>
              <w:spacing w:before="12"/>
              <w:jc w:val="center"/>
              <w:rPr>
                <w:sz w:val="18"/>
              </w:rPr>
            </w:pP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334" w:type="dxa"/>
          </w:tcPr>
          <w:p>
            <w:pPr>
              <w:pStyle w:val="TableParagraph"/>
              <w:tabs>
                <w:tab w:pos="997" w:val="left" w:leader="none"/>
              </w:tabs>
              <w:spacing w:before="12"/>
              <w:jc w:val="center"/>
              <w:rPr>
                <w:sz w:val="18"/>
              </w:rPr>
            </w:pP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334" w:type="dxa"/>
          </w:tcPr>
          <w:p>
            <w:pPr>
              <w:pStyle w:val="TableParagraph"/>
              <w:tabs>
                <w:tab w:pos="997" w:val="left" w:leader="none"/>
              </w:tabs>
              <w:spacing w:before="12"/>
              <w:jc w:val="center"/>
              <w:rPr>
                <w:sz w:val="18"/>
              </w:rPr>
            </w:pP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296" w:type="dxa"/>
          </w:tcPr>
          <w:p>
            <w:pPr>
              <w:pStyle w:val="TableParagraph"/>
              <w:tabs>
                <w:tab w:pos="422" w:val="left" w:leader="none"/>
              </w:tabs>
              <w:spacing w:before="12"/>
              <w:ind w:left="39"/>
              <w:jc w:val="center"/>
              <w:rPr>
                <w:sz w:val="18"/>
              </w:rPr>
            </w:pPr>
            <w:r>
              <w:rPr>
                <w:color w:val="231F20"/>
                <w:sz w:val="18"/>
                <w:u w:val="single" w:color="231F20"/>
              </w:rPr>
              <w:tab/>
            </w:r>
            <w:r>
              <w:rPr>
                <w:color w:val="231F20"/>
                <w:spacing w:val="-2"/>
                <w:w w:val="105"/>
                <w:sz w:val="18"/>
                <w:u w:val="single" w:color="231F20"/>
              </w:rPr>
              <w:t>130,500</w:t>
            </w:r>
            <w:r>
              <w:rPr>
                <w:color w:val="231F20"/>
                <w:spacing w:val="80"/>
                <w:w w:val="105"/>
                <w:sz w:val="18"/>
                <w:u w:val="single" w:color="231F20"/>
              </w:rPr>
              <w:t> </w:t>
            </w:r>
          </w:p>
        </w:tc>
      </w:tr>
      <w:tr>
        <w:trPr>
          <w:trHeight w:val="341" w:hRule="atLeast"/>
        </w:trPr>
        <w:tc>
          <w:tcPr>
            <w:tcW w:w="2659" w:type="dxa"/>
          </w:tcPr>
          <w:p>
            <w:pPr>
              <w:pStyle w:val="TableParagraph"/>
              <w:spacing w:before="67"/>
              <w:ind w:left="50"/>
              <w:rPr>
                <w:sz w:val="18"/>
              </w:rPr>
            </w:pPr>
            <w:r>
              <w:rPr>
                <w:color w:val="231F20"/>
                <w:w w:val="105"/>
                <w:sz w:val="18"/>
              </w:rPr>
              <w:t>Total</w:t>
            </w:r>
            <w:r>
              <w:rPr>
                <w:color w:val="231F20"/>
                <w:spacing w:val="-7"/>
                <w:w w:val="105"/>
                <w:sz w:val="18"/>
              </w:rPr>
              <w:t> </w:t>
            </w:r>
            <w:r>
              <w:rPr>
                <w:color w:val="231F20"/>
                <w:w w:val="105"/>
                <w:sz w:val="18"/>
              </w:rPr>
              <w:t>assets</w:t>
            </w:r>
            <w:r>
              <w:rPr>
                <w:color w:val="231F20"/>
                <w:spacing w:val="-5"/>
                <w:w w:val="105"/>
                <w:sz w:val="18"/>
              </w:rPr>
              <w:t> </w:t>
            </w:r>
            <w:r>
              <w:rPr>
                <w:color w:val="231F20"/>
                <w:w w:val="105"/>
                <w:sz w:val="18"/>
              </w:rPr>
              <w:t>not</w:t>
            </w:r>
            <w:r>
              <w:rPr>
                <w:color w:val="231F20"/>
                <w:spacing w:val="-6"/>
                <w:w w:val="105"/>
                <w:sz w:val="18"/>
              </w:rPr>
              <w:t> </w:t>
            </w:r>
            <w:r>
              <w:rPr>
                <w:color w:val="231F20"/>
                <w:spacing w:val="-2"/>
                <w:w w:val="105"/>
                <w:sz w:val="18"/>
              </w:rPr>
              <w:t>depreciating</w:t>
            </w:r>
          </w:p>
        </w:tc>
        <w:tc>
          <w:tcPr>
            <w:tcW w:w="1461" w:type="dxa"/>
          </w:tcPr>
          <w:p>
            <w:pPr>
              <w:pStyle w:val="TableParagraph"/>
              <w:tabs>
                <w:tab w:pos="503" w:val="left" w:leader="none"/>
              </w:tabs>
              <w:spacing w:before="67"/>
              <w:ind w:left="125"/>
              <w:jc w:val="center"/>
              <w:rPr>
                <w:sz w:val="18"/>
              </w:rPr>
            </w:pPr>
            <w:r>
              <w:rPr>
                <w:color w:val="231F20"/>
                <w:sz w:val="18"/>
                <w:u w:val="single" w:color="231F20"/>
              </w:rPr>
              <w:tab/>
            </w:r>
            <w:r>
              <w:rPr>
                <w:color w:val="231F20"/>
                <w:spacing w:val="-2"/>
                <w:w w:val="105"/>
                <w:sz w:val="18"/>
                <w:u w:val="single" w:color="231F20"/>
              </w:rPr>
              <w:t>775,664</w:t>
            </w:r>
            <w:r>
              <w:rPr>
                <w:color w:val="231F20"/>
                <w:spacing w:val="80"/>
                <w:w w:val="105"/>
                <w:sz w:val="18"/>
                <w:u w:val="single" w:color="231F20"/>
              </w:rPr>
              <w:t> </w:t>
            </w:r>
          </w:p>
        </w:tc>
        <w:tc>
          <w:tcPr>
            <w:tcW w:w="1334" w:type="dxa"/>
          </w:tcPr>
          <w:p>
            <w:pPr>
              <w:pStyle w:val="TableParagraph"/>
              <w:tabs>
                <w:tab w:pos="996" w:val="left" w:leader="none"/>
              </w:tabs>
              <w:spacing w:before="67"/>
              <w:jc w:val="center"/>
              <w:rPr>
                <w:sz w:val="18"/>
              </w:rPr>
            </w:pP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334" w:type="dxa"/>
          </w:tcPr>
          <w:p>
            <w:pPr>
              <w:pStyle w:val="TableParagraph"/>
              <w:tabs>
                <w:tab w:pos="997" w:val="left" w:leader="none"/>
              </w:tabs>
              <w:spacing w:before="67"/>
              <w:jc w:val="center"/>
              <w:rPr>
                <w:sz w:val="18"/>
              </w:rPr>
            </w:pP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334" w:type="dxa"/>
          </w:tcPr>
          <w:p>
            <w:pPr>
              <w:pStyle w:val="TableParagraph"/>
              <w:tabs>
                <w:tab w:pos="319" w:val="left" w:leader="none"/>
              </w:tabs>
              <w:spacing w:before="67"/>
              <w:ind w:right="36"/>
              <w:jc w:val="center"/>
              <w:rPr>
                <w:sz w:val="18"/>
              </w:rPr>
            </w:pPr>
            <w:r>
              <w:rPr>
                <w:color w:val="231F20"/>
                <w:sz w:val="18"/>
                <w:u w:val="single" w:color="231F20"/>
              </w:rPr>
              <w:tab/>
            </w:r>
            <w:r>
              <w:rPr>
                <w:color w:val="231F20"/>
                <w:spacing w:val="-2"/>
                <w:w w:val="105"/>
                <w:sz w:val="18"/>
                <w:u w:val="single" w:color="231F20"/>
              </w:rPr>
              <w:t>(208,063)</w:t>
            </w:r>
          </w:p>
        </w:tc>
        <w:tc>
          <w:tcPr>
            <w:tcW w:w="1296" w:type="dxa"/>
          </w:tcPr>
          <w:p>
            <w:pPr>
              <w:pStyle w:val="TableParagraph"/>
              <w:tabs>
                <w:tab w:pos="421" w:val="left" w:leader="none"/>
              </w:tabs>
              <w:spacing w:before="67"/>
              <w:ind w:left="39"/>
              <w:jc w:val="center"/>
              <w:rPr>
                <w:sz w:val="18"/>
              </w:rPr>
            </w:pPr>
            <w:r>
              <w:rPr>
                <w:color w:val="231F20"/>
                <w:sz w:val="18"/>
                <w:u w:val="single" w:color="231F20"/>
              </w:rPr>
              <w:tab/>
            </w:r>
            <w:r>
              <w:rPr>
                <w:color w:val="231F20"/>
                <w:spacing w:val="-2"/>
                <w:w w:val="105"/>
                <w:sz w:val="18"/>
                <w:u w:val="single" w:color="231F20"/>
              </w:rPr>
              <w:t>567,601</w:t>
            </w:r>
            <w:r>
              <w:rPr>
                <w:color w:val="231F20"/>
                <w:spacing w:val="80"/>
                <w:w w:val="105"/>
                <w:sz w:val="18"/>
                <w:u w:val="single" w:color="231F20"/>
              </w:rPr>
              <w:t> </w:t>
            </w:r>
          </w:p>
        </w:tc>
      </w:tr>
      <w:tr>
        <w:trPr>
          <w:trHeight w:val="508" w:hRule="atLeast"/>
        </w:trPr>
        <w:tc>
          <w:tcPr>
            <w:tcW w:w="2659" w:type="dxa"/>
          </w:tcPr>
          <w:p>
            <w:pPr>
              <w:pStyle w:val="TableParagraph"/>
              <w:spacing w:line="230" w:lineRule="atLeast" w:before="28"/>
              <w:ind w:left="182" w:hanging="132"/>
              <w:rPr>
                <w:sz w:val="18"/>
              </w:rPr>
            </w:pPr>
            <w:r>
              <w:rPr>
                <w:color w:val="231F20"/>
                <w:spacing w:val="-2"/>
                <w:w w:val="105"/>
                <w:sz w:val="18"/>
              </w:rPr>
              <w:t>Capital</w:t>
            </w:r>
            <w:r>
              <w:rPr>
                <w:color w:val="231F20"/>
                <w:spacing w:val="-4"/>
                <w:w w:val="105"/>
                <w:sz w:val="18"/>
              </w:rPr>
              <w:t> </w:t>
            </w:r>
            <w:r>
              <w:rPr>
                <w:color w:val="231F20"/>
                <w:spacing w:val="-2"/>
                <w:w w:val="105"/>
                <w:sz w:val="18"/>
              </w:rPr>
              <w:t>assets</w:t>
            </w:r>
            <w:r>
              <w:rPr>
                <w:color w:val="231F20"/>
                <w:spacing w:val="-4"/>
                <w:w w:val="105"/>
                <w:sz w:val="18"/>
              </w:rPr>
              <w:t> </w:t>
            </w:r>
            <w:r>
              <w:rPr>
                <w:color w:val="231F20"/>
                <w:spacing w:val="-2"/>
                <w:w w:val="105"/>
                <w:sz w:val="18"/>
              </w:rPr>
              <w:t>depreciating Building</w:t>
            </w:r>
          </w:p>
        </w:tc>
        <w:tc>
          <w:tcPr>
            <w:tcW w:w="1461" w:type="dxa"/>
          </w:tcPr>
          <w:p>
            <w:pPr>
              <w:pStyle w:val="TableParagraph"/>
              <w:rPr>
                <w:sz w:val="26"/>
              </w:rPr>
            </w:pPr>
          </w:p>
          <w:p>
            <w:pPr>
              <w:pStyle w:val="TableParagraph"/>
              <w:spacing w:line="188" w:lineRule="exact"/>
              <w:ind w:left="125"/>
              <w:jc w:val="center"/>
              <w:rPr>
                <w:sz w:val="18"/>
              </w:rPr>
            </w:pPr>
            <w:r>
              <w:rPr>
                <w:color w:val="231F20"/>
                <w:spacing w:val="58"/>
                <w:w w:val="105"/>
                <w:sz w:val="18"/>
                <w:u w:val="single" w:color="231F20"/>
              </w:rPr>
              <w:t>  </w:t>
            </w:r>
            <w:r>
              <w:rPr>
                <w:color w:val="231F20"/>
                <w:spacing w:val="-2"/>
                <w:w w:val="105"/>
                <w:sz w:val="18"/>
                <w:u w:val="single" w:color="231F20"/>
              </w:rPr>
              <w:t>1,648,127</w:t>
            </w:r>
            <w:r>
              <w:rPr>
                <w:color w:val="231F20"/>
                <w:spacing w:val="80"/>
                <w:w w:val="105"/>
                <w:sz w:val="18"/>
                <w:u w:val="single" w:color="231F20"/>
              </w:rPr>
              <w:t> </w:t>
            </w:r>
          </w:p>
        </w:tc>
        <w:tc>
          <w:tcPr>
            <w:tcW w:w="1334" w:type="dxa"/>
          </w:tcPr>
          <w:p>
            <w:pPr>
              <w:pStyle w:val="TableParagraph"/>
              <w:rPr>
                <w:sz w:val="26"/>
              </w:rPr>
            </w:pPr>
          </w:p>
          <w:p>
            <w:pPr>
              <w:pStyle w:val="TableParagraph"/>
              <w:tabs>
                <w:tab w:pos="995" w:val="left" w:leader="none"/>
              </w:tabs>
              <w:spacing w:line="188" w:lineRule="exact"/>
              <w:jc w:val="center"/>
              <w:rPr>
                <w:sz w:val="18"/>
              </w:rPr>
            </w:pP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334" w:type="dxa"/>
          </w:tcPr>
          <w:p>
            <w:pPr>
              <w:pStyle w:val="TableParagraph"/>
              <w:rPr>
                <w:sz w:val="26"/>
              </w:rPr>
            </w:pPr>
          </w:p>
          <w:p>
            <w:pPr>
              <w:pStyle w:val="TableParagraph"/>
              <w:tabs>
                <w:tab w:pos="996" w:val="left" w:leader="none"/>
              </w:tabs>
              <w:spacing w:line="188" w:lineRule="exact"/>
              <w:jc w:val="center"/>
              <w:rPr>
                <w:sz w:val="18"/>
              </w:rPr>
            </w:pP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334" w:type="dxa"/>
          </w:tcPr>
          <w:p>
            <w:pPr>
              <w:pStyle w:val="TableParagraph"/>
              <w:rPr>
                <w:sz w:val="26"/>
              </w:rPr>
            </w:pPr>
          </w:p>
          <w:p>
            <w:pPr>
              <w:pStyle w:val="TableParagraph"/>
              <w:tabs>
                <w:tab w:pos="383" w:val="left" w:leader="none"/>
              </w:tabs>
              <w:spacing w:line="188" w:lineRule="exact"/>
              <w:jc w:val="center"/>
              <w:rPr>
                <w:sz w:val="18"/>
              </w:rPr>
            </w:pPr>
            <w:r>
              <w:rPr>
                <w:color w:val="231F20"/>
                <w:sz w:val="18"/>
                <w:u w:val="single" w:color="231F20"/>
              </w:rPr>
              <w:tab/>
            </w:r>
            <w:r>
              <w:rPr>
                <w:color w:val="231F20"/>
                <w:spacing w:val="-2"/>
                <w:w w:val="105"/>
                <w:sz w:val="18"/>
                <w:u w:val="single" w:color="231F20"/>
              </w:rPr>
              <w:t>208,063</w:t>
            </w:r>
            <w:r>
              <w:rPr>
                <w:color w:val="231F20"/>
                <w:spacing w:val="80"/>
                <w:w w:val="105"/>
                <w:sz w:val="18"/>
                <w:u w:val="single" w:color="231F20"/>
              </w:rPr>
              <w:t> </w:t>
            </w:r>
          </w:p>
        </w:tc>
        <w:tc>
          <w:tcPr>
            <w:tcW w:w="1296" w:type="dxa"/>
          </w:tcPr>
          <w:p>
            <w:pPr>
              <w:pStyle w:val="TableParagraph"/>
              <w:rPr>
                <w:sz w:val="26"/>
              </w:rPr>
            </w:pPr>
          </w:p>
          <w:p>
            <w:pPr>
              <w:pStyle w:val="TableParagraph"/>
              <w:spacing w:line="188" w:lineRule="exact"/>
              <w:ind w:left="39"/>
              <w:jc w:val="center"/>
              <w:rPr>
                <w:sz w:val="18"/>
              </w:rPr>
            </w:pPr>
            <w:r>
              <w:rPr>
                <w:color w:val="231F20"/>
                <w:spacing w:val="58"/>
                <w:w w:val="105"/>
                <w:sz w:val="18"/>
                <w:u w:val="single" w:color="231F20"/>
              </w:rPr>
              <w:t>  </w:t>
            </w:r>
            <w:r>
              <w:rPr>
                <w:color w:val="231F20"/>
                <w:spacing w:val="-2"/>
                <w:w w:val="105"/>
                <w:sz w:val="18"/>
                <w:u w:val="single" w:color="231F20"/>
              </w:rPr>
              <w:t>1,856,190</w:t>
            </w:r>
            <w:r>
              <w:rPr>
                <w:color w:val="231F20"/>
                <w:spacing w:val="80"/>
                <w:w w:val="105"/>
                <w:sz w:val="18"/>
                <w:u w:val="single" w:color="231F20"/>
              </w:rPr>
              <w:t> </w:t>
            </w:r>
          </w:p>
        </w:tc>
      </w:tr>
      <w:tr>
        <w:trPr>
          <w:trHeight w:val="640" w:hRule="atLeast"/>
        </w:trPr>
        <w:tc>
          <w:tcPr>
            <w:tcW w:w="2659" w:type="dxa"/>
          </w:tcPr>
          <w:p>
            <w:pPr>
              <w:pStyle w:val="TableParagraph"/>
              <w:spacing w:line="268" w:lineRule="auto" w:before="133"/>
              <w:ind w:left="181" w:hanging="132"/>
              <w:rPr>
                <w:sz w:val="18"/>
              </w:rPr>
            </w:pPr>
            <w:r>
              <w:rPr>
                <w:color w:val="231F20"/>
                <w:spacing w:val="-2"/>
                <w:w w:val="105"/>
                <w:sz w:val="18"/>
              </w:rPr>
              <w:t>Accumulated</w:t>
            </w:r>
            <w:r>
              <w:rPr>
                <w:color w:val="231F20"/>
                <w:spacing w:val="-7"/>
                <w:w w:val="105"/>
                <w:sz w:val="18"/>
              </w:rPr>
              <w:t> </w:t>
            </w:r>
            <w:r>
              <w:rPr>
                <w:color w:val="231F20"/>
                <w:spacing w:val="-2"/>
                <w:w w:val="105"/>
                <w:sz w:val="18"/>
              </w:rPr>
              <w:t>depreciation Building</w:t>
            </w:r>
          </w:p>
        </w:tc>
        <w:tc>
          <w:tcPr>
            <w:tcW w:w="1461" w:type="dxa"/>
          </w:tcPr>
          <w:p>
            <w:pPr>
              <w:pStyle w:val="TableParagraph"/>
              <w:rPr>
                <w:sz w:val="20"/>
              </w:rPr>
            </w:pPr>
          </w:p>
          <w:p>
            <w:pPr>
              <w:pStyle w:val="TableParagraph"/>
              <w:spacing w:before="136"/>
              <w:ind w:left="87"/>
              <w:jc w:val="center"/>
              <w:rPr>
                <w:sz w:val="18"/>
              </w:rPr>
            </w:pPr>
            <w:r>
              <w:rPr>
                <w:color w:val="231F20"/>
                <w:spacing w:val="28"/>
                <w:w w:val="105"/>
                <w:sz w:val="18"/>
                <w:u w:val="single" w:color="231F20"/>
              </w:rPr>
              <w:t>  </w:t>
            </w:r>
            <w:r>
              <w:rPr>
                <w:color w:val="231F20"/>
                <w:spacing w:val="-2"/>
                <w:w w:val="105"/>
                <w:sz w:val="18"/>
                <w:u w:val="single" w:color="231F20"/>
              </w:rPr>
              <w:t>(1,095,122)</w:t>
            </w:r>
          </w:p>
        </w:tc>
        <w:tc>
          <w:tcPr>
            <w:tcW w:w="1334" w:type="dxa"/>
          </w:tcPr>
          <w:p>
            <w:pPr>
              <w:pStyle w:val="TableParagraph"/>
              <w:rPr>
                <w:sz w:val="20"/>
              </w:rPr>
            </w:pPr>
          </w:p>
          <w:p>
            <w:pPr>
              <w:pStyle w:val="TableParagraph"/>
              <w:tabs>
                <w:tab w:pos="422" w:val="left" w:leader="none"/>
              </w:tabs>
              <w:spacing w:before="136"/>
              <w:ind w:right="36"/>
              <w:jc w:val="center"/>
              <w:rPr>
                <w:sz w:val="18"/>
              </w:rPr>
            </w:pPr>
            <w:r>
              <w:rPr>
                <w:color w:val="231F20"/>
                <w:sz w:val="18"/>
                <w:u w:val="single" w:color="231F20"/>
              </w:rPr>
              <w:tab/>
            </w:r>
            <w:r>
              <w:rPr>
                <w:color w:val="231F20"/>
                <w:spacing w:val="-2"/>
                <w:w w:val="105"/>
                <w:sz w:val="18"/>
                <w:u w:val="single" w:color="231F20"/>
              </w:rPr>
              <w:t>(65,134)</w:t>
            </w:r>
          </w:p>
        </w:tc>
        <w:tc>
          <w:tcPr>
            <w:tcW w:w="1334" w:type="dxa"/>
          </w:tcPr>
          <w:p>
            <w:pPr>
              <w:pStyle w:val="TableParagraph"/>
              <w:rPr>
                <w:sz w:val="20"/>
              </w:rPr>
            </w:pPr>
          </w:p>
          <w:p>
            <w:pPr>
              <w:pStyle w:val="TableParagraph"/>
              <w:tabs>
                <w:tab w:pos="996" w:val="left" w:leader="none"/>
              </w:tabs>
              <w:spacing w:before="136"/>
              <w:jc w:val="center"/>
              <w:rPr>
                <w:sz w:val="18"/>
              </w:rPr>
            </w:pP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334" w:type="dxa"/>
          </w:tcPr>
          <w:p>
            <w:pPr>
              <w:pStyle w:val="TableParagraph"/>
              <w:rPr>
                <w:sz w:val="20"/>
              </w:rPr>
            </w:pPr>
          </w:p>
          <w:p>
            <w:pPr>
              <w:pStyle w:val="TableParagraph"/>
              <w:tabs>
                <w:tab w:pos="997" w:val="left" w:leader="none"/>
              </w:tabs>
              <w:spacing w:before="136"/>
              <w:jc w:val="center"/>
              <w:rPr>
                <w:sz w:val="18"/>
              </w:rPr>
            </w:pP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296" w:type="dxa"/>
          </w:tcPr>
          <w:p>
            <w:pPr>
              <w:pStyle w:val="TableParagraph"/>
              <w:rPr>
                <w:sz w:val="20"/>
              </w:rPr>
            </w:pPr>
          </w:p>
          <w:p>
            <w:pPr>
              <w:pStyle w:val="TableParagraph"/>
              <w:spacing w:before="136"/>
              <w:jc w:val="center"/>
              <w:rPr>
                <w:sz w:val="18"/>
              </w:rPr>
            </w:pPr>
            <w:r>
              <w:rPr>
                <w:color w:val="231F20"/>
                <w:spacing w:val="28"/>
                <w:w w:val="105"/>
                <w:sz w:val="18"/>
                <w:u w:val="single" w:color="231F20"/>
              </w:rPr>
              <w:t>  </w:t>
            </w:r>
            <w:r>
              <w:rPr>
                <w:color w:val="231F20"/>
                <w:spacing w:val="-2"/>
                <w:w w:val="105"/>
                <w:sz w:val="18"/>
                <w:u w:val="single" w:color="231F20"/>
              </w:rPr>
              <w:t>(1,160,256)</w:t>
            </w:r>
          </w:p>
        </w:tc>
      </w:tr>
      <w:tr>
        <w:trPr>
          <w:trHeight w:val="334" w:hRule="atLeast"/>
        </w:trPr>
        <w:tc>
          <w:tcPr>
            <w:tcW w:w="2659" w:type="dxa"/>
          </w:tcPr>
          <w:p>
            <w:pPr>
              <w:pStyle w:val="TableParagraph"/>
              <w:spacing w:before="65"/>
              <w:ind w:left="50"/>
              <w:rPr>
                <w:sz w:val="18"/>
              </w:rPr>
            </w:pPr>
            <w:r>
              <w:rPr>
                <w:color w:val="231F20"/>
                <w:w w:val="105"/>
                <w:sz w:val="18"/>
              </w:rPr>
              <w:t>Capital</w:t>
            </w:r>
            <w:r>
              <w:rPr>
                <w:color w:val="231F20"/>
                <w:spacing w:val="-13"/>
                <w:w w:val="105"/>
                <w:sz w:val="18"/>
              </w:rPr>
              <w:t> </w:t>
            </w:r>
            <w:r>
              <w:rPr>
                <w:color w:val="231F20"/>
                <w:w w:val="105"/>
                <w:sz w:val="18"/>
              </w:rPr>
              <w:t>assets,</w:t>
            </w:r>
            <w:r>
              <w:rPr>
                <w:color w:val="231F20"/>
                <w:spacing w:val="-12"/>
                <w:w w:val="105"/>
                <w:sz w:val="18"/>
              </w:rPr>
              <w:t> </w:t>
            </w:r>
            <w:r>
              <w:rPr>
                <w:color w:val="231F20"/>
                <w:spacing w:val="-5"/>
                <w:w w:val="105"/>
                <w:sz w:val="18"/>
              </w:rPr>
              <w:t>net</w:t>
            </w:r>
          </w:p>
        </w:tc>
        <w:tc>
          <w:tcPr>
            <w:tcW w:w="1461" w:type="dxa"/>
          </w:tcPr>
          <w:p>
            <w:pPr>
              <w:pStyle w:val="TableParagraph"/>
              <w:spacing w:before="65"/>
              <w:ind w:left="126"/>
              <w:jc w:val="center"/>
              <w:rPr>
                <w:sz w:val="18"/>
              </w:rPr>
            </w:pPr>
            <w:r>
              <w:rPr>
                <w:color w:val="231F20"/>
                <w:spacing w:val="51"/>
                <w:sz w:val="18"/>
                <w:u w:val="single" w:color="231F20"/>
              </w:rPr>
              <w:t> </w:t>
            </w:r>
            <w:r>
              <w:rPr>
                <w:color w:val="231F20"/>
                <w:sz w:val="18"/>
                <w:u w:val="single" w:color="231F20"/>
              </w:rPr>
              <w:t>$</w:t>
            </w:r>
            <w:r>
              <w:rPr>
                <w:color w:val="231F20"/>
                <w:spacing w:val="-29"/>
                <w:sz w:val="18"/>
                <w:u w:val="single" w:color="231F20"/>
              </w:rPr>
              <w:t> </w:t>
            </w:r>
            <w:r>
              <w:rPr>
                <w:color w:val="231F20"/>
                <w:spacing w:val="-2"/>
                <w:w w:val="105"/>
                <w:sz w:val="18"/>
                <w:u w:val="single" w:color="231F20"/>
              </w:rPr>
              <w:t>1,328,669</w:t>
            </w:r>
            <w:r>
              <w:rPr>
                <w:color w:val="231F20"/>
                <w:spacing w:val="80"/>
                <w:w w:val="105"/>
                <w:sz w:val="18"/>
                <w:u w:val="single" w:color="231F20"/>
              </w:rPr>
              <w:t> </w:t>
            </w:r>
          </w:p>
        </w:tc>
        <w:tc>
          <w:tcPr>
            <w:tcW w:w="1334" w:type="dxa"/>
          </w:tcPr>
          <w:p>
            <w:pPr>
              <w:pStyle w:val="TableParagraph"/>
              <w:tabs>
                <w:tab w:pos="420" w:val="left" w:leader="none"/>
              </w:tabs>
              <w:spacing w:before="65"/>
              <w:ind w:right="36"/>
              <w:jc w:val="center"/>
              <w:rPr>
                <w:sz w:val="18"/>
              </w:rPr>
            </w:pPr>
            <w:r>
              <w:rPr>
                <w:color w:val="231F20"/>
                <w:spacing w:val="45"/>
                <w:w w:val="105"/>
                <w:sz w:val="18"/>
                <w:u w:val="single" w:color="231F20"/>
              </w:rPr>
              <w:t> </w:t>
            </w:r>
            <w:r>
              <w:rPr>
                <w:color w:val="231F20"/>
                <w:spacing w:val="-10"/>
                <w:w w:val="105"/>
                <w:sz w:val="18"/>
                <w:u w:val="single" w:color="231F20"/>
              </w:rPr>
              <w:t>$</w:t>
            </w:r>
            <w:r>
              <w:rPr>
                <w:color w:val="231F20"/>
                <w:sz w:val="18"/>
                <w:u w:val="single" w:color="231F20"/>
              </w:rPr>
              <w:tab/>
            </w:r>
            <w:r>
              <w:rPr>
                <w:color w:val="231F20"/>
                <w:spacing w:val="-2"/>
                <w:w w:val="105"/>
                <w:sz w:val="18"/>
                <w:u w:val="single" w:color="231F20"/>
              </w:rPr>
              <w:t>(65,134)</w:t>
            </w:r>
          </w:p>
        </w:tc>
        <w:tc>
          <w:tcPr>
            <w:tcW w:w="1334" w:type="dxa"/>
          </w:tcPr>
          <w:p>
            <w:pPr>
              <w:pStyle w:val="TableParagraph"/>
              <w:tabs>
                <w:tab w:pos="995" w:val="left" w:leader="none"/>
              </w:tabs>
              <w:spacing w:before="65"/>
              <w:ind w:left="1"/>
              <w:jc w:val="center"/>
              <w:rPr>
                <w:sz w:val="18"/>
              </w:rPr>
            </w:pPr>
            <w:r>
              <w:rPr>
                <w:color w:val="231F20"/>
                <w:spacing w:val="45"/>
                <w:w w:val="105"/>
                <w:sz w:val="18"/>
                <w:u w:val="single" w:color="231F20"/>
              </w:rPr>
              <w:t> </w:t>
            </w:r>
            <w:r>
              <w:rPr>
                <w:color w:val="231F20"/>
                <w:spacing w:val="-10"/>
                <w:w w:val="105"/>
                <w:sz w:val="18"/>
                <w:u w:val="single" w:color="231F20"/>
              </w:rPr>
              <w:t>$</w:t>
            </w: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334" w:type="dxa"/>
          </w:tcPr>
          <w:p>
            <w:pPr>
              <w:pStyle w:val="TableParagraph"/>
              <w:tabs>
                <w:tab w:pos="997" w:val="left" w:leader="none"/>
              </w:tabs>
              <w:spacing w:before="65"/>
              <w:jc w:val="center"/>
              <w:rPr>
                <w:sz w:val="18"/>
              </w:rPr>
            </w:pPr>
            <w:r>
              <w:rPr>
                <w:color w:val="231F20"/>
                <w:spacing w:val="46"/>
                <w:w w:val="105"/>
                <w:sz w:val="18"/>
                <w:u w:val="single" w:color="231F20"/>
              </w:rPr>
              <w:t> </w:t>
            </w:r>
            <w:r>
              <w:rPr>
                <w:color w:val="231F20"/>
                <w:spacing w:val="-10"/>
                <w:w w:val="105"/>
                <w:sz w:val="18"/>
                <w:u w:val="single" w:color="231F20"/>
              </w:rPr>
              <w:t>$</w:t>
            </w:r>
            <w:r>
              <w:rPr>
                <w:color w:val="231F20"/>
                <w:sz w:val="18"/>
                <w:u w:val="single" w:color="231F20"/>
              </w:rPr>
              <w:tab/>
            </w:r>
            <w:r>
              <w:rPr>
                <w:color w:val="231F20"/>
                <w:spacing w:val="-10"/>
                <w:w w:val="105"/>
                <w:sz w:val="18"/>
                <w:u w:val="single" w:color="231F20"/>
              </w:rPr>
              <w:t>-</w:t>
            </w:r>
            <w:r>
              <w:rPr>
                <w:color w:val="231F20"/>
                <w:spacing w:val="80"/>
                <w:w w:val="105"/>
                <w:sz w:val="18"/>
                <w:u w:val="single" w:color="231F20"/>
              </w:rPr>
              <w:t> </w:t>
            </w:r>
          </w:p>
        </w:tc>
        <w:tc>
          <w:tcPr>
            <w:tcW w:w="1296" w:type="dxa"/>
          </w:tcPr>
          <w:p>
            <w:pPr>
              <w:pStyle w:val="TableParagraph"/>
              <w:spacing w:before="65"/>
              <w:ind w:left="39"/>
              <w:jc w:val="center"/>
              <w:rPr>
                <w:sz w:val="18"/>
              </w:rPr>
            </w:pPr>
            <w:r>
              <w:rPr>
                <w:color w:val="231F20"/>
                <w:spacing w:val="52"/>
                <w:sz w:val="18"/>
                <w:u w:val="single" w:color="231F20"/>
              </w:rPr>
              <w:t> </w:t>
            </w:r>
            <w:r>
              <w:rPr>
                <w:color w:val="231F20"/>
                <w:sz w:val="18"/>
                <w:u w:val="single" w:color="231F20"/>
              </w:rPr>
              <w:t>$</w:t>
            </w:r>
            <w:r>
              <w:rPr>
                <w:color w:val="231F20"/>
                <w:spacing w:val="-27"/>
                <w:sz w:val="18"/>
                <w:u w:val="single" w:color="231F20"/>
              </w:rPr>
              <w:t> </w:t>
            </w:r>
            <w:r>
              <w:rPr>
                <w:color w:val="231F20"/>
                <w:spacing w:val="-2"/>
                <w:w w:val="105"/>
                <w:sz w:val="18"/>
                <w:u w:val="single" w:color="231F20"/>
              </w:rPr>
              <w:t>1,263,535</w:t>
            </w:r>
            <w:r>
              <w:rPr>
                <w:color w:val="231F20"/>
                <w:spacing w:val="80"/>
                <w:w w:val="105"/>
                <w:sz w:val="18"/>
                <w:u w:val="single" w:color="231F20"/>
              </w:rPr>
              <w:t> </w:t>
            </w:r>
          </w:p>
        </w:tc>
      </w:tr>
    </w:tbl>
    <w:p>
      <w:pPr>
        <w:pStyle w:val="BodyText"/>
      </w:pPr>
    </w:p>
    <w:p>
      <w:pPr>
        <w:pStyle w:val="BodyText"/>
        <w:rPr>
          <w:sz w:val="18"/>
        </w:rPr>
      </w:pPr>
    </w:p>
    <w:p>
      <w:pPr>
        <w:pStyle w:val="Heading4"/>
        <w:spacing w:before="94"/>
        <w:ind w:left="1439"/>
      </w:pPr>
      <w:r>
        <w:rPr/>
        <w:pict>
          <v:rect style="position:absolute;margin-left:215.399994pt;margin-top:-22.639299pt;width:57.9pt;height:.89999pt;mso-position-horizontal-relative:page;mso-position-vertical-relative:paragraph;z-index:15804416" id="docshape398" filled="true" fillcolor="#231f20" stroked="false">
            <v:fill type="solid"/>
            <w10:wrap type="none"/>
          </v:rect>
        </w:pict>
      </w:r>
      <w:r>
        <w:rPr/>
        <w:pict>
          <v:rect style="position:absolute;margin-left:282.121002pt;margin-top:-22.639299pt;width:57.9pt;height:.89999pt;mso-position-horizontal-relative:page;mso-position-vertical-relative:paragraph;z-index:15804928" id="docshape399" filled="true" fillcolor="#231f20" stroked="false">
            <v:fill type="solid"/>
            <w10:wrap type="none"/>
          </v:rect>
        </w:pict>
      </w:r>
      <w:r>
        <w:rPr/>
        <w:pict>
          <v:rect style="position:absolute;margin-left:348.841003pt;margin-top:-22.639299pt;width:57.9pt;height:.89999pt;mso-position-horizontal-relative:page;mso-position-vertical-relative:paragraph;z-index:15805440" id="docshape400" filled="true" fillcolor="#231f20" stroked="false">
            <v:fill type="solid"/>
            <w10:wrap type="none"/>
          </v:rect>
        </w:pict>
      </w:r>
      <w:r>
        <w:rPr/>
        <w:pict>
          <v:rect style="position:absolute;margin-left:415.501007pt;margin-top:-22.639299pt;width:57.96pt;height:.89999pt;mso-position-horizontal-relative:page;mso-position-vertical-relative:paragraph;z-index:15805952" id="docshape401" filled="true" fillcolor="#231f20" stroked="false">
            <v:fill type="solid"/>
            <w10:wrap type="none"/>
          </v:rect>
        </w:pict>
      </w:r>
      <w:r>
        <w:rPr/>
        <w:pict>
          <v:rect style="position:absolute;margin-left:482.221008pt;margin-top:-22.639299pt;width:57.96pt;height:.89999pt;mso-position-horizontal-relative:page;mso-position-vertical-relative:paragraph;z-index:15806464" id="docshape402" filled="true" fillcolor="#231f20" stroked="false">
            <v:fill type="solid"/>
            <w10:wrap type="none"/>
          </v:rect>
        </w:pict>
      </w:r>
      <w:r>
        <w:rPr>
          <w:color w:val="231F20"/>
        </w:rPr>
        <w:t>Related</w:t>
      </w:r>
      <w:r>
        <w:rPr>
          <w:color w:val="231F20"/>
          <w:spacing w:val="-7"/>
        </w:rPr>
        <w:t> </w:t>
      </w:r>
      <w:r>
        <w:rPr>
          <w:color w:val="231F20"/>
        </w:rPr>
        <w:t>Party</w:t>
      </w:r>
      <w:r>
        <w:rPr>
          <w:color w:val="231F20"/>
          <w:spacing w:val="-7"/>
        </w:rPr>
        <w:t> </w:t>
      </w:r>
      <w:r>
        <w:rPr>
          <w:color w:val="231F20"/>
        </w:rPr>
        <w:t>Transactions</w:t>
      </w:r>
      <w:r>
        <w:rPr>
          <w:color w:val="231F20"/>
          <w:spacing w:val="-7"/>
        </w:rPr>
        <w:t> </w:t>
      </w:r>
      <w:r>
        <w:rPr>
          <w:color w:val="231F20"/>
        </w:rPr>
        <w:t>and</w:t>
      </w:r>
      <w:r>
        <w:rPr>
          <w:color w:val="231F20"/>
          <w:spacing w:val="-7"/>
        </w:rPr>
        <w:t> </w:t>
      </w:r>
      <w:r>
        <w:rPr>
          <w:color w:val="231F20"/>
        </w:rPr>
        <w:t>Donated</w:t>
      </w:r>
      <w:r>
        <w:rPr>
          <w:color w:val="231F20"/>
          <w:spacing w:val="-7"/>
        </w:rPr>
        <w:t> </w:t>
      </w:r>
      <w:r>
        <w:rPr>
          <w:color w:val="231F20"/>
          <w:spacing w:val="-2"/>
        </w:rPr>
        <w:t>Services</w:t>
      </w:r>
    </w:p>
    <w:p>
      <w:pPr>
        <w:pStyle w:val="BodyText"/>
        <w:spacing w:line="276" w:lineRule="auto" w:before="34"/>
        <w:ind w:left="1439" w:right="891"/>
      </w:pPr>
      <w:r>
        <w:rPr>
          <w:color w:val="231F20"/>
        </w:rPr>
        <w:t>The Institute provides the Foundation's office space in exchange for property management services provided to the Institute by the Foundation. These transactions are not recorded in the Foundation's financial</w:t>
      </w:r>
      <w:r>
        <w:rPr>
          <w:color w:val="231F20"/>
          <w:spacing w:val="-3"/>
        </w:rPr>
        <w:t> </w:t>
      </w:r>
      <w:r>
        <w:rPr>
          <w:color w:val="231F20"/>
        </w:rPr>
        <w:t>statements,</w:t>
      </w:r>
      <w:r>
        <w:rPr>
          <w:color w:val="231F20"/>
          <w:spacing w:val="-3"/>
        </w:rPr>
        <w:t> </w:t>
      </w:r>
      <w:r>
        <w:rPr>
          <w:color w:val="231F20"/>
        </w:rPr>
        <w:t>as</w:t>
      </w:r>
      <w:r>
        <w:rPr>
          <w:color w:val="231F20"/>
          <w:spacing w:val="-2"/>
        </w:rPr>
        <w:t> </w:t>
      </w:r>
      <w:r>
        <w:rPr>
          <w:color w:val="231F20"/>
        </w:rPr>
        <w:t>they</w:t>
      </w:r>
      <w:r>
        <w:rPr>
          <w:color w:val="231F20"/>
          <w:spacing w:val="-2"/>
        </w:rPr>
        <w:t> </w:t>
      </w:r>
      <w:r>
        <w:rPr>
          <w:color w:val="231F20"/>
        </w:rPr>
        <w:t>are</w:t>
      </w:r>
      <w:r>
        <w:rPr>
          <w:color w:val="231F20"/>
          <w:spacing w:val="-3"/>
        </w:rPr>
        <w:t> </w:t>
      </w:r>
      <w:r>
        <w:rPr>
          <w:color w:val="231F20"/>
        </w:rPr>
        <w:t>not</w:t>
      </w:r>
      <w:r>
        <w:rPr>
          <w:color w:val="231F20"/>
          <w:spacing w:val="-3"/>
        </w:rPr>
        <w:t> </w:t>
      </w:r>
      <w:r>
        <w:rPr>
          <w:color w:val="231F20"/>
        </w:rPr>
        <w:t>significant</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value</w:t>
      </w:r>
      <w:r>
        <w:rPr>
          <w:color w:val="231F20"/>
          <w:spacing w:val="-3"/>
        </w:rPr>
        <w:t> </w:t>
      </w:r>
      <w:r>
        <w:rPr>
          <w:color w:val="231F20"/>
        </w:rPr>
        <w:t>is</w:t>
      </w:r>
      <w:r>
        <w:rPr>
          <w:color w:val="231F20"/>
          <w:spacing w:val="-3"/>
        </w:rPr>
        <w:t> </w:t>
      </w:r>
      <w:r>
        <w:rPr>
          <w:color w:val="231F20"/>
        </w:rPr>
        <w:t>not</w:t>
      </w:r>
      <w:r>
        <w:rPr>
          <w:color w:val="231F20"/>
          <w:spacing w:val="-4"/>
        </w:rPr>
        <w:t> </w:t>
      </w:r>
      <w:r>
        <w:rPr>
          <w:color w:val="231F20"/>
        </w:rPr>
        <w:t>subject</w:t>
      </w:r>
      <w:r>
        <w:rPr>
          <w:color w:val="231F20"/>
          <w:spacing w:val="-3"/>
        </w:rPr>
        <w:t> </w:t>
      </w:r>
      <w:r>
        <w:rPr>
          <w:color w:val="231F20"/>
        </w:rPr>
        <w:t>to</w:t>
      </w:r>
      <w:r>
        <w:rPr>
          <w:color w:val="231F20"/>
          <w:spacing w:val="-3"/>
        </w:rPr>
        <w:t> </w:t>
      </w:r>
      <w:r>
        <w:rPr>
          <w:color w:val="231F20"/>
        </w:rPr>
        <w:t>reasonable</w:t>
      </w:r>
      <w:r>
        <w:rPr>
          <w:color w:val="231F20"/>
          <w:spacing w:val="-3"/>
        </w:rPr>
        <w:t> </w:t>
      </w:r>
      <w:r>
        <w:rPr>
          <w:color w:val="231F20"/>
        </w:rPr>
        <w:t>estimation.</w:t>
      </w:r>
      <w:r>
        <w:rPr>
          <w:color w:val="231F20"/>
          <w:spacing w:val="-3"/>
        </w:rPr>
        <w:t> </w:t>
      </w:r>
      <w:r>
        <w:rPr>
          <w:color w:val="231F20"/>
        </w:rPr>
        <w:t>The Institute did not charge the Foundation for accounting and management services during the year ended June 30, 2022.</w:t>
      </w:r>
    </w:p>
    <w:p>
      <w:pPr>
        <w:pStyle w:val="BodyText"/>
        <w:spacing w:before="11"/>
        <w:rPr>
          <w:sz w:val="22"/>
        </w:rPr>
      </w:pPr>
    </w:p>
    <w:p>
      <w:pPr>
        <w:pStyle w:val="BodyText"/>
        <w:spacing w:line="276" w:lineRule="auto"/>
        <w:ind w:left="1439" w:right="1383"/>
        <w:jc w:val="both"/>
      </w:pPr>
      <w:r>
        <w:rPr>
          <w:color w:val="231F20"/>
        </w:rPr>
        <w:t>The</w:t>
      </w:r>
      <w:r>
        <w:rPr>
          <w:color w:val="231F20"/>
          <w:spacing w:val="-2"/>
        </w:rPr>
        <w:t> </w:t>
      </w:r>
      <w:r>
        <w:rPr>
          <w:color w:val="231F20"/>
        </w:rPr>
        <w:t>Foundation</w:t>
      </w:r>
      <w:r>
        <w:rPr>
          <w:color w:val="231F20"/>
          <w:spacing w:val="-2"/>
        </w:rPr>
        <w:t> </w:t>
      </w:r>
      <w:r>
        <w:rPr>
          <w:color w:val="231F20"/>
        </w:rPr>
        <w:t>leases</w:t>
      </w:r>
      <w:r>
        <w:rPr>
          <w:color w:val="231F20"/>
          <w:spacing w:val="-2"/>
        </w:rPr>
        <w:t> </w:t>
      </w:r>
      <w:r>
        <w:rPr>
          <w:color w:val="231F20"/>
        </w:rPr>
        <w:t>an</w:t>
      </w:r>
      <w:r>
        <w:rPr>
          <w:color w:val="231F20"/>
          <w:spacing w:val="-3"/>
        </w:rPr>
        <w:t> </w:t>
      </w:r>
      <w:r>
        <w:rPr>
          <w:color w:val="231F20"/>
        </w:rPr>
        <w:t>apartment</w:t>
      </w:r>
      <w:r>
        <w:rPr>
          <w:color w:val="231F20"/>
          <w:spacing w:val="-2"/>
        </w:rPr>
        <w:t> </w:t>
      </w:r>
      <w:r>
        <w:rPr>
          <w:color w:val="231F20"/>
        </w:rPr>
        <w:t>building</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Institute.</w:t>
      </w:r>
      <w:r>
        <w:rPr>
          <w:color w:val="231F20"/>
          <w:spacing w:val="-2"/>
        </w:rPr>
        <w:t> </w:t>
      </w:r>
      <w:r>
        <w:rPr>
          <w:color w:val="231F20"/>
        </w:rPr>
        <w:t>The</w:t>
      </w:r>
      <w:r>
        <w:rPr>
          <w:color w:val="231F20"/>
          <w:spacing w:val="-2"/>
        </w:rPr>
        <w:t> </w:t>
      </w:r>
      <w:r>
        <w:rPr>
          <w:color w:val="231F20"/>
        </w:rPr>
        <w:t>lease</w:t>
      </w:r>
      <w:r>
        <w:rPr>
          <w:color w:val="231F20"/>
          <w:spacing w:val="-2"/>
        </w:rPr>
        <w:t> </w:t>
      </w:r>
      <w:r>
        <w:rPr>
          <w:color w:val="231F20"/>
        </w:rPr>
        <w:t>is</w:t>
      </w:r>
      <w:r>
        <w:rPr>
          <w:color w:val="231F20"/>
          <w:spacing w:val="-1"/>
        </w:rPr>
        <w:t> </w:t>
      </w:r>
      <w:r>
        <w:rPr>
          <w:color w:val="231F20"/>
        </w:rPr>
        <w:t>classified</w:t>
      </w:r>
      <w:r>
        <w:rPr>
          <w:color w:val="231F20"/>
          <w:spacing w:val="-2"/>
        </w:rPr>
        <w:t> </w:t>
      </w:r>
      <w:r>
        <w:rPr>
          <w:color w:val="231F20"/>
        </w:rPr>
        <w:t>as</w:t>
      </w:r>
      <w:r>
        <w:rPr>
          <w:color w:val="231F20"/>
          <w:spacing w:val="-2"/>
        </w:rPr>
        <w:t> </w:t>
      </w:r>
      <w:r>
        <w:rPr>
          <w:color w:val="231F20"/>
        </w:rPr>
        <w:t>an</w:t>
      </w:r>
      <w:r>
        <w:rPr>
          <w:color w:val="231F20"/>
          <w:spacing w:val="-2"/>
        </w:rPr>
        <w:t> </w:t>
      </w:r>
      <w:r>
        <w:rPr>
          <w:color w:val="231F20"/>
        </w:rPr>
        <w:t>operating lease</w:t>
      </w:r>
      <w:r>
        <w:rPr>
          <w:color w:val="231F20"/>
          <w:spacing w:val="-3"/>
        </w:rPr>
        <w:t> </w:t>
      </w:r>
      <w:r>
        <w:rPr>
          <w:color w:val="231F20"/>
        </w:rPr>
        <w:t>on</w:t>
      </w:r>
      <w:r>
        <w:rPr>
          <w:color w:val="231F20"/>
          <w:spacing w:val="-3"/>
        </w:rPr>
        <w:t> </w:t>
      </w:r>
      <w:r>
        <w:rPr>
          <w:color w:val="231F20"/>
        </w:rPr>
        <w:t>a</w:t>
      </w:r>
      <w:r>
        <w:rPr>
          <w:color w:val="231F20"/>
          <w:spacing w:val="-3"/>
        </w:rPr>
        <w:t> </w:t>
      </w:r>
      <w:r>
        <w:rPr>
          <w:color w:val="231F20"/>
        </w:rPr>
        <w:t>month-to-month</w:t>
      </w:r>
      <w:r>
        <w:rPr>
          <w:color w:val="231F20"/>
          <w:spacing w:val="-3"/>
        </w:rPr>
        <w:t> </w:t>
      </w:r>
      <w:r>
        <w:rPr>
          <w:color w:val="231F20"/>
        </w:rPr>
        <w:t>basis.</w:t>
      </w:r>
      <w:r>
        <w:rPr>
          <w:color w:val="231F20"/>
          <w:spacing w:val="-3"/>
        </w:rPr>
        <w:t> </w:t>
      </w:r>
      <w:r>
        <w:rPr>
          <w:color w:val="231F20"/>
        </w:rPr>
        <w:t>Additionally,</w:t>
      </w:r>
      <w:r>
        <w:rPr>
          <w:color w:val="231F20"/>
          <w:spacing w:val="-3"/>
        </w:rPr>
        <w:t> </w:t>
      </w:r>
      <w:r>
        <w:rPr>
          <w:color w:val="231F20"/>
        </w:rPr>
        <w:t>the</w:t>
      </w:r>
      <w:r>
        <w:rPr>
          <w:color w:val="231F20"/>
          <w:spacing w:val="-3"/>
        </w:rPr>
        <w:t> </w:t>
      </w:r>
      <w:r>
        <w:rPr>
          <w:color w:val="231F20"/>
        </w:rPr>
        <w:t>Foundation</w:t>
      </w:r>
      <w:r>
        <w:rPr>
          <w:color w:val="231F20"/>
          <w:spacing w:val="-3"/>
        </w:rPr>
        <w:t> </w:t>
      </w:r>
      <w:r>
        <w:rPr>
          <w:color w:val="231F20"/>
        </w:rPr>
        <w:t>leases</w:t>
      </w:r>
      <w:r>
        <w:rPr>
          <w:color w:val="231F20"/>
          <w:spacing w:val="-3"/>
        </w:rPr>
        <w:t> </w:t>
      </w:r>
      <w:r>
        <w:rPr>
          <w:color w:val="231F20"/>
        </w:rPr>
        <w:t>a</w:t>
      </w:r>
      <w:r>
        <w:rPr>
          <w:color w:val="231F20"/>
          <w:spacing w:val="-3"/>
        </w:rPr>
        <w:t> </w:t>
      </w:r>
      <w:r>
        <w:rPr>
          <w:color w:val="231F20"/>
        </w:rPr>
        <w:t>residential</w:t>
      </w:r>
      <w:r>
        <w:rPr>
          <w:color w:val="231F20"/>
          <w:spacing w:val="-3"/>
        </w:rPr>
        <w:t> </w:t>
      </w:r>
      <w:r>
        <w:rPr>
          <w:color w:val="231F20"/>
        </w:rPr>
        <w:t>building</w:t>
      </w:r>
      <w:r>
        <w:rPr>
          <w:color w:val="231F20"/>
          <w:spacing w:val="-3"/>
        </w:rPr>
        <w:t> </w:t>
      </w:r>
      <w:r>
        <w:rPr>
          <w:color w:val="231F20"/>
        </w:rPr>
        <w:t>to</w:t>
      </w:r>
      <w:r>
        <w:rPr>
          <w:color w:val="231F20"/>
          <w:spacing w:val="-4"/>
        </w:rPr>
        <w:t> </w:t>
      </w:r>
      <w:r>
        <w:rPr>
          <w:color w:val="231F20"/>
        </w:rPr>
        <w:t>a</w:t>
      </w:r>
      <w:r>
        <w:rPr>
          <w:color w:val="231F20"/>
          <w:spacing w:val="-3"/>
        </w:rPr>
        <w:t> </w:t>
      </w:r>
      <w:r>
        <w:rPr>
          <w:color w:val="231F20"/>
        </w:rPr>
        <w:t>third party. Lease revenues were $13,500 for 2022.</w:t>
      </w:r>
    </w:p>
    <w:p>
      <w:pPr>
        <w:pStyle w:val="BodyText"/>
        <w:rPr>
          <w:sz w:val="23"/>
        </w:rPr>
      </w:pPr>
    </w:p>
    <w:p>
      <w:pPr>
        <w:pStyle w:val="BodyText"/>
        <w:spacing w:line="276" w:lineRule="auto"/>
        <w:ind w:left="1439" w:right="1048"/>
      </w:pPr>
      <w:r>
        <w:rPr>
          <w:color w:val="231F20"/>
        </w:rPr>
        <w:t>The</w:t>
      </w:r>
      <w:r>
        <w:rPr>
          <w:color w:val="231F20"/>
          <w:spacing w:val="-3"/>
        </w:rPr>
        <w:t> </w:t>
      </w:r>
      <w:r>
        <w:rPr>
          <w:color w:val="231F20"/>
        </w:rPr>
        <w:t>Foundation</w:t>
      </w:r>
      <w:r>
        <w:rPr>
          <w:color w:val="231F20"/>
          <w:spacing w:val="-3"/>
        </w:rPr>
        <w:t> </w:t>
      </w:r>
      <w:r>
        <w:rPr>
          <w:color w:val="231F20"/>
        </w:rPr>
        <w:t>funded</w:t>
      </w:r>
      <w:r>
        <w:rPr>
          <w:color w:val="231F20"/>
          <w:spacing w:val="-3"/>
        </w:rPr>
        <w:t> </w:t>
      </w:r>
      <w:r>
        <w:rPr>
          <w:color w:val="231F20"/>
        </w:rPr>
        <w:t>$18,000</w:t>
      </w:r>
      <w:r>
        <w:rPr>
          <w:color w:val="231F20"/>
          <w:spacing w:val="-3"/>
        </w:rPr>
        <w:t> </w:t>
      </w:r>
      <w:r>
        <w:rPr>
          <w:color w:val="231F20"/>
        </w:rPr>
        <w:t>in</w:t>
      </w:r>
      <w:r>
        <w:rPr>
          <w:color w:val="231F20"/>
          <w:spacing w:val="-3"/>
        </w:rPr>
        <w:t> </w:t>
      </w:r>
      <w:r>
        <w:rPr>
          <w:color w:val="231F20"/>
        </w:rPr>
        <w:t>scholarships</w:t>
      </w:r>
      <w:r>
        <w:rPr>
          <w:color w:val="231F20"/>
          <w:spacing w:val="-3"/>
        </w:rPr>
        <w:t> </w:t>
      </w:r>
      <w:r>
        <w:rPr>
          <w:color w:val="231F20"/>
        </w:rPr>
        <w:t>and</w:t>
      </w:r>
      <w:r>
        <w:rPr>
          <w:color w:val="231F20"/>
          <w:spacing w:val="-4"/>
        </w:rPr>
        <w:t> </w:t>
      </w:r>
      <w:r>
        <w:rPr>
          <w:color w:val="231F20"/>
        </w:rPr>
        <w:t>awards</w:t>
      </w:r>
      <w:r>
        <w:rPr>
          <w:color w:val="231F20"/>
          <w:spacing w:val="-3"/>
        </w:rPr>
        <w:t> </w:t>
      </w:r>
      <w:r>
        <w:rPr>
          <w:color w:val="231F20"/>
        </w:rPr>
        <w:t>which</w:t>
      </w:r>
      <w:r>
        <w:rPr>
          <w:color w:val="231F20"/>
          <w:spacing w:val="-4"/>
        </w:rPr>
        <w:t> </w:t>
      </w:r>
      <w:r>
        <w:rPr>
          <w:color w:val="231F20"/>
        </w:rPr>
        <w:t>were</w:t>
      </w:r>
      <w:r>
        <w:rPr>
          <w:color w:val="231F20"/>
          <w:spacing w:val="-3"/>
        </w:rPr>
        <w:t> </w:t>
      </w:r>
      <w:r>
        <w:rPr>
          <w:color w:val="231F20"/>
        </w:rPr>
        <w:t>provided</w:t>
      </w:r>
      <w:r>
        <w:rPr>
          <w:color w:val="231F20"/>
          <w:spacing w:val="-3"/>
        </w:rPr>
        <w:t> </w:t>
      </w:r>
      <w:r>
        <w:rPr>
          <w:color w:val="231F20"/>
        </w:rPr>
        <w:t>through</w:t>
      </w:r>
      <w:r>
        <w:rPr>
          <w:color w:val="231F20"/>
          <w:spacing w:val="-3"/>
        </w:rPr>
        <w:t> </w:t>
      </w:r>
      <w:r>
        <w:rPr>
          <w:color w:val="231F20"/>
        </w:rPr>
        <w:t>the</w:t>
      </w:r>
      <w:r>
        <w:rPr>
          <w:color w:val="231F20"/>
          <w:spacing w:val="-4"/>
        </w:rPr>
        <w:t> </w:t>
      </w:r>
      <w:r>
        <w:rPr>
          <w:color w:val="231F20"/>
        </w:rPr>
        <w:t>Institute during</w:t>
      </w:r>
      <w:r>
        <w:rPr>
          <w:color w:val="231F20"/>
          <w:spacing w:val="-1"/>
        </w:rPr>
        <w:t> </w:t>
      </w:r>
      <w:r>
        <w:rPr>
          <w:color w:val="231F20"/>
        </w:rPr>
        <w:t>the</w:t>
      </w:r>
      <w:r>
        <w:rPr>
          <w:color w:val="231F20"/>
          <w:spacing w:val="-1"/>
        </w:rPr>
        <w:t> </w:t>
      </w:r>
      <w:r>
        <w:rPr>
          <w:color w:val="231F20"/>
        </w:rPr>
        <w:t>year</w:t>
      </w:r>
      <w:r>
        <w:rPr>
          <w:color w:val="231F20"/>
          <w:spacing w:val="-1"/>
        </w:rPr>
        <w:t> </w:t>
      </w:r>
      <w:r>
        <w:rPr>
          <w:color w:val="231F20"/>
        </w:rPr>
        <w:t>ended</w:t>
      </w:r>
      <w:r>
        <w:rPr>
          <w:color w:val="231F20"/>
          <w:spacing w:val="-1"/>
        </w:rPr>
        <w:t> </w:t>
      </w:r>
      <w:r>
        <w:rPr>
          <w:color w:val="231F20"/>
        </w:rPr>
        <w:t>June</w:t>
      </w:r>
      <w:r>
        <w:rPr>
          <w:color w:val="231F20"/>
          <w:spacing w:val="-1"/>
        </w:rPr>
        <w:t> </w:t>
      </w:r>
      <w:r>
        <w:rPr>
          <w:color w:val="231F20"/>
        </w:rPr>
        <w:t>30,</w:t>
      </w:r>
      <w:r>
        <w:rPr>
          <w:color w:val="231F20"/>
          <w:spacing w:val="-1"/>
        </w:rPr>
        <w:t> </w:t>
      </w:r>
      <w:r>
        <w:rPr>
          <w:color w:val="231F20"/>
        </w:rPr>
        <w:t>2022.</w:t>
      </w:r>
      <w:r>
        <w:rPr>
          <w:color w:val="231F20"/>
          <w:spacing w:val="-1"/>
        </w:rPr>
        <w:t> </w:t>
      </w:r>
      <w:r>
        <w:rPr>
          <w:color w:val="231F20"/>
        </w:rPr>
        <w:t>The</w:t>
      </w:r>
      <w:r>
        <w:rPr>
          <w:color w:val="231F20"/>
          <w:spacing w:val="-1"/>
        </w:rPr>
        <w:t> </w:t>
      </w:r>
      <w:r>
        <w:rPr>
          <w:color w:val="231F20"/>
        </w:rPr>
        <w:t>funding</w:t>
      </w:r>
      <w:r>
        <w:rPr>
          <w:color w:val="231F20"/>
          <w:spacing w:val="-1"/>
        </w:rPr>
        <w:t> </w:t>
      </w:r>
      <w:r>
        <w:rPr>
          <w:color w:val="231F20"/>
        </w:rPr>
        <w:t>for these</w:t>
      </w:r>
      <w:r>
        <w:rPr>
          <w:color w:val="231F20"/>
          <w:spacing w:val="-1"/>
        </w:rPr>
        <w:t> </w:t>
      </w:r>
      <w:r>
        <w:rPr>
          <w:color w:val="231F20"/>
        </w:rPr>
        <w:t>scholarships</w:t>
      </w:r>
      <w:r>
        <w:rPr>
          <w:color w:val="231F20"/>
          <w:spacing w:val="-2"/>
        </w:rPr>
        <w:t> </w:t>
      </w:r>
      <w:r>
        <w:rPr>
          <w:color w:val="231F20"/>
        </w:rPr>
        <w:t>comes</w:t>
      </w:r>
      <w:r>
        <w:rPr>
          <w:color w:val="231F20"/>
          <w:spacing w:val="-1"/>
        </w:rPr>
        <w:t> </w:t>
      </w:r>
      <w:r>
        <w:rPr>
          <w:color w:val="231F20"/>
        </w:rPr>
        <w:t>primarily</w:t>
      </w:r>
      <w:r>
        <w:rPr>
          <w:color w:val="231F20"/>
          <w:spacing w:val="-1"/>
        </w:rPr>
        <w:t> </w:t>
      </w:r>
      <w:r>
        <w:rPr>
          <w:color w:val="231F20"/>
        </w:rPr>
        <w:t>from</w:t>
      </w:r>
      <w:r>
        <w:rPr>
          <w:color w:val="231F20"/>
          <w:spacing w:val="-1"/>
        </w:rPr>
        <w:t> </w:t>
      </w:r>
      <w:r>
        <w:rPr>
          <w:color w:val="231F20"/>
        </w:rPr>
        <w:t>assets held</w:t>
      </w:r>
      <w:r>
        <w:rPr>
          <w:color w:val="231F20"/>
          <w:spacing w:val="-2"/>
        </w:rPr>
        <w:t> </w:t>
      </w:r>
      <w:r>
        <w:rPr>
          <w:color w:val="231F20"/>
        </w:rPr>
        <w:t>by</w:t>
      </w:r>
      <w:r>
        <w:rPr>
          <w:color w:val="231F20"/>
          <w:spacing w:val="-1"/>
        </w:rPr>
        <w:t> </w:t>
      </w:r>
      <w:r>
        <w:rPr>
          <w:color w:val="231F20"/>
        </w:rPr>
        <w:t>the</w:t>
      </w:r>
      <w:r>
        <w:rPr>
          <w:color w:val="231F20"/>
          <w:spacing w:val="-2"/>
        </w:rPr>
        <w:t> </w:t>
      </w:r>
      <w:r>
        <w:rPr>
          <w:color w:val="231F20"/>
        </w:rPr>
        <w:t>Foundation</w:t>
      </w:r>
      <w:r>
        <w:rPr>
          <w:color w:val="231F20"/>
          <w:spacing w:val="-2"/>
        </w:rPr>
        <w:t> </w:t>
      </w:r>
      <w:r>
        <w:rPr>
          <w:color w:val="231F20"/>
        </w:rPr>
        <w:t>from</w:t>
      </w:r>
      <w:r>
        <w:rPr>
          <w:color w:val="231F20"/>
          <w:spacing w:val="-2"/>
        </w:rPr>
        <w:t> </w:t>
      </w:r>
      <w:r>
        <w:rPr>
          <w:color w:val="231F20"/>
        </w:rPr>
        <w:t>which</w:t>
      </w:r>
      <w:r>
        <w:rPr>
          <w:color w:val="231F20"/>
          <w:spacing w:val="-2"/>
        </w:rPr>
        <w:t> </w:t>
      </w:r>
      <w:r>
        <w:rPr>
          <w:color w:val="231F20"/>
        </w:rPr>
        <w:t>the</w:t>
      </w:r>
      <w:r>
        <w:rPr>
          <w:color w:val="231F20"/>
          <w:spacing w:val="-2"/>
        </w:rPr>
        <w:t> </w:t>
      </w:r>
      <w:r>
        <w:rPr>
          <w:color w:val="231F20"/>
        </w:rPr>
        <w:t>Institute</w:t>
      </w:r>
      <w:r>
        <w:rPr>
          <w:color w:val="231F20"/>
          <w:spacing w:val="-2"/>
        </w:rPr>
        <w:t> </w:t>
      </w:r>
      <w:r>
        <w:rPr>
          <w:color w:val="231F20"/>
        </w:rPr>
        <w:t>is</w:t>
      </w:r>
      <w:r>
        <w:rPr>
          <w:color w:val="231F20"/>
          <w:spacing w:val="-2"/>
        </w:rPr>
        <w:t> </w:t>
      </w:r>
      <w:r>
        <w:rPr>
          <w:color w:val="231F20"/>
        </w:rPr>
        <w:t>entitled</w:t>
      </w:r>
      <w:r>
        <w:rPr>
          <w:color w:val="231F20"/>
          <w:spacing w:val="-2"/>
        </w:rPr>
        <w:t> </w:t>
      </w:r>
      <w:r>
        <w:rPr>
          <w:color w:val="231F20"/>
        </w:rPr>
        <w:t>to</w:t>
      </w:r>
      <w:r>
        <w:rPr>
          <w:color w:val="231F20"/>
          <w:spacing w:val="-2"/>
        </w:rPr>
        <w:t> </w:t>
      </w:r>
      <w:r>
        <w:rPr>
          <w:color w:val="231F20"/>
        </w:rPr>
        <w:t>4.5%</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income,</w:t>
      </w:r>
      <w:r>
        <w:rPr>
          <w:color w:val="231F20"/>
          <w:spacing w:val="-3"/>
        </w:rPr>
        <w:t> </w:t>
      </w:r>
      <w:r>
        <w:rPr>
          <w:color w:val="231F20"/>
        </w:rPr>
        <w:t>but</w:t>
      </w:r>
      <w:r>
        <w:rPr>
          <w:color w:val="231F20"/>
          <w:spacing w:val="-2"/>
        </w:rPr>
        <w:t> </w:t>
      </w:r>
      <w:r>
        <w:rPr>
          <w:color w:val="231F20"/>
        </w:rPr>
        <w:t>has</w:t>
      </w:r>
      <w:r>
        <w:rPr>
          <w:color w:val="231F20"/>
          <w:spacing w:val="-2"/>
        </w:rPr>
        <w:t> </w:t>
      </w:r>
      <w:r>
        <w:rPr>
          <w:color w:val="231F20"/>
        </w:rPr>
        <w:t>no</w:t>
      </w:r>
      <w:r>
        <w:rPr>
          <w:color w:val="231F20"/>
          <w:spacing w:val="-2"/>
        </w:rPr>
        <w:t> </w:t>
      </w:r>
      <w:r>
        <w:rPr>
          <w:color w:val="231F20"/>
        </w:rPr>
        <w:t>title</w:t>
      </w:r>
      <w:r>
        <w:rPr>
          <w:color w:val="231F20"/>
          <w:spacing w:val="-2"/>
        </w:rPr>
        <w:t> </w:t>
      </w:r>
      <w:r>
        <w:rPr>
          <w:color w:val="231F20"/>
        </w:rPr>
        <w:t>to</w:t>
      </w:r>
      <w:r>
        <w:rPr>
          <w:color w:val="231F20"/>
          <w:spacing w:val="-2"/>
        </w:rPr>
        <w:t> </w:t>
      </w:r>
      <w:r>
        <w:rPr>
          <w:color w:val="231F20"/>
        </w:rPr>
        <w:t>the assets themselves. However, income earned on such assets upon which the Institute has claim is recorded in the accompanying basic financial statements.</w:t>
      </w:r>
    </w:p>
    <w:p>
      <w:pPr>
        <w:spacing w:after="0" w:line="276" w:lineRule="auto"/>
        <w:sectPr>
          <w:type w:val="continuous"/>
          <w:pgSz w:w="12240" w:h="15840"/>
          <w:pgMar w:header="1282" w:footer="1097" w:top="1460" w:bottom="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3"/>
        </w:rPr>
      </w:pPr>
    </w:p>
    <w:p>
      <w:pPr>
        <w:spacing w:before="0"/>
        <w:ind w:left="1440" w:right="0" w:firstLine="0"/>
        <w:jc w:val="left"/>
        <w:rPr>
          <w:b/>
          <w:sz w:val="20"/>
        </w:rPr>
      </w:pPr>
      <w:r>
        <w:rPr>
          <w:b/>
          <w:color w:val="231F20"/>
          <w:sz w:val="20"/>
        </w:rPr>
        <w:t>Risk</w:t>
      </w:r>
      <w:r>
        <w:rPr>
          <w:b/>
          <w:color w:val="231F20"/>
          <w:spacing w:val="-2"/>
          <w:sz w:val="20"/>
        </w:rPr>
        <w:t> Management</w:t>
      </w:r>
    </w:p>
    <w:p>
      <w:pPr>
        <w:pStyle w:val="BodyText"/>
        <w:spacing w:line="276" w:lineRule="auto" w:before="34"/>
        <w:ind w:left="1440" w:right="891"/>
      </w:pPr>
      <w:r>
        <w:rPr>
          <w:color w:val="231F20"/>
        </w:rPr>
        <w:t>The Foundation is exposed to various risks of loss from torts; theft of, damage to, and destruction of assets;</w:t>
      </w:r>
      <w:r>
        <w:rPr>
          <w:color w:val="231F20"/>
          <w:spacing w:val="-4"/>
        </w:rPr>
        <w:t> </w:t>
      </w:r>
      <w:r>
        <w:rPr>
          <w:color w:val="231F20"/>
        </w:rPr>
        <w:t>business</w:t>
      </w:r>
      <w:r>
        <w:rPr>
          <w:color w:val="231F20"/>
          <w:spacing w:val="-4"/>
        </w:rPr>
        <w:t> </w:t>
      </w:r>
      <w:r>
        <w:rPr>
          <w:color w:val="231F20"/>
        </w:rPr>
        <w:t>interruption;</w:t>
      </w:r>
      <w:r>
        <w:rPr>
          <w:color w:val="231F20"/>
          <w:spacing w:val="-4"/>
        </w:rPr>
        <w:t> </w:t>
      </w:r>
      <w:r>
        <w:rPr>
          <w:color w:val="231F20"/>
        </w:rPr>
        <w:t>and</w:t>
      </w:r>
      <w:r>
        <w:rPr>
          <w:color w:val="231F20"/>
          <w:spacing w:val="-4"/>
        </w:rPr>
        <w:t> </w:t>
      </w:r>
      <w:r>
        <w:rPr>
          <w:color w:val="231F20"/>
        </w:rPr>
        <w:t>errors</w:t>
      </w:r>
      <w:r>
        <w:rPr>
          <w:color w:val="231F20"/>
          <w:spacing w:val="-4"/>
        </w:rPr>
        <w:t> </w:t>
      </w:r>
      <w:r>
        <w:rPr>
          <w:color w:val="231F20"/>
        </w:rPr>
        <w:t>and</w:t>
      </w:r>
      <w:r>
        <w:rPr>
          <w:color w:val="231F20"/>
          <w:spacing w:val="-4"/>
        </w:rPr>
        <w:t> </w:t>
      </w:r>
      <w:r>
        <w:rPr>
          <w:color w:val="231F20"/>
        </w:rPr>
        <w:t>omissions</w:t>
      </w:r>
      <w:r>
        <w:rPr>
          <w:color w:val="231F20"/>
          <w:spacing w:val="-4"/>
        </w:rPr>
        <w:t> </w:t>
      </w:r>
      <w:r>
        <w:rPr>
          <w:color w:val="231F20"/>
        </w:rPr>
        <w:t>and</w:t>
      </w:r>
      <w:r>
        <w:rPr>
          <w:color w:val="231F20"/>
          <w:spacing w:val="-4"/>
        </w:rPr>
        <w:t> </w:t>
      </w:r>
      <w:r>
        <w:rPr>
          <w:color w:val="231F20"/>
        </w:rPr>
        <w:t>natural</w:t>
      </w:r>
      <w:r>
        <w:rPr>
          <w:color w:val="231F20"/>
          <w:spacing w:val="-4"/>
        </w:rPr>
        <w:t> </w:t>
      </w:r>
      <w:r>
        <w:rPr>
          <w:color w:val="231F20"/>
        </w:rPr>
        <w:t>disasters.</w:t>
      </w:r>
      <w:r>
        <w:rPr>
          <w:color w:val="231F20"/>
          <w:spacing w:val="-4"/>
        </w:rPr>
        <w:t> </w:t>
      </w:r>
      <w:r>
        <w:rPr>
          <w:color w:val="231F20"/>
        </w:rPr>
        <w:t>The</w:t>
      </w:r>
      <w:r>
        <w:rPr>
          <w:color w:val="231F20"/>
          <w:spacing w:val="-4"/>
        </w:rPr>
        <w:t> </w:t>
      </w:r>
      <w:r>
        <w:rPr>
          <w:color w:val="231F20"/>
        </w:rPr>
        <w:t>Foundation</w:t>
      </w:r>
      <w:r>
        <w:rPr>
          <w:color w:val="231F20"/>
          <w:spacing w:val="-4"/>
        </w:rPr>
        <w:t> </w:t>
      </w:r>
      <w:r>
        <w:rPr>
          <w:color w:val="231F20"/>
        </w:rPr>
        <w:t>is</w:t>
      </w:r>
      <w:r>
        <w:rPr>
          <w:color w:val="231F20"/>
          <w:spacing w:val="-4"/>
        </w:rPr>
        <w:t> </w:t>
      </w:r>
      <w:r>
        <w:rPr>
          <w:color w:val="231F20"/>
        </w:rPr>
        <w:t>insured under the Institute's risk management program for liability and casualty insurance, and through a private carrier for director and officer liability insurance. There have been no significant reductions in coverage from prior years.</w:t>
      </w:r>
    </w:p>
    <w:p>
      <w:pPr>
        <w:pStyle w:val="BodyText"/>
        <w:rPr>
          <w:sz w:val="23"/>
        </w:rPr>
      </w:pPr>
    </w:p>
    <w:p>
      <w:pPr>
        <w:pStyle w:val="Heading4"/>
        <w:spacing w:before="1"/>
      </w:pPr>
      <w:r>
        <w:rPr>
          <w:color w:val="231F20"/>
        </w:rPr>
        <w:t>Donor</w:t>
      </w:r>
      <w:r>
        <w:rPr>
          <w:color w:val="231F20"/>
          <w:spacing w:val="-4"/>
        </w:rPr>
        <w:t> </w:t>
      </w:r>
      <w:r>
        <w:rPr>
          <w:color w:val="231F20"/>
        </w:rPr>
        <w:t>Restricted</w:t>
      </w:r>
      <w:r>
        <w:rPr>
          <w:color w:val="231F20"/>
          <w:spacing w:val="-3"/>
        </w:rPr>
        <w:t> </w:t>
      </w:r>
      <w:r>
        <w:rPr>
          <w:color w:val="231F20"/>
          <w:spacing w:val="-2"/>
        </w:rPr>
        <w:t>Endowments</w:t>
      </w:r>
    </w:p>
    <w:p>
      <w:pPr>
        <w:pStyle w:val="BodyText"/>
        <w:spacing w:line="276" w:lineRule="auto" w:before="33"/>
        <w:ind w:left="1440" w:right="891"/>
      </w:pPr>
      <w:r>
        <w:rPr>
          <w:color w:val="231F20"/>
        </w:rPr>
        <w:t>The</w:t>
      </w:r>
      <w:r>
        <w:rPr>
          <w:color w:val="231F20"/>
          <w:spacing w:val="-3"/>
        </w:rPr>
        <w:t> </w:t>
      </w:r>
      <w:r>
        <w:rPr>
          <w:color w:val="231F20"/>
        </w:rPr>
        <w:t>Foundation</w:t>
      </w:r>
      <w:r>
        <w:rPr>
          <w:color w:val="231F20"/>
          <w:spacing w:val="-3"/>
        </w:rPr>
        <w:t> </w:t>
      </w:r>
      <w:r>
        <w:rPr>
          <w:color w:val="231F20"/>
        </w:rPr>
        <w:t>solicits</w:t>
      </w:r>
      <w:r>
        <w:rPr>
          <w:color w:val="231F20"/>
          <w:spacing w:val="-4"/>
        </w:rPr>
        <w:t> </w:t>
      </w:r>
      <w:r>
        <w:rPr>
          <w:color w:val="231F20"/>
        </w:rPr>
        <w:t>contributions</w:t>
      </w:r>
      <w:r>
        <w:rPr>
          <w:color w:val="231F20"/>
          <w:spacing w:val="-3"/>
        </w:rPr>
        <w:t> </w:t>
      </w:r>
      <w:r>
        <w:rPr>
          <w:color w:val="231F20"/>
        </w:rPr>
        <w:t>to</w:t>
      </w:r>
      <w:r>
        <w:rPr>
          <w:color w:val="231F20"/>
          <w:spacing w:val="-3"/>
        </w:rPr>
        <w:t> </w:t>
      </w:r>
      <w:r>
        <w:rPr>
          <w:color w:val="231F20"/>
        </w:rPr>
        <w:t>support</w:t>
      </w:r>
      <w:r>
        <w:rPr>
          <w:color w:val="231F20"/>
          <w:spacing w:val="-3"/>
        </w:rPr>
        <w:t> </w:t>
      </w:r>
      <w:r>
        <w:rPr>
          <w:color w:val="231F20"/>
        </w:rPr>
        <w:t>the</w:t>
      </w:r>
      <w:r>
        <w:rPr>
          <w:color w:val="231F20"/>
          <w:spacing w:val="-3"/>
        </w:rPr>
        <w:t> </w:t>
      </w:r>
      <w:r>
        <w:rPr>
          <w:color w:val="231F20"/>
        </w:rPr>
        <w:t>activities</w:t>
      </w:r>
      <w:r>
        <w:rPr>
          <w:color w:val="231F20"/>
          <w:spacing w:val="-2"/>
        </w:rPr>
        <w:t> </w:t>
      </w:r>
      <w:r>
        <w:rPr>
          <w:color w:val="231F20"/>
        </w:rPr>
        <w:t>of</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Contributions</w:t>
      </w:r>
      <w:r>
        <w:rPr>
          <w:color w:val="231F20"/>
          <w:spacing w:val="-3"/>
        </w:rPr>
        <w:t> </w:t>
      </w:r>
      <w:r>
        <w:rPr>
          <w:color w:val="231F20"/>
        </w:rPr>
        <w:t>received</w:t>
      </w:r>
      <w:r>
        <w:rPr>
          <w:color w:val="231F20"/>
          <w:spacing w:val="-3"/>
        </w:rPr>
        <w:t> </w:t>
      </w:r>
      <w:r>
        <w:rPr>
          <w:color w:val="231F20"/>
        </w:rPr>
        <w:t>may be unrestricted, restricted for a certain time or for a certain purpose, or restricted in perpetuity. Amounts which are restricted in perpetuity are classified as restricted, nonexpendable on the statement of net position, and were $11,830,942 at June 30, 2022.</w:t>
      </w:r>
    </w:p>
    <w:p>
      <w:pPr>
        <w:pStyle w:val="BodyText"/>
        <w:rPr>
          <w:sz w:val="23"/>
        </w:rPr>
      </w:pPr>
    </w:p>
    <w:p>
      <w:pPr>
        <w:pStyle w:val="BodyText"/>
        <w:spacing w:line="276" w:lineRule="auto"/>
        <w:ind w:left="1440" w:right="1048"/>
      </w:pPr>
      <w:r>
        <w:rPr>
          <w:color w:val="231F20"/>
        </w:rPr>
        <w:t>Net appreciation/depreciation on donor restricted endowments and related investment income are recorded</w:t>
      </w:r>
      <w:r>
        <w:rPr>
          <w:color w:val="231F20"/>
          <w:spacing w:val="-4"/>
        </w:rPr>
        <w:t> </w:t>
      </w:r>
      <w:r>
        <w:rPr>
          <w:color w:val="231F20"/>
        </w:rPr>
        <w:t>as</w:t>
      </w:r>
      <w:r>
        <w:rPr>
          <w:color w:val="231F20"/>
          <w:spacing w:val="-3"/>
        </w:rPr>
        <w:t> </w:t>
      </w:r>
      <w:r>
        <w:rPr>
          <w:color w:val="231F20"/>
        </w:rPr>
        <w:t>an</w:t>
      </w:r>
      <w:r>
        <w:rPr>
          <w:color w:val="231F20"/>
          <w:spacing w:val="-4"/>
        </w:rPr>
        <w:t> </w:t>
      </w:r>
      <w:r>
        <w:rPr>
          <w:color w:val="231F20"/>
        </w:rPr>
        <w:t>increase</w:t>
      </w:r>
      <w:r>
        <w:rPr>
          <w:color w:val="231F20"/>
          <w:spacing w:val="-4"/>
        </w:rPr>
        <w:t> </w:t>
      </w:r>
      <w:r>
        <w:rPr>
          <w:color w:val="231F20"/>
        </w:rPr>
        <w:t>or</w:t>
      </w:r>
      <w:r>
        <w:rPr>
          <w:color w:val="231F20"/>
          <w:spacing w:val="-3"/>
        </w:rPr>
        <w:t> </w:t>
      </w:r>
      <w:r>
        <w:rPr>
          <w:color w:val="231F20"/>
        </w:rPr>
        <w:t>decrease</w:t>
      </w:r>
      <w:r>
        <w:rPr>
          <w:color w:val="231F20"/>
          <w:spacing w:val="-4"/>
        </w:rPr>
        <w:t> </w:t>
      </w:r>
      <w:r>
        <w:rPr>
          <w:color w:val="231F20"/>
        </w:rPr>
        <w:t>in</w:t>
      </w:r>
      <w:r>
        <w:rPr>
          <w:color w:val="231F20"/>
          <w:spacing w:val="-4"/>
        </w:rPr>
        <w:t> </w:t>
      </w:r>
      <w:r>
        <w:rPr>
          <w:color w:val="231F20"/>
        </w:rPr>
        <w:t>restricted,</w:t>
      </w:r>
      <w:r>
        <w:rPr>
          <w:color w:val="231F20"/>
          <w:spacing w:val="-3"/>
        </w:rPr>
        <w:t> </w:t>
      </w:r>
      <w:r>
        <w:rPr>
          <w:color w:val="231F20"/>
        </w:rPr>
        <w:t>expendable</w:t>
      </w:r>
      <w:r>
        <w:rPr>
          <w:color w:val="231F20"/>
          <w:spacing w:val="-4"/>
        </w:rPr>
        <w:t> </w:t>
      </w:r>
      <w:r>
        <w:rPr>
          <w:color w:val="231F20"/>
        </w:rPr>
        <w:t>net</w:t>
      </w:r>
      <w:r>
        <w:rPr>
          <w:color w:val="231F20"/>
          <w:spacing w:val="-4"/>
        </w:rPr>
        <w:t> </w:t>
      </w:r>
      <w:r>
        <w:rPr>
          <w:color w:val="231F20"/>
        </w:rPr>
        <w:t>position</w:t>
      </w:r>
      <w:r>
        <w:rPr>
          <w:color w:val="231F20"/>
          <w:spacing w:val="-4"/>
        </w:rPr>
        <w:t> </w:t>
      </w:r>
      <w:r>
        <w:rPr>
          <w:color w:val="231F20"/>
        </w:rPr>
        <w:t>until</w:t>
      </w:r>
      <w:r>
        <w:rPr>
          <w:color w:val="231F20"/>
          <w:spacing w:val="-4"/>
        </w:rPr>
        <w:t> </w:t>
      </w:r>
      <w:r>
        <w:rPr>
          <w:color w:val="231F20"/>
        </w:rPr>
        <w:t>the</w:t>
      </w:r>
      <w:r>
        <w:rPr>
          <w:color w:val="231F20"/>
          <w:spacing w:val="-4"/>
        </w:rPr>
        <w:t> </w:t>
      </w:r>
      <w:r>
        <w:rPr>
          <w:color w:val="231F20"/>
        </w:rPr>
        <w:t>amount</w:t>
      </w:r>
      <w:r>
        <w:rPr>
          <w:color w:val="231F20"/>
          <w:spacing w:val="-4"/>
        </w:rPr>
        <w:t> </w:t>
      </w:r>
      <w:r>
        <w:rPr>
          <w:color w:val="231F20"/>
        </w:rPr>
        <w:t>is</w:t>
      </w:r>
      <w:r>
        <w:rPr>
          <w:color w:val="231F20"/>
          <w:spacing w:val="-4"/>
        </w:rPr>
        <w:t> </w:t>
      </w:r>
      <w:r>
        <w:rPr>
          <w:color w:val="231F20"/>
        </w:rPr>
        <w:t>expended in accordance with donor specifications. The investment policy is in accordance with the State of</w:t>
      </w:r>
    </w:p>
    <w:p>
      <w:pPr>
        <w:pStyle w:val="BodyText"/>
        <w:spacing w:line="276" w:lineRule="auto"/>
        <w:ind w:left="1440" w:right="1505"/>
      </w:pPr>
      <w:r>
        <w:rPr>
          <w:color w:val="231F20"/>
        </w:rPr>
        <w:t>New Mexico Uniform Prudent Management of Institutional Funds Act (UPMIFA) (Chapter 46, Article</w:t>
      </w:r>
      <w:r>
        <w:rPr>
          <w:color w:val="231F20"/>
          <w:spacing w:val="-4"/>
        </w:rPr>
        <w:t> </w:t>
      </w:r>
      <w:r>
        <w:rPr>
          <w:color w:val="231F20"/>
        </w:rPr>
        <w:t>9A</w:t>
      </w:r>
      <w:r>
        <w:rPr>
          <w:color w:val="231F20"/>
          <w:spacing w:val="-4"/>
        </w:rPr>
        <w:t> </w:t>
      </w:r>
      <w:r>
        <w:rPr>
          <w:color w:val="231F20"/>
        </w:rPr>
        <w:t>1-10</w:t>
      </w:r>
      <w:r>
        <w:rPr>
          <w:color w:val="231F20"/>
          <w:spacing w:val="-4"/>
        </w:rPr>
        <w:t> </w:t>
      </w:r>
      <w:r>
        <w:rPr>
          <w:color w:val="231F20"/>
        </w:rPr>
        <w:t>NMSA</w:t>
      </w:r>
      <w:r>
        <w:rPr>
          <w:color w:val="231F20"/>
          <w:spacing w:val="-4"/>
        </w:rPr>
        <w:t> </w:t>
      </w:r>
      <w:r>
        <w:rPr>
          <w:color w:val="231F20"/>
        </w:rPr>
        <w:t>1978).</w:t>
      </w:r>
      <w:r>
        <w:rPr>
          <w:color w:val="231F20"/>
          <w:spacing w:val="-4"/>
        </w:rPr>
        <w:t> </w:t>
      </w:r>
      <w:r>
        <w:rPr>
          <w:color w:val="231F20"/>
        </w:rPr>
        <w:t>The</w:t>
      </w:r>
      <w:r>
        <w:rPr>
          <w:color w:val="231F20"/>
          <w:spacing w:val="-4"/>
        </w:rPr>
        <w:t> </w:t>
      </w:r>
      <w:r>
        <w:rPr>
          <w:color w:val="231F20"/>
        </w:rPr>
        <w:t>investment</w:t>
      </w:r>
      <w:r>
        <w:rPr>
          <w:color w:val="231F20"/>
          <w:spacing w:val="-4"/>
        </w:rPr>
        <w:t> </w:t>
      </w:r>
      <w:r>
        <w:rPr>
          <w:color w:val="231F20"/>
        </w:rPr>
        <w:t>income,</w:t>
      </w:r>
      <w:r>
        <w:rPr>
          <w:color w:val="231F20"/>
          <w:spacing w:val="-5"/>
        </w:rPr>
        <w:t> </w:t>
      </w:r>
      <w:r>
        <w:rPr>
          <w:color w:val="231F20"/>
        </w:rPr>
        <w:t>including</w:t>
      </w:r>
      <w:r>
        <w:rPr>
          <w:color w:val="231F20"/>
          <w:spacing w:val="-4"/>
        </w:rPr>
        <w:t> </w:t>
      </w:r>
      <w:r>
        <w:rPr>
          <w:color w:val="231F20"/>
        </w:rPr>
        <w:t>realized</w:t>
      </w:r>
      <w:r>
        <w:rPr>
          <w:color w:val="231F20"/>
          <w:spacing w:val="-4"/>
        </w:rPr>
        <w:t> </w:t>
      </w:r>
      <w:r>
        <w:rPr>
          <w:color w:val="231F20"/>
        </w:rPr>
        <w:t>gains,</w:t>
      </w:r>
      <w:r>
        <w:rPr>
          <w:color w:val="231F20"/>
          <w:spacing w:val="-4"/>
        </w:rPr>
        <w:t> </w:t>
      </w:r>
      <w:r>
        <w:rPr>
          <w:color w:val="231F20"/>
        </w:rPr>
        <w:t>from</w:t>
      </w:r>
      <w:r>
        <w:rPr>
          <w:color w:val="231F20"/>
          <w:spacing w:val="-4"/>
        </w:rPr>
        <w:t> </w:t>
      </w:r>
      <w:r>
        <w:rPr>
          <w:color w:val="231F20"/>
        </w:rPr>
        <w:t>the</w:t>
      </w:r>
      <w:r>
        <w:rPr>
          <w:color w:val="231F20"/>
          <w:spacing w:val="-4"/>
        </w:rPr>
        <w:t> </w:t>
      </w:r>
      <w:r>
        <w:rPr>
          <w:color w:val="231F20"/>
        </w:rPr>
        <w:t>restricted,</w:t>
      </w:r>
    </w:p>
    <w:p>
      <w:pPr>
        <w:pStyle w:val="BodyText"/>
        <w:spacing w:line="276" w:lineRule="auto"/>
        <w:ind w:left="1440" w:right="1048"/>
      </w:pPr>
      <w:r>
        <w:rPr>
          <w:color w:val="231F20"/>
        </w:rPr>
        <w:t>nonexpendable</w:t>
      </w:r>
      <w:r>
        <w:rPr>
          <w:color w:val="231F20"/>
          <w:spacing w:val="-4"/>
        </w:rPr>
        <w:t> </w:t>
      </w:r>
      <w:r>
        <w:rPr>
          <w:color w:val="231F20"/>
        </w:rPr>
        <w:t>net</w:t>
      </w:r>
      <w:r>
        <w:rPr>
          <w:color w:val="231F20"/>
          <w:spacing w:val="-4"/>
        </w:rPr>
        <w:t> </w:t>
      </w:r>
      <w:r>
        <w:rPr>
          <w:color w:val="231F20"/>
        </w:rPr>
        <w:t>position</w:t>
      </w:r>
      <w:r>
        <w:rPr>
          <w:color w:val="231F20"/>
          <w:spacing w:val="-4"/>
        </w:rPr>
        <w:t> </w:t>
      </w:r>
      <w:r>
        <w:rPr>
          <w:color w:val="231F20"/>
        </w:rPr>
        <w:t>as</w:t>
      </w:r>
      <w:r>
        <w:rPr>
          <w:color w:val="231F20"/>
          <w:spacing w:val="-4"/>
        </w:rPr>
        <w:t> </w:t>
      </w:r>
      <w:r>
        <w:rPr>
          <w:color w:val="231F20"/>
        </w:rPr>
        <w:t>well</w:t>
      </w:r>
      <w:r>
        <w:rPr>
          <w:color w:val="231F20"/>
          <w:spacing w:val="-4"/>
        </w:rPr>
        <w:t> </w:t>
      </w:r>
      <w:r>
        <w:rPr>
          <w:color w:val="231F20"/>
        </w:rPr>
        <w:t>as</w:t>
      </w:r>
      <w:r>
        <w:rPr>
          <w:color w:val="231F20"/>
          <w:spacing w:val="-4"/>
        </w:rPr>
        <w:t> </w:t>
      </w:r>
      <w:r>
        <w:rPr>
          <w:color w:val="231F20"/>
        </w:rPr>
        <w:t>the</w:t>
      </w:r>
      <w:r>
        <w:rPr>
          <w:color w:val="231F20"/>
          <w:spacing w:val="-4"/>
        </w:rPr>
        <w:t> </w:t>
      </w:r>
      <w:r>
        <w:rPr>
          <w:color w:val="231F20"/>
        </w:rPr>
        <w:t>balance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unrestricted</w:t>
      </w:r>
      <w:r>
        <w:rPr>
          <w:color w:val="231F20"/>
          <w:spacing w:val="-4"/>
        </w:rPr>
        <w:t> </w:t>
      </w:r>
      <w:r>
        <w:rPr>
          <w:color w:val="231F20"/>
        </w:rPr>
        <w:t>net</w:t>
      </w:r>
      <w:r>
        <w:rPr>
          <w:color w:val="231F20"/>
          <w:spacing w:val="-4"/>
        </w:rPr>
        <w:t> </w:t>
      </w:r>
      <w:r>
        <w:rPr>
          <w:color w:val="231F20"/>
        </w:rPr>
        <w:t>position</w:t>
      </w:r>
      <w:r>
        <w:rPr>
          <w:color w:val="231F20"/>
          <w:spacing w:val="-4"/>
        </w:rPr>
        <w:t> </w:t>
      </w:r>
      <w:r>
        <w:rPr>
          <w:color w:val="231F20"/>
        </w:rPr>
        <w:t>is</w:t>
      </w:r>
      <w:r>
        <w:rPr>
          <w:color w:val="231F20"/>
          <w:spacing w:val="-4"/>
        </w:rPr>
        <w:t> </w:t>
      </w:r>
      <w:r>
        <w:rPr>
          <w:color w:val="231F20"/>
        </w:rPr>
        <w:t>generally</w:t>
      </w:r>
      <w:r>
        <w:rPr>
          <w:color w:val="231F20"/>
          <w:spacing w:val="-4"/>
        </w:rPr>
        <w:t> </w:t>
      </w:r>
      <w:r>
        <w:rPr>
          <w:color w:val="231F20"/>
        </w:rPr>
        <w:t>available for expenditure by the Foundation in a manner consistent with the standard of prudence prescribed by UPMIFA. During the current year, donor-restricted endowments had investment losses of $3,467,121.</w:t>
      </w:r>
    </w:p>
    <w:p>
      <w:pPr>
        <w:pStyle w:val="BodyText"/>
        <w:rPr>
          <w:sz w:val="23"/>
        </w:rPr>
      </w:pPr>
    </w:p>
    <w:p>
      <w:pPr>
        <w:pStyle w:val="BodyText"/>
        <w:spacing w:line="276" w:lineRule="auto"/>
        <w:ind w:left="1440" w:right="891"/>
      </w:pPr>
      <w:r>
        <w:rPr>
          <w:color w:val="231F20"/>
        </w:rPr>
        <w:t>The</w:t>
      </w:r>
      <w:r>
        <w:rPr>
          <w:color w:val="231F20"/>
          <w:spacing w:val="-3"/>
        </w:rPr>
        <w:t> </w:t>
      </w:r>
      <w:r>
        <w:rPr>
          <w:color w:val="231F20"/>
        </w:rPr>
        <w:t>Board</w:t>
      </w:r>
      <w:r>
        <w:rPr>
          <w:color w:val="231F20"/>
          <w:spacing w:val="-3"/>
        </w:rPr>
        <w:t> </w:t>
      </w:r>
      <w:r>
        <w:rPr>
          <w:color w:val="231F20"/>
        </w:rPr>
        <w:t>of</w:t>
      </w:r>
      <w:r>
        <w:rPr>
          <w:color w:val="231F20"/>
          <w:spacing w:val="-3"/>
        </w:rPr>
        <w:t> </w:t>
      </w:r>
      <w:r>
        <w:rPr>
          <w:color w:val="231F20"/>
        </w:rPr>
        <w:t>Trustees</w:t>
      </w:r>
      <w:r>
        <w:rPr>
          <w:color w:val="231F20"/>
          <w:spacing w:val="-2"/>
        </w:rPr>
        <w:t> </w:t>
      </w:r>
      <w:r>
        <w:rPr>
          <w:color w:val="231F20"/>
        </w:rPr>
        <w:t>of</w:t>
      </w:r>
      <w:r>
        <w:rPr>
          <w:color w:val="231F20"/>
          <w:spacing w:val="-3"/>
        </w:rPr>
        <w:t> </w:t>
      </w:r>
      <w:r>
        <w:rPr>
          <w:color w:val="231F20"/>
        </w:rPr>
        <w:t>the</w:t>
      </w:r>
      <w:r>
        <w:rPr>
          <w:color w:val="231F20"/>
          <w:spacing w:val="-3"/>
        </w:rPr>
        <w:t> </w:t>
      </w:r>
      <w:r>
        <w:rPr>
          <w:color w:val="231F20"/>
        </w:rPr>
        <w:t>Foundation</w:t>
      </w:r>
      <w:r>
        <w:rPr>
          <w:color w:val="231F20"/>
          <w:spacing w:val="-4"/>
        </w:rPr>
        <w:t> </w:t>
      </w:r>
      <w:r>
        <w:rPr>
          <w:color w:val="231F20"/>
        </w:rPr>
        <w:t>has</w:t>
      </w:r>
      <w:r>
        <w:rPr>
          <w:color w:val="231F20"/>
          <w:spacing w:val="-3"/>
        </w:rPr>
        <w:t> </w:t>
      </w:r>
      <w:r>
        <w:rPr>
          <w:color w:val="231F20"/>
        </w:rPr>
        <w:t>interpreted</w:t>
      </w:r>
      <w:r>
        <w:rPr>
          <w:color w:val="231F20"/>
          <w:spacing w:val="-3"/>
        </w:rPr>
        <w:t> </w:t>
      </w:r>
      <w:r>
        <w:rPr>
          <w:color w:val="231F20"/>
        </w:rPr>
        <w:t>the</w:t>
      </w:r>
      <w:r>
        <w:rPr>
          <w:color w:val="231F20"/>
          <w:spacing w:val="-3"/>
        </w:rPr>
        <w:t> </w:t>
      </w:r>
      <w:r>
        <w:rPr>
          <w:color w:val="231F20"/>
        </w:rPr>
        <w:t>UPMIFA</w:t>
      </w:r>
      <w:r>
        <w:rPr>
          <w:color w:val="231F20"/>
          <w:spacing w:val="-3"/>
        </w:rPr>
        <w:t> </w:t>
      </w:r>
      <w:r>
        <w:rPr>
          <w:color w:val="231F20"/>
        </w:rPr>
        <w:t>as</w:t>
      </w:r>
      <w:r>
        <w:rPr>
          <w:color w:val="231F20"/>
          <w:spacing w:val="-3"/>
        </w:rPr>
        <w:t> </w:t>
      </w:r>
      <w:r>
        <w:rPr>
          <w:color w:val="231F20"/>
        </w:rPr>
        <w:t>requiring</w:t>
      </w:r>
      <w:r>
        <w:rPr>
          <w:color w:val="231F20"/>
          <w:spacing w:val="-3"/>
        </w:rPr>
        <w:t> </w:t>
      </w:r>
      <w:r>
        <w:rPr>
          <w:color w:val="231F20"/>
        </w:rPr>
        <w:t>the</w:t>
      </w:r>
      <w:r>
        <w:rPr>
          <w:color w:val="231F20"/>
          <w:spacing w:val="-3"/>
        </w:rPr>
        <w:t> </w:t>
      </w:r>
      <w:r>
        <w:rPr>
          <w:color w:val="231F20"/>
        </w:rPr>
        <w:t>preservation</w:t>
      </w:r>
      <w:r>
        <w:rPr>
          <w:color w:val="231F20"/>
          <w:spacing w:val="-3"/>
        </w:rPr>
        <w:t> </w:t>
      </w:r>
      <w:r>
        <w:rPr>
          <w:color w:val="231F20"/>
        </w:rPr>
        <w:t>of</w:t>
      </w:r>
      <w:r>
        <w:rPr>
          <w:color w:val="231F20"/>
          <w:spacing w:val="-3"/>
        </w:rPr>
        <w:t> </w:t>
      </w:r>
      <w:r>
        <w:rPr>
          <w:color w:val="231F20"/>
        </w:rPr>
        <w:t>the fair value of the original contribution as of the contribution date of the donor restricted endowment funds, absent explicit donor stipulations to the contrary. As a result, the Foundation classifies as restricted, nonexpendable net position (a) the original value of contribution to the endowment, (b) the original value of subsequent contribution to the endowment, and (c) accumulations to the endowment made in accordance with the direction of the applicable donor agreement at the time the contribution is added to the fund. There were no donor endowments whose fair value was less than the original value (under water) during 2022.</w:t>
      </w:r>
    </w:p>
    <w:p>
      <w:pPr>
        <w:spacing w:after="0" w:line="276" w:lineRule="auto"/>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3"/>
        </w:rPr>
      </w:pPr>
    </w:p>
    <w:p>
      <w:pPr>
        <w:pStyle w:val="BodyText"/>
        <w:spacing w:line="276" w:lineRule="auto"/>
        <w:ind w:left="1440" w:right="891"/>
      </w:pPr>
      <w:r>
        <w:rPr>
          <w:color w:val="231F20"/>
        </w:rPr>
        <w:t>In</w:t>
      </w:r>
      <w:r>
        <w:rPr>
          <w:color w:val="231F20"/>
          <w:spacing w:val="-3"/>
        </w:rPr>
        <w:t> </w:t>
      </w:r>
      <w:r>
        <w:rPr>
          <w:color w:val="231F20"/>
        </w:rPr>
        <w:t>accordance</w:t>
      </w:r>
      <w:r>
        <w:rPr>
          <w:color w:val="231F20"/>
          <w:spacing w:val="-3"/>
        </w:rPr>
        <w:t> </w:t>
      </w:r>
      <w:r>
        <w:rPr>
          <w:color w:val="231F20"/>
        </w:rPr>
        <w:t>with</w:t>
      </w:r>
      <w:r>
        <w:rPr>
          <w:color w:val="231F20"/>
          <w:spacing w:val="-3"/>
        </w:rPr>
        <w:t> </w:t>
      </w:r>
      <w:r>
        <w:rPr>
          <w:color w:val="231F20"/>
        </w:rPr>
        <w:t>UPMIFA,</w:t>
      </w:r>
      <w:r>
        <w:rPr>
          <w:color w:val="231F20"/>
          <w:spacing w:val="-3"/>
        </w:rPr>
        <w:t> </w:t>
      </w:r>
      <w:r>
        <w:rPr>
          <w:color w:val="231F20"/>
        </w:rPr>
        <w:t>the</w:t>
      </w:r>
      <w:r>
        <w:rPr>
          <w:color w:val="231F20"/>
          <w:spacing w:val="-3"/>
        </w:rPr>
        <w:t> </w:t>
      </w:r>
      <w:r>
        <w:rPr>
          <w:color w:val="231F20"/>
        </w:rPr>
        <w:t>Foundation</w:t>
      </w:r>
      <w:r>
        <w:rPr>
          <w:color w:val="231F20"/>
          <w:spacing w:val="-3"/>
        </w:rPr>
        <w:t> </w:t>
      </w:r>
      <w:r>
        <w:rPr>
          <w:color w:val="231F20"/>
        </w:rPr>
        <w:t>considers</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factors</w:t>
      </w:r>
      <w:r>
        <w:rPr>
          <w:color w:val="231F20"/>
          <w:spacing w:val="-3"/>
        </w:rPr>
        <w:t> </w:t>
      </w:r>
      <w:r>
        <w:rPr>
          <w:color w:val="231F20"/>
        </w:rPr>
        <w:t>in</w:t>
      </w:r>
      <w:r>
        <w:rPr>
          <w:color w:val="231F20"/>
          <w:spacing w:val="-3"/>
        </w:rPr>
        <w:t> </w:t>
      </w:r>
      <w:r>
        <w:rPr>
          <w:color w:val="231F20"/>
        </w:rPr>
        <w:t>making</w:t>
      </w:r>
      <w:r>
        <w:rPr>
          <w:color w:val="231F20"/>
          <w:spacing w:val="-3"/>
        </w:rPr>
        <w:t> </w:t>
      </w:r>
      <w:r>
        <w:rPr>
          <w:color w:val="231F20"/>
        </w:rPr>
        <w:t>a</w:t>
      </w:r>
      <w:r>
        <w:rPr>
          <w:color w:val="231F20"/>
          <w:spacing w:val="-3"/>
        </w:rPr>
        <w:t> </w:t>
      </w:r>
      <w:r>
        <w:rPr>
          <w:color w:val="231F20"/>
        </w:rPr>
        <w:t>determination</w:t>
      </w:r>
      <w:r>
        <w:rPr>
          <w:color w:val="231F20"/>
          <w:spacing w:val="-3"/>
        </w:rPr>
        <w:t> </w:t>
      </w:r>
      <w:r>
        <w:rPr>
          <w:color w:val="231F20"/>
        </w:rPr>
        <w:t>to appropriate or accumulate income from the restricted, nonexpendable endowment funds:</w:t>
      </w:r>
    </w:p>
    <w:p>
      <w:pPr>
        <w:pStyle w:val="BodyText"/>
        <w:rPr>
          <w:sz w:val="23"/>
        </w:rPr>
      </w:pPr>
    </w:p>
    <w:p>
      <w:pPr>
        <w:pStyle w:val="ListParagraph"/>
        <w:numPr>
          <w:ilvl w:val="0"/>
          <w:numId w:val="13"/>
        </w:numPr>
        <w:tabs>
          <w:tab w:pos="2880" w:val="left" w:leader="none"/>
          <w:tab w:pos="2881" w:val="left" w:leader="none"/>
        </w:tabs>
        <w:spacing w:line="240" w:lineRule="auto" w:before="0" w:after="0"/>
        <w:ind w:left="2880" w:right="0" w:hanging="722"/>
        <w:jc w:val="left"/>
        <w:rPr>
          <w:sz w:val="20"/>
        </w:rPr>
      </w:pPr>
      <w:r>
        <w:rPr>
          <w:color w:val="231F20"/>
          <w:sz w:val="20"/>
        </w:rPr>
        <w:t>The</w:t>
      </w:r>
      <w:r>
        <w:rPr>
          <w:color w:val="231F20"/>
          <w:spacing w:val="-3"/>
          <w:sz w:val="20"/>
        </w:rPr>
        <w:t> </w:t>
      </w:r>
      <w:r>
        <w:rPr>
          <w:color w:val="231F20"/>
          <w:sz w:val="20"/>
        </w:rPr>
        <w:t>duration</w:t>
      </w:r>
      <w:r>
        <w:rPr>
          <w:color w:val="231F20"/>
          <w:spacing w:val="-4"/>
          <w:sz w:val="20"/>
        </w:rPr>
        <w:t> </w:t>
      </w:r>
      <w:r>
        <w:rPr>
          <w:color w:val="231F20"/>
          <w:sz w:val="20"/>
        </w:rPr>
        <w:t>and</w:t>
      </w:r>
      <w:r>
        <w:rPr>
          <w:color w:val="231F20"/>
          <w:spacing w:val="-3"/>
          <w:sz w:val="20"/>
        </w:rPr>
        <w:t> </w:t>
      </w:r>
      <w:r>
        <w:rPr>
          <w:color w:val="231F20"/>
          <w:sz w:val="20"/>
        </w:rPr>
        <w:t>preservation</w:t>
      </w:r>
      <w:r>
        <w:rPr>
          <w:color w:val="231F20"/>
          <w:spacing w:val="-3"/>
          <w:sz w:val="20"/>
        </w:rPr>
        <w:t> </w:t>
      </w:r>
      <w:r>
        <w:rPr>
          <w:color w:val="231F20"/>
          <w:sz w:val="20"/>
        </w:rPr>
        <w:t>of</w:t>
      </w:r>
      <w:r>
        <w:rPr>
          <w:color w:val="231F20"/>
          <w:spacing w:val="-3"/>
          <w:sz w:val="20"/>
        </w:rPr>
        <w:t> </w:t>
      </w:r>
      <w:r>
        <w:rPr>
          <w:color w:val="231F20"/>
          <w:sz w:val="20"/>
        </w:rPr>
        <w:t>the</w:t>
      </w:r>
      <w:r>
        <w:rPr>
          <w:color w:val="231F20"/>
          <w:spacing w:val="-3"/>
          <w:sz w:val="20"/>
        </w:rPr>
        <w:t> </w:t>
      </w:r>
      <w:r>
        <w:rPr>
          <w:color w:val="231F20"/>
          <w:sz w:val="20"/>
        </w:rPr>
        <w:t>various</w:t>
      </w:r>
      <w:r>
        <w:rPr>
          <w:color w:val="231F20"/>
          <w:spacing w:val="-2"/>
          <w:sz w:val="20"/>
        </w:rPr>
        <w:t> funds,</w:t>
      </w:r>
    </w:p>
    <w:p>
      <w:pPr>
        <w:pStyle w:val="ListParagraph"/>
        <w:numPr>
          <w:ilvl w:val="0"/>
          <w:numId w:val="13"/>
        </w:numPr>
        <w:tabs>
          <w:tab w:pos="2880" w:val="left" w:leader="none"/>
          <w:tab w:pos="2881" w:val="left" w:leader="none"/>
        </w:tabs>
        <w:spacing w:line="240" w:lineRule="auto" w:before="34" w:after="0"/>
        <w:ind w:left="2880" w:right="0" w:hanging="722"/>
        <w:jc w:val="left"/>
        <w:rPr>
          <w:sz w:val="20"/>
        </w:rPr>
      </w:pPr>
      <w:r>
        <w:rPr>
          <w:color w:val="231F20"/>
          <w:sz w:val="20"/>
        </w:rPr>
        <w:t>The</w:t>
      </w:r>
      <w:r>
        <w:rPr>
          <w:color w:val="231F20"/>
          <w:spacing w:val="-5"/>
          <w:sz w:val="20"/>
        </w:rPr>
        <w:t> </w:t>
      </w:r>
      <w:r>
        <w:rPr>
          <w:color w:val="231F20"/>
          <w:sz w:val="20"/>
        </w:rPr>
        <w:t>purpose</w:t>
      </w:r>
      <w:r>
        <w:rPr>
          <w:color w:val="231F20"/>
          <w:spacing w:val="-6"/>
          <w:sz w:val="20"/>
        </w:rPr>
        <w:t> </w:t>
      </w:r>
      <w:r>
        <w:rPr>
          <w:color w:val="231F20"/>
          <w:sz w:val="20"/>
        </w:rPr>
        <w:t>of</w:t>
      </w:r>
      <w:r>
        <w:rPr>
          <w:color w:val="231F20"/>
          <w:spacing w:val="-5"/>
          <w:sz w:val="20"/>
        </w:rPr>
        <w:t> </w:t>
      </w:r>
      <w:r>
        <w:rPr>
          <w:color w:val="231F20"/>
          <w:sz w:val="20"/>
        </w:rPr>
        <w:t>the</w:t>
      </w:r>
      <w:r>
        <w:rPr>
          <w:color w:val="231F20"/>
          <w:spacing w:val="-5"/>
          <w:sz w:val="20"/>
        </w:rPr>
        <w:t> </w:t>
      </w:r>
      <w:r>
        <w:rPr>
          <w:color w:val="231F20"/>
          <w:sz w:val="20"/>
        </w:rPr>
        <w:t>donor-restricted</w:t>
      </w:r>
      <w:r>
        <w:rPr>
          <w:color w:val="231F20"/>
          <w:spacing w:val="-4"/>
          <w:sz w:val="20"/>
        </w:rPr>
        <w:t> </w:t>
      </w:r>
      <w:r>
        <w:rPr>
          <w:color w:val="231F20"/>
          <w:spacing w:val="-2"/>
          <w:sz w:val="20"/>
        </w:rPr>
        <w:t>funds,</w:t>
      </w:r>
    </w:p>
    <w:p>
      <w:pPr>
        <w:pStyle w:val="ListParagraph"/>
        <w:numPr>
          <w:ilvl w:val="0"/>
          <w:numId w:val="13"/>
        </w:numPr>
        <w:tabs>
          <w:tab w:pos="2880" w:val="left" w:leader="none"/>
          <w:tab w:pos="2881" w:val="left" w:leader="none"/>
        </w:tabs>
        <w:spacing w:line="240" w:lineRule="auto" w:before="35" w:after="0"/>
        <w:ind w:left="2880" w:right="0" w:hanging="722"/>
        <w:jc w:val="left"/>
        <w:rPr>
          <w:sz w:val="20"/>
        </w:rPr>
      </w:pPr>
      <w:r>
        <w:rPr>
          <w:color w:val="231F20"/>
          <w:sz w:val="20"/>
        </w:rPr>
        <w:t>General</w:t>
      </w:r>
      <w:r>
        <w:rPr>
          <w:color w:val="231F20"/>
          <w:spacing w:val="-6"/>
          <w:sz w:val="20"/>
        </w:rPr>
        <w:t> </w:t>
      </w:r>
      <w:r>
        <w:rPr>
          <w:color w:val="231F20"/>
          <w:sz w:val="20"/>
        </w:rPr>
        <w:t>economic</w:t>
      </w:r>
      <w:r>
        <w:rPr>
          <w:color w:val="231F20"/>
          <w:spacing w:val="-6"/>
          <w:sz w:val="20"/>
        </w:rPr>
        <w:t> </w:t>
      </w:r>
      <w:r>
        <w:rPr>
          <w:color w:val="231F20"/>
          <w:spacing w:val="-2"/>
          <w:sz w:val="20"/>
        </w:rPr>
        <w:t>conditions,</w:t>
      </w:r>
    </w:p>
    <w:p>
      <w:pPr>
        <w:pStyle w:val="ListParagraph"/>
        <w:numPr>
          <w:ilvl w:val="0"/>
          <w:numId w:val="13"/>
        </w:numPr>
        <w:tabs>
          <w:tab w:pos="2880" w:val="left" w:leader="none"/>
          <w:tab w:pos="2881" w:val="left" w:leader="none"/>
        </w:tabs>
        <w:spacing w:line="240" w:lineRule="auto" w:before="34" w:after="0"/>
        <w:ind w:left="2880" w:right="0" w:hanging="722"/>
        <w:jc w:val="left"/>
        <w:rPr>
          <w:sz w:val="20"/>
        </w:rPr>
      </w:pPr>
      <w:r>
        <w:rPr>
          <w:color w:val="231F20"/>
          <w:sz w:val="20"/>
        </w:rPr>
        <w:t>The</w:t>
      </w:r>
      <w:r>
        <w:rPr>
          <w:color w:val="231F20"/>
          <w:spacing w:val="-8"/>
          <w:sz w:val="20"/>
        </w:rPr>
        <w:t> </w:t>
      </w:r>
      <w:r>
        <w:rPr>
          <w:color w:val="231F20"/>
          <w:sz w:val="20"/>
        </w:rPr>
        <w:t>possible</w:t>
      </w:r>
      <w:r>
        <w:rPr>
          <w:color w:val="231F20"/>
          <w:spacing w:val="-6"/>
          <w:sz w:val="20"/>
        </w:rPr>
        <w:t> </w:t>
      </w:r>
      <w:r>
        <w:rPr>
          <w:color w:val="231F20"/>
          <w:sz w:val="20"/>
        </w:rPr>
        <w:t>effect</w:t>
      </w:r>
      <w:r>
        <w:rPr>
          <w:color w:val="231F20"/>
          <w:spacing w:val="-5"/>
          <w:sz w:val="20"/>
        </w:rPr>
        <w:t> </w:t>
      </w:r>
      <w:r>
        <w:rPr>
          <w:color w:val="231F20"/>
          <w:sz w:val="20"/>
        </w:rPr>
        <w:t>of</w:t>
      </w:r>
      <w:r>
        <w:rPr>
          <w:color w:val="231F20"/>
          <w:spacing w:val="-5"/>
          <w:sz w:val="20"/>
        </w:rPr>
        <w:t> </w:t>
      </w:r>
      <w:r>
        <w:rPr>
          <w:color w:val="231F20"/>
          <w:sz w:val="20"/>
        </w:rPr>
        <w:t>inflation</w:t>
      </w:r>
      <w:r>
        <w:rPr>
          <w:color w:val="231F20"/>
          <w:spacing w:val="-5"/>
          <w:sz w:val="20"/>
        </w:rPr>
        <w:t> </w:t>
      </w:r>
      <w:r>
        <w:rPr>
          <w:color w:val="231F20"/>
          <w:sz w:val="20"/>
        </w:rPr>
        <w:t>and</w:t>
      </w:r>
      <w:r>
        <w:rPr>
          <w:color w:val="231F20"/>
          <w:spacing w:val="-5"/>
          <w:sz w:val="20"/>
        </w:rPr>
        <w:t> </w:t>
      </w:r>
      <w:r>
        <w:rPr>
          <w:color w:val="231F20"/>
          <w:spacing w:val="-2"/>
          <w:sz w:val="20"/>
        </w:rPr>
        <w:t>deflation,</w:t>
      </w:r>
    </w:p>
    <w:p>
      <w:pPr>
        <w:pStyle w:val="ListParagraph"/>
        <w:numPr>
          <w:ilvl w:val="0"/>
          <w:numId w:val="13"/>
        </w:numPr>
        <w:tabs>
          <w:tab w:pos="2880" w:val="left" w:leader="none"/>
          <w:tab w:pos="2881" w:val="left" w:leader="none"/>
        </w:tabs>
        <w:spacing w:line="240" w:lineRule="auto" w:before="36" w:after="0"/>
        <w:ind w:left="2880" w:right="0" w:hanging="721"/>
        <w:jc w:val="left"/>
        <w:rPr>
          <w:sz w:val="20"/>
        </w:rPr>
      </w:pPr>
      <w:r>
        <w:rPr>
          <w:color w:val="231F20"/>
          <w:sz w:val="20"/>
        </w:rPr>
        <w:t>The</w:t>
      </w:r>
      <w:r>
        <w:rPr>
          <w:color w:val="231F20"/>
          <w:spacing w:val="-7"/>
          <w:sz w:val="20"/>
        </w:rPr>
        <w:t> </w:t>
      </w:r>
      <w:r>
        <w:rPr>
          <w:color w:val="231F20"/>
          <w:sz w:val="20"/>
        </w:rPr>
        <w:t>expected</w:t>
      </w:r>
      <w:r>
        <w:rPr>
          <w:color w:val="231F20"/>
          <w:spacing w:val="-5"/>
          <w:sz w:val="20"/>
        </w:rPr>
        <w:t> </w:t>
      </w:r>
      <w:r>
        <w:rPr>
          <w:color w:val="231F20"/>
          <w:sz w:val="20"/>
        </w:rPr>
        <w:t>total</w:t>
      </w:r>
      <w:r>
        <w:rPr>
          <w:color w:val="231F20"/>
          <w:spacing w:val="-4"/>
          <w:sz w:val="20"/>
        </w:rPr>
        <w:t> </w:t>
      </w:r>
      <w:r>
        <w:rPr>
          <w:color w:val="231F20"/>
          <w:sz w:val="20"/>
        </w:rPr>
        <w:t>return</w:t>
      </w:r>
      <w:r>
        <w:rPr>
          <w:color w:val="231F20"/>
          <w:spacing w:val="-5"/>
          <w:sz w:val="20"/>
        </w:rPr>
        <w:t> </w:t>
      </w:r>
      <w:r>
        <w:rPr>
          <w:color w:val="231F20"/>
          <w:sz w:val="20"/>
        </w:rPr>
        <w:t>from</w:t>
      </w:r>
      <w:r>
        <w:rPr>
          <w:color w:val="231F20"/>
          <w:spacing w:val="-4"/>
          <w:sz w:val="20"/>
        </w:rPr>
        <w:t> </w:t>
      </w:r>
      <w:r>
        <w:rPr>
          <w:color w:val="231F20"/>
          <w:sz w:val="20"/>
        </w:rPr>
        <w:t>income</w:t>
      </w:r>
      <w:r>
        <w:rPr>
          <w:color w:val="231F20"/>
          <w:spacing w:val="-4"/>
          <w:sz w:val="20"/>
        </w:rPr>
        <w:t> </w:t>
      </w:r>
      <w:r>
        <w:rPr>
          <w:color w:val="231F20"/>
          <w:sz w:val="20"/>
        </w:rPr>
        <w:t>and</w:t>
      </w:r>
      <w:r>
        <w:rPr>
          <w:color w:val="231F20"/>
          <w:spacing w:val="-5"/>
          <w:sz w:val="20"/>
        </w:rPr>
        <w:t> </w:t>
      </w:r>
      <w:r>
        <w:rPr>
          <w:color w:val="231F20"/>
          <w:sz w:val="20"/>
        </w:rPr>
        <w:t>the</w:t>
      </w:r>
      <w:r>
        <w:rPr>
          <w:color w:val="231F20"/>
          <w:spacing w:val="-4"/>
          <w:sz w:val="20"/>
        </w:rPr>
        <w:t> </w:t>
      </w:r>
      <w:r>
        <w:rPr>
          <w:color w:val="231F20"/>
          <w:sz w:val="20"/>
        </w:rPr>
        <w:t>appreciation</w:t>
      </w:r>
      <w:r>
        <w:rPr>
          <w:color w:val="231F20"/>
          <w:spacing w:val="-4"/>
          <w:sz w:val="20"/>
        </w:rPr>
        <w:t> </w:t>
      </w:r>
      <w:r>
        <w:rPr>
          <w:color w:val="231F20"/>
          <w:sz w:val="20"/>
        </w:rPr>
        <w:t>of</w:t>
      </w:r>
      <w:r>
        <w:rPr>
          <w:color w:val="231F20"/>
          <w:spacing w:val="-4"/>
          <w:sz w:val="20"/>
        </w:rPr>
        <w:t> </w:t>
      </w:r>
      <w:r>
        <w:rPr>
          <w:color w:val="231F20"/>
          <w:spacing w:val="-2"/>
          <w:sz w:val="20"/>
        </w:rPr>
        <w:t>investments,</w:t>
      </w:r>
    </w:p>
    <w:p>
      <w:pPr>
        <w:pStyle w:val="ListParagraph"/>
        <w:numPr>
          <w:ilvl w:val="0"/>
          <w:numId w:val="13"/>
        </w:numPr>
        <w:tabs>
          <w:tab w:pos="2879" w:val="left" w:leader="none"/>
          <w:tab w:pos="2881" w:val="left" w:leader="none"/>
        </w:tabs>
        <w:spacing w:line="240" w:lineRule="auto" w:before="34" w:after="0"/>
        <w:ind w:left="2880" w:right="0" w:hanging="722"/>
        <w:jc w:val="left"/>
        <w:rPr>
          <w:sz w:val="20"/>
        </w:rPr>
      </w:pPr>
      <w:r>
        <w:rPr>
          <w:color w:val="231F20"/>
          <w:sz w:val="20"/>
        </w:rPr>
        <w:t>Other</w:t>
      </w:r>
      <w:r>
        <w:rPr>
          <w:color w:val="231F20"/>
          <w:spacing w:val="-5"/>
          <w:sz w:val="20"/>
        </w:rPr>
        <w:t> </w:t>
      </w:r>
      <w:r>
        <w:rPr>
          <w:color w:val="231F20"/>
          <w:sz w:val="20"/>
        </w:rPr>
        <w:t>resources</w:t>
      </w:r>
      <w:r>
        <w:rPr>
          <w:color w:val="231F20"/>
          <w:spacing w:val="-5"/>
          <w:sz w:val="20"/>
        </w:rPr>
        <w:t> </w:t>
      </w:r>
      <w:r>
        <w:rPr>
          <w:color w:val="231F20"/>
          <w:sz w:val="20"/>
        </w:rPr>
        <w:t>of</w:t>
      </w:r>
      <w:r>
        <w:rPr>
          <w:color w:val="231F20"/>
          <w:spacing w:val="-5"/>
          <w:sz w:val="20"/>
        </w:rPr>
        <w:t> </w:t>
      </w:r>
      <w:r>
        <w:rPr>
          <w:color w:val="231F20"/>
          <w:sz w:val="20"/>
        </w:rPr>
        <w:t>the</w:t>
      </w:r>
      <w:r>
        <w:rPr>
          <w:color w:val="231F20"/>
          <w:spacing w:val="-4"/>
          <w:sz w:val="20"/>
        </w:rPr>
        <w:t> </w:t>
      </w:r>
      <w:r>
        <w:rPr>
          <w:color w:val="231F20"/>
          <w:spacing w:val="-2"/>
          <w:sz w:val="20"/>
        </w:rPr>
        <w:t>Foundation,</w:t>
      </w:r>
    </w:p>
    <w:p>
      <w:pPr>
        <w:pStyle w:val="ListParagraph"/>
        <w:numPr>
          <w:ilvl w:val="0"/>
          <w:numId w:val="13"/>
        </w:numPr>
        <w:tabs>
          <w:tab w:pos="2880" w:val="left" w:leader="none"/>
          <w:tab w:pos="2881" w:val="left" w:leader="none"/>
        </w:tabs>
        <w:spacing w:line="240" w:lineRule="auto" w:before="33" w:after="0"/>
        <w:ind w:left="2880" w:right="0" w:hanging="722"/>
        <w:jc w:val="left"/>
        <w:rPr>
          <w:sz w:val="20"/>
        </w:rPr>
      </w:pPr>
      <w:r>
        <w:rPr>
          <w:color w:val="231F20"/>
          <w:sz w:val="20"/>
        </w:rPr>
        <w:t>The</w:t>
      </w:r>
      <w:r>
        <w:rPr>
          <w:color w:val="231F20"/>
          <w:spacing w:val="-6"/>
          <w:sz w:val="20"/>
        </w:rPr>
        <w:t> </w:t>
      </w:r>
      <w:r>
        <w:rPr>
          <w:color w:val="231F20"/>
          <w:sz w:val="20"/>
        </w:rPr>
        <w:t>Foundation’s</w:t>
      </w:r>
      <w:r>
        <w:rPr>
          <w:color w:val="231F20"/>
          <w:spacing w:val="-6"/>
          <w:sz w:val="20"/>
        </w:rPr>
        <w:t> </w:t>
      </w:r>
      <w:r>
        <w:rPr>
          <w:color w:val="231F20"/>
          <w:sz w:val="20"/>
        </w:rPr>
        <w:t>investment</w:t>
      </w:r>
      <w:r>
        <w:rPr>
          <w:color w:val="231F20"/>
          <w:spacing w:val="-5"/>
          <w:sz w:val="20"/>
        </w:rPr>
        <w:t> </w:t>
      </w:r>
      <w:r>
        <w:rPr>
          <w:color w:val="231F20"/>
          <w:spacing w:val="-2"/>
          <w:sz w:val="20"/>
        </w:rPr>
        <w:t>policies.</w:t>
      </w:r>
    </w:p>
    <w:p>
      <w:pPr>
        <w:pStyle w:val="BodyText"/>
        <w:rPr>
          <w:sz w:val="26"/>
        </w:rPr>
      </w:pPr>
    </w:p>
    <w:p>
      <w:pPr>
        <w:pStyle w:val="BodyText"/>
        <w:spacing w:line="276" w:lineRule="auto" w:before="1"/>
        <w:ind w:left="1440" w:right="891"/>
      </w:pPr>
      <w:r>
        <w:rPr>
          <w:i/>
          <w:color w:val="231F20"/>
        </w:rPr>
        <w:t>Spending Policy – </w:t>
      </w:r>
      <w:r>
        <w:rPr>
          <w:color w:val="231F20"/>
        </w:rPr>
        <w:t>The Foundation has available for distribution in any given year, all amounts in the unrestricted net position. However, the actual number of scholarships given out may be limited by the number</w:t>
      </w:r>
      <w:r>
        <w:rPr>
          <w:color w:val="231F20"/>
          <w:spacing w:val="-3"/>
        </w:rPr>
        <w:t> </w:t>
      </w:r>
      <w:r>
        <w:rPr>
          <w:color w:val="231F20"/>
        </w:rPr>
        <w:t>of</w:t>
      </w:r>
      <w:r>
        <w:rPr>
          <w:color w:val="231F20"/>
          <w:spacing w:val="-3"/>
        </w:rPr>
        <w:t> </w:t>
      </w:r>
      <w:r>
        <w:rPr>
          <w:color w:val="231F20"/>
        </w:rPr>
        <w:t>qualified</w:t>
      </w:r>
      <w:r>
        <w:rPr>
          <w:color w:val="231F20"/>
          <w:spacing w:val="-3"/>
        </w:rPr>
        <w:t> </w:t>
      </w:r>
      <w:r>
        <w:rPr>
          <w:color w:val="231F20"/>
        </w:rPr>
        <w:t>applicants</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various</w:t>
      </w:r>
      <w:r>
        <w:rPr>
          <w:color w:val="231F20"/>
          <w:spacing w:val="-4"/>
        </w:rPr>
        <w:t> </w:t>
      </w:r>
      <w:r>
        <w:rPr>
          <w:color w:val="231F20"/>
        </w:rPr>
        <w:t>scholarships.</w:t>
      </w:r>
      <w:r>
        <w:rPr>
          <w:color w:val="231F20"/>
          <w:spacing w:val="-3"/>
        </w:rPr>
        <w:t> </w:t>
      </w:r>
      <w:r>
        <w:rPr>
          <w:color w:val="231F20"/>
        </w:rPr>
        <w:t>The</w:t>
      </w:r>
      <w:r>
        <w:rPr>
          <w:color w:val="231F20"/>
          <w:spacing w:val="-3"/>
        </w:rPr>
        <w:t> </w:t>
      </w:r>
      <w:r>
        <w:rPr>
          <w:color w:val="231F20"/>
        </w:rPr>
        <w:t>decisions</w:t>
      </w:r>
      <w:r>
        <w:rPr>
          <w:color w:val="231F20"/>
          <w:spacing w:val="-3"/>
        </w:rPr>
        <w:t> </w:t>
      </w:r>
      <w:r>
        <w:rPr>
          <w:color w:val="231F20"/>
        </w:rPr>
        <w:t>to</w:t>
      </w:r>
      <w:r>
        <w:rPr>
          <w:color w:val="231F20"/>
          <w:spacing w:val="-3"/>
        </w:rPr>
        <w:t> </w:t>
      </w:r>
      <w:r>
        <w:rPr>
          <w:color w:val="231F20"/>
        </w:rPr>
        <w:t>award</w:t>
      </w:r>
      <w:r>
        <w:rPr>
          <w:color w:val="231F20"/>
          <w:spacing w:val="-3"/>
        </w:rPr>
        <w:t> </w:t>
      </w:r>
      <w:r>
        <w:rPr>
          <w:color w:val="231F20"/>
        </w:rPr>
        <w:t>scholarships</w:t>
      </w:r>
      <w:r>
        <w:rPr>
          <w:color w:val="231F20"/>
          <w:spacing w:val="-3"/>
        </w:rPr>
        <w:t> </w:t>
      </w:r>
      <w:r>
        <w:rPr>
          <w:color w:val="231F20"/>
        </w:rPr>
        <w:t>depends on the scholarship, with some being decided by the Board of Trustees, and others being decided by the Institute. The Foundation also may provide general support to the Institute by way of supporting fundraising and promotional activities.</w:t>
      </w:r>
    </w:p>
    <w:p>
      <w:pPr>
        <w:pStyle w:val="BodyText"/>
        <w:spacing w:before="11"/>
        <w:rPr>
          <w:sz w:val="22"/>
        </w:rPr>
      </w:pPr>
    </w:p>
    <w:p>
      <w:pPr>
        <w:pStyle w:val="BodyText"/>
        <w:spacing w:line="276" w:lineRule="auto"/>
        <w:ind w:left="1440" w:right="891"/>
      </w:pPr>
      <w:r>
        <w:rPr>
          <w:i/>
          <w:color w:val="231F20"/>
        </w:rPr>
        <w:t>Return</w:t>
      </w:r>
      <w:r>
        <w:rPr>
          <w:i/>
          <w:color w:val="231F20"/>
          <w:spacing w:val="-3"/>
        </w:rPr>
        <w:t> </w:t>
      </w:r>
      <w:r>
        <w:rPr>
          <w:i/>
          <w:color w:val="231F20"/>
        </w:rPr>
        <w:t>Objectives</w:t>
      </w:r>
      <w:r>
        <w:rPr>
          <w:i/>
          <w:color w:val="231F20"/>
          <w:spacing w:val="-3"/>
        </w:rPr>
        <w:t> </w:t>
      </w:r>
      <w:r>
        <w:rPr>
          <w:i/>
          <w:color w:val="231F20"/>
        </w:rPr>
        <w:t>and</w:t>
      </w:r>
      <w:r>
        <w:rPr>
          <w:i/>
          <w:color w:val="231F20"/>
          <w:spacing w:val="-3"/>
        </w:rPr>
        <w:t> </w:t>
      </w:r>
      <w:r>
        <w:rPr>
          <w:i/>
          <w:color w:val="231F20"/>
        </w:rPr>
        <w:t>Risk</w:t>
      </w:r>
      <w:r>
        <w:rPr>
          <w:i/>
          <w:color w:val="231F20"/>
          <w:spacing w:val="-3"/>
        </w:rPr>
        <w:t> </w:t>
      </w:r>
      <w:r>
        <w:rPr>
          <w:i/>
          <w:color w:val="231F20"/>
        </w:rPr>
        <w:t>Parameters</w:t>
      </w:r>
      <w:r>
        <w:rPr>
          <w:i/>
          <w:color w:val="231F20"/>
          <w:spacing w:val="-3"/>
        </w:rPr>
        <w:t> </w:t>
      </w:r>
      <w:r>
        <w:rPr>
          <w:i/>
          <w:color w:val="231F20"/>
        </w:rPr>
        <w:t>–</w:t>
      </w:r>
      <w:r>
        <w:rPr>
          <w:i/>
          <w:color w:val="231F20"/>
          <w:spacing w:val="-4"/>
        </w:rPr>
        <w:t> </w:t>
      </w:r>
      <w:r>
        <w:rPr>
          <w:color w:val="231F20"/>
        </w:rPr>
        <w:t>The</w:t>
      </w:r>
      <w:r>
        <w:rPr>
          <w:color w:val="231F20"/>
          <w:spacing w:val="-3"/>
        </w:rPr>
        <w:t> </w:t>
      </w:r>
      <w:r>
        <w:rPr>
          <w:color w:val="231F20"/>
        </w:rPr>
        <w:t>Foundation</w:t>
      </w:r>
      <w:r>
        <w:rPr>
          <w:color w:val="231F20"/>
          <w:spacing w:val="-3"/>
        </w:rPr>
        <w:t> </w:t>
      </w:r>
      <w:r>
        <w:rPr>
          <w:color w:val="231F20"/>
        </w:rPr>
        <w:t>has</w:t>
      </w:r>
      <w:r>
        <w:rPr>
          <w:color w:val="231F20"/>
          <w:spacing w:val="-3"/>
        </w:rPr>
        <w:t> </w:t>
      </w:r>
      <w:r>
        <w:rPr>
          <w:color w:val="231F20"/>
        </w:rPr>
        <w:t>adopted</w:t>
      </w:r>
      <w:r>
        <w:rPr>
          <w:color w:val="231F20"/>
          <w:spacing w:val="-3"/>
        </w:rPr>
        <w:t> </w:t>
      </w:r>
      <w:r>
        <w:rPr>
          <w:color w:val="231F20"/>
        </w:rPr>
        <w:t>investment</w:t>
      </w:r>
      <w:r>
        <w:rPr>
          <w:color w:val="231F20"/>
          <w:spacing w:val="-3"/>
        </w:rPr>
        <w:t> </w:t>
      </w:r>
      <w:r>
        <w:rPr>
          <w:color w:val="231F20"/>
        </w:rPr>
        <w:t>and</w:t>
      </w:r>
      <w:r>
        <w:rPr>
          <w:color w:val="231F20"/>
          <w:spacing w:val="-3"/>
        </w:rPr>
        <w:t> </w:t>
      </w:r>
      <w:r>
        <w:rPr>
          <w:color w:val="231F20"/>
        </w:rPr>
        <w:t>spending</w:t>
      </w:r>
      <w:r>
        <w:rPr>
          <w:color w:val="231F20"/>
          <w:spacing w:val="-3"/>
        </w:rPr>
        <w:t> </w:t>
      </w:r>
      <w:r>
        <w:rPr>
          <w:color w:val="231F20"/>
        </w:rPr>
        <w:t>policies for endowment assets that attempt to provide a consistent stream of funding for scholarships and related activities, while seeking to maintain the purchasing power of the endowment assets and minimizing their exposure to significant market fluctuations. Endowment assets include those assets of donor-restricted funds that the Foundation must hold in perpetuity or for a donor-specified period.</w:t>
      </w:r>
    </w:p>
    <w:p>
      <w:pPr>
        <w:pStyle w:val="BodyText"/>
        <w:spacing w:before="11"/>
        <w:rPr>
          <w:sz w:val="22"/>
        </w:rPr>
      </w:pPr>
    </w:p>
    <w:p>
      <w:pPr>
        <w:spacing w:line="276" w:lineRule="auto" w:before="0"/>
        <w:ind w:left="1440" w:right="1048" w:firstLine="0"/>
        <w:jc w:val="left"/>
        <w:rPr>
          <w:sz w:val="20"/>
        </w:rPr>
      </w:pPr>
      <w:r>
        <w:rPr>
          <w:i/>
          <w:color w:val="231F20"/>
          <w:sz w:val="20"/>
        </w:rPr>
        <w:t>Endowment</w:t>
      </w:r>
      <w:r>
        <w:rPr>
          <w:i/>
          <w:color w:val="231F20"/>
          <w:spacing w:val="-4"/>
          <w:sz w:val="20"/>
        </w:rPr>
        <w:t> </w:t>
      </w:r>
      <w:r>
        <w:rPr>
          <w:i/>
          <w:color w:val="231F20"/>
          <w:sz w:val="20"/>
        </w:rPr>
        <w:t>Composition</w:t>
      </w:r>
      <w:r>
        <w:rPr>
          <w:i/>
          <w:color w:val="231F20"/>
          <w:spacing w:val="-3"/>
          <w:sz w:val="20"/>
        </w:rPr>
        <w:t> </w:t>
      </w:r>
      <w:r>
        <w:rPr>
          <w:i/>
          <w:color w:val="231F20"/>
          <w:sz w:val="20"/>
        </w:rPr>
        <w:t>by</w:t>
      </w:r>
      <w:r>
        <w:rPr>
          <w:i/>
          <w:color w:val="231F20"/>
          <w:spacing w:val="-3"/>
          <w:sz w:val="20"/>
        </w:rPr>
        <w:t> </w:t>
      </w:r>
      <w:r>
        <w:rPr>
          <w:i/>
          <w:color w:val="231F20"/>
          <w:sz w:val="20"/>
        </w:rPr>
        <w:t>Type</w:t>
      </w:r>
      <w:r>
        <w:rPr>
          <w:i/>
          <w:color w:val="231F20"/>
          <w:spacing w:val="-3"/>
          <w:sz w:val="20"/>
        </w:rPr>
        <w:t> </w:t>
      </w:r>
      <w:r>
        <w:rPr>
          <w:i/>
          <w:color w:val="231F20"/>
          <w:sz w:val="20"/>
        </w:rPr>
        <w:t>of</w:t>
      </w:r>
      <w:r>
        <w:rPr>
          <w:i/>
          <w:color w:val="231F20"/>
          <w:spacing w:val="-3"/>
          <w:sz w:val="20"/>
        </w:rPr>
        <w:t> </w:t>
      </w:r>
      <w:r>
        <w:rPr>
          <w:i/>
          <w:color w:val="231F20"/>
          <w:sz w:val="20"/>
        </w:rPr>
        <w:t>Fund</w:t>
      </w:r>
      <w:r>
        <w:rPr>
          <w:i/>
          <w:color w:val="231F20"/>
          <w:spacing w:val="-3"/>
          <w:sz w:val="20"/>
        </w:rPr>
        <w:t> </w:t>
      </w:r>
      <w:r>
        <w:rPr>
          <w:i/>
          <w:color w:val="231F20"/>
          <w:sz w:val="20"/>
        </w:rPr>
        <w:t>– </w:t>
      </w:r>
      <w:r>
        <w:rPr>
          <w:color w:val="231F20"/>
          <w:sz w:val="20"/>
        </w:rPr>
        <w:t>All</w:t>
      </w:r>
      <w:r>
        <w:rPr>
          <w:color w:val="231F20"/>
          <w:spacing w:val="-3"/>
          <w:sz w:val="20"/>
        </w:rPr>
        <w:t> </w:t>
      </w:r>
      <w:r>
        <w:rPr>
          <w:color w:val="231F20"/>
          <w:sz w:val="20"/>
        </w:rPr>
        <w:t>funds</w:t>
      </w:r>
      <w:r>
        <w:rPr>
          <w:color w:val="231F20"/>
          <w:spacing w:val="-3"/>
          <w:sz w:val="20"/>
        </w:rPr>
        <w:t> </w:t>
      </w:r>
      <w:r>
        <w:rPr>
          <w:color w:val="231F20"/>
          <w:sz w:val="20"/>
        </w:rPr>
        <w:t>in</w:t>
      </w:r>
      <w:r>
        <w:rPr>
          <w:color w:val="231F20"/>
          <w:spacing w:val="-3"/>
          <w:sz w:val="20"/>
        </w:rPr>
        <w:t> </w:t>
      </w:r>
      <w:r>
        <w:rPr>
          <w:color w:val="231F20"/>
          <w:sz w:val="20"/>
        </w:rPr>
        <w:t>the</w:t>
      </w:r>
      <w:r>
        <w:rPr>
          <w:color w:val="231F20"/>
          <w:spacing w:val="-3"/>
          <w:sz w:val="20"/>
        </w:rPr>
        <w:t> </w:t>
      </w:r>
      <w:r>
        <w:rPr>
          <w:color w:val="231F20"/>
          <w:sz w:val="20"/>
        </w:rPr>
        <w:t>Endowment</w:t>
      </w:r>
      <w:r>
        <w:rPr>
          <w:color w:val="231F20"/>
          <w:spacing w:val="-3"/>
          <w:sz w:val="20"/>
        </w:rPr>
        <w:t> </w:t>
      </w:r>
      <w:r>
        <w:rPr>
          <w:color w:val="231F20"/>
          <w:sz w:val="20"/>
        </w:rPr>
        <w:t>are</w:t>
      </w:r>
      <w:r>
        <w:rPr>
          <w:color w:val="231F20"/>
          <w:spacing w:val="-3"/>
          <w:sz w:val="20"/>
        </w:rPr>
        <w:t> </w:t>
      </w:r>
      <w:r>
        <w:rPr>
          <w:color w:val="231F20"/>
          <w:sz w:val="20"/>
        </w:rPr>
        <w:t>donor-restricted</w:t>
      </w:r>
      <w:r>
        <w:rPr>
          <w:color w:val="231F20"/>
          <w:spacing w:val="-3"/>
          <w:sz w:val="20"/>
        </w:rPr>
        <w:t> </w:t>
      </w:r>
      <w:r>
        <w:rPr>
          <w:color w:val="231F20"/>
          <w:sz w:val="20"/>
        </w:rPr>
        <w:t>for</w:t>
      </w:r>
      <w:r>
        <w:rPr>
          <w:color w:val="231F20"/>
          <w:spacing w:val="-3"/>
          <w:sz w:val="20"/>
        </w:rPr>
        <w:t> </w:t>
      </w:r>
      <w:r>
        <w:rPr>
          <w:color w:val="231F20"/>
          <w:sz w:val="20"/>
        </w:rPr>
        <w:t>the</w:t>
      </w:r>
      <w:r>
        <w:rPr>
          <w:color w:val="231F20"/>
          <w:spacing w:val="-3"/>
          <w:sz w:val="20"/>
        </w:rPr>
        <w:t> </w:t>
      </w:r>
      <w:r>
        <w:rPr>
          <w:color w:val="231F20"/>
          <w:sz w:val="20"/>
        </w:rPr>
        <w:t>use of providing scholarships and support activities for the Institute.</w:t>
      </w:r>
    </w:p>
    <w:p>
      <w:pPr>
        <w:pStyle w:val="BodyText"/>
        <w:spacing w:before="1"/>
        <w:rPr>
          <w:sz w:val="23"/>
        </w:rPr>
      </w:pPr>
    </w:p>
    <w:p>
      <w:pPr>
        <w:pStyle w:val="BodyText"/>
        <w:spacing w:line="276" w:lineRule="auto"/>
        <w:ind w:left="1440" w:right="891"/>
      </w:pPr>
      <w:r>
        <w:rPr>
          <w:i/>
          <w:color w:val="231F20"/>
        </w:rPr>
        <w:t>Strategies</w:t>
      </w:r>
      <w:r>
        <w:rPr>
          <w:i/>
          <w:color w:val="231F20"/>
          <w:spacing w:val="-3"/>
        </w:rPr>
        <w:t> </w:t>
      </w:r>
      <w:r>
        <w:rPr>
          <w:i/>
          <w:color w:val="231F20"/>
        </w:rPr>
        <w:t>Employed</w:t>
      </w:r>
      <w:r>
        <w:rPr>
          <w:i/>
          <w:color w:val="231F20"/>
          <w:spacing w:val="-3"/>
        </w:rPr>
        <w:t> </w:t>
      </w:r>
      <w:r>
        <w:rPr>
          <w:i/>
          <w:color w:val="231F20"/>
        </w:rPr>
        <w:t>for</w:t>
      </w:r>
      <w:r>
        <w:rPr>
          <w:i/>
          <w:color w:val="231F20"/>
          <w:spacing w:val="-4"/>
        </w:rPr>
        <w:t> </w:t>
      </w:r>
      <w:r>
        <w:rPr>
          <w:i/>
          <w:color w:val="231F20"/>
        </w:rPr>
        <w:t>Achieving</w:t>
      </w:r>
      <w:r>
        <w:rPr>
          <w:i/>
          <w:color w:val="231F20"/>
          <w:spacing w:val="-3"/>
        </w:rPr>
        <w:t> </w:t>
      </w:r>
      <w:r>
        <w:rPr>
          <w:i/>
          <w:color w:val="231F20"/>
        </w:rPr>
        <w:t>Objectives</w:t>
      </w:r>
      <w:r>
        <w:rPr>
          <w:i/>
          <w:color w:val="231F20"/>
          <w:spacing w:val="-3"/>
        </w:rPr>
        <w:t> </w:t>
      </w:r>
      <w:r>
        <w:rPr>
          <w:i/>
          <w:color w:val="231F20"/>
        </w:rPr>
        <w:t>–</w:t>
      </w:r>
      <w:r>
        <w:rPr>
          <w:i/>
          <w:color w:val="231F20"/>
          <w:spacing w:val="-2"/>
        </w:rPr>
        <w:t> </w:t>
      </w:r>
      <w:r>
        <w:rPr>
          <w:color w:val="231F20"/>
        </w:rPr>
        <w:t>To</w:t>
      </w:r>
      <w:r>
        <w:rPr>
          <w:color w:val="231F20"/>
          <w:spacing w:val="-4"/>
        </w:rPr>
        <w:t> </w:t>
      </w:r>
      <w:r>
        <w:rPr>
          <w:color w:val="231F20"/>
        </w:rPr>
        <w:t>satisfy</w:t>
      </w:r>
      <w:r>
        <w:rPr>
          <w:color w:val="231F20"/>
          <w:spacing w:val="-3"/>
        </w:rPr>
        <w:t> </w:t>
      </w:r>
      <w:r>
        <w:rPr>
          <w:color w:val="231F20"/>
        </w:rPr>
        <w:t>its</w:t>
      </w:r>
      <w:r>
        <w:rPr>
          <w:color w:val="231F20"/>
          <w:spacing w:val="-3"/>
        </w:rPr>
        <w:t> </w:t>
      </w:r>
      <w:r>
        <w:rPr>
          <w:color w:val="231F20"/>
        </w:rPr>
        <w:t>long-term</w:t>
      </w:r>
      <w:r>
        <w:rPr>
          <w:color w:val="231F20"/>
          <w:spacing w:val="-4"/>
        </w:rPr>
        <w:t> </w:t>
      </w:r>
      <w:r>
        <w:rPr>
          <w:color w:val="231F20"/>
        </w:rPr>
        <w:t>objectives,</w:t>
      </w:r>
      <w:r>
        <w:rPr>
          <w:color w:val="231F20"/>
          <w:spacing w:val="-3"/>
        </w:rPr>
        <w:t> </w:t>
      </w:r>
      <w:r>
        <w:rPr>
          <w:color w:val="231F20"/>
        </w:rPr>
        <w:t>the</w:t>
      </w:r>
      <w:r>
        <w:rPr>
          <w:color w:val="231F20"/>
          <w:spacing w:val="-3"/>
        </w:rPr>
        <w:t> </w:t>
      </w:r>
      <w:r>
        <w:rPr>
          <w:color w:val="231F20"/>
        </w:rPr>
        <w:t>Foundation</w:t>
      </w:r>
      <w:r>
        <w:rPr>
          <w:color w:val="231F20"/>
          <w:spacing w:val="-3"/>
        </w:rPr>
        <w:t> </w:t>
      </w:r>
      <w:r>
        <w:rPr>
          <w:color w:val="231F20"/>
        </w:rPr>
        <w:t>relies on a total return strategy in which investment returns are achieved through both capital appreciation (realized and unrealized) and current yield (interest and dividends). The Foundation investments are either</w:t>
      </w:r>
      <w:r>
        <w:rPr>
          <w:color w:val="231F20"/>
          <w:spacing w:val="-1"/>
        </w:rPr>
        <w:t> </w:t>
      </w:r>
      <w:r>
        <w:rPr>
          <w:color w:val="231F20"/>
        </w:rPr>
        <w:t>held</w:t>
      </w:r>
      <w:r>
        <w:rPr>
          <w:color w:val="231F20"/>
          <w:spacing w:val="-1"/>
        </w:rPr>
        <w:t> </w:t>
      </w:r>
      <w:r>
        <w:rPr>
          <w:color w:val="231F20"/>
        </w:rPr>
        <w:t>by</w:t>
      </w:r>
      <w:r>
        <w:rPr>
          <w:color w:val="231F20"/>
          <w:spacing w:val="-1"/>
        </w:rPr>
        <w:t> </w:t>
      </w:r>
      <w:r>
        <w:rPr>
          <w:color w:val="231F20"/>
        </w:rPr>
        <w:t>the</w:t>
      </w:r>
      <w:r>
        <w:rPr>
          <w:color w:val="231F20"/>
          <w:spacing w:val="-1"/>
        </w:rPr>
        <w:t> </w:t>
      </w:r>
      <w:r>
        <w:rPr>
          <w:color w:val="231F20"/>
        </w:rPr>
        <w:t>NMSIC,</w:t>
      </w:r>
      <w:r>
        <w:rPr>
          <w:color w:val="231F20"/>
          <w:spacing w:val="-1"/>
        </w:rPr>
        <w:t> </w:t>
      </w:r>
      <w:r>
        <w:rPr>
          <w:color w:val="231F20"/>
        </w:rPr>
        <w:t>or</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variety</w:t>
      </w:r>
      <w:r>
        <w:rPr>
          <w:color w:val="231F20"/>
          <w:spacing w:val="-1"/>
        </w:rPr>
        <w:t> </w:t>
      </w:r>
      <w:r>
        <w:rPr>
          <w:color w:val="231F20"/>
        </w:rPr>
        <w:t>of</w:t>
      </w:r>
      <w:r>
        <w:rPr>
          <w:color w:val="231F20"/>
          <w:spacing w:val="-1"/>
        </w:rPr>
        <w:t> </w:t>
      </w:r>
      <w:r>
        <w:rPr>
          <w:color w:val="231F20"/>
        </w:rPr>
        <w:t>mutual funds</w:t>
      </w:r>
      <w:r>
        <w:rPr>
          <w:color w:val="231F20"/>
          <w:spacing w:val="-1"/>
        </w:rPr>
        <w:t> </w:t>
      </w:r>
      <w:r>
        <w:rPr>
          <w:color w:val="231F20"/>
        </w:rPr>
        <w:t>to</w:t>
      </w:r>
      <w:r>
        <w:rPr>
          <w:color w:val="231F20"/>
          <w:spacing w:val="-1"/>
        </w:rPr>
        <w:t> </w:t>
      </w:r>
      <w:r>
        <w:rPr>
          <w:color w:val="231F20"/>
        </w:rPr>
        <w:t>achieve</w:t>
      </w:r>
      <w:r>
        <w:rPr>
          <w:color w:val="231F20"/>
          <w:spacing w:val="-2"/>
        </w:rPr>
        <w:t> </w:t>
      </w:r>
      <w:r>
        <w:rPr>
          <w:color w:val="231F20"/>
        </w:rPr>
        <w:t>its</w:t>
      </w:r>
      <w:r>
        <w:rPr>
          <w:color w:val="231F20"/>
          <w:spacing w:val="-1"/>
        </w:rPr>
        <w:t> </w:t>
      </w:r>
      <w:r>
        <w:rPr>
          <w:color w:val="231F20"/>
        </w:rPr>
        <w:t>long-term</w:t>
      </w:r>
      <w:r>
        <w:rPr>
          <w:color w:val="231F20"/>
          <w:spacing w:val="-2"/>
        </w:rPr>
        <w:t> </w:t>
      </w:r>
      <w:r>
        <w:rPr>
          <w:color w:val="231F20"/>
        </w:rPr>
        <w:t>return</w:t>
      </w:r>
      <w:r>
        <w:rPr>
          <w:color w:val="231F20"/>
          <w:spacing w:val="-1"/>
        </w:rPr>
        <w:t> </w:t>
      </w:r>
      <w:r>
        <w:rPr>
          <w:color w:val="231F20"/>
        </w:rPr>
        <w:t>objectives</w:t>
      </w:r>
      <w:r>
        <w:rPr>
          <w:color w:val="231F20"/>
          <w:spacing w:val="-1"/>
        </w:rPr>
        <w:t> </w:t>
      </w:r>
      <w:r>
        <w:rPr>
          <w:color w:val="231F20"/>
        </w:rPr>
        <w:t>within prudent risk constraints.</w:t>
      </w:r>
    </w:p>
    <w:p>
      <w:pPr>
        <w:pStyle w:val="BodyText"/>
        <w:spacing w:before="10"/>
        <w:rPr>
          <w:sz w:val="22"/>
        </w:rPr>
      </w:pPr>
    </w:p>
    <w:p>
      <w:pPr>
        <w:pStyle w:val="BodyText"/>
        <w:spacing w:before="1"/>
        <w:ind w:left="1440"/>
      </w:pPr>
      <w:r>
        <w:rPr/>
        <w:pict>
          <v:rect style="position:absolute;margin-left:223.559998pt;margin-top:95.335487pt;width:70.56pt;height:.77994pt;mso-position-horizontal-relative:page;mso-position-vertical-relative:paragraph;z-index:15806976" id="docshape403" filled="true" fillcolor="#231f20" stroked="false">
            <v:fill type="solid"/>
            <w10:wrap type="none"/>
          </v:rect>
        </w:pict>
      </w:r>
      <w:r>
        <w:rPr/>
        <w:pict>
          <v:rect style="position:absolute;margin-left:308.161011pt;margin-top:95.335487pt;width:70.5pt;height:.77994pt;mso-position-horizontal-relative:page;mso-position-vertical-relative:paragraph;z-index:15807488" id="docshape404" filled="true" fillcolor="#231f20" stroked="false">
            <v:fill type="solid"/>
            <w10:wrap type="none"/>
          </v:rect>
        </w:pict>
      </w:r>
      <w:r>
        <w:rPr/>
        <w:pict>
          <v:rect style="position:absolute;margin-left:392.700989pt;margin-top:95.335487pt;width:70.5pt;height:.77994pt;mso-position-horizontal-relative:page;mso-position-vertical-relative:paragraph;z-index:15808000" id="docshape405" filled="true" fillcolor="#231f20" stroked="false">
            <v:fill type="solid"/>
            <w10:wrap type="none"/>
          </v:rect>
        </w:pict>
      </w:r>
      <w:r>
        <w:rPr/>
        <w:pict>
          <v:rect style="position:absolute;margin-left:477.240997pt;margin-top:95.335487pt;width:60.3pt;height:.77994pt;mso-position-horizontal-relative:page;mso-position-vertical-relative:paragraph;z-index:15808512" id="docshape406" filled="true" fillcolor="#231f20" stroked="false">
            <v:fill type="solid"/>
            <w10:wrap type="none"/>
          </v:rect>
        </w:pict>
      </w:r>
      <w:r>
        <w:rPr>
          <w:color w:val="231F20"/>
        </w:rPr>
        <w:t>The</w:t>
      </w:r>
      <w:r>
        <w:rPr>
          <w:color w:val="231F20"/>
          <w:spacing w:val="-6"/>
        </w:rPr>
        <w:t> </w:t>
      </w:r>
      <w:r>
        <w:rPr>
          <w:color w:val="231F20"/>
        </w:rPr>
        <w:t>following</w:t>
      </w:r>
      <w:r>
        <w:rPr>
          <w:color w:val="231F20"/>
          <w:spacing w:val="-5"/>
        </w:rPr>
        <w:t> </w:t>
      </w:r>
      <w:r>
        <w:rPr>
          <w:color w:val="231F20"/>
        </w:rPr>
        <w:t>is</w:t>
      </w:r>
      <w:r>
        <w:rPr>
          <w:color w:val="231F20"/>
          <w:spacing w:val="-3"/>
        </w:rPr>
        <w:t> </w:t>
      </w:r>
      <w:r>
        <w:rPr>
          <w:color w:val="231F20"/>
        </w:rPr>
        <w:t>a</w:t>
      </w:r>
      <w:r>
        <w:rPr>
          <w:color w:val="231F20"/>
          <w:spacing w:val="-4"/>
        </w:rPr>
        <w:t> </w:t>
      </w:r>
      <w:r>
        <w:rPr>
          <w:color w:val="231F20"/>
        </w:rPr>
        <w:t>summary</w:t>
      </w:r>
      <w:r>
        <w:rPr>
          <w:color w:val="231F20"/>
          <w:spacing w:val="-3"/>
        </w:rPr>
        <w:t> </w:t>
      </w:r>
      <w:r>
        <w:rPr>
          <w:color w:val="231F20"/>
        </w:rPr>
        <w:t>of</w:t>
      </w:r>
      <w:r>
        <w:rPr>
          <w:color w:val="231F20"/>
          <w:spacing w:val="-4"/>
        </w:rPr>
        <w:t> </w:t>
      </w:r>
      <w:r>
        <w:rPr>
          <w:color w:val="231F20"/>
        </w:rPr>
        <w:t>endowments</w:t>
      </w:r>
      <w:r>
        <w:rPr>
          <w:color w:val="231F20"/>
          <w:spacing w:val="-4"/>
        </w:rPr>
        <w:t> </w:t>
      </w:r>
      <w:r>
        <w:rPr>
          <w:color w:val="231F20"/>
        </w:rPr>
        <w:t>at</w:t>
      </w:r>
      <w:r>
        <w:rPr>
          <w:color w:val="231F20"/>
          <w:spacing w:val="-3"/>
        </w:rPr>
        <w:t> </w:t>
      </w:r>
      <w:r>
        <w:rPr>
          <w:color w:val="231F20"/>
        </w:rPr>
        <w:t>June</w:t>
      </w:r>
      <w:r>
        <w:rPr>
          <w:color w:val="231F20"/>
          <w:spacing w:val="-5"/>
        </w:rPr>
        <w:t> </w:t>
      </w:r>
      <w:r>
        <w:rPr>
          <w:color w:val="231F20"/>
        </w:rPr>
        <w:t>30,</w:t>
      </w:r>
      <w:r>
        <w:rPr>
          <w:color w:val="231F20"/>
          <w:spacing w:val="-3"/>
        </w:rPr>
        <w:t> </w:t>
      </w:r>
      <w:r>
        <w:rPr>
          <w:color w:val="231F20"/>
          <w:spacing w:val="-2"/>
        </w:rPr>
        <w:t>2022:</w:t>
      </w:r>
    </w:p>
    <w:p>
      <w:pPr>
        <w:pStyle w:val="BodyText"/>
        <w:spacing w:before="5"/>
        <w:rPr>
          <w:sz w:val="27"/>
        </w:rPr>
      </w:pPr>
    </w:p>
    <w:tbl>
      <w:tblPr>
        <w:tblW w:w="0" w:type="auto"/>
        <w:jc w:val="left"/>
        <w:tblInd w:w="1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2"/>
        <w:gridCol w:w="1691"/>
        <w:gridCol w:w="1691"/>
        <w:gridCol w:w="1690"/>
        <w:gridCol w:w="1396"/>
      </w:tblGrid>
      <w:tr>
        <w:trPr>
          <w:trHeight w:val="446" w:hRule="atLeast"/>
        </w:trPr>
        <w:tc>
          <w:tcPr>
            <w:tcW w:w="2932" w:type="dxa"/>
          </w:tcPr>
          <w:p>
            <w:pPr>
              <w:pStyle w:val="TableParagraph"/>
              <w:spacing w:before="4"/>
              <w:rPr>
                <w:sz w:val="18"/>
              </w:rPr>
            </w:pPr>
          </w:p>
          <w:p>
            <w:pPr>
              <w:pStyle w:val="TableParagraph"/>
              <w:tabs>
                <w:tab w:pos="2791" w:val="left" w:leader="none"/>
              </w:tabs>
              <w:ind w:left="50"/>
              <w:rPr>
                <w:sz w:val="17"/>
              </w:rPr>
            </w:pPr>
            <w:r>
              <w:rPr>
                <w:color w:val="231F20"/>
                <w:spacing w:val="-7"/>
                <w:sz w:val="17"/>
                <w:u w:val="single" w:color="231F20"/>
              </w:rPr>
              <w:t> </w:t>
            </w:r>
            <w:r>
              <w:rPr>
                <w:color w:val="231F20"/>
                <w:sz w:val="17"/>
                <w:u w:val="single" w:color="231F20"/>
              </w:rPr>
              <w:t>Restricted</w:t>
            </w:r>
            <w:r>
              <w:rPr>
                <w:color w:val="231F20"/>
                <w:spacing w:val="13"/>
                <w:w w:val="105"/>
                <w:sz w:val="17"/>
                <w:u w:val="single" w:color="231F20"/>
              </w:rPr>
              <w:t> </w:t>
            </w:r>
            <w:r>
              <w:rPr>
                <w:color w:val="231F20"/>
                <w:spacing w:val="-2"/>
                <w:w w:val="105"/>
                <w:sz w:val="17"/>
                <w:u w:val="single" w:color="231F20"/>
              </w:rPr>
              <w:t>Endowments</w:t>
            </w:r>
            <w:r>
              <w:rPr>
                <w:color w:val="231F20"/>
                <w:sz w:val="17"/>
                <w:u w:val="single" w:color="231F20"/>
              </w:rPr>
              <w:tab/>
            </w:r>
          </w:p>
        </w:tc>
        <w:tc>
          <w:tcPr>
            <w:tcW w:w="1691" w:type="dxa"/>
          </w:tcPr>
          <w:p>
            <w:pPr>
              <w:pStyle w:val="TableParagraph"/>
              <w:spacing w:line="192" w:lineRule="exact"/>
              <w:ind w:left="15"/>
              <w:jc w:val="center"/>
              <w:rPr>
                <w:sz w:val="17"/>
              </w:rPr>
            </w:pPr>
            <w:r>
              <w:rPr>
                <w:color w:val="231F20"/>
                <w:spacing w:val="-2"/>
                <w:w w:val="105"/>
                <w:sz w:val="17"/>
              </w:rPr>
              <w:t>Beginning</w:t>
            </w:r>
          </w:p>
          <w:p>
            <w:pPr>
              <w:pStyle w:val="TableParagraph"/>
              <w:tabs>
                <w:tab w:pos="396" w:val="left" w:leader="none"/>
                <w:tab w:pos="1412" w:val="left" w:leader="none"/>
              </w:tabs>
              <w:spacing w:before="19"/>
              <w:ind w:left="1"/>
              <w:jc w:val="center"/>
              <w:rPr>
                <w:sz w:val="17"/>
              </w:rPr>
            </w:pPr>
            <w:r>
              <w:rPr>
                <w:color w:val="231F20"/>
                <w:sz w:val="17"/>
                <w:u w:val="single" w:color="231F20"/>
              </w:rPr>
              <w:tab/>
            </w:r>
            <w:r>
              <w:rPr>
                <w:color w:val="231F20"/>
                <w:spacing w:val="-2"/>
                <w:w w:val="105"/>
                <w:sz w:val="17"/>
                <w:u w:val="single" w:color="231F20"/>
              </w:rPr>
              <w:t>Balance</w:t>
            </w:r>
            <w:r>
              <w:rPr>
                <w:color w:val="231F20"/>
                <w:sz w:val="17"/>
                <w:u w:val="single" w:color="231F20"/>
              </w:rPr>
              <w:tab/>
            </w:r>
          </w:p>
        </w:tc>
        <w:tc>
          <w:tcPr>
            <w:tcW w:w="1691" w:type="dxa"/>
          </w:tcPr>
          <w:p>
            <w:pPr>
              <w:pStyle w:val="TableParagraph"/>
              <w:spacing w:before="4"/>
              <w:rPr>
                <w:sz w:val="18"/>
              </w:rPr>
            </w:pPr>
          </w:p>
          <w:p>
            <w:pPr>
              <w:pStyle w:val="TableParagraph"/>
              <w:tabs>
                <w:tab w:pos="330" w:val="left" w:leader="none"/>
                <w:tab w:pos="1412" w:val="left" w:leader="none"/>
              </w:tabs>
              <w:ind w:left="1"/>
              <w:jc w:val="center"/>
              <w:rPr>
                <w:sz w:val="17"/>
              </w:rPr>
            </w:pPr>
            <w:r>
              <w:rPr>
                <w:color w:val="231F20"/>
                <w:sz w:val="17"/>
                <w:u w:val="single" w:color="231F20"/>
              </w:rPr>
              <w:tab/>
            </w:r>
            <w:r>
              <w:rPr>
                <w:color w:val="231F20"/>
                <w:spacing w:val="-2"/>
                <w:w w:val="105"/>
                <w:sz w:val="17"/>
                <w:u w:val="single" w:color="231F20"/>
              </w:rPr>
              <w:t>Increases</w:t>
            </w:r>
            <w:r>
              <w:rPr>
                <w:color w:val="231F20"/>
                <w:sz w:val="17"/>
                <w:u w:val="single" w:color="231F20"/>
              </w:rPr>
              <w:tab/>
            </w:r>
          </w:p>
        </w:tc>
        <w:tc>
          <w:tcPr>
            <w:tcW w:w="1690" w:type="dxa"/>
          </w:tcPr>
          <w:p>
            <w:pPr>
              <w:pStyle w:val="TableParagraph"/>
              <w:spacing w:before="4"/>
              <w:rPr>
                <w:sz w:val="18"/>
              </w:rPr>
            </w:pPr>
          </w:p>
          <w:p>
            <w:pPr>
              <w:pStyle w:val="TableParagraph"/>
              <w:tabs>
                <w:tab w:pos="288" w:val="left" w:leader="none"/>
                <w:tab w:pos="1409" w:val="left" w:leader="none"/>
              </w:tabs>
              <w:ind w:right="136"/>
              <w:jc w:val="right"/>
              <w:rPr>
                <w:sz w:val="17"/>
              </w:rPr>
            </w:pPr>
            <w:r>
              <w:rPr>
                <w:color w:val="231F20"/>
                <w:sz w:val="17"/>
                <w:u w:val="single" w:color="231F20"/>
              </w:rPr>
              <w:tab/>
            </w:r>
            <w:r>
              <w:rPr>
                <w:color w:val="231F20"/>
                <w:spacing w:val="-2"/>
                <w:w w:val="105"/>
                <w:sz w:val="17"/>
                <w:u w:val="single" w:color="231F20"/>
              </w:rPr>
              <w:t>Decreases</w:t>
            </w:r>
            <w:r>
              <w:rPr>
                <w:color w:val="231F20"/>
                <w:sz w:val="17"/>
                <w:u w:val="single" w:color="231F20"/>
              </w:rPr>
              <w:tab/>
            </w:r>
          </w:p>
        </w:tc>
        <w:tc>
          <w:tcPr>
            <w:tcW w:w="1396" w:type="dxa"/>
          </w:tcPr>
          <w:p>
            <w:pPr>
              <w:pStyle w:val="TableParagraph"/>
              <w:spacing w:line="192" w:lineRule="exact"/>
              <w:ind w:left="109"/>
              <w:jc w:val="center"/>
              <w:rPr>
                <w:sz w:val="17"/>
              </w:rPr>
            </w:pPr>
            <w:r>
              <w:rPr>
                <w:color w:val="231F20"/>
                <w:spacing w:val="-2"/>
                <w:w w:val="105"/>
                <w:sz w:val="17"/>
              </w:rPr>
              <w:t>Ending</w:t>
            </w:r>
          </w:p>
          <w:p>
            <w:pPr>
              <w:pStyle w:val="TableParagraph"/>
              <w:tabs>
                <w:tab w:pos="384" w:val="left" w:leader="none"/>
                <w:tab w:pos="1300" w:val="left" w:leader="none"/>
              </w:tabs>
              <w:spacing w:before="19"/>
              <w:ind w:left="94"/>
              <w:jc w:val="center"/>
              <w:rPr>
                <w:sz w:val="17"/>
              </w:rPr>
            </w:pPr>
            <w:r>
              <w:rPr>
                <w:color w:val="231F20"/>
                <w:sz w:val="17"/>
                <w:u w:val="single" w:color="231F20"/>
              </w:rPr>
              <w:tab/>
            </w:r>
            <w:r>
              <w:rPr>
                <w:color w:val="231F20"/>
                <w:spacing w:val="-2"/>
                <w:w w:val="105"/>
                <w:sz w:val="17"/>
                <w:u w:val="single" w:color="231F20"/>
              </w:rPr>
              <w:t>Balance</w:t>
            </w:r>
            <w:r>
              <w:rPr>
                <w:color w:val="231F20"/>
                <w:sz w:val="17"/>
                <w:u w:val="single" w:color="231F20"/>
              </w:rPr>
              <w:tab/>
            </w:r>
          </w:p>
        </w:tc>
      </w:tr>
      <w:tr>
        <w:trPr>
          <w:trHeight w:val="242" w:hRule="atLeast"/>
        </w:trPr>
        <w:tc>
          <w:tcPr>
            <w:tcW w:w="2932" w:type="dxa"/>
          </w:tcPr>
          <w:p>
            <w:pPr>
              <w:pStyle w:val="TableParagraph"/>
              <w:spacing w:line="187" w:lineRule="exact" w:before="35"/>
              <w:ind w:left="83"/>
              <w:rPr>
                <w:sz w:val="17"/>
              </w:rPr>
            </w:pPr>
            <w:r>
              <w:rPr>
                <w:color w:val="231F20"/>
                <w:sz w:val="17"/>
              </w:rPr>
              <w:t>Restricted,</w:t>
            </w:r>
            <w:r>
              <w:rPr>
                <w:color w:val="231F20"/>
                <w:spacing w:val="33"/>
                <w:sz w:val="17"/>
              </w:rPr>
              <w:t> </w:t>
            </w:r>
            <w:r>
              <w:rPr>
                <w:color w:val="231F20"/>
                <w:sz w:val="17"/>
              </w:rPr>
              <w:t>non-</w:t>
            </w:r>
            <w:r>
              <w:rPr>
                <w:color w:val="231F20"/>
                <w:spacing w:val="-2"/>
                <w:sz w:val="17"/>
              </w:rPr>
              <w:t>expendable</w:t>
            </w:r>
          </w:p>
        </w:tc>
        <w:tc>
          <w:tcPr>
            <w:tcW w:w="1691" w:type="dxa"/>
          </w:tcPr>
          <w:p>
            <w:pPr>
              <w:pStyle w:val="TableParagraph"/>
              <w:tabs>
                <w:tab w:pos="338" w:val="left" w:leader="none"/>
              </w:tabs>
              <w:spacing w:line="187" w:lineRule="exact" w:before="35"/>
              <w:jc w:val="center"/>
              <w:rPr>
                <w:sz w:val="17"/>
              </w:rPr>
            </w:pPr>
            <w:r>
              <w:rPr>
                <w:color w:val="231F20"/>
                <w:spacing w:val="-10"/>
                <w:w w:val="105"/>
                <w:sz w:val="17"/>
              </w:rPr>
              <w:t>$</w:t>
            </w:r>
            <w:r>
              <w:rPr>
                <w:color w:val="231F20"/>
                <w:sz w:val="17"/>
              </w:rPr>
              <w:tab/>
            </w:r>
            <w:r>
              <w:rPr>
                <w:color w:val="231F20"/>
                <w:spacing w:val="-2"/>
                <w:w w:val="105"/>
                <w:sz w:val="17"/>
              </w:rPr>
              <w:t>11,352,480</w:t>
            </w:r>
          </w:p>
        </w:tc>
        <w:tc>
          <w:tcPr>
            <w:tcW w:w="1691" w:type="dxa"/>
          </w:tcPr>
          <w:p>
            <w:pPr>
              <w:pStyle w:val="TableParagraph"/>
              <w:tabs>
                <w:tab w:pos="587" w:val="left" w:leader="none"/>
              </w:tabs>
              <w:spacing w:line="187" w:lineRule="exact" w:before="35"/>
              <w:ind w:left="1"/>
              <w:jc w:val="center"/>
              <w:rPr>
                <w:sz w:val="17"/>
              </w:rPr>
            </w:pPr>
            <w:r>
              <w:rPr>
                <w:color w:val="231F20"/>
                <w:spacing w:val="-10"/>
                <w:w w:val="105"/>
                <w:sz w:val="17"/>
              </w:rPr>
              <w:t>$</w:t>
            </w:r>
            <w:r>
              <w:rPr>
                <w:color w:val="231F20"/>
                <w:sz w:val="17"/>
              </w:rPr>
              <w:tab/>
            </w:r>
            <w:r>
              <w:rPr>
                <w:color w:val="231F20"/>
                <w:spacing w:val="-2"/>
                <w:w w:val="105"/>
                <w:sz w:val="17"/>
              </w:rPr>
              <w:t>478,462</w:t>
            </w:r>
          </w:p>
        </w:tc>
        <w:tc>
          <w:tcPr>
            <w:tcW w:w="1690" w:type="dxa"/>
          </w:tcPr>
          <w:p>
            <w:pPr>
              <w:pStyle w:val="TableParagraph"/>
              <w:tabs>
                <w:tab w:pos="1164" w:val="left" w:leader="none"/>
              </w:tabs>
              <w:spacing w:line="187" w:lineRule="exact" w:before="35"/>
              <w:ind w:right="229"/>
              <w:jc w:val="right"/>
              <w:rPr>
                <w:sz w:val="17"/>
              </w:rPr>
            </w:pPr>
            <w:r>
              <w:rPr>
                <w:color w:val="231F20"/>
                <w:spacing w:val="-10"/>
                <w:w w:val="105"/>
                <w:sz w:val="17"/>
              </w:rPr>
              <w:t>$</w:t>
            </w:r>
            <w:r>
              <w:rPr>
                <w:color w:val="231F20"/>
                <w:sz w:val="17"/>
              </w:rPr>
              <w:tab/>
            </w:r>
            <w:r>
              <w:rPr>
                <w:color w:val="231F20"/>
                <w:spacing w:val="-10"/>
                <w:w w:val="105"/>
                <w:sz w:val="17"/>
              </w:rPr>
              <w:t>-</w:t>
            </w:r>
          </w:p>
        </w:tc>
        <w:tc>
          <w:tcPr>
            <w:tcW w:w="1396" w:type="dxa"/>
          </w:tcPr>
          <w:p>
            <w:pPr>
              <w:pStyle w:val="TableParagraph"/>
              <w:spacing w:line="187" w:lineRule="exact" w:before="35"/>
              <w:ind w:left="95"/>
              <w:jc w:val="center"/>
              <w:rPr>
                <w:sz w:val="17"/>
              </w:rPr>
            </w:pPr>
            <w:r>
              <w:rPr>
                <w:color w:val="231F20"/>
                <w:sz w:val="17"/>
              </w:rPr>
              <w:t>$</w:t>
            </w:r>
            <w:r>
              <w:rPr>
                <w:color w:val="231F20"/>
                <w:spacing w:val="-8"/>
                <w:sz w:val="17"/>
              </w:rPr>
              <w:t> </w:t>
            </w:r>
            <w:r>
              <w:rPr>
                <w:color w:val="231F20"/>
                <w:spacing w:val="-2"/>
                <w:sz w:val="17"/>
              </w:rPr>
              <w:t>11,830,942</w:t>
            </w:r>
          </w:p>
        </w:tc>
      </w:tr>
      <w:tr>
        <w:trPr>
          <w:trHeight w:val="320" w:hRule="atLeast"/>
        </w:trPr>
        <w:tc>
          <w:tcPr>
            <w:tcW w:w="2932" w:type="dxa"/>
          </w:tcPr>
          <w:p>
            <w:pPr>
              <w:pStyle w:val="TableParagraph"/>
              <w:spacing w:before="8"/>
              <w:ind w:left="83"/>
              <w:rPr>
                <w:sz w:val="17"/>
              </w:rPr>
            </w:pPr>
            <w:r>
              <w:rPr>
                <w:color w:val="231F20"/>
                <w:sz w:val="17"/>
              </w:rPr>
              <w:t>Restricted,</w:t>
            </w:r>
            <w:r>
              <w:rPr>
                <w:color w:val="231F20"/>
                <w:spacing w:val="21"/>
                <w:w w:val="105"/>
                <w:sz w:val="17"/>
              </w:rPr>
              <w:t> </w:t>
            </w:r>
            <w:r>
              <w:rPr>
                <w:color w:val="231F20"/>
                <w:spacing w:val="-2"/>
                <w:w w:val="105"/>
                <w:sz w:val="17"/>
              </w:rPr>
              <w:t>expendable</w:t>
            </w:r>
          </w:p>
        </w:tc>
        <w:tc>
          <w:tcPr>
            <w:tcW w:w="1691" w:type="dxa"/>
          </w:tcPr>
          <w:p>
            <w:pPr>
              <w:pStyle w:val="TableParagraph"/>
              <w:tabs>
                <w:tab w:pos="532" w:val="left" w:leader="none"/>
              </w:tabs>
              <w:spacing w:before="8"/>
              <w:ind w:left="1"/>
              <w:jc w:val="center"/>
              <w:rPr>
                <w:sz w:val="17"/>
              </w:rPr>
            </w:pPr>
            <w:r>
              <w:rPr>
                <w:color w:val="231F20"/>
                <w:sz w:val="17"/>
                <w:u w:val="single" w:color="231F20"/>
              </w:rPr>
              <w:tab/>
            </w:r>
            <w:r>
              <w:rPr>
                <w:color w:val="231F20"/>
                <w:spacing w:val="-2"/>
                <w:w w:val="105"/>
                <w:sz w:val="17"/>
                <w:u w:val="single" w:color="231F20"/>
              </w:rPr>
              <w:t>4,115,346</w:t>
            </w:r>
            <w:r>
              <w:rPr>
                <w:color w:val="231F20"/>
                <w:spacing w:val="80"/>
                <w:w w:val="105"/>
                <w:sz w:val="17"/>
                <w:u w:val="single" w:color="231F20"/>
              </w:rPr>
              <w:t> </w:t>
            </w:r>
          </w:p>
        </w:tc>
        <w:tc>
          <w:tcPr>
            <w:tcW w:w="1691" w:type="dxa"/>
          </w:tcPr>
          <w:p>
            <w:pPr>
              <w:pStyle w:val="TableParagraph"/>
              <w:tabs>
                <w:tab w:pos="1259" w:val="left" w:leader="none"/>
              </w:tabs>
              <w:spacing w:before="8"/>
              <w:ind w:left="1"/>
              <w:jc w:val="center"/>
              <w:rPr>
                <w:sz w:val="17"/>
              </w:rPr>
            </w:pPr>
            <w:r>
              <w:rPr>
                <w:color w:val="231F20"/>
                <w:sz w:val="17"/>
                <w:u w:val="single" w:color="231F20"/>
              </w:rPr>
              <w:tab/>
            </w:r>
            <w:r>
              <w:rPr>
                <w:color w:val="231F20"/>
                <w:spacing w:val="-10"/>
                <w:w w:val="105"/>
                <w:sz w:val="17"/>
                <w:u w:val="single" w:color="231F20"/>
              </w:rPr>
              <w:t>-</w:t>
            </w:r>
            <w:r>
              <w:rPr>
                <w:color w:val="231F20"/>
                <w:spacing w:val="80"/>
                <w:w w:val="105"/>
                <w:sz w:val="17"/>
                <w:u w:val="single" w:color="231F20"/>
              </w:rPr>
              <w:t> </w:t>
            </w:r>
          </w:p>
        </w:tc>
        <w:tc>
          <w:tcPr>
            <w:tcW w:w="1690" w:type="dxa"/>
          </w:tcPr>
          <w:p>
            <w:pPr>
              <w:pStyle w:val="TableParagraph"/>
              <w:tabs>
                <w:tab w:pos="473" w:val="left" w:leader="none"/>
              </w:tabs>
              <w:spacing w:before="8"/>
              <w:ind w:right="170"/>
              <w:jc w:val="right"/>
              <w:rPr>
                <w:sz w:val="17"/>
              </w:rPr>
            </w:pPr>
            <w:r>
              <w:rPr>
                <w:color w:val="231F20"/>
                <w:sz w:val="17"/>
                <w:u w:val="single" w:color="231F20"/>
              </w:rPr>
              <w:tab/>
            </w:r>
            <w:r>
              <w:rPr>
                <w:color w:val="231F20"/>
                <w:spacing w:val="-2"/>
                <w:w w:val="105"/>
                <w:sz w:val="17"/>
                <w:u w:val="single" w:color="231F20"/>
              </w:rPr>
              <w:t>(1,368,313)</w:t>
            </w:r>
          </w:p>
        </w:tc>
        <w:tc>
          <w:tcPr>
            <w:tcW w:w="1396" w:type="dxa"/>
          </w:tcPr>
          <w:p>
            <w:pPr>
              <w:pStyle w:val="TableParagraph"/>
              <w:tabs>
                <w:tab w:pos="421" w:val="left" w:leader="none"/>
              </w:tabs>
              <w:spacing w:before="8"/>
              <w:ind w:left="94"/>
              <w:jc w:val="center"/>
              <w:rPr>
                <w:sz w:val="17"/>
              </w:rPr>
            </w:pPr>
            <w:r>
              <w:rPr>
                <w:color w:val="231F20"/>
                <w:sz w:val="17"/>
                <w:u w:val="single" w:color="231F20"/>
              </w:rPr>
              <w:tab/>
            </w:r>
            <w:r>
              <w:rPr>
                <w:color w:val="231F20"/>
                <w:spacing w:val="-2"/>
                <w:w w:val="105"/>
                <w:sz w:val="17"/>
                <w:u w:val="single" w:color="231F20"/>
              </w:rPr>
              <w:t>2,747,033</w:t>
            </w:r>
            <w:r>
              <w:rPr>
                <w:color w:val="231F20"/>
                <w:spacing w:val="80"/>
                <w:w w:val="105"/>
                <w:sz w:val="17"/>
                <w:u w:val="single" w:color="231F20"/>
              </w:rPr>
              <w:t> </w:t>
            </w:r>
          </w:p>
        </w:tc>
      </w:tr>
      <w:tr>
        <w:trPr>
          <w:trHeight w:val="365" w:hRule="atLeast"/>
        </w:trPr>
        <w:tc>
          <w:tcPr>
            <w:tcW w:w="2932" w:type="dxa"/>
          </w:tcPr>
          <w:p>
            <w:pPr>
              <w:pStyle w:val="TableParagraph"/>
              <w:spacing w:before="114"/>
              <w:ind w:left="83"/>
              <w:rPr>
                <w:sz w:val="17"/>
              </w:rPr>
            </w:pPr>
            <w:r>
              <w:rPr>
                <w:color w:val="231F20"/>
                <w:spacing w:val="-2"/>
                <w:w w:val="105"/>
                <w:sz w:val="17"/>
              </w:rPr>
              <w:t>Total</w:t>
            </w:r>
            <w:r>
              <w:rPr>
                <w:color w:val="231F20"/>
                <w:spacing w:val="1"/>
                <w:w w:val="105"/>
                <w:sz w:val="17"/>
              </w:rPr>
              <w:t> </w:t>
            </w:r>
            <w:r>
              <w:rPr>
                <w:color w:val="231F20"/>
                <w:spacing w:val="-2"/>
                <w:w w:val="105"/>
                <w:sz w:val="17"/>
              </w:rPr>
              <w:t>restricted</w:t>
            </w:r>
            <w:r>
              <w:rPr>
                <w:color w:val="231F20"/>
                <w:spacing w:val="2"/>
                <w:w w:val="105"/>
                <w:sz w:val="17"/>
              </w:rPr>
              <w:t> </w:t>
            </w:r>
            <w:r>
              <w:rPr>
                <w:color w:val="231F20"/>
                <w:spacing w:val="-2"/>
                <w:w w:val="105"/>
                <w:sz w:val="17"/>
              </w:rPr>
              <w:t>endowments</w:t>
            </w:r>
          </w:p>
        </w:tc>
        <w:tc>
          <w:tcPr>
            <w:tcW w:w="1691" w:type="dxa"/>
          </w:tcPr>
          <w:p>
            <w:pPr>
              <w:pStyle w:val="TableParagraph"/>
              <w:tabs>
                <w:tab w:pos="434" w:val="left" w:leader="none"/>
              </w:tabs>
              <w:spacing w:before="114"/>
              <w:ind w:left="1"/>
              <w:jc w:val="center"/>
              <w:rPr>
                <w:sz w:val="17"/>
              </w:rPr>
            </w:pPr>
            <w:r>
              <w:rPr>
                <w:color w:val="231F20"/>
                <w:spacing w:val="42"/>
                <w:w w:val="105"/>
                <w:sz w:val="17"/>
                <w:u w:val="single" w:color="231F20"/>
              </w:rPr>
              <w:t> </w:t>
            </w:r>
            <w:r>
              <w:rPr>
                <w:color w:val="231F20"/>
                <w:spacing w:val="-10"/>
                <w:w w:val="105"/>
                <w:sz w:val="17"/>
                <w:u w:val="single" w:color="231F20"/>
              </w:rPr>
              <w:t>$</w:t>
            </w:r>
            <w:r>
              <w:rPr>
                <w:color w:val="231F20"/>
                <w:sz w:val="17"/>
                <w:u w:val="single" w:color="231F20"/>
              </w:rPr>
              <w:tab/>
            </w:r>
            <w:r>
              <w:rPr>
                <w:color w:val="231F20"/>
                <w:spacing w:val="-2"/>
                <w:w w:val="105"/>
                <w:sz w:val="17"/>
                <w:u w:val="single" w:color="231F20"/>
              </w:rPr>
              <w:t>15,467,826</w:t>
            </w:r>
            <w:r>
              <w:rPr>
                <w:color w:val="231F20"/>
                <w:spacing w:val="80"/>
                <w:w w:val="105"/>
                <w:sz w:val="17"/>
                <w:u w:val="single" w:color="231F20"/>
              </w:rPr>
              <w:t> </w:t>
            </w:r>
          </w:p>
        </w:tc>
        <w:tc>
          <w:tcPr>
            <w:tcW w:w="1691" w:type="dxa"/>
          </w:tcPr>
          <w:p>
            <w:pPr>
              <w:pStyle w:val="TableParagraph"/>
              <w:tabs>
                <w:tab w:pos="681" w:val="left" w:leader="none"/>
              </w:tabs>
              <w:spacing w:before="114"/>
              <w:ind w:left="2"/>
              <w:jc w:val="center"/>
              <w:rPr>
                <w:sz w:val="17"/>
              </w:rPr>
            </w:pPr>
            <w:r>
              <w:rPr>
                <w:color w:val="231F20"/>
                <w:spacing w:val="41"/>
                <w:w w:val="105"/>
                <w:sz w:val="17"/>
                <w:u w:val="single" w:color="231F20"/>
              </w:rPr>
              <w:t> </w:t>
            </w:r>
            <w:r>
              <w:rPr>
                <w:color w:val="231F20"/>
                <w:spacing w:val="-10"/>
                <w:w w:val="105"/>
                <w:sz w:val="17"/>
                <w:u w:val="single" w:color="231F20"/>
              </w:rPr>
              <w:t>$</w:t>
            </w:r>
            <w:r>
              <w:rPr>
                <w:color w:val="231F20"/>
                <w:sz w:val="17"/>
                <w:u w:val="single" w:color="231F20"/>
              </w:rPr>
              <w:tab/>
            </w:r>
            <w:r>
              <w:rPr>
                <w:color w:val="231F20"/>
                <w:spacing w:val="-2"/>
                <w:w w:val="105"/>
                <w:sz w:val="17"/>
                <w:u w:val="single" w:color="231F20"/>
              </w:rPr>
              <w:t>478,462</w:t>
            </w:r>
            <w:r>
              <w:rPr>
                <w:color w:val="231F20"/>
                <w:spacing w:val="80"/>
                <w:w w:val="105"/>
                <w:sz w:val="17"/>
                <w:u w:val="single" w:color="231F20"/>
              </w:rPr>
              <w:t> </w:t>
            </w:r>
          </w:p>
        </w:tc>
        <w:tc>
          <w:tcPr>
            <w:tcW w:w="1690" w:type="dxa"/>
          </w:tcPr>
          <w:p>
            <w:pPr>
              <w:pStyle w:val="TableParagraph"/>
              <w:tabs>
                <w:tab w:pos="473" w:val="left" w:leader="none"/>
              </w:tabs>
              <w:spacing w:before="114"/>
              <w:ind w:right="170"/>
              <w:jc w:val="right"/>
              <w:rPr>
                <w:sz w:val="17"/>
              </w:rPr>
            </w:pPr>
            <w:r>
              <w:rPr>
                <w:color w:val="231F20"/>
                <w:spacing w:val="42"/>
                <w:w w:val="105"/>
                <w:sz w:val="17"/>
                <w:u w:val="single" w:color="231F20"/>
              </w:rPr>
              <w:t> </w:t>
            </w:r>
            <w:r>
              <w:rPr>
                <w:color w:val="231F20"/>
                <w:spacing w:val="-10"/>
                <w:w w:val="105"/>
                <w:sz w:val="17"/>
                <w:u w:val="single" w:color="231F20"/>
              </w:rPr>
              <w:t>$</w:t>
            </w:r>
            <w:r>
              <w:rPr>
                <w:color w:val="231F20"/>
                <w:sz w:val="17"/>
                <w:u w:val="single" w:color="231F20"/>
              </w:rPr>
              <w:tab/>
            </w:r>
            <w:r>
              <w:rPr>
                <w:color w:val="231F20"/>
                <w:spacing w:val="-2"/>
                <w:w w:val="105"/>
                <w:sz w:val="17"/>
                <w:u w:val="single" w:color="231F20"/>
              </w:rPr>
              <w:t>(1,368,313)</w:t>
            </w:r>
          </w:p>
        </w:tc>
        <w:tc>
          <w:tcPr>
            <w:tcW w:w="1396" w:type="dxa"/>
          </w:tcPr>
          <w:p>
            <w:pPr>
              <w:pStyle w:val="TableParagraph"/>
              <w:spacing w:before="114"/>
              <w:ind w:left="94"/>
              <w:jc w:val="center"/>
              <w:rPr>
                <w:sz w:val="17"/>
              </w:rPr>
            </w:pPr>
            <w:r>
              <w:rPr>
                <w:color w:val="231F20"/>
                <w:spacing w:val="47"/>
                <w:sz w:val="17"/>
                <w:u w:val="single" w:color="231F20"/>
              </w:rPr>
              <w:t> </w:t>
            </w:r>
            <w:r>
              <w:rPr>
                <w:color w:val="231F20"/>
                <w:sz w:val="17"/>
                <w:u w:val="single" w:color="231F20"/>
              </w:rPr>
              <w:t>$</w:t>
            </w:r>
            <w:r>
              <w:rPr>
                <w:color w:val="231F20"/>
                <w:spacing w:val="-10"/>
                <w:sz w:val="17"/>
                <w:u w:val="single" w:color="231F20"/>
              </w:rPr>
              <w:t> </w:t>
            </w:r>
            <w:r>
              <w:rPr>
                <w:color w:val="231F20"/>
                <w:spacing w:val="-2"/>
                <w:sz w:val="17"/>
                <w:u w:val="single" w:color="231F20"/>
              </w:rPr>
              <w:t>14,577,975</w:t>
            </w:r>
            <w:r>
              <w:rPr>
                <w:color w:val="231F20"/>
                <w:spacing w:val="80"/>
                <w:sz w:val="17"/>
                <w:u w:val="single" w:color="231F20"/>
              </w:rPr>
              <w:t> </w:t>
            </w:r>
          </w:p>
        </w:tc>
      </w:tr>
    </w:tbl>
    <w:p>
      <w:pPr>
        <w:spacing w:after="0"/>
        <w:jc w:val="center"/>
        <w:rPr>
          <w:sz w:val="17"/>
        </w:rPr>
        <w:sectPr>
          <w:pgSz w:w="12240" w:h="15840"/>
          <w:pgMar w:header="1282" w:footer="1097" w:top="1900" w:bottom="1280" w:left="0" w:right="580"/>
        </w:sectPr>
      </w:pPr>
    </w:p>
    <w:p>
      <w:pPr>
        <w:pStyle w:val="BodyText"/>
      </w:pPr>
    </w:p>
    <w:p>
      <w:pPr>
        <w:pStyle w:val="BodyText"/>
        <w:spacing w:before="10"/>
        <w:rPr>
          <w:sz w:val="17"/>
        </w:rPr>
      </w:pPr>
    </w:p>
    <w:p>
      <w:pPr>
        <w:pStyle w:val="Heading4"/>
        <w:spacing w:before="94"/>
      </w:pPr>
      <w:r>
        <w:rPr>
          <w:color w:val="231F20"/>
        </w:rPr>
        <w:t>Note</w:t>
      </w:r>
      <w:r>
        <w:rPr>
          <w:color w:val="231F20"/>
          <w:spacing w:val="-7"/>
        </w:rPr>
        <w:t> </w:t>
      </w:r>
      <w:r>
        <w:rPr>
          <w:color w:val="231F20"/>
        </w:rPr>
        <w:t>15</w:t>
      </w:r>
      <w:r>
        <w:rPr>
          <w:color w:val="231F20"/>
          <w:spacing w:val="-5"/>
        </w:rPr>
        <w:t> </w:t>
      </w:r>
      <w:r>
        <w:rPr>
          <w:color w:val="231F20"/>
        </w:rPr>
        <w:t>–</w:t>
      </w:r>
      <w:r>
        <w:rPr>
          <w:color w:val="231F20"/>
          <w:spacing w:val="-4"/>
        </w:rPr>
        <w:t> </w:t>
      </w:r>
      <w:r>
        <w:rPr>
          <w:color w:val="231F20"/>
        </w:rPr>
        <w:t>Discretely</w:t>
      </w:r>
      <w:r>
        <w:rPr>
          <w:color w:val="231F20"/>
          <w:spacing w:val="-5"/>
        </w:rPr>
        <w:t> </w:t>
      </w:r>
      <w:r>
        <w:rPr>
          <w:color w:val="231F20"/>
        </w:rPr>
        <w:t>Presented</w:t>
      </w:r>
      <w:r>
        <w:rPr>
          <w:color w:val="231F20"/>
          <w:spacing w:val="-4"/>
        </w:rPr>
        <w:t> </w:t>
      </w:r>
      <w:r>
        <w:rPr>
          <w:color w:val="231F20"/>
        </w:rPr>
        <w:t>Component</w:t>
      </w:r>
      <w:r>
        <w:rPr>
          <w:color w:val="231F20"/>
          <w:spacing w:val="-4"/>
        </w:rPr>
        <w:t> </w:t>
      </w:r>
      <w:r>
        <w:rPr>
          <w:color w:val="231F20"/>
        </w:rPr>
        <w:t>Unit</w:t>
      </w:r>
      <w:r>
        <w:rPr>
          <w:color w:val="231F20"/>
          <w:spacing w:val="-5"/>
        </w:rPr>
        <w:t> </w:t>
      </w:r>
      <w:r>
        <w:rPr>
          <w:color w:val="231F20"/>
        </w:rPr>
        <w:t>–</w:t>
      </w:r>
      <w:r>
        <w:rPr>
          <w:color w:val="231F20"/>
          <w:spacing w:val="-5"/>
        </w:rPr>
        <w:t> </w:t>
      </w:r>
      <w:r>
        <w:rPr>
          <w:color w:val="231F20"/>
        </w:rPr>
        <w:t>The</w:t>
      </w:r>
      <w:r>
        <w:rPr>
          <w:color w:val="231F20"/>
          <w:spacing w:val="-4"/>
        </w:rPr>
        <w:t> </w:t>
      </w:r>
      <w:r>
        <w:rPr>
          <w:color w:val="231F20"/>
        </w:rPr>
        <w:t>New</w:t>
      </w:r>
      <w:r>
        <w:rPr>
          <w:color w:val="231F20"/>
          <w:spacing w:val="-5"/>
        </w:rPr>
        <w:t> </w:t>
      </w:r>
      <w:r>
        <w:rPr>
          <w:color w:val="231F20"/>
        </w:rPr>
        <w:t>Mexico</w:t>
      </w:r>
      <w:r>
        <w:rPr>
          <w:color w:val="231F20"/>
          <w:spacing w:val="-5"/>
        </w:rPr>
        <w:t> </w:t>
      </w:r>
      <w:r>
        <w:rPr>
          <w:color w:val="231F20"/>
        </w:rPr>
        <w:t>Tech</w:t>
      </w:r>
      <w:r>
        <w:rPr>
          <w:color w:val="231F20"/>
          <w:spacing w:val="-5"/>
        </w:rPr>
        <w:t> </w:t>
      </w:r>
      <w:r>
        <w:rPr>
          <w:color w:val="231F20"/>
        </w:rPr>
        <w:t>Foundation</w:t>
      </w:r>
      <w:r>
        <w:rPr>
          <w:color w:val="231F20"/>
          <w:spacing w:val="-4"/>
        </w:rPr>
        <w:t> </w:t>
      </w:r>
      <w:r>
        <w:rPr>
          <w:color w:val="231F20"/>
          <w:spacing w:val="-2"/>
        </w:rPr>
        <w:t>(continued)</w:t>
      </w:r>
    </w:p>
    <w:p>
      <w:pPr>
        <w:pStyle w:val="BodyText"/>
        <w:rPr>
          <w:b/>
          <w:sz w:val="23"/>
        </w:rPr>
      </w:pPr>
    </w:p>
    <w:p>
      <w:pPr>
        <w:spacing w:before="0"/>
        <w:ind w:left="1440" w:right="0" w:firstLine="0"/>
        <w:jc w:val="left"/>
        <w:rPr>
          <w:b/>
          <w:sz w:val="20"/>
        </w:rPr>
      </w:pPr>
      <w:r>
        <w:rPr>
          <w:b/>
          <w:color w:val="231F20"/>
          <w:sz w:val="20"/>
        </w:rPr>
        <w:t>Adoption</w:t>
      </w:r>
      <w:r>
        <w:rPr>
          <w:b/>
          <w:color w:val="231F20"/>
          <w:spacing w:val="-2"/>
          <w:sz w:val="20"/>
        </w:rPr>
        <w:t> </w:t>
      </w:r>
      <w:r>
        <w:rPr>
          <w:b/>
          <w:color w:val="231F20"/>
          <w:sz w:val="20"/>
        </w:rPr>
        <w:t>of</w:t>
      </w:r>
      <w:r>
        <w:rPr>
          <w:b/>
          <w:color w:val="231F20"/>
          <w:spacing w:val="-3"/>
          <w:sz w:val="20"/>
        </w:rPr>
        <w:t> </w:t>
      </w:r>
      <w:r>
        <w:rPr>
          <w:b/>
          <w:color w:val="231F20"/>
          <w:sz w:val="20"/>
        </w:rPr>
        <w:t>GASB</w:t>
      </w:r>
      <w:r>
        <w:rPr>
          <w:b/>
          <w:color w:val="231F20"/>
          <w:spacing w:val="-2"/>
          <w:sz w:val="20"/>
        </w:rPr>
        <w:t> </w:t>
      </w:r>
      <w:r>
        <w:rPr>
          <w:b/>
          <w:color w:val="231F20"/>
          <w:spacing w:val="-5"/>
          <w:sz w:val="20"/>
        </w:rPr>
        <w:t>87</w:t>
      </w:r>
    </w:p>
    <w:p>
      <w:pPr>
        <w:pStyle w:val="BodyText"/>
        <w:spacing w:line="276" w:lineRule="auto" w:before="34"/>
        <w:ind w:left="1440" w:right="891" w:hanging="1"/>
      </w:pPr>
      <w:r>
        <w:rPr>
          <w:color w:val="231F20"/>
        </w:rPr>
        <w:t>The</w:t>
      </w:r>
      <w:r>
        <w:rPr>
          <w:color w:val="231F20"/>
          <w:spacing w:val="-3"/>
        </w:rPr>
        <w:t> </w:t>
      </w:r>
      <w:r>
        <w:rPr>
          <w:color w:val="231F20"/>
        </w:rPr>
        <w:t>Foundation</w:t>
      </w:r>
      <w:r>
        <w:rPr>
          <w:color w:val="231F20"/>
          <w:spacing w:val="-3"/>
        </w:rPr>
        <w:t> </w:t>
      </w:r>
      <w:r>
        <w:rPr>
          <w:color w:val="231F20"/>
        </w:rPr>
        <w:t>GASB</w:t>
      </w:r>
      <w:r>
        <w:rPr>
          <w:color w:val="231F20"/>
          <w:spacing w:val="-3"/>
        </w:rPr>
        <w:t> </w:t>
      </w:r>
      <w:r>
        <w:rPr>
          <w:color w:val="231F20"/>
        </w:rPr>
        <w:t>No.</w:t>
      </w:r>
      <w:r>
        <w:rPr>
          <w:color w:val="231F20"/>
          <w:spacing w:val="-4"/>
        </w:rPr>
        <w:t> </w:t>
      </w:r>
      <w:r>
        <w:rPr>
          <w:color w:val="231F20"/>
        </w:rPr>
        <w:t>87</w:t>
      </w:r>
      <w:r>
        <w:rPr>
          <w:color w:val="231F20"/>
          <w:spacing w:val="-3"/>
        </w:rPr>
        <w:t> </w:t>
      </w:r>
      <w:r>
        <w:rPr>
          <w:color w:val="231F20"/>
        </w:rPr>
        <w:t>Leases</w:t>
      </w:r>
      <w:r>
        <w:rPr>
          <w:color w:val="231F20"/>
          <w:spacing w:val="-3"/>
        </w:rPr>
        <w:t> </w:t>
      </w:r>
      <w:r>
        <w:rPr>
          <w:color w:val="231F20"/>
        </w:rPr>
        <w:t>(GASB</w:t>
      </w:r>
      <w:r>
        <w:rPr>
          <w:color w:val="231F20"/>
          <w:spacing w:val="-3"/>
        </w:rPr>
        <w:t> </w:t>
      </w:r>
      <w:r>
        <w:rPr>
          <w:color w:val="231F20"/>
        </w:rPr>
        <w:t>87)</w:t>
      </w:r>
      <w:r>
        <w:rPr>
          <w:color w:val="231F20"/>
          <w:spacing w:val="-3"/>
        </w:rPr>
        <w:t> </w:t>
      </w:r>
      <w:r>
        <w:rPr>
          <w:color w:val="231F20"/>
        </w:rPr>
        <w:t>as</w:t>
      </w:r>
      <w:r>
        <w:rPr>
          <w:color w:val="231F20"/>
          <w:spacing w:val="-4"/>
        </w:rPr>
        <w:t> </w:t>
      </w:r>
      <w:r>
        <w:rPr>
          <w:color w:val="231F20"/>
        </w:rPr>
        <w:t>of</w:t>
      </w:r>
      <w:r>
        <w:rPr>
          <w:color w:val="231F20"/>
          <w:spacing w:val="-3"/>
        </w:rPr>
        <w:t> </w:t>
      </w:r>
      <w:r>
        <w:rPr>
          <w:color w:val="231F20"/>
        </w:rPr>
        <w:t>July</w:t>
      </w:r>
      <w:r>
        <w:rPr>
          <w:color w:val="231F20"/>
          <w:spacing w:val="-3"/>
        </w:rPr>
        <w:t> </w:t>
      </w:r>
      <w:r>
        <w:rPr>
          <w:color w:val="231F20"/>
        </w:rPr>
        <w:t>1,</w:t>
      </w:r>
      <w:r>
        <w:rPr>
          <w:color w:val="231F20"/>
          <w:spacing w:val="-3"/>
        </w:rPr>
        <w:t> </w:t>
      </w:r>
      <w:r>
        <w:rPr>
          <w:color w:val="231F20"/>
        </w:rPr>
        <w:t>2021.</w:t>
      </w:r>
      <w:r>
        <w:rPr>
          <w:color w:val="231F20"/>
          <w:spacing w:val="-3"/>
        </w:rPr>
        <w:t> </w:t>
      </w:r>
      <w:r>
        <w:rPr>
          <w:color w:val="231F20"/>
        </w:rPr>
        <w:t>The</w:t>
      </w:r>
      <w:r>
        <w:rPr>
          <w:color w:val="231F20"/>
          <w:spacing w:val="-3"/>
        </w:rPr>
        <w:t> </w:t>
      </w:r>
      <w:r>
        <w:rPr>
          <w:color w:val="231F20"/>
        </w:rPr>
        <w:t>Foundation</w:t>
      </w:r>
      <w:r>
        <w:rPr>
          <w:color w:val="231F20"/>
          <w:spacing w:val="-3"/>
        </w:rPr>
        <w:t> </w:t>
      </w:r>
      <w:r>
        <w:rPr>
          <w:color w:val="231F20"/>
        </w:rPr>
        <w:t>evaluated</w:t>
      </w:r>
      <w:r>
        <w:rPr>
          <w:color w:val="231F20"/>
          <w:spacing w:val="-3"/>
        </w:rPr>
        <w:t> </w:t>
      </w:r>
      <w:r>
        <w:rPr>
          <w:color w:val="231F20"/>
        </w:rPr>
        <w:t>contracts that were formerly accounted for as operating leases to determine whether they meet the definition of a lease as defined in GASB 87. The contracts related to the lease of their buildings met the definition of a lease</w:t>
      </w:r>
      <w:r>
        <w:rPr>
          <w:color w:val="231F20"/>
          <w:spacing w:val="-1"/>
        </w:rPr>
        <w:t> </w:t>
      </w:r>
      <w:r>
        <w:rPr>
          <w:color w:val="231F20"/>
        </w:rPr>
        <w:t>and</w:t>
      </w:r>
      <w:r>
        <w:rPr>
          <w:color w:val="231F20"/>
          <w:spacing w:val="-1"/>
        </w:rPr>
        <w:t> </w:t>
      </w:r>
      <w:r>
        <w:rPr>
          <w:color w:val="231F20"/>
        </w:rPr>
        <w:t>the</w:t>
      </w:r>
      <w:r>
        <w:rPr>
          <w:color w:val="231F20"/>
          <w:spacing w:val="-2"/>
        </w:rPr>
        <w:t> </w:t>
      </w:r>
      <w:r>
        <w:rPr>
          <w:color w:val="231F20"/>
        </w:rPr>
        <w:t>Foundation</w:t>
      </w:r>
      <w:r>
        <w:rPr>
          <w:color w:val="231F20"/>
          <w:spacing w:val="-1"/>
        </w:rPr>
        <w:t> </w:t>
      </w:r>
      <w:r>
        <w:rPr>
          <w:color w:val="231F20"/>
        </w:rPr>
        <w:t>calculated</w:t>
      </w:r>
      <w:r>
        <w:rPr>
          <w:color w:val="231F20"/>
          <w:spacing w:val="-1"/>
        </w:rPr>
        <w:t> </w:t>
      </w:r>
      <w:r>
        <w:rPr>
          <w:color w:val="231F20"/>
        </w:rPr>
        <w:t>and</w:t>
      </w:r>
      <w:r>
        <w:rPr>
          <w:color w:val="231F20"/>
          <w:spacing w:val="-2"/>
        </w:rPr>
        <w:t> </w:t>
      </w:r>
      <w:r>
        <w:rPr>
          <w:color w:val="231F20"/>
        </w:rPr>
        <w:t>recognized</w:t>
      </w:r>
      <w:r>
        <w:rPr>
          <w:color w:val="231F20"/>
          <w:spacing w:val="-1"/>
        </w:rPr>
        <w:t> </w:t>
      </w:r>
      <w:r>
        <w:rPr>
          <w:color w:val="231F20"/>
        </w:rPr>
        <w:t>a</w:t>
      </w:r>
      <w:r>
        <w:rPr>
          <w:color w:val="231F20"/>
          <w:spacing w:val="-2"/>
        </w:rPr>
        <w:t> </w:t>
      </w:r>
      <w:r>
        <w:rPr>
          <w:color w:val="231F20"/>
        </w:rPr>
        <w:t>lease</w:t>
      </w:r>
      <w:r>
        <w:rPr>
          <w:color w:val="231F20"/>
          <w:spacing w:val="-1"/>
        </w:rPr>
        <w:t> </w:t>
      </w:r>
      <w:r>
        <w:rPr>
          <w:color w:val="231F20"/>
        </w:rPr>
        <w:t>receivable</w:t>
      </w:r>
      <w:r>
        <w:rPr>
          <w:color w:val="231F20"/>
          <w:spacing w:val="-1"/>
        </w:rPr>
        <w:t> </w:t>
      </w:r>
      <w:r>
        <w:rPr>
          <w:color w:val="231F20"/>
        </w:rPr>
        <w:t>of</w:t>
      </w:r>
      <w:r>
        <w:rPr>
          <w:color w:val="231F20"/>
          <w:spacing w:val="-1"/>
        </w:rPr>
        <w:t> </w:t>
      </w:r>
      <w:r>
        <w:rPr>
          <w:color w:val="231F20"/>
        </w:rPr>
        <w:t>$418,063</w:t>
      </w:r>
      <w:r>
        <w:rPr>
          <w:color w:val="231F20"/>
          <w:spacing w:val="-1"/>
        </w:rPr>
        <w:t> </w:t>
      </w:r>
      <w:r>
        <w:rPr>
          <w:color w:val="231F20"/>
        </w:rPr>
        <w:t>and</w:t>
      </w:r>
      <w:r>
        <w:rPr>
          <w:color w:val="231F20"/>
          <w:spacing w:val="-1"/>
        </w:rPr>
        <w:t> </w:t>
      </w:r>
      <w:r>
        <w:rPr>
          <w:color w:val="231F20"/>
        </w:rPr>
        <w:t>deferred</w:t>
      </w:r>
      <w:r>
        <w:rPr>
          <w:color w:val="231F20"/>
          <w:spacing w:val="-1"/>
        </w:rPr>
        <w:t> </w:t>
      </w:r>
      <w:r>
        <w:rPr>
          <w:color w:val="231F20"/>
        </w:rPr>
        <w:t>inflows of resources $418,063 as of July 1, 2021.</w:t>
      </w:r>
    </w:p>
    <w:p>
      <w:pPr>
        <w:pStyle w:val="BodyText"/>
        <w:spacing w:before="1"/>
        <w:rPr>
          <w:sz w:val="23"/>
        </w:rPr>
      </w:pPr>
    </w:p>
    <w:p>
      <w:pPr>
        <w:pStyle w:val="Heading4"/>
      </w:pPr>
      <w:r>
        <w:rPr>
          <w:color w:val="231F20"/>
          <w:spacing w:val="-2"/>
        </w:rPr>
        <w:t>Leases</w:t>
      </w:r>
    </w:p>
    <w:p>
      <w:pPr>
        <w:pStyle w:val="BodyText"/>
        <w:spacing w:line="276" w:lineRule="auto" w:before="34"/>
        <w:ind w:left="1440" w:right="891"/>
      </w:pPr>
      <w:r>
        <w:rPr>
          <w:color w:val="231F20"/>
        </w:rPr>
        <w:t>The</w:t>
      </w:r>
      <w:r>
        <w:rPr>
          <w:color w:val="231F20"/>
          <w:spacing w:val="-3"/>
        </w:rPr>
        <w:t> </w:t>
      </w:r>
      <w:r>
        <w:rPr>
          <w:color w:val="231F20"/>
        </w:rPr>
        <w:t>Foundation</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lessor</w:t>
      </w:r>
      <w:r>
        <w:rPr>
          <w:color w:val="231F20"/>
          <w:spacing w:val="-3"/>
        </w:rPr>
        <w:t> </w:t>
      </w:r>
      <w:r>
        <w:rPr>
          <w:color w:val="231F20"/>
        </w:rPr>
        <w:t>for</w:t>
      </w:r>
      <w:r>
        <w:rPr>
          <w:color w:val="231F20"/>
          <w:spacing w:val="-3"/>
        </w:rPr>
        <w:t> </w:t>
      </w:r>
      <w:r>
        <w:rPr>
          <w:color w:val="231F20"/>
        </w:rPr>
        <w:t>noncancellable</w:t>
      </w:r>
      <w:r>
        <w:rPr>
          <w:color w:val="231F20"/>
          <w:spacing w:val="-3"/>
        </w:rPr>
        <w:t> </w:t>
      </w:r>
      <w:r>
        <w:rPr>
          <w:color w:val="231F20"/>
        </w:rPr>
        <w:t>leases</w:t>
      </w:r>
      <w:r>
        <w:rPr>
          <w:color w:val="231F20"/>
          <w:spacing w:val="-3"/>
        </w:rPr>
        <w:t> </w:t>
      </w:r>
      <w:r>
        <w:rPr>
          <w:color w:val="231F20"/>
        </w:rPr>
        <w:t>of</w:t>
      </w:r>
      <w:r>
        <w:rPr>
          <w:color w:val="231F20"/>
          <w:spacing w:val="-3"/>
        </w:rPr>
        <w:t> </w:t>
      </w:r>
      <w:r>
        <w:rPr>
          <w:color w:val="231F20"/>
        </w:rPr>
        <w:t>an</w:t>
      </w:r>
      <w:r>
        <w:rPr>
          <w:color w:val="231F20"/>
          <w:spacing w:val="-3"/>
        </w:rPr>
        <w:t> </w:t>
      </w:r>
      <w:r>
        <w:rPr>
          <w:color w:val="231F20"/>
        </w:rPr>
        <w:t>apartment</w:t>
      </w:r>
      <w:r>
        <w:rPr>
          <w:color w:val="231F20"/>
          <w:spacing w:val="-3"/>
        </w:rPr>
        <w:t> </w:t>
      </w:r>
      <w:r>
        <w:rPr>
          <w:color w:val="231F20"/>
        </w:rPr>
        <w:t>complex</w:t>
      </w:r>
      <w:r>
        <w:rPr>
          <w:color w:val="231F20"/>
          <w:spacing w:val="-4"/>
        </w:rPr>
        <w:t> </w:t>
      </w:r>
      <w:r>
        <w:rPr>
          <w:color w:val="231F20"/>
        </w:rPr>
        <w:t>and</w:t>
      </w:r>
      <w:r>
        <w:rPr>
          <w:color w:val="231F20"/>
          <w:spacing w:val="-3"/>
        </w:rPr>
        <w:t> </w:t>
      </w:r>
      <w:r>
        <w:rPr>
          <w:color w:val="231F20"/>
        </w:rPr>
        <w:t>a</w:t>
      </w:r>
      <w:r>
        <w:rPr>
          <w:color w:val="231F20"/>
          <w:spacing w:val="-3"/>
        </w:rPr>
        <w:t> </w:t>
      </w:r>
      <w:r>
        <w:rPr>
          <w:color w:val="231F20"/>
        </w:rPr>
        <w:t>residential</w:t>
      </w:r>
      <w:r>
        <w:rPr>
          <w:color w:val="231F20"/>
          <w:spacing w:val="-3"/>
        </w:rPr>
        <w:t> </w:t>
      </w:r>
      <w:r>
        <w:rPr>
          <w:color w:val="231F20"/>
        </w:rPr>
        <w:t>building with lease terms through June 30, 2026 and June 30, 2023, respectively. For the year ending June 30, 2022, the Foundation recognized $87,900 in lease revenue released from the Deferred Inflows of Resources related to the leases. The Foundation recognized interest revenue of $25,122 for the year ending June 30, 2022. No inflows of resources were recognized in the year related to termination penalties or residual value guarantees during the fiscal year.</w:t>
      </w:r>
    </w:p>
    <w:p>
      <w:pPr>
        <w:pStyle w:val="BodyText"/>
        <w:spacing w:before="11"/>
        <w:rPr>
          <w:sz w:val="22"/>
        </w:rPr>
      </w:pPr>
    </w:p>
    <w:p>
      <w:pPr>
        <w:pStyle w:val="BodyText"/>
        <w:ind w:left="1440"/>
      </w:pPr>
      <w:r>
        <w:rPr>
          <w:color w:val="231F20"/>
        </w:rPr>
        <w:t>The</w:t>
      </w:r>
      <w:r>
        <w:rPr>
          <w:color w:val="231F20"/>
          <w:spacing w:val="-7"/>
        </w:rPr>
        <w:t> </w:t>
      </w:r>
      <w:r>
        <w:rPr>
          <w:color w:val="231F20"/>
        </w:rPr>
        <w:t>future</w:t>
      </w:r>
      <w:r>
        <w:rPr>
          <w:color w:val="231F20"/>
          <w:spacing w:val="-4"/>
        </w:rPr>
        <w:t> </w:t>
      </w:r>
      <w:r>
        <w:rPr>
          <w:color w:val="231F20"/>
        </w:rPr>
        <w:t>principal</w:t>
      </w:r>
      <w:r>
        <w:rPr>
          <w:color w:val="231F20"/>
          <w:spacing w:val="-5"/>
        </w:rPr>
        <w:t> </w:t>
      </w:r>
      <w:r>
        <w:rPr>
          <w:color w:val="231F20"/>
        </w:rPr>
        <w:t>and</w:t>
      </w:r>
      <w:r>
        <w:rPr>
          <w:color w:val="231F20"/>
          <w:spacing w:val="-4"/>
        </w:rPr>
        <w:t> </w:t>
      </w:r>
      <w:r>
        <w:rPr>
          <w:color w:val="231F20"/>
        </w:rPr>
        <w:t>interest</w:t>
      </w:r>
      <w:r>
        <w:rPr>
          <w:color w:val="231F20"/>
          <w:spacing w:val="-5"/>
        </w:rPr>
        <w:t> </w:t>
      </w:r>
      <w:r>
        <w:rPr>
          <w:color w:val="231F20"/>
        </w:rPr>
        <w:t>lease</w:t>
      </w:r>
      <w:r>
        <w:rPr>
          <w:color w:val="231F20"/>
          <w:spacing w:val="-4"/>
        </w:rPr>
        <w:t> </w:t>
      </w:r>
      <w:r>
        <w:rPr>
          <w:color w:val="231F20"/>
        </w:rPr>
        <w:t>receipts</w:t>
      </w:r>
      <w:r>
        <w:rPr>
          <w:color w:val="231F20"/>
          <w:spacing w:val="-4"/>
        </w:rPr>
        <w:t> </w:t>
      </w:r>
      <w:r>
        <w:rPr>
          <w:color w:val="231F20"/>
        </w:rPr>
        <w:t>as</w:t>
      </w:r>
      <w:r>
        <w:rPr>
          <w:color w:val="231F20"/>
          <w:spacing w:val="-5"/>
        </w:rPr>
        <w:t> </w:t>
      </w:r>
      <w:r>
        <w:rPr>
          <w:color w:val="231F20"/>
        </w:rPr>
        <w:t>of</w:t>
      </w:r>
      <w:r>
        <w:rPr>
          <w:color w:val="231F20"/>
          <w:spacing w:val="-4"/>
        </w:rPr>
        <w:t> </w:t>
      </w:r>
      <w:r>
        <w:rPr>
          <w:color w:val="231F20"/>
        </w:rPr>
        <w:t>June</w:t>
      </w:r>
      <w:r>
        <w:rPr>
          <w:color w:val="231F20"/>
          <w:spacing w:val="-5"/>
        </w:rPr>
        <w:t> </w:t>
      </w:r>
      <w:r>
        <w:rPr>
          <w:color w:val="231F20"/>
        </w:rPr>
        <w:t>30,</w:t>
      </w:r>
      <w:r>
        <w:rPr>
          <w:color w:val="231F20"/>
          <w:spacing w:val="-4"/>
        </w:rPr>
        <w:t> </w:t>
      </w:r>
      <w:r>
        <w:rPr>
          <w:color w:val="231F20"/>
        </w:rPr>
        <w:t>2022,</w:t>
      </w:r>
      <w:r>
        <w:rPr>
          <w:color w:val="231F20"/>
          <w:spacing w:val="-6"/>
        </w:rPr>
        <w:t> </w:t>
      </w:r>
      <w:r>
        <w:rPr>
          <w:color w:val="231F20"/>
        </w:rPr>
        <w:t>were</w:t>
      </w:r>
      <w:r>
        <w:rPr>
          <w:color w:val="231F20"/>
          <w:spacing w:val="-4"/>
        </w:rPr>
        <w:t> </w:t>
      </w:r>
      <w:r>
        <w:rPr>
          <w:color w:val="231F20"/>
        </w:rPr>
        <w:t>as</w:t>
      </w:r>
      <w:r>
        <w:rPr>
          <w:color w:val="231F20"/>
          <w:spacing w:val="-3"/>
        </w:rPr>
        <w:t> </w:t>
      </w:r>
      <w:r>
        <w:rPr>
          <w:color w:val="231F20"/>
          <w:spacing w:val="-2"/>
        </w:rPr>
        <w:t>follows:</w:t>
      </w:r>
    </w:p>
    <w:p>
      <w:pPr>
        <w:pStyle w:val="BodyText"/>
      </w:pPr>
    </w:p>
    <w:p>
      <w:pPr>
        <w:pStyle w:val="BodyText"/>
        <w:spacing w:before="2"/>
        <w:rPr>
          <w:sz w:val="10"/>
        </w:rPr>
      </w:pPr>
    </w:p>
    <w:tbl>
      <w:tblPr>
        <w:tblW w:w="0" w:type="auto"/>
        <w:jc w:val="left"/>
        <w:tblInd w:w="1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0"/>
        <w:gridCol w:w="188"/>
        <w:gridCol w:w="1549"/>
        <w:gridCol w:w="188"/>
        <w:gridCol w:w="1548"/>
        <w:gridCol w:w="189"/>
        <w:gridCol w:w="1549"/>
      </w:tblGrid>
      <w:tr>
        <w:trPr>
          <w:trHeight w:val="246" w:hRule="atLeast"/>
        </w:trPr>
        <w:tc>
          <w:tcPr>
            <w:tcW w:w="2060" w:type="dxa"/>
            <w:tcBorders>
              <w:bottom w:val="single" w:sz="8" w:space="0" w:color="231F20"/>
            </w:tcBorders>
          </w:tcPr>
          <w:p>
            <w:pPr>
              <w:pStyle w:val="TableParagraph"/>
              <w:spacing w:line="224" w:lineRule="exact"/>
              <w:ind w:left="19" w:right="1"/>
              <w:jc w:val="center"/>
              <w:rPr>
                <w:sz w:val="20"/>
              </w:rPr>
            </w:pPr>
            <w:r>
              <w:rPr>
                <w:color w:val="231F20"/>
                <w:sz w:val="20"/>
              </w:rPr>
              <w:t>Years</w:t>
            </w:r>
            <w:r>
              <w:rPr>
                <w:color w:val="231F20"/>
                <w:spacing w:val="-3"/>
                <w:sz w:val="20"/>
              </w:rPr>
              <w:t> </w:t>
            </w:r>
            <w:r>
              <w:rPr>
                <w:color w:val="231F20"/>
                <w:sz w:val="20"/>
              </w:rPr>
              <w:t>Ending</w:t>
            </w:r>
            <w:r>
              <w:rPr>
                <w:color w:val="231F20"/>
                <w:spacing w:val="-3"/>
                <w:sz w:val="20"/>
              </w:rPr>
              <w:t> </w:t>
            </w:r>
            <w:r>
              <w:rPr>
                <w:color w:val="231F20"/>
                <w:sz w:val="20"/>
              </w:rPr>
              <w:t>June</w:t>
            </w:r>
            <w:r>
              <w:rPr>
                <w:color w:val="231F20"/>
                <w:spacing w:val="-3"/>
                <w:sz w:val="20"/>
              </w:rPr>
              <w:t> </w:t>
            </w:r>
            <w:r>
              <w:rPr>
                <w:color w:val="231F20"/>
                <w:spacing w:val="-5"/>
                <w:sz w:val="20"/>
              </w:rPr>
              <w:t>30,</w:t>
            </w:r>
          </w:p>
        </w:tc>
        <w:tc>
          <w:tcPr>
            <w:tcW w:w="188" w:type="dxa"/>
          </w:tcPr>
          <w:p>
            <w:pPr>
              <w:pStyle w:val="TableParagraph"/>
              <w:rPr>
                <w:rFonts w:ascii="Times New Roman"/>
                <w:sz w:val="16"/>
              </w:rPr>
            </w:pPr>
          </w:p>
        </w:tc>
        <w:tc>
          <w:tcPr>
            <w:tcW w:w="1549" w:type="dxa"/>
            <w:tcBorders>
              <w:bottom w:val="single" w:sz="8" w:space="0" w:color="231F20"/>
            </w:tcBorders>
          </w:tcPr>
          <w:p>
            <w:pPr>
              <w:pStyle w:val="TableParagraph"/>
              <w:spacing w:line="224" w:lineRule="exact"/>
              <w:ind w:left="397"/>
              <w:rPr>
                <w:sz w:val="20"/>
              </w:rPr>
            </w:pPr>
            <w:r>
              <w:rPr>
                <w:color w:val="231F20"/>
                <w:spacing w:val="-2"/>
                <w:sz w:val="20"/>
              </w:rPr>
              <w:t>Principal</w:t>
            </w:r>
          </w:p>
        </w:tc>
        <w:tc>
          <w:tcPr>
            <w:tcW w:w="188" w:type="dxa"/>
          </w:tcPr>
          <w:p>
            <w:pPr>
              <w:pStyle w:val="TableParagraph"/>
              <w:rPr>
                <w:rFonts w:ascii="Times New Roman"/>
                <w:sz w:val="16"/>
              </w:rPr>
            </w:pPr>
          </w:p>
        </w:tc>
        <w:tc>
          <w:tcPr>
            <w:tcW w:w="1548" w:type="dxa"/>
            <w:tcBorders>
              <w:bottom w:val="single" w:sz="8" w:space="0" w:color="231F20"/>
            </w:tcBorders>
          </w:tcPr>
          <w:p>
            <w:pPr>
              <w:pStyle w:val="TableParagraph"/>
              <w:spacing w:line="224" w:lineRule="exact"/>
              <w:ind w:left="448"/>
              <w:rPr>
                <w:sz w:val="20"/>
              </w:rPr>
            </w:pPr>
            <w:r>
              <w:rPr>
                <w:color w:val="231F20"/>
                <w:spacing w:val="-2"/>
                <w:sz w:val="20"/>
              </w:rPr>
              <w:t>Interest</w:t>
            </w:r>
          </w:p>
        </w:tc>
        <w:tc>
          <w:tcPr>
            <w:tcW w:w="189" w:type="dxa"/>
          </w:tcPr>
          <w:p>
            <w:pPr>
              <w:pStyle w:val="TableParagraph"/>
              <w:rPr>
                <w:rFonts w:ascii="Times New Roman"/>
                <w:sz w:val="16"/>
              </w:rPr>
            </w:pPr>
          </w:p>
        </w:tc>
        <w:tc>
          <w:tcPr>
            <w:tcW w:w="1549" w:type="dxa"/>
            <w:tcBorders>
              <w:bottom w:val="single" w:sz="8" w:space="0" w:color="231F20"/>
            </w:tcBorders>
          </w:tcPr>
          <w:p>
            <w:pPr>
              <w:pStyle w:val="TableParagraph"/>
              <w:spacing w:line="224" w:lineRule="exact"/>
              <w:ind w:left="546" w:right="528"/>
              <w:jc w:val="center"/>
              <w:rPr>
                <w:sz w:val="20"/>
              </w:rPr>
            </w:pPr>
            <w:r>
              <w:rPr>
                <w:color w:val="231F20"/>
                <w:spacing w:val="-2"/>
                <w:sz w:val="20"/>
              </w:rPr>
              <w:t>Total</w:t>
            </w:r>
          </w:p>
        </w:tc>
      </w:tr>
      <w:tr>
        <w:trPr>
          <w:trHeight w:val="418" w:hRule="atLeast"/>
        </w:trPr>
        <w:tc>
          <w:tcPr>
            <w:tcW w:w="2060" w:type="dxa"/>
            <w:tcBorders>
              <w:top w:val="single" w:sz="8" w:space="0" w:color="231F20"/>
            </w:tcBorders>
          </w:tcPr>
          <w:p>
            <w:pPr>
              <w:pStyle w:val="TableParagraph"/>
              <w:spacing w:before="153"/>
              <w:ind w:left="17" w:right="1"/>
              <w:jc w:val="center"/>
              <w:rPr>
                <w:sz w:val="20"/>
              </w:rPr>
            </w:pPr>
            <w:r>
              <w:rPr>
                <w:color w:val="231F20"/>
                <w:spacing w:val="-4"/>
                <w:sz w:val="20"/>
              </w:rPr>
              <w:t>2023</w:t>
            </w:r>
          </w:p>
        </w:tc>
        <w:tc>
          <w:tcPr>
            <w:tcW w:w="188" w:type="dxa"/>
          </w:tcPr>
          <w:p>
            <w:pPr>
              <w:pStyle w:val="TableParagraph"/>
              <w:rPr>
                <w:rFonts w:ascii="Times New Roman"/>
                <w:sz w:val="20"/>
              </w:rPr>
            </w:pPr>
          </w:p>
        </w:tc>
        <w:tc>
          <w:tcPr>
            <w:tcW w:w="1549" w:type="dxa"/>
            <w:tcBorders>
              <w:top w:val="single" w:sz="8" w:space="0" w:color="231F20"/>
            </w:tcBorders>
          </w:tcPr>
          <w:p>
            <w:pPr>
              <w:pStyle w:val="TableParagraph"/>
              <w:tabs>
                <w:tab w:pos="711" w:val="left" w:leader="none"/>
              </w:tabs>
              <w:spacing w:before="153"/>
              <w:ind w:right="105"/>
              <w:jc w:val="right"/>
              <w:rPr>
                <w:sz w:val="20"/>
              </w:rPr>
            </w:pPr>
            <w:r>
              <w:rPr>
                <w:color w:val="231F20"/>
                <w:spacing w:val="-10"/>
                <w:sz w:val="20"/>
              </w:rPr>
              <w:t>$</w:t>
            </w:r>
            <w:r>
              <w:rPr>
                <w:color w:val="231F20"/>
                <w:sz w:val="20"/>
              </w:rPr>
              <w:tab/>
            </w:r>
            <w:r>
              <w:rPr>
                <w:color w:val="231F20"/>
                <w:spacing w:val="-2"/>
                <w:sz w:val="20"/>
              </w:rPr>
              <w:t>85,551</w:t>
            </w:r>
          </w:p>
        </w:tc>
        <w:tc>
          <w:tcPr>
            <w:tcW w:w="188" w:type="dxa"/>
          </w:tcPr>
          <w:p>
            <w:pPr>
              <w:pStyle w:val="TableParagraph"/>
              <w:rPr>
                <w:rFonts w:ascii="Times New Roman"/>
                <w:sz w:val="20"/>
              </w:rPr>
            </w:pPr>
          </w:p>
        </w:tc>
        <w:tc>
          <w:tcPr>
            <w:tcW w:w="1548" w:type="dxa"/>
            <w:tcBorders>
              <w:top w:val="single" w:sz="8" w:space="0" w:color="231F20"/>
            </w:tcBorders>
          </w:tcPr>
          <w:p>
            <w:pPr>
              <w:pStyle w:val="TableParagraph"/>
              <w:tabs>
                <w:tab w:pos="823" w:val="left" w:leader="none"/>
              </w:tabs>
              <w:spacing w:before="153"/>
              <w:ind w:right="103"/>
              <w:jc w:val="right"/>
              <w:rPr>
                <w:sz w:val="20"/>
              </w:rPr>
            </w:pPr>
            <w:r>
              <w:rPr>
                <w:color w:val="231F20"/>
                <w:spacing w:val="-10"/>
                <w:sz w:val="20"/>
              </w:rPr>
              <w:t>$</w:t>
            </w:r>
            <w:r>
              <w:rPr>
                <w:color w:val="231F20"/>
                <w:sz w:val="20"/>
              </w:rPr>
              <w:tab/>
            </w:r>
            <w:r>
              <w:rPr>
                <w:color w:val="231F20"/>
                <w:spacing w:val="-2"/>
                <w:sz w:val="20"/>
              </w:rPr>
              <w:t>8,895</w:t>
            </w:r>
          </w:p>
        </w:tc>
        <w:tc>
          <w:tcPr>
            <w:tcW w:w="189" w:type="dxa"/>
          </w:tcPr>
          <w:p>
            <w:pPr>
              <w:pStyle w:val="TableParagraph"/>
              <w:rPr>
                <w:rFonts w:ascii="Times New Roman"/>
                <w:sz w:val="20"/>
              </w:rPr>
            </w:pPr>
          </w:p>
        </w:tc>
        <w:tc>
          <w:tcPr>
            <w:tcW w:w="1549" w:type="dxa"/>
            <w:tcBorders>
              <w:top w:val="single" w:sz="8" w:space="0" w:color="231F20"/>
            </w:tcBorders>
          </w:tcPr>
          <w:p>
            <w:pPr>
              <w:pStyle w:val="TableParagraph"/>
              <w:tabs>
                <w:tab w:pos="712" w:val="left" w:leader="none"/>
              </w:tabs>
              <w:spacing w:before="153"/>
              <w:ind w:right="103"/>
              <w:jc w:val="right"/>
              <w:rPr>
                <w:sz w:val="20"/>
              </w:rPr>
            </w:pPr>
            <w:r>
              <w:rPr>
                <w:color w:val="231F20"/>
                <w:spacing w:val="-10"/>
                <w:sz w:val="20"/>
              </w:rPr>
              <w:t>$</w:t>
            </w:r>
            <w:r>
              <w:rPr>
                <w:color w:val="231F20"/>
                <w:sz w:val="20"/>
              </w:rPr>
              <w:tab/>
            </w:r>
            <w:r>
              <w:rPr>
                <w:color w:val="231F20"/>
                <w:spacing w:val="-2"/>
                <w:sz w:val="20"/>
              </w:rPr>
              <w:t>94,446</w:t>
            </w:r>
          </w:p>
        </w:tc>
      </w:tr>
      <w:tr>
        <w:trPr>
          <w:trHeight w:val="293" w:hRule="atLeast"/>
        </w:trPr>
        <w:tc>
          <w:tcPr>
            <w:tcW w:w="2060" w:type="dxa"/>
          </w:tcPr>
          <w:p>
            <w:pPr>
              <w:pStyle w:val="TableParagraph"/>
              <w:spacing w:before="29"/>
              <w:ind w:left="17" w:right="1"/>
              <w:jc w:val="center"/>
              <w:rPr>
                <w:sz w:val="20"/>
              </w:rPr>
            </w:pPr>
            <w:r>
              <w:rPr>
                <w:color w:val="231F20"/>
                <w:spacing w:val="-4"/>
                <w:sz w:val="20"/>
              </w:rPr>
              <w:t>2024</w:t>
            </w:r>
          </w:p>
        </w:tc>
        <w:tc>
          <w:tcPr>
            <w:tcW w:w="188" w:type="dxa"/>
          </w:tcPr>
          <w:p>
            <w:pPr>
              <w:pStyle w:val="TableParagraph"/>
              <w:rPr>
                <w:rFonts w:ascii="Times New Roman"/>
                <w:sz w:val="20"/>
              </w:rPr>
            </w:pPr>
          </w:p>
        </w:tc>
        <w:tc>
          <w:tcPr>
            <w:tcW w:w="1549" w:type="dxa"/>
          </w:tcPr>
          <w:p>
            <w:pPr>
              <w:pStyle w:val="TableParagraph"/>
              <w:spacing w:before="29"/>
              <w:ind w:right="105"/>
              <w:jc w:val="right"/>
              <w:rPr>
                <w:sz w:val="20"/>
              </w:rPr>
            </w:pPr>
            <w:r>
              <w:rPr>
                <w:color w:val="231F20"/>
                <w:spacing w:val="-2"/>
                <w:sz w:val="20"/>
              </w:rPr>
              <w:t>83,524</w:t>
            </w:r>
          </w:p>
        </w:tc>
        <w:tc>
          <w:tcPr>
            <w:tcW w:w="188" w:type="dxa"/>
          </w:tcPr>
          <w:p>
            <w:pPr>
              <w:pStyle w:val="TableParagraph"/>
              <w:rPr>
                <w:rFonts w:ascii="Times New Roman"/>
                <w:sz w:val="20"/>
              </w:rPr>
            </w:pPr>
          </w:p>
        </w:tc>
        <w:tc>
          <w:tcPr>
            <w:tcW w:w="1548" w:type="dxa"/>
          </w:tcPr>
          <w:p>
            <w:pPr>
              <w:pStyle w:val="TableParagraph"/>
              <w:spacing w:before="29"/>
              <w:ind w:right="103"/>
              <w:jc w:val="right"/>
              <w:rPr>
                <w:sz w:val="20"/>
              </w:rPr>
            </w:pPr>
            <w:r>
              <w:rPr>
                <w:color w:val="231F20"/>
                <w:spacing w:val="-2"/>
                <w:sz w:val="20"/>
              </w:rPr>
              <w:t>6,427</w:t>
            </w:r>
          </w:p>
        </w:tc>
        <w:tc>
          <w:tcPr>
            <w:tcW w:w="189" w:type="dxa"/>
          </w:tcPr>
          <w:p>
            <w:pPr>
              <w:pStyle w:val="TableParagraph"/>
              <w:rPr>
                <w:rFonts w:ascii="Times New Roman"/>
                <w:sz w:val="20"/>
              </w:rPr>
            </w:pPr>
          </w:p>
        </w:tc>
        <w:tc>
          <w:tcPr>
            <w:tcW w:w="1549" w:type="dxa"/>
          </w:tcPr>
          <w:p>
            <w:pPr>
              <w:pStyle w:val="TableParagraph"/>
              <w:spacing w:before="29"/>
              <w:ind w:right="103"/>
              <w:jc w:val="right"/>
              <w:rPr>
                <w:sz w:val="20"/>
              </w:rPr>
            </w:pPr>
            <w:r>
              <w:rPr>
                <w:color w:val="231F20"/>
                <w:spacing w:val="-2"/>
                <w:sz w:val="20"/>
              </w:rPr>
              <w:t>89,951</w:t>
            </w:r>
          </w:p>
        </w:tc>
      </w:tr>
      <w:tr>
        <w:trPr>
          <w:trHeight w:val="294" w:hRule="atLeast"/>
        </w:trPr>
        <w:tc>
          <w:tcPr>
            <w:tcW w:w="2060" w:type="dxa"/>
          </w:tcPr>
          <w:p>
            <w:pPr>
              <w:pStyle w:val="TableParagraph"/>
              <w:spacing w:before="29"/>
              <w:ind w:left="17" w:right="1"/>
              <w:jc w:val="center"/>
              <w:rPr>
                <w:sz w:val="20"/>
              </w:rPr>
            </w:pPr>
            <w:r>
              <w:rPr>
                <w:color w:val="231F20"/>
                <w:spacing w:val="-4"/>
                <w:sz w:val="20"/>
              </w:rPr>
              <w:t>2025</w:t>
            </w:r>
          </w:p>
        </w:tc>
        <w:tc>
          <w:tcPr>
            <w:tcW w:w="188" w:type="dxa"/>
          </w:tcPr>
          <w:p>
            <w:pPr>
              <w:pStyle w:val="TableParagraph"/>
              <w:rPr>
                <w:rFonts w:ascii="Times New Roman"/>
                <w:sz w:val="20"/>
              </w:rPr>
            </w:pPr>
          </w:p>
        </w:tc>
        <w:tc>
          <w:tcPr>
            <w:tcW w:w="1549" w:type="dxa"/>
          </w:tcPr>
          <w:p>
            <w:pPr>
              <w:pStyle w:val="TableParagraph"/>
              <w:spacing w:before="29"/>
              <w:ind w:right="105"/>
              <w:jc w:val="right"/>
              <w:rPr>
                <w:sz w:val="20"/>
              </w:rPr>
            </w:pPr>
            <w:r>
              <w:rPr>
                <w:color w:val="231F20"/>
                <w:spacing w:val="-2"/>
                <w:sz w:val="20"/>
              </w:rPr>
              <w:t>86,082</w:t>
            </w:r>
          </w:p>
        </w:tc>
        <w:tc>
          <w:tcPr>
            <w:tcW w:w="188" w:type="dxa"/>
          </w:tcPr>
          <w:p>
            <w:pPr>
              <w:pStyle w:val="TableParagraph"/>
              <w:rPr>
                <w:rFonts w:ascii="Times New Roman"/>
                <w:sz w:val="20"/>
              </w:rPr>
            </w:pPr>
          </w:p>
        </w:tc>
        <w:tc>
          <w:tcPr>
            <w:tcW w:w="1548" w:type="dxa"/>
          </w:tcPr>
          <w:p>
            <w:pPr>
              <w:pStyle w:val="TableParagraph"/>
              <w:spacing w:before="29"/>
              <w:ind w:right="103"/>
              <w:jc w:val="right"/>
              <w:rPr>
                <w:sz w:val="20"/>
              </w:rPr>
            </w:pPr>
            <w:r>
              <w:rPr>
                <w:color w:val="231F20"/>
                <w:spacing w:val="-2"/>
                <w:sz w:val="20"/>
              </w:rPr>
              <w:t>3,863</w:t>
            </w:r>
          </w:p>
        </w:tc>
        <w:tc>
          <w:tcPr>
            <w:tcW w:w="189" w:type="dxa"/>
          </w:tcPr>
          <w:p>
            <w:pPr>
              <w:pStyle w:val="TableParagraph"/>
              <w:rPr>
                <w:rFonts w:ascii="Times New Roman"/>
                <w:sz w:val="20"/>
              </w:rPr>
            </w:pPr>
          </w:p>
        </w:tc>
        <w:tc>
          <w:tcPr>
            <w:tcW w:w="1549" w:type="dxa"/>
          </w:tcPr>
          <w:p>
            <w:pPr>
              <w:pStyle w:val="TableParagraph"/>
              <w:spacing w:before="29"/>
              <w:ind w:right="103"/>
              <w:jc w:val="right"/>
              <w:rPr>
                <w:sz w:val="20"/>
              </w:rPr>
            </w:pPr>
            <w:r>
              <w:rPr>
                <w:color w:val="231F20"/>
                <w:spacing w:val="-2"/>
                <w:sz w:val="20"/>
              </w:rPr>
              <w:t>89,945</w:t>
            </w:r>
          </w:p>
        </w:tc>
      </w:tr>
      <w:tr>
        <w:trPr>
          <w:trHeight w:val="276" w:hRule="atLeast"/>
        </w:trPr>
        <w:tc>
          <w:tcPr>
            <w:tcW w:w="2060" w:type="dxa"/>
          </w:tcPr>
          <w:p>
            <w:pPr>
              <w:pStyle w:val="TableParagraph"/>
              <w:spacing w:line="228" w:lineRule="exact" w:before="29"/>
              <w:ind w:left="16" w:right="1"/>
              <w:jc w:val="center"/>
              <w:rPr>
                <w:sz w:val="20"/>
              </w:rPr>
            </w:pPr>
            <w:r>
              <w:rPr>
                <w:color w:val="231F20"/>
                <w:spacing w:val="-4"/>
                <w:sz w:val="20"/>
              </w:rPr>
              <w:t>2026</w:t>
            </w:r>
          </w:p>
        </w:tc>
        <w:tc>
          <w:tcPr>
            <w:tcW w:w="188" w:type="dxa"/>
          </w:tcPr>
          <w:p>
            <w:pPr>
              <w:pStyle w:val="TableParagraph"/>
              <w:rPr>
                <w:rFonts w:ascii="Times New Roman"/>
                <w:sz w:val="20"/>
              </w:rPr>
            </w:pPr>
          </w:p>
        </w:tc>
        <w:tc>
          <w:tcPr>
            <w:tcW w:w="1549" w:type="dxa"/>
            <w:tcBorders>
              <w:bottom w:val="single" w:sz="12" w:space="0" w:color="231F20"/>
            </w:tcBorders>
          </w:tcPr>
          <w:p>
            <w:pPr>
              <w:pStyle w:val="TableParagraph"/>
              <w:spacing w:line="228" w:lineRule="exact" w:before="29"/>
              <w:ind w:right="105"/>
              <w:jc w:val="right"/>
              <w:rPr>
                <w:sz w:val="20"/>
              </w:rPr>
            </w:pPr>
            <w:r>
              <w:rPr>
                <w:color w:val="231F20"/>
                <w:spacing w:val="-2"/>
                <w:sz w:val="20"/>
              </w:rPr>
              <w:t>88,700</w:t>
            </w:r>
          </w:p>
        </w:tc>
        <w:tc>
          <w:tcPr>
            <w:tcW w:w="188" w:type="dxa"/>
          </w:tcPr>
          <w:p>
            <w:pPr>
              <w:pStyle w:val="TableParagraph"/>
              <w:rPr>
                <w:rFonts w:ascii="Times New Roman"/>
                <w:sz w:val="20"/>
              </w:rPr>
            </w:pPr>
          </w:p>
        </w:tc>
        <w:tc>
          <w:tcPr>
            <w:tcW w:w="1548" w:type="dxa"/>
            <w:tcBorders>
              <w:bottom w:val="single" w:sz="12" w:space="0" w:color="231F20"/>
            </w:tcBorders>
          </w:tcPr>
          <w:p>
            <w:pPr>
              <w:pStyle w:val="TableParagraph"/>
              <w:spacing w:line="228" w:lineRule="exact" w:before="29"/>
              <w:ind w:right="103"/>
              <w:jc w:val="right"/>
              <w:rPr>
                <w:sz w:val="20"/>
              </w:rPr>
            </w:pPr>
            <w:r>
              <w:rPr>
                <w:color w:val="231F20"/>
                <w:spacing w:val="-2"/>
                <w:sz w:val="20"/>
              </w:rPr>
              <w:t>1,239</w:t>
            </w:r>
          </w:p>
        </w:tc>
        <w:tc>
          <w:tcPr>
            <w:tcW w:w="189" w:type="dxa"/>
          </w:tcPr>
          <w:p>
            <w:pPr>
              <w:pStyle w:val="TableParagraph"/>
              <w:rPr>
                <w:rFonts w:ascii="Times New Roman"/>
                <w:sz w:val="20"/>
              </w:rPr>
            </w:pPr>
          </w:p>
        </w:tc>
        <w:tc>
          <w:tcPr>
            <w:tcW w:w="1549" w:type="dxa"/>
            <w:tcBorders>
              <w:bottom w:val="single" w:sz="12" w:space="0" w:color="231F20"/>
            </w:tcBorders>
          </w:tcPr>
          <w:p>
            <w:pPr>
              <w:pStyle w:val="TableParagraph"/>
              <w:spacing w:line="228" w:lineRule="exact" w:before="29"/>
              <w:ind w:right="104"/>
              <w:jc w:val="right"/>
              <w:rPr>
                <w:sz w:val="20"/>
              </w:rPr>
            </w:pPr>
            <w:r>
              <w:rPr>
                <w:color w:val="231F20"/>
                <w:spacing w:val="-2"/>
                <w:sz w:val="20"/>
              </w:rPr>
              <w:t>89,939</w:t>
            </w:r>
          </w:p>
        </w:tc>
      </w:tr>
      <w:tr>
        <w:trPr>
          <w:trHeight w:val="597" w:hRule="atLeast"/>
        </w:trPr>
        <w:tc>
          <w:tcPr>
            <w:tcW w:w="2060" w:type="dxa"/>
          </w:tcPr>
          <w:p>
            <w:pPr>
              <w:pStyle w:val="TableParagraph"/>
              <w:rPr>
                <w:rFonts w:ascii="Times New Roman"/>
                <w:sz w:val="20"/>
              </w:rPr>
            </w:pPr>
          </w:p>
        </w:tc>
        <w:tc>
          <w:tcPr>
            <w:tcW w:w="188" w:type="dxa"/>
          </w:tcPr>
          <w:p>
            <w:pPr>
              <w:pStyle w:val="TableParagraph"/>
              <w:rPr>
                <w:rFonts w:ascii="Times New Roman"/>
                <w:sz w:val="20"/>
              </w:rPr>
            </w:pPr>
          </w:p>
        </w:tc>
        <w:tc>
          <w:tcPr>
            <w:tcW w:w="1549" w:type="dxa"/>
            <w:tcBorders>
              <w:top w:val="single" w:sz="12" w:space="0" w:color="231F20"/>
              <w:bottom w:val="single" w:sz="8" w:space="0" w:color="231F20"/>
            </w:tcBorders>
          </w:tcPr>
          <w:p>
            <w:pPr>
              <w:pStyle w:val="TableParagraph"/>
              <w:spacing w:before="6"/>
              <w:rPr>
                <w:sz w:val="26"/>
              </w:rPr>
            </w:pPr>
          </w:p>
          <w:p>
            <w:pPr>
              <w:pStyle w:val="TableParagraph"/>
              <w:tabs>
                <w:tab w:pos="598" w:val="left" w:leader="none"/>
              </w:tabs>
              <w:ind w:right="105"/>
              <w:jc w:val="right"/>
              <w:rPr>
                <w:sz w:val="20"/>
              </w:rPr>
            </w:pPr>
            <w:r>
              <w:rPr>
                <w:color w:val="231F20"/>
                <w:spacing w:val="-10"/>
                <w:sz w:val="20"/>
              </w:rPr>
              <w:t>$</w:t>
            </w:r>
            <w:r>
              <w:rPr>
                <w:color w:val="231F20"/>
                <w:sz w:val="20"/>
              </w:rPr>
              <w:tab/>
            </w:r>
            <w:r>
              <w:rPr>
                <w:color w:val="231F20"/>
                <w:spacing w:val="-2"/>
                <w:sz w:val="20"/>
              </w:rPr>
              <w:t>343,857</w:t>
            </w:r>
          </w:p>
        </w:tc>
        <w:tc>
          <w:tcPr>
            <w:tcW w:w="188" w:type="dxa"/>
          </w:tcPr>
          <w:p>
            <w:pPr>
              <w:pStyle w:val="TableParagraph"/>
              <w:rPr>
                <w:rFonts w:ascii="Times New Roman"/>
                <w:sz w:val="20"/>
              </w:rPr>
            </w:pPr>
          </w:p>
        </w:tc>
        <w:tc>
          <w:tcPr>
            <w:tcW w:w="1548" w:type="dxa"/>
            <w:tcBorders>
              <w:top w:val="single" w:sz="12" w:space="0" w:color="231F20"/>
              <w:bottom w:val="single" w:sz="8" w:space="0" w:color="231F20"/>
            </w:tcBorders>
          </w:tcPr>
          <w:p>
            <w:pPr>
              <w:pStyle w:val="TableParagraph"/>
              <w:spacing w:before="6"/>
              <w:rPr>
                <w:sz w:val="26"/>
              </w:rPr>
            </w:pPr>
          </w:p>
          <w:p>
            <w:pPr>
              <w:pStyle w:val="TableParagraph"/>
              <w:tabs>
                <w:tab w:pos="711" w:val="left" w:leader="none"/>
              </w:tabs>
              <w:ind w:right="103"/>
              <w:jc w:val="right"/>
              <w:rPr>
                <w:sz w:val="20"/>
              </w:rPr>
            </w:pPr>
            <w:r>
              <w:rPr>
                <w:color w:val="231F20"/>
                <w:spacing w:val="-10"/>
                <w:sz w:val="20"/>
              </w:rPr>
              <w:t>$</w:t>
            </w:r>
            <w:r>
              <w:rPr>
                <w:color w:val="231F20"/>
                <w:sz w:val="20"/>
              </w:rPr>
              <w:tab/>
            </w:r>
            <w:r>
              <w:rPr>
                <w:color w:val="231F20"/>
                <w:spacing w:val="-2"/>
                <w:sz w:val="20"/>
              </w:rPr>
              <w:t>20,424</w:t>
            </w:r>
          </w:p>
        </w:tc>
        <w:tc>
          <w:tcPr>
            <w:tcW w:w="189" w:type="dxa"/>
          </w:tcPr>
          <w:p>
            <w:pPr>
              <w:pStyle w:val="TableParagraph"/>
              <w:rPr>
                <w:rFonts w:ascii="Times New Roman"/>
                <w:sz w:val="20"/>
              </w:rPr>
            </w:pPr>
          </w:p>
        </w:tc>
        <w:tc>
          <w:tcPr>
            <w:tcW w:w="1549" w:type="dxa"/>
            <w:tcBorders>
              <w:top w:val="single" w:sz="12" w:space="0" w:color="231F20"/>
              <w:bottom w:val="single" w:sz="8" w:space="0" w:color="231F20"/>
            </w:tcBorders>
          </w:tcPr>
          <w:p>
            <w:pPr>
              <w:pStyle w:val="TableParagraph"/>
              <w:spacing w:before="6"/>
              <w:rPr>
                <w:sz w:val="26"/>
              </w:rPr>
            </w:pPr>
          </w:p>
          <w:p>
            <w:pPr>
              <w:pStyle w:val="TableParagraph"/>
              <w:tabs>
                <w:tab w:pos="600" w:val="left" w:leader="none"/>
              </w:tabs>
              <w:ind w:right="104"/>
              <w:jc w:val="right"/>
              <w:rPr>
                <w:sz w:val="20"/>
              </w:rPr>
            </w:pPr>
            <w:r>
              <w:rPr>
                <w:color w:val="231F20"/>
                <w:spacing w:val="-10"/>
                <w:sz w:val="20"/>
              </w:rPr>
              <w:t>$</w:t>
            </w:r>
            <w:r>
              <w:rPr>
                <w:color w:val="231F20"/>
                <w:sz w:val="20"/>
              </w:rPr>
              <w:tab/>
            </w:r>
            <w:r>
              <w:rPr>
                <w:color w:val="231F20"/>
                <w:spacing w:val="-2"/>
                <w:sz w:val="20"/>
              </w:rPr>
              <w:t>364,281</w:t>
            </w:r>
          </w:p>
        </w:tc>
      </w:tr>
    </w:tbl>
    <w:p>
      <w:pPr>
        <w:pStyle w:val="BodyText"/>
        <w:spacing w:before="10"/>
        <w:rPr>
          <w:sz w:val="25"/>
        </w:rPr>
      </w:pPr>
    </w:p>
    <w:p>
      <w:pPr>
        <w:pStyle w:val="Heading4"/>
        <w:spacing w:line="490" w:lineRule="atLeast"/>
        <w:ind w:right="7043" w:hanging="1"/>
      </w:pPr>
      <w:r>
        <w:rPr/>
        <w:pict>
          <v:rect style="position:absolute;margin-left:184.919998pt;margin-top:-17.589117pt;width:77.460pt;height:.95996pt;mso-position-horizontal-relative:page;mso-position-vertical-relative:paragraph;z-index:-28304384" id="docshape407" filled="true" fillcolor="#231f20" stroked="false">
            <v:fill type="solid"/>
            <w10:wrap type="none"/>
          </v:rect>
        </w:pict>
      </w:r>
      <w:r>
        <w:rPr/>
        <w:pict>
          <v:rect style="position:absolute;margin-left:271.800995pt;margin-top:-17.589117pt;width:77.4pt;height:.95996pt;mso-position-horizontal-relative:page;mso-position-vertical-relative:paragraph;z-index:-28303872" id="docshape408" filled="true" fillcolor="#231f20" stroked="false">
            <v:fill type="solid"/>
            <w10:wrap type="none"/>
          </v:rect>
        </w:pict>
      </w:r>
      <w:r>
        <w:rPr/>
        <w:pict>
          <v:rect style="position:absolute;margin-left:358.681pt;margin-top:-17.589117pt;width:77.4pt;height:.95996pt;mso-position-horizontal-relative:page;mso-position-vertical-relative:paragraph;z-index:-28303360" id="docshape409" filled="true" fillcolor="#231f20" stroked="false">
            <v:fill type="solid"/>
            <w10:wrap type="none"/>
          </v:rect>
        </w:pict>
      </w:r>
      <w:r>
        <w:rPr>
          <w:color w:val="231F20"/>
        </w:rPr>
        <w:t>Note</w:t>
      </w:r>
      <w:r>
        <w:rPr>
          <w:color w:val="231F20"/>
          <w:spacing w:val="-10"/>
        </w:rPr>
        <w:t> </w:t>
      </w:r>
      <w:r>
        <w:rPr>
          <w:color w:val="231F20"/>
        </w:rPr>
        <w:t>16</w:t>
      </w:r>
      <w:r>
        <w:rPr>
          <w:color w:val="231F20"/>
          <w:spacing w:val="-10"/>
        </w:rPr>
        <w:t> </w:t>
      </w:r>
      <w:r>
        <w:rPr>
          <w:color w:val="231F20"/>
        </w:rPr>
        <w:t>–</w:t>
      </w:r>
      <w:r>
        <w:rPr>
          <w:color w:val="231F20"/>
          <w:spacing w:val="-10"/>
        </w:rPr>
        <w:t> </w:t>
      </w:r>
      <w:r>
        <w:rPr>
          <w:color w:val="231F20"/>
        </w:rPr>
        <w:t>Subsequent</w:t>
      </w:r>
      <w:r>
        <w:rPr>
          <w:color w:val="231F20"/>
          <w:spacing w:val="-10"/>
        </w:rPr>
        <w:t> </w:t>
      </w:r>
      <w:r>
        <w:rPr>
          <w:color w:val="231F20"/>
        </w:rPr>
        <w:t>Events Employee Benefits</w:t>
      </w:r>
    </w:p>
    <w:p>
      <w:pPr>
        <w:pStyle w:val="BodyText"/>
        <w:spacing w:line="276" w:lineRule="auto" w:before="38"/>
        <w:ind w:left="1440" w:right="1048"/>
      </w:pPr>
      <w:r>
        <w:rPr>
          <w:color w:val="231F20"/>
        </w:rPr>
        <w:t>The</w:t>
      </w:r>
      <w:r>
        <w:rPr>
          <w:color w:val="231F20"/>
          <w:spacing w:val="-4"/>
        </w:rPr>
        <w:t> </w:t>
      </w:r>
      <w:r>
        <w:rPr>
          <w:color w:val="231F20"/>
        </w:rPr>
        <w:t>Employee</w:t>
      </w:r>
      <w:r>
        <w:rPr>
          <w:color w:val="231F20"/>
          <w:spacing w:val="-4"/>
        </w:rPr>
        <w:t> </w:t>
      </w:r>
      <w:r>
        <w:rPr>
          <w:color w:val="231F20"/>
        </w:rPr>
        <w:t>Benefit</w:t>
      </w:r>
      <w:r>
        <w:rPr>
          <w:color w:val="231F20"/>
          <w:spacing w:val="-4"/>
        </w:rPr>
        <w:t> </w:t>
      </w:r>
      <w:r>
        <w:rPr>
          <w:color w:val="231F20"/>
        </w:rPr>
        <w:t>Trust</w:t>
      </w:r>
      <w:r>
        <w:rPr>
          <w:color w:val="231F20"/>
          <w:spacing w:val="-4"/>
        </w:rPr>
        <w:t> </w:t>
      </w:r>
      <w:r>
        <w:rPr>
          <w:color w:val="231F20"/>
        </w:rPr>
        <w:t>Committee</w:t>
      </w:r>
      <w:r>
        <w:rPr>
          <w:color w:val="231F20"/>
          <w:spacing w:val="-4"/>
        </w:rPr>
        <w:t> </w:t>
      </w:r>
      <w:r>
        <w:rPr>
          <w:color w:val="231F20"/>
        </w:rPr>
        <w:t>approved</w:t>
      </w:r>
      <w:r>
        <w:rPr>
          <w:color w:val="231F20"/>
          <w:spacing w:val="-3"/>
        </w:rPr>
        <w:t> </w:t>
      </w:r>
      <w:r>
        <w:rPr>
          <w:color w:val="231F20"/>
        </w:rPr>
        <w:t>to</w:t>
      </w:r>
      <w:r>
        <w:rPr>
          <w:color w:val="231F20"/>
          <w:spacing w:val="-4"/>
        </w:rPr>
        <w:t> </w:t>
      </w:r>
      <w:r>
        <w:rPr>
          <w:color w:val="231F20"/>
        </w:rPr>
        <w:t>move</w:t>
      </w:r>
      <w:r>
        <w:rPr>
          <w:color w:val="231F20"/>
          <w:spacing w:val="-4"/>
        </w:rPr>
        <w:t> </w:t>
      </w:r>
      <w:r>
        <w:rPr>
          <w:color w:val="231F20"/>
        </w:rPr>
        <w:t>the</w:t>
      </w:r>
      <w:r>
        <w:rPr>
          <w:color w:val="231F20"/>
          <w:spacing w:val="-4"/>
        </w:rPr>
        <w:t> </w:t>
      </w:r>
      <w:r>
        <w:rPr>
          <w:color w:val="231F20"/>
        </w:rPr>
        <w:t>employee</w:t>
      </w:r>
      <w:r>
        <w:rPr>
          <w:color w:val="231F20"/>
          <w:spacing w:val="-4"/>
        </w:rPr>
        <w:t> </w:t>
      </w:r>
      <w:r>
        <w:rPr>
          <w:color w:val="231F20"/>
        </w:rPr>
        <w:t>Flexible</w:t>
      </w:r>
      <w:r>
        <w:rPr>
          <w:color w:val="231F20"/>
          <w:spacing w:val="-4"/>
        </w:rPr>
        <w:t> </w:t>
      </w:r>
      <w:r>
        <w:rPr>
          <w:color w:val="231F20"/>
        </w:rPr>
        <w:t>Spending</w:t>
      </w:r>
      <w:r>
        <w:rPr>
          <w:color w:val="231F20"/>
          <w:spacing w:val="-4"/>
        </w:rPr>
        <w:t> </w:t>
      </w:r>
      <w:r>
        <w:rPr>
          <w:color w:val="231F20"/>
        </w:rPr>
        <w:t>Account (FSA) to a third-party provider, during their Board of Trustee meeting held on August 26, 2021. The change will be effective beginning January 2023.</w:t>
      </w:r>
    </w:p>
    <w:p>
      <w:pPr>
        <w:pStyle w:val="BodyText"/>
        <w:rPr>
          <w:sz w:val="23"/>
        </w:rPr>
      </w:pPr>
    </w:p>
    <w:p>
      <w:pPr>
        <w:pStyle w:val="Heading4"/>
        <w:spacing w:line="230" w:lineRule="exact" w:before="1"/>
      </w:pPr>
      <w:r>
        <w:rPr>
          <w:color w:val="231F20"/>
          <w:spacing w:val="-2"/>
        </w:rPr>
        <w:t>Foundation</w:t>
      </w:r>
    </w:p>
    <w:p>
      <w:pPr>
        <w:pStyle w:val="BodyText"/>
        <w:spacing w:line="230" w:lineRule="exact"/>
        <w:ind w:left="1440"/>
      </w:pPr>
      <w:r>
        <w:rPr>
          <w:color w:val="231F20"/>
        </w:rPr>
        <w:t>On</w:t>
      </w:r>
      <w:r>
        <w:rPr>
          <w:color w:val="231F20"/>
          <w:spacing w:val="-7"/>
        </w:rPr>
        <w:t> </w:t>
      </w:r>
      <w:r>
        <w:rPr>
          <w:color w:val="231F20"/>
        </w:rPr>
        <w:t>August</w:t>
      </w:r>
      <w:r>
        <w:rPr>
          <w:color w:val="231F20"/>
          <w:spacing w:val="-5"/>
        </w:rPr>
        <w:t> </w:t>
      </w:r>
      <w:r>
        <w:rPr>
          <w:color w:val="231F20"/>
        </w:rPr>
        <w:t>31,</w:t>
      </w:r>
      <w:r>
        <w:rPr>
          <w:color w:val="231F20"/>
          <w:spacing w:val="-5"/>
        </w:rPr>
        <w:t> </w:t>
      </w:r>
      <w:r>
        <w:rPr>
          <w:color w:val="231F20"/>
        </w:rPr>
        <w:t>2022,</w:t>
      </w:r>
      <w:r>
        <w:rPr>
          <w:color w:val="231F20"/>
          <w:spacing w:val="-5"/>
        </w:rPr>
        <w:t> </w:t>
      </w:r>
      <w:r>
        <w:rPr>
          <w:color w:val="231F20"/>
        </w:rPr>
        <w:t>the</w:t>
      </w:r>
      <w:r>
        <w:rPr>
          <w:color w:val="231F20"/>
          <w:spacing w:val="-5"/>
        </w:rPr>
        <w:t> </w:t>
      </w:r>
      <w:r>
        <w:rPr>
          <w:color w:val="231F20"/>
        </w:rPr>
        <w:t>Foundation</w:t>
      </w:r>
      <w:r>
        <w:rPr>
          <w:color w:val="231F20"/>
          <w:spacing w:val="-5"/>
        </w:rPr>
        <w:t> </w:t>
      </w:r>
      <w:r>
        <w:rPr>
          <w:color w:val="231F20"/>
        </w:rPr>
        <w:t>received</w:t>
      </w:r>
      <w:r>
        <w:rPr>
          <w:color w:val="231F20"/>
          <w:spacing w:val="-5"/>
        </w:rPr>
        <w:t> </w:t>
      </w:r>
      <w:r>
        <w:rPr>
          <w:color w:val="231F20"/>
        </w:rPr>
        <w:t>proceeds</w:t>
      </w:r>
      <w:r>
        <w:rPr>
          <w:color w:val="231F20"/>
          <w:spacing w:val="-5"/>
        </w:rPr>
        <w:t> </w:t>
      </w:r>
      <w:r>
        <w:rPr>
          <w:color w:val="231F20"/>
        </w:rPr>
        <w:t>of</w:t>
      </w:r>
      <w:r>
        <w:rPr>
          <w:color w:val="231F20"/>
          <w:spacing w:val="-4"/>
        </w:rPr>
        <w:t> </w:t>
      </w:r>
      <w:r>
        <w:rPr>
          <w:color w:val="231F20"/>
        </w:rPr>
        <w:t>approximately</w:t>
      </w:r>
      <w:r>
        <w:rPr>
          <w:color w:val="231F20"/>
          <w:spacing w:val="-5"/>
        </w:rPr>
        <w:t> </w:t>
      </w:r>
      <w:r>
        <w:rPr>
          <w:color w:val="231F20"/>
        </w:rPr>
        <w:t>$5.6</w:t>
      </w:r>
      <w:r>
        <w:rPr>
          <w:color w:val="231F20"/>
          <w:spacing w:val="-6"/>
        </w:rPr>
        <w:t> </w:t>
      </w:r>
      <w:r>
        <w:rPr>
          <w:color w:val="231F20"/>
        </w:rPr>
        <w:t>million</w:t>
      </w:r>
      <w:r>
        <w:rPr>
          <w:color w:val="231F20"/>
          <w:spacing w:val="-5"/>
        </w:rPr>
        <w:t> </w:t>
      </w:r>
      <w:r>
        <w:rPr>
          <w:color w:val="231F20"/>
        </w:rPr>
        <w:t>from</w:t>
      </w:r>
      <w:r>
        <w:rPr>
          <w:color w:val="231F20"/>
          <w:spacing w:val="-5"/>
        </w:rPr>
        <w:t> </w:t>
      </w:r>
      <w:r>
        <w:rPr>
          <w:color w:val="231F20"/>
        </w:rPr>
        <w:t>a</w:t>
      </w:r>
      <w:r>
        <w:rPr>
          <w:color w:val="231F20"/>
          <w:spacing w:val="-6"/>
        </w:rPr>
        <w:t> </w:t>
      </w:r>
      <w:r>
        <w:rPr>
          <w:color w:val="231F20"/>
        </w:rPr>
        <w:t>donor.</w:t>
      </w:r>
      <w:r>
        <w:rPr>
          <w:color w:val="231F20"/>
          <w:spacing w:val="-5"/>
        </w:rPr>
        <w:t> </w:t>
      </w:r>
      <w:r>
        <w:rPr>
          <w:color w:val="231F20"/>
        </w:rPr>
        <w:t>Of</w:t>
      </w:r>
      <w:r>
        <w:rPr>
          <w:color w:val="231F20"/>
          <w:spacing w:val="-4"/>
        </w:rPr>
        <w:t> </w:t>
      </w:r>
      <w:r>
        <w:rPr>
          <w:color w:val="231F20"/>
          <w:spacing w:val="-5"/>
        </w:rPr>
        <w:t>the</w:t>
      </w:r>
    </w:p>
    <w:p>
      <w:pPr>
        <w:pStyle w:val="BodyText"/>
        <w:spacing w:line="276" w:lineRule="auto" w:before="35"/>
        <w:ind w:left="1440" w:right="1505"/>
      </w:pPr>
      <w:r>
        <w:rPr>
          <w:color w:val="231F20"/>
        </w:rPr>
        <w:t>$5.6</w:t>
      </w:r>
      <w:r>
        <w:rPr>
          <w:color w:val="231F20"/>
          <w:spacing w:val="-3"/>
        </w:rPr>
        <w:t> </w:t>
      </w:r>
      <w:r>
        <w:rPr>
          <w:color w:val="231F20"/>
        </w:rPr>
        <w:t>million,</w:t>
      </w:r>
      <w:r>
        <w:rPr>
          <w:color w:val="231F20"/>
          <w:spacing w:val="-3"/>
        </w:rPr>
        <w:t> </w:t>
      </w:r>
      <w:r>
        <w:rPr>
          <w:color w:val="231F20"/>
        </w:rPr>
        <w:t>the</w:t>
      </w:r>
      <w:r>
        <w:rPr>
          <w:color w:val="231F20"/>
          <w:spacing w:val="-3"/>
        </w:rPr>
        <w:t> </w:t>
      </w:r>
      <w:r>
        <w:rPr>
          <w:color w:val="231F20"/>
        </w:rPr>
        <w:t>donor</w:t>
      </w:r>
      <w:r>
        <w:rPr>
          <w:color w:val="231F20"/>
          <w:spacing w:val="-3"/>
        </w:rPr>
        <w:t> </w:t>
      </w:r>
      <w:r>
        <w:rPr>
          <w:color w:val="231F20"/>
        </w:rPr>
        <w:t>had</w:t>
      </w:r>
      <w:r>
        <w:rPr>
          <w:color w:val="231F20"/>
          <w:spacing w:val="-4"/>
        </w:rPr>
        <w:t> </w:t>
      </w:r>
      <w:r>
        <w:rPr>
          <w:color w:val="231F20"/>
        </w:rPr>
        <w:t>an</w:t>
      </w:r>
      <w:r>
        <w:rPr>
          <w:color w:val="231F20"/>
          <w:spacing w:val="-3"/>
        </w:rPr>
        <w:t> </w:t>
      </w:r>
      <w:r>
        <w:rPr>
          <w:color w:val="231F20"/>
        </w:rPr>
        <w:t>outstanding</w:t>
      </w:r>
      <w:r>
        <w:rPr>
          <w:color w:val="231F20"/>
          <w:spacing w:val="-3"/>
        </w:rPr>
        <w:t> </w:t>
      </w:r>
      <w:r>
        <w:rPr>
          <w:color w:val="231F20"/>
        </w:rPr>
        <w:t>pledge</w:t>
      </w:r>
      <w:r>
        <w:rPr>
          <w:color w:val="231F20"/>
          <w:spacing w:val="-3"/>
        </w:rPr>
        <w:t> </w:t>
      </w:r>
      <w:r>
        <w:rPr>
          <w:color w:val="231F20"/>
        </w:rPr>
        <w:t>receivable</w:t>
      </w:r>
      <w:r>
        <w:rPr>
          <w:color w:val="231F20"/>
          <w:spacing w:val="-3"/>
        </w:rPr>
        <w:t> </w:t>
      </w:r>
      <w:r>
        <w:rPr>
          <w:color w:val="231F20"/>
        </w:rPr>
        <w:t>of</w:t>
      </w:r>
      <w:r>
        <w:rPr>
          <w:color w:val="231F20"/>
          <w:spacing w:val="-3"/>
        </w:rPr>
        <w:t> </w:t>
      </w:r>
      <w:r>
        <w:rPr>
          <w:color w:val="231F20"/>
        </w:rPr>
        <w:t>$3</w:t>
      </w:r>
      <w:r>
        <w:rPr>
          <w:color w:val="231F20"/>
          <w:spacing w:val="-4"/>
        </w:rPr>
        <w:t> </w:t>
      </w:r>
      <w:r>
        <w:rPr>
          <w:color w:val="231F20"/>
        </w:rPr>
        <w:t>million</w:t>
      </w:r>
      <w:r>
        <w:rPr>
          <w:color w:val="231F20"/>
          <w:spacing w:val="-3"/>
        </w:rPr>
        <w:t> </w:t>
      </w:r>
      <w:r>
        <w:rPr>
          <w:color w:val="231F20"/>
        </w:rPr>
        <w:t>at</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2022.</w:t>
      </w:r>
      <w:r>
        <w:rPr>
          <w:color w:val="231F20"/>
          <w:spacing w:val="-3"/>
        </w:rPr>
        <w:t> </w:t>
      </w:r>
      <w:r>
        <w:rPr>
          <w:color w:val="231F20"/>
        </w:rPr>
        <w:t>The Foundation is awaiting instruction from the donor regarding the purpose of the remaining funds.</w:t>
      </w:r>
    </w:p>
    <w:p>
      <w:pPr>
        <w:spacing w:after="0" w:line="276" w:lineRule="auto"/>
        <w:sectPr>
          <w:pgSz w:w="12240" w:h="15840"/>
          <w:pgMar w:header="1282" w:footer="1097" w:top="1900" w:bottom="1280" w:left="0" w:right="58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6"/>
        </w:rPr>
      </w:pPr>
    </w:p>
    <w:p>
      <w:pPr>
        <w:pStyle w:val="Heading1"/>
      </w:pPr>
      <w:r>
        <w:rPr/>
        <w:pict>
          <v:rect style="position:absolute;margin-left:70.5pt;margin-top:23.298695pt;width:471.001pt;height:1.5pt;mso-position-horizontal-relative:page;mso-position-vertical-relative:paragraph;z-index:-15646720;mso-wrap-distance-left:0;mso-wrap-distance-right:0" id="docshape410" filled="true" fillcolor="#231f20" stroked="false">
            <v:fill type="solid"/>
            <w10:wrap type="topAndBottom"/>
          </v:rect>
        </w:pict>
      </w:r>
      <w:r>
        <w:rPr>
          <w:color w:val="231F20"/>
        </w:rPr>
        <w:t>Required</w:t>
      </w:r>
      <w:r>
        <w:rPr>
          <w:color w:val="231F20"/>
          <w:spacing w:val="-11"/>
        </w:rPr>
        <w:t> </w:t>
      </w:r>
      <w:r>
        <w:rPr>
          <w:color w:val="231F20"/>
        </w:rPr>
        <w:t>Supplementary</w:t>
      </w:r>
      <w:r>
        <w:rPr>
          <w:color w:val="231F20"/>
          <w:spacing w:val="-10"/>
        </w:rPr>
        <w:t> </w:t>
      </w:r>
      <w:r>
        <w:rPr>
          <w:color w:val="231F20"/>
          <w:spacing w:val="-2"/>
        </w:rPr>
        <w:t>Information</w:t>
      </w:r>
    </w:p>
    <w:p>
      <w:pPr>
        <w:spacing w:after="0"/>
        <w:sectPr>
          <w:headerReference w:type="default" r:id="rId48"/>
          <w:footerReference w:type="default" r:id="rId49"/>
          <w:pgSz w:w="12240" w:h="15840"/>
          <w:pgMar w:header="0" w:footer="0" w:top="1820" w:bottom="280" w:left="0" w:right="580"/>
        </w:sectPr>
      </w:pPr>
    </w:p>
    <w:p>
      <w:pPr>
        <w:pStyle w:val="Heading3"/>
        <w:ind w:left="3880" w:right="3871"/>
      </w:pPr>
      <w:r>
        <w:rPr>
          <w:color w:val="231F20"/>
        </w:rPr>
        <w:t>Schedule</w:t>
      </w:r>
      <w:r>
        <w:rPr>
          <w:color w:val="231F20"/>
          <w:spacing w:val="-4"/>
        </w:rPr>
        <w:t> </w:t>
      </w:r>
      <w:r>
        <w:rPr>
          <w:color w:val="231F20"/>
        </w:rPr>
        <w:t>of</w:t>
      </w:r>
      <w:r>
        <w:rPr>
          <w:color w:val="231F20"/>
          <w:spacing w:val="-4"/>
        </w:rPr>
        <w:t> </w:t>
      </w:r>
      <w:r>
        <w:rPr>
          <w:color w:val="231F20"/>
        </w:rPr>
        <w:t>Proportionate</w:t>
      </w:r>
      <w:r>
        <w:rPr>
          <w:color w:val="231F20"/>
          <w:spacing w:val="-4"/>
        </w:rPr>
        <w:t> </w:t>
      </w:r>
      <w:r>
        <w:rPr>
          <w:color w:val="231F20"/>
        </w:rPr>
        <w:t>Share</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rPr>
        <w:t>Net</w:t>
      </w:r>
      <w:r>
        <w:rPr>
          <w:color w:val="231F20"/>
          <w:spacing w:val="-4"/>
        </w:rPr>
        <w:t> </w:t>
      </w:r>
      <w:r>
        <w:rPr>
          <w:color w:val="231F20"/>
        </w:rPr>
        <w:t>Pension</w:t>
      </w:r>
      <w:r>
        <w:rPr>
          <w:color w:val="231F20"/>
          <w:spacing w:val="-4"/>
        </w:rPr>
        <w:t> </w:t>
      </w:r>
      <w:r>
        <w:rPr>
          <w:color w:val="231F20"/>
        </w:rPr>
        <w:t>Liability Educational Retirement Board (ERB) Pension Plan</w:t>
      </w:r>
    </w:p>
    <w:p>
      <w:pPr>
        <w:spacing w:before="0"/>
        <w:ind w:left="3871" w:right="3871" w:firstLine="0"/>
        <w:jc w:val="center"/>
        <w:rPr>
          <w:b/>
          <w:sz w:val="24"/>
        </w:rPr>
      </w:pPr>
      <w:r>
        <w:rPr/>
        <w:pict>
          <v:rect style="position:absolute;margin-left:34.499001pt;margin-top:14.675767pt;width:723.001pt;height:1.5pt;mso-position-horizontal-relative:page;mso-position-vertical-relative:paragraph;z-index:-15646208;mso-wrap-distance-left:0;mso-wrap-distance-right:0" id="docshape414" filled="true" fillcolor="#231f20" stroked="false">
            <v:fill type="solid"/>
            <w10:wrap type="topAndBottom"/>
          </v:rect>
        </w:pict>
      </w:r>
      <w:r>
        <w:rPr/>
        <w:pict>
          <v:shape style="position:absolute;margin-left:135.084518pt;margin-top:43.9664pt;width:613.15pt;height:19.7pt;mso-position-horizontal-relative:page;mso-position-vertical-relative:paragraph;z-index:15811584" type="#_x0000_t202" id="docshape41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3"/>
                    <w:gridCol w:w="1125"/>
                    <w:gridCol w:w="1308"/>
                    <w:gridCol w:w="1308"/>
                    <w:gridCol w:w="1308"/>
                    <w:gridCol w:w="1307"/>
                    <w:gridCol w:w="1308"/>
                    <w:gridCol w:w="1314"/>
                    <w:gridCol w:w="1073"/>
                  </w:tblGrid>
                  <w:tr>
                    <w:trPr>
                      <w:trHeight w:val="182" w:hRule="atLeast"/>
                    </w:trPr>
                    <w:tc>
                      <w:tcPr>
                        <w:tcW w:w="2213" w:type="dxa"/>
                      </w:tcPr>
                      <w:p>
                        <w:pPr>
                          <w:pStyle w:val="TableParagraph"/>
                          <w:ind w:right="306"/>
                          <w:jc w:val="right"/>
                          <w:rPr>
                            <w:sz w:val="14"/>
                          </w:rPr>
                        </w:pPr>
                        <w:r>
                          <w:rPr>
                            <w:color w:val="231F20"/>
                            <w:w w:val="105"/>
                            <w:sz w:val="14"/>
                          </w:rPr>
                          <w:t>Fiscal</w:t>
                        </w:r>
                        <w:r>
                          <w:rPr>
                            <w:color w:val="231F20"/>
                            <w:spacing w:val="-9"/>
                            <w:w w:val="105"/>
                            <w:sz w:val="14"/>
                          </w:rPr>
                          <w:t> </w:t>
                        </w:r>
                        <w:r>
                          <w:rPr>
                            <w:color w:val="231F20"/>
                            <w:w w:val="105"/>
                            <w:sz w:val="14"/>
                          </w:rPr>
                          <w:t>Year-June</w:t>
                        </w:r>
                        <w:r>
                          <w:rPr>
                            <w:color w:val="231F20"/>
                            <w:spacing w:val="-6"/>
                            <w:w w:val="105"/>
                            <w:sz w:val="14"/>
                          </w:rPr>
                          <w:t> </w:t>
                        </w:r>
                        <w:r>
                          <w:rPr>
                            <w:color w:val="231F20"/>
                            <w:spacing w:val="-5"/>
                            <w:w w:val="105"/>
                            <w:sz w:val="14"/>
                          </w:rPr>
                          <w:t>30,</w:t>
                        </w:r>
                      </w:p>
                    </w:tc>
                    <w:tc>
                      <w:tcPr>
                        <w:tcW w:w="1125" w:type="dxa"/>
                      </w:tcPr>
                      <w:p>
                        <w:pPr>
                          <w:pStyle w:val="TableParagraph"/>
                          <w:ind w:left="308"/>
                          <w:rPr>
                            <w:sz w:val="14"/>
                          </w:rPr>
                        </w:pPr>
                        <w:r>
                          <w:rPr>
                            <w:color w:val="231F20"/>
                            <w:spacing w:val="-4"/>
                            <w:w w:val="105"/>
                            <w:sz w:val="14"/>
                          </w:rPr>
                          <w:t>2022</w:t>
                        </w:r>
                      </w:p>
                    </w:tc>
                    <w:tc>
                      <w:tcPr>
                        <w:tcW w:w="1308" w:type="dxa"/>
                      </w:tcPr>
                      <w:p>
                        <w:pPr>
                          <w:pStyle w:val="TableParagraph"/>
                          <w:ind w:right="489"/>
                          <w:jc w:val="right"/>
                          <w:rPr>
                            <w:sz w:val="14"/>
                          </w:rPr>
                        </w:pPr>
                        <w:r>
                          <w:rPr>
                            <w:color w:val="231F20"/>
                            <w:spacing w:val="-4"/>
                            <w:w w:val="105"/>
                            <w:sz w:val="14"/>
                          </w:rPr>
                          <w:t>2021</w:t>
                        </w:r>
                      </w:p>
                    </w:tc>
                    <w:tc>
                      <w:tcPr>
                        <w:tcW w:w="1308" w:type="dxa"/>
                      </w:tcPr>
                      <w:p>
                        <w:pPr>
                          <w:pStyle w:val="TableParagraph"/>
                          <w:ind w:left="477" w:right="478"/>
                          <w:jc w:val="center"/>
                          <w:rPr>
                            <w:sz w:val="14"/>
                          </w:rPr>
                        </w:pPr>
                        <w:r>
                          <w:rPr>
                            <w:color w:val="231F20"/>
                            <w:spacing w:val="-4"/>
                            <w:w w:val="105"/>
                            <w:sz w:val="14"/>
                          </w:rPr>
                          <w:t>2020</w:t>
                        </w:r>
                      </w:p>
                    </w:tc>
                    <w:tc>
                      <w:tcPr>
                        <w:tcW w:w="1308" w:type="dxa"/>
                      </w:tcPr>
                      <w:p>
                        <w:pPr>
                          <w:pStyle w:val="TableParagraph"/>
                          <w:ind w:left="489"/>
                          <w:rPr>
                            <w:sz w:val="14"/>
                          </w:rPr>
                        </w:pPr>
                        <w:r>
                          <w:rPr>
                            <w:color w:val="231F20"/>
                            <w:spacing w:val="-4"/>
                            <w:w w:val="105"/>
                            <w:sz w:val="14"/>
                          </w:rPr>
                          <w:t>2019</w:t>
                        </w:r>
                      </w:p>
                    </w:tc>
                    <w:tc>
                      <w:tcPr>
                        <w:tcW w:w="1307" w:type="dxa"/>
                      </w:tcPr>
                      <w:p>
                        <w:pPr>
                          <w:pStyle w:val="TableParagraph"/>
                          <w:ind w:left="477" w:right="477"/>
                          <w:jc w:val="center"/>
                          <w:rPr>
                            <w:sz w:val="14"/>
                          </w:rPr>
                        </w:pPr>
                        <w:r>
                          <w:rPr>
                            <w:color w:val="231F20"/>
                            <w:spacing w:val="-4"/>
                            <w:w w:val="105"/>
                            <w:sz w:val="14"/>
                          </w:rPr>
                          <w:t>2018</w:t>
                        </w:r>
                      </w:p>
                    </w:tc>
                    <w:tc>
                      <w:tcPr>
                        <w:tcW w:w="1308" w:type="dxa"/>
                      </w:tcPr>
                      <w:p>
                        <w:pPr>
                          <w:pStyle w:val="TableParagraph"/>
                          <w:ind w:left="478" w:right="478"/>
                          <w:jc w:val="center"/>
                          <w:rPr>
                            <w:sz w:val="14"/>
                          </w:rPr>
                        </w:pPr>
                        <w:r>
                          <w:rPr>
                            <w:color w:val="231F20"/>
                            <w:spacing w:val="-4"/>
                            <w:w w:val="105"/>
                            <w:sz w:val="14"/>
                          </w:rPr>
                          <w:t>2017</w:t>
                        </w:r>
                      </w:p>
                    </w:tc>
                    <w:tc>
                      <w:tcPr>
                        <w:tcW w:w="1314" w:type="dxa"/>
                      </w:tcPr>
                      <w:p>
                        <w:pPr>
                          <w:pStyle w:val="TableParagraph"/>
                          <w:ind w:left="490"/>
                          <w:rPr>
                            <w:sz w:val="14"/>
                          </w:rPr>
                        </w:pPr>
                        <w:r>
                          <w:rPr>
                            <w:color w:val="231F20"/>
                            <w:spacing w:val="-4"/>
                            <w:w w:val="105"/>
                            <w:sz w:val="14"/>
                          </w:rPr>
                          <w:t>2016</w:t>
                        </w:r>
                      </w:p>
                    </w:tc>
                    <w:tc>
                      <w:tcPr>
                        <w:tcW w:w="1073" w:type="dxa"/>
                      </w:tcPr>
                      <w:p>
                        <w:pPr>
                          <w:pStyle w:val="TableParagraph"/>
                          <w:ind w:right="248"/>
                          <w:jc w:val="right"/>
                          <w:rPr>
                            <w:sz w:val="14"/>
                          </w:rPr>
                        </w:pPr>
                        <w:r>
                          <w:rPr>
                            <w:color w:val="231F20"/>
                            <w:spacing w:val="-4"/>
                            <w:w w:val="105"/>
                            <w:sz w:val="14"/>
                          </w:rPr>
                          <w:t>2015</w:t>
                        </w:r>
                      </w:p>
                    </w:tc>
                  </w:tr>
                  <w:tr>
                    <w:trPr>
                      <w:trHeight w:val="212" w:hRule="atLeast"/>
                    </w:trPr>
                    <w:tc>
                      <w:tcPr>
                        <w:tcW w:w="2213" w:type="dxa"/>
                      </w:tcPr>
                      <w:p>
                        <w:pPr>
                          <w:pStyle w:val="TableParagraph"/>
                          <w:spacing w:before="20"/>
                          <w:ind w:right="306"/>
                          <w:jc w:val="right"/>
                          <w:rPr>
                            <w:sz w:val="14"/>
                          </w:rPr>
                        </w:pPr>
                        <w:r>
                          <w:rPr>
                            <w:color w:val="231F20"/>
                            <w:w w:val="105"/>
                            <w:sz w:val="14"/>
                          </w:rPr>
                          <w:t>Measurement</w:t>
                        </w:r>
                        <w:r>
                          <w:rPr>
                            <w:color w:val="231F20"/>
                            <w:spacing w:val="-10"/>
                            <w:w w:val="105"/>
                            <w:sz w:val="14"/>
                          </w:rPr>
                          <w:t> </w:t>
                        </w:r>
                        <w:r>
                          <w:rPr>
                            <w:color w:val="231F20"/>
                            <w:w w:val="105"/>
                            <w:sz w:val="14"/>
                          </w:rPr>
                          <w:t>Date-June</w:t>
                        </w:r>
                        <w:r>
                          <w:rPr>
                            <w:color w:val="231F20"/>
                            <w:spacing w:val="-9"/>
                            <w:w w:val="105"/>
                            <w:sz w:val="14"/>
                          </w:rPr>
                          <w:t> </w:t>
                        </w:r>
                        <w:r>
                          <w:rPr>
                            <w:color w:val="231F20"/>
                            <w:spacing w:val="-5"/>
                            <w:w w:val="105"/>
                            <w:sz w:val="14"/>
                          </w:rPr>
                          <w:t>30,</w:t>
                        </w:r>
                      </w:p>
                    </w:tc>
                    <w:tc>
                      <w:tcPr>
                        <w:tcW w:w="1125" w:type="dxa"/>
                      </w:tcPr>
                      <w:p>
                        <w:pPr>
                          <w:pStyle w:val="TableParagraph"/>
                          <w:spacing w:before="20"/>
                          <w:ind w:left="308"/>
                          <w:rPr>
                            <w:sz w:val="14"/>
                          </w:rPr>
                        </w:pPr>
                        <w:r>
                          <w:rPr>
                            <w:color w:val="231F20"/>
                            <w:spacing w:val="-4"/>
                            <w:w w:val="105"/>
                            <w:sz w:val="14"/>
                          </w:rPr>
                          <w:t>2021</w:t>
                        </w:r>
                      </w:p>
                    </w:tc>
                    <w:tc>
                      <w:tcPr>
                        <w:tcW w:w="1308" w:type="dxa"/>
                      </w:tcPr>
                      <w:p>
                        <w:pPr>
                          <w:pStyle w:val="TableParagraph"/>
                          <w:spacing w:before="20"/>
                          <w:ind w:right="490"/>
                          <w:jc w:val="right"/>
                          <w:rPr>
                            <w:sz w:val="14"/>
                          </w:rPr>
                        </w:pPr>
                        <w:r>
                          <w:rPr>
                            <w:color w:val="231F20"/>
                            <w:spacing w:val="-4"/>
                            <w:w w:val="105"/>
                            <w:sz w:val="14"/>
                          </w:rPr>
                          <w:t>2020</w:t>
                        </w:r>
                      </w:p>
                    </w:tc>
                    <w:tc>
                      <w:tcPr>
                        <w:tcW w:w="1308" w:type="dxa"/>
                      </w:tcPr>
                      <w:p>
                        <w:pPr>
                          <w:pStyle w:val="TableParagraph"/>
                          <w:spacing w:before="20"/>
                          <w:ind w:left="478" w:right="478"/>
                          <w:jc w:val="center"/>
                          <w:rPr>
                            <w:sz w:val="14"/>
                          </w:rPr>
                        </w:pPr>
                        <w:r>
                          <w:rPr>
                            <w:color w:val="231F20"/>
                            <w:spacing w:val="-4"/>
                            <w:w w:val="105"/>
                            <w:sz w:val="14"/>
                          </w:rPr>
                          <w:t>2019</w:t>
                        </w:r>
                      </w:p>
                    </w:tc>
                    <w:tc>
                      <w:tcPr>
                        <w:tcW w:w="1308" w:type="dxa"/>
                      </w:tcPr>
                      <w:p>
                        <w:pPr>
                          <w:pStyle w:val="TableParagraph"/>
                          <w:spacing w:before="20"/>
                          <w:ind w:left="489"/>
                          <w:rPr>
                            <w:sz w:val="14"/>
                          </w:rPr>
                        </w:pPr>
                        <w:r>
                          <w:rPr>
                            <w:color w:val="231F20"/>
                            <w:spacing w:val="-4"/>
                            <w:w w:val="105"/>
                            <w:sz w:val="14"/>
                          </w:rPr>
                          <w:t>2018</w:t>
                        </w:r>
                      </w:p>
                    </w:tc>
                    <w:tc>
                      <w:tcPr>
                        <w:tcW w:w="1307" w:type="dxa"/>
                      </w:tcPr>
                      <w:p>
                        <w:pPr>
                          <w:pStyle w:val="TableParagraph"/>
                          <w:spacing w:before="20"/>
                          <w:ind w:left="477" w:right="478"/>
                          <w:jc w:val="center"/>
                          <w:rPr>
                            <w:sz w:val="14"/>
                          </w:rPr>
                        </w:pPr>
                        <w:r>
                          <w:rPr>
                            <w:color w:val="231F20"/>
                            <w:spacing w:val="-4"/>
                            <w:w w:val="105"/>
                            <w:sz w:val="14"/>
                          </w:rPr>
                          <w:t>2017</w:t>
                        </w:r>
                      </w:p>
                    </w:tc>
                    <w:tc>
                      <w:tcPr>
                        <w:tcW w:w="1308" w:type="dxa"/>
                      </w:tcPr>
                      <w:p>
                        <w:pPr>
                          <w:pStyle w:val="TableParagraph"/>
                          <w:spacing w:before="20"/>
                          <w:ind w:left="477" w:right="478"/>
                          <w:jc w:val="center"/>
                          <w:rPr>
                            <w:sz w:val="14"/>
                          </w:rPr>
                        </w:pPr>
                        <w:r>
                          <w:rPr>
                            <w:color w:val="231F20"/>
                            <w:spacing w:val="-4"/>
                            <w:w w:val="105"/>
                            <w:sz w:val="14"/>
                          </w:rPr>
                          <w:t>2016</w:t>
                        </w:r>
                      </w:p>
                    </w:tc>
                    <w:tc>
                      <w:tcPr>
                        <w:tcW w:w="1314" w:type="dxa"/>
                      </w:tcPr>
                      <w:p>
                        <w:pPr>
                          <w:pStyle w:val="TableParagraph"/>
                          <w:spacing w:before="20"/>
                          <w:ind w:left="489"/>
                          <w:rPr>
                            <w:sz w:val="14"/>
                          </w:rPr>
                        </w:pPr>
                        <w:r>
                          <w:rPr>
                            <w:color w:val="231F20"/>
                            <w:spacing w:val="-4"/>
                            <w:w w:val="105"/>
                            <w:sz w:val="14"/>
                          </w:rPr>
                          <w:t>2015</w:t>
                        </w:r>
                      </w:p>
                    </w:tc>
                    <w:tc>
                      <w:tcPr>
                        <w:tcW w:w="1073" w:type="dxa"/>
                      </w:tcPr>
                      <w:p>
                        <w:pPr>
                          <w:pStyle w:val="TableParagraph"/>
                          <w:spacing w:before="20"/>
                          <w:ind w:right="249"/>
                          <w:jc w:val="right"/>
                          <w:rPr>
                            <w:sz w:val="14"/>
                          </w:rPr>
                        </w:pPr>
                        <w:r>
                          <w:rPr>
                            <w:color w:val="231F20"/>
                            <w:spacing w:val="-4"/>
                            <w:w w:val="105"/>
                            <w:sz w:val="14"/>
                          </w:rPr>
                          <w:t>2014</w:t>
                        </w:r>
                      </w:p>
                    </w:tc>
                  </w:tr>
                </w:tbl>
                <w:p>
                  <w:pPr>
                    <w:pStyle w:val="BodyText"/>
                  </w:pPr>
                </w:p>
              </w:txbxContent>
            </v:textbox>
            <w10:wrap type="none"/>
          </v:shape>
        </w:pict>
      </w:r>
      <w:r>
        <w:rPr>
          <w:b/>
          <w:color w:val="231F20"/>
          <w:sz w:val="24"/>
        </w:rPr>
        <w:t>June</w:t>
      </w:r>
      <w:r>
        <w:rPr>
          <w:b/>
          <w:color w:val="231F20"/>
          <w:spacing w:val="-3"/>
          <w:sz w:val="24"/>
        </w:rPr>
        <w:t> </w:t>
      </w:r>
      <w:r>
        <w:rPr>
          <w:b/>
          <w:color w:val="231F20"/>
          <w:sz w:val="24"/>
        </w:rPr>
        <w:t>30,</w:t>
      </w:r>
      <w:r>
        <w:rPr>
          <w:b/>
          <w:color w:val="231F20"/>
          <w:spacing w:val="-2"/>
          <w:sz w:val="24"/>
        </w:rPr>
        <w:t> </w:t>
      </w:r>
      <w:r>
        <w:rPr>
          <w:b/>
          <w:color w:val="231F20"/>
          <w:spacing w:val="-4"/>
          <w:sz w:val="24"/>
        </w:rPr>
        <w:t>2022</w:t>
      </w:r>
    </w:p>
    <w:p>
      <w:pPr>
        <w:pStyle w:val="BodyText"/>
        <w:rPr>
          <w:b/>
        </w:rPr>
      </w:pPr>
    </w:p>
    <w:p>
      <w:pPr>
        <w:pStyle w:val="BodyText"/>
        <w:rPr>
          <w:b/>
        </w:rPr>
      </w:pPr>
    </w:p>
    <w:p>
      <w:pPr>
        <w:pStyle w:val="BodyText"/>
        <w:rPr>
          <w:b/>
        </w:rPr>
      </w:pPr>
    </w:p>
    <w:p>
      <w:pPr>
        <w:pStyle w:val="BodyText"/>
        <w:spacing w:before="9"/>
        <w:rPr>
          <w:b/>
          <w:sz w:val="21"/>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1"/>
        <w:gridCol w:w="1136"/>
        <w:gridCol w:w="171"/>
        <w:gridCol w:w="1136"/>
        <w:gridCol w:w="171"/>
        <w:gridCol w:w="1135"/>
        <w:gridCol w:w="173"/>
        <w:gridCol w:w="1135"/>
        <w:gridCol w:w="173"/>
        <w:gridCol w:w="1135"/>
        <w:gridCol w:w="171"/>
        <w:gridCol w:w="1136"/>
        <w:gridCol w:w="171"/>
        <w:gridCol w:w="1136"/>
        <w:gridCol w:w="184"/>
        <w:gridCol w:w="1153"/>
      </w:tblGrid>
      <w:tr>
        <w:trPr>
          <w:trHeight w:val="565" w:hRule="atLeast"/>
        </w:trPr>
        <w:tc>
          <w:tcPr>
            <w:tcW w:w="5237" w:type="dxa"/>
            <w:gridSpan w:val="2"/>
            <w:tcBorders>
              <w:top w:val="single" w:sz="8" w:space="0" w:color="231F20"/>
            </w:tcBorders>
          </w:tcPr>
          <w:p>
            <w:pPr>
              <w:pStyle w:val="TableParagraph"/>
              <w:spacing w:before="9"/>
              <w:rPr>
                <w:b/>
                <w:sz w:val="15"/>
              </w:rPr>
            </w:pPr>
          </w:p>
          <w:p>
            <w:pPr>
              <w:pStyle w:val="TableParagraph"/>
              <w:tabs>
                <w:tab w:pos="4548" w:val="left" w:leader="none"/>
              </w:tabs>
              <w:spacing w:before="1"/>
              <w:ind w:left="50"/>
              <w:rPr>
                <w:sz w:val="14"/>
              </w:rPr>
            </w:pPr>
            <w:r>
              <w:rPr>
                <w:color w:val="231F20"/>
                <w:w w:val="105"/>
                <w:sz w:val="14"/>
              </w:rPr>
              <w:t>Institute's</w:t>
            </w:r>
            <w:r>
              <w:rPr>
                <w:color w:val="231F20"/>
                <w:spacing w:val="-4"/>
                <w:w w:val="105"/>
                <w:sz w:val="14"/>
              </w:rPr>
              <w:t> </w:t>
            </w:r>
            <w:r>
              <w:rPr>
                <w:color w:val="231F20"/>
                <w:w w:val="105"/>
                <w:sz w:val="14"/>
              </w:rPr>
              <w:t>proportion</w:t>
            </w:r>
            <w:r>
              <w:rPr>
                <w:color w:val="231F20"/>
                <w:spacing w:val="-6"/>
                <w:w w:val="105"/>
                <w:sz w:val="14"/>
              </w:rPr>
              <w:t> </w:t>
            </w:r>
            <w:r>
              <w:rPr>
                <w:color w:val="231F20"/>
                <w:w w:val="105"/>
                <w:sz w:val="14"/>
              </w:rPr>
              <w:t>of</w:t>
            </w:r>
            <w:r>
              <w:rPr>
                <w:color w:val="231F20"/>
                <w:spacing w:val="-4"/>
                <w:w w:val="105"/>
                <w:sz w:val="14"/>
              </w:rPr>
              <w:t> </w:t>
            </w:r>
            <w:r>
              <w:rPr>
                <w:color w:val="231F20"/>
                <w:w w:val="105"/>
                <w:sz w:val="14"/>
              </w:rPr>
              <w:t>the</w:t>
            </w:r>
            <w:r>
              <w:rPr>
                <w:color w:val="231F20"/>
                <w:spacing w:val="-4"/>
                <w:w w:val="105"/>
                <w:sz w:val="14"/>
              </w:rPr>
              <w:t> </w:t>
            </w:r>
            <w:r>
              <w:rPr>
                <w:color w:val="231F20"/>
                <w:w w:val="105"/>
                <w:sz w:val="14"/>
              </w:rPr>
              <w:t>net</w:t>
            </w:r>
            <w:r>
              <w:rPr>
                <w:color w:val="231F20"/>
                <w:spacing w:val="-4"/>
                <w:w w:val="105"/>
                <w:sz w:val="14"/>
              </w:rPr>
              <w:t> </w:t>
            </w:r>
            <w:r>
              <w:rPr>
                <w:color w:val="231F20"/>
                <w:w w:val="105"/>
                <w:sz w:val="14"/>
              </w:rPr>
              <w:t>pension</w:t>
            </w:r>
            <w:r>
              <w:rPr>
                <w:color w:val="231F20"/>
                <w:spacing w:val="-4"/>
                <w:w w:val="105"/>
                <w:sz w:val="14"/>
              </w:rPr>
              <w:t> </w:t>
            </w:r>
            <w:r>
              <w:rPr>
                <w:color w:val="231F20"/>
                <w:w w:val="105"/>
                <w:sz w:val="14"/>
              </w:rPr>
              <w:t>liability</w:t>
            </w:r>
            <w:r>
              <w:rPr>
                <w:color w:val="231F20"/>
                <w:spacing w:val="-6"/>
                <w:w w:val="105"/>
                <w:sz w:val="14"/>
              </w:rPr>
              <w:t> </w:t>
            </w:r>
            <w:r>
              <w:rPr>
                <w:color w:val="231F20"/>
                <w:spacing w:val="-2"/>
                <w:w w:val="105"/>
                <w:sz w:val="14"/>
              </w:rPr>
              <w:t>(asset)</w:t>
            </w:r>
            <w:r>
              <w:rPr>
                <w:color w:val="231F20"/>
                <w:sz w:val="14"/>
              </w:rPr>
              <w:tab/>
            </w:r>
            <w:r>
              <w:rPr>
                <w:color w:val="231F20"/>
                <w:spacing w:val="-2"/>
                <w:w w:val="105"/>
                <w:sz w:val="14"/>
              </w:rPr>
              <w:t>1.28582%</w:t>
            </w:r>
          </w:p>
        </w:tc>
        <w:tc>
          <w:tcPr>
            <w:tcW w:w="171" w:type="dxa"/>
          </w:tcPr>
          <w:p>
            <w:pPr>
              <w:pStyle w:val="TableParagraph"/>
              <w:rPr>
                <w:rFonts w:ascii="Times New Roman"/>
                <w:sz w:val="14"/>
              </w:rPr>
            </w:pPr>
          </w:p>
        </w:tc>
        <w:tc>
          <w:tcPr>
            <w:tcW w:w="1136" w:type="dxa"/>
            <w:tcBorders>
              <w:top w:val="single" w:sz="8" w:space="0" w:color="231F20"/>
            </w:tcBorders>
          </w:tcPr>
          <w:p>
            <w:pPr>
              <w:pStyle w:val="TableParagraph"/>
              <w:spacing w:before="9"/>
              <w:rPr>
                <w:b/>
                <w:sz w:val="15"/>
              </w:rPr>
            </w:pPr>
          </w:p>
          <w:p>
            <w:pPr>
              <w:pStyle w:val="TableParagraph"/>
              <w:spacing w:before="1"/>
              <w:ind w:right="26"/>
              <w:jc w:val="right"/>
              <w:rPr>
                <w:sz w:val="14"/>
              </w:rPr>
            </w:pPr>
            <w:r>
              <w:rPr>
                <w:color w:val="231F20"/>
                <w:spacing w:val="-2"/>
                <w:w w:val="105"/>
                <w:sz w:val="14"/>
              </w:rPr>
              <w:t>1.29758%</w:t>
            </w:r>
          </w:p>
        </w:tc>
        <w:tc>
          <w:tcPr>
            <w:tcW w:w="171" w:type="dxa"/>
          </w:tcPr>
          <w:p>
            <w:pPr>
              <w:pStyle w:val="TableParagraph"/>
              <w:rPr>
                <w:rFonts w:ascii="Times New Roman"/>
                <w:sz w:val="14"/>
              </w:rPr>
            </w:pPr>
          </w:p>
        </w:tc>
        <w:tc>
          <w:tcPr>
            <w:tcW w:w="1135" w:type="dxa"/>
            <w:tcBorders>
              <w:top w:val="single" w:sz="8" w:space="0" w:color="231F20"/>
            </w:tcBorders>
          </w:tcPr>
          <w:p>
            <w:pPr>
              <w:pStyle w:val="TableParagraph"/>
              <w:spacing w:before="9"/>
              <w:rPr>
                <w:b/>
                <w:sz w:val="15"/>
              </w:rPr>
            </w:pPr>
          </w:p>
          <w:p>
            <w:pPr>
              <w:pStyle w:val="TableParagraph"/>
              <w:spacing w:before="1"/>
              <w:ind w:right="25"/>
              <w:jc w:val="right"/>
              <w:rPr>
                <w:sz w:val="14"/>
              </w:rPr>
            </w:pPr>
            <w:r>
              <w:rPr>
                <w:color w:val="231F20"/>
                <w:spacing w:val="-2"/>
                <w:w w:val="105"/>
                <w:sz w:val="14"/>
              </w:rPr>
              <w:t>1.34392%</w:t>
            </w:r>
          </w:p>
        </w:tc>
        <w:tc>
          <w:tcPr>
            <w:tcW w:w="173" w:type="dxa"/>
          </w:tcPr>
          <w:p>
            <w:pPr>
              <w:pStyle w:val="TableParagraph"/>
              <w:rPr>
                <w:rFonts w:ascii="Times New Roman"/>
                <w:sz w:val="14"/>
              </w:rPr>
            </w:pPr>
          </w:p>
        </w:tc>
        <w:tc>
          <w:tcPr>
            <w:tcW w:w="1135" w:type="dxa"/>
            <w:tcBorders>
              <w:top w:val="single" w:sz="8" w:space="0" w:color="231F20"/>
            </w:tcBorders>
          </w:tcPr>
          <w:p>
            <w:pPr>
              <w:pStyle w:val="TableParagraph"/>
              <w:spacing w:before="9"/>
              <w:rPr>
                <w:b/>
                <w:sz w:val="15"/>
              </w:rPr>
            </w:pPr>
          </w:p>
          <w:p>
            <w:pPr>
              <w:pStyle w:val="TableParagraph"/>
              <w:spacing w:before="1"/>
              <w:ind w:right="26"/>
              <w:jc w:val="right"/>
              <w:rPr>
                <w:sz w:val="14"/>
              </w:rPr>
            </w:pPr>
            <w:r>
              <w:rPr>
                <w:color w:val="231F20"/>
                <w:spacing w:val="-2"/>
                <w:w w:val="105"/>
                <w:sz w:val="14"/>
              </w:rPr>
              <w:t>1.34475%</w:t>
            </w:r>
          </w:p>
        </w:tc>
        <w:tc>
          <w:tcPr>
            <w:tcW w:w="173" w:type="dxa"/>
          </w:tcPr>
          <w:p>
            <w:pPr>
              <w:pStyle w:val="TableParagraph"/>
              <w:rPr>
                <w:rFonts w:ascii="Times New Roman"/>
                <w:sz w:val="14"/>
              </w:rPr>
            </w:pPr>
          </w:p>
        </w:tc>
        <w:tc>
          <w:tcPr>
            <w:tcW w:w="1135" w:type="dxa"/>
            <w:tcBorders>
              <w:top w:val="single" w:sz="8" w:space="0" w:color="231F20"/>
            </w:tcBorders>
          </w:tcPr>
          <w:p>
            <w:pPr>
              <w:pStyle w:val="TableParagraph"/>
              <w:spacing w:before="9"/>
              <w:rPr>
                <w:b/>
                <w:sz w:val="15"/>
              </w:rPr>
            </w:pPr>
          </w:p>
          <w:p>
            <w:pPr>
              <w:pStyle w:val="TableParagraph"/>
              <w:spacing w:before="1"/>
              <w:ind w:right="27"/>
              <w:jc w:val="right"/>
              <w:rPr>
                <w:sz w:val="14"/>
              </w:rPr>
            </w:pPr>
            <w:r>
              <w:rPr>
                <w:color w:val="231F20"/>
                <w:spacing w:val="-2"/>
                <w:w w:val="105"/>
                <w:sz w:val="14"/>
              </w:rPr>
              <w:t>1.28524%</w:t>
            </w:r>
          </w:p>
        </w:tc>
        <w:tc>
          <w:tcPr>
            <w:tcW w:w="171" w:type="dxa"/>
          </w:tcPr>
          <w:p>
            <w:pPr>
              <w:pStyle w:val="TableParagraph"/>
              <w:rPr>
                <w:rFonts w:ascii="Times New Roman"/>
                <w:sz w:val="14"/>
              </w:rPr>
            </w:pPr>
          </w:p>
        </w:tc>
        <w:tc>
          <w:tcPr>
            <w:tcW w:w="1136" w:type="dxa"/>
            <w:tcBorders>
              <w:top w:val="single" w:sz="8" w:space="0" w:color="231F20"/>
            </w:tcBorders>
          </w:tcPr>
          <w:p>
            <w:pPr>
              <w:pStyle w:val="TableParagraph"/>
              <w:spacing w:before="9"/>
              <w:rPr>
                <w:b/>
                <w:sz w:val="15"/>
              </w:rPr>
            </w:pPr>
          </w:p>
          <w:p>
            <w:pPr>
              <w:pStyle w:val="TableParagraph"/>
              <w:spacing w:before="1"/>
              <w:ind w:right="26"/>
              <w:jc w:val="right"/>
              <w:rPr>
                <w:sz w:val="14"/>
              </w:rPr>
            </w:pPr>
            <w:r>
              <w:rPr>
                <w:color w:val="231F20"/>
                <w:spacing w:val="-2"/>
                <w:w w:val="105"/>
                <w:sz w:val="14"/>
              </w:rPr>
              <w:t>1.30892%</w:t>
            </w:r>
          </w:p>
        </w:tc>
        <w:tc>
          <w:tcPr>
            <w:tcW w:w="171" w:type="dxa"/>
          </w:tcPr>
          <w:p>
            <w:pPr>
              <w:pStyle w:val="TableParagraph"/>
              <w:rPr>
                <w:rFonts w:ascii="Times New Roman"/>
                <w:sz w:val="14"/>
              </w:rPr>
            </w:pPr>
          </w:p>
        </w:tc>
        <w:tc>
          <w:tcPr>
            <w:tcW w:w="1136" w:type="dxa"/>
            <w:tcBorders>
              <w:top w:val="single" w:sz="8" w:space="0" w:color="231F20"/>
            </w:tcBorders>
          </w:tcPr>
          <w:p>
            <w:pPr>
              <w:pStyle w:val="TableParagraph"/>
              <w:spacing w:before="9"/>
              <w:rPr>
                <w:b/>
                <w:sz w:val="15"/>
              </w:rPr>
            </w:pPr>
          </w:p>
          <w:p>
            <w:pPr>
              <w:pStyle w:val="TableParagraph"/>
              <w:spacing w:before="1"/>
              <w:ind w:left="448"/>
              <w:rPr>
                <w:sz w:val="14"/>
              </w:rPr>
            </w:pPr>
            <w:r>
              <w:rPr>
                <w:color w:val="231F20"/>
                <w:spacing w:val="-2"/>
                <w:w w:val="105"/>
                <w:sz w:val="14"/>
              </w:rPr>
              <w:t>1.30317%</w:t>
            </w:r>
          </w:p>
        </w:tc>
        <w:tc>
          <w:tcPr>
            <w:tcW w:w="184" w:type="dxa"/>
          </w:tcPr>
          <w:p>
            <w:pPr>
              <w:pStyle w:val="TableParagraph"/>
              <w:rPr>
                <w:rFonts w:ascii="Times New Roman"/>
                <w:sz w:val="14"/>
              </w:rPr>
            </w:pPr>
          </w:p>
        </w:tc>
        <w:tc>
          <w:tcPr>
            <w:tcW w:w="1153" w:type="dxa"/>
            <w:tcBorders>
              <w:top w:val="single" w:sz="8" w:space="0" w:color="231F20"/>
            </w:tcBorders>
          </w:tcPr>
          <w:p>
            <w:pPr>
              <w:pStyle w:val="TableParagraph"/>
              <w:spacing w:before="9"/>
              <w:rPr>
                <w:b/>
                <w:sz w:val="15"/>
              </w:rPr>
            </w:pPr>
          </w:p>
          <w:p>
            <w:pPr>
              <w:pStyle w:val="TableParagraph"/>
              <w:spacing w:before="1"/>
              <w:ind w:left="449"/>
              <w:rPr>
                <w:sz w:val="14"/>
              </w:rPr>
            </w:pPr>
            <w:r>
              <w:rPr>
                <w:color w:val="231F20"/>
                <w:spacing w:val="-2"/>
                <w:w w:val="105"/>
                <w:sz w:val="14"/>
              </w:rPr>
              <w:t>1.30317%</w:t>
            </w:r>
          </w:p>
        </w:tc>
      </w:tr>
      <w:tr>
        <w:trPr>
          <w:trHeight w:val="383" w:hRule="atLeast"/>
        </w:trPr>
        <w:tc>
          <w:tcPr>
            <w:tcW w:w="5237" w:type="dxa"/>
            <w:gridSpan w:val="2"/>
          </w:tcPr>
          <w:p>
            <w:pPr>
              <w:pStyle w:val="TableParagraph"/>
              <w:spacing w:before="19"/>
              <w:ind w:left="50"/>
              <w:rPr>
                <w:sz w:val="14"/>
              </w:rPr>
            </w:pPr>
            <w:r>
              <w:rPr>
                <w:color w:val="231F20"/>
                <w:w w:val="105"/>
                <w:sz w:val="14"/>
              </w:rPr>
              <w:t>Institute's</w:t>
            </w:r>
            <w:r>
              <w:rPr>
                <w:color w:val="231F20"/>
                <w:spacing w:val="-5"/>
                <w:w w:val="105"/>
                <w:sz w:val="14"/>
              </w:rPr>
              <w:t> </w:t>
            </w:r>
            <w:r>
              <w:rPr>
                <w:color w:val="231F20"/>
                <w:w w:val="105"/>
                <w:sz w:val="14"/>
              </w:rPr>
              <w:t>proportionate</w:t>
            </w:r>
            <w:r>
              <w:rPr>
                <w:color w:val="231F20"/>
                <w:spacing w:val="-4"/>
                <w:w w:val="105"/>
                <w:sz w:val="14"/>
              </w:rPr>
              <w:t> </w:t>
            </w:r>
            <w:r>
              <w:rPr>
                <w:color w:val="231F20"/>
                <w:w w:val="105"/>
                <w:sz w:val="14"/>
              </w:rPr>
              <w:t>share</w:t>
            </w:r>
            <w:r>
              <w:rPr>
                <w:color w:val="231F20"/>
                <w:spacing w:val="-5"/>
                <w:w w:val="105"/>
                <w:sz w:val="14"/>
              </w:rPr>
              <w:t> </w:t>
            </w:r>
            <w:r>
              <w:rPr>
                <w:color w:val="231F20"/>
                <w:w w:val="105"/>
                <w:sz w:val="14"/>
              </w:rPr>
              <w:t>of</w:t>
            </w:r>
            <w:r>
              <w:rPr>
                <w:color w:val="231F20"/>
                <w:spacing w:val="-4"/>
                <w:w w:val="105"/>
                <w:sz w:val="14"/>
              </w:rPr>
              <w:t> </w:t>
            </w:r>
            <w:r>
              <w:rPr>
                <w:color w:val="231F20"/>
                <w:w w:val="105"/>
                <w:sz w:val="14"/>
              </w:rPr>
              <w:t>the</w:t>
            </w:r>
            <w:r>
              <w:rPr>
                <w:color w:val="231F20"/>
                <w:spacing w:val="-4"/>
                <w:w w:val="105"/>
                <w:sz w:val="14"/>
              </w:rPr>
              <w:t> </w:t>
            </w:r>
            <w:r>
              <w:rPr>
                <w:color w:val="231F20"/>
                <w:w w:val="105"/>
                <w:sz w:val="14"/>
              </w:rPr>
              <w:t>net</w:t>
            </w:r>
            <w:r>
              <w:rPr>
                <w:color w:val="231F20"/>
                <w:spacing w:val="-5"/>
                <w:w w:val="105"/>
                <w:sz w:val="14"/>
              </w:rPr>
              <w:t> </w:t>
            </w:r>
            <w:r>
              <w:rPr>
                <w:color w:val="231F20"/>
                <w:spacing w:val="-2"/>
                <w:w w:val="105"/>
                <w:sz w:val="14"/>
              </w:rPr>
              <w:t>pension</w:t>
            </w:r>
          </w:p>
          <w:p>
            <w:pPr>
              <w:pStyle w:val="TableParagraph"/>
              <w:tabs>
                <w:tab w:pos="4180" w:val="left" w:leader="none"/>
              </w:tabs>
              <w:spacing w:line="142" w:lineRule="exact" w:before="41"/>
              <w:ind w:left="178"/>
              <w:rPr>
                <w:sz w:val="14"/>
              </w:rPr>
            </w:pPr>
            <w:r>
              <w:rPr>
                <w:color w:val="231F20"/>
                <w:spacing w:val="-2"/>
                <w:w w:val="105"/>
                <w:sz w:val="14"/>
              </w:rPr>
              <w:t>liability</w:t>
            </w:r>
            <w:r>
              <w:rPr>
                <w:color w:val="231F20"/>
                <w:sz w:val="14"/>
              </w:rPr>
              <w:tab/>
            </w:r>
            <w:r>
              <w:rPr>
                <w:color w:val="231F20"/>
                <w:w w:val="105"/>
                <w:sz w:val="14"/>
              </w:rPr>
              <w:t>$</w:t>
            </w:r>
            <w:r>
              <w:rPr>
                <w:color w:val="231F20"/>
                <w:spacing w:val="39"/>
                <w:w w:val="105"/>
                <w:sz w:val="14"/>
              </w:rPr>
              <w:t>  </w:t>
            </w:r>
            <w:r>
              <w:rPr>
                <w:color w:val="231F20"/>
                <w:spacing w:val="-2"/>
                <w:w w:val="105"/>
                <w:sz w:val="14"/>
              </w:rPr>
              <w:t>91,132,064</w:t>
            </w:r>
          </w:p>
        </w:tc>
        <w:tc>
          <w:tcPr>
            <w:tcW w:w="171" w:type="dxa"/>
          </w:tcPr>
          <w:p>
            <w:pPr>
              <w:pStyle w:val="TableParagraph"/>
              <w:rPr>
                <w:rFonts w:ascii="Times New Roman"/>
                <w:sz w:val="14"/>
              </w:rPr>
            </w:pPr>
          </w:p>
        </w:tc>
        <w:tc>
          <w:tcPr>
            <w:tcW w:w="1136" w:type="dxa"/>
          </w:tcPr>
          <w:p>
            <w:pPr>
              <w:pStyle w:val="TableParagraph"/>
              <w:spacing w:before="2"/>
              <w:rPr>
                <w:b/>
                <w:sz w:val="19"/>
              </w:rPr>
            </w:pPr>
          </w:p>
          <w:p>
            <w:pPr>
              <w:pStyle w:val="TableParagraph"/>
              <w:spacing w:line="142" w:lineRule="exact"/>
              <w:ind w:right="75"/>
              <w:jc w:val="right"/>
              <w:rPr>
                <w:sz w:val="14"/>
              </w:rPr>
            </w:pPr>
            <w:r>
              <w:rPr>
                <w:color w:val="231F20"/>
                <w:w w:val="105"/>
                <w:sz w:val="14"/>
              </w:rPr>
              <w:t>$</w:t>
            </w:r>
            <w:r>
              <w:rPr>
                <w:color w:val="231F20"/>
                <w:spacing w:val="39"/>
                <w:w w:val="105"/>
                <w:sz w:val="14"/>
              </w:rPr>
              <w:t> </w:t>
            </w:r>
            <w:r>
              <w:rPr>
                <w:color w:val="231F20"/>
                <w:spacing w:val="-2"/>
                <w:w w:val="105"/>
                <w:sz w:val="14"/>
              </w:rPr>
              <w:t>262,966,133</w:t>
            </w:r>
          </w:p>
        </w:tc>
        <w:tc>
          <w:tcPr>
            <w:tcW w:w="171" w:type="dxa"/>
          </w:tcPr>
          <w:p>
            <w:pPr>
              <w:pStyle w:val="TableParagraph"/>
              <w:rPr>
                <w:rFonts w:ascii="Times New Roman"/>
                <w:sz w:val="14"/>
              </w:rPr>
            </w:pPr>
          </w:p>
        </w:tc>
        <w:tc>
          <w:tcPr>
            <w:tcW w:w="1135" w:type="dxa"/>
          </w:tcPr>
          <w:p>
            <w:pPr>
              <w:pStyle w:val="TableParagraph"/>
              <w:spacing w:before="2"/>
              <w:rPr>
                <w:b/>
                <w:sz w:val="19"/>
              </w:rPr>
            </w:pPr>
          </w:p>
          <w:p>
            <w:pPr>
              <w:pStyle w:val="TableParagraph"/>
              <w:spacing w:line="142" w:lineRule="exact"/>
              <w:ind w:right="73"/>
              <w:jc w:val="right"/>
              <w:rPr>
                <w:sz w:val="14"/>
              </w:rPr>
            </w:pPr>
            <w:r>
              <w:rPr>
                <w:color w:val="231F20"/>
                <w:w w:val="105"/>
                <w:sz w:val="14"/>
              </w:rPr>
              <w:t>$</w:t>
            </w:r>
            <w:r>
              <w:rPr>
                <w:color w:val="231F20"/>
                <w:spacing w:val="39"/>
                <w:w w:val="105"/>
                <w:sz w:val="14"/>
              </w:rPr>
              <w:t> </w:t>
            </w:r>
            <w:r>
              <w:rPr>
                <w:color w:val="231F20"/>
                <w:spacing w:val="-2"/>
                <w:w w:val="105"/>
                <w:sz w:val="14"/>
              </w:rPr>
              <w:t>101,832,884</w:t>
            </w:r>
          </w:p>
        </w:tc>
        <w:tc>
          <w:tcPr>
            <w:tcW w:w="173" w:type="dxa"/>
          </w:tcPr>
          <w:p>
            <w:pPr>
              <w:pStyle w:val="TableParagraph"/>
              <w:rPr>
                <w:rFonts w:ascii="Times New Roman"/>
                <w:sz w:val="14"/>
              </w:rPr>
            </w:pPr>
          </w:p>
        </w:tc>
        <w:tc>
          <w:tcPr>
            <w:tcW w:w="1135" w:type="dxa"/>
          </w:tcPr>
          <w:p>
            <w:pPr>
              <w:pStyle w:val="TableParagraph"/>
              <w:spacing w:before="2"/>
              <w:rPr>
                <w:b/>
                <w:sz w:val="19"/>
              </w:rPr>
            </w:pPr>
          </w:p>
          <w:p>
            <w:pPr>
              <w:pStyle w:val="TableParagraph"/>
              <w:spacing w:line="142" w:lineRule="exact"/>
              <w:ind w:right="74"/>
              <w:jc w:val="right"/>
              <w:rPr>
                <w:sz w:val="14"/>
              </w:rPr>
            </w:pPr>
            <w:r>
              <w:rPr>
                <w:color w:val="231F20"/>
                <w:w w:val="105"/>
                <w:sz w:val="14"/>
              </w:rPr>
              <w:t>$</w:t>
            </w:r>
            <w:r>
              <w:rPr>
                <w:color w:val="231F20"/>
                <w:spacing w:val="39"/>
                <w:w w:val="105"/>
                <w:sz w:val="14"/>
              </w:rPr>
              <w:t> </w:t>
            </w:r>
            <w:r>
              <w:rPr>
                <w:color w:val="231F20"/>
                <w:spacing w:val="-2"/>
                <w:w w:val="105"/>
                <w:sz w:val="14"/>
              </w:rPr>
              <w:t>159,908,673</w:t>
            </w:r>
          </w:p>
        </w:tc>
        <w:tc>
          <w:tcPr>
            <w:tcW w:w="173" w:type="dxa"/>
          </w:tcPr>
          <w:p>
            <w:pPr>
              <w:pStyle w:val="TableParagraph"/>
              <w:rPr>
                <w:rFonts w:ascii="Times New Roman"/>
                <w:sz w:val="14"/>
              </w:rPr>
            </w:pPr>
          </w:p>
        </w:tc>
        <w:tc>
          <w:tcPr>
            <w:tcW w:w="1135" w:type="dxa"/>
          </w:tcPr>
          <w:p>
            <w:pPr>
              <w:pStyle w:val="TableParagraph"/>
              <w:spacing w:before="2"/>
              <w:rPr>
                <w:b/>
                <w:sz w:val="19"/>
              </w:rPr>
            </w:pPr>
          </w:p>
          <w:p>
            <w:pPr>
              <w:pStyle w:val="TableParagraph"/>
              <w:spacing w:line="142" w:lineRule="exact"/>
              <w:ind w:right="74"/>
              <w:jc w:val="right"/>
              <w:rPr>
                <w:sz w:val="14"/>
              </w:rPr>
            </w:pPr>
            <w:r>
              <w:rPr>
                <w:color w:val="231F20"/>
                <w:w w:val="105"/>
                <w:sz w:val="14"/>
              </w:rPr>
              <w:t>$</w:t>
            </w:r>
            <w:r>
              <w:rPr>
                <w:color w:val="231F20"/>
                <w:spacing w:val="39"/>
                <w:w w:val="105"/>
                <w:sz w:val="14"/>
              </w:rPr>
              <w:t> </w:t>
            </w:r>
            <w:r>
              <w:rPr>
                <w:color w:val="231F20"/>
                <w:spacing w:val="-2"/>
                <w:w w:val="105"/>
                <w:sz w:val="14"/>
              </w:rPr>
              <w:t>142,834,689</w:t>
            </w:r>
          </w:p>
        </w:tc>
        <w:tc>
          <w:tcPr>
            <w:tcW w:w="171" w:type="dxa"/>
          </w:tcPr>
          <w:p>
            <w:pPr>
              <w:pStyle w:val="TableParagraph"/>
              <w:rPr>
                <w:rFonts w:ascii="Times New Roman"/>
                <w:sz w:val="14"/>
              </w:rPr>
            </w:pPr>
          </w:p>
        </w:tc>
        <w:tc>
          <w:tcPr>
            <w:tcW w:w="1136" w:type="dxa"/>
          </w:tcPr>
          <w:p>
            <w:pPr>
              <w:pStyle w:val="TableParagraph"/>
              <w:spacing w:before="2"/>
              <w:rPr>
                <w:b/>
                <w:sz w:val="19"/>
              </w:rPr>
            </w:pPr>
          </w:p>
          <w:p>
            <w:pPr>
              <w:pStyle w:val="TableParagraph"/>
              <w:spacing w:line="142" w:lineRule="exact"/>
              <w:ind w:right="73"/>
              <w:jc w:val="right"/>
              <w:rPr>
                <w:sz w:val="14"/>
              </w:rPr>
            </w:pPr>
            <w:r>
              <w:rPr>
                <w:color w:val="231F20"/>
                <w:w w:val="105"/>
                <w:sz w:val="14"/>
              </w:rPr>
              <w:t>$</w:t>
            </w:r>
            <w:r>
              <w:rPr>
                <w:color w:val="231F20"/>
                <w:spacing w:val="39"/>
                <w:w w:val="105"/>
                <w:sz w:val="14"/>
              </w:rPr>
              <w:t>  </w:t>
            </w:r>
            <w:r>
              <w:rPr>
                <w:color w:val="231F20"/>
                <w:spacing w:val="-2"/>
                <w:w w:val="105"/>
                <w:sz w:val="14"/>
              </w:rPr>
              <w:t>94,195,558</w:t>
            </w:r>
          </w:p>
        </w:tc>
        <w:tc>
          <w:tcPr>
            <w:tcW w:w="171" w:type="dxa"/>
          </w:tcPr>
          <w:p>
            <w:pPr>
              <w:pStyle w:val="TableParagraph"/>
              <w:rPr>
                <w:rFonts w:ascii="Times New Roman"/>
                <w:sz w:val="14"/>
              </w:rPr>
            </w:pPr>
          </w:p>
        </w:tc>
        <w:tc>
          <w:tcPr>
            <w:tcW w:w="1136" w:type="dxa"/>
          </w:tcPr>
          <w:p>
            <w:pPr>
              <w:pStyle w:val="TableParagraph"/>
              <w:spacing w:before="2"/>
              <w:rPr>
                <w:b/>
                <w:sz w:val="19"/>
              </w:rPr>
            </w:pPr>
          </w:p>
          <w:p>
            <w:pPr>
              <w:pStyle w:val="TableParagraph"/>
              <w:spacing w:line="142" w:lineRule="exact"/>
              <w:ind w:left="84"/>
              <w:rPr>
                <w:sz w:val="14"/>
              </w:rPr>
            </w:pPr>
            <w:r>
              <w:rPr>
                <w:color w:val="231F20"/>
                <w:w w:val="105"/>
                <w:sz w:val="14"/>
              </w:rPr>
              <w:t>$</w:t>
            </w:r>
            <w:r>
              <w:rPr>
                <w:color w:val="231F20"/>
                <w:spacing w:val="39"/>
                <w:w w:val="105"/>
                <w:sz w:val="14"/>
              </w:rPr>
              <w:t>  </w:t>
            </w:r>
            <w:r>
              <w:rPr>
                <w:color w:val="231F20"/>
                <w:spacing w:val="-2"/>
                <w:w w:val="105"/>
                <w:sz w:val="14"/>
              </w:rPr>
              <w:t>84,363,804</w:t>
            </w:r>
          </w:p>
        </w:tc>
        <w:tc>
          <w:tcPr>
            <w:tcW w:w="184" w:type="dxa"/>
          </w:tcPr>
          <w:p>
            <w:pPr>
              <w:pStyle w:val="TableParagraph"/>
              <w:rPr>
                <w:rFonts w:ascii="Times New Roman"/>
                <w:sz w:val="14"/>
              </w:rPr>
            </w:pPr>
          </w:p>
        </w:tc>
        <w:tc>
          <w:tcPr>
            <w:tcW w:w="1153" w:type="dxa"/>
          </w:tcPr>
          <w:p>
            <w:pPr>
              <w:pStyle w:val="TableParagraph"/>
              <w:spacing w:before="2"/>
              <w:rPr>
                <w:b/>
                <w:sz w:val="19"/>
              </w:rPr>
            </w:pPr>
          </w:p>
          <w:p>
            <w:pPr>
              <w:pStyle w:val="TableParagraph"/>
              <w:spacing w:line="142" w:lineRule="exact"/>
              <w:ind w:left="85"/>
              <w:rPr>
                <w:sz w:val="14"/>
              </w:rPr>
            </w:pPr>
            <w:r>
              <w:rPr>
                <w:color w:val="231F20"/>
                <w:w w:val="105"/>
                <w:sz w:val="14"/>
              </w:rPr>
              <w:t>$</w:t>
            </w:r>
            <w:r>
              <w:rPr>
                <w:color w:val="231F20"/>
                <w:spacing w:val="39"/>
                <w:w w:val="105"/>
                <w:sz w:val="14"/>
              </w:rPr>
              <w:t>  </w:t>
            </w:r>
            <w:r>
              <w:rPr>
                <w:color w:val="231F20"/>
                <w:spacing w:val="-2"/>
                <w:w w:val="105"/>
                <w:sz w:val="14"/>
              </w:rPr>
              <w:t>74,355,364</w:t>
            </w:r>
          </w:p>
        </w:tc>
      </w:tr>
      <w:tr>
        <w:trPr>
          <w:trHeight w:val="523" w:hRule="atLeast"/>
        </w:trPr>
        <w:tc>
          <w:tcPr>
            <w:tcW w:w="4101" w:type="dxa"/>
          </w:tcPr>
          <w:p>
            <w:pPr>
              <w:pStyle w:val="TableParagraph"/>
              <w:spacing w:before="11"/>
              <w:rPr>
                <w:b/>
                <w:sz w:val="20"/>
              </w:rPr>
            </w:pPr>
          </w:p>
          <w:p>
            <w:pPr>
              <w:pStyle w:val="TableParagraph"/>
              <w:ind w:left="50"/>
              <w:rPr>
                <w:sz w:val="14"/>
              </w:rPr>
            </w:pPr>
            <w:r>
              <w:rPr>
                <w:color w:val="231F20"/>
                <w:w w:val="105"/>
                <w:sz w:val="14"/>
              </w:rPr>
              <w:t>Institute's</w:t>
            </w:r>
            <w:r>
              <w:rPr>
                <w:color w:val="231F20"/>
                <w:spacing w:val="-6"/>
                <w:w w:val="105"/>
                <w:sz w:val="14"/>
              </w:rPr>
              <w:t> </w:t>
            </w:r>
            <w:r>
              <w:rPr>
                <w:color w:val="231F20"/>
                <w:w w:val="105"/>
                <w:sz w:val="14"/>
              </w:rPr>
              <w:t>covered</w:t>
            </w:r>
            <w:r>
              <w:rPr>
                <w:color w:val="231F20"/>
                <w:spacing w:val="-5"/>
                <w:w w:val="105"/>
                <w:sz w:val="14"/>
              </w:rPr>
              <w:t> </w:t>
            </w:r>
            <w:r>
              <w:rPr>
                <w:color w:val="231F20"/>
                <w:spacing w:val="-2"/>
                <w:w w:val="105"/>
                <w:sz w:val="14"/>
              </w:rPr>
              <w:t>payroll</w:t>
            </w:r>
          </w:p>
        </w:tc>
        <w:tc>
          <w:tcPr>
            <w:tcW w:w="1136" w:type="dxa"/>
          </w:tcPr>
          <w:p>
            <w:pPr>
              <w:pStyle w:val="TableParagraph"/>
              <w:spacing w:before="11"/>
              <w:rPr>
                <w:b/>
                <w:sz w:val="20"/>
              </w:rPr>
            </w:pPr>
          </w:p>
          <w:p>
            <w:pPr>
              <w:pStyle w:val="TableParagraph"/>
              <w:ind w:right="76"/>
              <w:jc w:val="right"/>
              <w:rPr>
                <w:sz w:val="14"/>
              </w:rPr>
            </w:pPr>
            <w:r>
              <w:rPr>
                <w:color w:val="231F20"/>
                <w:w w:val="105"/>
                <w:sz w:val="14"/>
              </w:rPr>
              <w:t>$</w:t>
            </w:r>
            <w:r>
              <w:rPr>
                <w:color w:val="231F20"/>
                <w:spacing w:val="40"/>
                <w:w w:val="105"/>
                <w:sz w:val="14"/>
              </w:rPr>
              <w:t>  </w:t>
            </w:r>
            <w:r>
              <w:rPr>
                <w:color w:val="231F20"/>
                <w:spacing w:val="-2"/>
                <w:w w:val="105"/>
                <w:sz w:val="14"/>
              </w:rPr>
              <w:t>39,241,686</w:t>
            </w:r>
          </w:p>
        </w:tc>
        <w:tc>
          <w:tcPr>
            <w:tcW w:w="1307" w:type="dxa"/>
            <w:gridSpan w:val="2"/>
          </w:tcPr>
          <w:p>
            <w:pPr>
              <w:pStyle w:val="TableParagraph"/>
              <w:spacing w:before="11"/>
              <w:rPr>
                <w:b/>
                <w:sz w:val="20"/>
              </w:rPr>
            </w:pPr>
          </w:p>
          <w:p>
            <w:pPr>
              <w:pStyle w:val="TableParagraph"/>
              <w:ind w:left="251"/>
              <w:rPr>
                <w:sz w:val="14"/>
              </w:rPr>
            </w:pPr>
            <w:r>
              <w:rPr>
                <w:color w:val="231F20"/>
                <w:w w:val="105"/>
                <w:sz w:val="14"/>
              </w:rPr>
              <w:t>$</w:t>
            </w:r>
            <w:r>
              <w:rPr>
                <w:color w:val="231F20"/>
                <w:spacing w:val="40"/>
                <w:w w:val="105"/>
                <w:sz w:val="14"/>
              </w:rPr>
              <w:t>  </w:t>
            </w:r>
            <w:r>
              <w:rPr>
                <w:color w:val="231F20"/>
                <w:spacing w:val="-2"/>
                <w:w w:val="105"/>
                <w:sz w:val="14"/>
              </w:rPr>
              <w:t>39,489,483</w:t>
            </w:r>
          </w:p>
        </w:tc>
        <w:tc>
          <w:tcPr>
            <w:tcW w:w="1306" w:type="dxa"/>
            <w:gridSpan w:val="2"/>
          </w:tcPr>
          <w:p>
            <w:pPr>
              <w:pStyle w:val="TableParagraph"/>
              <w:spacing w:before="11"/>
              <w:rPr>
                <w:b/>
                <w:sz w:val="20"/>
              </w:rPr>
            </w:pPr>
          </w:p>
          <w:p>
            <w:pPr>
              <w:pStyle w:val="TableParagraph"/>
              <w:ind w:left="252"/>
              <w:rPr>
                <w:sz w:val="14"/>
              </w:rPr>
            </w:pPr>
            <w:r>
              <w:rPr>
                <w:color w:val="231F20"/>
                <w:w w:val="105"/>
                <w:sz w:val="14"/>
              </w:rPr>
              <w:t>$</w:t>
            </w:r>
            <w:r>
              <w:rPr>
                <w:color w:val="231F20"/>
                <w:spacing w:val="40"/>
                <w:w w:val="105"/>
                <w:sz w:val="14"/>
              </w:rPr>
              <w:t>  </w:t>
            </w:r>
            <w:r>
              <w:rPr>
                <w:color w:val="231F20"/>
                <w:spacing w:val="-2"/>
                <w:w w:val="105"/>
                <w:sz w:val="14"/>
              </w:rPr>
              <w:t>35,849,654</w:t>
            </w:r>
          </w:p>
        </w:tc>
        <w:tc>
          <w:tcPr>
            <w:tcW w:w="1308" w:type="dxa"/>
            <w:gridSpan w:val="2"/>
          </w:tcPr>
          <w:p>
            <w:pPr>
              <w:pStyle w:val="TableParagraph"/>
              <w:spacing w:before="11"/>
              <w:rPr>
                <w:b/>
                <w:sz w:val="20"/>
              </w:rPr>
            </w:pPr>
          </w:p>
          <w:p>
            <w:pPr>
              <w:pStyle w:val="TableParagraph"/>
              <w:ind w:left="254"/>
              <w:rPr>
                <w:sz w:val="14"/>
              </w:rPr>
            </w:pPr>
            <w:r>
              <w:rPr>
                <w:color w:val="231F20"/>
                <w:w w:val="105"/>
                <w:sz w:val="14"/>
              </w:rPr>
              <w:t>$</w:t>
            </w:r>
            <w:r>
              <w:rPr>
                <w:color w:val="231F20"/>
                <w:spacing w:val="40"/>
                <w:w w:val="105"/>
                <w:sz w:val="14"/>
              </w:rPr>
              <w:t>  </w:t>
            </w:r>
            <w:r>
              <w:rPr>
                <w:color w:val="231F20"/>
                <w:spacing w:val="-2"/>
                <w:w w:val="105"/>
                <w:sz w:val="14"/>
              </w:rPr>
              <w:t>34,954,101</w:t>
            </w:r>
          </w:p>
        </w:tc>
        <w:tc>
          <w:tcPr>
            <w:tcW w:w="1308" w:type="dxa"/>
            <w:gridSpan w:val="2"/>
          </w:tcPr>
          <w:p>
            <w:pPr>
              <w:pStyle w:val="TableParagraph"/>
              <w:spacing w:before="11"/>
              <w:rPr>
                <w:b/>
                <w:sz w:val="20"/>
              </w:rPr>
            </w:pPr>
          </w:p>
          <w:p>
            <w:pPr>
              <w:pStyle w:val="TableParagraph"/>
              <w:ind w:left="254"/>
              <w:rPr>
                <w:sz w:val="14"/>
              </w:rPr>
            </w:pPr>
            <w:r>
              <w:rPr>
                <w:color w:val="231F20"/>
                <w:w w:val="105"/>
                <w:sz w:val="14"/>
              </w:rPr>
              <w:t>$</w:t>
            </w:r>
            <w:r>
              <w:rPr>
                <w:color w:val="231F20"/>
                <w:spacing w:val="40"/>
                <w:w w:val="105"/>
                <w:sz w:val="14"/>
              </w:rPr>
              <w:t>  </w:t>
            </w:r>
            <w:r>
              <w:rPr>
                <w:color w:val="231F20"/>
                <w:spacing w:val="-2"/>
                <w:w w:val="105"/>
                <w:sz w:val="14"/>
              </w:rPr>
              <w:t>35,751,781</w:t>
            </w:r>
          </w:p>
        </w:tc>
        <w:tc>
          <w:tcPr>
            <w:tcW w:w="1307" w:type="dxa"/>
            <w:gridSpan w:val="2"/>
          </w:tcPr>
          <w:p>
            <w:pPr>
              <w:pStyle w:val="TableParagraph"/>
              <w:spacing w:before="11"/>
              <w:rPr>
                <w:b/>
                <w:sz w:val="20"/>
              </w:rPr>
            </w:pPr>
          </w:p>
          <w:p>
            <w:pPr>
              <w:pStyle w:val="TableParagraph"/>
              <w:ind w:left="254"/>
              <w:rPr>
                <w:sz w:val="14"/>
              </w:rPr>
            </w:pPr>
            <w:r>
              <w:rPr>
                <w:color w:val="231F20"/>
                <w:w w:val="105"/>
                <w:sz w:val="14"/>
              </w:rPr>
              <w:t>$</w:t>
            </w:r>
            <w:r>
              <w:rPr>
                <w:color w:val="231F20"/>
                <w:spacing w:val="39"/>
                <w:w w:val="105"/>
                <w:sz w:val="14"/>
              </w:rPr>
              <w:t>  </w:t>
            </w:r>
            <w:r>
              <w:rPr>
                <w:color w:val="231F20"/>
                <w:spacing w:val="-2"/>
                <w:w w:val="105"/>
                <w:sz w:val="14"/>
              </w:rPr>
              <w:t>35,561,330</w:t>
            </w:r>
          </w:p>
        </w:tc>
        <w:tc>
          <w:tcPr>
            <w:tcW w:w="1307" w:type="dxa"/>
            <w:gridSpan w:val="2"/>
          </w:tcPr>
          <w:p>
            <w:pPr>
              <w:pStyle w:val="TableParagraph"/>
              <w:spacing w:before="11"/>
              <w:rPr>
                <w:b/>
                <w:sz w:val="20"/>
              </w:rPr>
            </w:pPr>
          </w:p>
          <w:p>
            <w:pPr>
              <w:pStyle w:val="TableParagraph"/>
              <w:ind w:left="255"/>
              <w:rPr>
                <w:sz w:val="14"/>
              </w:rPr>
            </w:pPr>
            <w:r>
              <w:rPr>
                <w:color w:val="231F20"/>
                <w:w w:val="105"/>
                <w:sz w:val="14"/>
              </w:rPr>
              <w:t>$</w:t>
            </w:r>
            <w:r>
              <w:rPr>
                <w:color w:val="231F20"/>
                <w:spacing w:val="39"/>
                <w:w w:val="105"/>
                <w:sz w:val="14"/>
              </w:rPr>
              <w:t>  </w:t>
            </w:r>
            <w:r>
              <w:rPr>
                <w:color w:val="231F20"/>
                <w:spacing w:val="-2"/>
                <w:w w:val="105"/>
                <w:sz w:val="14"/>
              </w:rPr>
              <w:t>41,456,404</w:t>
            </w:r>
          </w:p>
        </w:tc>
        <w:tc>
          <w:tcPr>
            <w:tcW w:w="1337" w:type="dxa"/>
            <w:gridSpan w:val="2"/>
          </w:tcPr>
          <w:p>
            <w:pPr>
              <w:pStyle w:val="TableParagraph"/>
              <w:spacing w:before="11"/>
              <w:rPr>
                <w:b/>
                <w:sz w:val="20"/>
              </w:rPr>
            </w:pPr>
          </w:p>
          <w:p>
            <w:pPr>
              <w:pStyle w:val="TableParagraph"/>
              <w:ind w:left="269"/>
              <w:rPr>
                <w:sz w:val="14"/>
              </w:rPr>
            </w:pPr>
            <w:r>
              <w:rPr>
                <w:color w:val="231F20"/>
                <w:w w:val="105"/>
                <w:sz w:val="14"/>
              </w:rPr>
              <w:t>$</w:t>
            </w:r>
            <w:r>
              <w:rPr>
                <w:color w:val="231F20"/>
                <w:spacing w:val="39"/>
                <w:w w:val="105"/>
                <w:sz w:val="14"/>
              </w:rPr>
              <w:t>  </w:t>
            </w:r>
            <w:r>
              <w:rPr>
                <w:color w:val="231F20"/>
                <w:spacing w:val="-2"/>
                <w:w w:val="105"/>
                <w:sz w:val="14"/>
              </w:rPr>
              <w:t>35,272,861</w:t>
            </w:r>
          </w:p>
        </w:tc>
      </w:tr>
      <w:tr>
        <w:trPr>
          <w:trHeight w:val="603" w:hRule="atLeast"/>
        </w:trPr>
        <w:tc>
          <w:tcPr>
            <w:tcW w:w="4101" w:type="dxa"/>
          </w:tcPr>
          <w:p>
            <w:pPr>
              <w:pStyle w:val="TableParagraph"/>
              <w:spacing w:line="300" w:lineRule="auto" w:before="120"/>
              <w:ind w:left="178" w:right="228" w:hanging="129"/>
              <w:rPr>
                <w:sz w:val="14"/>
              </w:rPr>
            </w:pPr>
            <w:r>
              <w:rPr>
                <w:color w:val="231F20"/>
                <w:w w:val="105"/>
                <w:sz w:val="14"/>
              </w:rPr>
              <w:t>Institute's</w:t>
            </w:r>
            <w:r>
              <w:rPr>
                <w:color w:val="231F20"/>
                <w:spacing w:val="-7"/>
                <w:w w:val="105"/>
                <w:sz w:val="14"/>
              </w:rPr>
              <w:t> </w:t>
            </w:r>
            <w:r>
              <w:rPr>
                <w:color w:val="231F20"/>
                <w:w w:val="105"/>
                <w:sz w:val="14"/>
              </w:rPr>
              <w:t>proportionate</w:t>
            </w:r>
            <w:r>
              <w:rPr>
                <w:color w:val="231F20"/>
                <w:spacing w:val="-7"/>
                <w:w w:val="105"/>
                <w:sz w:val="14"/>
              </w:rPr>
              <w:t> </w:t>
            </w:r>
            <w:r>
              <w:rPr>
                <w:color w:val="231F20"/>
                <w:w w:val="105"/>
                <w:sz w:val="14"/>
              </w:rPr>
              <w:t>share</w:t>
            </w:r>
            <w:r>
              <w:rPr>
                <w:color w:val="231F20"/>
                <w:spacing w:val="-7"/>
                <w:w w:val="105"/>
                <w:sz w:val="14"/>
              </w:rPr>
              <w:t> </w:t>
            </w:r>
            <w:r>
              <w:rPr>
                <w:color w:val="231F20"/>
                <w:w w:val="105"/>
                <w:sz w:val="14"/>
              </w:rPr>
              <w:t>of</w:t>
            </w:r>
            <w:r>
              <w:rPr>
                <w:color w:val="231F20"/>
                <w:spacing w:val="-7"/>
                <w:w w:val="105"/>
                <w:sz w:val="14"/>
              </w:rPr>
              <w:t> </w:t>
            </w:r>
            <w:r>
              <w:rPr>
                <w:color w:val="231F20"/>
                <w:w w:val="105"/>
                <w:sz w:val="14"/>
              </w:rPr>
              <w:t>the</w:t>
            </w:r>
            <w:r>
              <w:rPr>
                <w:color w:val="231F20"/>
                <w:spacing w:val="-7"/>
                <w:w w:val="105"/>
                <w:sz w:val="14"/>
              </w:rPr>
              <w:t> </w:t>
            </w:r>
            <w:r>
              <w:rPr>
                <w:color w:val="231F20"/>
                <w:w w:val="105"/>
                <w:sz w:val="14"/>
              </w:rPr>
              <w:t>net</w:t>
            </w:r>
            <w:r>
              <w:rPr>
                <w:color w:val="231F20"/>
                <w:spacing w:val="-7"/>
                <w:w w:val="105"/>
                <w:sz w:val="14"/>
              </w:rPr>
              <w:t> </w:t>
            </w:r>
            <w:r>
              <w:rPr>
                <w:color w:val="231F20"/>
                <w:w w:val="105"/>
                <w:sz w:val="14"/>
              </w:rPr>
              <w:t>pension</w:t>
            </w:r>
            <w:r>
              <w:rPr>
                <w:color w:val="231F20"/>
                <w:spacing w:val="-7"/>
                <w:w w:val="105"/>
                <w:sz w:val="14"/>
              </w:rPr>
              <w:t> </w:t>
            </w:r>
            <w:r>
              <w:rPr>
                <w:color w:val="231F20"/>
                <w:w w:val="105"/>
                <w:sz w:val="14"/>
              </w:rPr>
              <w:t>liability</w:t>
            </w:r>
            <w:r>
              <w:rPr>
                <w:color w:val="231F20"/>
                <w:spacing w:val="-9"/>
                <w:w w:val="105"/>
                <w:sz w:val="14"/>
              </w:rPr>
              <w:t> </w:t>
            </w:r>
            <w:r>
              <w:rPr>
                <w:color w:val="231F20"/>
                <w:w w:val="105"/>
                <w:sz w:val="14"/>
              </w:rPr>
              <w:t>as a percentage of its covered-employee payroll</w:t>
            </w:r>
          </w:p>
        </w:tc>
        <w:tc>
          <w:tcPr>
            <w:tcW w:w="1136" w:type="dxa"/>
          </w:tcPr>
          <w:p>
            <w:pPr>
              <w:pStyle w:val="TableParagraph"/>
              <w:rPr>
                <w:b/>
                <w:sz w:val="16"/>
              </w:rPr>
            </w:pPr>
          </w:p>
          <w:p>
            <w:pPr>
              <w:pStyle w:val="TableParagraph"/>
              <w:spacing w:before="137"/>
              <w:ind w:right="28"/>
              <w:jc w:val="right"/>
              <w:rPr>
                <w:sz w:val="14"/>
              </w:rPr>
            </w:pPr>
            <w:r>
              <w:rPr>
                <w:color w:val="231F20"/>
                <w:spacing w:val="-2"/>
                <w:w w:val="105"/>
                <w:sz w:val="14"/>
              </w:rPr>
              <w:t>232.23%</w:t>
            </w:r>
          </w:p>
        </w:tc>
        <w:tc>
          <w:tcPr>
            <w:tcW w:w="1307" w:type="dxa"/>
            <w:gridSpan w:val="2"/>
          </w:tcPr>
          <w:p>
            <w:pPr>
              <w:pStyle w:val="TableParagraph"/>
              <w:rPr>
                <w:b/>
                <w:sz w:val="16"/>
              </w:rPr>
            </w:pPr>
          </w:p>
          <w:p>
            <w:pPr>
              <w:pStyle w:val="TableParagraph"/>
              <w:spacing w:before="137"/>
              <w:ind w:left="699"/>
              <w:rPr>
                <w:sz w:val="14"/>
              </w:rPr>
            </w:pPr>
            <w:r>
              <w:rPr>
                <w:color w:val="231F20"/>
                <w:spacing w:val="-2"/>
                <w:w w:val="105"/>
                <w:sz w:val="14"/>
              </w:rPr>
              <w:t>665.91%</w:t>
            </w:r>
          </w:p>
        </w:tc>
        <w:tc>
          <w:tcPr>
            <w:tcW w:w="1306" w:type="dxa"/>
            <w:gridSpan w:val="2"/>
          </w:tcPr>
          <w:p>
            <w:pPr>
              <w:pStyle w:val="TableParagraph"/>
              <w:rPr>
                <w:b/>
                <w:sz w:val="16"/>
              </w:rPr>
            </w:pPr>
          </w:p>
          <w:p>
            <w:pPr>
              <w:pStyle w:val="TableParagraph"/>
              <w:spacing w:before="137"/>
              <w:ind w:left="700"/>
              <w:rPr>
                <w:sz w:val="14"/>
              </w:rPr>
            </w:pPr>
            <w:r>
              <w:rPr>
                <w:color w:val="231F20"/>
                <w:spacing w:val="-2"/>
                <w:w w:val="105"/>
                <w:sz w:val="14"/>
              </w:rPr>
              <w:t>284.06%</w:t>
            </w:r>
          </w:p>
        </w:tc>
        <w:tc>
          <w:tcPr>
            <w:tcW w:w="1308" w:type="dxa"/>
            <w:gridSpan w:val="2"/>
          </w:tcPr>
          <w:p>
            <w:pPr>
              <w:pStyle w:val="TableParagraph"/>
              <w:rPr>
                <w:b/>
                <w:sz w:val="16"/>
              </w:rPr>
            </w:pPr>
          </w:p>
          <w:p>
            <w:pPr>
              <w:pStyle w:val="TableParagraph"/>
              <w:spacing w:before="137"/>
              <w:ind w:left="701"/>
              <w:rPr>
                <w:sz w:val="14"/>
              </w:rPr>
            </w:pPr>
            <w:r>
              <w:rPr>
                <w:color w:val="231F20"/>
                <w:spacing w:val="-2"/>
                <w:w w:val="105"/>
                <w:sz w:val="14"/>
              </w:rPr>
              <w:t>457.48%</w:t>
            </w:r>
          </w:p>
        </w:tc>
        <w:tc>
          <w:tcPr>
            <w:tcW w:w="1308" w:type="dxa"/>
            <w:gridSpan w:val="2"/>
          </w:tcPr>
          <w:p>
            <w:pPr>
              <w:pStyle w:val="TableParagraph"/>
              <w:rPr>
                <w:b/>
                <w:sz w:val="16"/>
              </w:rPr>
            </w:pPr>
          </w:p>
          <w:p>
            <w:pPr>
              <w:pStyle w:val="TableParagraph"/>
              <w:spacing w:before="137"/>
              <w:ind w:left="701"/>
              <w:rPr>
                <w:sz w:val="14"/>
              </w:rPr>
            </w:pPr>
            <w:r>
              <w:rPr>
                <w:color w:val="231F20"/>
                <w:spacing w:val="-2"/>
                <w:w w:val="105"/>
                <w:sz w:val="14"/>
              </w:rPr>
              <w:t>399.52%</w:t>
            </w:r>
          </w:p>
        </w:tc>
        <w:tc>
          <w:tcPr>
            <w:tcW w:w="1307" w:type="dxa"/>
            <w:gridSpan w:val="2"/>
          </w:tcPr>
          <w:p>
            <w:pPr>
              <w:pStyle w:val="TableParagraph"/>
              <w:rPr>
                <w:b/>
                <w:sz w:val="16"/>
              </w:rPr>
            </w:pPr>
          </w:p>
          <w:p>
            <w:pPr>
              <w:pStyle w:val="TableParagraph"/>
              <w:spacing w:before="137"/>
              <w:ind w:left="700"/>
              <w:rPr>
                <w:sz w:val="14"/>
              </w:rPr>
            </w:pPr>
            <w:r>
              <w:rPr>
                <w:color w:val="231F20"/>
                <w:spacing w:val="-2"/>
                <w:w w:val="105"/>
                <w:sz w:val="14"/>
              </w:rPr>
              <w:t>264.88%</w:t>
            </w:r>
          </w:p>
        </w:tc>
        <w:tc>
          <w:tcPr>
            <w:tcW w:w="1307" w:type="dxa"/>
            <w:gridSpan w:val="2"/>
          </w:tcPr>
          <w:p>
            <w:pPr>
              <w:pStyle w:val="TableParagraph"/>
              <w:rPr>
                <w:b/>
                <w:sz w:val="16"/>
              </w:rPr>
            </w:pPr>
          </w:p>
          <w:p>
            <w:pPr>
              <w:pStyle w:val="TableParagraph"/>
              <w:spacing w:before="137"/>
              <w:ind w:left="701"/>
              <w:rPr>
                <w:sz w:val="14"/>
              </w:rPr>
            </w:pPr>
            <w:r>
              <w:rPr>
                <w:color w:val="231F20"/>
                <w:spacing w:val="-2"/>
                <w:w w:val="105"/>
                <w:sz w:val="14"/>
              </w:rPr>
              <w:t>203.50%</w:t>
            </w:r>
          </w:p>
        </w:tc>
        <w:tc>
          <w:tcPr>
            <w:tcW w:w="1337" w:type="dxa"/>
            <w:gridSpan w:val="2"/>
          </w:tcPr>
          <w:p>
            <w:pPr>
              <w:pStyle w:val="TableParagraph"/>
              <w:rPr>
                <w:b/>
                <w:sz w:val="16"/>
              </w:rPr>
            </w:pPr>
          </w:p>
          <w:p>
            <w:pPr>
              <w:pStyle w:val="TableParagraph"/>
              <w:spacing w:before="137"/>
              <w:ind w:left="715"/>
              <w:rPr>
                <w:sz w:val="14"/>
              </w:rPr>
            </w:pPr>
            <w:r>
              <w:rPr>
                <w:color w:val="231F20"/>
                <w:spacing w:val="-2"/>
                <w:w w:val="105"/>
                <w:sz w:val="14"/>
              </w:rPr>
              <w:t>210.80%</w:t>
            </w:r>
          </w:p>
        </w:tc>
      </w:tr>
      <w:tr>
        <w:trPr>
          <w:trHeight w:val="484" w:hRule="atLeast"/>
        </w:trPr>
        <w:tc>
          <w:tcPr>
            <w:tcW w:w="4101" w:type="dxa"/>
          </w:tcPr>
          <w:p>
            <w:pPr>
              <w:pStyle w:val="TableParagraph"/>
              <w:spacing w:line="200" w:lineRule="atLeast" w:before="64"/>
              <w:ind w:left="178" w:right="228" w:hanging="129"/>
              <w:rPr>
                <w:sz w:val="14"/>
              </w:rPr>
            </w:pPr>
            <w:r>
              <w:rPr>
                <w:color w:val="231F20"/>
                <w:w w:val="105"/>
                <w:sz w:val="14"/>
              </w:rPr>
              <w:t>Plan</w:t>
            </w:r>
            <w:r>
              <w:rPr>
                <w:color w:val="231F20"/>
                <w:spacing w:val="-5"/>
                <w:w w:val="105"/>
                <w:sz w:val="14"/>
              </w:rPr>
              <w:t> </w:t>
            </w:r>
            <w:r>
              <w:rPr>
                <w:color w:val="231F20"/>
                <w:w w:val="105"/>
                <w:sz w:val="14"/>
              </w:rPr>
              <w:t>fiduciary</w:t>
            </w:r>
            <w:r>
              <w:rPr>
                <w:color w:val="231F20"/>
                <w:spacing w:val="-8"/>
                <w:w w:val="105"/>
                <w:sz w:val="14"/>
              </w:rPr>
              <w:t> </w:t>
            </w:r>
            <w:r>
              <w:rPr>
                <w:color w:val="231F20"/>
                <w:w w:val="105"/>
                <w:sz w:val="14"/>
              </w:rPr>
              <w:t>net</w:t>
            </w:r>
            <w:r>
              <w:rPr>
                <w:color w:val="231F20"/>
                <w:spacing w:val="-5"/>
                <w:w w:val="105"/>
                <w:sz w:val="14"/>
              </w:rPr>
              <w:t> </w:t>
            </w:r>
            <w:r>
              <w:rPr>
                <w:color w:val="231F20"/>
                <w:w w:val="105"/>
                <w:sz w:val="14"/>
              </w:rPr>
              <w:t>position</w:t>
            </w:r>
            <w:r>
              <w:rPr>
                <w:color w:val="231F20"/>
                <w:spacing w:val="-7"/>
                <w:w w:val="105"/>
                <w:sz w:val="14"/>
              </w:rPr>
              <w:t> </w:t>
            </w:r>
            <w:r>
              <w:rPr>
                <w:color w:val="231F20"/>
                <w:w w:val="105"/>
                <w:sz w:val="14"/>
              </w:rPr>
              <w:t>as</w:t>
            </w:r>
            <w:r>
              <w:rPr>
                <w:color w:val="231F20"/>
                <w:spacing w:val="-4"/>
                <w:w w:val="105"/>
                <w:sz w:val="14"/>
              </w:rPr>
              <w:t> </w:t>
            </w:r>
            <w:r>
              <w:rPr>
                <w:color w:val="231F20"/>
                <w:w w:val="105"/>
                <w:sz w:val="14"/>
              </w:rPr>
              <w:t>a</w:t>
            </w:r>
            <w:r>
              <w:rPr>
                <w:color w:val="231F20"/>
                <w:spacing w:val="-7"/>
                <w:w w:val="105"/>
                <w:sz w:val="14"/>
              </w:rPr>
              <w:t> </w:t>
            </w:r>
            <w:r>
              <w:rPr>
                <w:color w:val="231F20"/>
                <w:w w:val="105"/>
                <w:sz w:val="14"/>
              </w:rPr>
              <w:t>percentage</w:t>
            </w:r>
            <w:r>
              <w:rPr>
                <w:color w:val="231F20"/>
                <w:spacing w:val="-5"/>
                <w:w w:val="105"/>
                <w:sz w:val="14"/>
              </w:rPr>
              <w:t> </w:t>
            </w:r>
            <w:r>
              <w:rPr>
                <w:color w:val="231F20"/>
                <w:w w:val="105"/>
                <w:sz w:val="14"/>
              </w:rPr>
              <w:t>of</w:t>
            </w:r>
            <w:r>
              <w:rPr>
                <w:color w:val="231F20"/>
                <w:spacing w:val="-5"/>
                <w:w w:val="105"/>
                <w:sz w:val="14"/>
              </w:rPr>
              <w:t> </w:t>
            </w:r>
            <w:r>
              <w:rPr>
                <w:color w:val="231F20"/>
                <w:w w:val="105"/>
                <w:sz w:val="14"/>
              </w:rPr>
              <w:t>the</w:t>
            </w:r>
            <w:r>
              <w:rPr>
                <w:color w:val="231F20"/>
                <w:spacing w:val="-5"/>
                <w:w w:val="105"/>
                <w:sz w:val="14"/>
              </w:rPr>
              <w:t> </w:t>
            </w:r>
            <w:r>
              <w:rPr>
                <w:color w:val="231F20"/>
                <w:w w:val="105"/>
                <w:sz w:val="14"/>
              </w:rPr>
              <w:t>total pension</w:t>
            </w:r>
            <w:r>
              <w:rPr>
                <w:color w:val="231F20"/>
                <w:spacing w:val="-4"/>
                <w:w w:val="105"/>
                <w:sz w:val="14"/>
              </w:rPr>
              <w:t> </w:t>
            </w:r>
            <w:r>
              <w:rPr>
                <w:color w:val="231F20"/>
                <w:w w:val="105"/>
                <w:sz w:val="14"/>
              </w:rPr>
              <w:t>liability</w:t>
            </w:r>
          </w:p>
        </w:tc>
        <w:tc>
          <w:tcPr>
            <w:tcW w:w="1136" w:type="dxa"/>
          </w:tcPr>
          <w:p>
            <w:pPr>
              <w:pStyle w:val="TableParagraph"/>
              <w:rPr>
                <w:b/>
                <w:sz w:val="16"/>
              </w:rPr>
            </w:pPr>
          </w:p>
          <w:p>
            <w:pPr>
              <w:pStyle w:val="TableParagraph"/>
              <w:spacing w:line="142" w:lineRule="exact" w:before="138"/>
              <w:ind w:right="28"/>
              <w:jc w:val="right"/>
              <w:rPr>
                <w:sz w:val="14"/>
              </w:rPr>
            </w:pPr>
            <w:r>
              <w:rPr>
                <w:color w:val="231F20"/>
                <w:spacing w:val="-2"/>
                <w:w w:val="105"/>
                <w:sz w:val="14"/>
              </w:rPr>
              <w:t>69.77%</w:t>
            </w:r>
          </w:p>
        </w:tc>
        <w:tc>
          <w:tcPr>
            <w:tcW w:w="1307" w:type="dxa"/>
            <w:gridSpan w:val="2"/>
          </w:tcPr>
          <w:p>
            <w:pPr>
              <w:pStyle w:val="TableParagraph"/>
              <w:rPr>
                <w:b/>
                <w:sz w:val="16"/>
              </w:rPr>
            </w:pPr>
          </w:p>
          <w:p>
            <w:pPr>
              <w:pStyle w:val="TableParagraph"/>
              <w:spacing w:line="142" w:lineRule="exact" w:before="138"/>
              <w:ind w:left="781"/>
              <w:rPr>
                <w:sz w:val="14"/>
              </w:rPr>
            </w:pPr>
            <w:r>
              <w:rPr>
                <w:color w:val="231F20"/>
                <w:spacing w:val="-2"/>
                <w:w w:val="105"/>
                <w:sz w:val="14"/>
              </w:rPr>
              <w:t>39.11%</w:t>
            </w:r>
          </w:p>
        </w:tc>
        <w:tc>
          <w:tcPr>
            <w:tcW w:w="1306" w:type="dxa"/>
            <w:gridSpan w:val="2"/>
          </w:tcPr>
          <w:p>
            <w:pPr>
              <w:pStyle w:val="TableParagraph"/>
              <w:rPr>
                <w:b/>
                <w:sz w:val="16"/>
              </w:rPr>
            </w:pPr>
          </w:p>
          <w:p>
            <w:pPr>
              <w:pStyle w:val="TableParagraph"/>
              <w:spacing w:line="142" w:lineRule="exact" w:before="138"/>
              <w:ind w:left="781"/>
              <w:rPr>
                <w:sz w:val="14"/>
              </w:rPr>
            </w:pPr>
            <w:r>
              <w:rPr>
                <w:color w:val="231F20"/>
                <w:spacing w:val="-2"/>
                <w:w w:val="105"/>
                <w:sz w:val="14"/>
              </w:rPr>
              <w:t>64.13%</w:t>
            </w:r>
          </w:p>
        </w:tc>
        <w:tc>
          <w:tcPr>
            <w:tcW w:w="1308" w:type="dxa"/>
            <w:gridSpan w:val="2"/>
          </w:tcPr>
          <w:p>
            <w:pPr>
              <w:pStyle w:val="TableParagraph"/>
              <w:rPr>
                <w:b/>
                <w:sz w:val="16"/>
              </w:rPr>
            </w:pPr>
          </w:p>
          <w:p>
            <w:pPr>
              <w:pStyle w:val="TableParagraph"/>
              <w:spacing w:line="142" w:lineRule="exact" w:before="138"/>
              <w:ind w:left="782"/>
              <w:rPr>
                <w:sz w:val="14"/>
              </w:rPr>
            </w:pPr>
            <w:r>
              <w:rPr>
                <w:color w:val="231F20"/>
                <w:spacing w:val="-2"/>
                <w:w w:val="105"/>
                <w:sz w:val="14"/>
              </w:rPr>
              <w:t>52.17%</w:t>
            </w:r>
          </w:p>
        </w:tc>
        <w:tc>
          <w:tcPr>
            <w:tcW w:w="1308" w:type="dxa"/>
            <w:gridSpan w:val="2"/>
          </w:tcPr>
          <w:p>
            <w:pPr>
              <w:pStyle w:val="TableParagraph"/>
              <w:rPr>
                <w:b/>
                <w:sz w:val="16"/>
              </w:rPr>
            </w:pPr>
          </w:p>
          <w:p>
            <w:pPr>
              <w:pStyle w:val="TableParagraph"/>
              <w:spacing w:line="142" w:lineRule="exact" w:before="138"/>
              <w:ind w:left="782"/>
              <w:rPr>
                <w:sz w:val="14"/>
              </w:rPr>
            </w:pPr>
            <w:r>
              <w:rPr>
                <w:color w:val="231F20"/>
                <w:spacing w:val="-2"/>
                <w:w w:val="105"/>
                <w:sz w:val="14"/>
              </w:rPr>
              <w:t>52.95%</w:t>
            </w:r>
          </w:p>
        </w:tc>
        <w:tc>
          <w:tcPr>
            <w:tcW w:w="1307" w:type="dxa"/>
            <w:gridSpan w:val="2"/>
          </w:tcPr>
          <w:p>
            <w:pPr>
              <w:pStyle w:val="TableParagraph"/>
              <w:rPr>
                <w:b/>
                <w:sz w:val="16"/>
              </w:rPr>
            </w:pPr>
          </w:p>
          <w:p>
            <w:pPr>
              <w:pStyle w:val="TableParagraph"/>
              <w:spacing w:line="142" w:lineRule="exact" w:before="138"/>
              <w:ind w:left="782"/>
              <w:rPr>
                <w:sz w:val="14"/>
              </w:rPr>
            </w:pPr>
            <w:r>
              <w:rPr>
                <w:color w:val="231F20"/>
                <w:spacing w:val="-2"/>
                <w:w w:val="105"/>
                <w:sz w:val="14"/>
              </w:rPr>
              <w:t>61.58%</w:t>
            </w:r>
          </w:p>
        </w:tc>
        <w:tc>
          <w:tcPr>
            <w:tcW w:w="1307" w:type="dxa"/>
            <w:gridSpan w:val="2"/>
          </w:tcPr>
          <w:p>
            <w:pPr>
              <w:pStyle w:val="TableParagraph"/>
              <w:rPr>
                <w:b/>
                <w:sz w:val="16"/>
              </w:rPr>
            </w:pPr>
          </w:p>
          <w:p>
            <w:pPr>
              <w:pStyle w:val="TableParagraph"/>
              <w:spacing w:line="142" w:lineRule="exact" w:before="138"/>
              <w:ind w:left="783"/>
              <w:rPr>
                <w:sz w:val="14"/>
              </w:rPr>
            </w:pPr>
            <w:r>
              <w:rPr>
                <w:color w:val="231F20"/>
                <w:spacing w:val="-2"/>
                <w:w w:val="105"/>
                <w:sz w:val="14"/>
              </w:rPr>
              <w:t>63.97%</w:t>
            </w:r>
          </w:p>
        </w:tc>
        <w:tc>
          <w:tcPr>
            <w:tcW w:w="1337" w:type="dxa"/>
            <w:gridSpan w:val="2"/>
          </w:tcPr>
          <w:p>
            <w:pPr>
              <w:pStyle w:val="TableParagraph"/>
              <w:rPr>
                <w:b/>
                <w:sz w:val="16"/>
              </w:rPr>
            </w:pPr>
          </w:p>
          <w:p>
            <w:pPr>
              <w:pStyle w:val="TableParagraph"/>
              <w:spacing w:line="142" w:lineRule="exact" w:before="138"/>
              <w:ind w:left="796"/>
              <w:rPr>
                <w:sz w:val="14"/>
              </w:rPr>
            </w:pPr>
            <w:r>
              <w:rPr>
                <w:color w:val="231F20"/>
                <w:spacing w:val="-2"/>
                <w:w w:val="105"/>
                <w:sz w:val="14"/>
              </w:rPr>
              <w:t>66.54%</w:t>
            </w:r>
          </w:p>
        </w:tc>
      </w:tr>
    </w:tbl>
    <w:p>
      <w:pPr>
        <w:pStyle w:val="BodyText"/>
        <w:spacing w:before="1"/>
        <w:rPr>
          <w:b/>
          <w:sz w:val="11"/>
        </w:rPr>
      </w:pPr>
    </w:p>
    <w:p>
      <w:pPr>
        <w:spacing w:line="276" w:lineRule="auto" w:before="101"/>
        <w:ind w:left="158" w:right="198" w:firstLine="0"/>
        <w:jc w:val="left"/>
        <w:rPr>
          <w:sz w:val="14"/>
        </w:rPr>
      </w:pPr>
      <w:r>
        <w:rPr>
          <w:i/>
          <w:color w:val="231F20"/>
          <w:w w:val="105"/>
          <w:sz w:val="14"/>
        </w:rPr>
        <w:t>*Governmental</w:t>
      </w:r>
      <w:r>
        <w:rPr>
          <w:i/>
          <w:color w:val="231F20"/>
          <w:spacing w:val="-3"/>
          <w:w w:val="105"/>
          <w:sz w:val="14"/>
        </w:rPr>
        <w:t> </w:t>
      </w:r>
      <w:r>
        <w:rPr>
          <w:i/>
          <w:color w:val="231F20"/>
          <w:w w:val="105"/>
          <w:sz w:val="14"/>
        </w:rPr>
        <w:t>Accounting</w:t>
      </w:r>
      <w:r>
        <w:rPr>
          <w:i/>
          <w:color w:val="231F20"/>
          <w:spacing w:val="-3"/>
          <w:w w:val="105"/>
          <w:sz w:val="14"/>
        </w:rPr>
        <w:t> </w:t>
      </w:r>
      <w:r>
        <w:rPr>
          <w:i/>
          <w:color w:val="231F20"/>
          <w:w w:val="105"/>
          <w:sz w:val="14"/>
        </w:rPr>
        <w:t>Standards</w:t>
      </w:r>
      <w:r>
        <w:rPr>
          <w:i/>
          <w:color w:val="231F20"/>
          <w:spacing w:val="-3"/>
          <w:w w:val="105"/>
          <w:sz w:val="14"/>
        </w:rPr>
        <w:t> </w:t>
      </w:r>
      <w:r>
        <w:rPr>
          <w:i/>
          <w:color w:val="231F20"/>
          <w:w w:val="105"/>
          <w:sz w:val="14"/>
        </w:rPr>
        <w:t>Board</w:t>
      </w:r>
      <w:r>
        <w:rPr>
          <w:i/>
          <w:color w:val="231F20"/>
          <w:spacing w:val="-5"/>
          <w:w w:val="105"/>
          <w:sz w:val="14"/>
        </w:rPr>
        <w:t> </w:t>
      </w:r>
      <w:r>
        <w:rPr>
          <w:i/>
          <w:color w:val="231F20"/>
          <w:w w:val="105"/>
          <w:sz w:val="14"/>
        </w:rPr>
        <w:t>Statement</w:t>
      </w:r>
      <w:r>
        <w:rPr>
          <w:i/>
          <w:color w:val="231F20"/>
          <w:spacing w:val="-3"/>
          <w:w w:val="105"/>
          <w:sz w:val="14"/>
        </w:rPr>
        <w:t> </w:t>
      </w:r>
      <w:r>
        <w:rPr>
          <w:i/>
          <w:color w:val="231F20"/>
          <w:w w:val="105"/>
          <w:sz w:val="14"/>
        </w:rPr>
        <w:t>No.</w:t>
      </w:r>
      <w:r>
        <w:rPr>
          <w:i/>
          <w:color w:val="231F20"/>
          <w:spacing w:val="-5"/>
          <w:w w:val="105"/>
          <w:sz w:val="14"/>
        </w:rPr>
        <w:t> </w:t>
      </w:r>
      <w:r>
        <w:rPr>
          <w:i/>
          <w:color w:val="231F20"/>
          <w:w w:val="105"/>
          <w:sz w:val="14"/>
        </w:rPr>
        <w:t>68</w:t>
      </w:r>
      <w:r>
        <w:rPr>
          <w:i/>
          <w:color w:val="231F20"/>
          <w:spacing w:val="22"/>
          <w:w w:val="105"/>
          <w:sz w:val="14"/>
        </w:rPr>
        <w:t> </w:t>
      </w:r>
      <w:r>
        <w:rPr>
          <w:color w:val="231F20"/>
          <w:w w:val="105"/>
          <w:sz w:val="14"/>
        </w:rPr>
        <w:t>requires</w:t>
      </w:r>
      <w:r>
        <w:rPr>
          <w:color w:val="231F20"/>
          <w:spacing w:val="-3"/>
          <w:w w:val="105"/>
          <w:sz w:val="14"/>
        </w:rPr>
        <w:t> </w:t>
      </w:r>
      <w:r>
        <w:rPr>
          <w:color w:val="231F20"/>
          <w:w w:val="105"/>
          <w:sz w:val="14"/>
        </w:rPr>
        <w:t>ten</w:t>
      </w:r>
      <w:r>
        <w:rPr>
          <w:color w:val="231F20"/>
          <w:spacing w:val="-4"/>
          <w:w w:val="105"/>
          <w:sz w:val="14"/>
        </w:rPr>
        <w:t> </w:t>
      </w:r>
      <w:r>
        <w:rPr>
          <w:color w:val="231F20"/>
          <w:w w:val="105"/>
          <w:sz w:val="14"/>
        </w:rPr>
        <w:t>years</w:t>
      </w:r>
      <w:r>
        <w:rPr>
          <w:color w:val="231F20"/>
          <w:spacing w:val="-3"/>
          <w:w w:val="105"/>
          <w:sz w:val="14"/>
        </w:rPr>
        <w:t> </w:t>
      </w:r>
      <w:r>
        <w:rPr>
          <w:color w:val="231F20"/>
          <w:w w:val="105"/>
          <w:sz w:val="14"/>
        </w:rPr>
        <w:t>of</w:t>
      </w:r>
      <w:r>
        <w:rPr>
          <w:color w:val="231F20"/>
          <w:spacing w:val="-3"/>
          <w:w w:val="105"/>
          <w:sz w:val="14"/>
        </w:rPr>
        <w:t> </w:t>
      </w:r>
      <w:r>
        <w:rPr>
          <w:color w:val="231F20"/>
          <w:w w:val="105"/>
          <w:sz w:val="14"/>
        </w:rPr>
        <w:t>historical</w:t>
      </w:r>
      <w:r>
        <w:rPr>
          <w:color w:val="231F20"/>
          <w:spacing w:val="-3"/>
          <w:w w:val="105"/>
          <w:sz w:val="14"/>
        </w:rPr>
        <w:t> </w:t>
      </w:r>
      <w:r>
        <w:rPr>
          <w:color w:val="231F20"/>
          <w:w w:val="105"/>
          <w:sz w:val="14"/>
        </w:rPr>
        <w:t>information</w:t>
      </w:r>
      <w:r>
        <w:rPr>
          <w:color w:val="231F20"/>
          <w:spacing w:val="-3"/>
          <w:w w:val="105"/>
          <w:sz w:val="14"/>
        </w:rPr>
        <w:t> </w:t>
      </w:r>
      <w:r>
        <w:rPr>
          <w:color w:val="231F20"/>
          <w:w w:val="105"/>
          <w:sz w:val="14"/>
        </w:rPr>
        <w:t>be</w:t>
      </w:r>
      <w:r>
        <w:rPr>
          <w:color w:val="231F20"/>
          <w:spacing w:val="-5"/>
          <w:w w:val="105"/>
          <w:sz w:val="14"/>
        </w:rPr>
        <w:t> </w:t>
      </w:r>
      <w:r>
        <w:rPr>
          <w:color w:val="231F20"/>
          <w:w w:val="105"/>
          <w:sz w:val="14"/>
        </w:rPr>
        <w:t>presented;</w:t>
      </w:r>
      <w:r>
        <w:rPr>
          <w:color w:val="231F20"/>
          <w:spacing w:val="-3"/>
          <w:w w:val="105"/>
          <w:sz w:val="14"/>
        </w:rPr>
        <w:t> </w:t>
      </w:r>
      <w:r>
        <w:rPr>
          <w:color w:val="231F20"/>
          <w:w w:val="105"/>
          <w:sz w:val="14"/>
        </w:rPr>
        <w:t>however,</w:t>
      </w:r>
      <w:r>
        <w:rPr>
          <w:color w:val="231F20"/>
          <w:spacing w:val="-3"/>
          <w:w w:val="105"/>
          <w:sz w:val="14"/>
        </w:rPr>
        <w:t> </w:t>
      </w:r>
      <w:r>
        <w:rPr>
          <w:color w:val="231F20"/>
          <w:w w:val="105"/>
          <w:sz w:val="14"/>
        </w:rPr>
        <w:t>until</w:t>
      </w:r>
      <w:r>
        <w:rPr>
          <w:color w:val="231F20"/>
          <w:spacing w:val="-3"/>
          <w:w w:val="105"/>
          <w:sz w:val="14"/>
        </w:rPr>
        <w:t> </w:t>
      </w:r>
      <w:r>
        <w:rPr>
          <w:color w:val="231F20"/>
          <w:w w:val="105"/>
          <w:sz w:val="14"/>
        </w:rPr>
        <w:t>a</w:t>
      </w:r>
      <w:r>
        <w:rPr>
          <w:color w:val="231F20"/>
          <w:spacing w:val="-3"/>
          <w:w w:val="105"/>
          <w:sz w:val="14"/>
        </w:rPr>
        <w:t> </w:t>
      </w:r>
      <w:r>
        <w:rPr>
          <w:color w:val="231F20"/>
          <w:w w:val="105"/>
          <w:sz w:val="14"/>
        </w:rPr>
        <w:t>full</w:t>
      </w:r>
      <w:r>
        <w:rPr>
          <w:color w:val="231F20"/>
          <w:spacing w:val="-3"/>
          <w:w w:val="105"/>
          <w:sz w:val="14"/>
        </w:rPr>
        <w:t> </w:t>
      </w:r>
      <w:r>
        <w:rPr>
          <w:color w:val="231F20"/>
          <w:w w:val="105"/>
          <w:sz w:val="14"/>
        </w:rPr>
        <w:t>10-year</w:t>
      </w:r>
      <w:r>
        <w:rPr>
          <w:color w:val="231F20"/>
          <w:spacing w:val="-4"/>
          <w:w w:val="105"/>
          <w:sz w:val="14"/>
        </w:rPr>
        <w:t> </w:t>
      </w:r>
      <w:r>
        <w:rPr>
          <w:color w:val="231F20"/>
          <w:w w:val="105"/>
          <w:sz w:val="14"/>
        </w:rPr>
        <w:t>trend</w:t>
      </w:r>
      <w:r>
        <w:rPr>
          <w:color w:val="231F20"/>
          <w:spacing w:val="-3"/>
          <w:w w:val="105"/>
          <w:sz w:val="14"/>
        </w:rPr>
        <w:t> </w:t>
      </w:r>
      <w:r>
        <w:rPr>
          <w:color w:val="231F20"/>
          <w:w w:val="105"/>
          <w:sz w:val="14"/>
        </w:rPr>
        <w:t>is</w:t>
      </w:r>
      <w:r>
        <w:rPr>
          <w:color w:val="231F20"/>
          <w:spacing w:val="-3"/>
          <w:w w:val="105"/>
          <w:sz w:val="14"/>
        </w:rPr>
        <w:t> </w:t>
      </w:r>
      <w:r>
        <w:rPr>
          <w:color w:val="231F20"/>
          <w:w w:val="105"/>
          <w:sz w:val="14"/>
        </w:rPr>
        <w:t>compiled,</w:t>
      </w:r>
      <w:r>
        <w:rPr>
          <w:color w:val="231F20"/>
          <w:spacing w:val="-3"/>
          <w:w w:val="105"/>
          <w:sz w:val="14"/>
        </w:rPr>
        <w:t> </w:t>
      </w:r>
      <w:r>
        <w:rPr>
          <w:color w:val="231F20"/>
          <w:w w:val="105"/>
          <w:sz w:val="14"/>
        </w:rPr>
        <w:t>the</w:t>
      </w:r>
      <w:r>
        <w:rPr>
          <w:color w:val="231F20"/>
          <w:spacing w:val="-4"/>
          <w:w w:val="105"/>
          <w:sz w:val="14"/>
        </w:rPr>
        <w:t> </w:t>
      </w:r>
      <w:r>
        <w:rPr>
          <w:color w:val="231F20"/>
          <w:w w:val="105"/>
          <w:sz w:val="14"/>
        </w:rPr>
        <w:t>statement</w:t>
      </w:r>
      <w:r>
        <w:rPr>
          <w:color w:val="231F20"/>
          <w:spacing w:val="-3"/>
          <w:w w:val="105"/>
          <w:sz w:val="14"/>
        </w:rPr>
        <w:t> </w:t>
      </w:r>
      <w:r>
        <w:rPr>
          <w:color w:val="231F20"/>
          <w:w w:val="105"/>
          <w:sz w:val="14"/>
        </w:rPr>
        <w:t>only</w:t>
      </w:r>
      <w:r>
        <w:rPr>
          <w:color w:val="231F20"/>
          <w:spacing w:val="-4"/>
          <w:w w:val="105"/>
          <w:sz w:val="14"/>
        </w:rPr>
        <w:t> </w:t>
      </w:r>
      <w:r>
        <w:rPr>
          <w:color w:val="231F20"/>
          <w:w w:val="105"/>
          <w:sz w:val="14"/>
        </w:rPr>
        <w:t>requires</w:t>
      </w:r>
      <w:r>
        <w:rPr>
          <w:color w:val="231F20"/>
          <w:spacing w:val="-3"/>
          <w:w w:val="105"/>
          <w:sz w:val="14"/>
        </w:rPr>
        <w:t> </w:t>
      </w:r>
      <w:r>
        <w:rPr>
          <w:color w:val="231F20"/>
          <w:w w:val="105"/>
          <w:sz w:val="14"/>
        </w:rPr>
        <w:t>presentation</w:t>
      </w:r>
      <w:r>
        <w:rPr>
          <w:color w:val="231F20"/>
          <w:spacing w:val="-3"/>
          <w:w w:val="105"/>
          <w:sz w:val="14"/>
        </w:rPr>
        <w:t> </w:t>
      </w:r>
      <w:r>
        <w:rPr>
          <w:color w:val="231F20"/>
          <w:w w:val="105"/>
          <w:sz w:val="14"/>
        </w:rPr>
        <w:t>of information for those years that information is available. Complete information for the</w:t>
      </w:r>
      <w:r>
        <w:rPr>
          <w:color w:val="231F20"/>
          <w:spacing w:val="-1"/>
          <w:w w:val="105"/>
          <w:sz w:val="14"/>
        </w:rPr>
        <w:t> </w:t>
      </w:r>
      <w:r>
        <w:rPr>
          <w:color w:val="231F20"/>
          <w:w w:val="105"/>
          <w:sz w:val="14"/>
        </w:rPr>
        <w:t>Institute</w:t>
      </w:r>
      <w:r>
        <w:rPr>
          <w:color w:val="231F20"/>
          <w:spacing w:val="-1"/>
          <w:w w:val="105"/>
          <w:sz w:val="14"/>
        </w:rPr>
        <w:t> </w:t>
      </w:r>
      <w:r>
        <w:rPr>
          <w:color w:val="231F20"/>
          <w:w w:val="105"/>
          <w:sz w:val="14"/>
        </w:rPr>
        <w:t>is not available prior</w:t>
      </w:r>
      <w:r>
        <w:rPr>
          <w:color w:val="231F20"/>
          <w:spacing w:val="-1"/>
          <w:w w:val="105"/>
          <w:sz w:val="14"/>
        </w:rPr>
        <w:t> </w:t>
      </w:r>
      <w:r>
        <w:rPr>
          <w:color w:val="231F20"/>
          <w:w w:val="105"/>
          <w:sz w:val="14"/>
        </w:rPr>
        <w:t>to fiscal year 2015, the year the statement’s requirements became effective.</w:t>
      </w:r>
    </w:p>
    <w:p>
      <w:pPr>
        <w:spacing w:after="0" w:line="276" w:lineRule="auto"/>
        <w:jc w:val="left"/>
        <w:rPr>
          <w:sz w:val="14"/>
        </w:rPr>
        <w:sectPr>
          <w:headerReference w:type="default" r:id="rId50"/>
          <w:footerReference w:type="default" r:id="rId51"/>
          <w:pgSz w:w="15840" w:h="12240" w:orient="landscape"/>
          <w:pgMar w:header="994" w:footer="1097" w:top="1300" w:bottom="1280" w:left="600" w:right="600"/>
          <w:pgNumType w:start="76"/>
        </w:sectPr>
      </w:pPr>
    </w:p>
    <w:p>
      <w:pPr>
        <w:pStyle w:val="Heading3"/>
        <w:ind w:left="4445" w:right="4442" w:firstLine="1374"/>
        <w:jc w:val="left"/>
      </w:pPr>
      <w:r>
        <w:rPr>
          <w:color w:val="231F20"/>
        </w:rPr>
        <w:t>Schedule of Contributions Educational</w:t>
      </w:r>
      <w:r>
        <w:rPr>
          <w:color w:val="231F20"/>
          <w:spacing w:val="-7"/>
        </w:rPr>
        <w:t> </w:t>
      </w:r>
      <w:r>
        <w:rPr>
          <w:color w:val="231F20"/>
        </w:rPr>
        <w:t>Retirement</w:t>
      </w:r>
      <w:r>
        <w:rPr>
          <w:color w:val="231F20"/>
          <w:spacing w:val="-7"/>
        </w:rPr>
        <w:t> </w:t>
      </w:r>
      <w:r>
        <w:rPr>
          <w:color w:val="231F20"/>
        </w:rPr>
        <w:t>Board</w:t>
      </w:r>
      <w:r>
        <w:rPr>
          <w:color w:val="231F20"/>
          <w:spacing w:val="-7"/>
        </w:rPr>
        <w:t> </w:t>
      </w:r>
      <w:r>
        <w:rPr>
          <w:color w:val="231F20"/>
        </w:rPr>
        <w:t>(ERB)</w:t>
      </w:r>
      <w:r>
        <w:rPr>
          <w:color w:val="231F20"/>
          <w:spacing w:val="-7"/>
        </w:rPr>
        <w:t> </w:t>
      </w:r>
      <w:r>
        <w:rPr>
          <w:color w:val="231F20"/>
        </w:rPr>
        <w:t>Pension</w:t>
      </w:r>
      <w:r>
        <w:rPr>
          <w:color w:val="231F20"/>
          <w:spacing w:val="-7"/>
        </w:rPr>
        <w:t> </w:t>
      </w:r>
      <w:r>
        <w:rPr>
          <w:color w:val="231F20"/>
        </w:rPr>
        <w:t>Plan</w:t>
      </w:r>
    </w:p>
    <w:p>
      <w:pPr>
        <w:spacing w:before="0"/>
        <w:ind w:left="6538" w:right="0" w:firstLine="0"/>
        <w:jc w:val="left"/>
        <w:rPr>
          <w:b/>
          <w:sz w:val="24"/>
        </w:rPr>
      </w:pPr>
      <w:r>
        <w:rPr/>
        <w:pict>
          <v:rect style="position:absolute;margin-left:34.499001pt;margin-top:14.675767pt;width:723.001pt;height:1.5pt;mso-position-horizontal-relative:page;mso-position-vertical-relative:paragraph;z-index:-15645184;mso-wrap-distance-left:0;mso-wrap-distance-right:0" id="docshape416" filled="true" fillcolor="#231f20" stroked="false">
            <v:fill type="solid"/>
            <w10:wrap type="topAndBottom"/>
          </v:rect>
        </w:pict>
      </w:r>
      <w:r>
        <w:rPr>
          <w:b/>
          <w:color w:val="231F20"/>
          <w:sz w:val="24"/>
        </w:rPr>
        <w:t>June</w:t>
      </w:r>
      <w:r>
        <w:rPr>
          <w:b/>
          <w:color w:val="231F20"/>
          <w:spacing w:val="-3"/>
          <w:sz w:val="24"/>
        </w:rPr>
        <w:t> </w:t>
      </w:r>
      <w:r>
        <w:rPr>
          <w:b/>
          <w:color w:val="231F20"/>
          <w:sz w:val="24"/>
        </w:rPr>
        <w:t>30,</w:t>
      </w:r>
      <w:r>
        <w:rPr>
          <w:b/>
          <w:color w:val="231F20"/>
          <w:spacing w:val="-2"/>
          <w:sz w:val="24"/>
        </w:rPr>
        <w:t> </w:t>
      </w:r>
      <w:r>
        <w:rPr>
          <w:b/>
          <w:color w:val="231F20"/>
          <w:spacing w:val="-4"/>
          <w:sz w:val="24"/>
        </w:rPr>
        <w:t>2022</w:t>
      </w:r>
    </w:p>
    <w:p>
      <w:pPr>
        <w:pStyle w:val="BodyText"/>
        <w:rPr>
          <w:b/>
        </w:rPr>
      </w:pPr>
    </w:p>
    <w:p>
      <w:pPr>
        <w:pStyle w:val="BodyText"/>
        <w:spacing w:before="9" w:after="1"/>
        <w:rPr>
          <w:b/>
          <w:sz w:val="27"/>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9"/>
        <w:gridCol w:w="585"/>
        <w:gridCol w:w="550"/>
        <w:gridCol w:w="171"/>
        <w:gridCol w:w="586"/>
        <w:gridCol w:w="550"/>
        <w:gridCol w:w="172"/>
        <w:gridCol w:w="587"/>
        <w:gridCol w:w="549"/>
        <w:gridCol w:w="173"/>
        <w:gridCol w:w="586"/>
        <w:gridCol w:w="549"/>
        <w:gridCol w:w="173"/>
        <w:gridCol w:w="586"/>
        <w:gridCol w:w="549"/>
        <w:gridCol w:w="172"/>
        <w:gridCol w:w="587"/>
        <w:gridCol w:w="550"/>
        <w:gridCol w:w="172"/>
        <w:gridCol w:w="587"/>
        <w:gridCol w:w="549"/>
        <w:gridCol w:w="184"/>
        <w:gridCol w:w="586"/>
        <w:gridCol w:w="562"/>
      </w:tblGrid>
      <w:tr>
        <w:trPr>
          <w:trHeight w:val="195" w:hRule="atLeast"/>
        </w:trPr>
        <w:tc>
          <w:tcPr>
            <w:tcW w:w="5234" w:type="dxa"/>
            <w:gridSpan w:val="3"/>
          </w:tcPr>
          <w:p>
            <w:pPr>
              <w:pStyle w:val="TableParagraph"/>
              <w:spacing w:line="175" w:lineRule="exact"/>
              <w:ind w:right="374"/>
              <w:jc w:val="right"/>
              <w:rPr>
                <w:sz w:val="16"/>
              </w:rPr>
            </w:pPr>
            <w:r>
              <w:rPr>
                <w:color w:val="231F20"/>
                <w:spacing w:val="-4"/>
                <w:w w:val="105"/>
                <w:sz w:val="16"/>
              </w:rPr>
              <w:t>2021</w:t>
            </w:r>
          </w:p>
        </w:tc>
        <w:tc>
          <w:tcPr>
            <w:tcW w:w="171" w:type="dxa"/>
          </w:tcPr>
          <w:p>
            <w:pPr>
              <w:pStyle w:val="TableParagraph"/>
              <w:rPr>
                <w:rFonts w:ascii="Times New Roman"/>
                <w:sz w:val="12"/>
              </w:rPr>
            </w:pPr>
          </w:p>
        </w:tc>
        <w:tc>
          <w:tcPr>
            <w:tcW w:w="1136" w:type="dxa"/>
            <w:gridSpan w:val="2"/>
            <w:tcBorders>
              <w:bottom w:val="single" w:sz="8" w:space="0" w:color="231F20"/>
            </w:tcBorders>
          </w:tcPr>
          <w:p>
            <w:pPr>
              <w:pStyle w:val="TableParagraph"/>
              <w:spacing w:line="175" w:lineRule="exact"/>
              <w:ind w:left="395"/>
              <w:rPr>
                <w:sz w:val="16"/>
              </w:rPr>
            </w:pPr>
            <w:r>
              <w:rPr>
                <w:color w:val="231F20"/>
                <w:spacing w:val="-4"/>
                <w:w w:val="105"/>
                <w:sz w:val="16"/>
              </w:rPr>
              <w:t>2021</w:t>
            </w:r>
          </w:p>
        </w:tc>
        <w:tc>
          <w:tcPr>
            <w:tcW w:w="172" w:type="dxa"/>
          </w:tcPr>
          <w:p>
            <w:pPr>
              <w:pStyle w:val="TableParagraph"/>
              <w:rPr>
                <w:rFonts w:ascii="Times New Roman"/>
                <w:sz w:val="12"/>
              </w:rPr>
            </w:pPr>
          </w:p>
        </w:tc>
        <w:tc>
          <w:tcPr>
            <w:tcW w:w="1136" w:type="dxa"/>
            <w:gridSpan w:val="2"/>
            <w:tcBorders>
              <w:bottom w:val="single" w:sz="8" w:space="0" w:color="231F20"/>
            </w:tcBorders>
          </w:tcPr>
          <w:p>
            <w:pPr>
              <w:pStyle w:val="TableParagraph"/>
              <w:spacing w:line="175" w:lineRule="exact"/>
              <w:ind w:left="395"/>
              <w:rPr>
                <w:sz w:val="16"/>
              </w:rPr>
            </w:pPr>
            <w:r>
              <w:rPr>
                <w:color w:val="231F20"/>
                <w:spacing w:val="-4"/>
                <w:w w:val="105"/>
                <w:sz w:val="16"/>
              </w:rPr>
              <w:t>2020</w:t>
            </w:r>
          </w:p>
        </w:tc>
        <w:tc>
          <w:tcPr>
            <w:tcW w:w="173" w:type="dxa"/>
          </w:tcPr>
          <w:p>
            <w:pPr>
              <w:pStyle w:val="TableParagraph"/>
              <w:rPr>
                <w:rFonts w:ascii="Times New Roman"/>
                <w:sz w:val="12"/>
              </w:rPr>
            </w:pPr>
          </w:p>
        </w:tc>
        <w:tc>
          <w:tcPr>
            <w:tcW w:w="1135" w:type="dxa"/>
            <w:gridSpan w:val="2"/>
            <w:tcBorders>
              <w:bottom w:val="single" w:sz="8" w:space="0" w:color="231F20"/>
            </w:tcBorders>
          </w:tcPr>
          <w:p>
            <w:pPr>
              <w:pStyle w:val="TableParagraph"/>
              <w:spacing w:line="175" w:lineRule="exact"/>
              <w:ind w:left="393"/>
              <w:rPr>
                <w:sz w:val="16"/>
              </w:rPr>
            </w:pPr>
            <w:r>
              <w:rPr>
                <w:color w:val="231F20"/>
                <w:spacing w:val="-4"/>
                <w:w w:val="105"/>
                <w:sz w:val="16"/>
              </w:rPr>
              <w:t>2019</w:t>
            </w:r>
          </w:p>
        </w:tc>
        <w:tc>
          <w:tcPr>
            <w:tcW w:w="173" w:type="dxa"/>
          </w:tcPr>
          <w:p>
            <w:pPr>
              <w:pStyle w:val="TableParagraph"/>
              <w:rPr>
                <w:rFonts w:ascii="Times New Roman"/>
                <w:sz w:val="12"/>
              </w:rPr>
            </w:pPr>
          </w:p>
        </w:tc>
        <w:tc>
          <w:tcPr>
            <w:tcW w:w="1135" w:type="dxa"/>
            <w:gridSpan w:val="2"/>
            <w:tcBorders>
              <w:bottom w:val="single" w:sz="8" w:space="0" w:color="231F20"/>
            </w:tcBorders>
          </w:tcPr>
          <w:p>
            <w:pPr>
              <w:pStyle w:val="TableParagraph"/>
              <w:spacing w:line="175" w:lineRule="exact"/>
              <w:ind w:left="392"/>
              <w:rPr>
                <w:sz w:val="16"/>
              </w:rPr>
            </w:pPr>
            <w:r>
              <w:rPr>
                <w:color w:val="231F20"/>
                <w:spacing w:val="-4"/>
                <w:w w:val="105"/>
                <w:sz w:val="16"/>
              </w:rPr>
              <w:t>2018</w:t>
            </w:r>
          </w:p>
        </w:tc>
        <w:tc>
          <w:tcPr>
            <w:tcW w:w="172" w:type="dxa"/>
          </w:tcPr>
          <w:p>
            <w:pPr>
              <w:pStyle w:val="TableParagraph"/>
              <w:rPr>
                <w:rFonts w:ascii="Times New Roman"/>
                <w:sz w:val="12"/>
              </w:rPr>
            </w:pPr>
          </w:p>
        </w:tc>
        <w:tc>
          <w:tcPr>
            <w:tcW w:w="1137" w:type="dxa"/>
            <w:gridSpan w:val="2"/>
            <w:tcBorders>
              <w:bottom w:val="single" w:sz="8" w:space="0" w:color="231F20"/>
            </w:tcBorders>
          </w:tcPr>
          <w:p>
            <w:pPr>
              <w:pStyle w:val="TableParagraph"/>
              <w:spacing w:line="175" w:lineRule="exact"/>
              <w:ind w:left="376" w:right="363"/>
              <w:jc w:val="center"/>
              <w:rPr>
                <w:sz w:val="16"/>
              </w:rPr>
            </w:pPr>
            <w:r>
              <w:rPr>
                <w:color w:val="231F20"/>
                <w:spacing w:val="-4"/>
                <w:w w:val="105"/>
                <w:sz w:val="16"/>
              </w:rPr>
              <w:t>2017</w:t>
            </w:r>
          </w:p>
        </w:tc>
        <w:tc>
          <w:tcPr>
            <w:tcW w:w="172" w:type="dxa"/>
          </w:tcPr>
          <w:p>
            <w:pPr>
              <w:pStyle w:val="TableParagraph"/>
              <w:rPr>
                <w:rFonts w:ascii="Times New Roman"/>
                <w:sz w:val="12"/>
              </w:rPr>
            </w:pPr>
          </w:p>
        </w:tc>
        <w:tc>
          <w:tcPr>
            <w:tcW w:w="1136" w:type="dxa"/>
            <w:gridSpan w:val="2"/>
            <w:tcBorders>
              <w:bottom w:val="single" w:sz="8" w:space="0" w:color="231F20"/>
            </w:tcBorders>
          </w:tcPr>
          <w:p>
            <w:pPr>
              <w:pStyle w:val="TableParagraph"/>
              <w:spacing w:line="175" w:lineRule="exact"/>
              <w:ind w:left="375" w:right="363"/>
              <w:jc w:val="center"/>
              <w:rPr>
                <w:sz w:val="16"/>
              </w:rPr>
            </w:pPr>
            <w:r>
              <w:rPr>
                <w:color w:val="231F20"/>
                <w:spacing w:val="-4"/>
                <w:w w:val="105"/>
                <w:sz w:val="16"/>
              </w:rPr>
              <w:t>2016</w:t>
            </w:r>
          </w:p>
        </w:tc>
        <w:tc>
          <w:tcPr>
            <w:tcW w:w="184" w:type="dxa"/>
          </w:tcPr>
          <w:p>
            <w:pPr>
              <w:pStyle w:val="TableParagraph"/>
              <w:rPr>
                <w:rFonts w:ascii="Times New Roman"/>
                <w:sz w:val="12"/>
              </w:rPr>
            </w:pPr>
          </w:p>
        </w:tc>
        <w:tc>
          <w:tcPr>
            <w:tcW w:w="1148" w:type="dxa"/>
            <w:gridSpan w:val="2"/>
            <w:tcBorders>
              <w:bottom w:val="single" w:sz="8" w:space="0" w:color="231F20"/>
            </w:tcBorders>
          </w:tcPr>
          <w:p>
            <w:pPr>
              <w:pStyle w:val="TableParagraph"/>
              <w:spacing w:line="175" w:lineRule="exact"/>
              <w:ind w:left="376" w:right="374"/>
              <w:jc w:val="center"/>
              <w:rPr>
                <w:sz w:val="16"/>
              </w:rPr>
            </w:pPr>
            <w:r>
              <w:rPr>
                <w:color w:val="231F20"/>
                <w:spacing w:val="-4"/>
                <w:w w:val="105"/>
                <w:sz w:val="16"/>
              </w:rPr>
              <w:t>2015</w:t>
            </w:r>
          </w:p>
        </w:tc>
      </w:tr>
      <w:tr>
        <w:trPr>
          <w:trHeight w:val="570" w:hRule="atLeast"/>
        </w:trPr>
        <w:tc>
          <w:tcPr>
            <w:tcW w:w="5234" w:type="dxa"/>
            <w:gridSpan w:val="3"/>
            <w:tcBorders>
              <w:top w:val="single" w:sz="8" w:space="0" w:color="231F20"/>
            </w:tcBorders>
          </w:tcPr>
          <w:p>
            <w:pPr>
              <w:pStyle w:val="TableParagraph"/>
              <w:tabs>
                <w:tab w:pos="4186" w:val="left" w:leader="none"/>
              </w:tabs>
              <w:spacing w:before="152"/>
              <w:ind w:left="50"/>
              <w:rPr>
                <w:sz w:val="16"/>
              </w:rPr>
            </w:pPr>
            <w:r>
              <w:rPr>
                <w:color w:val="231F20"/>
                <w:sz w:val="16"/>
              </w:rPr>
              <w:t>Statutorily</w:t>
            </w:r>
            <w:r>
              <w:rPr>
                <w:color w:val="231F20"/>
                <w:spacing w:val="11"/>
                <w:sz w:val="16"/>
              </w:rPr>
              <w:t> </w:t>
            </w:r>
            <w:r>
              <w:rPr>
                <w:color w:val="231F20"/>
                <w:sz w:val="16"/>
              </w:rPr>
              <w:t>required</w:t>
            </w:r>
            <w:r>
              <w:rPr>
                <w:color w:val="231F20"/>
                <w:spacing w:val="13"/>
                <w:sz w:val="16"/>
              </w:rPr>
              <w:t> </w:t>
            </w:r>
            <w:r>
              <w:rPr>
                <w:color w:val="231F20"/>
                <w:spacing w:val="-2"/>
                <w:sz w:val="16"/>
              </w:rPr>
              <w:t>contributions</w:t>
            </w:r>
            <w:r>
              <w:rPr>
                <w:color w:val="231F20"/>
                <w:sz w:val="16"/>
              </w:rPr>
              <w:tab/>
            </w:r>
            <w:r>
              <w:rPr>
                <w:color w:val="231F20"/>
                <w:w w:val="105"/>
                <w:sz w:val="16"/>
              </w:rPr>
              <w:t>$</w:t>
            </w:r>
            <w:r>
              <w:rPr>
                <w:color w:val="231F20"/>
                <w:spacing w:val="64"/>
                <w:w w:val="150"/>
                <w:sz w:val="16"/>
              </w:rPr>
              <w:t> </w:t>
            </w:r>
            <w:r>
              <w:rPr>
                <w:color w:val="231F20"/>
                <w:spacing w:val="-2"/>
                <w:sz w:val="16"/>
              </w:rPr>
              <w:t>6,603,452</w:t>
            </w:r>
          </w:p>
        </w:tc>
        <w:tc>
          <w:tcPr>
            <w:tcW w:w="171" w:type="dxa"/>
          </w:tcPr>
          <w:p>
            <w:pPr>
              <w:pStyle w:val="TableParagraph"/>
              <w:rPr>
                <w:rFonts w:ascii="Times New Roman"/>
                <w:sz w:val="16"/>
              </w:rPr>
            </w:pPr>
          </w:p>
        </w:tc>
        <w:tc>
          <w:tcPr>
            <w:tcW w:w="1136" w:type="dxa"/>
            <w:gridSpan w:val="2"/>
            <w:tcBorders>
              <w:top w:val="single" w:sz="8" w:space="0" w:color="231F20"/>
            </w:tcBorders>
          </w:tcPr>
          <w:p>
            <w:pPr>
              <w:pStyle w:val="TableParagraph"/>
              <w:spacing w:before="152"/>
              <w:ind w:left="89"/>
              <w:rPr>
                <w:sz w:val="16"/>
              </w:rPr>
            </w:pPr>
            <w:r>
              <w:rPr>
                <w:color w:val="231F20"/>
                <w:w w:val="105"/>
                <w:sz w:val="16"/>
              </w:rPr>
              <w:t>$</w:t>
            </w:r>
            <w:r>
              <w:rPr>
                <w:color w:val="231F20"/>
                <w:spacing w:val="66"/>
                <w:w w:val="150"/>
                <w:sz w:val="16"/>
              </w:rPr>
              <w:t> </w:t>
            </w:r>
            <w:r>
              <w:rPr>
                <w:color w:val="231F20"/>
                <w:spacing w:val="-2"/>
                <w:w w:val="105"/>
                <w:sz w:val="16"/>
              </w:rPr>
              <w:t>5,832,682</w:t>
            </w:r>
          </w:p>
        </w:tc>
        <w:tc>
          <w:tcPr>
            <w:tcW w:w="172" w:type="dxa"/>
          </w:tcPr>
          <w:p>
            <w:pPr>
              <w:pStyle w:val="TableParagraph"/>
              <w:rPr>
                <w:rFonts w:ascii="Times New Roman"/>
                <w:sz w:val="16"/>
              </w:rPr>
            </w:pPr>
          </w:p>
        </w:tc>
        <w:tc>
          <w:tcPr>
            <w:tcW w:w="1136" w:type="dxa"/>
            <w:gridSpan w:val="2"/>
            <w:tcBorders>
              <w:top w:val="single" w:sz="8" w:space="0" w:color="231F20"/>
            </w:tcBorders>
          </w:tcPr>
          <w:p>
            <w:pPr>
              <w:pStyle w:val="TableParagraph"/>
              <w:spacing w:before="152"/>
              <w:ind w:left="89"/>
              <w:rPr>
                <w:sz w:val="16"/>
              </w:rPr>
            </w:pPr>
            <w:r>
              <w:rPr>
                <w:color w:val="231F20"/>
                <w:w w:val="105"/>
                <w:sz w:val="16"/>
              </w:rPr>
              <w:t>$</w:t>
            </w:r>
            <w:r>
              <w:rPr>
                <w:color w:val="231F20"/>
                <w:spacing w:val="66"/>
                <w:w w:val="150"/>
                <w:sz w:val="16"/>
              </w:rPr>
              <w:t> </w:t>
            </w:r>
            <w:r>
              <w:rPr>
                <w:color w:val="231F20"/>
                <w:spacing w:val="-2"/>
                <w:w w:val="105"/>
                <w:sz w:val="16"/>
              </w:rPr>
              <w:t>5,864,890</w:t>
            </w:r>
          </w:p>
        </w:tc>
        <w:tc>
          <w:tcPr>
            <w:tcW w:w="173" w:type="dxa"/>
          </w:tcPr>
          <w:p>
            <w:pPr>
              <w:pStyle w:val="TableParagraph"/>
              <w:rPr>
                <w:rFonts w:ascii="Times New Roman"/>
                <w:sz w:val="16"/>
              </w:rPr>
            </w:pPr>
          </w:p>
        </w:tc>
        <w:tc>
          <w:tcPr>
            <w:tcW w:w="1135" w:type="dxa"/>
            <w:gridSpan w:val="2"/>
            <w:tcBorders>
              <w:top w:val="single" w:sz="8" w:space="0" w:color="231F20"/>
            </w:tcBorders>
          </w:tcPr>
          <w:p>
            <w:pPr>
              <w:pStyle w:val="TableParagraph"/>
              <w:spacing w:before="152"/>
              <w:ind w:left="88"/>
              <w:rPr>
                <w:sz w:val="16"/>
              </w:rPr>
            </w:pPr>
            <w:r>
              <w:rPr>
                <w:color w:val="231F20"/>
                <w:w w:val="105"/>
                <w:sz w:val="16"/>
              </w:rPr>
              <w:t>$</w:t>
            </w:r>
            <w:r>
              <w:rPr>
                <w:color w:val="231F20"/>
                <w:spacing w:val="65"/>
                <w:w w:val="150"/>
                <w:sz w:val="16"/>
              </w:rPr>
              <w:t> </w:t>
            </w:r>
            <w:r>
              <w:rPr>
                <w:color w:val="231F20"/>
                <w:spacing w:val="-2"/>
                <w:w w:val="105"/>
                <w:sz w:val="16"/>
              </w:rPr>
              <w:t>5,461,995</w:t>
            </w:r>
          </w:p>
        </w:tc>
        <w:tc>
          <w:tcPr>
            <w:tcW w:w="173" w:type="dxa"/>
          </w:tcPr>
          <w:p>
            <w:pPr>
              <w:pStyle w:val="TableParagraph"/>
              <w:rPr>
                <w:rFonts w:ascii="Times New Roman"/>
                <w:sz w:val="16"/>
              </w:rPr>
            </w:pPr>
          </w:p>
        </w:tc>
        <w:tc>
          <w:tcPr>
            <w:tcW w:w="1135" w:type="dxa"/>
            <w:gridSpan w:val="2"/>
            <w:tcBorders>
              <w:top w:val="single" w:sz="8" w:space="0" w:color="231F20"/>
            </w:tcBorders>
          </w:tcPr>
          <w:p>
            <w:pPr>
              <w:pStyle w:val="TableParagraph"/>
              <w:spacing w:before="152"/>
              <w:ind w:left="88"/>
              <w:rPr>
                <w:sz w:val="16"/>
              </w:rPr>
            </w:pPr>
            <w:r>
              <w:rPr>
                <w:color w:val="231F20"/>
                <w:w w:val="105"/>
                <w:sz w:val="16"/>
              </w:rPr>
              <w:t>$</w:t>
            </w:r>
            <w:r>
              <w:rPr>
                <w:color w:val="231F20"/>
                <w:spacing w:val="65"/>
                <w:w w:val="150"/>
                <w:sz w:val="16"/>
              </w:rPr>
              <w:t> </w:t>
            </w:r>
            <w:r>
              <w:rPr>
                <w:color w:val="231F20"/>
                <w:spacing w:val="-2"/>
                <w:w w:val="105"/>
                <w:sz w:val="16"/>
              </w:rPr>
              <w:t>5,230,496</w:t>
            </w:r>
          </w:p>
        </w:tc>
        <w:tc>
          <w:tcPr>
            <w:tcW w:w="172" w:type="dxa"/>
          </w:tcPr>
          <w:p>
            <w:pPr>
              <w:pStyle w:val="TableParagraph"/>
              <w:rPr>
                <w:rFonts w:ascii="Times New Roman"/>
                <w:sz w:val="16"/>
              </w:rPr>
            </w:pPr>
          </w:p>
        </w:tc>
        <w:tc>
          <w:tcPr>
            <w:tcW w:w="1137" w:type="dxa"/>
            <w:gridSpan w:val="2"/>
            <w:tcBorders>
              <w:top w:val="single" w:sz="8" w:space="0" w:color="231F20"/>
            </w:tcBorders>
          </w:tcPr>
          <w:p>
            <w:pPr>
              <w:pStyle w:val="TableParagraph"/>
              <w:spacing w:before="152"/>
              <w:ind w:left="88"/>
              <w:rPr>
                <w:sz w:val="16"/>
              </w:rPr>
            </w:pPr>
            <w:r>
              <w:rPr>
                <w:color w:val="231F20"/>
                <w:w w:val="105"/>
                <w:sz w:val="16"/>
              </w:rPr>
              <w:t>$</w:t>
            </w:r>
            <w:r>
              <w:rPr>
                <w:color w:val="231F20"/>
                <w:spacing w:val="66"/>
                <w:w w:val="150"/>
                <w:sz w:val="16"/>
              </w:rPr>
              <w:t> </w:t>
            </w:r>
            <w:r>
              <w:rPr>
                <w:color w:val="231F20"/>
                <w:spacing w:val="-2"/>
                <w:w w:val="105"/>
                <w:sz w:val="16"/>
              </w:rPr>
              <w:t>5,010,002</w:t>
            </w:r>
          </w:p>
        </w:tc>
        <w:tc>
          <w:tcPr>
            <w:tcW w:w="172" w:type="dxa"/>
          </w:tcPr>
          <w:p>
            <w:pPr>
              <w:pStyle w:val="TableParagraph"/>
              <w:rPr>
                <w:rFonts w:ascii="Times New Roman"/>
                <w:sz w:val="16"/>
              </w:rPr>
            </w:pPr>
          </w:p>
        </w:tc>
        <w:tc>
          <w:tcPr>
            <w:tcW w:w="1136" w:type="dxa"/>
            <w:gridSpan w:val="2"/>
            <w:tcBorders>
              <w:top w:val="single" w:sz="8" w:space="0" w:color="231F20"/>
            </w:tcBorders>
          </w:tcPr>
          <w:p>
            <w:pPr>
              <w:pStyle w:val="TableParagraph"/>
              <w:spacing w:before="152"/>
              <w:ind w:left="87"/>
              <w:rPr>
                <w:sz w:val="16"/>
              </w:rPr>
            </w:pPr>
            <w:r>
              <w:rPr>
                <w:color w:val="231F20"/>
                <w:w w:val="105"/>
                <w:sz w:val="16"/>
              </w:rPr>
              <w:t>$</w:t>
            </w:r>
            <w:r>
              <w:rPr>
                <w:color w:val="231F20"/>
                <w:spacing w:val="66"/>
                <w:w w:val="150"/>
                <w:sz w:val="16"/>
              </w:rPr>
              <w:t> </w:t>
            </w:r>
            <w:r>
              <w:rPr>
                <w:color w:val="231F20"/>
                <w:spacing w:val="-2"/>
                <w:w w:val="105"/>
                <w:sz w:val="16"/>
              </w:rPr>
              <w:t>5,146,388</w:t>
            </w:r>
          </w:p>
        </w:tc>
        <w:tc>
          <w:tcPr>
            <w:tcW w:w="184" w:type="dxa"/>
          </w:tcPr>
          <w:p>
            <w:pPr>
              <w:pStyle w:val="TableParagraph"/>
              <w:rPr>
                <w:rFonts w:ascii="Times New Roman"/>
                <w:sz w:val="16"/>
              </w:rPr>
            </w:pPr>
          </w:p>
        </w:tc>
        <w:tc>
          <w:tcPr>
            <w:tcW w:w="1148" w:type="dxa"/>
            <w:gridSpan w:val="2"/>
            <w:tcBorders>
              <w:top w:val="single" w:sz="8" w:space="0" w:color="231F20"/>
            </w:tcBorders>
          </w:tcPr>
          <w:p>
            <w:pPr>
              <w:pStyle w:val="TableParagraph"/>
              <w:spacing w:before="152"/>
              <w:ind w:left="88"/>
              <w:rPr>
                <w:sz w:val="16"/>
              </w:rPr>
            </w:pPr>
            <w:r>
              <w:rPr>
                <w:color w:val="231F20"/>
                <w:w w:val="105"/>
                <w:sz w:val="16"/>
              </w:rPr>
              <w:t>$</w:t>
            </w:r>
            <w:r>
              <w:rPr>
                <w:color w:val="231F20"/>
                <w:spacing w:val="66"/>
                <w:w w:val="150"/>
                <w:sz w:val="16"/>
              </w:rPr>
              <w:t> </w:t>
            </w:r>
            <w:r>
              <w:rPr>
                <w:color w:val="231F20"/>
                <w:spacing w:val="-2"/>
                <w:w w:val="105"/>
                <w:sz w:val="16"/>
              </w:rPr>
              <w:t>5,135,439</w:t>
            </w:r>
          </w:p>
        </w:tc>
      </w:tr>
      <w:tr>
        <w:trPr>
          <w:trHeight w:val="418" w:hRule="atLeast"/>
        </w:trPr>
        <w:tc>
          <w:tcPr>
            <w:tcW w:w="5234" w:type="dxa"/>
            <w:gridSpan w:val="3"/>
          </w:tcPr>
          <w:p>
            <w:pPr>
              <w:pStyle w:val="TableParagraph"/>
              <w:spacing w:before="16"/>
              <w:ind w:left="50"/>
              <w:rPr>
                <w:sz w:val="16"/>
              </w:rPr>
            </w:pPr>
            <w:r>
              <w:rPr>
                <w:color w:val="231F20"/>
                <w:spacing w:val="-2"/>
                <w:w w:val="105"/>
                <w:sz w:val="16"/>
              </w:rPr>
              <w:t>Contribution</w:t>
            </w:r>
            <w:r>
              <w:rPr>
                <w:color w:val="231F20"/>
                <w:spacing w:val="-3"/>
                <w:w w:val="105"/>
                <w:sz w:val="16"/>
              </w:rPr>
              <w:t> </w:t>
            </w:r>
            <w:r>
              <w:rPr>
                <w:color w:val="231F20"/>
                <w:spacing w:val="-2"/>
                <w:w w:val="105"/>
                <w:sz w:val="16"/>
              </w:rPr>
              <w:t>in</w:t>
            </w:r>
            <w:r>
              <w:rPr>
                <w:color w:val="231F20"/>
                <w:spacing w:val="-1"/>
                <w:w w:val="105"/>
                <w:sz w:val="16"/>
              </w:rPr>
              <w:t> </w:t>
            </w:r>
            <w:r>
              <w:rPr>
                <w:color w:val="231F20"/>
                <w:spacing w:val="-2"/>
                <w:w w:val="105"/>
                <w:sz w:val="16"/>
              </w:rPr>
              <w:t>relation to</w:t>
            </w:r>
            <w:r>
              <w:rPr>
                <w:color w:val="231F20"/>
                <w:spacing w:val="-1"/>
                <w:w w:val="105"/>
                <w:sz w:val="16"/>
              </w:rPr>
              <w:t> </w:t>
            </w:r>
            <w:r>
              <w:rPr>
                <w:color w:val="231F20"/>
                <w:spacing w:val="-2"/>
                <w:w w:val="105"/>
                <w:sz w:val="16"/>
              </w:rPr>
              <w:t>the</w:t>
            </w:r>
            <w:r>
              <w:rPr>
                <w:color w:val="231F20"/>
                <w:spacing w:val="-1"/>
                <w:w w:val="105"/>
                <w:sz w:val="16"/>
              </w:rPr>
              <w:t> </w:t>
            </w:r>
            <w:r>
              <w:rPr>
                <w:color w:val="231F20"/>
                <w:spacing w:val="-2"/>
                <w:w w:val="105"/>
                <w:sz w:val="16"/>
              </w:rPr>
              <w:t>statutorily</w:t>
            </w:r>
            <w:r>
              <w:rPr>
                <w:color w:val="231F20"/>
                <w:spacing w:val="-4"/>
                <w:w w:val="105"/>
                <w:sz w:val="16"/>
              </w:rPr>
              <w:t> </w:t>
            </w:r>
            <w:r>
              <w:rPr>
                <w:color w:val="231F20"/>
                <w:spacing w:val="-2"/>
                <w:w w:val="105"/>
                <w:sz w:val="16"/>
              </w:rPr>
              <w:t>required</w:t>
            </w:r>
          </w:p>
          <w:p>
            <w:pPr>
              <w:pStyle w:val="TableParagraph"/>
              <w:tabs>
                <w:tab w:pos="4186" w:val="left" w:leader="none"/>
              </w:tabs>
              <w:spacing w:line="165" w:lineRule="exact" w:before="33"/>
              <w:ind w:left="188"/>
              <w:rPr>
                <w:sz w:val="16"/>
              </w:rPr>
            </w:pPr>
            <w:r>
              <w:rPr>
                <w:color w:val="231F20"/>
                <w:spacing w:val="-2"/>
                <w:w w:val="105"/>
                <w:sz w:val="16"/>
              </w:rPr>
              <w:t>contributions</w:t>
            </w:r>
            <w:r>
              <w:rPr>
                <w:color w:val="231F20"/>
                <w:sz w:val="16"/>
              </w:rPr>
              <w:tab/>
            </w:r>
            <w:r>
              <w:rPr>
                <w:color w:val="231F20"/>
                <w:w w:val="105"/>
                <w:sz w:val="16"/>
              </w:rPr>
              <w:t>$</w:t>
            </w:r>
            <w:r>
              <w:rPr>
                <w:color w:val="231F20"/>
                <w:spacing w:val="65"/>
                <w:w w:val="150"/>
                <w:sz w:val="16"/>
              </w:rPr>
              <w:t> </w:t>
            </w:r>
            <w:r>
              <w:rPr>
                <w:color w:val="231F20"/>
                <w:spacing w:val="-2"/>
                <w:w w:val="105"/>
                <w:sz w:val="16"/>
              </w:rPr>
              <w:t>6,603,452</w:t>
            </w:r>
          </w:p>
        </w:tc>
        <w:tc>
          <w:tcPr>
            <w:tcW w:w="171" w:type="dxa"/>
          </w:tcPr>
          <w:p>
            <w:pPr>
              <w:pStyle w:val="TableParagraph"/>
              <w:rPr>
                <w:rFonts w:ascii="Times New Roman"/>
                <w:sz w:val="16"/>
              </w:rPr>
            </w:pPr>
          </w:p>
        </w:tc>
        <w:tc>
          <w:tcPr>
            <w:tcW w:w="1136" w:type="dxa"/>
            <w:gridSpan w:val="2"/>
          </w:tcPr>
          <w:p>
            <w:pPr>
              <w:pStyle w:val="TableParagraph"/>
              <w:spacing w:before="3"/>
              <w:rPr>
                <w:b/>
                <w:sz w:val="20"/>
              </w:rPr>
            </w:pPr>
          </w:p>
          <w:p>
            <w:pPr>
              <w:pStyle w:val="TableParagraph"/>
              <w:spacing w:line="165" w:lineRule="exact"/>
              <w:ind w:left="89"/>
              <w:rPr>
                <w:sz w:val="16"/>
              </w:rPr>
            </w:pPr>
            <w:r>
              <w:rPr>
                <w:color w:val="231F20"/>
                <w:w w:val="105"/>
                <w:sz w:val="16"/>
              </w:rPr>
              <w:t>$</w:t>
            </w:r>
            <w:r>
              <w:rPr>
                <w:color w:val="231F20"/>
                <w:spacing w:val="66"/>
                <w:w w:val="150"/>
                <w:sz w:val="16"/>
              </w:rPr>
              <w:t> </w:t>
            </w:r>
            <w:r>
              <w:rPr>
                <w:color w:val="231F20"/>
                <w:spacing w:val="-2"/>
                <w:w w:val="105"/>
                <w:sz w:val="16"/>
              </w:rPr>
              <w:t>5,832,682</w:t>
            </w:r>
          </w:p>
        </w:tc>
        <w:tc>
          <w:tcPr>
            <w:tcW w:w="172" w:type="dxa"/>
          </w:tcPr>
          <w:p>
            <w:pPr>
              <w:pStyle w:val="TableParagraph"/>
              <w:rPr>
                <w:rFonts w:ascii="Times New Roman"/>
                <w:sz w:val="16"/>
              </w:rPr>
            </w:pPr>
          </w:p>
        </w:tc>
        <w:tc>
          <w:tcPr>
            <w:tcW w:w="1136" w:type="dxa"/>
            <w:gridSpan w:val="2"/>
          </w:tcPr>
          <w:p>
            <w:pPr>
              <w:pStyle w:val="TableParagraph"/>
              <w:spacing w:before="3"/>
              <w:rPr>
                <w:b/>
                <w:sz w:val="20"/>
              </w:rPr>
            </w:pPr>
          </w:p>
          <w:p>
            <w:pPr>
              <w:pStyle w:val="TableParagraph"/>
              <w:spacing w:line="165" w:lineRule="exact"/>
              <w:ind w:left="89"/>
              <w:rPr>
                <w:sz w:val="16"/>
              </w:rPr>
            </w:pPr>
            <w:r>
              <w:rPr>
                <w:color w:val="231F20"/>
                <w:w w:val="105"/>
                <w:sz w:val="16"/>
              </w:rPr>
              <w:t>$</w:t>
            </w:r>
            <w:r>
              <w:rPr>
                <w:color w:val="231F20"/>
                <w:spacing w:val="66"/>
                <w:w w:val="150"/>
                <w:sz w:val="16"/>
              </w:rPr>
              <w:t> </w:t>
            </w:r>
            <w:r>
              <w:rPr>
                <w:color w:val="231F20"/>
                <w:spacing w:val="-2"/>
                <w:w w:val="105"/>
                <w:sz w:val="16"/>
              </w:rPr>
              <w:t>5,864,890</w:t>
            </w:r>
          </w:p>
        </w:tc>
        <w:tc>
          <w:tcPr>
            <w:tcW w:w="173" w:type="dxa"/>
          </w:tcPr>
          <w:p>
            <w:pPr>
              <w:pStyle w:val="TableParagraph"/>
              <w:rPr>
                <w:rFonts w:ascii="Times New Roman"/>
                <w:sz w:val="16"/>
              </w:rPr>
            </w:pPr>
          </w:p>
        </w:tc>
        <w:tc>
          <w:tcPr>
            <w:tcW w:w="1135" w:type="dxa"/>
            <w:gridSpan w:val="2"/>
          </w:tcPr>
          <w:p>
            <w:pPr>
              <w:pStyle w:val="TableParagraph"/>
              <w:spacing w:before="3"/>
              <w:rPr>
                <w:b/>
                <w:sz w:val="20"/>
              </w:rPr>
            </w:pPr>
          </w:p>
          <w:p>
            <w:pPr>
              <w:pStyle w:val="TableParagraph"/>
              <w:spacing w:line="165" w:lineRule="exact"/>
              <w:ind w:left="88"/>
              <w:rPr>
                <w:sz w:val="16"/>
              </w:rPr>
            </w:pPr>
            <w:r>
              <w:rPr>
                <w:color w:val="231F20"/>
                <w:w w:val="105"/>
                <w:sz w:val="16"/>
              </w:rPr>
              <w:t>$</w:t>
            </w:r>
            <w:r>
              <w:rPr>
                <w:color w:val="231F20"/>
                <w:spacing w:val="65"/>
                <w:w w:val="150"/>
                <w:sz w:val="16"/>
              </w:rPr>
              <w:t> </w:t>
            </w:r>
            <w:r>
              <w:rPr>
                <w:color w:val="231F20"/>
                <w:spacing w:val="-2"/>
                <w:w w:val="105"/>
                <w:sz w:val="16"/>
              </w:rPr>
              <w:t>5,461,995</w:t>
            </w:r>
          </w:p>
        </w:tc>
        <w:tc>
          <w:tcPr>
            <w:tcW w:w="173" w:type="dxa"/>
          </w:tcPr>
          <w:p>
            <w:pPr>
              <w:pStyle w:val="TableParagraph"/>
              <w:rPr>
                <w:rFonts w:ascii="Times New Roman"/>
                <w:sz w:val="16"/>
              </w:rPr>
            </w:pPr>
          </w:p>
        </w:tc>
        <w:tc>
          <w:tcPr>
            <w:tcW w:w="1135" w:type="dxa"/>
            <w:gridSpan w:val="2"/>
          </w:tcPr>
          <w:p>
            <w:pPr>
              <w:pStyle w:val="TableParagraph"/>
              <w:spacing w:before="3"/>
              <w:rPr>
                <w:b/>
                <w:sz w:val="20"/>
              </w:rPr>
            </w:pPr>
          </w:p>
          <w:p>
            <w:pPr>
              <w:pStyle w:val="TableParagraph"/>
              <w:spacing w:line="165" w:lineRule="exact"/>
              <w:ind w:left="88"/>
              <w:rPr>
                <w:sz w:val="16"/>
              </w:rPr>
            </w:pPr>
            <w:r>
              <w:rPr>
                <w:color w:val="231F20"/>
                <w:w w:val="105"/>
                <w:sz w:val="16"/>
              </w:rPr>
              <w:t>$</w:t>
            </w:r>
            <w:r>
              <w:rPr>
                <w:color w:val="231F20"/>
                <w:spacing w:val="65"/>
                <w:w w:val="150"/>
                <w:sz w:val="16"/>
              </w:rPr>
              <w:t> </w:t>
            </w:r>
            <w:r>
              <w:rPr>
                <w:color w:val="231F20"/>
                <w:spacing w:val="-2"/>
                <w:w w:val="105"/>
                <w:sz w:val="16"/>
              </w:rPr>
              <w:t>5,230,496</w:t>
            </w:r>
          </w:p>
        </w:tc>
        <w:tc>
          <w:tcPr>
            <w:tcW w:w="172" w:type="dxa"/>
          </w:tcPr>
          <w:p>
            <w:pPr>
              <w:pStyle w:val="TableParagraph"/>
              <w:rPr>
                <w:rFonts w:ascii="Times New Roman"/>
                <w:sz w:val="16"/>
              </w:rPr>
            </w:pPr>
          </w:p>
        </w:tc>
        <w:tc>
          <w:tcPr>
            <w:tcW w:w="1137" w:type="dxa"/>
            <w:gridSpan w:val="2"/>
          </w:tcPr>
          <w:p>
            <w:pPr>
              <w:pStyle w:val="TableParagraph"/>
              <w:spacing w:before="3"/>
              <w:rPr>
                <w:b/>
                <w:sz w:val="20"/>
              </w:rPr>
            </w:pPr>
          </w:p>
          <w:p>
            <w:pPr>
              <w:pStyle w:val="TableParagraph"/>
              <w:spacing w:line="165" w:lineRule="exact"/>
              <w:ind w:left="88"/>
              <w:rPr>
                <w:sz w:val="16"/>
              </w:rPr>
            </w:pPr>
            <w:r>
              <w:rPr>
                <w:color w:val="231F20"/>
                <w:w w:val="105"/>
                <w:sz w:val="16"/>
              </w:rPr>
              <w:t>$</w:t>
            </w:r>
            <w:r>
              <w:rPr>
                <w:color w:val="231F20"/>
                <w:spacing w:val="66"/>
                <w:w w:val="150"/>
                <w:sz w:val="16"/>
              </w:rPr>
              <w:t> </w:t>
            </w:r>
            <w:r>
              <w:rPr>
                <w:color w:val="231F20"/>
                <w:spacing w:val="-2"/>
                <w:w w:val="105"/>
                <w:sz w:val="16"/>
              </w:rPr>
              <w:t>5,010,002</w:t>
            </w:r>
          </w:p>
        </w:tc>
        <w:tc>
          <w:tcPr>
            <w:tcW w:w="172" w:type="dxa"/>
          </w:tcPr>
          <w:p>
            <w:pPr>
              <w:pStyle w:val="TableParagraph"/>
              <w:rPr>
                <w:rFonts w:ascii="Times New Roman"/>
                <w:sz w:val="16"/>
              </w:rPr>
            </w:pPr>
          </w:p>
        </w:tc>
        <w:tc>
          <w:tcPr>
            <w:tcW w:w="1136" w:type="dxa"/>
            <w:gridSpan w:val="2"/>
          </w:tcPr>
          <w:p>
            <w:pPr>
              <w:pStyle w:val="TableParagraph"/>
              <w:spacing w:before="3"/>
              <w:rPr>
                <w:b/>
                <w:sz w:val="20"/>
              </w:rPr>
            </w:pPr>
          </w:p>
          <w:p>
            <w:pPr>
              <w:pStyle w:val="TableParagraph"/>
              <w:spacing w:line="165" w:lineRule="exact"/>
              <w:ind w:left="87"/>
              <w:rPr>
                <w:sz w:val="16"/>
              </w:rPr>
            </w:pPr>
            <w:r>
              <w:rPr>
                <w:color w:val="231F20"/>
                <w:w w:val="105"/>
                <w:sz w:val="16"/>
              </w:rPr>
              <w:t>$</w:t>
            </w:r>
            <w:r>
              <w:rPr>
                <w:color w:val="231F20"/>
                <w:spacing w:val="66"/>
                <w:w w:val="150"/>
                <w:sz w:val="16"/>
              </w:rPr>
              <w:t> </w:t>
            </w:r>
            <w:r>
              <w:rPr>
                <w:color w:val="231F20"/>
                <w:spacing w:val="-2"/>
                <w:w w:val="105"/>
                <w:sz w:val="16"/>
              </w:rPr>
              <w:t>5,146,388</w:t>
            </w:r>
          </w:p>
        </w:tc>
        <w:tc>
          <w:tcPr>
            <w:tcW w:w="184" w:type="dxa"/>
          </w:tcPr>
          <w:p>
            <w:pPr>
              <w:pStyle w:val="TableParagraph"/>
              <w:rPr>
                <w:rFonts w:ascii="Times New Roman"/>
                <w:sz w:val="16"/>
              </w:rPr>
            </w:pPr>
          </w:p>
        </w:tc>
        <w:tc>
          <w:tcPr>
            <w:tcW w:w="1148" w:type="dxa"/>
            <w:gridSpan w:val="2"/>
          </w:tcPr>
          <w:p>
            <w:pPr>
              <w:pStyle w:val="TableParagraph"/>
              <w:spacing w:before="3"/>
              <w:rPr>
                <w:b/>
                <w:sz w:val="20"/>
              </w:rPr>
            </w:pPr>
          </w:p>
          <w:p>
            <w:pPr>
              <w:pStyle w:val="TableParagraph"/>
              <w:spacing w:line="165" w:lineRule="exact"/>
              <w:ind w:left="88"/>
              <w:rPr>
                <w:sz w:val="16"/>
              </w:rPr>
            </w:pPr>
            <w:r>
              <w:rPr>
                <w:color w:val="231F20"/>
                <w:w w:val="105"/>
                <w:sz w:val="16"/>
              </w:rPr>
              <w:t>$</w:t>
            </w:r>
            <w:r>
              <w:rPr>
                <w:color w:val="231F20"/>
                <w:spacing w:val="66"/>
                <w:w w:val="150"/>
                <w:sz w:val="16"/>
              </w:rPr>
              <w:t> </w:t>
            </w:r>
            <w:r>
              <w:rPr>
                <w:color w:val="231F20"/>
                <w:spacing w:val="-2"/>
                <w:w w:val="105"/>
                <w:sz w:val="16"/>
              </w:rPr>
              <w:t>5,135,439</w:t>
            </w:r>
          </w:p>
        </w:tc>
      </w:tr>
      <w:tr>
        <w:trPr>
          <w:trHeight w:val="434" w:hRule="atLeast"/>
        </w:trPr>
        <w:tc>
          <w:tcPr>
            <w:tcW w:w="4099" w:type="dxa"/>
          </w:tcPr>
          <w:p>
            <w:pPr>
              <w:pStyle w:val="TableParagraph"/>
              <w:spacing w:before="7"/>
              <w:rPr>
                <w:b/>
                <w:sz w:val="21"/>
              </w:rPr>
            </w:pPr>
          </w:p>
          <w:p>
            <w:pPr>
              <w:pStyle w:val="TableParagraph"/>
              <w:spacing w:line="165" w:lineRule="exact"/>
              <w:ind w:left="50"/>
              <w:rPr>
                <w:sz w:val="16"/>
              </w:rPr>
            </w:pPr>
            <w:r>
              <w:rPr>
                <w:color w:val="231F20"/>
                <w:sz w:val="16"/>
              </w:rPr>
              <w:t>Annual</w:t>
            </w:r>
            <w:r>
              <w:rPr>
                <w:color w:val="231F20"/>
                <w:spacing w:val="14"/>
                <w:sz w:val="16"/>
              </w:rPr>
              <w:t> </w:t>
            </w:r>
            <w:r>
              <w:rPr>
                <w:color w:val="231F20"/>
                <w:sz w:val="16"/>
              </w:rPr>
              <w:t>contribution</w:t>
            </w:r>
            <w:r>
              <w:rPr>
                <w:color w:val="231F20"/>
                <w:spacing w:val="15"/>
                <w:sz w:val="16"/>
              </w:rPr>
              <w:t> </w:t>
            </w:r>
            <w:r>
              <w:rPr>
                <w:color w:val="231F20"/>
                <w:sz w:val="16"/>
              </w:rPr>
              <w:t>deficiency</w:t>
            </w:r>
            <w:r>
              <w:rPr>
                <w:color w:val="231F20"/>
                <w:spacing w:val="14"/>
                <w:sz w:val="16"/>
              </w:rPr>
              <w:t> </w:t>
            </w:r>
            <w:r>
              <w:rPr>
                <w:color w:val="231F20"/>
                <w:spacing w:val="-2"/>
                <w:sz w:val="16"/>
              </w:rPr>
              <w:t>(excess)</w:t>
            </w:r>
          </w:p>
        </w:tc>
        <w:tc>
          <w:tcPr>
            <w:tcW w:w="585" w:type="dxa"/>
          </w:tcPr>
          <w:p>
            <w:pPr>
              <w:pStyle w:val="TableParagraph"/>
              <w:spacing w:before="7"/>
              <w:rPr>
                <w:b/>
                <w:sz w:val="21"/>
              </w:rPr>
            </w:pPr>
          </w:p>
          <w:p>
            <w:pPr>
              <w:pStyle w:val="TableParagraph"/>
              <w:spacing w:line="165" w:lineRule="exact"/>
              <w:ind w:left="87"/>
              <w:rPr>
                <w:sz w:val="16"/>
              </w:rPr>
            </w:pPr>
            <w:r>
              <w:rPr>
                <w:color w:val="231F20"/>
                <w:w w:val="103"/>
                <w:sz w:val="16"/>
              </w:rPr>
              <w:t>$</w:t>
            </w:r>
          </w:p>
        </w:tc>
        <w:tc>
          <w:tcPr>
            <w:tcW w:w="550" w:type="dxa"/>
          </w:tcPr>
          <w:p>
            <w:pPr>
              <w:pStyle w:val="TableParagraph"/>
              <w:spacing w:before="7"/>
              <w:rPr>
                <w:b/>
                <w:sz w:val="21"/>
              </w:rPr>
            </w:pPr>
          </w:p>
          <w:p>
            <w:pPr>
              <w:pStyle w:val="TableParagraph"/>
              <w:spacing w:line="165" w:lineRule="exact"/>
              <w:ind w:right="87"/>
              <w:jc w:val="right"/>
              <w:rPr>
                <w:sz w:val="16"/>
              </w:rPr>
            </w:pPr>
            <w:r>
              <w:rPr>
                <w:color w:val="231F20"/>
                <w:w w:val="103"/>
                <w:sz w:val="16"/>
              </w:rPr>
              <w:t>-</w:t>
            </w:r>
          </w:p>
        </w:tc>
        <w:tc>
          <w:tcPr>
            <w:tcW w:w="757" w:type="dxa"/>
            <w:gridSpan w:val="2"/>
          </w:tcPr>
          <w:p>
            <w:pPr>
              <w:pStyle w:val="TableParagraph"/>
              <w:spacing w:before="7"/>
              <w:rPr>
                <w:b/>
                <w:sz w:val="21"/>
              </w:rPr>
            </w:pPr>
          </w:p>
          <w:p>
            <w:pPr>
              <w:pStyle w:val="TableParagraph"/>
              <w:spacing w:line="165" w:lineRule="exact"/>
              <w:ind w:right="142"/>
              <w:jc w:val="center"/>
              <w:rPr>
                <w:sz w:val="16"/>
              </w:rPr>
            </w:pPr>
            <w:r>
              <w:rPr>
                <w:color w:val="231F20"/>
                <w:w w:val="103"/>
                <w:sz w:val="16"/>
              </w:rPr>
              <w:t>$</w:t>
            </w:r>
          </w:p>
        </w:tc>
        <w:tc>
          <w:tcPr>
            <w:tcW w:w="550" w:type="dxa"/>
          </w:tcPr>
          <w:p>
            <w:pPr>
              <w:pStyle w:val="TableParagraph"/>
              <w:spacing w:before="7"/>
              <w:rPr>
                <w:b/>
                <w:sz w:val="21"/>
              </w:rPr>
            </w:pPr>
          </w:p>
          <w:p>
            <w:pPr>
              <w:pStyle w:val="TableParagraph"/>
              <w:spacing w:line="165" w:lineRule="exact"/>
              <w:ind w:right="83"/>
              <w:jc w:val="right"/>
              <w:rPr>
                <w:sz w:val="16"/>
              </w:rPr>
            </w:pPr>
            <w:r>
              <w:rPr>
                <w:color w:val="231F20"/>
                <w:w w:val="103"/>
                <w:sz w:val="16"/>
              </w:rPr>
              <w:t>-</w:t>
            </w:r>
          </w:p>
        </w:tc>
        <w:tc>
          <w:tcPr>
            <w:tcW w:w="759" w:type="dxa"/>
            <w:gridSpan w:val="2"/>
          </w:tcPr>
          <w:p>
            <w:pPr>
              <w:pStyle w:val="TableParagraph"/>
              <w:spacing w:before="7"/>
              <w:rPr>
                <w:b/>
                <w:sz w:val="21"/>
              </w:rPr>
            </w:pPr>
          </w:p>
          <w:p>
            <w:pPr>
              <w:pStyle w:val="TableParagraph"/>
              <w:spacing w:line="165" w:lineRule="exact"/>
              <w:ind w:right="142"/>
              <w:jc w:val="center"/>
              <w:rPr>
                <w:sz w:val="16"/>
              </w:rPr>
            </w:pPr>
            <w:r>
              <w:rPr>
                <w:color w:val="231F20"/>
                <w:w w:val="103"/>
                <w:sz w:val="16"/>
              </w:rPr>
              <w:t>$</w:t>
            </w:r>
          </w:p>
        </w:tc>
        <w:tc>
          <w:tcPr>
            <w:tcW w:w="549" w:type="dxa"/>
          </w:tcPr>
          <w:p>
            <w:pPr>
              <w:pStyle w:val="TableParagraph"/>
              <w:spacing w:before="7"/>
              <w:rPr>
                <w:b/>
                <w:sz w:val="21"/>
              </w:rPr>
            </w:pPr>
          </w:p>
          <w:p>
            <w:pPr>
              <w:pStyle w:val="TableParagraph"/>
              <w:spacing w:line="165" w:lineRule="exact"/>
              <w:ind w:right="83"/>
              <w:jc w:val="right"/>
              <w:rPr>
                <w:sz w:val="16"/>
              </w:rPr>
            </w:pPr>
            <w:r>
              <w:rPr>
                <w:color w:val="231F20"/>
                <w:w w:val="103"/>
                <w:sz w:val="16"/>
              </w:rPr>
              <w:t>-</w:t>
            </w:r>
          </w:p>
        </w:tc>
        <w:tc>
          <w:tcPr>
            <w:tcW w:w="759" w:type="dxa"/>
            <w:gridSpan w:val="2"/>
          </w:tcPr>
          <w:p>
            <w:pPr>
              <w:pStyle w:val="TableParagraph"/>
              <w:spacing w:before="7"/>
              <w:rPr>
                <w:b/>
                <w:sz w:val="21"/>
              </w:rPr>
            </w:pPr>
          </w:p>
          <w:p>
            <w:pPr>
              <w:pStyle w:val="TableParagraph"/>
              <w:spacing w:line="165" w:lineRule="exact"/>
              <w:ind w:right="142"/>
              <w:jc w:val="center"/>
              <w:rPr>
                <w:sz w:val="16"/>
              </w:rPr>
            </w:pPr>
            <w:r>
              <w:rPr>
                <w:color w:val="231F20"/>
                <w:w w:val="103"/>
                <w:sz w:val="16"/>
              </w:rPr>
              <w:t>$</w:t>
            </w:r>
          </w:p>
        </w:tc>
        <w:tc>
          <w:tcPr>
            <w:tcW w:w="549" w:type="dxa"/>
          </w:tcPr>
          <w:p>
            <w:pPr>
              <w:pStyle w:val="TableParagraph"/>
              <w:spacing w:before="7"/>
              <w:rPr>
                <w:b/>
                <w:sz w:val="21"/>
              </w:rPr>
            </w:pPr>
          </w:p>
          <w:p>
            <w:pPr>
              <w:pStyle w:val="TableParagraph"/>
              <w:spacing w:line="165" w:lineRule="exact"/>
              <w:ind w:right="83"/>
              <w:jc w:val="right"/>
              <w:rPr>
                <w:sz w:val="16"/>
              </w:rPr>
            </w:pPr>
            <w:r>
              <w:rPr>
                <w:color w:val="231F20"/>
                <w:w w:val="103"/>
                <w:sz w:val="16"/>
              </w:rPr>
              <w:t>-</w:t>
            </w:r>
          </w:p>
        </w:tc>
        <w:tc>
          <w:tcPr>
            <w:tcW w:w="759" w:type="dxa"/>
            <w:gridSpan w:val="2"/>
          </w:tcPr>
          <w:p>
            <w:pPr>
              <w:pStyle w:val="TableParagraph"/>
              <w:spacing w:before="7"/>
              <w:rPr>
                <w:b/>
                <w:sz w:val="21"/>
              </w:rPr>
            </w:pPr>
          </w:p>
          <w:p>
            <w:pPr>
              <w:pStyle w:val="TableParagraph"/>
              <w:spacing w:line="165" w:lineRule="exact"/>
              <w:ind w:right="142"/>
              <w:jc w:val="center"/>
              <w:rPr>
                <w:sz w:val="16"/>
              </w:rPr>
            </w:pPr>
            <w:r>
              <w:rPr>
                <w:color w:val="231F20"/>
                <w:w w:val="103"/>
                <w:sz w:val="16"/>
              </w:rPr>
              <w:t>$</w:t>
            </w:r>
          </w:p>
        </w:tc>
        <w:tc>
          <w:tcPr>
            <w:tcW w:w="549" w:type="dxa"/>
          </w:tcPr>
          <w:p>
            <w:pPr>
              <w:pStyle w:val="TableParagraph"/>
              <w:spacing w:before="7"/>
              <w:rPr>
                <w:b/>
                <w:sz w:val="21"/>
              </w:rPr>
            </w:pPr>
          </w:p>
          <w:p>
            <w:pPr>
              <w:pStyle w:val="TableParagraph"/>
              <w:spacing w:line="165" w:lineRule="exact"/>
              <w:ind w:right="83"/>
              <w:jc w:val="right"/>
              <w:rPr>
                <w:sz w:val="16"/>
              </w:rPr>
            </w:pPr>
            <w:r>
              <w:rPr>
                <w:color w:val="231F20"/>
                <w:w w:val="103"/>
                <w:sz w:val="16"/>
              </w:rPr>
              <w:t>-</w:t>
            </w:r>
          </w:p>
        </w:tc>
        <w:tc>
          <w:tcPr>
            <w:tcW w:w="759" w:type="dxa"/>
            <w:gridSpan w:val="2"/>
          </w:tcPr>
          <w:p>
            <w:pPr>
              <w:pStyle w:val="TableParagraph"/>
              <w:spacing w:before="7"/>
              <w:rPr>
                <w:b/>
                <w:sz w:val="21"/>
              </w:rPr>
            </w:pPr>
          </w:p>
          <w:p>
            <w:pPr>
              <w:pStyle w:val="TableParagraph"/>
              <w:spacing w:line="165" w:lineRule="exact"/>
              <w:ind w:right="144"/>
              <w:jc w:val="center"/>
              <w:rPr>
                <w:sz w:val="16"/>
              </w:rPr>
            </w:pPr>
            <w:r>
              <w:rPr>
                <w:color w:val="231F20"/>
                <w:w w:val="103"/>
                <w:sz w:val="16"/>
              </w:rPr>
              <w:t>$</w:t>
            </w:r>
          </w:p>
        </w:tc>
        <w:tc>
          <w:tcPr>
            <w:tcW w:w="550" w:type="dxa"/>
          </w:tcPr>
          <w:p>
            <w:pPr>
              <w:pStyle w:val="TableParagraph"/>
              <w:spacing w:before="7"/>
              <w:rPr>
                <w:b/>
                <w:sz w:val="21"/>
              </w:rPr>
            </w:pPr>
          </w:p>
          <w:p>
            <w:pPr>
              <w:pStyle w:val="TableParagraph"/>
              <w:spacing w:line="165" w:lineRule="exact"/>
              <w:ind w:right="84"/>
              <w:jc w:val="right"/>
              <w:rPr>
                <w:sz w:val="16"/>
              </w:rPr>
            </w:pPr>
            <w:r>
              <w:rPr>
                <w:color w:val="231F20"/>
                <w:w w:val="103"/>
                <w:sz w:val="16"/>
              </w:rPr>
              <w:t>-</w:t>
            </w:r>
          </w:p>
        </w:tc>
        <w:tc>
          <w:tcPr>
            <w:tcW w:w="759" w:type="dxa"/>
            <w:gridSpan w:val="2"/>
          </w:tcPr>
          <w:p>
            <w:pPr>
              <w:pStyle w:val="TableParagraph"/>
              <w:spacing w:before="7"/>
              <w:rPr>
                <w:b/>
                <w:sz w:val="21"/>
              </w:rPr>
            </w:pPr>
          </w:p>
          <w:p>
            <w:pPr>
              <w:pStyle w:val="TableParagraph"/>
              <w:spacing w:line="165" w:lineRule="exact"/>
              <w:ind w:right="146"/>
              <w:jc w:val="center"/>
              <w:rPr>
                <w:sz w:val="16"/>
              </w:rPr>
            </w:pPr>
            <w:r>
              <w:rPr>
                <w:color w:val="231F20"/>
                <w:w w:val="103"/>
                <w:sz w:val="16"/>
              </w:rPr>
              <w:t>$</w:t>
            </w:r>
          </w:p>
        </w:tc>
        <w:tc>
          <w:tcPr>
            <w:tcW w:w="549" w:type="dxa"/>
          </w:tcPr>
          <w:p>
            <w:pPr>
              <w:pStyle w:val="TableParagraph"/>
              <w:spacing w:before="7"/>
              <w:rPr>
                <w:b/>
                <w:sz w:val="21"/>
              </w:rPr>
            </w:pPr>
          </w:p>
          <w:p>
            <w:pPr>
              <w:pStyle w:val="TableParagraph"/>
              <w:spacing w:line="165" w:lineRule="exact"/>
              <w:ind w:right="84"/>
              <w:jc w:val="right"/>
              <w:rPr>
                <w:sz w:val="16"/>
              </w:rPr>
            </w:pPr>
            <w:r>
              <w:rPr>
                <w:color w:val="231F20"/>
                <w:w w:val="103"/>
                <w:sz w:val="16"/>
              </w:rPr>
              <w:t>-</w:t>
            </w:r>
          </w:p>
        </w:tc>
        <w:tc>
          <w:tcPr>
            <w:tcW w:w="770" w:type="dxa"/>
            <w:gridSpan w:val="2"/>
          </w:tcPr>
          <w:p>
            <w:pPr>
              <w:pStyle w:val="TableParagraph"/>
              <w:spacing w:before="7"/>
              <w:rPr>
                <w:b/>
                <w:sz w:val="21"/>
              </w:rPr>
            </w:pPr>
          </w:p>
          <w:p>
            <w:pPr>
              <w:pStyle w:val="TableParagraph"/>
              <w:spacing w:line="165" w:lineRule="exact"/>
              <w:ind w:right="131"/>
              <w:jc w:val="center"/>
              <w:rPr>
                <w:sz w:val="16"/>
              </w:rPr>
            </w:pPr>
            <w:r>
              <w:rPr>
                <w:color w:val="231F20"/>
                <w:w w:val="103"/>
                <w:sz w:val="16"/>
              </w:rPr>
              <w:t>$</w:t>
            </w:r>
          </w:p>
        </w:tc>
        <w:tc>
          <w:tcPr>
            <w:tcW w:w="562" w:type="dxa"/>
          </w:tcPr>
          <w:p>
            <w:pPr>
              <w:pStyle w:val="TableParagraph"/>
              <w:spacing w:before="7"/>
              <w:rPr>
                <w:b/>
                <w:sz w:val="21"/>
              </w:rPr>
            </w:pPr>
          </w:p>
          <w:p>
            <w:pPr>
              <w:pStyle w:val="TableParagraph"/>
              <w:spacing w:line="165" w:lineRule="exact"/>
              <w:ind w:right="96"/>
              <w:jc w:val="right"/>
              <w:rPr>
                <w:sz w:val="16"/>
              </w:rPr>
            </w:pPr>
            <w:r>
              <w:rPr>
                <w:color w:val="231F20"/>
                <w:w w:val="103"/>
                <w:sz w:val="16"/>
              </w:rPr>
              <w:t>-</w:t>
            </w:r>
          </w:p>
        </w:tc>
      </w:tr>
      <w:tr>
        <w:trPr>
          <w:trHeight w:val="557" w:hRule="atLeast"/>
        </w:trPr>
        <w:tc>
          <w:tcPr>
            <w:tcW w:w="4099" w:type="dxa"/>
          </w:tcPr>
          <w:p>
            <w:pPr>
              <w:pStyle w:val="TableParagraph"/>
              <w:spacing w:before="6"/>
              <w:rPr>
                <w:b/>
                <w:sz w:val="21"/>
              </w:rPr>
            </w:pPr>
          </w:p>
          <w:p>
            <w:pPr>
              <w:pStyle w:val="TableParagraph"/>
              <w:ind w:left="50"/>
              <w:rPr>
                <w:sz w:val="16"/>
              </w:rPr>
            </w:pPr>
            <w:r>
              <w:rPr>
                <w:color w:val="231F20"/>
                <w:sz w:val="16"/>
              </w:rPr>
              <w:t>Institute</w:t>
            </w:r>
            <w:r>
              <w:rPr>
                <w:color w:val="231F20"/>
                <w:spacing w:val="12"/>
                <w:sz w:val="16"/>
              </w:rPr>
              <w:t> </w:t>
            </w:r>
            <w:r>
              <w:rPr>
                <w:color w:val="231F20"/>
                <w:sz w:val="16"/>
              </w:rPr>
              <w:t>covered</w:t>
            </w:r>
            <w:r>
              <w:rPr>
                <w:color w:val="231F20"/>
                <w:spacing w:val="12"/>
                <w:sz w:val="16"/>
              </w:rPr>
              <w:t> </w:t>
            </w:r>
            <w:r>
              <w:rPr>
                <w:color w:val="231F20"/>
                <w:spacing w:val="-2"/>
                <w:sz w:val="16"/>
              </w:rPr>
              <w:t>payroll</w:t>
            </w:r>
          </w:p>
        </w:tc>
        <w:tc>
          <w:tcPr>
            <w:tcW w:w="1135" w:type="dxa"/>
            <w:gridSpan w:val="2"/>
          </w:tcPr>
          <w:p>
            <w:pPr>
              <w:pStyle w:val="TableParagraph"/>
              <w:spacing w:before="6"/>
              <w:rPr>
                <w:b/>
                <w:sz w:val="21"/>
              </w:rPr>
            </w:pPr>
          </w:p>
          <w:p>
            <w:pPr>
              <w:pStyle w:val="TableParagraph"/>
              <w:ind w:left="87"/>
              <w:rPr>
                <w:sz w:val="16"/>
              </w:rPr>
            </w:pPr>
            <w:r>
              <w:rPr>
                <w:color w:val="231F20"/>
                <w:w w:val="105"/>
                <w:sz w:val="16"/>
              </w:rPr>
              <w:t>$</w:t>
            </w:r>
            <w:r>
              <w:rPr>
                <w:color w:val="231F20"/>
                <w:spacing w:val="-6"/>
                <w:w w:val="105"/>
                <w:sz w:val="16"/>
              </w:rPr>
              <w:t> </w:t>
            </w:r>
            <w:r>
              <w:rPr>
                <w:color w:val="231F20"/>
                <w:spacing w:val="-2"/>
                <w:w w:val="105"/>
                <w:sz w:val="16"/>
              </w:rPr>
              <w:t>39,241,686</w:t>
            </w:r>
          </w:p>
        </w:tc>
        <w:tc>
          <w:tcPr>
            <w:tcW w:w="1307" w:type="dxa"/>
            <w:gridSpan w:val="3"/>
          </w:tcPr>
          <w:p>
            <w:pPr>
              <w:pStyle w:val="TableParagraph"/>
              <w:spacing w:before="6"/>
              <w:rPr>
                <w:b/>
                <w:sz w:val="21"/>
              </w:rPr>
            </w:pPr>
          </w:p>
          <w:p>
            <w:pPr>
              <w:pStyle w:val="TableParagraph"/>
              <w:ind w:left="260"/>
              <w:rPr>
                <w:sz w:val="16"/>
              </w:rPr>
            </w:pPr>
            <w:r>
              <w:rPr>
                <w:color w:val="231F20"/>
                <w:w w:val="105"/>
                <w:sz w:val="16"/>
              </w:rPr>
              <w:t>$</w:t>
            </w:r>
            <w:r>
              <w:rPr>
                <w:color w:val="231F20"/>
                <w:spacing w:val="-5"/>
                <w:w w:val="105"/>
                <w:sz w:val="16"/>
              </w:rPr>
              <w:t> </w:t>
            </w:r>
            <w:r>
              <w:rPr>
                <w:color w:val="231F20"/>
                <w:spacing w:val="-2"/>
                <w:w w:val="105"/>
                <w:sz w:val="16"/>
              </w:rPr>
              <w:t>39,489,483</w:t>
            </w:r>
          </w:p>
        </w:tc>
        <w:tc>
          <w:tcPr>
            <w:tcW w:w="1308" w:type="dxa"/>
            <w:gridSpan w:val="3"/>
          </w:tcPr>
          <w:p>
            <w:pPr>
              <w:pStyle w:val="TableParagraph"/>
              <w:spacing w:before="6"/>
              <w:rPr>
                <w:b/>
                <w:sz w:val="21"/>
              </w:rPr>
            </w:pPr>
          </w:p>
          <w:p>
            <w:pPr>
              <w:pStyle w:val="TableParagraph"/>
              <w:ind w:left="261"/>
              <w:rPr>
                <w:sz w:val="16"/>
              </w:rPr>
            </w:pPr>
            <w:r>
              <w:rPr>
                <w:color w:val="231F20"/>
                <w:w w:val="105"/>
                <w:sz w:val="16"/>
              </w:rPr>
              <w:t>$</w:t>
            </w:r>
            <w:r>
              <w:rPr>
                <w:color w:val="231F20"/>
                <w:spacing w:val="-6"/>
                <w:w w:val="105"/>
                <w:sz w:val="16"/>
              </w:rPr>
              <w:t> </w:t>
            </w:r>
            <w:r>
              <w:rPr>
                <w:color w:val="231F20"/>
                <w:spacing w:val="-2"/>
                <w:w w:val="105"/>
                <w:sz w:val="16"/>
              </w:rPr>
              <w:t>37,509,750</w:t>
            </w:r>
          </w:p>
        </w:tc>
        <w:tc>
          <w:tcPr>
            <w:tcW w:w="1308" w:type="dxa"/>
            <w:gridSpan w:val="3"/>
          </w:tcPr>
          <w:p>
            <w:pPr>
              <w:pStyle w:val="TableParagraph"/>
              <w:spacing w:before="6"/>
              <w:rPr>
                <w:b/>
                <w:sz w:val="21"/>
              </w:rPr>
            </w:pPr>
          </w:p>
          <w:p>
            <w:pPr>
              <w:pStyle w:val="TableParagraph"/>
              <w:ind w:left="261"/>
              <w:rPr>
                <w:sz w:val="16"/>
              </w:rPr>
            </w:pPr>
            <w:r>
              <w:rPr>
                <w:color w:val="231F20"/>
                <w:w w:val="105"/>
                <w:sz w:val="16"/>
              </w:rPr>
              <w:t>$</w:t>
            </w:r>
            <w:r>
              <w:rPr>
                <w:color w:val="231F20"/>
                <w:spacing w:val="-6"/>
                <w:w w:val="105"/>
                <w:sz w:val="16"/>
              </w:rPr>
              <w:t> </w:t>
            </w:r>
            <w:r>
              <w:rPr>
                <w:color w:val="231F20"/>
                <w:spacing w:val="-2"/>
                <w:w w:val="105"/>
                <w:sz w:val="16"/>
              </w:rPr>
              <w:t>35,849,654</w:t>
            </w:r>
          </w:p>
        </w:tc>
        <w:tc>
          <w:tcPr>
            <w:tcW w:w="1308" w:type="dxa"/>
            <w:gridSpan w:val="3"/>
          </w:tcPr>
          <w:p>
            <w:pPr>
              <w:pStyle w:val="TableParagraph"/>
              <w:spacing w:before="6"/>
              <w:rPr>
                <w:b/>
                <w:sz w:val="21"/>
              </w:rPr>
            </w:pPr>
          </w:p>
          <w:p>
            <w:pPr>
              <w:pStyle w:val="TableParagraph"/>
              <w:ind w:left="261"/>
              <w:rPr>
                <w:sz w:val="16"/>
              </w:rPr>
            </w:pPr>
            <w:r>
              <w:rPr>
                <w:color w:val="231F20"/>
                <w:w w:val="105"/>
                <w:sz w:val="16"/>
              </w:rPr>
              <w:t>$</w:t>
            </w:r>
            <w:r>
              <w:rPr>
                <w:color w:val="231F20"/>
                <w:spacing w:val="-6"/>
                <w:w w:val="105"/>
                <w:sz w:val="16"/>
              </w:rPr>
              <w:t> </w:t>
            </w:r>
            <w:r>
              <w:rPr>
                <w:color w:val="231F20"/>
                <w:spacing w:val="-2"/>
                <w:w w:val="105"/>
                <w:sz w:val="16"/>
              </w:rPr>
              <w:t>34,954,101</w:t>
            </w:r>
          </w:p>
        </w:tc>
        <w:tc>
          <w:tcPr>
            <w:tcW w:w="1309" w:type="dxa"/>
            <w:gridSpan w:val="3"/>
          </w:tcPr>
          <w:p>
            <w:pPr>
              <w:pStyle w:val="TableParagraph"/>
              <w:spacing w:before="6"/>
              <w:rPr>
                <w:b/>
                <w:sz w:val="21"/>
              </w:rPr>
            </w:pPr>
          </w:p>
          <w:p>
            <w:pPr>
              <w:pStyle w:val="TableParagraph"/>
              <w:ind w:left="260"/>
              <w:rPr>
                <w:sz w:val="16"/>
              </w:rPr>
            </w:pPr>
            <w:r>
              <w:rPr>
                <w:color w:val="231F20"/>
                <w:w w:val="105"/>
                <w:sz w:val="16"/>
              </w:rPr>
              <w:t>$</w:t>
            </w:r>
            <w:r>
              <w:rPr>
                <w:color w:val="231F20"/>
                <w:spacing w:val="-5"/>
                <w:w w:val="105"/>
                <w:sz w:val="16"/>
              </w:rPr>
              <w:t> </w:t>
            </w:r>
            <w:r>
              <w:rPr>
                <w:color w:val="231F20"/>
                <w:spacing w:val="-2"/>
                <w:w w:val="105"/>
                <w:sz w:val="16"/>
              </w:rPr>
              <w:t>35,751,781</w:t>
            </w:r>
          </w:p>
        </w:tc>
        <w:tc>
          <w:tcPr>
            <w:tcW w:w="1308" w:type="dxa"/>
            <w:gridSpan w:val="3"/>
          </w:tcPr>
          <w:p>
            <w:pPr>
              <w:pStyle w:val="TableParagraph"/>
              <w:spacing w:before="6"/>
              <w:rPr>
                <w:b/>
                <w:sz w:val="21"/>
              </w:rPr>
            </w:pPr>
          </w:p>
          <w:p>
            <w:pPr>
              <w:pStyle w:val="TableParagraph"/>
              <w:ind w:left="259"/>
              <w:rPr>
                <w:sz w:val="16"/>
              </w:rPr>
            </w:pPr>
            <w:r>
              <w:rPr>
                <w:color w:val="231F20"/>
                <w:w w:val="105"/>
                <w:sz w:val="16"/>
              </w:rPr>
              <w:t>$</w:t>
            </w:r>
            <w:r>
              <w:rPr>
                <w:color w:val="231F20"/>
                <w:spacing w:val="-5"/>
                <w:w w:val="105"/>
                <w:sz w:val="16"/>
              </w:rPr>
              <w:t> </w:t>
            </w:r>
            <w:r>
              <w:rPr>
                <w:color w:val="231F20"/>
                <w:spacing w:val="-2"/>
                <w:w w:val="105"/>
                <w:sz w:val="16"/>
              </w:rPr>
              <w:t>35,561,330</w:t>
            </w:r>
          </w:p>
        </w:tc>
        <w:tc>
          <w:tcPr>
            <w:tcW w:w="1332" w:type="dxa"/>
            <w:gridSpan w:val="3"/>
          </w:tcPr>
          <w:p>
            <w:pPr>
              <w:pStyle w:val="TableParagraph"/>
              <w:spacing w:before="6"/>
              <w:rPr>
                <w:b/>
                <w:sz w:val="21"/>
              </w:rPr>
            </w:pPr>
          </w:p>
          <w:p>
            <w:pPr>
              <w:pStyle w:val="TableParagraph"/>
              <w:ind w:left="272"/>
              <w:rPr>
                <w:sz w:val="16"/>
              </w:rPr>
            </w:pPr>
            <w:r>
              <w:rPr>
                <w:color w:val="231F20"/>
                <w:w w:val="105"/>
                <w:sz w:val="16"/>
              </w:rPr>
              <w:t>$</w:t>
            </w:r>
            <w:r>
              <w:rPr>
                <w:color w:val="231F20"/>
                <w:spacing w:val="-5"/>
                <w:w w:val="105"/>
                <w:sz w:val="16"/>
              </w:rPr>
              <w:t> </w:t>
            </w:r>
            <w:r>
              <w:rPr>
                <w:color w:val="231F20"/>
                <w:spacing w:val="-2"/>
                <w:w w:val="105"/>
                <w:sz w:val="16"/>
              </w:rPr>
              <w:t>41,456,404</w:t>
            </w:r>
          </w:p>
        </w:tc>
      </w:tr>
      <w:tr>
        <w:trPr>
          <w:trHeight w:val="310" w:hRule="atLeast"/>
        </w:trPr>
        <w:tc>
          <w:tcPr>
            <w:tcW w:w="4099" w:type="dxa"/>
          </w:tcPr>
          <w:p>
            <w:pPr>
              <w:pStyle w:val="TableParagraph"/>
              <w:spacing w:line="165" w:lineRule="exact" w:before="124"/>
              <w:ind w:left="50"/>
              <w:rPr>
                <w:sz w:val="16"/>
              </w:rPr>
            </w:pPr>
            <w:r>
              <w:rPr>
                <w:color w:val="231F20"/>
                <w:spacing w:val="-2"/>
                <w:w w:val="105"/>
                <w:sz w:val="16"/>
              </w:rPr>
              <w:t>Contributions</w:t>
            </w:r>
            <w:r>
              <w:rPr>
                <w:color w:val="231F20"/>
                <w:spacing w:val="-3"/>
                <w:w w:val="105"/>
                <w:sz w:val="16"/>
              </w:rPr>
              <w:t> </w:t>
            </w:r>
            <w:r>
              <w:rPr>
                <w:color w:val="231F20"/>
                <w:spacing w:val="-2"/>
                <w:w w:val="105"/>
                <w:sz w:val="16"/>
              </w:rPr>
              <w:t>as a</w:t>
            </w:r>
            <w:r>
              <w:rPr>
                <w:color w:val="231F20"/>
                <w:spacing w:val="-3"/>
                <w:w w:val="105"/>
                <w:sz w:val="16"/>
              </w:rPr>
              <w:t> </w:t>
            </w:r>
            <w:r>
              <w:rPr>
                <w:color w:val="231F20"/>
                <w:spacing w:val="-2"/>
                <w:w w:val="105"/>
                <w:sz w:val="16"/>
              </w:rPr>
              <w:t>percentage of covered payroll</w:t>
            </w:r>
          </w:p>
        </w:tc>
        <w:tc>
          <w:tcPr>
            <w:tcW w:w="1135" w:type="dxa"/>
            <w:gridSpan w:val="2"/>
          </w:tcPr>
          <w:p>
            <w:pPr>
              <w:pStyle w:val="TableParagraph"/>
              <w:spacing w:line="165" w:lineRule="exact" w:before="124"/>
              <w:ind w:left="543"/>
              <w:rPr>
                <w:sz w:val="16"/>
              </w:rPr>
            </w:pPr>
            <w:r>
              <w:rPr>
                <w:color w:val="231F20"/>
                <w:spacing w:val="-2"/>
                <w:w w:val="105"/>
                <w:sz w:val="16"/>
              </w:rPr>
              <w:t>16.83%</w:t>
            </w:r>
          </w:p>
        </w:tc>
        <w:tc>
          <w:tcPr>
            <w:tcW w:w="1307" w:type="dxa"/>
            <w:gridSpan w:val="3"/>
          </w:tcPr>
          <w:p>
            <w:pPr>
              <w:pStyle w:val="TableParagraph"/>
              <w:spacing w:line="165" w:lineRule="exact" w:before="124"/>
              <w:ind w:left="715"/>
              <w:rPr>
                <w:sz w:val="16"/>
              </w:rPr>
            </w:pPr>
            <w:r>
              <w:rPr>
                <w:color w:val="231F20"/>
                <w:spacing w:val="-2"/>
                <w:w w:val="105"/>
                <w:sz w:val="16"/>
              </w:rPr>
              <w:t>14.77%</w:t>
            </w:r>
          </w:p>
        </w:tc>
        <w:tc>
          <w:tcPr>
            <w:tcW w:w="1308" w:type="dxa"/>
            <w:gridSpan w:val="3"/>
          </w:tcPr>
          <w:p>
            <w:pPr>
              <w:pStyle w:val="TableParagraph"/>
              <w:spacing w:line="165" w:lineRule="exact" w:before="124"/>
              <w:ind w:left="716"/>
              <w:rPr>
                <w:sz w:val="16"/>
              </w:rPr>
            </w:pPr>
            <w:r>
              <w:rPr>
                <w:color w:val="231F20"/>
                <w:spacing w:val="-2"/>
                <w:w w:val="105"/>
                <w:sz w:val="16"/>
              </w:rPr>
              <w:t>15.64%</w:t>
            </w:r>
          </w:p>
        </w:tc>
        <w:tc>
          <w:tcPr>
            <w:tcW w:w="1308" w:type="dxa"/>
            <w:gridSpan w:val="3"/>
          </w:tcPr>
          <w:p>
            <w:pPr>
              <w:pStyle w:val="TableParagraph"/>
              <w:spacing w:line="165" w:lineRule="exact" w:before="124"/>
              <w:ind w:left="716"/>
              <w:rPr>
                <w:sz w:val="16"/>
              </w:rPr>
            </w:pPr>
            <w:r>
              <w:rPr>
                <w:color w:val="231F20"/>
                <w:spacing w:val="-2"/>
                <w:w w:val="105"/>
                <w:sz w:val="16"/>
              </w:rPr>
              <w:t>15.24%</w:t>
            </w:r>
          </w:p>
        </w:tc>
        <w:tc>
          <w:tcPr>
            <w:tcW w:w="1308" w:type="dxa"/>
            <w:gridSpan w:val="3"/>
          </w:tcPr>
          <w:p>
            <w:pPr>
              <w:pStyle w:val="TableParagraph"/>
              <w:spacing w:line="165" w:lineRule="exact" w:before="124"/>
              <w:ind w:left="716"/>
              <w:rPr>
                <w:sz w:val="16"/>
              </w:rPr>
            </w:pPr>
            <w:r>
              <w:rPr>
                <w:color w:val="231F20"/>
                <w:spacing w:val="-2"/>
                <w:w w:val="105"/>
                <w:sz w:val="16"/>
              </w:rPr>
              <w:t>14.96%</w:t>
            </w:r>
          </w:p>
        </w:tc>
        <w:tc>
          <w:tcPr>
            <w:tcW w:w="1309" w:type="dxa"/>
            <w:gridSpan w:val="3"/>
          </w:tcPr>
          <w:p>
            <w:pPr>
              <w:pStyle w:val="TableParagraph"/>
              <w:spacing w:line="165" w:lineRule="exact" w:before="124"/>
              <w:ind w:left="715"/>
              <w:rPr>
                <w:sz w:val="16"/>
              </w:rPr>
            </w:pPr>
            <w:r>
              <w:rPr>
                <w:color w:val="231F20"/>
                <w:spacing w:val="-2"/>
                <w:w w:val="105"/>
                <w:sz w:val="16"/>
              </w:rPr>
              <w:t>14.01%</w:t>
            </w:r>
          </w:p>
        </w:tc>
        <w:tc>
          <w:tcPr>
            <w:tcW w:w="1308" w:type="dxa"/>
            <w:gridSpan w:val="3"/>
          </w:tcPr>
          <w:p>
            <w:pPr>
              <w:pStyle w:val="TableParagraph"/>
              <w:spacing w:line="165" w:lineRule="exact" w:before="124"/>
              <w:ind w:left="714"/>
              <w:rPr>
                <w:sz w:val="16"/>
              </w:rPr>
            </w:pPr>
            <w:r>
              <w:rPr>
                <w:color w:val="231F20"/>
                <w:spacing w:val="-2"/>
                <w:w w:val="105"/>
                <w:sz w:val="16"/>
              </w:rPr>
              <w:t>14.47%</w:t>
            </w:r>
          </w:p>
        </w:tc>
        <w:tc>
          <w:tcPr>
            <w:tcW w:w="1332" w:type="dxa"/>
            <w:gridSpan w:val="3"/>
          </w:tcPr>
          <w:p>
            <w:pPr>
              <w:pStyle w:val="TableParagraph"/>
              <w:spacing w:line="165" w:lineRule="exact" w:before="124"/>
              <w:ind w:left="725"/>
              <w:rPr>
                <w:sz w:val="16"/>
              </w:rPr>
            </w:pPr>
            <w:r>
              <w:rPr>
                <w:color w:val="231F20"/>
                <w:spacing w:val="-2"/>
                <w:w w:val="105"/>
                <w:sz w:val="16"/>
              </w:rPr>
              <w:t>12.39%</w:t>
            </w:r>
          </w:p>
        </w:tc>
      </w:tr>
    </w:tbl>
    <w:p>
      <w:pPr>
        <w:pStyle w:val="BodyText"/>
        <w:spacing w:before="1"/>
        <w:rPr>
          <w:b/>
          <w:sz w:val="13"/>
        </w:rPr>
      </w:pPr>
    </w:p>
    <w:p>
      <w:pPr>
        <w:spacing w:line="278" w:lineRule="auto" w:before="103"/>
        <w:ind w:left="158" w:right="198" w:firstLine="0"/>
        <w:jc w:val="left"/>
        <w:rPr>
          <w:sz w:val="14"/>
        </w:rPr>
      </w:pPr>
      <w:r>
        <w:rPr>
          <w:i/>
          <w:color w:val="231F20"/>
          <w:w w:val="105"/>
          <w:sz w:val="14"/>
        </w:rPr>
        <w:t>*Governmental</w:t>
      </w:r>
      <w:r>
        <w:rPr>
          <w:i/>
          <w:color w:val="231F20"/>
          <w:spacing w:val="-3"/>
          <w:w w:val="105"/>
          <w:sz w:val="14"/>
        </w:rPr>
        <w:t> </w:t>
      </w:r>
      <w:r>
        <w:rPr>
          <w:i/>
          <w:color w:val="231F20"/>
          <w:w w:val="105"/>
          <w:sz w:val="14"/>
        </w:rPr>
        <w:t>Accounting</w:t>
      </w:r>
      <w:r>
        <w:rPr>
          <w:i/>
          <w:color w:val="231F20"/>
          <w:spacing w:val="-3"/>
          <w:w w:val="105"/>
          <w:sz w:val="14"/>
        </w:rPr>
        <w:t> </w:t>
      </w:r>
      <w:r>
        <w:rPr>
          <w:i/>
          <w:color w:val="231F20"/>
          <w:w w:val="105"/>
          <w:sz w:val="14"/>
        </w:rPr>
        <w:t>Standards</w:t>
      </w:r>
      <w:r>
        <w:rPr>
          <w:i/>
          <w:color w:val="231F20"/>
          <w:spacing w:val="-3"/>
          <w:w w:val="105"/>
          <w:sz w:val="14"/>
        </w:rPr>
        <w:t> </w:t>
      </w:r>
      <w:r>
        <w:rPr>
          <w:i/>
          <w:color w:val="231F20"/>
          <w:w w:val="105"/>
          <w:sz w:val="14"/>
        </w:rPr>
        <w:t>Board</w:t>
      </w:r>
      <w:r>
        <w:rPr>
          <w:i/>
          <w:color w:val="231F20"/>
          <w:spacing w:val="-5"/>
          <w:w w:val="105"/>
          <w:sz w:val="14"/>
        </w:rPr>
        <w:t> </w:t>
      </w:r>
      <w:r>
        <w:rPr>
          <w:i/>
          <w:color w:val="231F20"/>
          <w:w w:val="105"/>
          <w:sz w:val="14"/>
        </w:rPr>
        <w:t>Statement</w:t>
      </w:r>
      <w:r>
        <w:rPr>
          <w:i/>
          <w:color w:val="231F20"/>
          <w:spacing w:val="-3"/>
          <w:w w:val="105"/>
          <w:sz w:val="14"/>
        </w:rPr>
        <w:t> </w:t>
      </w:r>
      <w:r>
        <w:rPr>
          <w:i/>
          <w:color w:val="231F20"/>
          <w:w w:val="105"/>
          <w:sz w:val="14"/>
        </w:rPr>
        <w:t>No.</w:t>
      </w:r>
      <w:r>
        <w:rPr>
          <w:i/>
          <w:color w:val="231F20"/>
          <w:spacing w:val="-5"/>
          <w:w w:val="105"/>
          <w:sz w:val="14"/>
        </w:rPr>
        <w:t> </w:t>
      </w:r>
      <w:r>
        <w:rPr>
          <w:i/>
          <w:color w:val="231F20"/>
          <w:w w:val="105"/>
          <w:sz w:val="14"/>
        </w:rPr>
        <w:t>68</w:t>
      </w:r>
      <w:r>
        <w:rPr>
          <w:i/>
          <w:color w:val="231F20"/>
          <w:spacing w:val="20"/>
          <w:w w:val="105"/>
          <w:sz w:val="14"/>
        </w:rPr>
        <w:t> </w:t>
      </w:r>
      <w:r>
        <w:rPr>
          <w:color w:val="231F20"/>
          <w:w w:val="105"/>
          <w:sz w:val="14"/>
        </w:rPr>
        <w:t>requires</w:t>
      </w:r>
      <w:r>
        <w:rPr>
          <w:color w:val="231F20"/>
          <w:spacing w:val="-3"/>
          <w:w w:val="105"/>
          <w:sz w:val="14"/>
        </w:rPr>
        <w:t> </w:t>
      </w:r>
      <w:r>
        <w:rPr>
          <w:color w:val="231F20"/>
          <w:w w:val="105"/>
          <w:sz w:val="14"/>
        </w:rPr>
        <w:t>ten</w:t>
      </w:r>
      <w:r>
        <w:rPr>
          <w:color w:val="231F20"/>
          <w:spacing w:val="-4"/>
          <w:w w:val="105"/>
          <w:sz w:val="14"/>
        </w:rPr>
        <w:t> </w:t>
      </w:r>
      <w:r>
        <w:rPr>
          <w:color w:val="231F20"/>
          <w:w w:val="105"/>
          <w:sz w:val="14"/>
        </w:rPr>
        <w:t>years</w:t>
      </w:r>
      <w:r>
        <w:rPr>
          <w:color w:val="231F20"/>
          <w:spacing w:val="-3"/>
          <w:w w:val="105"/>
          <w:sz w:val="14"/>
        </w:rPr>
        <w:t> </w:t>
      </w:r>
      <w:r>
        <w:rPr>
          <w:color w:val="231F20"/>
          <w:w w:val="105"/>
          <w:sz w:val="14"/>
        </w:rPr>
        <w:t>of</w:t>
      </w:r>
      <w:r>
        <w:rPr>
          <w:color w:val="231F20"/>
          <w:spacing w:val="-3"/>
          <w:w w:val="105"/>
          <w:sz w:val="14"/>
        </w:rPr>
        <w:t> </w:t>
      </w:r>
      <w:r>
        <w:rPr>
          <w:color w:val="231F20"/>
          <w:w w:val="105"/>
          <w:sz w:val="14"/>
        </w:rPr>
        <w:t>historical</w:t>
      </w:r>
      <w:r>
        <w:rPr>
          <w:color w:val="231F20"/>
          <w:spacing w:val="-3"/>
          <w:w w:val="105"/>
          <w:sz w:val="14"/>
        </w:rPr>
        <w:t> </w:t>
      </w:r>
      <w:r>
        <w:rPr>
          <w:color w:val="231F20"/>
          <w:w w:val="105"/>
          <w:sz w:val="14"/>
        </w:rPr>
        <w:t>information</w:t>
      </w:r>
      <w:r>
        <w:rPr>
          <w:color w:val="231F20"/>
          <w:spacing w:val="-3"/>
          <w:w w:val="105"/>
          <w:sz w:val="14"/>
        </w:rPr>
        <w:t> </w:t>
      </w:r>
      <w:r>
        <w:rPr>
          <w:color w:val="231F20"/>
          <w:w w:val="105"/>
          <w:sz w:val="14"/>
        </w:rPr>
        <w:t>be</w:t>
      </w:r>
      <w:r>
        <w:rPr>
          <w:color w:val="231F20"/>
          <w:spacing w:val="-5"/>
          <w:w w:val="105"/>
          <w:sz w:val="14"/>
        </w:rPr>
        <w:t> </w:t>
      </w:r>
      <w:r>
        <w:rPr>
          <w:color w:val="231F20"/>
          <w:w w:val="105"/>
          <w:sz w:val="14"/>
        </w:rPr>
        <w:t>presented;</w:t>
      </w:r>
      <w:r>
        <w:rPr>
          <w:color w:val="231F20"/>
          <w:spacing w:val="-3"/>
          <w:w w:val="105"/>
          <w:sz w:val="14"/>
        </w:rPr>
        <w:t> </w:t>
      </w:r>
      <w:r>
        <w:rPr>
          <w:color w:val="231F20"/>
          <w:w w:val="105"/>
          <w:sz w:val="14"/>
        </w:rPr>
        <w:t>however,</w:t>
      </w:r>
      <w:r>
        <w:rPr>
          <w:color w:val="231F20"/>
          <w:spacing w:val="-3"/>
          <w:w w:val="105"/>
          <w:sz w:val="14"/>
        </w:rPr>
        <w:t> </w:t>
      </w:r>
      <w:r>
        <w:rPr>
          <w:color w:val="231F20"/>
          <w:w w:val="105"/>
          <w:sz w:val="14"/>
        </w:rPr>
        <w:t>until</w:t>
      </w:r>
      <w:r>
        <w:rPr>
          <w:color w:val="231F20"/>
          <w:spacing w:val="-3"/>
          <w:w w:val="105"/>
          <w:sz w:val="14"/>
        </w:rPr>
        <w:t> </w:t>
      </w:r>
      <w:r>
        <w:rPr>
          <w:color w:val="231F20"/>
          <w:w w:val="105"/>
          <w:sz w:val="14"/>
        </w:rPr>
        <w:t>a</w:t>
      </w:r>
      <w:r>
        <w:rPr>
          <w:color w:val="231F20"/>
          <w:spacing w:val="-3"/>
          <w:w w:val="105"/>
          <w:sz w:val="14"/>
        </w:rPr>
        <w:t> </w:t>
      </w:r>
      <w:r>
        <w:rPr>
          <w:color w:val="231F20"/>
          <w:w w:val="105"/>
          <w:sz w:val="14"/>
        </w:rPr>
        <w:t>full</w:t>
      </w:r>
      <w:r>
        <w:rPr>
          <w:color w:val="231F20"/>
          <w:spacing w:val="-2"/>
          <w:w w:val="105"/>
          <w:sz w:val="14"/>
        </w:rPr>
        <w:t> </w:t>
      </w:r>
      <w:r>
        <w:rPr>
          <w:color w:val="231F20"/>
          <w:w w:val="105"/>
          <w:sz w:val="14"/>
        </w:rPr>
        <w:t>10-year</w:t>
      </w:r>
      <w:r>
        <w:rPr>
          <w:color w:val="231F20"/>
          <w:spacing w:val="-4"/>
          <w:w w:val="105"/>
          <w:sz w:val="14"/>
        </w:rPr>
        <w:t> </w:t>
      </w:r>
      <w:r>
        <w:rPr>
          <w:color w:val="231F20"/>
          <w:w w:val="105"/>
          <w:sz w:val="14"/>
        </w:rPr>
        <w:t>trend</w:t>
      </w:r>
      <w:r>
        <w:rPr>
          <w:color w:val="231F20"/>
          <w:spacing w:val="-3"/>
          <w:w w:val="105"/>
          <w:sz w:val="14"/>
        </w:rPr>
        <w:t> </w:t>
      </w:r>
      <w:r>
        <w:rPr>
          <w:color w:val="231F20"/>
          <w:w w:val="105"/>
          <w:sz w:val="14"/>
        </w:rPr>
        <w:t>is</w:t>
      </w:r>
      <w:r>
        <w:rPr>
          <w:color w:val="231F20"/>
          <w:spacing w:val="-2"/>
          <w:w w:val="105"/>
          <w:sz w:val="14"/>
        </w:rPr>
        <w:t> </w:t>
      </w:r>
      <w:r>
        <w:rPr>
          <w:color w:val="231F20"/>
          <w:w w:val="105"/>
          <w:sz w:val="14"/>
        </w:rPr>
        <w:t>compiled,</w:t>
      </w:r>
      <w:r>
        <w:rPr>
          <w:color w:val="231F20"/>
          <w:spacing w:val="-3"/>
          <w:w w:val="105"/>
          <w:sz w:val="14"/>
        </w:rPr>
        <w:t> </w:t>
      </w:r>
      <w:r>
        <w:rPr>
          <w:color w:val="231F20"/>
          <w:w w:val="105"/>
          <w:sz w:val="14"/>
        </w:rPr>
        <w:t>the</w:t>
      </w:r>
      <w:r>
        <w:rPr>
          <w:color w:val="231F20"/>
          <w:spacing w:val="-4"/>
          <w:w w:val="105"/>
          <w:sz w:val="14"/>
        </w:rPr>
        <w:t> </w:t>
      </w:r>
      <w:r>
        <w:rPr>
          <w:color w:val="231F20"/>
          <w:w w:val="105"/>
          <w:sz w:val="14"/>
        </w:rPr>
        <w:t>statement</w:t>
      </w:r>
      <w:r>
        <w:rPr>
          <w:color w:val="231F20"/>
          <w:spacing w:val="-3"/>
          <w:w w:val="105"/>
          <w:sz w:val="14"/>
        </w:rPr>
        <w:t> </w:t>
      </w:r>
      <w:r>
        <w:rPr>
          <w:color w:val="231F20"/>
          <w:w w:val="105"/>
          <w:sz w:val="14"/>
        </w:rPr>
        <w:t>only</w:t>
      </w:r>
      <w:r>
        <w:rPr>
          <w:color w:val="231F20"/>
          <w:spacing w:val="-4"/>
          <w:w w:val="105"/>
          <w:sz w:val="14"/>
        </w:rPr>
        <w:t> </w:t>
      </w:r>
      <w:r>
        <w:rPr>
          <w:color w:val="231F20"/>
          <w:w w:val="105"/>
          <w:sz w:val="14"/>
        </w:rPr>
        <w:t>requires</w:t>
      </w:r>
      <w:r>
        <w:rPr>
          <w:color w:val="231F20"/>
          <w:spacing w:val="-3"/>
          <w:w w:val="105"/>
          <w:sz w:val="14"/>
        </w:rPr>
        <w:t> </w:t>
      </w:r>
      <w:r>
        <w:rPr>
          <w:color w:val="231F20"/>
          <w:w w:val="105"/>
          <w:sz w:val="14"/>
        </w:rPr>
        <w:t>presentation</w:t>
      </w:r>
      <w:r>
        <w:rPr>
          <w:color w:val="231F20"/>
          <w:spacing w:val="-3"/>
          <w:w w:val="105"/>
          <w:sz w:val="14"/>
        </w:rPr>
        <w:t> </w:t>
      </w:r>
      <w:r>
        <w:rPr>
          <w:color w:val="231F20"/>
          <w:w w:val="105"/>
          <w:sz w:val="14"/>
        </w:rPr>
        <w:t>of information for those years that information is available. Complete information for the</w:t>
      </w:r>
      <w:r>
        <w:rPr>
          <w:color w:val="231F20"/>
          <w:spacing w:val="-1"/>
          <w:w w:val="105"/>
          <w:sz w:val="14"/>
        </w:rPr>
        <w:t> </w:t>
      </w:r>
      <w:r>
        <w:rPr>
          <w:color w:val="231F20"/>
          <w:w w:val="105"/>
          <w:sz w:val="14"/>
        </w:rPr>
        <w:t>Institute</w:t>
      </w:r>
      <w:r>
        <w:rPr>
          <w:color w:val="231F20"/>
          <w:spacing w:val="-1"/>
          <w:w w:val="105"/>
          <w:sz w:val="14"/>
        </w:rPr>
        <w:t> </w:t>
      </w:r>
      <w:r>
        <w:rPr>
          <w:color w:val="231F20"/>
          <w:w w:val="105"/>
          <w:sz w:val="14"/>
        </w:rPr>
        <w:t>is not available prior</w:t>
      </w:r>
      <w:r>
        <w:rPr>
          <w:color w:val="231F20"/>
          <w:spacing w:val="-1"/>
          <w:w w:val="105"/>
          <w:sz w:val="14"/>
        </w:rPr>
        <w:t> </w:t>
      </w:r>
      <w:r>
        <w:rPr>
          <w:color w:val="231F20"/>
          <w:w w:val="105"/>
          <w:sz w:val="14"/>
        </w:rPr>
        <w:t>to fiscal year 2015, the year the statement’s requirements became effective.</w:t>
      </w:r>
    </w:p>
    <w:p>
      <w:pPr>
        <w:spacing w:after="0" w:line="278" w:lineRule="auto"/>
        <w:jc w:val="left"/>
        <w:rPr>
          <w:sz w:val="14"/>
        </w:rPr>
        <w:sectPr>
          <w:pgSz w:w="15840" w:h="12240" w:orient="landscape"/>
          <w:pgMar w:header="994" w:footer="1097" w:top="1300" w:bottom="1280" w:left="600" w:right="600"/>
        </w:sectPr>
      </w:pPr>
    </w:p>
    <w:p>
      <w:pPr>
        <w:pStyle w:val="Heading3"/>
        <w:ind w:left="3139" w:right="1941" w:hanging="873"/>
        <w:jc w:val="left"/>
      </w:pPr>
      <w:r>
        <w:rPr/>
        <w:pict>
          <v:rect style="position:absolute;margin-left:70.5pt;margin-top:28.525633pt;width:471.001pt;height:1.5pt;mso-position-horizontal-relative:page;mso-position-vertical-relative:paragraph;z-index:-15644672;mso-wrap-distance-left:0;mso-wrap-distance-right:0" id="docshape420" filled="true" fillcolor="#231f20" stroked="false">
            <v:fill type="solid"/>
            <w10:wrap type="topAndBottom"/>
          </v:rect>
        </w:pict>
      </w:r>
      <w:r>
        <w:rPr>
          <w:color w:val="231F20"/>
        </w:rPr>
        <w:t>Notes</w:t>
      </w:r>
      <w:r>
        <w:rPr>
          <w:color w:val="231F20"/>
          <w:spacing w:val="-7"/>
        </w:rPr>
        <w:t> </w:t>
      </w:r>
      <w:r>
        <w:rPr>
          <w:color w:val="231F20"/>
        </w:rPr>
        <w:t>to</w:t>
      </w:r>
      <w:r>
        <w:rPr>
          <w:color w:val="231F20"/>
          <w:spacing w:val="-7"/>
        </w:rPr>
        <w:t> </w:t>
      </w:r>
      <w:r>
        <w:rPr>
          <w:color w:val="231F20"/>
        </w:rPr>
        <w:t>Defined</w:t>
      </w:r>
      <w:r>
        <w:rPr>
          <w:color w:val="231F20"/>
          <w:spacing w:val="-7"/>
        </w:rPr>
        <w:t> </w:t>
      </w:r>
      <w:r>
        <w:rPr>
          <w:color w:val="231F20"/>
        </w:rPr>
        <w:t>Benefit</w:t>
      </w:r>
      <w:r>
        <w:rPr>
          <w:color w:val="231F20"/>
          <w:spacing w:val="-7"/>
        </w:rPr>
        <w:t> </w:t>
      </w:r>
      <w:r>
        <w:rPr>
          <w:color w:val="231F20"/>
        </w:rPr>
        <w:t>Retirement</w:t>
      </w:r>
      <w:r>
        <w:rPr>
          <w:color w:val="231F20"/>
          <w:spacing w:val="-7"/>
        </w:rPr>
        <w:t> </w:t>
      </w:r>
      <w:r>
        <w:rPr>
          <w:color w:val="231F20"/>
        </w:rPr>
        <w:t>Plan</w:t>
      </w:r>
      <w:r>
        <w:rPr>
          <w:color w:val="231F20"/>
          <w:spacing w:val="-7"/>
        </w:rPr>
        <w:t> </w:t>
      </w:r>
      <w:r>
        <w:rPr>
          <w:color w:val="231F20"/>
        </w:rPr>
        <w:t>RSI For Year Ended June 30, 2022</w:t>
      </w:r>
    </w:p>
    <w:p>
      <w:pPr>
        <w:pStyle w:val="BodyText"/>
        <w:rPr>
          <w:b/>
        </w:rPr>
      </w:pPr>
    </w:p>
    <w:p>
      <w:pPr>
        <w:pStyle w:val="BodyText"/>
        <w:spacing w:before="10"/>
        <w:rPr>
          <w:b/>
          <w:sz w:val="17"/>
        </w:rPr>
      </w:pPr>
    </w:p>
    <w:p>
      <w:pPr>
        <w:pStyle w:val="Heading4"/>
        <w:spacing w:before="94"/>
        <w:ind w:left="160"/>
      </w:pPr>
      <w:r>
        <w:rPr>
          <w:color w:val="231F20"/>
        </w:rPr>
        <w:t>Changes</w:t>
      </w:r>
      <w:r>
        <w:rPr>
          <w:color w:val="231F20"/>
          <w:spacing w:val="-5"/>
        </w:rPr>
        <w:t> </w:t>
      </w:r>
      <w:r>
        <w:rPr>
          <w:color w:val="231F20"/>
        </w:rPr>
        <w:t>in</w:t>
      </w:r>
      <w:r>
        <w:rPr>
          <w:color w:val="231F20"/>
          <w:spacing w:val="-5"/>
        </w:rPr>
        <w:t> </w:t>
      </w:r>
      <w:r>
        <w:rPr>
          <w:color w:val="231F20"/>
        </w:rPr>
        <w:t>Benefit</w:t>
      </w:r>
      <w:r>
        <w:rPr>
          <w:color w:val="231F20"/>
          <w:spacing w:val="-4"/>
        </w:rPr>
        <w:t> </w:t>
      </w:r>
      <w:r>
        <w:rPr>
          <w:color w:val="231F20"/>
          <w:spacing w:val="-2"/>
        </w:rPr>
        <w:t>Provisions</w:t>
      </w:r>
    </w:p>
    <w:p>
      <w:pPr>
        <w:pStyle w:val="BodyText"/>
        <w:spacing w:line="276" w:lineRule="auto" w:before="35"/>
        <w:ind w:left="160" w:right="201" w:hanging="1"/>
      </w:pPr>
      <w:r>
        <w:rPr>
          <w:color w:val="231F20"/>
        </w:rPr>
        <w:t>Other</w:t>
      </w:r>
      <w:r>
        <w:rPr>
          <w:color w:val="231F20"/>
          <w:spacing w:val="-3"/>
        </w:rPr>
        <w:t> </w:t>
      </w:r>
      <w:r>
        <w:rPr>
          <w:color w:val="231F20"/>
        </w:rPr>
        <w:t>than</w:t>
      </w:r>
      <w:r>
        <w:rPr>
          <w:color w:val="231F20"/>
          <w:spacing w:val="-3"/>
        </w:rPr>
        <w:t> </w:t>
      </w:r>
      <w:r>
        <w:rPr>
          <w:color w:val="231F20"/>
        </w:rPr>
        <w:t>the</w:t>
      </w:r>
      <w:r>
        <w:rPr>
          <w:color w:val="231F20"/>
          <w:spacing w:val="-3"/>
        </w:rPr>
        <w:t> </w:t>
      </w:r>
      <w:r>
        <w:rPr>
          <w:color w:val="231F20"/>
        </w:rPr>
        <w:t>employer</w:t>
      </w:r>
      <w:r>
        <w:rPr>
          <w:color w:val="231F20"/>
          <w:spacing w:val="-3"/>
        </w:rPr>
        <w:t> </w:t>
      </w:r>
      <w:r>
        <w:rPr>
          <w:color w:val="231F20"/>
        </w:rPr>
        <w:t>contribution</w:t>
      </w:r>
      <w:r>
        <w:rPr>
          <w:color w:val="231F20"/>
          <w:spacing w:val="-3"/>
        </w:rPr>
        <w:t> </w:t>
      </w:r>
      <w:r>
        <w:rPr>
          <w:color w:val="231F20"/>
        </w:rPr>
        <w:t>increases</w:t>
      </w:r>
      <w:r>
        <w:rPr>
          <w:color w:val="231F20"/>
          <w:spacing w:val="-3"/>
        </w:rPr>
        <w:t> </w:t>
      </w:r>
      <w:r>
        <w:rPr>
          <w:color w:val="231F20"/>
        </w:rPr>
        <w:t>attributable</w:t>
      </w:r>
      <w:r>
        <w:rPr>
          <w:color w:val="231F20"/>
          <w:spacing w:val="-3"/>
        </w:rPr>
        <w:t> </w:t>
      </w:r>
      <w:r>
        <w:rPr>
          <w:color w:val="231F20"/>
        </w:rPr>
        <w:t>to</w:t>
      </w:r>
      <w:r>
        <w:rPr>
          <w:color w:val="231F20"/>
          <w:spacing w:val="-3"/>
        </w:rPr>
        <w:t> </w:t>
      </w:r>
      <w:r>
        <w:rPr>
          <w:color w:val="231F20"/>
        </w:rPr>
        <w:t>Senate</w:t>
      </w:r>
      <w:r>
        <w:rPr>
          <w:color w:val="231F20"/>
          <w:spacing w:val="-3"/>
        </w:rPr>
        <w:t> </w:t>
      </w:r>
      <w:r>
        <w:rPr>
          <w:color w:val="231F20"/>
        </w:rPr>
        <w:t>Bill</w:t>
      </w:r>
      <w:r>
        <w:rPr>
          <w:color w:val="231F20"/>
          <w:spacing w:val="-3"/>
        </w:rPr>
        <w:t> </w:t>
      </w:r>
      <w:r>
        <w:rPr>
          <w:color w:val="231F20"/>
        </w:rPr>
        <w:t>42,</w:t>
      </w:r>
      <w:r>
        <w:rPr>
          <w:color w:val="231F20"/>
          <w:spacing w:val="-3"/>
        </w:rPr>
        <w:t> </w:t>
      </w:r>
      <w:r>
        <w:rPr>
          <w:color w:val="231F20"/>
        </w:rPr>
        <w:t>there</w:t>
      </w:r>
      <w:r>
        <w:rPr>
          <w:color w:val="231F20"/>
          <w:spacing w:val="-3"/>
        </w:rPr>
        <w:t> </w:t>
      </w:r>
      <w:r>
        <w:rPr>
          <w:color w:val="231F20"/>
        </w:rPr>
        <w:t>were</w:t>
      </w:r>
      <w:r>
        <w:rPr>
          <w:color w:val="231F20"/>
          <w:spacing w:val="-3"/>
        </w:rPr>
        <w:t> </w:t>
      </w:r>
      <w:r>
        <w:rPr>
          <w:color w:val="231F20"/>
        </w:rPr>
        <w:t>no</w:t>
      </w:r>
      <w:r>
        <w:rPr>
          <w:color w:val="231F20"/>
          <w:spacing w:val="-4"/>
        </w:rPr>
        <w:t> </w:t>
      </w:r>
      <w:r>
        <w:rPr>
          <w:color w:val="231F20"/>
        </w:rPr>
        <w:t>modifications to the benefit provisions with an actuarial impact that were reflected in the actuarial valuation as of</w:t>
      </w:r>
    </w:p>
    <w:p>
      <w:pPr>
        <w:pStyle w:val="BodyText"/>
        <w:spacing w:line="229" w:lineRule="exact"/>
        <w:ind w:left="160"/>
      </w:pPr>
      <w:r>
        <w:rPr>
          <w:color w:val="231F20"/>
        </w:rPr>
        <w:t>June</w:t>
      </w:r>
      <w:r>
        <w:rPr>
          <w:color w:val="231F20"/>
          <w:spacing w:val="-4"/>
        </w:rPr>
        <w:t> </w:t>
      </w:r>
      <w:r>
        <w:rPr>
          <w:color w:val="231F20"/>
        </w:rPr>
        <w:t>30,</w:t>
      </w:r>
      <w:r>
        <w:rPr>
          <w:color w:val="231F20"/>
          <w:spacing w:val="-3"/>
        </w:rPr>
        <w:t> </w:t>
      </w:r>
      <w:r>
        <w:rPr>
          <w:color w:val="231F20"/>
          <w:spacing w:val="-2"/>
        </w:rPr>
        <w:t>2020.</w:t>
      </w:r>
    </w:p>
    <w:p>
      <w:pPr>
        <w:pStyle w:val="BodyText"/>
        <w:spacing w:before="1"/>
        <w:rPr>
          <w:sz w:val="26"/>
        </w:rPr>
      </w:pPr>
    </w:p>
    <w:p>
      <w:pPr>
        <w:pStyle w:val="Heading4"/>
        <w:ind w:left="160"/>
      </w:pPr>
      <w:r>
        <w:rPr>
          <w:color w:val="231F20"/>
        </w:rPr>
        <w:t>Changes</w:t>
      </w:r>
      <w:r>
        <w:rPr>
          <w:color w:val="231F20"/>
          <w:spacing w:val="-3"/>
        </w:rPr>
        <w:t> </w:t>
      </w:r>
      <w:r>
        <w:rPr>
          <w:color w:val="231F20"/>
        </w:rPr>
        <w:t>in</w:t>
      </w:r>
      <w:r>
        <w:rPr>
          <w:color w:val="231F20"/>
          <w:spacing w:val="-3"/>
        </w:rPr>
        <w:t> </w:t>
      </w:r>
      <w:r>
        <w:rPr>
          <w:color w:val="231F20"/>
        </w:rPr>
        <w:t>Assumptions</w:t>
      </w:r>
      <w:r>
        <w:rPr>
          <w:color w:val="231F20"/>
          <w:spacing w:val="-3"/>
        </w:rPr>
        <w:t> </w:t>
      </w:r>
      <w:r>
        <w:rPr>
          <w:color w:val="231F20"/>
        </w:rPr>
        <w:t>and</w:t>
      </w:r>
      <w:r>
        <w:rPr>
          <w:color w:val="231F20"/>
          <w:spacing w:val="-3"/>
        </w:rPr>
        <w:t> </w:t>
      </w:r>
      <w:r>
        <w:rPr>
          <w:color w:val="231F20"/>
          <w:spacing w:val="-2"/>
        </w:rPr>
        <w:t>Methods</w:t>
      </w:r>
    </w:p>
    <w:p>
      <w:pPr>
        <w:pStyle w:val="BodyText"/>
        <w:spacing w:line="276" w:lineRule="auto" w:before="35"/>
        <w:ind w:left="160" w:right="178"/>
      </w:pPr>
      <w:r>
        <w:rPr>
          <w:color w:val="231F20"/>
        </w:rPr>
        <w:t>Actuarial assumptions and methods are set by the Board of Trustees, based upon recommendations made by the plan’s actuary. The Board adopted new assumptions on April 17, 2020, in conjunction with the six-year actuarial experience study period ending June 30, 2019. No changes have been</w:t>
      </w:r>
      <w:r>
        <w:rPr>
          <w:color w:val="231F20"/>
          <w:spacing w:val="-1"/>
        </w:rPr>
        <w:t> </w:t>
      </w:r>
      <w:r>
        <w:rPr>
          <w:color w:val="231F20"/>
        </w:rPr>
        <w:t>made to the assumptions</w:t>
      </w:r>
      <w:r>
        <w:rPr>
          <w:color w:val="231F20"/>
          <w:spacing w:val="-4"/>
        </w:rPr>
        <w:t> </w:t>
      </w:r>
      <w:r>
        <w:rPr>
          <w:color w:val="231F20"/>
        </w:rPr>
        <w:t>since</w:t>
      </w:r>
      <w:r>
        <w:rPr>
          <w:color w:val="231F20"/>
          <w:spacing w:val="-3"/>
        </w:rPr>
        <w:t> </w:t>
      </w:r>
      <w:r>
        <w:rPr>
          <w:color w:val="231F20"/>
        </w:rPr>
        <w:t>the</w:t>
      </w:r>
      <w:r>
        <w:rPr>
          <w:color w:val="231F20"/>
          <w:spacing w:val="-3"/>
        </w:rPr>
        <w:t> </w:t>
      </w:r>
      <w:r>
        <w:rPr>
          <w:color w:val="231F20"/>
        </w:rPr>
        <w:t>prior</w:t>
      </w:r>
      <w:r>
        <w:rPr>
          <w:color w:val="231F20"/>
          <w:spacing w:val="-3"/>
        </w:rPr>
        <w:t> </w:t>
      </w:r>
      <w:r>
        <w:rPr>
          <w:color w:val="231F20"/>
        </w:rPr>
        <w:t>valuation.</w:t>
      </w:r>
      <w:r>
        <w:rPr>
          <w:color w:val="231F20"/>
          <w:spacing w:val="-3"/>
        </w:rPr>
        <w:t> </w:t>
      </w:r>
      <w:r>
        <w:rPr>
          <w:color w:val="231F20"/>
        </w:rPr>
        <w:t>The</w:t>
      </w:r>
      <w:r>
        <w:rPr>
          <w:color w:val="231F20"/>
          <w:spacing w:val="-3"/>
        </w:rPr>
        <w:t> </w:t>
      </w:r>
      <w:r>
        <w:rPr>
          <w:color w:val="231F20"/>
        </w:rPr>
        <w:t>calculation</w:t>
      </w:r>
      <w:r>
        <w:rPr>
          <w:color w:val="231F20"/>
          <w:spacing w:val="-4"/>
        </w:rPr>
        <w:t> </w:t>
      </w:r>
      <w:r>
        <w:rPr>
          <w:color w:val="231F20"/>
        </w:rPr>
        <w:t>of</w:t>
      </w:r>
      <w:r>
        <w:rPr>
          <w:color w:val="231F20"/>
          <w:spacing w:val="-3"/>
        </w:rPr>
        <w:t> </w:t>
      </w:r>
      <w:r>
        <w:rPr>
          <w:color w:val="231F20"/>
        </w:rPr>
        <w:t>the</w:t>
      </w:r>
      <w:r>
        <w:rPr>
          <w:color w:val="231F20"/>
          <w:spacing w:val="-3"/>
        </w:rPr>
        <w:t> </w:t>
      </w:r>
      <w:r>
        <w:rPr>
          <w:color w:val="231F20"/>
        </w:rPr>
        <w:t>funding</w:t>
      </w:r>
      <w:r>
        <w:rPr>
          <w:color w:val="231F20"/>
          <w:spacing w:val="-3"/>
        </w:rPr>
        <w:t> </w:t>
      </w:r>
      <w:r>
        <w:rPr>
          <w:color w:val="231F20"/>
        </w:rPr>
        <w:t>policy</w:t>
      </w:r>
      <w:r>
        <w:rPr>
          <w:color w:val="231F20"/>
          <w:spacing w:val="-3"/>
        </w:rPr>
        <w:t> </w:t>
      </w:r>
      <w:r>
        <w:rPr>
          <w:color w:val="231F20"/>
        </w:rPr>
        <w:t>contribution</w:t>
      </w:r>
      <w:r>
        <w:rPr>
          <w:color w:val="231F20"/>
          <w:spacing w:val="-3"/>
        </w:rPr>
        <w:t> </w:t>
      </w:r>
      <w:r>
        <w:rPr>
          <w:color w:val="231F20"/>
        </w:rPr>
        <w:t>has</w:t>
      </w:r>
      <w:r>
        <w:rPr>
          <w:color w:val="231F20"/>
          <w:spacing w:val="-3"/>
        </w:rPr>
        <w:t> </w:t>
      </w:r>
      <w:r>
        <w:rPr>
          <w:color w:val="231F20"/>
        </w:rPr>
        <w:t>been</w:t>
      </w:r>
      <w:r>
        <w:rPr>
          <w:color w:val="231F20"/>
          <w:spacing w:val="-3"/>
        </w:rPr>
        <w:t> </w:t>
      </w:r>
      <w:r>
        <w:rPr>
          <w:color w:val="231F20"/>
        </w:rPr>
        <w:t>updated to reflect an open group projection, recognizing new hire benefits as well as anticipated cost-of-living adjustments less than the assumed 1.80% while the plan is less than fully funded.</w:t>
      </w:r>
    </w:p>
    <w:p>
      <w:pPr>
        <w:spacing w:after="0" w:line="276" w:lineRule="auto"/>
        <w:sectPr>
          <w:headerReference w:type="default" r:id="rId52"/>
          <w:footerReference w:type="default" r:id="rId53"/>
          <w:pgSz w:w="12240" w:h="15840"/>
          <w:pgMar w:header="1270" w:footer="1097" w:top="1580" w:bottom="1280" w:left="1280" w:right="1280"/>
        </w:sectPr>
      </w:pPr>
    </w:p>
    <w:p>
      <w:pPr>
        <w:pStyle w:val="Heading3"/>
        <w:spacing w:line="1" w:lineRule="exact" w:before="0"/>
        <w:ind w:left="2556" w:right="2555"/>
      </w:pPr>
      <w:r>
        <w:rPr>
          <w:color w:val="231F20"/>
        </w:rPr>
        <w:t>Schedule</w:t>
      </w:r>
      <w:r>
        <w:rPr>
          <w:color w:val="231F20"/>
          <w:spacing w:val="-3"/>
        </w:rPr>
        <w:t> </w:t>
      </w:r>
      <w:r>
        <w:rPr>
          <w:color w:val="231F20"/>
        </w:rPr>
        <w:t>of</w:t>
      </w:r>
      <w:r>
        <w:rPr>
          <w:color w:val="231F20"/>
          <w:spacing w:val="-3"/>
        </w:rPr>
        <w:t> </w:t>
      </w:r>
      <w:r>
        <w:rPr>
          <w:color w:val="231F20"/>
        </w:rPr>
        <w:t>Employer</w:t>
      </w:r>
      <w:r>
        <w:rPr>
          <w:color w:val="231F20"/>
          <w:spacing w:val="-3"/>
        </w:rPr>
        <w:t> </w:t>
      </w:r>
      <w:r>
        <w:rPr>
          <w:color w:val="231F20"/>
        </w:rPr>
        <w:t>Contributions</w:t>
      </w:r>
      <w:r>
        <w:rPr>
          <w:color w:val="231F20"/>
          <w:spacing w:val="-2"/>
        </w:rPr>
        <w:t> </w:t>
      </w:r>
      <w:r>
        <w:rPr>
          <w:color w:val="231F20"/>
          <w:spacing w:val="-10"/>
        </w:rPr>
        <w:t>–</w:t>
      </w:r>
    </w:p>
    <w:p>
      <w:pPr>
        <w:spacing w:before="0"/>
        <w:ind w:left="2560" w:right="2555" w:firstLine="0"/>
        <w:jc w:val="center"/>
        <w:rPr>
          <w:b/>
          <w:sz w:val="24"/>
        </w:rPr>
      </w:pPr>
      <w:r>
        <w:rPr/>
        <w:pict>
          <v:rect style="position:absolute;margin-left:70.5pt;margin-top:28.475632pt;width:471.001pt;height:1.5pt;mso-position-horizontal-relative:page;mso-position-vertical-relative:paragraph;z-index:-15644160;mso-wrap-distance-left:0;mso-wrap-distance-right:0" id="docshape424" filled="true" fillcolor="#231f20" stroked="false">
            <v:fill type="solid"/>
            <w10:wrap type="topAndBottom"/>
          </v:rect>
        </w:pict>
      </w:r>
      <w:r>
        <w:rPr>
          <w:b/>
          <w:color w:val="231F20"/>
          <w:sz w:val="24"/>
        </w:rPr>
        <w:t>Other</w:t>
      </w:r>
      <w:r>
        <w:rPr>
          <w:b/>
          <w:color w:val="231F20"/>
          <w:spacing w:val="-12"/>
          <w:sz w:val="24"/>
        </w:rPr>
        <w:t> </w:t>
      </w:r>
      <w:r>
        <w:rPr>
          <w:b/>
          <w:color w:val="231F20"/>
          <w:sz w:val="24"/>
        </w:rPr>
        <w:t>Postemployment</w:t>
      </w:r>
      <w:r>
        <w:rPr>
          <w:b/>
          <w:color w:val="231F20"/>
          <w:spacing w:val="-12"/>
          <w:sz w:val="24"/>
        </w:rPr>
        <w:t> </w:t>
      </w:r>
      <w:r>
        <w:rPr>
          <w:b/>
          <w:color w:val="231F20"/>
          <w:sz w:val="24"/>
        </w:rPr>
        <w:t>Benefits</w:t>
      </w:r>
      <w:r>
        <w:rPr>
          <w:b/>
          <w:color w:val="231F20"/>
          <w:spacing w:val="-12"/>
          <w:sz w:val="24"/>
        </w:rPr>
        <w:t> </w:t>
      </w:r>
      <w:r>
        <w:rPr>
          <w:b/>
          <w:color w:val="231F20"/>
          <w:sz w:val="24"/>
        </w:rPr>
        <w:t>(OPEB) For Year Ended June 30, 2022</w:t>
      </w:r>
    </w:p>
    <w:p>
      <w:pPr>
        <w:pStyle w:val="BodyText"/>
        <w:rPr>
          <w:b/>
        </w:rPr>
      </w:pPr>
    </w:p>
    <w:p>
      <w:pPr>
        <w:pStyle w:val="BodyText"/>
        <w:spacing w:before="10"/>
        <w:rPr>
          <w:b/>
          <w:sz w:val="17"/>
        </w:rPr>
      </w:pPr>
    </w:p>
    <w:p>
      <w:pPr>
        <w:pStyle w:val="BodyText"/>
        <w:spacing w:line="276" w:lineRule="auto" w:before="94"/>
        <w:ind w:left="160" w:right="296" w:hanging="1"/>
      </w:pPr>
      <w:r>
        <w:rPr>
          <w:color w:val="231F20"/>
        </w:rPr>
        <w:t>The schedule of the Institute’s contributions presents multiyear trend information for the last 10 fiscal years.</w:t>
      </w:r>
      <w:r>
        <w:rPr>
          <w:color w:val="231F20"/>
          <w:spacing w:val="-3"/>
        </w:rPr>
        <w:t> </w:t>
      </w:r>
      <w:r>
        <w:rPr>
          <w:color w:val="231F20"/>
        </w:rPr>
        <w:t>Fiscal</w:t>
      </w:r>
      <w:r>
        <w:rPr>
          <w:color w:val="231F20"/>
          <w:spacing w:val="-3"/>
        </w:rPr>
        <w:t> </w:t>
      </w:r>
      <w:r>
        <w:rPr>
          <w:color w:val="231F20"/>
        </w:rPr>
        <w:t>year</w:t>
      </w:r>
      <w:r>
        <w:rPr>
          <w:color w:val="231F20"/>
          <w:spacing w:val="-2"/>
        </w:rPr>
        <w:t> </w:t>
      </w:r>
      <w:r>
        <w:rPr>
          <w:color w:val="231F20"/>
        </w:rPr>
        <w:t>2017</w:t>
      </w:r>
      <w:r>
        <w:rPr>
          <w:color w:val="231F20"/>
          <w:spacing w:val="-3"/>
        </w:rPr>
        <w:t> </w:t>
      </w:r>
      <w:r>
        <w:rPr>
          <w:color w:val="231F20"/>
        </w:rPr>
        <w:t>was</w:t>
      </w:r>
      <w:r>
        <w:rPr>
          <w:color w:val="231F20"/>
          <w:spacing w:val="-3"/>
        </w:rPr>
        <w:t> </w:t>
      </w:r>
      <w:r>
        <w:rPr>
          <w:color w:val="231F20"/>
        </w:rPr>
        <w:t>the</w:t>
      </w:r>
      <w:r>
        <w:rPr>
          <w:color w:val="231F20"/>
          <w:spacing w:val="-3"/>
        </w:rPr>
        <w:t> </w:t>
      </w:r>
      <w:r>
        <w:rPr>
          <w:color w:val="231F20"/>
        </w:rPr>
        <w:t>first</w:t>
      </w:r>
      <w:r>
        <w:rPr>
          <w:color w:val="231F20"/>
          <w:spacing w:val="-3"/>
        </w:rPr>
        <w:t> </w:t>
      </w:r>
      <w:r>
        <w:rPr>
          <w:color w:val="231F20"/>
        </w:rPr>
        <w:t>year</w:t>
      </w:r>
      <w:r>
        <w:rPr>
          <w:color w:val="231F20"/>
          <w:spacing w:val="-2"/>
        </w:rPr>
        <w:t> </w:t>
      </w:r>
      <w:r>
        <w:rPr>
          <w:color w:val="231F20"/>
        </w:rPr>
        <w:t>of</w:t>
      </w:r>
      <w:r>
        <w:rPr>
          <w:color w:val="231F20"/>
          <w:spacing w:val="-3"/>
        </w:rPr>
        <w:t> </w:t>
      </w:r>
      <w:r>
        <w:rPr>
          <w:color w:val="231F20"/>
        </w:rPr>
        <w:t>implementation,</w:t>
      </w:r>
      <w:r>
        <w:rPr>
          <w:color w:val="231F20"/>
          <w:spacing w:val="-3"/>
        </w:rPr>
        <w:t> </w:t>
      </w:r>
      <w:r>
        <w:rPr>
          <w:color w:val="231F20"/>
        </w:rPr>
        <w:t>therefore</w:t>
      </w:r>
      <w:r>
        <w:rPr>
          <w:color w:val="231F20"/>
          <w:spacing w:val="-3"/>
        </w:rPr>
        <w:t> </w:t>
      </w:r>
      <w:r>
        <w:rPr>
          <w:color w:val="231F20"/>
        </w:rPr>
        <w:t>only</w:t>
      </w:r>
      <w:r>
        <w:rPr>
          <w:color w:val="231F20"/>
          <w:spacing w:val="-3"/>
        </w:rPr>
        <w:t> </w:t>
      </w:r>
      <w:r>
        <w:rPr>
          <w:color w:val="231F20"/>
        </w:rPr>
        <w:t>five</w:t>
      </w:r>
      <w:r>
        <w:rPr>
          <w:color w:val="231F20"/>
          <w:spacing w:val="-3"/>
        </w:rPr>
        <w:t> </w:t>
      </w:r>
      <w:r>
        <w:rPr>
          <w:color w:val="231F20"/>
        </w:rPr>
        <w:t>years</w:t>
      </w:r>
      <w:r>
        <w:rPr>
          <w:color w:val="231F20"/>
          <w:spacing w:val="-3"/>
        </w:rPr>
        <w:t> </w:t>
      </w:r>
      <w:r>
        <w:rPr>
          <w:color w:val="231F20"/>
        </w:rPr>
        <w:t>are</w:t>
      </w:r>
      <w:r>
        <w:rPr>
          <w:color w:val="231F20"/>
          <w:spacing w:val="-3"/>
        </w:rPr>
        <w:t> </w:t>
      </w:r>
      <w:r>
        <w:rPr>
          <w:color w:val="231F20"/>
        </w:rPr>
        <w:t>shown.</w:t>
      </w:r>
      <w:r>
        <w:rPr>
          <w:color w:val="231F20"/>
          <w:spacing w:val="-3"/>
        </w:rPr>
        <w:t> </w:t>
      </w:r>
      <w:r>
        <w:rPr>
          <w:color w:val="231F20"/>
        </w:rPr>
        <w:t>Until</w:t>
      </w:r>
      <w:r>
        <w:rPr>
          <w:color w:val="231F20"/>
          <w:spacing w:val="-3"/>
        </w:rPr>
        <w:t> </w:t>
      </w:r>
      <w:r>
        <w:rPr>
          <w:color w:val="231F20"/>
        </w:rPr>
        <w:t>a full 10-year trend is complied, information for those years for which information is available will be </w:t>
      </w:r>
      <w:r>
        <w:rPr>
          <w:color w:val="231F20"/>
          <w:spacing w:val="-2"/>
        </w:rPr>
        <w:t>present.</w:t>
      </w:r>
    </w:p>
    <w:p>
      <w:pPr>
        <w:pStyle w:val="BodyText"/>
        <w:spacing w:before="2"/>
        <w:rPr>
          <w:sz w:val="25"/>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1"/>
        <w:gridCol w:w="966"/>
        <w:gridCol w:w="166"/>
        <w:gridCol w:w="500"/>
        <w:gridCol w:w="468"/>
        <w:gridCol w:w="166"/>
        <w:gridCol w:w="499"/>
        <w:gridCol w:w="467"/>
        <w:gridCol w:w="167"/>
        <w:gridCol w:w="498"/>
        <w:gridCol w:w="467"/>
        <w:gridCol w:w="165"/>
        <w:gridCol w:w="498"/>
        <w:gridCol w:w="466"/>
        <w:gridCol w:w="166"/>
        <w:gridCol w:w="497"/>
        <w:gridCol w:w="478"/>
      </w:tblGrid>
      <w:tr>
        <w:trPr>
          <w:trHeight w:val="167" w:hRule="atLeast"/>
        </w:trPr>
        <w:tc>
          <w:tcPr>
            <w:tcW w:w="2761" w:type="dxa"/>
          </w:tcPr>
          <w:p>
            <w:pPr>
              <w:pStyle w:val="TableParagraph"/>
              <w:rPr>
                <w:rFonts w:ascii="Times New Roman"/>
                <w:sz w:val="10"/>
              </w:rPr>
            </w:pPr>
          </w:p>
        </w:tc>
        <w:tc>
          <w:tcPr>
            <w:tcW w:w="966" w:type="dxa"/>
            <w:tcBorders>
              <w:bottom w:val="single" w:sz="8" w:space="0" w:color="231F20"/>
            </w:tcBorders>
          </w:tcPr>
          <w:p>
            <w:pPr>
              <w:pStyle w:val="TableParagraph"/>
              <w:spacing w:line="148" w:lineRule="exact"/>
              <w:ind w:left="333"/>
              <w:rPr>
                <w:sz w:val="14"/>
              </w:rPr>
            </w:pPr>
            <w:r>
              <w:rPr>
                <w:color w:val="231F20"/>
                <w:spacing w:val="-4"/>
                <w:sz w:val="14"/>
              </w:rPr>
              <w:t>2022</w:t>
            </w:r>
          </w:p>
        </w:tc>
        <w:tc>
          <w:tcPr>
            <w:tcW w:w="166" w:type="dxa"/>
          </w:tcPr>
          <w:p>
            <w:pPr>
              <w:pStyle w:val="TableParagraph"/>
              <w:rPr>
                <w:rFonts w:ascii="Times New Roman"/>
                <w:sz w:val="10"/>
              </w:rPr>
            </w:pPr>
          </w:p>
        </w:tc>
        <w:tc>
          <w:tcPr>
            <w:tcW w:w="968" w:type="dxa"/>
            <w:gridSpan w:val="2"/>
            <w:tcBorders>
              <w:bottom w:val="single" w:sz="8" w:space="0" w:color="231F20"/>
            </w:tcBorders>
          </w:tcPr>
          <w:p>
            <w:pPr>
              <w:pStyle w:val="TableParagraph"/>
              <w:spacing w:line="148" w:lineRule="exact"/>
              <w:ind w:left="333"/>
              <w:rPr>
                <w:sz w:val="14"/>
              </w:rPr>
            </w:pPr>
            <w:r>
              <w:rPr>
                <w:color w:val="231F20"/>
                <w:spacing w:val="-4"/>
                <w:sz w:val="14"/>
              </w:rPr>
              <w:t>2021</w:t>
            </w:r>
          </w:p>
        </w:tc>
        <w:tc>
          <w:tcPr>
            <w:tcW w:w="166" w:type="dxa"/>
          </w:tcPr>
          <w:p>
            <w:pPr>
              <w:pStyle w:val="TableParagraph"/>
              <w:rPr>
                <w:rFonts w:ascii="Times New Roman"/>
                <w:sz w:val="10"/>
              </w:rPr>
            </w:pPr>
          </w:p>
        </w:tc>
        <w:tc>
          <w:tcPr>
            <w:tcW w:w="966" w:type="dxa"/>
            <w:gridSpan w:val="2"/>
            <w:tcBorders>
              <w:bottom w:val="single" w:sz="8" w:space="0" w:color="231F20"/>
            </w:tcBorders>
          </w:tcPr>
          <w:p>
            <w:pPr>
              <w:pStyle w:val="TableParagraph"/>
              <w:spacing w:line="148" w:lineRule="exact"/>
              <w:ind w:left="331"/>
              <w:rPr>
                <w:sz w:val="14"/>
              </w:rPr>
            </w:pPr>
            <w:r>
              <w:rPr>
                <w:color w:val="231F20"/>
                <w:spacing w:val="-4"/>
                <w:sz w:val="14"/>
              </w:rPr>
              <w:t>2020</w:t>
            </w:r>
          </w:p>
        </w:tc>
        <w:tc>
          <w:tcPr>
            <w:tcW w:w="167" w:type="dxa"/>
          </w:tcPr>
          <w:p>
            <w:pPr>
              <w:pStyle w:val="TableParagraph"/>
              <w:rPr>
                <w:rFonts w:ascii="Times New Roman"/>
                <w:sz w:val="10"/>
              </w:rPr>
            </w:pPr>
          </w:p>
        </w:tc>
        <w:tc>
          <w:tcPr>
            <w:tcW w:w="965" w:type="dxa"/>
            <w:gridSpan w:val="2"/>
            <w:tcBorders>
              <w:bottom w:val="single" w:sz="8" w:space="0" w:color="231F20"/>
            </w:tcBorders>
          </w:tcPr>
          <w:p>
            <w:pPr>
              <w:pStyle w:val="TableParagraph"/>
              <w:spacing w:line="148" w:lineRule="exact"/>
              <w:ind w:left="330"/>
              <w:rPr>
                <w:sz w:val="14"/>
              </w:rPr>
            </w:pPr>
            <w:r>
              <w:rPr>
                <w:color w:val="231F20"/>
                <w:spacing w:val="-4"/>
                <w:sz w:val="14"/>
              </w:rPr>
              <w:t>2019</w:t>
            </w:r>
          </w:p>
        </w:tc>
        <w:tc>
          <w:tcPr>
            <w:tcW w:w="165" w:type="dxa"/>
          </w:tcPr>
          <w:p>
            <w:pPr>
              <w:pStyle w:val="TableParagraph"/>
              <w:rPr>
                <w:rFonts w:ascii="Times New Roman"/>
                <w:sz w:val="10"/>
              </w:rPr>
            </w:pPr>
          </w:p>
        </w:tc>
        <w:tc>
          <w:tcPr>
            <w:tcW w:w="964" w:type="dxa"/>
            <w:gridSpan w:val="2"/>
            <w:tcBorders>
              <w:bottom w:val="single" w:sz="8" w:space="0" w:color="231F20"/>
            </w:tcBorders>
          </w:tcPr>
          <w:p>
            <w:pPr>
              <w:pStyle w:val="TableParagraph"/>
              <w:spacing w:line="148" w:lineRule="exact"/>
              <w:ind w:left="332"/>
              <w:rPr>
                <w:sz w:val="14"/>
              </w:rPr>
            </w:pPr>
            <w:r>
              <w:rPr>
                <w:color w:val="231F20"/>
                <w:spacing w:val="-4"/>
                <w:sz w:val="14"/>
              </w:rPr>
              <w:t>2018</w:t>
            </w:r>
          </w:p>
        </w:tc>
        <w:tc>
          <w:tcPr>
            <w:tcW w:w="166" w:type="dxa"/>
          </w:tcPr>
          <w:p>
            <w:pPr>
              <w:pStyle w:val="TableParagraph"/>
              <w:rPr>
                <w:rFonts w:ascii="Times New Roman"/>
                <w:sz w:val="10"/>
              </w:rPr>
            </w:pPr>
          </w:p>
        </w:tc>
        <w:tc>
          <w:tcPr>
            <w:tcW w:w="975" w:type="dxa"/>
            <w:gridSpan w:val="2"/>
            <w:tcBorders>
              <w:bottom w:val="single" w:sz="8" w:space="0" w:color="231F20"/>
            </w:tcBorders>
          </w:tcPr>
          <w:p>
            <w:pPr>
              <w:pStyle w:val="TableParagraph"/>
              <w:spacing w:line="148" w:lineRule="exact"/>
              <w:ind w:left="323" w:right="316"/>
              <w:jc w:val="center"/>
              <w:rPr>
                <w:sz w:val="14"/>
              </w:rPr>
            </w:pPr>
            <w:r>
              <w:rPr>
                <w:color w:val="231F20"/>
                <w:spacing w:val="-4"/>
                <w:sz w:val="14"/>
              </w:rPr>
              <w:t>2017</w:t>
            </w:r>
          </w:p>
        </w:tc>
      </w:tr>
      <w:tr>
        <w:trPr>
          <w:trHeight w:val="291" w:hRule="atLeast"/>
        </w:trPr>
        <w:tc>
          <w:tcPr>
            <w:tcW w:w="2761" w:type="dxa"/>
          </w:tcPr>
          <w:p>
            <w:pPr>
              <w:pStyle w:val="TableParagraph"/>
              <w:spacing w:before="14"/>
              <w:ind w:left="87"/>
              <w:rPr>
                <w:sz w:val="14"/>
              </w:rPr>
            </w:pPr>
            <w:r>
              <w:rPr>
                <w:color w:val="231F20"/>
                <w:sz w:val="14"/>
              </w:rPr>
              <w:t>Actuarially</w:t>
            </w:r>
            <w:r>
              <w:rPr>
                <w:color w:val="231F20"/>
                <w:spacing w:val="-5"/>
                <w:sz w:val="14"/>
              </w:rPr>
              <w:t> </w:t>
            </w:r>
            <w:r>
              <w:rPr>
                <w:color w:val="231F20"/>
                <w:sz w:val="14"/>
              </w:rPr>
              <w:t>determined</w:t>
            </w:r>
            <w:r>
              <w:rPr>
                <w:color w:val="231F20"/>
                <w:spacing w:val="-4"/>
                <w:sz w:val="14"/>
              </w:rPr>
              <w:t> </w:t>
            </w:r>
            <w:r>
              <w:rPr>
                <w:color w:val="231F20"/>
                <w:spacing w:val="-2"/>
                <w:sz w:val="14"/>
              </w:rPr>
              <w:t>contribution</w:t>
            </w:r>
          </w:p>
        </w:tc>
        <w:tc>
          <w:tcPr>
            <w:tcW w:w="966" w:type="dxa"/>
            <w:tcBorders>
              <w:top w:val="single" w:sz="8" w:space="0" w:color="231F20"/>
            </w:tcBorders>
          </w:tcPr>
          <w:p>
            <w:pPr>
              <w:pStyle w:val="TableParagraph"/>
              <w:tabs>
                <w:tab w:pos="302" w:val="left" w:leader="none"/>
              </w:tabs>
              <w:spacing w:before="14"/>
              <w:ind w:right="76"/>
              <w:jc w:val="right"/>
              <w:rPr>
                <w:sz w:val="14"/>
              </w:rPr>
            </w:pPr>
            <w:r>
              <w:rPr>
                <w:color w:val="231F20"/>
                <w:spacing w:val="-10"/>
                <w:sz w:val="14"/>
              </w:rPr>
              <w:t>$</w:t>
            </w:r>
            <w:r>
              <w:rPr>
                <w:color w:val="231F20"/>
                <w:sz w:val="14"/>
              </w:rPr>
              <w:tab/>
            </w:r>
            <w:r>
              <w:rPr>
                <w:color w:val="231F20"/>
                <w:spacing w:val="-2"/>
                <w:sz w:val="14"/>
              </w:rPr>
              <w:t>803,278</w:t>
            </w:r>
          </w:p>
        </w:tc>
        <w:tc>
          <w:tcPr>
            <w:tcW w:w="166" w:type="dxa"/>
          </w:tcPr>
          <w:p>
            <w:pPr>
              <w:pStyle w:val="TableParagraph"/>
              <w:rPr>
                <w:rFonts w:ascii="Times New Roman"/>
                <w:sz w:val="18"/>
              </w:rPr>
            </w:pPr>
          </w:p>
        </w:tc>
        <w:tc>
          <w:tcPr>
            <w:tcW w:w="968" w:type="dxa"/>
            <w:gridSpan w:val="2"/>
            <w:tcBorders>
              <w:top w:val="single" w:sz="8" w:space="0" w:color="231F20"/>
            </w:tcBorders>
          </w:tcPr>
          <w:p>
            <w:pPr>
              <w:pStyle w:val="TableParagraph"/>
              <w:tabs>
                <w:tab w:pos="379" w:val="left" w:leader="none"/>
              </w:tabs>
              <w:spacing w:before="14"/>
              <w:ind w:left="76"/>
              <w:rPr>
                <w:sz w:val="14"/>
              </w:rPr>
            </w:pPr>
            <w:r>
              <w:rPr>
                <w:color w:val="231F20"/>
                <w:spacing w:val="-10"/>
                <w:sz w:val="14"/>
              </w:rPr>
              <w:t>$</w:t>
            </w:r>
            <w:r>
              <w:rPr>
                <w:color w:val="231F20"/>
                <w:sz w:val="14"/>
              </w:rPr>
              <w:tab/>
            </w:r>
            <w:r>
              <w:rPr>
                <w:color w:val="231F20"/>
                <w:spacing w:val="-2"/>
                <w:sz w:val="14"/>
              </w:rPr>
              <w:t>689,092</w:t>
            </w:r>
          </w:p>
        </w:tc>
        <w:tc>
          <w:tcPr>
            <w:tcW w:w="166" w:type="dxa"/>
          </w:tcPr>
          <w:p>
            <w:pPr>
              <w:pStyle w:val="TableParagraph"/>
              <w:rPr>
                <w:rFonts w:ascii="Times New Roman"/>
                <w:sz w:val="18"/>
              </w:rPr>
            </w:pPr>
          </w:p>
        </w:tc>
        <w:tc>
          <w:tcPr>
            <w:tcW w:w="966" w:type="dxa"/>
            <w:gridSpan w:val="2"/>
            <w:tcBorders>
              <w:top w:val="single" w:sz="8" w:space="0" w:color="231F20"/>
            </w:tcBorders>
          </w:tcPr>
          <w:p>
            <w:pPr>
              <w:pStyle w:val="TableParagraph"/>
              <w:spacing w:before="14"/>
              <w:ind w:left="73"/>
              <w:rPr>
                <w:sz w:val="14"/>
              </w:rPr>
            </w:pPr>
            <w:r>
              <w:rPr>
                <w:color w:val="231F20"/>
                <w:sz w:val="14"/>
              </w:rPr>
              <w:t>$</w:t>
            </w:r>
            <w:r>
              <w:rPr>
                <w:color w:val="231F20"/>
                <w:spacing w:val="68"/>
                <w:sz w:val="14"/>
              </w:rPr>
              <w:t> </w:t>
            </w:r>
            <w:r>
              <w:rPr>
                <w:color w:val="231F20"/>
                <w:spacing w:val="-2"/>
                <w:sz w:val="14"/>
              </w:rPr>
              <w:t>3,952,245</w:t>
            </w:r>
          </w:p>
        </w:tc>
        <w:tc>
          <w:tcPr>
            <w:tcW w:w="167" w:type="dxa"/>
          </w:tcPr>
          <w:p>
            <w:pPr>
              <w:pStyle w:val="TableParagraph"/>
              <w:rPr>
                <w:rFonts w:ascii="Times New Roman"/>
                <w:sz w:val="18"/>
              </w:rPr>
            </w:pPr>
          </w:p>
        </w:tc>
        <w:tc>
          <w:tcPr>
            <w:tcW w:w="965" w:type="dxa"/>
            <w:gridSpan w:val="2"/>
            <w:tcBorders>
              <w:top w:val="single" w:sz="8" w:space="0" w:color="231F20"/>
            </w:tcBorders>
          </w:tcPr>
          <w:p>
            <w:pPr>
              <w:pStyle w:val="TableParagraph"/>
              <w:spacing w:before="14"/>
              <w:ind w:left="73"/>
              <w:rPr>
                <w:sz w:val="14"/>
              </w:rPr>
            </w:pPr>
            <w:r>
              <w:rPr>
                <w:color w:val="231F20"/>
                <w:sz w:val="14"/>
              </w:rPr>
              <w:t>$</w:t>
            </w:r>
            <w:r>
              <w:rPr>
                <w:color w:val="231F20"/>
                <w:spacing w:val="67"/>
                <w:sz w:val="14"/>
              </w:rPr>
              <w:t> </w:t>
            </w:r>
            <w:r>
              <w:rPr>
                <w:color w:val="231F20"/>
                <w:spacing w:val="-2"/>
                <w:sz w:val="14"/>
              </w:rPr>
              <w:t>2,239,377</w:t>
            </w:r>
          </w:p>
        </w:tc>
        <w:tc>
          <w:tcPr>
            <w:tcW w:w="165" w:type="dxa"/>
          </w:tcPr>
          <w:p>
            <w:pPr>
              <w:pStyle w:val="TableParagraph"/>
              <w:rPr>
                <w:rFonts w:ascii="Times New Roman"/>
                <w:sz w:val="18"/>
              </w:rPr>
            </w:pPr>
          </w:p>
        </w:tc>
        <w:tc>
          <w:tcPr>
            <w:tcW w:w="964" w:type="dxa"/>
            <w:gridSpan w:val="2"/>
            <w:tcBorders>
              <w:top w:val="single" w:sz="8" w:space="0" w:color="231F20"/>
            </w:tcBorders>
          </w:tcPr>
          <w:p>
            <w:pPr>
              <w:pStyle w:val="TableParagraph"/>
              <w:spacing w:before="14"/>
              <w:ind w:left="75"/>
              <w:rPr>
                <w:sz w:val="14"/>
              </w:rPr>
            </w:pPr>
            <w:r>
              <w:rPr>
                <w:color w:val="231F20"/>
                <w:sz w:val="14"/>
              </w:rPr>
              <w:t>$</w:t>
            </w:r>
            <w:r>
              <w:rPr>
                <w:color w:val="231F20"/>
                <w:spacing w:val="67"/>
                <w:sz w:val="14"/>
              </w:rPr>
              <w:t> </w:t>
            </w:r>
            <w:r>
              <w:rPr>
                <w:color w:val="231F20"/>
                <w:spacing w:val="-2"/>
                <w:sz w:val="14"/>
              </w:rPr>
              <w:t>3,997,035</w:t>
            </w:r>
          </w:p>
        </w:tc>
        <w:tc>
          <w:tcPr>
            <w:tcW w:w="166" w:type="dxa"/>
          </w:tcPr>
          <w:p>
            <w:pPr>
              <w:pStyle w:val="TableParagraph"/>
              <w:rPr>
                <w:rFonts w:ascii="Times New Roman"/>
                <w:sz w:val="18"/>
              </w:rPr>
            </w:pPr>
          </w:p>
        </w:tc>
        <w:tc>
          <w:tcPr>
            <w:tcW w:w="975" w:type="dxa"/>
            <w:gridSpan w:val="2"/>
            <w:tcBorders>
              <w:top w:val="single" w:sz="8" w:space="0" w:color="231F20"/>
            </w:tcBorders>
          </w:tcPr>
          <w:p>
            <w:pPr>
              <w:pStyle w:val="TableParagraph"/>
              <w:spacing w:before="14"/>
              <w:ind w:left="77"/>
              <w:rPr>
                <w:sz w:val="14"/>
              </w:rPr>
            </w:pPr>
            <w:r>
              <w:rPr>
                <w:color w:val="231F20"/>
                <w:sz w:val="14"/>
              </w:rPr>
              <w:t>$</w:t>
            </w:r>
            <w:r>
              <w:rPr>
                <w:color w:val="231F20"/>
                <w:spacing w:val="67"/>
                <w:sz w:val="14"/>
              </w:rPr>
              <w:t> </w:t>
            </w:r>
            <w:r>
              <w:rPr>
                <w:color w:val="231F20"/>
                <w:spacing w:val="-2"/>
                <w:sz w:val="14"/>
              </w:rPr>
              <w:t>4,998,780</w:t>
            </w:r>
          </w:p>
        </w:tc>
      </w:tr>
      <w:tr>
        <w:trPr>
          <w:trHeight w:val="477" w:hRule="atLeast"/>
        </w:trPr>
        <w:tc>
          <w:tcPr>
            <w:tcW w:w="2761" w:type="dxa"/>
          </w:tcPr>
          <w:p>
            <w:pPr>
              <w:pStyle w:val="TableParagraph"/>
              <w:spacing w:line="190" w:lineRule="atLeast" w:before="77"/>
              <w:ind w:left="210" w:hanging="124"/>
              <w:rPr>
                <w:sz w:val="14"/>
              </w:rPr>
            </w:pPr>
            <w:r>
              <w:rPr>
                <w:color w:val="231F20"/>
                <w:sz w:val="14"/>
              </w:rPr>
              <w:t>Contributions</w:t>
            </w:r>
            <w:r>
              <w:rPr>
                <w:color w:val="231F20"/>
                <w:spacing w:val="-3"/>
                <w:sz w:val="14"/>
              </w:rPr>
              <w:t> </w:t>
            </w:r>
            <w:r>
              <w:rPr>
                <w:color w:val="231F20"/>
                <w:sz w:val="14"/>
              </w:rPr>
              <w:t>in</w:t>
            </w:r>
            <w:r>
              <w:rPr>
                <w:color w:val="231F20"/>
                <w:spacing w:val="-3"/>
                <w:sz w:val="14"/>
              </w:rPr>
              <w:t> </w:t>
            </w:r>
            <w:r>
              <w:rPr>
                <w:color w:val="231F20"/>
                <w:sz w:val="14"/>
              </w:rPr>
              <w:t>relation</w:t>
            </w:r>
            <w:r>
              <w:rPr>
                <w:color w:val="231F20"/>
                <w:spacing w:val="-4"/>
                <w:sz w:val="14"/>
              </w:rPr>
              <w:t> </w:t>
            </w:r>
            <w:r>
              <w:rPr>
                <w:color w:val="231F20"/>
                <w:sz w:val="14"/>
              </w:rPr>
              <w:t>to</w:t>
            </w:r>
            <w:r>
              <w:rPr>
                <w:color w:val="231F20"/>
                <w:spacing w:val="-3"/>
                <w:sz w:val="14"/>
              </w:rPr>
              <w:t> </w:t>
            </w:r>
            <w:r>
              <w:rPr>
                <w:color w:val="231F20"/>
                <w:sz w:val="14"/>
              </w:rPr>
              <w:t>the</w:t>
            </w:r>
            <w:r>
              <w:rPr>
                <w:color w:val="231F20"/>
                <w:spacing w:val="-4"/>
                <w:sz w:val="14"/>
              </w:rPr>
              <w:t> </w:t>
            </w:r>
            <w:r>
              <w:rPr>
                <w:color w:val="231F20"/>
                <w:sz w:val="14"/>
              </w:rPr>
              <w:t>actuarially</w:t>
            </w:r>
            <w:r>
              <w:rPr>
                <w:color w:val="231F20"/>
                <w:spacing w:val="40"/>
                <w:sz w:val="14"/>
              </w:rPr>
              <w:t> </w:t>
            </w:r>
            <w:r>
              <w:rPr>
                <w:color w:val="231F20"/>
                <w:sz w:val="14"/>
              </w:rPr>
              <w:t>determined</w:t>
            </w:r>
            <w:r>
              <w:rPr>
                <w:color w:val="231F20"/>
                <w:spacing w:val="-2"/>
                <w:sz w:val="14"/>
              </w:rPr>
              <w:t> </w:t>
            </w:r>
            <w:r>
              <w:rPr>
                <w:color w:val="231F20"/>
                <w:sz w:val="14"/>
              </w:rPr>
              <w:t>contribution</w:t>
            </w:r>
          </w:p>
        </w:tc>
        <w:tc>
          <w:tcPr>
            <w:tcW w:w="966" w:type="dxa"/>
            <w:tcBorders>
              <w:bottom w:val="single" w:sz="8" w:space="0" w:color="231F20"/>
            </w:tcBorders>
          </w:tcPr>
          <w:p>
            <w:pPr>
              <w:pStyle w:val="TableParagraph"/>
              <w:rPr>
                <w:sz w:val="16"/>
              </w:rPr>
            </w:pPr>
          </w:p>
          <w:p>
            <w:pPr>
              <w:pStyle w:val="TableParagraph"/>
              <w:spacing w:line="151" w:lineRule="exact" w:before="122"/>
              <w:ind w:right="75"/>
              <w:jc w:val="right"/>
              <w:rPr>
                <w:sz w:val="14"/>
              </w:rPr>
            </w:pPr>
            <w:r>
              <w:rPr>
                <w:color w:val="231F20"/>
                <w:spacing w:val="-2"/>
                <w:sz w:val="14"/>
              </w:rPr>
              <w:t>803,278</w:t>
            </w:r>
          </w:p>
        </w:tc>
        <w:tc>
          <w:tcPr>
            <w:tcW w:w="166" w:type="dxa"/>
          </w:tcPr>
          <w:p>
            <w:pPr>
              <w:pStyle w:val="TableParagraph"/>
              <w:rPr>
                <w:rFonts w:ascii="Times New Roman"/>
                <w:sz w:val="18"/>
              </w:rPr>
            </w:pPr>
          </w:p>
        </w:tc>
        <w:tc>
          <w:tcPr>
            <w:tcW w:w="968" w:type="dxa"/>
            <w:gridSpan w:val="2"/>
            <w:tcBorders>
              <w:bottom w:val="single" w:sz="8" w:space="0" w:color="231F20"/>
            </w:tcBorders>
          </w:tcPr>
          <w:p>
            <w:pPr>
              <w:pStyle w:val="TableParagraph"/>
              <w:rPr>
                <w:sz w:val="16"/>
              </w:rPr>
            </w:pPr>
          </w:p>
          <w:p>
            <w:pPr>
              <w:pStyle w:val="TableParagraph"/>
              <w:spacing w:line="151" w:lineRule="exact" w:before="122"/>
              <w:ind w:left="380"/>
              <w:rPr>
                <w:sz w:val="14"/>
              </w:rPr>
            </w:pPr>
            <w:r>
              <w:rPr>
                <w:color w:val="231F20"/>
                <w:spacing w:val="-2"/>
                <w:sz w:val="14"/>
              </w:rPr>
              <w:t>689,092</w:t>
            </w:r>
          </w:p>
        </w:tc>
        <w:tc>
          <w:tcPr>
            <w:tcW w:w="166" w:type="dxa"/>
          </w:tcPr>
          <w:p>
            <w:pPr>
              <w:pStyle w:val="TableParagraph"/>
              <w:rPr>
                <w:rFonts w:ascii="Times New Roman"/>
                <w:sz w:val="18"/>
              </w:rPr>
            </w:pPr>
          </w:p>
        </w:tc>
        <w:tc>
          <w:tcPr>
            <w:tcW w:w="966" w:type="dxa"/>
            <w:gridSpan w:val="2"/>
            <w:tcBorders>
              <w:bottom w:val="single" w:sz="8" w:space="0" w:color="231F20"/>
            </w:tcBorders>
          </w:tcPr>
          <w:p>
            <w:pPr>
              <w:pStyle w:val="TableParagraph"/>
              <w:rPr>
                <w:sz w:val="16"/>
              </w:rPr>
            </w:pPr>
          </w:p>
          <w:p>
            <w:pPr>
              <w:pStyle w:val="TableParagraph"/>
              <w:spacing w:line="151" w:lineRule="exact" w:before="122"/>
              <w:ind w:left="260"/>
              <w:rPr>
                <w:sz w:val="14"/>
              </w:rPr>
            </w:pPr>
            <w:r>
              <w:rPr>
                <w:color w:val="231F20"/>
                <w:spacing w:val="-2"/>
                <w:sz w:val="14"/>
              </w:rPr>
              <w:t>3,952,245</w:t>
            </w:r>
          </w:p>
        </w:tc>
        <w:tc>
          <w:tcPr>
            <w:tcW w:w="167" w:type="dxa"/>
          </w:tcPr>
          <w:p>
            <w:pPr>
              <w:pStyle w:val="TableParagraph"/>
              <w:rPr>
                <w:rFonts w:ascii="Times New Roman"/>
                <w:sz w:val="18"/>
              </w:rPr>
            </w:pPr>
          </w:p>
        </w:tc>
        <w:tc>
          <w:tcPr>
            <w:tcW w:w="965" w:type="dxa"/>
            <w:gridSpan w:val="2"/>
            <w:tcBorders>
              <w:bottom w:val="single" w:sz="8" w:space="0" w:color="231F20"/>
            </w:tcBorders>
          </w:tcPr>
          <w:p>
            <w:pPr>
              <w:pStyle w:val="TableParagraph"/>
              <w:rPr>
                <w:sz w:val="16"/>
              </w:rPr>
            </w:pPr>
          </w:p>
          <w:p>
            <w:pPr>
              <w:pStyle w:val="TableParagraph"/>
              <w:spacing w:line="151" w:lineRule="exact" w:before="122"/>
              <w:ind w:left="259"/>
              <w:rPr>
                <w:sz w:val="14"/>
              </w:rPr>
            </w:pPr>
            <w:r>
              <w:rPr>
                <w:color w:val="231F20"/>
                <w:spacing w:val="-2"/>
                <w:sz w:val="14"/>
              </w:rPr>
              <w:t>2,239,377</w:t>
            </w:r>
          </w:p>
        </w:tc>
        <w:tc>
          <w:tcPr>
            <w:tcW w:w="165" w:type="dxa"/>
          </w:tcPr>
          <w:p>
            <w:pPr>
              <w:pStyle w:val="TableParagraph"/>
              <w:rPr>
                <w:rFonts w:ascii="Times New Roman"/>
                <w:sz w:val="18"/>
              </w:rPr>
            </w:pPr>
          </w:p>
        </w:tc>
        <w:tc>
          <w:tcPr>
            <w:tcW w:w="964" w:type="dxa"/>
            <w:gridSpan w:val="2"/>
            <w:tcBorders>
              <w:bottom w:val="single" w:sz="8" w:space="0" w:color="231F20"/>
            </w:tcBorders>
          </w:tcPr>
          <w:p>
            <w:pPr>
              <w:pStyle w:val="TableParagraph"/>
              <w:rPr>
                <w:sz w:val="16"/>
              </w:rPr>
            </w:pPr>
          </w:p>
          <w:p>
            <w:pPr>
              <w:pStyle w:val="TableParagraph"/>
              <w:spacing w:line="151" w:lineRule="exact" w:before="122"/>
              <w:ind w:left="261"/>
              <w:rPr>
                <w:sz w:val="14"/>
              </w:rPr>
            </w:pPr>
            <w:r>
              <w:rPr>
                <w:color w:val="231F20"/>
                <w:spacing w:val="-2"/>
                <w:sz w:val="14"/>
              </w:rPr>
              <w:t>3,997,035</w:t>
            </w:r>
          </w:p>
        </w:tc>
        <w:tc>
          <w:tcPr>
            <w:tcW w:w="166" w:type="dxa"/>
          </w:tcPr>
          <w:p>
            <w:pPr>
              <w:pStyle w:val="TableParagraph"/>
              <w:rPr>
                <w:rFonts w:ascii="Times New Roman"/>
                <w:sz w:val="18"/>
              </w:rPr>
            </w:pPr>
          </w:p>
        </w:tc>
        <w:tc>
          <w:tcPr>
            <w:tcW w:w="975" w:type="dxa"/>
            <w:gridSpan w:val="2"/>
            <w:tcBorders>
              <w:bottom w:val="single" w:sz="8" w:space="0" w:color="231F20"/>
            </w:tcBorders>
          </w:tcPr>
          <w:p>
            <w:pPr>
              <w:pStyle w:val="TableParagraph"/>
              <w:rPr>
                <w:sz w:val="16"/>
              </w:rPr>
            </w:pPr>
          </w:p>
          <w:p>
            <w:pPr>
              <w:pStyle w:val="TableParagraph"/>
              <w:spacing w:line="151" w:lineRule="exact" w:before="122"/>
              <w:ind w:left="264"/>
              <w:rPr>
                <w:sz w:val="14"/>
              </w:rPr>
            </w:pPr>
            <w:r>
              <w:rPr>
                <w:color w:val="231F20"/>
                <w:spacing w:val="-2"/>
                <w:sz w:val="14"/>
              </w:rPr>
              <w:t>4,998,780</w:t>
            </w:r>
          </w:p>
        </w:tc>
      </w:tr>
      <w:tr>
        <w:trPr>
          <w:trHeight w:val="407" w:hRule="atLeast"/>
        </w:trPr>
        <w:tc>
          <w:tcPr>
            <w:tcW w:w="2761" w:type="dxa"/>
          </w:tcPr>
          <w:p>
            <w:pPr>
              <w:pStyle w:val="TableParagraph"/>
              <w:spacing w:before="11"/>
              <w:rPr>
                <w:sz w:val="15"/>
              </w:rPr>
            </w:pPr>
          </w:p>
          <w:p>
            <w:pPr>
              <w:pStyle w:val="TableParagraph"/>
              <w:ind w:left="87"/>
              <w:rPr>
                <w:sz w:val="14"/>
              </w:rPr>
            </w:pPr>
            <w:r>
              <w:rPr>
                <w:color w:val="231F20"/>
                <w:sz w:val="14"/>
              </w:rPr>
              <w:t>Contribution</w:t>
            </w:r>
            <w:r>
              <w:rPr>
                <w:color w:val="231F20"/>
                <w:spacing w:val="-3"/>
                <w:sz w:val="14"/>
              </w:rPr>
              <w:t> </w:t>
            </w:r>
            <w:r>
              <w:rPr>
                <w:color w:val="231F20"/>
                <w:sz w:val="14"/>
              </w:rPr>
              <w:t>deficiency</w:t>
            </w:r>
            <w:r>
              <w:rPr>
                <w:color w:val="231F20"/>
                <w:spacing w:val="-4"/>
                <w:sz w:val="14"/>
              </w:rPr>
              <w:t> </w:t>
            </w:r>
            <w:r>
              <w:rPr>
                <w:color w:val="231F20"/>
                <w:spacing w:val="-2"/>
                <w:sz w:val="14"/>
              </w:rPr>
              <w:t>(excess)</w:t>
            </w:r>
          </w:p>
        </w:tc>
        <w:tc>
          <w:tcPr>
            <w:tcW w:w="966" w:type="dxa"/>
          </w:tcPr>
          <w:p>
            <w:pPr>
              <w:pStyle w:val="TableParagraph"/>
              <w:spacing w:before="11"/>
              <w:rPr>
                <w:sz w:val="15"/>
              </w:rPr>
            </w:pPr>
          </w:p>
          <w:p>
            <w:pPr>
              <w:pStyle w:val="TableParagraph"/>
              <w:tabs>
                <w:tab w:pos="767" w:val="left" w:leader="none"/>
              </w:tabs>
              <w:ind w:right="74"/>
              <w:jc w:val="right"/>
              <w:rPr>
                <w:sz w:val="14"/>
              </w:rPr>
            </w:pPr>
            <w:r>
              <w:rPr>
                <w:color w:val="231F20"/>
                <w:spacing w:val="-10"/>
                <w:sz w:val="14"/>
              </w:rPr>
              <w:t>$</w:t>
            </w:r>
            <w:r>
              <w:rPr>
                <w:color w:val="231F20"/>
                <w:sz w:val="14"/>
              </w:rPr>
              <w:tab/>
            </w:r>
            <w:r>
              <w:rPr>
                <w:color w:val="231F20"/>
                <w:spacing w:val="-10"/>
                <w:sz w:val="14"/>
              </w:rPr>
              <w:t>-</w:t>
            </w:r>
          </w:p>
        </w:tc>
        <w:tc>
          <w:tcPr>
            <w:tcW w:w="666" w:type="dxa"/>
            <w:gridSpan w:val="2"/>
          </w:tcPr>
          <w:p>
            <w:pPr>
              <w:pStyle w:val="TableParagraph"/>
              <w:spacing w:before="11"/>
              <w:rPr>
                <w:sz w:val="15"/>
              </w:rPr>
            </w:pPr>
          </w:p>
          <w:p>
            <w:pPr>
              <w:pStyle w:val="TableParagraph"/>
              <w:ind w:right="101"/>
              <w:jc w:val="center"/>
              <w:rPr>
                <w:sz w:val="14"/>
              </w:rPr>
            </w:pPr>
            <w:r>
              <w:rPr>
                <w:color w:val="231F20"/>
                <w:w w:val="100"/>
                <w:sz w:val="14"/>
              </w:rPr>
              <w:t>$</w:t>
            </w:r>
          </w:p>
        </w:tc>
        <w:tc>
          <w:tcPr>
            <w:tcW w:w="468" w:type="dxa"/>
          </w:tcPr>
          <w:p>
            <w:pPr>
              <w:pStyle w:val="TableParagraph"/>
              <w:spacing w:before="11"/>
              <w:rPr>
                <w:sz w:val="15"/>
              </w:rPr>
            </w:pPr>
          </w:p>
          <w:p>
            <w:pPr>
              <w:pStyle w:val="TableParagraph"/>
              <w:ind w:right="75"/>
              <w:jc w:val="right"/>
              <w:rPr>
                <w:sz w:val="14"/>
              </w:rPr>
            </w:pPr>
            <w:r>
              <w:rPr>
                <w:color w:val="231F20"/>
                <w:w w:val="100"/>
                <w:sz w:val="14"/>
              </w:rPr>
              <w:t>-</w:t>
            </w:r>
          </w:p>
        </w:tc>
        <w:tc>
          <w:tcPr>
            <w:tcW w:w="665" w:type="dxa"/>
            <w:gridSpan w:val="2"/>
          </w:tcPr>
          <w:p>
            <w:pPr>
              <w:pStyle w:val="TableParagraph"/>
              <w:spacing w:before="11"/>
              <w:rPr>
                <w:sz w:val="15"/>
              </w:rPr>
            </w:pPr>
          </w:p>
          <w:p>
            <w:pPr>
              <w:pStyle w:val="TableParagraph"/>
              <w:ind w:right="104"/>
              <w:jc w:val="center"/>
              <w:rPr>
                <w:sz w:val="14"/>
              </w:rPr>
            </w:pPr>
            <w:r>
              <w:rPr>
                <w:color w:val="231F20"/>
                <w:w w:val="100"/>
                <w:sz w:val="14"/>
              </w:rPr>
              <w:t>$</w:t>
            </w:r>
          </w:p>
        </w:tc>
        <w:tc>
          <w:tcPr>
            <w:tcW w:w="467" w:type="dxa"/>
          </w:tcPr>
          <w:p>
            <w:pPr>
              <w:pStyle w:val="TableParagraph"/>
              <w:spacing w:before="11"/>
              <w:rPr>
                <w:sz w:val="15"/>
              </w:rPr>
            </w:pPr>
          </w:p>
          <w:p>
            <w:pPr>
              <w:pStyle w:val="TableParagraph"/>
              <w:ind w:right="74"/>
              <w:jc w:val="right"/>
              <w:rPr>
                <w:sz w:val="14"/>
              </w:rPr>
            </w:pPr>
            <w:r>
              <w:rPr>
                <w:color w:val="231F20"/>
                <w:w w:val="100"/>
                <w:sz w:val="14"/>
              </w:rPr>
              <w:t>-</w:t>
            </w:r>
          </w:p>
        </w:tc>
        <w:tc>
          <w:tcPr>
            <w:tcW w:w="665" w:type="dxa"/>
            <w:gridSpan w:val="2"/>
          </w:tcPr>
          <w:p>
            <w:pPr>
              <w:pStyle w:val="TableParagraph"/>
              <w:spacing w:before="11"/>
              <w:rPr>
                <w:sz w:val="15"/>
              </w:rPr>
            </w:pPr>
          </w:p>
          <w:p>
            <w:pPr>
              <w:pStyle w:val="TableParagraph"/>
              <w:ind w:right="103"/>
              <w:jc w:val="center"/>
              <w:rPr>
                <w:sz w:val="14"/>
              </w:rPr>
            </w:pPr>
            <w:r>
              <w:rPr>
                <w:color w:val="231F20"/>
                <w:w w:val="100"/>
                <w:sz w:val="14"/>
              </w:rPr>
              <w:t>$</w:t>
            </w:r>
          </w:p>
        </w:tc>
        <w:tc>
          <w:tcPr>
            <w:tcW w:w="467" w:type="dxa"/>
          </w:tcPr>
          <w:p>
            <w:pPr>
              <w:pStyle w:val="TableParagraph"/>
              <w:spacing w:before="11"/>
              <w:rPr>
                <w:sz w:val="15"/>
              </w:rPr>
            </w:pPr>
          </w:p>
          <w:p>
            <w:pPr>
              <w:pStyle w:val="TableParagraph"/>
              <w:ind w:right="75"/>
              <w:jc w:val="right"/>
              <w:rPr>
                <w:sz w:val="14"/>
              </w:rPr>
            </w:pPr>
            <w:r>
              <w:rPr>
                <w:color w:val="231F20"/>
                <w:w w:val="100"/>
                <w:sz w:val="14"/>
              </w:rPr>
              <w:t>-</w:t>
            </w:r>
          </w:p>
        </w:tc>
        <w:tc>
          <w:tcPr>
            <w:tcW w:w="663" w:type="dxa"/>
            <w:gridSpan w:val="2"/>
          </w:tcPr>
          <w:p>
            <w:pPr>
              <w:pStyle w:val="TableParagraph"/>
              <w:spacing w:before="11"/>
              <w:rPr>
                <w:sz w:val="15"/>
              </w:rPr>
            </w:pPr>
          </w:p>
          <w:p>
            <w:pPr>
              <w:pStyle w:val="TableParagraph"/>
              <w:ind w:right="102"/>
              <w:jc w:val="center"/>
              <w:rPr>
                <w:sz w:val="14"/>
              </w:rPr>
            </w:pPr>
            <w:r>
              <w:rPr>
                <w:color w:val="231F20"/>
                <w:w w:val="100"/>
                <w:sz w:val="14"/>
              </w:rPr>
              <w:t>$</w:t>
            </w:r>
          </w:p>
        </w:tc>
        <w:tc>
          <w:tcPr>
            <w:tcW w:w="466" w:type="dxa"/>
          </w:tcPr>
          <w:p>
            <w:pPr>
              <w:pStyle w:val="TableParagraph"/>
              <w:spacing w:before="11"/>
              <w:rPr>
                <w:sz w:val="15"/>
              </w:rPr>
            </w:pPr>
          </w:p>
          <w:p>
            <w:pPr>
              <w:pStyle w:val="TableParagraph"/>
              <w:ind w:right="71"/>
              <w:jc w:val="right"/>
              <w:rPr>
                <w:sz w:val="14"/>
              </w:rPr>
            </w:pPr>
            <w:r>
              <w:rPr>
                <w:color w:val="231F20"/>
                <w:w w:val="100"/>
                <w:sz w:val="14"/>
              </w:rPr>
              <w:t>-</w:t>
            </w:r>
          </w:p>
        </w:tc>
        <w:tc>
          <w:tcPr>
            <w:tcW w:w="663" w:type="dxa"/>
            <w:gridSpan w:val="2"/>
          </w:tcPr>
          <w:p>
            <w:pPr>
              <w:pStyle w:val="TableParagraph"/>
              <w:spacing w:before="11"/>
              <w:rPr>
                <w:sz w:val="15"/>
              </w:rPr>
            </w:pPr>
          </w:p>
          <w:p>
            <w:pPr>
              <w:pStyle w:val="TableParagraph"/>
              <w:ind w:right="94"/>
              <w:jc w:val="center"/>
              <w:rPr>
                <w:sz w:val="14"/>
              </w:rPr>
            </w:pPr>
            <w:r>
              <w:rPr>
                <w:color w:val="231F20"/>
                <w:w w:val="100"/>
                <w:sz w:val="14"/>
              </w:rPr>
              <w:t>$</w:t>
            </w:r>
          </w:p>
        </w:tc>
        <w:tc>
          <w:tcPr>
            <w:tcW w:w="478" w:type="dxa"/>
          </w:tcPr>
          <w:p>
            <w:pPr>
              <w:pStyle w:val="TableParagraph"/>
              <w:spacing w:before="11"/>
              <w:rPr>
                <w:sz w:val="15"/>
              </w:rPr>
            </w:pPr>
          </w:p>
          <w:p>
            <w:pPr>
              <w:pStyle w:val="TableParagraph"/>
              <w:ind w:right="81"/>
              <w:jc w:val="right"/>
              <w:rPr>
                <w:sz w:val="14"/>
              </w:rPr>
            </w:pPr>
            <w:r>
              <w:rPr>
                <w:color w:val="231F20"/>
                <w:w w:val="100"/>
                <w:sz w:val="14"/>
              </w:rPr>
              <w:t>-</w:t>
            </w:r>
          </w:p>
        </w:tc>
      </w:tr>
      <w:tr>
        <w:trPr>
          <w:trHeight w:val="459" w:hRule="atLeast"/>
        </w:trPr>
        <w:tc>
          <w:tcPr>
            <w:tcW w:w="2761" w:type="dxa"/>
          </w:tcPr>
          <w:p>
            <w:pPr>
              <w:pStyle w:val="TableParagraph"/>
              <w:spacing w:before="7"/>
              <w:rPr>
                <w:sz w:val="16"/>
              </w:rPr>
            </w:pPr>
          </w:p>
          <w:p>
            <w:pPr>
              <w:pStyle w:val="TableParagraph"/>
              <w:ind w:left="87"/>
              <w:rPr>
                <w:sz w:val="14"/>
              </w:rPr>
            </w:pPr>
            <w:r>
              <w:rPr>
                <w:color w:val="231F20"/>
                <w:sz w:val="14"/>
              </w:rPr>
              <w:t>Covered</w:t>
            </w:r>
            <w:r>
              <w:rPr>
                <w:color w:val="231F20"/>
                <w:spacing w:val="-4"/>
                <w:sz w:val="14"/>
              </w:rPr>
              <w:t> </w:t>
            </w:r>
            <w:r>
              <w:rPr>
                <w:color w:val="231F20"/>
                <w:sz w:val="14"/>
              </w:rPr>
              <w:t>employee</w:t>
            </w:r>
            <w:r>
              <w:rPr>
                <w:color w:val="231F20"/>
                <w:spacing w:val="-3"/>
                <w:sz w:val="14"/>
              </w:rPr>
              <w:t> </w:t>
            </w:r>
            <w:r>
              <w:rPr>
                <w:color w:val="231F20"/>
                <w:spacing w:val="-2"/>
                <w:sz w:val="14"/>
              </w:rPr>
              <w:t>payroll</w:t>
            </w:r>
          </w:p>
        </w:tc>
        <w:tc>
          <w:tcPr>
            <w:tcW w:w="966" w:type="dxa"/>
            <w:tcBorders>
              <w:top w:val="single" w:sz="8" w:space="0" w:color="231F20"/>
            </w:tcBorders>
          </w:tcPr>
          <w:p>
            <w:pPr>
              <w:pStyle w:val="TableParagraph"/>
              <w:spacing w:before="7"/>
              <w:rPr>
                <w:sz w:val="16"/>
              </w:rPr>
            </w:pPr>
          </w:p>
          <w:p>
            <w:pPr>
              <w:pStyle w:val="TableParagraph"/>
              <w:ind w:right="75"/>
              <w:jc w:val="right"/>
              <w:rPr>
                <w:sz w:val="14"/>
              </w:rPr>
            </w:pPr>
            <w:r>
              <w:rPr>
                <w:color w:val="231F20"/>
                <w:sz w:val="14"/>
              </w:rPr>
              <w:t>$</w:t>
            </w:r>
            <w:r>
              <w:rPr>
                <w:color w:val="231F20"/>
                <w:spacing w:val="-11"/>
                <w:sz w:val="14"/>
              </w:rPr>
              <w:t> </w:t>
            </w:r>
            <w:r>
              <w:rPr>
                <w:color w:val="231F20"/>
                <w:spacing w:val="-2"/>
                <w:sz w:val="14"/>
              </w:rPr>
              <w:t>48,652,784</w:t>
            </w:r>
          </w:p>
        </w:tc>
        <w:tc>
          <w:tcPr>
            <w:tcW w:w="166" w:type="dxa"/>
          </w:tcPr>
          <w:p>
            <w:pPr>
              <w:pStyle w:val="TableParagraph"/>
              <w:rPr>
                <w:rFonts w:ascii="Times New Roman"/>
                <w:sz w:val="18"/>
              </w:rPr>
            </w:pPr>
          </w:p>
        </w:tc>
        <w:tc>
          <w:tcPr>
            <w:tcW w:w="968" w:type="dxa"/>
            <w:gridSpan w:val="2"/>
            <w:tcBorders>
              <w:top w:val="single" w:sz="8" w:space="0" w:color="231F20"/>
            </w:tcBorders>
          </w:tcPr>
          <w:p>
            <w:pPr>
              <w:pStyle w:val="TableParagraph"/>
              <w:spacing w:before="7"/>
              <w:rPr>
                <w:sz w:val="16"/>
              </w:rPr>
            </w:pPr>
          </w:p>
          <w:p>
            <w:pPr>
              <w:pStyle w:val="TableParagraph"/>
              <w:ind w:left="76"/>
              <w:rPr>
                <w:sz w:val="14"/>
              </w:rPr>
            </w:pPr>
            <w:r>
              <w:rPr>
                <w:color w:val="231F20"/>
                <w:sz w:val="14"/>
              </w:rPr>
              <w:t>$</w:t>
            </w:r>
            <w:r>
              <w:rPr>
                <w:color w:val="231F20"/>
                <w:spacing w:val="-11"/>
                <w:sz w:val="14"/>
              </w:rPr>
              <w:t> </w:t>
            </w:r>
            <w:r>
              <w:rPr>
                <w:color w:val="231F20"/>
                <w:spacing w:val="-2"/>
                <w:sz w:val="14"/>
              </w:rPr>
              <w:t>31,792,971</w:t>
            </w:r>
          </w:p>
        </w:tc>
        <w:tc>
          <w:tcPr>
            <w:tcW w:w="166" w:type="dxa"/>
          </w:tcPr>
          <w:p>
            <w:pPr>
              <w:pStyle w:val="TableParagraph"/>
              <w:rPr>
                <w:rFonts w:ascii="Times New Roman"/>
                <w:sz w:val="18"/>
              </w:rPr>
            </w:pPr>
          </w:p>
        </w:tc>
        <w:tc>
          <w:tcPr>
            <w:tcW w:w="966" w:type="dxa"/>
            <w:gridSpan w:val="2"/>
            <w:tcBorders>
              <w:top w:val="single" w:sz="8" w:space="0" w:color="231F20"/>
            </w:tcBorders>
          </w:tcPr>
          <w:p>
            <w:pPr>
              <w:pStyle w:val="TableParagraph"/>
              <w:spacing w:before="7"/>
              <w:rPr>
                <w:sz w:val="16"/>
              </w:rPr>
            </w:pPr>
          </w:p>
          <w:p>
            <w:pPr>
              <w:pStyle w:val="TableParagraph"/>
              <w:ind w:left="73"/>
              <w:rPr>
                <w:sz w:val="14"/>
              </w:rPr>
            </w:pPr>
            <w:r>
              <w:rPr>
                <w:color w:val="231F20"/>
                <w:sz w:val="14"/>
              </w:rPr>
              <w:t>$</w:t>
            </w:r>
            <w:r>
              <w:rPr>
                <w:color w:val="231F20"/>
                <w:spacing w:val="-10"/>
                <w:sz w:val="14"/>
              </w:rPr>
              <w:t> </w:t>
            </w:r>
            <w:r>
              <w:rPr>
                <w:color w:val="231F20"/>
                <w:spacing w:val="-2"/>
                <w:sz w:val="14"/>
              </w:rPr>
              <w:t>30,618,535</w:t>
            </w:r>
          </w:p>
        </w:tc>
        <w:tc>
          <w:tcPr>
            <w:tcW w:w="167" w:type="dxa"/>
          </w:tcPr>
          <w:p>
            <w:pPr>
              <w:pStyle w:val="TableParagraph"/>
              <w:rPr>
                <w:rFonts w:ascii="Times New Roman"/>
                <w:sz w:val="18"/>
              </w:rPr>
            </w:pPr>
          </w:p>
        </w:tc>
        <w:tc>
          <w:tcPr>
            <w:tcW w:w="965" w:type="dxa"/>
            <w:gridSpan w:val="2"/>
            <w:tcBorders>
              <w:top w:val="single" w:sz="8" w:space="0" w:color="231F20"/>
            </w:tcBorders>
          </w:tcPr>
          <w:p>
            <w:pPr>
              <w:pStyle w:val="TableParagraph"/>
              <w:spacing w:before="7"/>
              <w:rPr>
                <w:sz w:val="16"/>
              </w:rPr>
            </w:pPr>
          </w:p>
          <w:p>
            <w:pPr>
              <w:pStyle w:val="TableParagraph"/>
              <w:ind w:left="73"/>
              <w:rPr>
                <w:sz w:val="14"/>
              </w:rPr>
            </w:pPr>
            <w:r>
              <w:rPr>
                <w:color w:val="231F20"/>
                <w:sz w:val="14"/>
              </w:rPr>
              <w:t>$</w:t>
            </w:r>
            <w:r>
              <w:rPr>
                <w:color w:val="231F20"/>
                <w:spacing w:val="-11"/>
                <w:sz w:val="14"/>
              </w:rPr>
              <w:t> </w:t>
            </w:r>
            <w:r>
              <w:rPr>
                <w:color w:val="231F20"/>
                <w:spacing w:val="-2"/>
                <w:sz w:val="14"/>
              </w:rPr>
              <w:t>29,915,918</w:t>
            </w:r>
          </w:p>
        </w:tc>
        <w:tc>
          <w:tcPr>
            <w:tcW w:w="165" w:type="dxa"/>
          </w:tcPr>
          <w:p>
            <w:pPr>
              <w:pStyle w:val="TableParagraph"/>
              <w:rPr>
                <w:rFonts w:ascii="Times New Roman"/>
                <w:sz w:val="18"/>
              </w:rPr>
            </w:pPr>
          </w:p>
        </w:tc>
        <w:tc>
          <w:tcPr>
            <w:tcW w:w="964" w:type="dxa"/>
            <w:gridSpan w:val="2"/>
            <w:tcBorders>
              <w:top w:val="single" w:sz="8" w:space="0" w:color="231F20"/>
            </w:tcBorders>
          </w:tcPr>
          <w:p>
            <w:pPr>
              <w:pStyle w:val="TableParagraph"/>
              <w:spacing w:before="7"/>
              <w:rPr>
                <w:sz w:val="16"/>
              </w:rPr>
            </w:pPr>
          </w:p>
          <w:p>
            <w:pPr>
              <w:pStyle w:val="TableParagraph"/>
              <w:ind w:left="75"/>
              <w:rPr>
                <w:sz w:val="14"/>
              </w:rPr>
            </w:pPr>
            <w:r>
              <w:rPr>
                <w:color w:val="231F20"/>
                <w:sz w:val="14"/>
              </w:rPr>
              <w:t>$</w:t>
            </w:r>
            <w:r>
              <w:rPr>
                <w:color w:val="231F20"/>
                <w:spacing w:val="-10"/>
                <w:sz w:val="14"/>
              </w:rPr>
              <w:t> </w:t>
            </w:r>
            <w:r>
              <w:rPr>
                <w:color w:val="231F20"/>
                <w:spacing w:val="-2"/>
                <w:sz w:val="14"/>
              </w:rPr>
              <w:t>28,337,003</w:t>
            </w:r>
          </w:p>
        </w:tc>
        <w:tc>
          <w:tcPr>
            <w:tcW w:w="166" w:type="dxa"/>
          </w:tcPr>
          <w:p>
            <w:pPr>
              <w:pStyle w:val="TableParagraph"/>
              <w:rPr>
                <w:rFonts w:ascii="Times New Roman"/>
                <w:sz w:val="18"/>
              </w:rPr>
            </w:pPr>
          </w:p>
        </w:tc>
        <w:tc>
          <w:tcPr>
            <w:tcW w:w="975" w:type="dxa"/>
            <w:gridSpan w:val="2"/>
            <w:tcBorders>
              <w:top w:val="single" w:sz="8" w:space="0" w:color="231F20"/>
            </w:tcBorders>
          </w:tcPr>
          <w:p>
            <w:pPr>
              <w:pStyle w:val="TableParagraph"/>
              <w:spacing w:before="7"/>
              <w:rPr>
                <w:sz w:val="16"/>
              </w:rPr>
            </w:pPr>
          </w:p>
          <w:p>
            <w:pPr>
              <w:pStyle w:val="TableParagraph"/>
              <w:ind w:left="78"/>
              <w:rPr>
                <w:sz w:val="14"/>
              </w:rPr>
            </w:pPr>
            <w:r>
              <w:rPr>
                <w:color w:val="231F20"/>
                <w:sz w:val="14"/>
              </w:rPr>
              <w:t>$</w:t>
            </w:r>
            <w:r>
              <w:rPr>
                <w:color w:val="231F20"/>
                <w:spacing w:val="-11"/>
                <w:sz w:val="14"/>
              </w:rPr>
              <w:t> </w:t>
            </w:r>
            <w:r>
              <w:rPr>
                <w:color w:val="231F20"/>
                <w:spacing w:val="-2"/>
                <w:sz w:val="14"/>
              </w:rPr>
              <w:t>28,142,927</w:t>
            </w:r>
          </w:p>
        </w:tc>
      </w:tr>
      <w:tr>
        <w:trPr>
          <w:trHeight w:val="405" w:hRule="atLeast"/>
        </w:trPr>
        <w:tc>
          <w:tcPr>
            <w:tcW w:w="2761" w:type="dxa"/>
          </w:tcPr>
          <w:p>
            <w:pPr>
              <w:pStyle w:val="TableParagraph"/>
              <w:spacing w:before="111"/>
              <w:ind w:left="87"/>
              <w:rPr>
                <w:sz w:val="14"/>
              </w:rPr>
            </w:pPr>
            <w:r>
              <w:rPr>
                <w:color w:val="231F20"/>
                <w:sz w:val="14"/>
              </w:rPr>
              <w:t>Contributions</w:t>
            </w:r>
            <w:r>
              <w:rPr>
                <w:color w:val="231F20"/>
                <w:spacing w:val="-1"/>
                <w:sz w:val="14"/>
              </w:rPr>
              <w:t> </w:t>
            </w:r>
            <w:r>
              <w:rPr>
                <w:color w:val="231F20"/>
                <w:sz w:val="14"/>
              </w:rPr>
              <w:t>as</w:t>
            </w:r>
            <w:r>
              <w:rPr>
                <w:color w:val="231F20"/>
                <w:spacing w:val="-1"/>
                <w:sz w:val="14"/>
              </w:rPr>
              <w:t> </w:t>
            </w:r>
            <w:r>
              <w:rPr>
                <w:color w:val="231F20"/>
                <w:sz w:val="14"/>
              </w:rPr>
              <w:t>a</w:t>
            </w:r>
            <w:r>
              <w:rPr>
                <w:color w:val="231F20"/>
                <w:spacing w:val="-2"/>
                <w:sz w:val="14"/>
              </w:rPr>
              <w:t> </w:t>
            </w:r>
            <w:r>
              <w:rPr>
                <w:color w:val="231F20"/>
                <w:sz w:val="14"/>
              </w:rPr>
              <w:t>percentage</w:t>
            </w:r>
            <w:r>
              <w:rPr>
                <w:color w:val="231F20"/>
                <w:spacing w:val="-2"/>
                <w:sz w:val="14"/>
              </w:rPr>
              <w:t> </w:t>
            </w:r>
            <w:r>
              <w:rPr>
                <w:color w:val="231F20"/>
                <w:sz w:val="14"/>
              </w:rPr>
              <w:t>of</w:t>
            </w:r>
            <w:r>
              <w:rPr>
                <w:color w:val="231F20"/>
                <w:spacing w:val="-2"/>
                <w:sz w:val="14"/>
              </w:rPr>
              <w:t> payroll</w:t>
            </w:r>
          </w:p>
        </w:tc>
        <w:tc>
          <w:tcPr>
            <w:tcW w:w="966" w:type="dxa"/>
          </w:tcPr>
          <w:p>
            <w:pPr>
              <w:pStyle w:val="TableParagraph"/>
              <w:spacing w:before="111"/>
              <w:ind w:right="27"/>
              <w:jc w:val="right"/>
              <w:rPr>
                <w:sz w:val="14"/>
              </w:rPr>
            </w:pPr>
            <w:r>
              <w:rPr>
                <w:color w:val="231F20"/>
                <w:spacing w:val="-4"/>
                <w:sz w:val="14"/>
              </w:rPr>
              <w:t>1.7%</w:t>
            </w:r>
          </w:p>
        </w:tc>
        <w:tc>
          <w:tcPr>
            <w:tcW w:w="166" w:type="dxa"/>
          </w:tcPr>
          <w:p>
            <w:pPr>
              <w:pStyle w:val="TableParagraph"/>
              <w:rPr>
                <w:rFonts w:ascii="Times New Roman"/>
                <w:sz w:val="18"/>
              </w:rPr>
            </w:pPr>
          </w:p>
        </w:tc>
        <w:tc>
          <w:tcPr>
            <w:tcW w:w="968" w:type="dxa"/>
            <w:gridSpan w:val="2"/>
          </w:tcPr>
          <w:p>
            <w:pPr>
              <w:pStyle w:val="TableParagraph"/>
              <w:spacing w:before="111"/>
              <w:ind w:left="614"/>
              <w:rPr>
                <w:sz w:val="14"/>
              </w:rPr>
            </w:pPr>
            <w:r>
              <w:rPr>
                <w:color w:val="231F20"/>
                <w:spacing w:val="-4"/>
                <w:sz w:val="14"/>
              </w:rPr>
              <w:t>2.2%</w:t>
            </w:r>
          </w:p>
        </w:tc>
        <w:tc>
          <w:tcPr>
            <w:tcW w:w="166" w:type="dxa"/>
          </w:tcPr>
          <w:p>
            <w:pPr>
              <w:pStyle w:val="TableParagraph"/>
              <w:rPr>
                <w:rFonts w:ascii="Times New Roman"/>
                <w:sz w:val="18"/>
              </w:rPr>
            </w:pPr>
          </w:p>
        </w:tc>
        <w:tc>
          <w:tcPr>
            <w:tcW w:w="966" w:type="dxa"/>
            <w:gridSpan w:val="2"/>
          </w:tcPr>
          <w:p>
            <w:pPr>
              <w:pStyle w:val="TableParagraph"/>
              <w:spacing w:before="111"/>
              <w:ind w:left="534"/>
              <w:rPr>
                <w:sz w:val="14"/>
              </w:rPr>
            </w:pPr>
            <w:r>
              <w:rPr>
                <w:color w:val="231F20"/>
                <w:spacing w:val="-2"/>
                <w:sz w:val="14"/>
              </w:rPr>
              <w:t>12.9%</w:t>
            </w:r>
          </w:p>
        </w:tc>
        <w:tc>
          <w:tcPr>
            <w:tcW w:w="167" w:type="dxa"/>
          </w:tcPr>
          <w:p>
            <w:pPr>
              <w:pStyle w:val="TableParagraph"/>
              <w:rPr>
                <w:rFonts w:ascii="Times New Roman"/>
                <w:sz w:val="18"/>
              </w:rPr>
            </w:pPr>
          </w:p>
        </w:tc>
        <w:tc>
          <w:tcPr>
            <w:tcW w:w="965" w:type="dxa"/>
            <w:gridSpan w:val="2"/>
          </w:tcPr>
          <w:p>
            <w:pPr>
              <w:pStyle w:val="TableParagraph"/>
              <w:spacing w:before="111"/>
              <w:ind w:left="611"/>
              <w:rPr>
                <w:sz w:val="14"/>
              </w:rPr>
            </w:pPr>
            <w:r>
              <w:rPr>
                <w:color w:val="231F20"/>
                <w:spacing w:val="-4"/>
                <w:sz w:val="14"/>
              </w:rPr>
              <w:t>7.5%</w:t>
            </w:r>
          </w:p>
        </w:tc>
        <w:tc>
          <w:tcPr>
            <w:tcW w:w="165" w:type="dxa"/>
          </w:tcPr>
          <w:p>
            <w:pPr>
              <w:pStyle w:val="TableParagraph"/>
              <w:rPr>
                <w:rFonts w:ascii="Times New Roman"/>
                <w:sz w:val="18"/>
              </w:rPr>
            </w:pPr>
          </w:p>
        </w:tc>
        <w:tc>
          <w:tcPr>
            <w:tcW w:w="964" w:type="dxa"/>
            <w:gridSpan w:val="2"/>
          </w:tcPr>
          <w:p>
            <w:pPr>
              <w:pStyle w:val="TableParagraph"/>
              <w:spacing w:before="111"/>
              <w:ind w:left="535"/>
              <w:rPr>
                <w:sz w:val="14"/>
              </w:rPr>
            </w:pPr>
            <w:r>
              <w:rPr>
                <w:color w:val="231F20"/>
                <w:spacing w:val="-2"/>
                <w:sz w:val="14"/>
              </w:rPr>
              <w:t>14.1%</w:t>
            </w:r>
          </w:p>
        </w:tc>
        <w:tc>
          <w:tcPr>
            <w:tcW w:w="166" w:type="dxa"/>
          </w:tcPr>
          <w:p>
            <w:pPr>
              <w:pStyle w:val="TableParagraph"/>
              <w:rPr>
                <w:rFonts w:ascii="Times New Roman"/>
                <w:sz w:val="18"/>
              </w:rPr>
            </w:pPr>
          </w:p>
        </w:tc>
        <w:tc>
          <w:tcPr>
            <w:tcW w:w="975" w:type="dxa"/>
            <w:gridSpan w:val="2"/>
          </w:tcPr>
          <w:p>
            <w:pPr>
              <w:pStyle w:val="TableParagraph"/>
              <w:spacing w:before="111"/>
              <w:ind w:left="537"/>
              <w:rPr>
                <w:sz w:val="14"/>
              </w:rPr>
            </w:pPr>
            <w:r>
              <w:rPr>
                <w:color w:val="231F20"/>
                <w:spacing w:val="-2"/>
                <w:sz w:val="14"/>
              </w:rPr>
              <w:t>17.8%</w:t>
            </w:r>
          </w:p>
        </w:tc>
      </w:tr>
      <w:tr>
        <w:trPr>
          <w:trHeight w:val="357" w:hRule="atLeast"/>
        </w:trPr>
        <w:tc>
          <w:tcPr>
            <w:tcW w:w="2761" w:type="dxa"/>
          </w:tcPr>
          <w:p>
            <w:pPr>
              <w:pStyle w:val="TableParagraph"/>
              <w:spacing w:line="210" w:lineRule="exact" w:before="127"/>
              <w:ind w:left="50"/>
              <w:rPr>
                <w:b/>
                <w:sz w:val="20"/>
              </w:rPr>
            </w:pPr>
            <w:r>
              <w:rPr>
                <w:b/>
                <w:color w:val="231F20"/>
                <w:sz w:val="20"/>
              </w:rPr>
              <w:t>Notes</w:t>
            </w:r>
            <w:r>
              <w:rPr>
                <w:b/>
                <w:color w:val="231F20"/>
                <w:spacing w:val="-4"/>
                <w:sz w:val="20"/>
              </w:rPr>
              <w:t> </w:t>
            </w:r>
            <w:r>
              <w:rPr>
                <w:b/>
                <w:color w:val="231F20"/>
                <w:sz w:val="20"/>
              </w:rPr>
              <w:t>to</w:t>
            </w:r>
            <w:r>
              <w:rPr>
                <w:b/>
                <w:color w:val="231F20"/>
                <w:spacing w:val="-3"/>
                <w:sz w:val="20"/>
              </w:rPr>
              <w:t> </w:t>
            </w:r>
            <w:r>
              <w:rPr>
                <w:b/>
                <w:color w:val="231F20"/>
                <w:spacing w:val="-2"/>
                <w:sz w:val="20"/>
              </w:rPr>
              <w:t>Schedule</w:t>
            </w:r>
          </w:p>
        </w:tc>
        <w:tc>
          <w:tcPr>
            <w:tcW w:w="966" w:type="dxa"/>
          </w:tcPr>
          <w:p>
            <w:pPr>
              <w:pStyle w:val="TableParagraph"/>
              <w:rPr>
                <w:rFonts w:ascii="Times New Roman"/>
                <w:sz w:val="18"/>
              </w:rPr>
            </w:pPr>
          </w:p>
        </w:tc>
        <w:tc>
          <w:tcPr>
            <w:tcW w:w="166" w:type="dxa"/>
          </w:tcPr>
          <w:p>
            <w:pPr>
              <w:pStyle w:val="TableParagraph"/>
              <w:rPr>
                <w:rFonts w:ascii="Times New Roman"/>
                <w:sz w:val="18"/>
              </w:rPr>
            </w:pPr>
          </w:p>
        </w:tc>
        <w:tc>
          <w:tcPr>
            <w:tcW w:w="968" w:type="dxa"/>
            <w:gridSpan w:val="2"/>
          </w:tcPr>
          <w:p>
            <w:pPr>
              <w:pStyle w:val="TableParagraph"/>
              <w:rPr>
                <w:rFonts w:ascii="Times New Roman"/>
                <w:sz w:val="18"/>
              </w:rPr>
            </w:pPr>
          </w:p>
        </w:tc>
        <w:tc>
          <w:tcPr>
            <w:tcW w:w="166" w:type="dxa"/>
          </w:tcPr>
          <w:p>
            <w:pPr>
              <w:pStyle w:val="TableParagraph"/>
              <w:rPr>
                <w:rFonts w:ascii="Times New Roman"/>
                <w:sz w:val="18"/>
              </w:rPr>
            </w:pPr>
          </w:p>
        </w:tc>
        <w:tc>
          <w:tcPr>
            <w:tcW w:w="966" w:type="dxa"/>
            <w:gridSpan w:val="2"/>
          </w:tcPr>
          <w:p>
            <w:pPr>
              <w:pStyle w:val="TableParagraph"/>
              <w:rPr>
                <w:rFonts w:ascii="Times New Roman"/>
                <w:sz w:val="18"/>
              </w:rPr>
            </w:pPr>
          </w:p>
        </w:tc>
        <w:tc>
          <w:tcPr>
            <w:tcW w:w="167" w:type="dxa"/>
          </w:tcPr>
          <w:p>
            <w:pPr>
              <w:pStyle w:val="TableParagraph"/>
              <w:rPr>
                <w:rFonts w:ascii="Times New Roman"/>
                <w:sz w:val="18"/>
              </w:rPr>
            </w:pPr>
          </w:p>
        </w:tc>
        <w:tc>
          <w:tcPr>
            <w:tcW w:w="965" w:type="dxa"/>
            <w:gridSpan w:val="2"/>
          </w:tcPr>
          <w:p>
            <w:pPr>
              <w:pStyle w:val="TableParagraph"/>
              <w:rPr>
                <w:rFonts w:ascii="Times New Roman"/>
                <w:sz w:val="18"/>
              </w:rPr>
            </w:pPr>
          </w:p>
        </w:tc>
        <w:tc>
          <w:tcPr>
            <w:tcW w:w="165" w:type="dxa"/>
          </w:tcPr>
          <w:p>
            <w:pPr>
              <w:pStyle w:val="TableParagraph"/>
              <w:rPr>
                <w:rFonts w:ascii="Times New Roman"/>
                <w:sz w:val="18"/>
              </w:rPr>
            </w:pPr>
          </w:p>
        </w:tc>
        <w:tc>
          <w:tcPr>
            <w:tcW w:w="964" w:type="dxa"/>
            <w:gridSpan w:val="2"/>
          </w:tcPr>
          <w:p>
            <w:pPr>
              <w:pStyle w:val="TableParagraph"/>
              <w:rPr>
                <w:rFonts w:ascii="Times New Roman"/>
                <w:sz w:val="18"/>
              </w:rPr>
            </w:pPr>
          </w:p>
        </w:tc>
        <w:tc>
          <w:tcPr>
            <w:tcW w:w="166" w:type="dxa"/>
          </w:tcPr>
          <w:p>
            <w:pPr>
              <w:pStyle w:val="TableParagraph"/>
              <w:rPr>
                <w:rFonts w:ascii="Times New Roman"/>
                <w:sz w:val="18"/>
              </w:rPr>
            </w:pPr>
          </w:p>
        </w:tc>
        <w:tc>
          <w:tcPr>
            <w:tcW w:w="975" w:type="dxa"/>
            <w:gridSpan w:val="2"/>
          </w:tcPr>
          <w:p>
            <w:pPr>
              <w:pStyle w:val="TableParagraph"/>
              <w:rPr>
                <w:rFonts w:ascii="Times New Roman"/>
                <w:sz w:val="18"/>
              </w:rPr>
            </w:pPr>
          </w:p>
        </w:tc>
      </w:tr>
    </w:tbl>
    <w:p>
      <w:pPr>
        <w:pStyle w:val="BodyText"/>
        <w:spacing w:before="3"/>
        <w:rPr>
          <w:sz w:val="26"/>
        </w:rPr>
      </w:pPr>
    </w:p>
    <w:p>
      <w:pPr>
        <w:pStyle w:val="BodyText"/>
        <w:tabs>
          <w:tab w:pos="3040" w:val="left" w:leader="none"/>
        </w:tabs>
        <w:ind w:left="160"/>
      </w:pPr>
      <w:r>
        <w:rPr/>
        <w:pict>
          <v:rect style="position:absolute;margin-left:207.539993pt;margin-top:-79.124596pt;width:48.3pt;height:.89996pt;mso-position-horizontal-relative:page;mso-position-vertical-relative:paragraph;z-index:-28299776" id="docshape425" filled="true" fillcolor="#231f20" stroked="false">
            <v:fill type="solid"/>
            <w10:wrap type="none"/>
          </v:rect>
        </w:pict>
      </w:r>
      <w:r>
        <w:rPr/>
        <w:pict>
          <v:rect style="position:absolute;margin-left:264.179993pt;margin-top:-79.124596pt;width:48.3pt;height:.89996pt;mso-position-horizontal-relative:page;mso-position-vertical-relative:paragraph;z-index:-28299264" id="docshape426" filled="true" fillcolor="#231f20" stroked="false">
            <v:fill type="solid"/>
            <w10:wrap type="none"/>
          </v:rect>
        </w:pict>
      </w:r>
      <w:r>
        <w:rPr/>
        <w:pict>
          <v:rect style="position:absolute;margin-left:320.821014pt;margin-top:-79.124596pt;width:48.24pt;height:.89996pt;mso-position-horizontal-relative:page;mso-position-vertical-relative:paragraph;z-index:-28298752" id="docshape427" filled="true" fillcolor="#231f20" stroked="false">
            <v:fill type="solid"/>
            <w10:wrap type="none"/>
          </v:rect>
        </w:pict>
      </w:r>
      <w:r>
        <w:rPr/>
        <w:pict>
          <v:rect style="position:absolute;margin-left:377.401001pt;margin-top:-79.124596pt;width:48.3pt;height:.89996pt;mso-position-horizontal-relative:page;mso-position-vertical-relative:paragraph;z-index:-28298240" id="docshape428" filled="true" fillcolor="#231f20" stroked="false">
            <v:fill type="solid"/>
            <w10:wrap type="none"/>
          </v:rect>
        </w:pict>
      </w:r>
      <w:r>
        <w:rPr/>
        <w:pict>
          <v:rect style="position:absolute;margin-left:434.040985pt;margin-top:-79.124596pt;width:48.24pt;height:.89996pt;mso-position-horizontal-relative:page;mso-position-vertical-relative:paragraph;z-index:-28297728" id="docshape429" filled="true" fillcolor="#231f20" stroked="false">
            <v:fill type="solid"/>
            <w10:wrap type="none"/>
          </v:rect>
        </w:pict>
      </w:r>
      <w:r>
        <w:rPr/>
        <w:pict>
          <v:rect style="position:absolute;margin-left:490.621002pt;margin-top:-79.124596pt;width:48.3pt;height:.89996pt;mso-position-horizontal-relative:page;mso-position-vertical-relative:paragraph;z-index:-28297216" id="docshape430" filled="true" fillcolor="#231f20" stroked="false">
            <v:fill type="solid"/>
            <w10:wrap type="none"/>
          </v:rect>
        </w:pict>
      </w:r>
      <w:r>
        <w:rPr>
          <w:color w:val="231F20"/>
        </w:rPr>
        <w:t>Valuation</w:t>
      </w:r>
      <w:r>
        <w:rPr>
          <w:color w:val="231F20"/>
          <w:spacing w:val="-3"/>
        </w:rPr>
        <w:t> </w:t>
      </w:r>
      <w:r>
        <w:rPr>
          <w:color w:val="231F20"/>
          <w:spacing w:val="-4"/>
        </w:rPr>
        <w:t>date</w:t>
      </w:r>
      <w:r>
        <w:rPr>
          <w:color w:val="231F20"/>
        </w:rPr>
        <w:tab/>
        <w:t>January</w:t>
      </w:r>
      <w:r>
        <w:rPr>
          <w:color w:val="231F20"/>
          <w:spacing w:val="-6"/>
        </w:rPr>
        <w:t> </w:t>
      </w:r>
      <w:r>
        <w:rPr>
          <w:color w:val="231F20"/>
        </w:rPr>
        <w:t>1,</w:t>
      </w:r>
      <w:r>
        <w:rPr>
          <w:color w:val="231F20"/>
          <w:spacing w:val="-4"/>
        </w:rPr>
        <w:t> 2022</w:t>
      </w:r>
    </w:p>
    <w:p>
      <w:pPr>
        <w:pStyle w:val="BodyText"/>
        <w:rPr>
          <w:sz w:val="26"/>
        </w:rPr>
      </w:pPr>
    </w:p>
    <w:p>
      <w:pPr>
        <w:pStyle w:val="BodyText"/>
        <w:ind w:left="160"/>
      </w:pPr>
      <w:r>
        <w:rPr>
          <w:color w:val="231F20"/>
        </w:rPr>
        <w:t>Methods</w:t>
      </w:r>
      <w:r>
        <w:rPr>
          <w:color w:val="231F20"/>
          <w:spacing w:val="-7"/>
        </w:rPr>
        <w:t> </w:t>
      </w:r>
      <w:r>
        <w:rPr>
          <w:color w:val="231F20"/>
        </w:rPr>
        <w:t>and</w:t>
      </w:r>
      <w:r>
        <w:rPr>
          <w:color w:val="231F20"/>
          <w:spacing w:val="-8"/>
        </w:rPr>
        <w:t> </w:t>
      </w:r>
      <w:r>
        <w:rPr>
          <w:color w:val="231F20"/>
        </w:rPr>
        <w:t>assumptions</w:t>
      </w:r>
      <w:r>
        <w:rPr>
          <w:color w:val="231F20"/>
          <w:spacing w:val="-7"/>
        </w:rPr>
        <w:t> </w:t>
      </w:r>
      <w:r>
        <w:rPr>
          <w:color w:val="231F20"/>
        </w:rPr>
        <w:t>used</w:t>
      </w:r>
      <w:r>
        <w:rPr>
          <w:color w:val="231F20"/>
          <w:spacing w:val="-7"/>
        </w:rPr>
        <w:t> </w:t>
      </w:r>
      <w:r>
        <w:rPr>
          <w:color w:val="231F20"/>
        </w:rPr>
        <w:t>to</w:t>
      </w:r>
      <w:r>
        <w:rPr>
          <w:color w:val="231F20"/>
          <w:spacing w:val="-6"/>
        </w:rPr>
        <w:t> </w:t>
      </w:r>
      <w:r>
        <w:rPr>
          <w:color w:val="231F20"/>
        </w:rPr>
        <w:t>determine</w:t>
      </w:r>
      <w:r>
        <w:rPr>
          <w:color w:val="231F20"/>
          <w:spacing w:val="-7"/>
        </w:rPr>
        <w:t> </w:t>
      </w:r>
      <w:r>
        <w:rPr>
          <w:color w:val="231F20"/>
        </w:rPr>
        <w:t>contribution</w:t>
      </w:r>
      <w:r>
        <w:rPr>
          <w:color w:val="231F20"/>
          <w:spacing w:val="-6"/>
        </w:rPr>
        <w:t> </w:t>
      </w:r>
      <w:r>
        <w:rPr>
          <w:color w:val="231F20"/>
          <w:spacing w:val="-2"/>
        </w:rPr>
        <w:t>rates:</w:t>
      </w:r>
    </w:p>
    <w:p>
      <w:pPr>
        <w:pStyle w:val="BodyText"/>
        <w:spacing w:before="11"/>
        <w:rPr>
          <w:sz w:val="25"/>
        </w:rPr>
      </w:pPr>
    </w:p>
    <w:p>
      <w:pPr>
        <w:pStyle w:val="BodyText"/>
        <w:tabs>
          <w:tab w:pos="3038" w:val="left" w:leader="none"/>
        </w:tabs>
        <w:spacing w:line="552" w:lineRule="auto"/>
        <w:ind w:left="160" w:right="3438"/>
      </w:pPr>
      <w:r>
        <w:rPr>
          <w:color w:val="231F20"/>
        </w:rPr>
        <w:t>Actuarial cost method</w:t>
        <w:tab/>
        <w:t>Entry</w:t>
      </w:r>
      <w:r>
        <w:rPr>
          <w:color w:val="231F20"/>
          <w:spacing w:val="-6"/>
        </w:rPr>
        <w:t> </w:t>
      </w:r>
      <w:r>
        <w:rPr>
          <w:color w:val="231F20"/>
        </w:rPr>
        <w:t>age</w:t>
      </w:r>
      <w:r>
        <w:rPr>
          <w:color w:val="231F20"/>
          <w:spacing w:val="-6"/>
        </w:rPr>
        <w:t> </w:t>
      </w:r>
      <w:r>
        <w:rPr>
          <w:color w:val="231F20"/>
        </w:rPr>
        <w:t>normal</w:t>
      </w:r>
      <w:r>
        <w:rPr>
          <w:color w:val="231F20"/>
          <w:spacing w:val="-6"/>
        </w:rPr>
        <w:t> </w:t>
      </w:r>
      <w:r>
        <w:rPr>
          <w:color w:val="231F20"/>
        </w:rPr>
        <w:t>–</w:t>
      </w:r>
      <w:r>
        <w:rPr>
          <w:color w:val="231F20"/>
          <w:spacing w:val="-6"/>
        </w:rPr>
        <w:t> </w:t>
      </w:r>
      <w:r>
        <w:rPr>
          <w:color w:val="231F20"/>
        </w:rPr>
        <w:t>level</w:t>
      </w:r>
      <w:r>
        <w:rPr>
          <w:color w:val="231F20"/>
          <w:spacing w:val="-7"/>
        </w:rPr>
        <w:t> </w:t>
      </w:r>
      <w:r>
        <w:rPr>
          <w:color w:val="231F20"/>
        </w:rPr>
        <w:t>%</w:t>
      </w:r>
      <w:r>
        <w:rPr>
          <w:color w:val="231F20"/>
          <w:spacing w:val="-6"/>
        </w:rPr>
        <w:t> </w:t>
      </w:r>
      <w:r>
        <w:rPr>
          <w:color w:val="231F20"/>
        </w:rPr>
        <w:t>of</w:t>
      </w:r>
      <w:r>
        <w:rPr>
          <w:color w:val="231F20"/>
          <w:spacing w:val="-6"/>
        </w:rPr>
        <w:t> </w:t>
      </w:r>
      <w:r>
        <w:rPr>
          <w:color w:val="231F20"/>
        </w:rPr>
        <w:t>salary Asset valuation method</w:t>
        <w:tab/>
        <w:t>Market value of assets</w:t>
      </w:r>
    </w:p>
    <w:p>
      <w:pPr>
        <w:pStyle w:val="BodyText"/>
        <w:tabs>
          <w:tab w:pos="3037" w:val="left" w:leader="none"/>
        </w:tabs>
        <w:ind w:left="160"/>
      </w:pPr>
      <w:r>
        <w:rPr>
          <w:color w:val="231F20"/>
        </w:rPr>
        <w:t>Healthcare</w:t>
      </w:r>
      <w:r>
        <w:rPr>
          <w:color w:val="231F20"/>
          <w:spacing w:val="-8"/>
        </w:rPr>
        <w:t> </w:t>
      </w:r>
      <w:r>
        <w:rPr>
          <w:color w:val="231F20"/>
        </w:rPr>
        <w:t>cost</w:t>
      </w:r>
      <w:r>
        <w:rPr>
          <w:color w:val="231F20"/>
          <w:spacing w:val="-7"/>
        </w:rPr>
        <w:t> </w:t>
      </w:r>
      <w:r>
        <w:rPr>
          <w:color w:val="231F20"/>
        </w:rPr>
        <w:t>trend</w:t>
      </w:r>
      <w:r>
        <w:rPr>
          <w:color w:val="231F20"/>
          <w:spacing w:val="-7"/>
        </w:rPr>
        <w:t> </w:t>
      </w:r>
      <w:r>
        <w:rPr>
          <w:color w:val="231F20"/>
          <w:spacing w:val="-4"/>
        </w:rPr>
        <w:t>rates</w:t>
      </w:r>
      <w:r>
        <w:rPr>
          <w:color w:val="231F20"/>
        </w:rPr>
        <w:tab/>
        <w:t>Medical</w:t>
      </w:r>
      <w:r>
        <w:rPr>
          <w:color w:val="231F20"/>
          <w:spacing w:val="-9"/>
        </w:rPr>
        <w:t> </w:t>
      </w:r>
      <w:r>
        <w:rPr>
          <w:color w:val="231F20"/>
        </w:rPr>
        <w:t>Pre-Medicare:</w:t>
      </w:r>
      <w:r>
        <w:rPr>
          <w:color w:val="231F20"/>
          <w:spacing w:val="-5"/>
        </w:rPr>
        <w:t> </w:t>
      </w:r>
      <w:r>
        <w:rPr>
          <w:color w:val="231F20"/>
        </w:rPr>
        <w:t>7.00%</w:t>
      </w:r>
      <w:r>
        <w:rPr>
          <w:color w:val="231F20"/>
          <w:spacing w:val="-7"/>
        </w:rPr>
        <w:t> </w:t>
      </w:r>
      <w:r>
        <w:rPr>
          <w:color w:val="231F20"/>
        </w:rPr>
        <w:t>initially,</w:t>
      </w:r>
      <w:r>
        <w:rPr>
          <w:color w:val="231F20"/>
          <w:spacing w:val="-7"/>
        </w:rPr>
        <w:t> </w:t>
      </w:r>
      <w:r>
        <w:rPr>
          <w:color w:val="231F20"/>
        </w:rPr>
        <w:t>reduced</w:t>
      </w:r>
      <w:r>
        <w:rPr>
          <w:color w:val="231F20"/>
          <w:spacing w:val="-7"/>
        </w:rPr>
        <w:t> </w:t>
      </w:r>
      <w:r>
        <w:rPr>
          <w:color w:val="231F20"/>
        </w:rPr>
        <w:t>by</w:t>
      </w:r>
      <w:r>
        <w:rPr>
          <w:color w:val="231F20"/>
          <w:spacing w:val="-6"/>
        </w:rPr>
        <w:t> </w:t>
      </w:r>
      <w:r>
        <w:rPr>
          <w:color w:val="231F20"/>
        </w:rPr>
        <w:t>decrements</w:t>
      </w:r>
      <w:r>
        <w:rPr>
          <w:color w:val="231F20"/>
          <w:spacing w:val="-7"/>
        </w:rPr>
        <w:t> </w:t>
      </w:r>
      <w:r>
        <w:rPr>
          <w:color w:val="231F20"/>
        </w:rPr>
        <w:t>to</w:t>
      </w:r>
      <w:r>
        <w:rPr>
          <w:color w:val="231F20"/>
          <w:spacing w:val="-7"/>
        </w:rPr>
        <w:t> </w:t>
      </w:r>
      <w:r>
        <w:rPr>
          <w:color w:val="231F20"/>
        </w:rPr>
        <w:t>a</w:t>
      </w:r>
      <w:r>
        <w:rPr>
          <w:color w:val="231F20"/>
          <w:spacing w:val="-6"/>
        </w:rPr>
        <w:t> </w:t>
      </w:r>
      <w:r>
        <w:rPr>
          <w:color w:val="231F20"/>
          <w:spacing w:val="-4"/>
        </w:rPr>
        <w:t>rate</w:t>
      </w:r>
    </w:p>
    <w:p>
      <w:pPr>
        <w:pStyle w:val="BodyText"/>
        <w:spacing w:before="34"/>
        <w:ind w:left="3040"/>
      </w:pPr>
      <w:r>
        <w:rPr>
          <w:color w:val="231F20"/>
        </w:rPr>
        <w:t>of</w:t>
      </w:r>
      <w:r>
        <w:rPr>
          <w:color w:val="231F20"/>
          <w:spacing w:val="-4"/>
        </w:rPr>
        <w:t> </w:t>
      </w:r>
      <w:r>
        <w:rPr>
          <w:color w:val="231F20"/>
        </w:rPr>
        <w:t>4.50%</w:t>
      </w:r>
      <w:r>
        <w:rPr>
          <w:color w:val="231F20"/>
          <w:spacing w:val="-4"/>
        </w:rPr>
        <w:t> </w:t>
      </w:r>
      <w:r>
        <w:rPr>
          <w:color w:val="231F20"/>
        </w:rPr>
        <w:t>after</w:t>
      </w:r>
      <w:r>
        <w:rPr>
          <w:color w:val="231F20"/>
          <w:spacing w:val="-4"/>
        </w:rPr>
        <w:t> </w:t>
      </w:r>
      <w:r>
        <w:rPr>
          <w:color w:val="231F20"/>
        </w:rPr>
        <w:t>nine</w:t>
      </w:r>
      <w:r>
        <w:rPr>
          <w:color w:val="231F20"/>
          <w:spacing w:val="-4"/>
        </w:rPr>
        <w:t> </w:t>
      </w:r>
      <w:r>
        <w:rPr>
          <w:color w:val="231F20"/>
          <w:spacing w:val="-2"/>
        </w:rPr>
        <w:t>years</w:t>
      </w:r>
    </w:p>
    <w:p>
      <w:pPr>
        <w:pStyle w:val="BodyText"/>
        <w:spacing w:line="276" w:lineRule="auto" w:before="35"/>
        <w:ind w:left="3040" w:right="178"/>
      </w:pPr>
      <w:r>
        <w:rPr>
          <w:color w:val="231F20"/>
        </w:rPr>
        <w:t>Medical</w:t>
      </w:r>
      <w:r>
        <w:rPr>
          <w:color w:val="231F20"/>
          <w:spacing w:val="-5"/>
        </w:rPr>
        <w:t> </w:t>
      </w:r>
      <w:r>
        <w:rPr>
          <w:color w:val="231F20"/>
        </w:rPr>
        <w:t>Post-Medicare:</w:t>
      </w:r>
      <w:r>
        <w:rPr>
          <w:color w:val="231F20"/>
          <w:spacing w:val="-5"/>
        </w:rPr>
        <w:t> </w:t>
      </w:r>
      <w:r>
        <w:rPr>
          <w:color w:val="231F20"/>
        </w:rPr>
        <w:t>6.50%</w:t>
      </w:r>
      <w:r>
        <w:rPr>
          <w:color w:val="231F20"/>
          <w:spacing w:val="-5"/>
        </w:rPr>
        <w:t> </w:t>
      </w:r>
      <w:r>
        <w:rPr>
          <w:color w:val="231F20"/>
        </w:rPr>
        <w:t>initially,</w:t>
      </w:r>
      <w:r>
        <w:rPr>
          <w:color w:val="231F20"/>
          <w:spacing w:val="-5"/>
        </w:rPr>
        <w:t> </w:t>
      </w:r>
      <w:r>
        <w:rPr>
          <w:color w:val="231F20"/>
        </w:rPr>
        <w:t>reduced</w:t>
      </w:r>
      <w:r>
        <w:rPr>
          <w:color w:val="231F20"/>
          <w:spacing w:val="-5"/>
        </w:rPr>
        <w:t> </w:t>
      </w:r>
      <w:r>
        <w:rPr>
          <w:color w:val="231F20"/>
        </w:rPr>
        <w:t>by</w:t>
      </w:r>
      <w:r>
        <w:rPr>
          <w:color w:val="231F20"/>
          <w:spacing w:val="-4"/>
        </w:rPr>
        <w:t> </w:t>
      </w:r>
      <w:r>
        <w:rPr>
          <w:color w:val="231F20"/>
        </w:rPr>
        <w:t>decrements</w:t>
      </w:r>
      <w:r>
        <w:rPr>
          <w:color w:val="231F20"/>
          <w:spacing w:val="-5"/>
        </w:rPr>
        <w:t> </w:t>
      </w:r>
      <w:r>
        <w:rPr>
          <w:color w:val="231F20"/>
        </w:rPr>
        <w:t>to</w:t>
      </w:r>
      <w:r>
        <w:rPr>
          <w:color w:val="231F20"/>
          <w:spacing w:val="-5"/>
        </w:rPr>
        <w:t> </w:t>
      </w:r>
      <w:r>
        <w:rPr>
          <w:color w:val="231F20"/>
        </w:rPr>
        <w:t>a</w:t>
      </w:r>
      <w:r>
        <w:rPr>
          <w:color w:val="231F20"/>
          <w:spacing w:val="-5"/>
        </w:rPr>
        <w:t> </w:t>
      </w:r>
      <w:r>
        <w:rPr>
          <w:color w:val="231F20"/>
        </w:rPr>
        <w:t>rate of 4.50% after nine years</w:t>
      </w:r>
    </w:p>
    <w:p>
      <w:pPr>
        <w:pStyle w:val="BodyText"/>
        <w:spacing w:line="276" w:lineRule="auto" w:before="1"/>
        <w:ind w:left="3040"/>
      </w:pPr>
      <w:r>
        <w:rPr>
          <w:color w:val="231F20"/>
        </w:rPr>
        <w:t>Pharmacy:</w:t>
      </w:r>
      <w:r>
        <w:rPr>
          <w:color w:val="231F20"/>
          <w:spacing w:val="-4"/>
        </w:rPr>
        <w:t> </w:t>
      </w:r>
      <w:r>
        <w:rPr>
          <w:color w:val="231F20"/>
        </w:rPr>
        <w:t>8.50%</w:t>
      </w:r>
      <w:r>
        <w:rPr>
          <w:color w:val="231F20"/>
          <w:spacing w:val="-4"/>
        </w:rPr>
        <w:t> </w:t>
      </w:r>
      <w:r>
        <w:rPr>
          <w:color w:val="231F20"/>
        </w:rPr>
        <w:t>initially,</w:t>
      </w:r>
      <w:r>
        <w:rPr>
          <w:color w:val="231F20"/>
          <w:spacing w:val="-4"/>
        </w:rPr>
        <w:t> </w:t>
      </w:r>
      <w:r>
        <w:rPr>
          <w:color w:val="231F20"/>
        </w:rPr>
        <w:t>reduced</w:t>
      </w:r>
      <w:r>
        <w:rPr>
          <w:color w:val="231F20"/>
          <w:spacing w:val="-4"/>
        </w:rPr>
        <w:t> </w:t>
      </w:r>
      <w:r>
        <w:rPr>
          <w:color w:val="231F20"/>
        </w:rPr>
        <w:t>by</w:t>
      </w:r>
      <w:r>
        <w:rPr>
          <w:color w:val="231F20"/>
          <w:spacing w:val="-4"/>
        </w:rPr>
        <w:t> </w:t>
      </w:r>
      <w:r>
        <w:rPr>
          <w:color w:val="231F20"/>
        </w:rPr>
        <w:t>decrement</w:t>
      </w:r>
      <w:r>
        <w:rPr>
          <w:color w:val="231F20"/>
          <w:spacing w:val="-4"/>
        </w:rPr>
        <w:t> </w:t>
      </w:r>
      <w:r>
        <w:rPr>
          <w:color w:val="231F20"/>
        </w:rPr>
        <w:t>to</w:t>
      </w:r>
      <w:r>
        <w:rPr>
          <w:color w:val="231F20"/>
          <w:spacing w:val="-4"/>
        </w:rPr>
        <w:t> </w:t>
      </w:r>
      <w:r>
        <w:rPr>
          <w:color w:val="231F20"/>
        </w:rPr>
        <w:t>a</w:t>
      </w:r>
      <w:r>
        <w:rPr>
          <w:color w:val="231F20"/>
          <w:spacing w:val="-4"/>
        </w:rPr>
        <w:t> </w:t>
      </w:r>
      <w:r>
        <w:rPr>
          <w:color w:val="231F20"/>
        </w:rPr>
        <w:t>rate</w:t>
      </w:r>
      <w:r>
        <w:rPr>
          <w:color w:val="231F20"/>
          <w:spacing w:val="-4"/>
        </w:rPr>
        <w:t> </w:t>
      </w:r>
      <w:r>
        <w:rPr>
          <w:color w:val="231F20"/>
        </w:rPr>
        <w:t>of</w:t>
      </w:r>
      <w:r>
        <w:rPr>
          <w:color w:val="231F20"/>
          <w:spacing w:val="-4"/>
        </w:rPr>
        <w:t> </w:t>
      </w:r>
      <w:r>
        <w:rPr>
          <w:color w:val="231F20"/>
        </w:rPr>
        <w:t>4.50%</w:t>
      </w:r>
      <w:r>
        <w:rPr>
          <w:color w:val="231F20"/>
          <w:spacing w:val="-4"/>
        </w:rPr>
        <w:t> </w:t>
      </w:r>
      <w:r>
        <w:rPr>
          <w:color w:val="231F20"/>
        </w:rPr>
        <w:t>after nine years</w:t>
      </w:r>
    </w:p>
    <w:p>
      <w:pPr>
        <w:pStyle w:val="BodyText"/>
        <w:spacing w:line="229" w:lineRule="exact"/>
        <w:ind w:left="3040"/>
      </w:pPr>
      <w:r>
        <w:rPr>
          <w:color w:val="231F20"/>
        </w:rPr>
        <w:t>Dental</w:t>
      </w:r>
      <w:r>
        <w:rPr>
          <w:color w:val="231F20"/>
          <w:spacing w:val="-6"/>
        </w:rPr>
        <w:t> </w:t>
      </w:r>
      <w:r>
        <w:rPr>
          <w:color w:val="231F20"/>
        </w:rPr>
        <w:t>and</w:t>
      </w:r>
      <w:r>
        <w:rPr>
          <w:color w:val="231F20"/>
          <w:spacing w:val="-5"/>
        </w:rPr>
        <w:t> </w:t>
      </w:r>
      <w:r>
        <w:rPr>
          <w:color w:val="231F20"/>
        </w:rPr>
        <w:t>Vision:</w:t>
      </w:r>
      <w:r>
        <w:rPr>
          <w:color w:val="231F20"/>
          <w:spacing w:val="-5"/>
        </w:rPr>
        <w:t> </w:t>
      </w:r>
      <w:r>
        <w:rPr>
          <w:color w:val="231F20"/>
          <w:spacing w:val="-2"/>
        </w:rPr>
        <w:t>3.00%</w:t>
      </w:r>
    </w:p>
    <w:p>
      <w:pPr>
        <w:pStyle w:val="BodyText"/>
        <w:rPr>
          <w:sz w:val="26"/>
        </w:rPr>
      </w:pPr>
    </w:p>
    <w:p>
      <w:pPr>
        <w:pStyle w:val="BodyText"/>
        <w:tabs>
          <w:tab w:pos="3039" w:val="left" w:leader="none"/>
        </w:tabs>
        <w:ind w:left="160"/>
      </w:pPr>
      <w:r>
        <w:rPr>
          <w:color w:val="231F20"/>
        </w:rPr>
        <w:t>Salary</w:t>
      </w:r>
      <w:r>
        <w:rPr>
          <w:color w:val="231F20"/>
          <w:spacing w:val="-6"/>
        </w:rPr>
        <w:t> </w:t>
      </w:r>
      <w:r>
        <w:rPr>
          <w:color w:val="231F20"/>
          <w:spacing w:val="-2"/>
        </w:rPr>
        <w:t>increases</w:t>
      </w:r>
      <w:r>
        <w:rPr>
          <w:color w:val="231F20"/>
        </w:rPr>
        <w:tab/>
      </w:r>
      <w:r>
        <w:rPr>
          <w:color w:val="231F20"/>
          <w:spacing w:val="-4"/>
        </w:rPr>
        <w:t>3.0%</w:t>
      </w:r>
    </w:p>
    <w:p>
      <w:pPr>
        <w:pStyle w:val="BodyText"/>
        <w:rPr>
          <w:sz w:val="26"/>
        </w:rPr>
      </w:pPr>
    </w:p>
    <w:p>
      <w:pPr>
        <w:pStyle w:val="BodyText"/>
        <w:tabs>
          <w:tab w:pos="3038" w:val="left" w:leader="none"/>
        </w:tabs>
        <w:ind w:left="160"/>
      </w:pPr>
      <w:r>
        <w:rPr>
          <w:color w:val="231F20"/>
        </w:rPr>
        <w:t>Investment</w:t>
      </w:r>
      <w:r>
        <w:rPr>
          <w:color w:val="231F20"/>
          <w:spacing w:val="-6"/>
        </w:rPr>
        <w:t> </w:t>
      </w:r>
      <w:r>
        <w:rPr>
          <w:color w:val="231F20"/>
        </w:rPr>
        <w:t>rate</w:t>
      </w:r>
      <w:r>
        <w:rPr>
          <w:color w:val="231F20"/>
          <w:spacing w:val="-5"/>
        </w:rPr>
        <w:t> </w:t>
      </w:r>
      <w:r>
        <w:rPr>
          <w:color w:val="231F20"/>
        </w:rPr>
        <w:t>of</w:t>
      </w:r>
      <w:r>
        <w:rPr>
          <w:color w:val="231F20"/>
          <w:spacing w:val="-5"/>
        </w:rPr>
        <w:t> </w:t>
      </w:r>
      <w:r>
        <w:rPr>
          <w:color w:val="231F20"/>
          <w:spacing w:val="-2"/>
        </w:rPr>
        <w:t>return</w:t>
      </w:r>
      <w:r>
        <w:rPr>
          <w:color w:val="231F20"/>
        </w:rPr>
        <w:tab/>
      </w:r>
      <w:r>
        <w:rPr>
          <w:color w:val="231F20"/>
          <w:spacing w:val="-4"/>
        </w:rPr>
        <w:t>6.0%</w:t>
      </w:r>
    </w:p>
    <w:p>
      <w:pPr>
        <w:pStyle w:val="BodyText"/>
        <w:tabs>
          <w:tab w:pos="3262" w:val="right" w:leader="none"/>
        </w:tabs>
        <w:spacing w:before="300"/>
        <w:ind w:left="160"/>
      </w:pPr>
      <w:r>
        <w:rPr>
          <w:color w:val="231F20"/>
        </w:rPr>
        <w:t>Retirement</w:t>
      </w:r>
      <w:r>
        <w:rPr>
          <w:color w:val="231F20"/>
          <w:spacing w:val="-11"/>
        </w:rPr>
        <w:t> </w:t>
      </w:r>
      <w:r>
        <w:rPr>
          <w:color w:val="231F20"/>
          <w:spacing w:val="-5"/>
        </w:rPr>
        <w:t>age</w:t>
      </w:r>
      <w:r>
        <w:rPr>
          <w:color w:val="231F20"/>
        </w:rPr>
        <w:tab/>
      </w:r>
      <w:r>
        <w:rPr>
          <w:color w:val="231F20"/>
          <w:spacing w:val="-5"/>
        </w:rPr>
        <w:t>64</w:t>
      </w:r>
    </w:p>
    <w:p>
      <w:pPr>
        <w:pStyle w:val="BodyText"/>
        <w:tabs>
          <w:tab w:pos="3040" w:val="left" w:leader="none"/>
        </w:tabs>
        <w:spacing w:line="276" w:lineRule="auto" w:before="299"/>
        <w:ind w:left="3040" w:right="879" w:hanging="2880"/>
      </w:pPr>
      <w:r>
        <w:rPr>
          <w:color w:val="231F20"/>
          <w:spacing w:val="-2"/>
        </w:rPr>
        <w:t>Mortality</w:t>
      </w:r>
      <w:r>
        <w:rPr>
          <w:color w:val="231F20"/>
        </w:rPr>
        <w:tab/>
        <w:t>PUB-2010 “General” classification headcount-weighted mortality table</w:t>
      </w:r>
      <w:r>
        <w:rPr>
          <w:color w:val="231F20"/>
          <w:spacing w:val="-6"/>
        </w:rPr>
        <w:t> </w:t>
      </w:r>
      <w:r>
        <w:rPr>
          <w:color w:val="231F20"/>
        </w:rPr>
        <w:t>with</w:t>
      </w:r>
      <w:r>
        <w:rPr>
          <w:color w:val="231F20"/>
          <w:spacing w:val="-6"/>
        </w:rPr>
        <w:t> </w:t>
      </w:r>
      <w:r>
        <w:rPr>
          <w:color w:val="231F20"/>
        </w:rPr>
        <w:t>fully</w:t>
      </w:r>
      <w:r>
        <w:rPr>
          <w:color w:val="231F20"/>
          <w:spacing w:val="-6"/>
        </w:rPr>
        <w:t> </w:t>
      </w:r>
      <w:r>
        <w:rPr>
          <w:color w:val="231F20"/>
        </w:rPr>
        <w:t>generation</w:t>
      </w:r>
      <w:r>
        <w:rPr>
          <w:color w:val="231F20"/>
          <w:spacing w:val="-6"/>
        </w:rPr>
        <w:t> </w:t>
      </w:r>
      <w:r>
        <w:rPr>
          <w:color w:val="231F20"/>
        </w:rPr>
        <w:t>mortality</w:t>
      </w:r>
      <w:r>
        <w:rPr>
          <w:color w:val="231F20"/>
          <w:spacing w:val="-6"/>
        </w:rPr>
        <w:t> </w:t>
      </w:r>
      <w:r>
        <w:rPr>
          <w:color w:val="231F20"/>
        </w:rPr>
        <w:t>improvement</w:t>
      </w:r>
      <w:r>
        <w:rPr>
          <w:color w:val="231F20"/>
          <w:spacing w:val="-6"/>
        </w:rPr>
        <w:t> </w:t>
      </w:r>
      <w:r>
        <w:rPr>
          <w:color w:val="231F20"/>
        </w:rPr>
        <w:t>projections</w:t>
      </w:r>
      <w:r>
        <w:rPr>
          <w:color w:val="231F20"/>
          <w:spacing w:val="-6"/>
        </w:rPr>
        <w:t> </w:t>
      </w:r>
      <w:r>
        <w:rPr>
          <w:color w:val="231F20"/>
        </w:rPr>
        <w:t>from the central year using Scale MP-2021</w:t>
      </w:r>
    </w:p>
    <w:p>
      <w:pPr>
        <w:spacing w:after="0" w:line="276" w:lineRule="auto"/>
        <w:sectPr>
          <w:headerReference w:type="default" r:id="rId54"/>
          <w:footerReference w:type="default" r:id="rId55"/>
          <w:pgSz w:w="12240" w:h="15840"/>
          <w:pgMar w:header="1270" w:footer="1097" w:top="1580" w:bottom="1280" w:left="1280" w:right="1280"/>
        </w:sectPr>
      </w:pPr>
    </w:p>
    <w:p>
      <w:pPr>
        <w:pStyle w:val="Heading3"/>
        <w:ind w:left="3644" w:right="845" w:hanging="2366"/>
        <w:jc w:val="left"/>
      </w:pPr>
      <w:r>
        <w:rPr/>
        <w:pict>
          <v:rect style="position:absolute;margin-left:70.5pt;margin-top:28.525633pt;width:471.001pt;height:1.5pt;mso-position-horizontal-relative:page;mso-position-vertical-relative:paragraph;z-index:15816704" id="docshape434" filled="true" fillcolor="#231f20" stroked="false">
            <v:fill type="solid"/>
            <w10:wrap type="none"/>
          </v:rect>
        </w:pict>
      </w:r>
      <w:r>
        <w:rPr/>
        <w:pict>
          <v:rect style="position:absolute;margin-left:271.740997pt;margin-top:443.341003pt;width:47.22pt;height:.84pt;mso-position-horizontal-relative:page;mso-position-vertical-relative:page;z-index:-28296192" id="docshape435" filled="true" fillcolor="#231f20" stroked="false">
            <v:fill type="solid"/>
            <w10:wrap type="none"/>
          </v:rect>
        </w:pict>
      </w:r>
      <w:r>
        <w:rPr/>
        <w:pict>
          <v:rect style="position:absolute;margin-left:327.061005pt;margin-top:443.341003pt;width:47.22pt;height:.84pt;mso-position-horizontal-relative:page;mso-position-vertical-relative:page;z-index:-28295680" id="docshape436" filled="true" fillcolor="#231f20" stroked="false">
            <v:fill type="solid"/>
            <w10:wrap type="none"/>
          </v:rect>
        </w:pict>
      </w:r>
      <w:r>
        <w:rPr/>
        <w:pict>
          <v:rect style="position:absolute;margin-left:382.381012pt;margin-top:443.341003pt;width:47.22pt;height:.84pt;mso-position-horizontal-relative:page;mso-position-vertical-relative:page;z-index:-28295168" id="docshape437" filled="true" fillcolor="#231f20" stroked="false">
            <v:fill type="solid"/>
            <w10:wrap type="none"/>
          </v:rect>
        </w:pict>
      </w:r>
      <w:r>
        <w:rPr/>
        <w:pict>
          <v:rect style="position:absolute;margin-left:437.700989pt;margin-top:443.341003pt;width:47.22pt;height:.84pt;mso-position-horizontal-relative:page;mso-position-vertical-relative:page;z-index:-28294656" id="docshape438" filled="true" fillcolor="#231f20" stroked="false">
            <v:fill type="solid"/>
            <w10:wrap type="none"/>
          </v:rect>
        </w:pict>
      </w:r>
      <w:r>
        <w:rPr/>
        <w:pict>
          <v:rect style="position:absolute;margin-left:493.080994pt;margin-top:443.341003pt;width:47.16pt;height:.84pt;mso-position-horizontal-relative:page;mso-position-vertical-relative:page;z-index:-28294144" id="docshape439" filled="true" fillcolor="#231f20" stroked="false">
            <v:fill type="solid"/>
            <w10:wrap type="none"/>
          </v:rect>
        </w:pict>
      </w:r>
      <w:r>
        <w:rPr>
          <w:color w:val="231F20"/>
        </w:rPr>
        <w:t>Schedule</w:t>
      </w:r>
      <w:r>
        <w:rPr>
          <w:color w:val="231F20"/>
          <w:spacing w:val="-4"/>
        </w:rPr>
        <w:t> </w:t>
      </w:r>
      <w:r>
        <w:rPr>
          <w:color w:val="231F20"/>
        </w:rPr>
        <w:t>of</w:t>
      </w:r>
      <w:r>
        <w:rPr>
          <w:color w:val="231F20"/>
          <w:spacing w:val="-4"/>
        </w:rPr>
        <w:t> </w:t>
      </w:r>
      <w:r>
        <w:rPr>
          <w:color w:val="231F20"/>
        </w:rPr>
        <w:t>Changes</w:t>
      </w:r>
      <w:r>
        <w:rPr>
          <w:color w:val="231F20"/>
          <w:spacing w:val="-4"/>
        </w:rPr>
        <w:t> </w:t>
      </w:r>
      <w:r>
        <w:rPr>
          <w:color w:val="231F20"/>
        </w:rPr>
        <w:t>in</w:t>
      </w:r>
      <w:r>
        <w:rPr>
          <w:color w:val="231F20"/>
          <w:spacing w:val="-4"/>
        </w:rPr>
        <w:t> </w:t>
      </w:r>
      <w:r>
        <w:rPr>
          <w:color w:val="231F20"/>
        </w:rPr>
        <w:t>Net</w:t>
      </w:r>
      <w:r>
        <w:rPr>
          <w:color w:val="231F20"/>
          <w:spacing w:val="-4"/>
        </w:rPr>
        <w:t> </w:t>
      </w:r>
      <w:r>
        <w:rPr>
          <w:color w:val="231F20"/>
        </w:rPr>
        <w:t>OPEB</w:t>
      </w:r>
      <w:r>
        <w:rPr>
          <w:color w:val="231F20"/>
          <w:spacing w:val="-6"/>
        </w:rPr>
        <w:t> </w:t>
      </w:r>
      <w:r>
        <w:rPr>
          <w:color w:val="231F20"/>
        </w:rPr>
        <w:t>Liability</w:t>
      </w:r>
      <w:r>
        <w:rPr>
          <w:color w:val="231F20"/>
          <w:spacing w:val="-4"/>
        </w:rPr>
        <w:t> </w:t>
      </w:r>
      <w:r>
        <w:rPr>
          <w:color w:val="231F20"/>
        </w:rPr>
        <w:t>and</w:t>
      </w:r>
      <w:r>
        <w:rPr>
          <w:color w:val="231F20"/>
          <w:spacing w:val="-4"/>
        </w:rPr>
        <w:t> </w:t>
      </w:r>
      <w:r>
        <w:rPr>
          <w:color w:val="231F20"/>
        </w:rPr>
        <w:t>Related</w:t>
      </w:r>
      <w:r>
        <w:rPr>
          <w:color w:val="231F20"/>
          <w:spacing w:val="-4"/>
        </w:rPr>
        <w:t> </w:t>
      </w:r>
      <w:r>
        <w:rPr>
          <w:color w:val="231F20"/>
        </w:rPr>
        <w:t>Ratios Last 10 Fiscal Years*</w:t>
      </w:r>
    </w:p>
    <w:p>
      <w:pPr>
        <w:pStyle w:val="BodyText"/>
        <w:spacing w:line="276" w:lineRule="auto" w:before="578"/>
        <w:ind w:left="160" w:right="178"/>
      </w:pPr>
      <w:r>
        <w:rPr>
          <w:color w:val="231F20"/>
        </w:rPr>
        <w:t>The</w:t>
      </w:r>
      <w:r>
        <w:rPr>
          <w:color w:val="231F20"/>
          <w:spacing w:val="-3"/>
        </w:rPr>
        <w:t> </w:t>
      </w:r>
      <w:r>
        <w:rPr>
          <w:color w:val="231F20"/>
        </w:rPr>
        <w:t>schedule</w:t>
      </w:r>
      <w:r>
        <w:rPr>
          <w:color w:val="231F20"/>
          <w:spacing w:val="-3"/>
        </w:rPr>
        <w:t> </w:t>
      </w:r>
      <w:r>
        <w:rPr>
          <w:color w:val="231F20"/>
        </w:rPr>
        <w:t>of</w:t>
      </w:r>
      <w:r>
        <w:rPr>
          <w:color w:val="231F20"/>
          <w:spacing w:val="-3"/>
        </w:rPr>
        <w:t> </w:t>
      </w:r>
      <w:r>
        <w:rPr>
          <w:color w:val="231F20"/>
        </w:rPr>
        <w:t>changes</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Institute’s</w:t>
      </w:r>
      <w:r>
        <w:rPr>
          <w:color w:val="231F20"/>
          <w:spacing w:val="-3"/>
        </w:rPr>
        <w:t> </w:t>
      </w:r>
      <w:r>
        <w:rPr>
          <w:color w:val="231F20"/>
        </w:rPr>
        <w:t>net</w:t>
      </w:r>
      <w:r>
        <w:rPr>
          <w:color w:val="231F20"/>
          <w:spacing w:val="-3"/>
        </w:rPr>
        <w:t> </w:t>
      </w:r>
      <w:r>
        <w:rPr>
          <w:color w:val="231F20"/>
        </w:rPr>
        <w:t>OPEB</w:t>
      </w:r>
      <w:r>
        <w:rPr>
          <w:color w:val="231F20"/>
          <w:spacing w:val="-3"/>
        </w:rPr>
        <w:t> </w:t>
      </w:r>
      <w:r>
        <w:rPr>
          <w:color w:val="231F20"/>
        </w:rPr>
        <w:t>liability</w:t>
      </w:r>
      <w:r>
        <w:rPr>
          <w:color w:val="231F20"/>
          <w:spacing w:val="-3"/>
        </w:rPr>
        <w:t> </w:t>
      </w:r>
      <w:r>
        <w:rPr>
          <w:color w:val="231F20"/>
        </w:rPr>
        <w:t>and</w:t>
      </w:r>
      <w:r>
        <w:rPr>
          <w:color w:val="231F20"/>
          <w:spacing w:val="-3"/>
        </w:rPr>
        <w:t> </w:t>
      </w:r>
      <w:r>
        <w:rPr>
          <w:color w:val="231F20"/>
        </w:rPr>
        <w:t>related</w:t>
      </w:r>
      <w:r>
        <w:rPr>
          <w:color w:val="231F20"/>
          <w:spacing w:val="-3"/>
        </w:rPr>
        <w:t> </w:t>
      </w:r>
      <w:r>
        <w:rPr>
          <w:color w:val="231F20"/>
        </w:rPr>
        <w:t>ratios</w:t>
      </w:r>
      <w:r>
        <w:rPr>
          <w:color w:val="231F20"/>
          <w:spacing w:val="-3"/>
        </w:rPr>
        <w:t> </w:t>
      </w:r>
      <w:r>
        <w:rPr>
          <w:color w:val="231F20"/>
        </w:rPr>
        <w:t>presents</w:t>
      </w:r>
      <w:r>
        <w:rPr>
          <w:color w:val="231F20"/>
          <w:spacing w:val="-3"/>
        </w:rPr>
        <w:t> </w:t>
      </w:r>
      <w:r>
        <w:rPr>
          <w:color w:val="231F20"/>
        </w:rPr>
        <w:t>multiyear</w:t>
      </w:r>
      <w:r>
        <w:rPr>
          <w:color w:val="231F20"/>
          <w:spacing w:val="-3"/>
        </w:rPr>
        <w:t> </w:t>
      </w:r>
      <w:r>
        <w:rPr>
          <w:color w:val="231F20"/>
        </w:rPr>
        <w:t>trend information</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last</w:t>
      </w:r>
      <w:r>
        <w:rPr>
          <w:color w:val="231F20"/>
          <w:spacing w:val="-1"/>
        </w:rPr>
        <w:t> </w:t>
      </w:r>
      <w:r>
        <w:rPr>
          <w:color w:val="231F20"/>
        </w:rPr>
        <w:t>10</w:t>
      </w:r>
      <w:r>
        <w:rPr>
          <w:color w:val="231F20"/>
          <w:spacing w:val="-1"/>
        </w:rPr>
        <w:t> </w:t>
      </w:r>
      <w:r>
        <w:rPr>
          <w:color w:val="231F20"/>
        </w:rPr>
        <w:t>fiscal</w:t>
      </w:r>
      <w:r>
        <w:rPr>
          <w:color w:val="231F20"/>
          <w:spacing w:val="-1"/>
        </w:rPr>
        <w:t> </w:t>
      </w:r>
      <w:r>
        <w:rPr>
          <w:color w:val="231F20"/>
        </w:rPr>
        <w:t>years.</w:t>
      </w:r>
      <w:r>
        <w:rPr>
          <w:color w:val="231F20"/>
          <w:spacing w:val="-1"/>
        </w:rPr>
        <w:t> </w:t>
      </w:r>
      <w:r>
        <w:rPr>
          <w:color w:val="231F20"/>
        </w:rPr>
        <w:t>Fiscal</w:t>
      </w:r>
      <w:r>
        <w:rPr>
          <w:color w:val="231F20"/>
          <w:spacing w:val="-1"/>
        </w:rPr>
        <w:t> </w:t>
      </w:r>
      <w:r>
        <w:rPr>
          <w:color w:val="231F20"/>
        </w:rPr>
        <w:t>year</w:t>
      </w:r>
      <w:r>
        <w:rPr>
          <w:color w:val="231F20"/>
          <w:spacing w:val="-1"/>
        </w:rPr>
        <w:t> </w:t>
      </w:r>
      <w:r>
        <w:rPr>
          <w:color w:val="231F20"/>
        </w:rPr>
        <w:t>2017</w:t>
      </w:r>
      <w:r>
        <w:rPr>
          <w:color w:val="231F20"/>
          <w:spacing w:val="-1"/>
        </w:rPr>
        <w:t> </w:t>
      </w:r>
      <w:r>
        <w:rPr>
          <w:color w:val="231F20"/>
        </w:rPr>
        <w:t>was</w:t>
      </w:r>
      <w:r>
        <w:rPr>
          <w:color w:val="231F20"/>
          <w:spacing w:val="-1"/>
        </w:rPr>
        <w:t> </w:t>
      </w:r>
      <w:r>
        <w:rPr>
          <w:color w:val="231F20"/>
        </w:rPr>
        <w:t>the</w:t>
      </w:r>
      <w:r>
        <w:rPr>
          <w:color w:val="231F20"/>
          <w:spacing w:val="-1"/>
        </w:rPr>
        <w:t> </w:t>
      </w:r>
      <w:r>
        <w:rPr>
          <w:color w:val="231F20"/>
        </w:rPr>
        <w:t>first year</w:t>
      </w:r>
      <w:r>
        <w:rPr>
          <w:color w:val="231F20"/>
          <w:spacing w:val="-1"/>
        </w:rPr>
        <w:t> </w:t>
      </w:r>
      <w:r>
        <w:rPr>
          <w:color w:val="231F20"/>
        </w:rPr>
        <w:t>of</w:t>
      </w:r>
      <w:r>
        <w:rPr>
          <w:color w:val="231F20"/>
          <w:spacing w:val="-1"/>
        </w:rPr>
        <w:t> </w:t>
      </w:r>
      <w:r>
        <w:rPr>
          <w:color w:val="231F20"/>
        </w:rPr>
        <w:t>implementation;</w:t>
      </w:r>
      <w:r>
        <w:rPr>
          <w:color w:val="231F20"/>
          <w:spacing w:val="-1"/>
        </w:rPr>
        <w:t> </w:t>
      </w:r>
      <w:r>
        <w:rPr>
          <w:color w:val="231F20"/>
        </w:rPr>
        <w:t>therefore, only five years are shown. Until a full 10-year trend is compiled, information for those years for which information is available will be presented.</w:t>
      </w:r>
    </w:p>
    <w:p>
      <w:pPr>
        <w:pStyle w:val="BodyText"/>
        <w:rPr>
          <w:sz w:val="25"/>
        </w:rPr>
      </w:pPr>
    </w:p>
    <w:tbl>
      <w:tblPr>
        <w:tblW w:w="0" w:type="auto"/>
        <w:jc w:val="left"/>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2"/>
        <w:gridCol w:w="943"/>
        <w:gridCol w:w="163"/>
        <w:gridCol w:w="944"/>
        <w:gridCol w:w="162"/>
        <w:gridCol w:w="944"/>
        <w:gridCol w:w="162"/>
        <w:gridCol w:w="944"/>
        <w:gridCol w:w="162"/>
        <w:gridCol w:w="944"/>
        <w:gridCol w:w="162"/>
        <w:gridCol w:w="943"/>
      </w:tblGrid>
      <w:tr>
        <w:trPr>
          <w:trHeight w:val="165" w:hRule="atLeast"/>
        </w:trPr>
        <w:tc>
          <w:tcPr>
            <w:tcW w:w="2902" w:type="dxa"/>
          </w:tcPr>
          <w:p>
            <w:pPr>
              <w:pStyle w:val="TableParagraph"/>
              <w:rPr>
                <w:rFonts w:ascii="Times New Roman"/>
                <w:sz w:val="10"/>
              </w:rPr>
            </w:pPr>
          </w:p>
        </w:tc>
        <w:tc>
          <w:tcPr>
            <w:tcW w:w="943" w:type="dxa"/>
            <w:tcBorders>
              <w:bottom w:val="single" w:sz="8" w:space="0" w:color="231F20"/>
            </w:tcBorders>
          </w:tcPr>
          <w:p>
            <w:pPr>
              <w:pStyle w:val="TableParagraph"/>
              <w:spacing w:line="145" w:lineRule="exact"/>
              <w:ind w:left="325"/>
              <w:rPr>
                <w:sz w:val="14"/>
              </w:rPr>
            </w:pPr>
            <w:r>
              <w:rPr>
                <w:color w:val="231F20"/>
                <w:spacing w:val="-4"/>
                <w:sz w:val="14"/>
              </w:rPr>
              <w:t>2022</w:t>
            </w:r>
          </w:p>
        </w:tc>
        <w:tc>
          <w:tcPr>
            <w:tcW w:w="163" w:type="dxa"/>
          </w:tcPr>
          <w:p>
            <w:pPr>
              <w:pStyle w:val="TableParagraph"/>
              <w:rPr>
                <w:rFonts w:ascii="Times New Roman"/>
                <w:sz w:val="10"/>
              </w:rPr>
            </w:pPr>
          </w:p>
        </w:tc>
        <w:tc>
          <w:tcPr>
            <w:tcW w:w="944" w:type="dxa"/>
            <w:tcBorders>
              <w:bottom w:val="single" w:sz="8" w:space="0" w:color="231F20"/>
            </w:tcBorders>
          </w:tcPr>
          <w:p>
            <w:pPr>
              <w:pStyle w:val="TableParagraph"/>
              <w:spacing w:line="145" w:lineRule="exact"/>
              <w:ind w:left="326"/>
              <w:rPr>
                <w:sz w:val="14"/>
              </w:rPr>
            </w:pPr>
            <w:r>
              <w:rPr>
                <w:color w:val="231F20"/>
                <w:spacing w:val="-4"/>
                <w:sz w:val="14"/>
              </w:rPr>
              <w:t>2021</w:t>
            </w:r>
          </w:p>
        </w:tc>
        <w:tc>
          <w:tcPr>
            <w:tcW w:w="162" w:type="dxa"/>
          </w:tcPr>
          <w:p>
            <w:pPr>
              <w:pStyle w:val="TableParagraph"/>
              <w:rPr>
                <w:rFonts w:ascii="Times New Roman"/>
                <w:sz w:val="10"/>
              </w:rPr>
            </w:pPr>
          </w:p>
        </w:tc>
        <w:tc>
          <w:tcPr>
            <w:tcW w:w="944" w:type="dxa"/>
            <w:tcBorders>
              <w:bottom w:val="single" w:sz="8" w:space="0" w:color="231F20"/>
            </w:tcBorders>
          </w:tcPr>
          <w:p>
            <w:pPr>
              <w:pStyle w:val="TableParagraph"/>
              <w:spacing w:line="145" w:lineRule="exact"/>
              <w:ind w:left="327"/>
              <w:rPr>
                <w:sz w:val="14"/>
              </w:rPr>
            </w:pPr>
            <w:r>
              <w:rPr>
                <w:color w:val="231F20"/>
                <w:spacing w:val="-4"/>
                <w:sz w:val="14"/>
              </w:rPr>
              <w:t>2020</w:t>
            </w:r>
          </w:p>
        </w:tc>
        <w:tc>
          <w:tcPr>
            <w:tcW w:w="162" w:type="dxa"/>
          </w:tcPr>
          <w:p>
            <w:pPr>
              <w:pStyle w:val="TableParagraph"/>
              <w:rPr>
                <w:rFonts w:ascii="Times New Roman"/>
                <w:sz w:val="10"/>
              </w:rPr>
            </w:pPr>
          </w:p>
        </w:tc>
        <w:tc>
          <w:tcPr>
            <w:tcW w:w="944" w:type="dxa"/>
            <w:tcBorders>
              <w:bottom w:val="single" w:sz="8" w:space="0" w:color="231F20"/>
            </w:tcBorders>
          </w:tcPr>
          <w:p>
            <w:pPr>
              <w:pStyle w:val="TableParagraph"/>
              <w:spacing w:line="145" w:lineRule="exact"/>
              <w:ind w:left="327"/>
              <w:rPr>
                <w:sz w:val="14"/>
              </w:rPr>
            </w:pPr>
            <w:r>
              <w:rPr>
                <w:color w:val="231F20"/>
                <w:spacing w:val="-4"/>
                <w:sz w:val="14"/>
              </w:rPr>
              <w:t>2019</w:t>
            </w:r>
          </w:p>
        </w:tc>
        <w:tc>
          <w:tcPr>
            <w:tcW w:w="162" w:type="dxa"/>
          </w:tcPr>
          <w:p>
            <w:pPr>
              <w:pStyle w:val="TableParagraph"/>
              <w:rPr>
                <w:rFonts w:ascii="Times New Roman"/>
                <w:sz w:val="10"/>
              </w:rPr>
            </w:pPr>
          </w:p>
        </w:tc>
        <w:tc>
          <w:tcPr>
            <w:tcW w:w="944" w:type="dxa"/>
            <w:tcBorders>
              <w:bottom w:val="single" w:sz="8" w:space="0" w:color="231F20"/>
            </w:tcBorders>
          </w:tcPr>
          <w:p>
            <w:pPr>
              <w:pStyle w:val="TableParagraph"/>
              <w:spacing w:line="145" w:lineRule="exact"/>
              <w:ind w:left="328"/>
              <w:rPr>
                <w:sz w:val="14"/>
              </w:rPr>
            </w:pPr>
            <w:r>
              <w:rPr>
                <w:color w:val="231F20"/>
                <w:spacing w:val="-4"/>
                <w:sz w:val="14"/>
              </w:rPr>
              <w:t>2018</w:t>
            </w:r>
          </w:p>
        </w:tc>
        <w:tc>
          <w:tcPr>
            <w:tcW w:w="162" w:type="dxa"/>
          </w:tcPr>
          <w:p>
            <w:pPr>
              <w:pStyle w:val="TableParagraph"/>
              <w:rPr>
                <w:rFonts w:ascii="Times New Roman"/>
                <w:sz w:val="10"/>
              </w:rPr>
            </w:pPr>
          </w:p>
        </w:tc>
        <w:tc>
          <w:tcPr>
            <w:tcW w:w="943" w:type="dxa"/>
            <w:tcBorders>
              <w:bottom w:val="single" w:sz="8" w:space="0" w:color="231F20"/>
            </w:tcBorders>
          </w:tcPr>
          <w:p>
            <w:pPr>
              <w:pStyle w:val="TableParagraph"/>
              <w:spacing w:line="145" w:lineRule="exact"/>
              <w:ind w:left="328"/>
              <w:rPr>
                <w:sz w:val="14"/>
              </w:rPr>
            </w:pPr>
            <w:r>
              <w:rPr>
                <w:color w:val="231F20"/>
                <w:spacing w:val="-4"/>
                <w:sz w:val="14"/>
              </w:rPr>
              <w:t>2017</w:t>
            </w:r>
          </w:p>
        </w:tc>
      </w:tr>
      <w:tr>
        <w:trPr>
          <w:trHeight w:val="370" w:hRule="atLeast"/>
        </w:trPr>
        <w:tc>
          <w:tcPr>
            <w:tcW w:w="2902" w:type="dxa"/>
          </w:tcPr>
          <w:p>
            <w:pPr>
              <w:pStyle w:val="TableParagraph"/>
              <w:spacing w:line="160" w:lineRule="exact"/>
              <w:ind w:left="50"/>
              <w:rPr>
                <w:sz w:val="14"/>
              </w:rPr>
            </w:pPr>
            <w:r>
              <w:rPr>
                <w:color w:val="231F20"/>
                <w:sz w:val="14"/>
              </w:rPr>
              <w:t>Total</w:t>
            </w:r>
            <w:r>
              <w:rPr>
                <w:color w:val="231F20"/>
                <w:spacing w:val="-10"/>
                <w:sz w:val="14"/>
              </w:rPr>
              <w:t> </w:t>
            </w:r>
            <w:r>
              <w:rPr>
                <w:color w:val="231F20"/>
                <w:sz w:val="14"/>
              </w:rPr>
              <w:t>OPEB</w:t>
            </w:r>
            <w:r>
              <w:rPr>
                <w:color w:val="231F20"/>
                <w:spacing w:val="-8"/>
                <w:sz w:val="14"/>
              </w:rPr>
              <w:t> </w:t>
            </w:r>
            <w:r>
              <w:rPr>
                <w:color w:val="231F20"/>
                <w:spacing w:val="-2"/>
                <w:sz w:val="14"/>
              </w:rPr>
              <w:t>Liability</w:t>
            </w:r>
          </w:p>
          <w:p>
            <w:pPr>
              <w:pStyle w:val="TableParagraph"/>
              <w:spacing w:line="159" w:lineRule="exact" w:before="31"/>
              <w:ind w:left="171"/>
              <w:rPr>
                <w:sz w:val="14"/>
              </w:rPr>
            </w:pPr>
            <w:r>
              <w:rPr>
                <w:color w:val="231F20"/>
                <w:w w:val="95"/>
                <w:sz w:val="14"/>
              </w:rPr>
              <w:t>Service</w:t>
            </w:r>
            <w:r>
              <w:rPr>
                <w:color w:val="231F20"/>
                <w:spacing w:val="13"/>
                <w:sz w:val="14"/>
              </w:rPr>
              <w:t> </w:t>
            </w:r>
            <w:r>
              <w:rPr>
                <w:color w:val="231F20"/>
                <w:spacing w:val="-4"/>
                <w:sz w:val="14"/>
              </w:rPr>
              <w:t>cost</w:t>
            </w:r>
          </w:p>
        </w:tc>
        <w:tc>
          <w:tcPr>
            <w:tcW w:w="943" w:type="dxa"/>
            <w:tcBorders>
              <w:top w:val="single" w:sz="8" w:space="0" w:color="231F20"/>
            </w:tcBorders>
          </w:tcPr>
          <w:p>
            <w:pPr>
              <w:pStyle w:val="TableParagraph"/>
              <w:spacing w:before="7"/>
              <w:rPr>
                <w:sz w:val="16"/>
              </w:rPr>
            </w:pPr>
          </w:p>
          <w:p>
            <w:pPr>
              <w:pStyle w:val="TableParagraph"/>
              <w:spacing w:line="159" w:lineRule="exact"/>
              <w:ind w:left="73"/>
              <w:rPr>
                <w:sz w:val="14"/>
              </w:rPr>
            </w:pPr>
            <w:r>
              <w:rPr>
                <w:color w:val="231F20"/>
                <w:sz w:val="14"/>
              </w:rPr>
              <w:t>$</w:t>
            </w:r>
            <w:r>
              <w:rPr>
                <w:color w:val="231F20"/>
                <w:spacing w:val="62"/>
                <w:sz w:val="14"/>
              </w:rPr>
              <w:t> </w:t>
            </w:r>
            <w:r>
              <w:rPr>
                <w:color w:val="231F20"/>
                <w:spacing w:val="-2"/>
                <w:sz w:val="14"/>
              </w:rPr>
              <w:t>2,993,435</w:t>
            </w:r>
          </w:p>
        </w:tc>
        <w:tc>
          <w:tcPr>
            <w:tcW w:w="163" w:type="dxa"/>
          </w:tcPr>
          <w:p>
            <w:pPr>
              <w:pStyle w:val="TableParagraph"/>
              <w:rPr>
                <w:rFonts w:ascii="Times New Roman"/>
                <w:sz w:val="14"/>
              </w:rPr>
            </w:pPr>
          </w:p>
        </w:tc>
        <w:tc>
          <w:tcPr>
            <w:tcW w:w="944" w:type="dxa"/>
            <w:tcBorders>
              <w:top w:val="single" w:sz="8" w:space="0" w:color="231F20"/>
            </w:tcBorders>
          </w:tcPr>
          <w:p>
            <w:pPr>
              <w:pStyle w:val="TableParagraph"/>
              <w:spacing w:before="7"/>
              <w:rPr>
                <w:sz w:val="16"/>
              </w:rPr>
            </w:pPr>
          </w:p>
          <w:p>
            <w:pPr>
              <w:pStyle w:val="TableParagraph"/>
              <w:spacing w:line="159" w:lineRule="exact"/>
              <w:ind w:right="72"/>
              <w:jc w:val="right"/>
              <w:rPr>
                <w:sz w:val="14"/>
              </w:rPr>
            </w:pPr>
            <w:r>
              <w:rPr>
                <w:color w:val="231F20"/>
                <w:sz w:val="14"/>
              </w:rPr>
              <w:t>$</w:t>
            </w:r>
            <w:r>
              <w:rPr>
                <w:color w:val="231F20"/>
                <w:spacing w:val="64"/>
                <w:sz w:val="14"/>
              </w:rPr>
              <w:t> </w:t>
            </w:r>
            <w:r>
              <w:rPr>
                <w:color w:val="231F20"/>
                <w:spacing w:val="-2"/>
                <w:sz w:val="14"/>
              </w:rPr>
              <w:t>2,182,385</w:t>
            </w:r>
          </w:p>
        </w:tc>
        <w:tc>
          <w:tcPr>
            <w:tcW w:w="162" w:type="dxa"/>
          </w:tcPr>
          <w:p>
            <w:pPr>
              <w:pStyle w:val="TableParagraph"/>
              <w:rPr>
                <w:rFonts w:ascii="Times New Roman"/>
                <w:sz w:val="14"/>
              </w:rPr>
            </w:pPr>
          </w:p>
        </w:tc>
        <w:tc>
          <w:tcPr>
            <w:tcW w:w="944" w:type="dxa"/>
            <w:tcBorders>
              <w:top w:val="single" w:sz="8" w:space="0" w:color="231F20"/>
            </w:tcBorders>
          </w:tcPr>
          <w:p>
            <w:pPr>
              <w:pStyle w:val="TableParagraph"/>
              <w:spacing w:before="7"/>
              <w:rPr>
                <w:sz w:val="16"/>
              </w:rPr>
            </w:pPr>
          </w:p>
          <w:p>
            <w:pPr>
              <w:pStyle w:val="TableParagraph"/>
              <w:spacing w:line="159" w:lineRule="exact"/>
              <w:ind w:right="71"/>
              <w:jc w:val="right"/>
              <w:rPr>
                <w:sz w:val="14"/>
              </w:rPr>
            </w:pPr>
            <w:r>
              <w:rPr>
                <w:color w:val="231F20"/>
                <w:sz w:val="14"/>
              </w:rPr>
              <w:t>$</w:t>
            </w:r>
            <w:r>
              <w:rPr>
                <w:color w:val="231F20"/>
                <w:spacing w:val="62"/>
                <w:sz w:val="14"/>
              </w:rPr>
              <w:t> </w:t>
            </w:r>
            <w:r>
              <w:rPr>
                <w:color w:val="231F20"/>
                <w:spacing w:val="-2"/>
                <w:sz w:val="14"/>
              </w:rPr>
              <w:t>1,999,196</w:t>
            </w:r>
          </w:p>
        </w:tc>
        <w:tc>
          <w:tcPr>
            <w:tcW w:w="162" w:type="dxa"/>
          </w:tcPr>
          <w:p>
            <w:pPr>
              <w:pStyle w:val="TableParagraph"/>
              <w:rPr>
                <w:rFonts w:ascii="Times New Roman"/>
                <w:sz w:val="14"/>
              </w:rPr>
            </w:pPr>
          </w:p>
        </w:tc>
        <w:tc>
          <w:tcPr>
            <w:tcW w:w="944" w:type="dxa"/>
            <w:tcBorders>
              <w:top w:val="single" w:sz="8" w:space="0" w:color="231F20"/>
            </w:tcBorders>
          </w:tcPr>
          <w:p>
            <w:pPr>
              <w:pStyle w:val="TableParagraph"/>
              <w:spacing w:before="7"/>
              <w:rPr>
                <w:sz w:val="16"/>
              </w:rPr>
            </w:pPr>
          </w:p>
          <w:p>
            <w:pPr>
              <w:pStyle w:val="TableParagraph"/>
              <w:spacing w:line="159" w:lineRule="exact"/>
              <w:ind w:left="76"/>
              <w:rPr>
                <w:sz w:val="14"/>
              </w:rPr>
            </w:pPr>
            <w:r>
              <w:rPr>
                <w:color w:val="231F20"/>
                <w:sz w:val="14"/>
              </w:rPr>
              <w:t>$</w:t>
            </w:r>
            <w:r>
              <w:rPr>
                <w:color w:val="231F20"/>
                <w:spacing w:val="62"/>
                <w:sz w:val="14"/>
              </w:rPr>
              <w:t> </w:t>
            </w:r>
            <w:r>
              <w:rPr>
                <w:color w:val="231F20"/>
                <w:spacing w:val="-2"/>
                <w:sz w:val="14"/>
              </w:rPr>
              <w:t>2,317,188</w:t>
            </w:r>
          </w:p>
        </w:tc>
        <w:tc>
          <w:tcPr>
            <w:tcW w:w="162" w:type="dxa"/>
          </w:tcPr>
          <w:p>
            <w:pPr>
              <w:pStyle w:val="TableParagraph"/>
              <w:rPr>
                <w:rFonts w:ascii="Times New Roman"/>
                <w:sz w:val="14"/>
              </w:rPr>
            </w:pPr>
          </w:p>
        </w:tc>
        <w:tc>
          <w:tcPr>
            <w:tcW w:w="944" w:type="dxa"/>
            <w:tcBorders>
              <w:top w:val="single" w:sz="8" w:space="0" w:color="231F20"/>
            </w:tcBorders>
          </w:tcPr>
          <w:p>
            <w:pPr>
              <w:pStyle w:val="TableParagraph"/>
              <w:spacing w:before="7"/>
              <w:rPr>
                <w:sz w:val="16"/>
              </w:rPr>
            </w:pPr>
          </w:p>
          <w:p>
            <w:pPr>
              <w:pStyle w:val="TableParagraph"/>
              <w:spacing w:line="159" w:lineRule="exact"/>
              <w:ind w:right="69"/>
              <w:jc w:val="right"/>
              <w:rPr>
                <w:sz w:val="14"/>
              </w:rPr>
            </w:pPr>
            <w:r>
              <w:rPr>
                <w:color w:val="231F20"/>
                <w:sz w:val="14"/>
              </w:rPr>
              <w:t>$</w:t>
            </w:r>
            <w:r>
              <w:rPr>
                <w:color w:val="231F20"/>
                <w:spacing w:val="62"/>
                <w:sz w:val="14"/>
              </w:rPr>
              <w:t> </w:t>
            </w:r>
            <w:r>
              <w:rPr>
                <w:color w:val="231F20"/>
                <w:spacing w:val="-2"/>
                <w:sz w:val="14"/>
              </w:rPr>
              <w:t>2,697,731</w:t>
            </w:r>
          </w:p>
        </w:tc>
        <w:tc>
          <w:tcPr>
            <w:tcW w:w="162" w:type="dxa"/>
          </w:tcPr>
          <w:p>
            <w:pPr>
              <w:pStyle w:val="TableParagraph"/>
              <w:rPr>
                <w:rFonts w:ascii="Times New Roman"/>
                <w:sz w:val="14"/>
              </w:rPr>
            </w:pPr>
          </w:p>
        </w:tc>
        <w:tc>
          <w:tcPr>
            <w:tcW w:w="943" w:type="dxa"/>
            <w:tcBorders>
              <w:top w:val="single" w:sz="8" w:space="0" w:color="231F20"/>
            </w:tcBorders>
          </w:tcPr>
          <w:p>
            <w:pPr>
              <w:pStyle w:val="TableParagraph"/>
              <w:spacing w:before="7"/>
              <w:rPr>
                <w:sz w:val="16"/>
              </w:rPr>
            </w:pPr>
          </w:p>
          <w:p>
            <w:pPr>
              <w:pStyle w:val="TableParagraph"/>
              <w:spacing w:line="159" w:lineRule="exact"/>
              <w:ind w:right="68"/>
              <w:jc w:val="right"/>
              <w:rPr>
                <w:sz w:val="14"/>
              </w:rPr>
            </w:pPr>
            <w:r>
              <w:rPr>
                <w:color w:val="231F20"/>
                <w:sz w:val="14"/>
              </w:rPr>
              <w:t>$</w:t>
            </w:r>
            <w:r>
              <w:rPr>
                <w:color w:val="231F20"/>
                <w:spacing w:val="62"/>
                <w:sz w:val="14"/>
              </w:rPr>
              <w:t> </w:t>
            </w:r>
            <w:r>
              <w:rPr>
                <w:color w:val="231F20"/>
                <w:spacing w:val="-2"/>
                <w:sz w:val="14"/>
              </w:rPr>
              <w:t>2,149,935</w:t>
            </w:r>
          </w:p>
        </w:tc>
      </w:tr>
      <w:tr>
        <w:trPr>
          <w:trHeight w:val="191" w:hRule="atLeast"/>
        </w:trPr>
        <w:tc>
          <w:tcPr>
            <w:tcW w:w="2902" w:type="dxa"/>
          </w:tcPr>
          <w:p>
            <w:pPr>
              <w:pStyle w:val="TableParagraph"/>
              <w:spacing w:line="159" w:lineRule="exact" w:before="12"/>
              <w:ind w:left="171"/>
              <w:rPr>
                <w:sz w:val="14"/>
              </w:rPr>
            </w:pPr>
            <w:r>
              <w:rPr>
                <w:color w:val="231F20"/>
                <w:w w:val="95"/>
                <w:sz w:val="14"/>
              </w:rPr>
              <w:t>Interest</w:t>
            </w:r>
            <w:r>
              <w:rPr>
                <w:color w:val="231F20"/>
                <w:spacing w:val="13"/>
                <w:sz w:val="14"/>
              </w:rPr>
              <w:t> </w:t>
            </w:r>
            <w:r>
              <w:rPr>
                <w:color w:val="231F20"/>
                <w:spacing w:val="-4"/>
                <w:sz w:val="14"/>
              </w:rPr>
              <w:t>cost</w:t>
            </w:r>
          </w:p>
        </w:tc>
        <w:tc>
          <w:tcPr>
            <w:tcW w:w="943" w:type="dxa"/>
          </w:tcPr>
          <w:p>
            <w:pPr>
              <w:pStyle w:val="TableParagraph"/>
              <w:spacing w:line="159" w:lineRule="exact" w:before="12"/>
              <w:ind w:left="256"/>
              <w:rPr>
                <w:sz w:val="14"/>
              </w:rPr>
            </w:pPr>
            <w:r>
              <w:rPr>
                <w:color w:val="231F20"/>
                <w:spacing w:val="-2"/>
                <w:sz w:val="14"/>
              </w:rPr>
              <w:t>1,377,260</w:t>
            </w:r>
          </w:p>
        </w:tc>
        <w:tc>
          <w:tcPr>
            <w:tcW w:w="163" w:type="dxa"/>
          </w:tcPr>
          <w:p>
            <w:pPr>
              <w:pStyle w:val="TableParagraph"/>
              <w:rPr>
                <w:rFonts w:ascii="Times New Roman"/>
                <w:sz w:val="12"/>
              </w:rPr>
            </w:pPr>
          </w:p>
        </w:tc>
        <w:tc>
          <w:tcPr>
            <w:tcW w:w="944" w:type="dxa"/>
          </w:tcPr>
          <w:p>
            <w:pPr>
              <w:pStyle w:val="TableParagraph"/>
              <w:spacing w:line="159" w:lineRule="exact" w:before="12"/>
              <w:ind w:right="71"/>
              <w:jc w:val="right"/>
              <w:rPr>
                <w:sz w:val="14"/>
              </w:rPr>
            </w:pPr>
            <w:r>
              <w:rPr>
                <w:color w:val="231F20"/>
                <w:spacing w:val="-2"/>
                <w:sz w:val="14"/>
              </w:rPr>
              <w:t>1,387,770</w:t>
            </w:r>
          </w:p>
        </w:tc>
        <w:tc>
          <w:tcPr>
            <w:tcW w:w="162" w:type="dxa"/>
          </w:tcPr>
          <w:p>
            <w:pPr>
              <w:pStyle w:val="TableParagraph"/>
              <w:rPr>
                <w:rFonts w:ascii="Times New Roman"/>
                <w:sz w:val="12"/>
              </w:rPr>
            </w:pPr>
          </w:p>
        </w:tc>
        <w:tc>
          <w:tcPr>
            <w:tcW w:w="944" w:type="dxa"/>
          </w:tcPr>
          <w:p>
            <w:pPr>
              <w:pStyle w:val="TableParagraph"/>
              <w:spacing w:line="159" w:lineRule="exact" w:before="12"/>
              <w:ind w:right="71"/>
              <w:jc w:val="right"/>
              <w:rPr>
                <w:sz w:val="14"/>
              </w:rPr>
            </w:pPr>
            <w:r>
              <w:rPr>
                <w:color w:val="231F20"/>
                <w:spacing w:val="-2"/>
                <w:sz w:val="14"/>
              </w:rPr>
              <w:t>1,517,674</w:t>
            </w:r>
          </w:p>
        </w:tc>
        <w:tc>
          <w:tcPr>
            <w:tcW w:w="162" w:type="dxa"/>
          </w:tcPr>
          <w:p>
            <w:pPr>
              <w:pStyle w:val="TableParagraph"/>
              <w:rPr>
                <w:rFonts w:ascii="Times New Roman"/>
                <w:sz w:val="12"/>
              </w:rPr>
            </w:pPr>
          </w:p>
        </w:tc>
        <w:tc>
          <w:tcPr>
            <w:tcW w:w="944" w:type="dxa"/>
          </w:tcPr>
          <w:p>
            <w:pPr>
              <w:pStyle w:val="TableParagraph"/>
              <w:spacing w:line="159" w:lineRule="exact" w:before="12"/>
              <w:ind w:left="258"/>
              <w:rPr>
                <w:sz w:val="14"/>
              </w:rPr>
            </w:pPr>
            <w:r>
              <w:rPr>
                <w:color w:val="231F20"/>
                <w:spacing w:val="-2"/>
                <w:sz w:val="14"/>
              </w:rPr>
              <w:t>1,377,760</w:t>
            </w:r>
          </w:p>
        </w:tc>
        <w:tc>
          <w:tcPr>
            <w:tcW w:w="162" w:type="dxa"/>
          </w:tcPr>
          <w:p>
            <w:pPr>
              <w:pStyle w:val="TableParagraph"/>
              <w:rPr>
                <w:rFonts w:ascii="Times New Roman"/>
                <w:sz w:val="12"/>
              </w:rPr>
            </w:pPr>
          </w:p>
        </w:tc>
        <w:tc>
          <w:tcPr>
            <w:tcW w:w="944" w:type="dxa"/>
          </w:tcPr>
          <w:p>
            <w:pPr>
              <w:pStyle w:val="TableParagraph"/>
              <w:spacing w:line="159" w:lineRule="exact" w:before="12"/>
              <w:ind w:right="69"/>
              <w:jc w:val="right"/>
              <w:rPr>
                <w:sz w:val="14"/>
              </w:rPr>
            </w:pPr>
            <w:r>
              <w:rPr>
                <w:color w:val="231F20"/>
                <w:spacing w:val="-2"/>
                <w:sz w:val="14"/>
              </w:rPr>
              <w:t>1,225,228</w:t>
            </w:r>
          </w:p>
        </w:tc>
        <w:tc>
          <w:tcPr>
            <w:tcW w:w="162" w:type="dxa"/>
          </w:tcPr>
          <w:p>
            <w:pPr>
              <w:pStyle w:val="TableParagraph"/>
              <w:rPr>
                <w:rFonts w:ascii="Times New Roman"/>
                <w:sz w:val="12"/>
              </w:rPr>
            </w:pPr>
          </w:p>
        </w:tc>
        <w:tc>
          <w:tcPr>
            <w:tcW w:w="943" w:type="dxa"/>
          </w:tcPr>
          <w:p>
            <w:pPr>
              <w:pStyle w:val="TableParagraph"/>
              <w:spacing w:line="159" w:lineRule="exact" w:before="12"/>
              <w:ind w:right="67"/>
              <w:jc w:val="right"/>
              <w:rPr>
                <w:sz w:val="14"/>
              </w:rPr>
            </w:pPr>
            <w:r>
              <w:rPr>
                <w:color w:val="231F20"/>
                <w:spacing w:val="-2"/>
                <w:sz w:val="14"/>
              </w:rPr>
              <w:t>1,194,327</w:t>
            </w:r>
          </w:p>
        </w:tc>
      </w:tr>
      <w:tr>
        <w:trPr>
          <w:trHeight w:val="574" w:hRule="atLeast"/>
        </w:trPr>
        <w:tc>
          <w:tcPr>
            <w:tcW w:w="2902" w:type="dxa"/>
          </w:tcPr>
          <w:p>
            <w:pPr>
              <w:pStyle w:val="TableParagraph"/>
              <w:spacing w:line="283" w:lineRule="auto" w:before="12"/>
              <w:ind w:left="171" w:right="500"/>
              <w:rPr>
                <w:sz w:val="14"/>
              </w:rPr>
            </w:pPr>
            <w:r>
              <w:rPr>
                <w:color w:val="231F20"/>
                <w:sz w:val="14"/>
              </w:rPr>
              <w:t>Changes of benefit terms</w:t>
            </w:r>
            <w:r>
              <w:rPr>
                <w:color w:val="231F20"/>
                <w:spacing w:val="40"/>
                <w:sz w:val="14"/>
              </w:rPr>
              <w:t> </w:t>
            </w:r>
            <w:r>
              <w:rPr>
                <w:color w:val="231F20"/>
                <w:spacing w:val="-2"/>
                <w:sz w:val="14"/>
              </w:rPr>
              <w:t>Differences</w:t>
            </w:r>
            <w:r>
              <w:rPr>
                <w:color w:val="231F20"/>
                <w:spacing w:val="-4"/>
                <w:sz w:val="14"/>
              </w:rPr>
              <w:t> </w:t>
            </w:r>
            <w:r>
              <w:rPr>
                <w:color w:val="231F20"/>
                <w:spacing w:val="-2"/>
                <w:sz w:val="14"/>
              </w:rPr>
              <w:t>between</w:t>
            </w:r>
            <w:r>
              <w:rPr>
                <w:color w:val="231F20"/>
                <w:spacing w:val="-4"/>
                <w:sz w:val="14"/>
              </w:rPr>
              <w:t> </w:t>
            </w:r>
            <w:r>
              <w:rPr>
                <w:color w:val="231F20"/>
                <w:spacing w:val="-2"/>
                <w:sz w:val="14"/>
              </w:rPr>
              <w:t>expected</w:t>
            </w:r>
            <w:r>
              <w:rPr>
                <w:color w:val="231F20"/>
                <w:spacing w:val="-4"/>
                <w:sz w:val="14"/>
              </w:rPr>
              <w:t> </w:t>
            </w:r>
            <w:r>
              <w:rPr>
                <w:color w:val="231F20"/>
                <w:spacing w:val="-2"/>
                <w:sz w:val="14"/>
              </w:rPr>
              <w:t>and</w:t>
            </w:r>
          </w:p>
          <w:p>
            <w:pPr>
              <w:pStyle w:val="TableParagraph"/>
              <w:spacing w:line="159" w:lineRule="exact" w:before="3"/>
              <w:ind w:left="171"/>
              <w:rPr>
                <w:sz w:val="14"/>
              </w:rPr>
            </w:pPr>
            <w:r>
              <w:rPr>
                <w:color w:val="231F20"/>
                <w:sz w:val="14"/>
              </w:rPr>
              <w:t>actual</w:t>
            </w:r>
            <w:r>
              <w:rPr>
                <w:color w:val="231F20"/>
                <w:spacing w:val="-9"/>
                <w:sz w:val="14"/>
              </w:rPr>
              <w:t> </w:t>
            </w:r>
            <w:r>
              <w:rPr>
                <w:color w:val="231F20"/>
                <w:spacing w:val="-2"/>
                <w:sz w:val="14"/>
              </w:rPr>
              <w:t>experience</w:t>
            </w:r>
          </w:p>
        </w:tc>
        <w:tc>
          <w:tcPr>
            <w:tcW w:w="943" w:type="dxa"/>
          </w:tcPr>
          <w:p>
            <w:pPr>
              <w:pStyle w:val="TableParagraph"/>
              <w:spacing w:before="12"/>
              <w:ind w:right="71"/>
              <w:jc w:val="right"/>
              <w:rPr>
                <w:sz w:val="14"/>
              </w:rPr>
            </w:pPr>
            <w:r>
              <w:rPr>
                <w:color w:val="231F20"/>
                <w:w w:val="98"/>
                <w:sz w:val="14"/>
              </w:rPr>
              <w:t>-</w:t>
            </w:r>
          </w:p>
          <w:p>
            <w:pPr>
              <w:pStyle w:val="TableParagraph"/>
              <w:spacing w:before="3"/>
              <w:rPr>
                <w:sz w:val="19"/>
              </w:rPr>
            </w:pPr>
          </w:p>
          <w:p>
            <w:pPr>
              <w:pStyle w:val="TableParagraph"/>
              <w:spacing w:line="159" w:lineRule="exact" w:before="1"/>
              <w:ind w:left="178"/>
              <w:rPr>
                <w:sz w:val="14"/>
              </w:rPr>
            </w:pPr>
            <w:r>
              <w:rPr>
                <w:color w:val="231F20"/>
                <w:spacing w:val="-2"/>
                <w:sz w:val="14"/>
              </w:rPr>
              <w:t>12,356,550</w:t>
            </w:r>
          </w:p>
        </w:tc>
        <w:tc>
          <w:tcPr>
            <w:tcW w:w="163" w:type="dxa"/>
          </w:tcPr>
          <w:p>
            <w:pPr>
              <w:pStyle w:val="TableParagraph"/>
              <w:rPr>
                <w:rFonts w:ascii="Times New Roman"/>
                <w:sz w:val="14"/>
              </w:rPr>
            </w:pPr>
          </w:p>
        </w:tc>
        <w:tc>
          <w:tcPr>
            <w:tcW w:w="944" w:type="dxa"/>
          </w:tcPr>
          <w:p>
            <w:pPr>
              <w:pStyle w:val="TableParagraph"/>
              <w:spacing w:before="12"/>
              <w:ind w:left="825"/>
              <w:rPr>
                <w:sz w:val="14"/>
              </w:rPr>
            </w:pPr>
            <w:r>
              <w:rPr>
                <w:color w:val="231F20"/>
                <w:w w:val="98"/>
                <w:sz w:val="14"/>
              </w:rPr>
              <w:t>-</w:t>
            </w:r>
          </w:p>
          <w:p>
            <w:pPr>
              <w:pStyle w:val="TableParagraph"/>
              <w:spacing w:before="3"/>
              <w:rPr>
                <w:sz w:val="19"/>
              </w:rPr>
            </w:pPr>
          </w:p>
          <w:p>
            <w:pPr>
              <w:pStyle w:val="TableParagraph"/>
              <w:spacing w:line="159" w:lineRule="exact" w:before="1"/>
              <w:ind w:left="824"/>
              <w:rPr>
                <w:sz w:val="14"/>
              </w:rPr>
            </w:pPr>
            <w:r>
              <w:rPr>
                <w:color w:val="231F20"/>
                <w:w w:val="98"/>
                <w:sz w:val="14"/>
              </w:rPr>
              <w:t>-</w:t>
            </w:r>
          </w:p>
        </w:tc>
        <w:tc>
          <w:tcPr>
            <w:tcW w:w="162" w:type="dxa"/>
          </w:tcPr>
          <w:p>
            <w:pPr>
              <w:pStyle w:val="TableParagraph"/>
              <w:rPr>
                <w:rFonts w:ascii="Times New Roman"/>
                <w:sz w:val="14"/>
              </w:rPr>
            </w:pPr>
          </w:p>
        </w:tc>
        <w:tc>
          <w:tcPr>
            <w:tcW w:w="944" w:type="dxa"/>
          </w:tcPr>
          <w:p>
            <w:pPr>
              <w:pStyle w:val="TableParagraph"/>
              <w:spacing w:before="12"/>
              <w:ind w:right="70"/>
              <w:jc w:val="right"/>
              <w:rPr>
                <w:sz w:val="14"/>
              </w:rPr>
            </w:pPr>
            <w:r>
              <w:rPr>
                <w:color w:val="231F20"/>
                <w:w w:val="98"/>
                <w:sz w:val="14"/>
              </w:rPr>
              <w:t>-</w:t>
            </w:r>
          </w:p>
          <w:p>
            <w:pPr>
              <w:pStyle w:val="TableParagraph"/>
              <w:spacing w:before="3"/>
              <w:rPr>
                <w:sz w:val="19"/>
              </w:rPr>
            </w:pPr>
          </w:p>
          <w:p>
            <w:pPr>
              <w:pStyle w:val="TableParagraph"/>
              <w:spacing w:line="159" w:lineRule="exact" w:before="1"/>
              <w:ind w:left="212"/>
              <w:rPr>
                <w:sz w:val="14"/>
              </w:rPr>
            </w:pPr>
            <w:r>
              <w:rPr>
                <w:color w:val="231F20"/>
                <w:spacing w:val="-2"/>
                <w:sz w:val="14"/>
              </w:rPr>
              <w:t>(5,897,910)</w:t>
            </w:r>
          </w:p>
        </w:tc>
        <w:tc>
          <w:tcPr>
            <w:tcW w:w="162" w:type="dxa"/>
          </w:tcPr>
          <w:p>
            <w:pPr>
              <w:pStyle w:val="TableParagraph"/>
              <w:rPr>
                <w:rFonts w:ascii="Times New Roman"/>
                <w:sz w:val="14"/>
              </w:rPr>
            </w:pPr>
          </w:p>
        </w:tc>
        <w:tc>
          <w:tcPr>
            <w:tcW w:w="944" w:type="dxa"/>
          </w:tcPr>
          <w:p>
            <w:pPr>
              <w:pStyle w:val="TableParagraph"/>
              <w:spacing w:before="12"/>
              <w:ind w:left="827"/>
              <w:rPr>
                <w:sz w:val="14"/>
              </w:rPr>
            </w:pPr>
            <w:r>
              <w:rPr>
                <w:color w:val="231F20"/>
                <w:w w:val="98"/>
                <w:sz w:val="14"/>
              </w:rPr>
              <w:t>-</w:t>
            </w:r>
          </w:p>
          <w:p>
            <w:pPr>
              <w:pStyle w:val="TableParagraph"/>
              <w:spacing w:before="3"/>
              <w:rPr>
                <w:sz w:val="19"/>
              </w:rPr>
            </w:pPr>
          </w:p>
          <w:p>
            <w:pPr>
              <w:pStyle w:val="TableParagraph"/>
              <w:spacing w:line="159" w:lineRule="exact" w:before="1"/>
              <w:ind w:left="826"/>
              <w:rPr>
                <w:sz w:val="14"/>
              </w:rPr>
            </w:pPr>
            <w:r>
              <w:rPr>
                <w:color w:val="231F20"/>
                <w:w w:val="98"/>
                <w:sz w:val="14"/>
              </w:rPr>
              <w:t>-</w:t>
            </w:r>
          </w:p>
        </w:tc>
        <w:tc>
          <w:tcPr>
            <w:tcW w:w="162" w:type="dxa"/>
          </w:tcPr>
          <w:p>
            <w:pPr>
              <w:pStyle w:val="TableParagraph"/>
              <w:rPr>
                <w:rFonts w:ascii="Times New Roman"/>
                <w:sz w:val="14"/>
              </w:rPr>
            </w:pPr>
          </w:p>
        </w:tc>
        <w:tc>
          <w:tcPr>
            <w:tcW w:w="944" w:type="dxa"/>
          </w:tcPr>
          <w:p>
            <w:pPr>
              <w:pStyle w:val="TableParagraph"/>
              <w:spacing w:before="12"/>
              <w:ind w:left="828"/>
              <w:rPr>
                <w:sz w:val="14"/>
              </w:rPr>
            </w:pPr>
            <w:r>
              <w:rPr>
                <w:color w:val="231F20"/>
                <w:w w:val="98"/>
                <w:sz w:val="14"/>
              </w:rPr>
              <w:t>-</w:t>
            </w:r>
          </w:p>
          <w:p>
            <w:pPr>
              <w:pStyle w:val="TableParagraph"/>
              <w:spacing w:before="3"/>
              <w:rPr>
                <w:sz w:val="19"/>
              </w:rPr>
            </w:pPr>
          </w:p>
          <w:p>
            <w:pPr>
              <w:pStyle w:val="TableParagraph"/>
              <w:spacing w:line="159" w:lineRule="exact" w:before="1"/>
              <w:ind w:left="828"/>
              <w:rPr>
                <w:sz w:val="14"/>
              </w:rPr>
            </w:pPr>
            <w:r>
              <w:rPr>
                <w:color w:val="231F20"/>
                <w:w w:val="98"/>
                <w:sz w:val="14"/>
              </w:rPr>
              <w:t>-</w:t>
            </w:r>
          </w:p>
        </w:tc>
        <w:tc>
          <w:tcPr>
            <w:tcW w:w="162" w:type="dxa"/>
          </w:tcPr>
          <w:p>
            <w:pPr>
              <w:pStyle w:val="TableParagraph"/>
              <w:rPr>
                <w:rFonts w:ascii="Times New Roman"/>
                <w:sz w:val="14"/>
              </w:rPr>
            </w:pPr>
          </w:p>
        </w:tc>
        <w:tc>
          <w:tcPr>
            <w:tcW w:w="943" w:type="dxa"/>
          </w:tcPr>
          <w:p>
            <w:pPr>
              <w:pStyle w:val="TableParagraph"/>
              <w:spacing w:before="12"/>
              <w:ind w:left="828"/>
              <w:rPr>
                <w:sz w:val="14"/>
              </w:rPr>
            </w:pPr>
            <w:r>
              <w:rPr>
                <w:color w:val="231F20"/>
                <w:w w:val="98"/>
                <w:sz w:val="14"/>
              </w:rPr>
              <w:t>-</w:t>
            </w:r>
          </w:p>
          <w:p>
            <w:pPr>
              <w:pStyle w:val="TableParagraph"/>
              <w:spacing w:before="3"/>
              <w:rPr>
                <w:sz w:val="19"/>
              </w:rPr>
            </w:pPr>
          </w:p>
          <w:p>
            <w:pPr>
              <w:pStyle w:val="TableParagraph"/>
              <w:spacing w:line="159" w:lineRule="exact" w:before="1"/>
              <w:ind w:left="828"/>
              <w:rPr>
                <w:sz w:val="14"/>
              </w:rPr>
            </w:pPr>
            <w:r>
              <w:rPr>
                <w:color w:val="231F20"/>
                <w:w w:val="98"/>
                <w:sz w:val="14"/>
              </w:rPr>
              <w:t>-</w:t>
            </w:r>
          </w:p>
        </w:tc>
      </w:tr>
      <w:tr>
        <w:trPr>
          <w:trHeight w:val="191" w:hRule="atLeast"/>
        </w:trPr>
        <w:tc>
          <w:tcPr>
            <w:tcW w:w="2902" w:type="dxa"/>
          </w:tcPr>
          <w:p>
            <w:pPr>
              <w:pStyle w:val="TableParagraph"/>
              <w:spacing w:line="159" w:lineRule="exact" w:before="12"/>
              <w:ind w:left="171"/>
              <w:rPr>
                <w:sz w:val="14"/>
              </w:rPr>
            </w:pPr>
            <w:r>
              <w:rPr>
                <w:color w:val="231F20"/>
                <w:sz w:val="14"/>
              </w:rPr>
              <w:t>Changes</w:t>
            </w:r>
            <w:r>
              <w:rPr>
                <w:color w:val="231F20"/>
                <w:spacing w:val="-8"/>
                <w:sz w:val="14"/>
              </w:rPr>
              <w:t> </w:t>
            </w:r>
            <w:r>
              <w:rPr>
                <w:color w:val="231F20"/>
                <w:sz w:val="14"/>
              </w:rPr>
              <w:t>of</w:t>
            </w:r>
            <w:r>
              <w:rPr>
                <w:color w:val="231F20"/>
                <w:spacing w:val="-8"/>
                <w:sz w:val="14"/>
              </w:rPr>
              <w:t> </w:t>
            </w:r>
            <w:r>
              <w:rPr>
                <w:color w:val="231F20"/>
                <w:spacing w:val="-2"/>
                <w:sz w:val="14"/>
              </w:rPr>
              <w:t>assumptions</w:t>
            </w:r>
          </w:p>
        </w:tc>
        <w:tc>
          <w:tcPr>
            <w:tcW w:w="943" w:type="dxa"/>
          </w:tcPr>
          <w:p>
            <w:pPr>
              <w:pStyle w:val="TableParagraph"/>
              <w:spacing w:line="159" w:lineRule="exact" w:before="12"/>
              <w:ind w:left="255"/>
              <w:rPr>
                <w:sz w:val="14"/>
              </w:rPr>
            </w:pPr>
            <w:r>
              <w:rPr>
                <w:color w:val="231F20"/>
                <w:spacing w:val="-2"/>
                <w:sz w:val="14"/>
              </w:rPr>
              <w:t>7,720,129</w:t>
            </w:r>
          </w:p>
        </w:tc>
        <w:tc>
          <w:tcPr>
            <w:tcW w:w="163" w:type="dxa"/>
          </w:tcPr>
          <w:p>
            <w:pPr>
              <w:pStyle w:val="TableParagraph"/>
              <w:rPr>
                <w:rFonts w:ascii="Times New Roman"/>
                <w:sz w:val="12"/>
              </w:rPr>
            </w:pPr>
          </w:p>
        </w:tc>
        <w:tc>
          <w:tcPr>
            <w:tcW w:w="944" w:type="dxa"/>
          </w:tcPr>
          <w:p>
            <w:pPr>
              <w:pStyle w:val="TableParagraph"/>
              <w:spacing w:line="159" w:lineRule="exact" w:before="12"/>
              <w:ind w:right="71"/>
              <w:jc w:val="right"/>
              <w:rPr>
                <w:sz w:val="14"/>
              </w:rPr>
            </w:pPr>
            <w:r>
              <w:rPr>
                <w:color w:val="231F20"/>
                <w:spacing w:val="-2"/>
                <w:sz w:val="14"/>
              </w:rPr>
              <w:t>6,895,230</w:t>
            </w:r>
          </w:p>
        </w:tc>
        <w:tc>
          <w:tcPr>
            <w:tcW w:w="162" w:type="dxa"/>
          </w:tcPr>
          <w:p>
            <w:pPr>
              <w:pStyle w:val="TableParagraph"/>
              <w:rPr>
                <w:rFonts w:ascii="Times New Roman"/>
                <w:sz w:val="12"/>
              </w:rPr>
            </w:pPr>
          </w:p>
        </w:tc>
        <w:tc>
          <w:tcPr>
            <w:tcW w:w="944" w:type="dxa"/>
          </w:tcPr>
          <w:p>
            <w:pPr>
              <w:pStyle w:val="TableParagraph"/>
              <w:spacing w:line="159" w:lineRule="exact" w:before="12"/>
              <w:ind w:right="71"/>
              <w:jc w:val="right"/>
              <w:rPr>
                <w:sz w:val="14"/>
              </w:rPr>
            </w:pPr>
            <w:r>
              <w:rPr>
                <w:color w:val="231F20"/>
                <w:spacing w:val="-2"/>
                <w:sz w:val="14"/>
              </w:rPr>
              <w:t>2,050,286</w:t>
            </w:r>
          </w:p>
        </w:tc>
        <w:tc>
          <w:tcPr>
            <w:tcW w:w="162" w:type="dxa"/>
          </w:tcPr>
          <w:p>
            <w:pPr>
              <w:pStyle w:val="TableParagraph"/>
              <w:rPr>
                <w:rFonts w:ascii="Times New Roman"/>
                <w:sz w:val="12"/>
              </w:rPr>
            </w:pPr>
          </w:p>
        </w:tc>
        <w:tc>
          <w:tcPr>
            <w:tcW w:w="944" w:type="dxa"/>
          </w:tcPr>
          <w:p>
            <w:pPr>
              <w:pStyle w:val="TableParagraph"/>
              <w:spacing w:line="159" w:lineRule="exact" w:before="12"/>
              <w:ind w:right="23"/>
              <w:jc w:val="right"/>
              <w:rPr>
                <w:sz w:val="14"/>
              </w:rPr>
            </w:pPr>
            <w:r>
              <w:rPr>
                <w:color w:val="231F20"/>
                <w:spacing w:val="-2"/>
                <w:sz w:val="14"/>
              </w:rPr>
              <w:t>(1,486,903)</w:t>
            </w:r>
          </w:p>
        </w:tc>
        <w:tc>
          <w:tcPr>
            <w:tcW w:w="162" w:type="dxa"/>
          </w:tcPr>
          <w:p>
            <w:pPr>
              <w:pStyle w:val="TableParagraph"/>
              <w:rPr>
                <w:rFonts w:ascii="Times New Roman"/>
                <w:sz w:val="12"/>
              </w:rPr>
            </w:pPr>
          </w:p>
        </w:tc>
        <w:tc>
          <w:tcPr>
            <w:tcW w:w="944" w:type="dxa"/>
          </w:tcPr>
          <w:p>
            <w:pPr>
              <w:pStyle w:val="TableParagraph"/>
              <w:spacing w:line="159" w:lineRule="exact" w:before="12"/>
              <w:ind w:right="22"/>
              <w:jc w:val="right"/>
              <w:rPr>
                <w:sz w:val="14"/>
              </w:rPr>
            </w:pPr>
            <w:r>
              <w:rPr>
                <w:color w:val="231F20"/>
                <w:spacing w:val="-2"/>
                <w:sz w:val="14"/>
              </w:rPr>
              <w:t>(3,354,656)</w:t>
            </w:r>
          </w:p>
        </w:tc>
        <w:tc>
          <w:tcPr>
            <w:tcW w:w="162" w:type="dxa"/>
          </w:tcPr>
          <w:p>
            <w:pPr>
              <w:pStyle w:val="TableParagraph"/>
              <w:rPr>
                <w:rFonts w:ascii="Times New Roman"/>
                <w:sz w:val="12"/>
              </w:rPr>
            </w:pPr>
          </w:p>
        </w:tc>
        <w:tc>
          <w:tcPr>
            <w:tcW w:w="943" w:type="dxa"/>
          </w:tcPr>
          <w:p>
            <w:pPr>
              <w:pStyle w:val="TableParagraph"/>
              <w:spacing w:line="159" w:lineRule="exact" w:before="12"/>
              <w:ind w:right="67"/>
              <w:jc w:val="right"/>
              <w:rPr>
                <w:sz w:val="14"/>
              </w:rPr>
            </w:pPr>
            <w:r>
              <w:rPr>
                <w:color w:val="231F20"/>
                <w:spacing w:val="-2"/>
                <w:sz w:val="14"/>
              </w:rPr>
              <w:t>3,706,743</w:t>
            </w:r>
          </w:p>
        </w:tc>
      </w:tr>
      <w:tr>
        <w:trPr>
          <w:trHeight w:val="184" w:hRule="atLeast"/>
        </w:trPr>
        <w:tc>
          <w:tcPr>
            <w:tcW w:w="2902" w:type="dxa"/>
          </w:tcPr>
          <w:p>
            <w:pPr>
              <w:pStyle w:val="TableParagraph"/>
              <w:spacing w:line="152" w:lineRule="exact" w:before="12"/>
              <w:ind w:left="172"/>
              <w:rPr>
                <w:sz w:val="14"/>
              </w:rPr>
            </w:pPr>
            <w:r>
              <w:rPr>
                <w:color w:val="231F20"/>
                <w:sz w:val="14"/>
              </w:rPr>
              <w:t>Benefit</w:t>
            </w:r>
            <w:r>
              <w:rPr>
                <w:color w:val="231F20"/>
                <w:spacing w:val="-10"/>
                <w:sz w:val="14"/>
              </w:rPr>
              <w:t> </w:t>
            </w:r>
            <w:r>
              <w:rPr>
                <w:color w:val="231F20"/>
                <w:spacing w:val="-2"/>
                <w:sz w:val="14"/>
              </w:rPr>
              <w:t>payments</w:t>
            </w:r>
          </w:p>
        </w:tc>
        <w:tc>
          <w:tcPr>
            <w:tcW w:w="943" w:type="dxa"/>
            <w:tcBorders>
              <w:bottom w:val="single" w:sz="8" w:space="0" w:color="231F20"/>
            </w:tcBorders>
          </w:tcPr>
          <w:p>
            <w:pPr>
              <w:pStyle w:val="TableParagraph"/>
              <w:spacing w:line="152" w:lineRule="exact" w:before="12"/>
              <w:ind w:right="25"/>
              <w:jc w:val="right"/>
              <w:rPr>
                <w:sz w:val="14"/>
              </w:rPr>
            </w:pPr>
            <w:r>
              <w:rPr>
                <w:color w:val="231F20"/>
                <w:spacing w:val="-2"/>
                <w:sz w:val="14"/>
              </w:rPr>
              <w:t>(1,477,174)</w:t>
            </w:r>
          </w:p>
        </w:tc>
        <w:tc>
          <w:tcPr>
            <w:tcW w:w="163" w:type="dxa"/>
          </w:tcPr>
          <w:p>
            <w:pPr>
              <w:pStyle w:val="TableParagraph"/>
              <w:rPr>
                <w:rFonts w:ascii="Times New Roman"/>
                <w:sz w:val="12"/>
              </w:rPr>
            </w:pPr>
          </w:p>
        </w:tc>
        <w:tc>
          <w:tcPr>
            <w:tcW w:w="944" w:type="dxa"/>
            <w:tcBorders>
              <w:bottom w:val="single" w:sz="8" w:space="0" w:color="231F20"/>
            </w:tcBorders>
          </w:tcPr>
          <w:p>
            <w:pPr>
              <w:pStyle w:val="TableParagraph"/>
              <w:spacing w:line="152" w:lineRule="exact" w:before="12"/>
              <w:ind w:right="25"/>
              <w:jc w:val="right"/>
              <w:rPr>
                <w:sz w:val="14"/>
              </w:rPr>
            </w:pPr>
            <w:r>
              <w:rPr>
                <w:color w:val="231F20"/>
                <w:spacing w:val="-2"/>
                <w:sz w:val="14"/>
              </w:rPr>
              <w:t>(1,273,462)</w:t>
            </w:r>
          </w:p>
        </w:tc>
        <w:tc>
          <w:tcPr>
            <w:tcW w:w="162" w:type="dxa"/>
          </w:tcPr>
          <w:p>
            <w:pPr>
              <w:pStyle w:val="TableParagraph"/>
              <w:rPr>
                <w:rFonts w:ascii="Times New Roman"/>
                <w:sz w:val="12"/>
              </w:rPr>
            </w:pPr>
          </w:p>
        </w:tc>
        <w:tc>
          <w:tcPr>
            <w:tcW w:w="944" w:type="dxa"/>
            <w:tcBorders>
              <w:bottom w:val="single" w:sz="8" w:space="0" w:color="231F20"/>
            </w:tcBorders>
          </w:tcPr>
          <w:p>
            <w:pPr>
              <w:pStyle w:val="TableParagraph"/>
              <w:spacing w:line="152" w:lineRule="exact" w:before="12"/>
              <w:ind w:right="24"/>
              <w:jc w:val="right"/>
              <w:rPr>
                <w:sz w:val="14"/>
              </w:rPr>
            </w:pPr>
            <w:r>
              <w:rPr>
                <w:color w:val="231F20"/>
                <w:spacing w:val="-2"/>
                <w:sz w:val="14"/>
              </w:rPr>
              <w:t>(61,287)</w:t>
            </w:r>
          </w:p>
        </w:tc>
        <w:tc>
          <w:tcPr>
            <w:tcW w:w="162" w:type="dxa"/>
          </w:tcPr>
          <w:p>
            <w:pPr>
              <w:pStyle w:val="TableParagraph"/>
              <w:rPr>
                <w:rFonts w:ascii="Times New Roman"/>
                <w:sz w:val="12"/>
              </w:rPr>
            </w:pPr>
          </w:p>
        </w:tc>
        <w:tc>
          <w:tcPr>
            <w:tcW w:w="944" w:type="dxa"/>
            <w:tcBorders>
              <w:bottom w:val="single" w:sz="8" w:space="0" w:color="231F20"/>
            </w:tcBorders>
          </w:tcPr>
          <w:p>
            <w:pPr>
              <w:pStyle w:val="TableParagraph"/>
              <w:spacing w:line="152" w:lineRule="exact" w:before="12"/>
              <w:ind w:right="22"/>
              <w:jc w:val="right"/>
              <w:rPr>
                <w:sz w:val="14"/>
              </w:rPr>
            </w:pPr>
            <w:r>
              <w:rPr>
                <w:color w:val="231F20"/>
                <w:spacing w:val="-2"/>
                <w:sz w:val="14"/>
              </w:rPr>
              <w:t>(649,187)</w:t>
            </w:r>
          </w:p>
        </w:tc>
        <w:tc>
          <w:tcPr>
            <w:tcW w:w="162" w:type="dxa"/>
          </w:tcPr>
          <w:p>
            <w:pPr>
              <w:pStyle w:val="TableParagraph"/>
              <w:rPr>
                <w:rFonts w:ascii="Times New Roman"/>
                <w:sz w:val="12"/>
              </w:rPr>
            </w:pPr>
          </w:p>
        </w:tc>
        <w:tc>
          <w:tcPr>
            <w:tcW w:w="944" w:type="dxa"/>
            <w:tcBorders>
              <w:bottom w:val="single" w:sz="8" w:space="0" w:color="231F20"/>
            </w:tcBorders>
          </w:tcPr>
          <w:p>
            <w:pPr>
              <w:pStyle w:val="TableParagraph"/>
              <w:spacing w:line="152" w:lineRule="exact" w:before="12"/>
              <w:ind w:right="22"/>
              <w:jc w:val="right"/>
              <w:rPr>
                <w:sz w:val="14"/>
              </w:rPr>
            </w:pPr>
            <w:r>
              <w:rPr>
                <w:color w:val="231F20"/>
                <w:spacing w:val="-2"/>
                <w:sz w:val="14"/>
              </w:rPr>
              <w:t>(1,490,341)</w:t>
            </w:r>
          </w:p>
        </w:tc>
        <w:tc>
          <w:tcPr>
            <w:tcW w:w="162" w:type="dxa"/>
          </w:tcPr>
          <w:p>
            <w:pPr>
              <w:pStyle w:val="TableParagraph"/>
              <w:rPr>
                <w:rFonts w:ascii="Times New Roman"/>
                <w:sz w:val="12"/>
              </w:rPr>
            </w:pPr>
          </w:p>
        </w:tc>
        <w:tc>
          <w:tcPr>
            <w:tcW w:w="943" w:type="dxa"/>
            <w:tcBorders>
              <w:bottom w:val="single" w:sz="8" w:space="0" w:color="231F20"/>
            </w:tcBorders>
          </w:tcPr>
          <w:p>
            <w:pPr>
              <w:pStyle w:val="TableParagraph"/>
              <w:spacing w:line="152" w:lineRule="exact" w:before="12"/>
              <w:ind w:right="21"/>
              <w:jc w:val="right"/>
              <w:rPr>
                <w:sz w:val="14"/>
              </w:rPr>
            </w:pPr>
            <w:r>
              <w:rPr>
                <w:color w:val="231F20"/>
                <w:spacing w:val="-2"/>
                <w:sz w:val="14"/>
              </w:rPr>
              <w:t>(930,054)</w:t>
            </w:r>
          </w:p>
        </w:tc>
      </w:tr>
      <w:tr>
        <w:trPr>
          <w:trHeight w:val="178" w:hRule="atLeast"/>
        </w:trPr>
        <w:tc>
          <w:tcPr>
            <w:tcW w:w="2902" w:type="dxa"/>
          </w:tcPr>
          <w:p>
            <w:pPr>
              <w:pStyle w:val="TableParagraph"/>
              <w:spacing w:line="158" w:lineRule="exact"/>
              <w:ind w:left="415"/>
              <w:rPr>
                <w:sz w:val="14"/>
              </w:rPr>
            </w:pPr>
            <w:r>
              <w:rPr>
                <w:color w:val="231F20"/>
                <w:sz w:val="14"/>
              </w:rPr>
              <w:t>Net</w:t>
            </w:r>
            <w:r>
              <w:rPr>
                <w:color w:val="231F20"/>
                <w:spacing w:val="-7"/>
                <w:sz w:val="14"/>
              </w:rPr>
              <w:t> </w:t>
            </w:r>
            <w:r>
              <w:rPr>
                <w:color w:val="231F20"/>
                <w:sz w:val="14"/>
              </w:rPr>
              <w:t>change</w:t>
            </w:r>
            <w:r>
              <w:rPr>
                <w:color w:val="231F20"/>
                <w:spacing w:val="-7"/>
                <w:sz w:val="14"/>
              </w:rPr>
              <w:t> </w:t>
            </w:r>
            <w:r>
              <w:rPr>
                <w:color w:val="231F20"/>
                <w:sz w:val="14"/>
              </w:rPr>
              <w:t>in</w:t>
            </w:r>
            <w:r>
              <w:rPr>
                <w:color w:val="231F20"/>
                <w:spacing w:val="-7"/>
                <w:sz w:val="14"/>
              </w:rPr>
              <w:t> </w:t>
            </w:r>
            <w:r>
              <w:rPr>
                <w:color w:val="231F20"/>
                <w:sz w:val="14"/>
              </w:rPr>
              <w:t>total</w:t>
            </w:r>
            <w:r>
              <w:rPr>
                <w:color w:val="231F20"/>
                <w:spacing w:val="-7"/>
                <w:sz w:val="14"/>
              </w:rPr>
              <w:t> </w:t>
            </w:r>
            <w:r>
              <w:rPr>
                <w:color w:val="231F20"/>
                <w:sz w:val="14"/>
              </w:rPr>
              <w:t>OPEB</w:t>
            </w:r>
            <w:r>
              <w:rPr>
                <w:color w:val="231F20"/>
                <w:spacing w:val="-7"/>
                <w:sz w:val="14"/>
              </w:rPr>
              <w:t> </w:t>
            </w:r>
            <w:r>
              <w:rPr>
                <w:color w:val="231F20"/>
                <w:spacing w:val="-2"/>
                <w:sz w:val="14"/>
              </w:rPr>
              <w:t>liability</w:t>
            </w:r>
          </w:p>
        </w:tc>
        <w:tc>
          <w:tcPr>
            <w:tcW w:w="943" w:type="dxa"/>
            <w:tcBorders>
              <w:top w:val="single" w:sz="8" w:space="0" w:color="231F20"/>
            </w:tcBorders>
          </w:tcPr>
          <w:p>
            <w:pPr>
              <w:pStyle w:val="TableParagraph"/>
              <w:spacing w:line="158" w:lineRule="exact"/>
              <w:ind w:left="179"/>
              <w:rPr>
                <w:sz w:val="14"/>
              </w:rPr>
            </w:pPr>
            <w:r>
              <w:rPr>
                <w:color w:val="231F20"/>
                <w:spacing w:val="-2"/>
                <w:sz w:val="14"/>
              </w:rPr>
              <w:t>22,970,200</w:t>
            </w:r>
          </w:p>
        </w:tc>
        <w:tc>
          <w:tcPr>
            <w:tcW w:w="163" w:type="dxa"/>
          </w:tcPr>
          <w:p>
            <w:pPr>
              <w:pStyle w:val="TableParagraph"/>
              <w:rPr>
                <w:rFonts w:ascii="Times New Roman"/>
                <w:sz w:val="12"/>
              </w:rPr>
            </w:pPr>
          </w:p>
        </w:tc>
        <w:tc>
          <w:tcPr>
            <w:tcW w:w="944" w:type="dxa"/>
            <w:tcBorders>
              <w:top w:val="single" w:sz="8" w:space="0" w:color="231F20"/>
            </w:tcBorders>
          </w:tcPr>
          <w:p>
            <w:pPr>
              <w:pStyle w:val="TableParagraph"/>
              <w:spacing w:line="158" w:lineRule="exact"/>
              <w:ind w:right="71"/>
              <w:jc w:val="right"/>
              <w:rPr>
                <w:sz w:val="14"/>
              </w:rPr>
            </w:pPr>
            <w:r>
              <w:rPr>
                <w:color w:val="231F20"/>
                <w:spacing w:val="-2"/>
                <w:sz w:val="14"/>
              </w:rPr>
              <w:t>9,191,923</w:t>
            </w:r>
          </w:p>
        </w:tc>
        <w:tc>
          <w:tcPr>
            <w:tcW w:w="162" w:type="dxa"/>
          </w:tcPr>
          <w:p>
            <w:pPr>
              <w:pStyle w:val="TableParagraph"/>
              <w:rPr>
                <w:rFonts w:ascii="Times New Roman"/>
                <w:sz w:val="12"/>
              </w:rPr>
            </w:pPr>
          </w:p>
        </w:tc>
        <w:tc>
          <w:tcPr>
            <w:tcW w:w="944" w:type="dxa"/>
            <w:tcBorders>
              <w:top w:val="single" w:sz="8" w:space="0" w:color="231F20"/>
            </w:tcBorders>
          </w:tcPr>
          <w:p>
            <w:pPr>
              <w:pStyle w:val="TableParagraph"/>
              <w:spacing w:line="158" w:lineRule="exact"/>
              <w:ind w:right="24"/>
              <w:jc w:val="right"/>
              <w:rPr>
                <w:sz w:val="14"/>
              </w:rPr>
            </w:pPr>
            <w:r>
              <w:rPr>
                <w:color w:val="231F20"/>
                <w:spacing w:val="-2"/>
                <w:sz w:val="14"/>
              </w:rPr>
              <w:t>(392,041)</w:t>
            </w:r>
          </w:p>
        </w:tc>
        <w:tc>
          <w:tcPr>
            <w:tcW w:w="162" w:type="dxa"/>
          </w:tcPr>
          <w:p>
            <w:pPr>
              <w:pStyle w:val="TableParagraph"/>
              <w:rPr>
                <w:rFonts w:ascii="Times New Roman"/>
                <w:sz w:val="12"/>
              </w:rPr>
            </w:pPr>
          </w:p>
        </w:tc>
        <w:tc>
          <w:tcPr>
            <w:tcW w:w="944" w:type="dxa"/>
            <w:tcBorders>
              <w:top w:val="single" w:sz="8" w:space="0" w:color="231F20"/>
            </w:tcBorders>
          </w:tcPr>
          <w:p>
            <w:pPr>
              <w:pStyle w:val="TableParagraph"/>
              <w:spacing w:line="158" w:lineRule="exact"/>
              <w:ind w:left="258"/>
              <w:rPr>
                <w:sz w:val="14"/>
              </w:rPr>
            </w:pPr>
            <w:r>
              <w:rPr>
                <w:color w:val="231F20"/>
                <w:spacing w:val="-2"/>
                <w:sz w:val="14"/>
              </w:rPr>
              <w:t>1,558,858</w:t>
            </w:r>
          </w:p>
        </w:tc>
        <w:tc>
          <w:tcPr>
            <w:tcW w:w="162" w:type="dxa"/>
          </w:tcPr>
          <w:p>
            <w:pPr>
              <w:pStyle w:val="TableParagraph"/>
              <w:rPr>
                <w:rFonts w:ascii="Times New Roman"/>
                <w:sz w:val="12"/>
              </w:rPr>
            </w:pPr>
          </w:p>
        </w:tc>
        <w:tc>
          <w:tcPr>
            <w:tcW w:w="944" w:type="dxa"/>
            <w:tcBorders>
              <w:top w:val="single" w:sz="8" w:space="0" w:color="231F20"/>
            </w:tcBorders>
          </w:tcPr>
          <w:p>
            <w:pPr>
              <w:pStyle w:val="TableParagraph"/>
              <w:spacing w:line="158" w:lineRule="exact"/>
              <w:ind w:right="22"/>
              <w:jc w:val="right"/>
              <w:rPr>
                <w:sz w:val="14"/>
              </w:rPr>
            </w:pPr>
            <w:r>
              <w:rPr>
                <w:color w:val="231F20"/>
                <w:spacing w:val="-2"/>
                <w:sz w:val="14"/>
              </w:rPr>
              <w:t>(922,038)</w:t>
            </w:r>
          </w:p>
        </w:tc>
        <w:tc>
          <w:tcPr>
            <w:tcW w:w="162" w:type="dxa"/>
          </w:tcPr>
          <w:p>
            <w:pPr>
              <w:pStyle w:val="TableParagraph"/>
              <w:rPr>
                <w:rFonts w:ascii="Times New Roman"/>
                <w:sz w:val="12"/>
              </w:rPr>
            </w:pPr>
          </w:p>
        </w:tc>
        <w:tc>
          <w:tcPr>
            <w:tcW w:w="943" w:type="dxa"/>
            <w:tcBorders>
              <w:top w:val="single" w:sz="8" w:space="0" w:color="231F20"/>
            </w:tcBorders>
          </w:tcPr>
          <w:p>
            <w:pPr>
              <w:pStyle w:val="TableParagraph"/>
              <w:spacing w:line="158" w:lineRule="exact"/>
              <w:ind w:right="67"/>
              <w:jc w:val="right"/>
              <w:rPr>
                <w:sz w:val="14"/>
              </w:rPr>
            </w:pPr>
            <w:r>
              <w:rPr>
                <w:color w:val="231F20"/>
                <w:spacing w:val="-2"/>
                <w:sz w:val="14"/>
              </w:rPr>
              <w:t>6,120,951</w:t>
            </w:r>
          </w:p>
        </w:tc>
      </w:tr>
      <w:tr>
        <w:trPr>
          <w:trHeight w:val="163" w:hRule="atLeast"/>
        </w:trPr>
        <w:tc>
          <w:tcPr>
            <w:tcW w:w="2902" w:type="dxa"/>
          </w:tcPr>
          <w:p>
            <w:pPr>
              <w:pStyle w:val="TableParagraph"/>
              <w:spacing w:line="152" w:lineRule="exact" w:before="12"/>
              <w:ind w:left="50"/>
              <w:rPr>
                <w:sz w:val="14"/>
              </w:rPr>
            </w:pPr>
            <w:r>
              <w:rPr>
                <w:color w:val="231F20"/>
                <w:spacing w:val="-2"/>
                <w:sz w:val="14"/>
              </w:rPr>
              <w:t>Total</w:t>
            </w:r>
            <w:r>
              <w:rPr>
                <w:color w:val="231F20"/>
                <w:spacing w:val="3"/>
                <w:sz w:val="14"/>
              </w:rPr>
              <w:t> </w:t>
            </w:r>
            <w:r>
              <w:rPr>
                <w:color w:val="231F20"/>
                <w:spacing w:val="-2"/>
                <w:sz w:val="14"/>
              </w:rPr>
              <w:t>OPEB</w:t>
            </w:r>
            <w:r>
              <w:rPr>
                <w:color w:val="231F20"/>
                <w:spacing w:val="3"/>
                <w:sz w:val="14"/>
              </w:rPr>
              <w:t> </w:t>
            </w:r>
            <w:r>
              <w:rPr>
                <w:color w:val="231F20"/>
                <w:spacing w:val="-2"/>
                <w:sz w:val="14"/>
              </w:rPr>
              <w:t>liability,</w:t>
            </w:r>
            <w:r>
              <w:rPr>
                <w:color w:val="231F20"/>
                <w:spacing w:val="2"/>
                <w:sz w:val="14"/>
              </w:rPr>
              <w:t> </w:t>
            </w:r>
            <w:r>
              <w:rPr>
                <w:color w:val="231F20"/>
                <w:spacing w:val="-2"/>
                <w:sz w:val="14"/>
              </w:rPr>
              <w:t>beginning</w:t>
            </w:r>
          </w:p>
        </w:tc>
        <w:tc>
          <w:tcPr>
            <w:tcW w:w="943" w:type="dxa"/>
            <w:tcBorders>
              <w:bottom w:val="single" w:sz="8" w:space="0" w:color="231F20"/>
            </w:tcBorders>
          </w:tcPr>
          <w:p>
            <w:pPr>
              <w:pStyle w:val="TableParagraph"/>
              <w:spacing w:line="152" w:lineRule="exact" w:before="12"/>
              <w:ind w:left="179"/>
              <w:rPr>
                <w:sz w:val="14"/>
              </w:rPr>
            </w:pPr>
            <w:r>
              <w:rPr>
                <w:color w:val="231F20"/>
                <w:spacing w:val="-2"/>
                <w:sz w:val="14"/>
              </w:rPr>
              <w:t>41,323,584</w:t>
            </w:r>
          </w:p>
        </w:tc>
        <w:tc>
          <w:tcPr>
            <w:tcW w:w="163" w:type="dxa"/>
          </w:tcPr>
          <w:p>
            <w:pPr>
              <w:pStyle w:val="TableParagraph"/>
              <w:rPr>
                <w:rFonts w:ascii="Times New Roman"/>
                <w:sz w:val="10"/>
              </w:rPr>
            </w:pPr>
          </w:p>
        </w:tc>
        <w:tc>
          <w:tcPr>
            <w:tcW w:w="944" w:type="dxa"/>
            <w:tcBorders>
              <w:bottom w:val="single" w:sz="8" w:space="0" w:color="231F20"/>
            </w:tcBorders>
          </w:tcPr>
          <w:p>
            <w:pPr>
              <w:pStyle w:val="TableParagraph"/>
              <w:spacing w:line="152" w:lineRule="exact" w:before="12"/>
              <w:ind w:right="71"/>
              <w:jc w:val="right"/>
              <w:rPr>
                <w:sz w:val="14"/>
              </w:rPr>
            </w:pPr>
            <w:r>
              <w:rPr>
                <w:color w:val="231F20"/>
                <w:spacing w:val="-2"/>
                <w:sz w:val="14"/>
              </w:rPr>
              <w:t>32,131,661</w:t>
            </w:r>
          </w:p>
        </w:tc>
        <w:tc>
          <w:tcPr>
            <w:tcW w:w="162" w:type="dxa"/>
          </w:tcPr>
          <w:p>
            <w:pPr>
              <w:pStyle w:val="TableParagraph"/>
              <w:rPr>
                <w:rFonts w:ascii="Times New Roman"/>
                <w:sz w:val="10"/>
              </w:rPr>
            </w:pPr>
          </w:p>
        </w:tc>
        <w:tc>
          <w:tcPr>
            <w:tcW w:w="944" w:type="dxa"/>
            <w:tcBorders>
              <w:bottom w:val="single" w:sz="8" w:space="0" w:color="231F20"/>
            </w:tcBorders>
          </w:tcPr>
          <w:p>
            <w:pPr>
              <w:pStyle w:val="TableParagraph"/>
              <w:spacing w:line="152" w:lineRule="exact" w:before="12"/>
              <w:ind w:right="71"/>
              <w:jc w:val="right"/>
              <w:rPr>
                <w:sz w:val="14"/>
              </w:rPr>
            </w:pPr>
            <w:r>
              <w:rPr>
                <w:color w:val="231F20"/>
                <w:spacing w:val="-2"/>
                <w:sz w:val="14"/>
              </w:rPr>
              <w:t>32,523,702</w:t>
            </w:r>
          </w:p>
        </w:tc>
        <w:tc>
          <w:tcPr>
            <w:tcW w:w="162" w:type="dxa"/>
          </w:tcPr>
          <w:p>
            <w:pPr>
              <w:pStyle w:val="TableParagraph"/>
              <w:rPr>
                <w:rFonts w:ascii="Times New Roman"/>
                <w:sz w:val="10"/>
              </w:rPr>
            </w:pPr>
          </w:p>
        </w:tc>
        <w:tc>
          <w:tcPr>
            <w:tcW w:w="944" w:type="dxa"/>
            <w:tcBorders>
              <w:bottom w:val="single" w:sz="8" w:space="0" w:color="231F20"/>
            </w:tcBorders>
          </w:tcPr>
          <w:p>
            <w:pPr>
              <w:pStyle w:val="TableParagraph"/>
              <w:spacing w:line="152" w:lineRule="exact" w:before="12"/>
              <w:ind w:left="181"/>
              <w:rPr>
                <w:sz w:val="14"/>
              </w:rPr>
            </w:pPr>
            <w:r>
              <w:rPr>
                <w:color w:val="231F20"/>
                <w:spacing w:val="-2"/>
                <w:sz w:val="14"/>
              </w:rPr>
              <w:t>30,964,844</w:t>
            </w:r>
          </w:p>
        </w:tc>
        <w:tc>
          <w:tcPr>
            <w:tcW w:w="162" w:type="dxa"/>
          </w:tcPr>
          <w:p>
            <w:pPr>
              <w:pStyle w:val="TableParagraph"/>
              <w:rPr>
                <w:rFonts w:ascii="Times New Roman"/>
                <w:sz w:val="10"/>
              </w:rPr>
            </w:pPr>
          </w:p>
        </w:tc>
        <w:tc>
          <w:tcPr>
            <w:tcW w:w="944" w:type="dxa"/>
            <w:tcBorders>
              <w:bottom w:val="single" w:sz="8" w:space="0" w:color="231F20"/>
            </w:tcBorders>
          </w:tcPr>
          <w:p>
            <w:pPr>
              <w:pStyle w:val="TableParagraph"/>
              <w:spacing w:line="152" w:lineRule="exact" w:before="12"/>
              <w:ind w:right="69"/>
              <w:jc w:val="right"/>
              <w:rPr>
                <w:sz w:val="14"/>
              </w:rPr>
            </w:pPr>
            <w:r>
              <w:rPr>
                <w:color w:val="231F20"/>
                <w:spacing w:val="-2"/>
                <w:sz w:val="14"/>
              </w:rPr>
              <w:t>31,886,882</w:t>
            </w:r>
          </w:p>
        </w:tc>
        <w:tc>
          <w:tcPr>
            <w:tcW w:w="162" w:type="dxa"/>
          </w:tcPr>
          <w:p>
            <w:pPr>
              <w:pStyle w:val="TableParagraph"/>
              <w:rPr>
                <w:rFonts w:ascii="Times New Roman"/>
                <w:sz w:val="12"/>
              </w:rPr>
            </w:pPr>
          </w:p>
        </w:tc>
        <w:tc>
          <w:tcPr>
            <w:tcW w:w="943" w:type="dxa"/>
            <w:tcBorders>
              <w:bottom w:val="single" w:sz="8" w:space="0" w:color="231F20"/>
            </w:tcBorders>
          </w:tcPr>
          <w:p>
            <w:pPr>
              <w:pStyle w:val="TableParagraph"/>
              <w:spacing w:line="152" w:lineRule="exact" w:before="12"/>
              <w:ind w:right="67"/>
              <w:jc w:val="right"/>
              <w:rPr>
                <w:sz w:val="14"/>
              </w:rPr>
            </w:pPr>
            <w:r>
              <w:rPr>
                <w:color w:val="231F20"/>
                <w:spacing w:val="-2"/>
                <w:sz w:val="14"/>
              </w:rPr>
              <w:t>25,765,931</w:t>
            </w:r>
          </w:p>
        </w:tc>
      </w:tr>
      <w:tr>
        <w:trPr>
          <w:trHeight w:val="192" w:hRule="atLeast"/>
        </w:trPr>
        <w:tc>
          <w:tcPr>
            <w:tcW w:w="2902" w:type="dxa"/>
          </w:tcPr>
          <w:p>
            <w:pPr>
              <w:pStyle w:val="TableParagraph"/>
              <w:spacing w:line="148" w:lineRule="exact"/>
              <w:ind w:left="51"/>
              <w:rPr>
                <w:sz w:val="14"/>
              </w:rPr>
            </w:pPr>
            <w:r>
              <w:rPr>
                <w:color w:val="231F20"/>
                <w:sz w:val="14"/>
              </w:rPr>
              <w:t>Total</w:t>
            </w:r>
            <w:r>
              <w:rPr>
                <w:color w:val="231F20"/>
                <w:spacing w:val="-10"/>
                <w:sz w:val="14"/>
              </w:rPr>
              <w:t> </w:t>
            </w:r>
            <w:r>
              <w:rPr>
                <w:color w:val="231F20"/>
                <w:sz w:val="14"/>
              </w:rPr>
              <w:t>OPEB</w:t>
            </w:r>
            <w:r>
              <w:rPr>
                <w:color w:val="231F20"/>
                <w:spacing w:val="-10"/>
                <w:sz w:val="14"/>
              </w:rPr>
              <w:t> </w:t>
            </w:r>
            <w:r>
              <w:rPr>
                <w:color w:val="231F20"/>
                <w:sz w:val="14"/>
              </w:rPr>
              <w:t>liability,</w:t>
            </w:r>
            <w:r>
              <w:rPr>
                <w:color w:val="231F20"/>
                <w:spacing w:val="-10"/>
                <w:sz w:val="14"/>
              </w:rPr>
              <w:t> </w:t>
            </w:r>
            <w:r>
              <w:rPr>
                <w:color w:val="231F20"/>
                <w:sz w:val="14"/>
              </w:rPr>
              <w:t>ending</w:t>
            </w:r>
            <w:r>
              <w:rPr>
                <w:color w:val="231F20"/>
                <w:spacing w:val="-9"/>
                <w:sz w:val="14"/>
              </w:rPr>
              <w:t> </w:t>
            </w:r>
            <w:r>
              <w:rPr>
                <w:color w:val="231F20"/>
                <w:spacing w:val="-5"/>
                <w:sz w:val="14"/>
                <w:vertAlign w:val="superscript"/>
              </w:rPr>
              <w:t>(a)</w:t>
            </w:r>
          </w:p>
        </w:tc>
        <w:tc>
          <w:tcPr>
            <w:tcW w:w="943" w:type="dxa"/>
            <w:tcBorders>
              <w:top w:val="single" w:sz="8" w:space="0" w:color="231F20"/>
              <w:bottom w:val="single" w:sz="8" w:space="0" w:color="231F20"/>
            </w:tcBorders>
          </w:tcPr>
          <w:p>
            <w:pPr>
              <w:pStyle w:val="TableParagraph"/>
              <w:spacing w:line="151" w:lineRule="exact"/>
              <w:ind w:left="179"/>
              <w:rPr>
                <w:sz w:val="14"/>
              </w:rPr>
            </w:pPr>
            <w:r>
              <w:rPr>
                <w:color w:val="231F20"/>
                <w:spacing w:val="-2"/>
                <w:sz w:val="14"/>
              </w:rPr>
              <w:t>64,293,784</w:t>
            </w:r>
          </w:p>
        </w:tc>
        <w:tc>
          <w:tcPr>
            <w:tcW w:w="163" w:type="dxa"/>
          </w:tcPr>
          <w:p>
            <w:pPr>
              <w:pStyle w:val="TableParagraph"/>
              <w:rPr>
                <w:rFonts w:ascii="Times New Roman"/>
                <w:sz w:val="12"/>
              </w:rPr>
            </w:pPr>
          </w:p>
        </w:tc>
        <w:tc>
          <w:tcPr>
            <w:tcW w:w="944" w:type="dxa"/>
            <w:tcBorders>
              <w:top w:val="single" w:sz="8" w:space="0" w:color="231F20"/>
              <w:bottom w:val="single" w:sz="8" w:space="0" w:color="231F20"/>
            </w:tcBorders>
          </w:tcPr>
          <w:p>
            <w:pPr>
              <w:pStyle w:val="TableParagraph"/>
              <w:spacing w:line="151" w:lineRule="exact"/>
              <w:ind w:right="72"/>
              <w:jc w:val="right"/>
              <w:rPr>
                <w:sz w:val="14"/>
              </w:rPr>
            </w:pPr>
            <w:r>
              <w:rPr>
                <w:color w:val="231F20"/>
                <w:spacing w:val="-2"/>
                <w:sz w:val="14"/>
              </w:rPr>
              <w:t>41,323,584</w:t>
            </w:r>
          </w:p>
        </w:tc>
        <w:tc>
          <w:tcPr>
            <w:tcW w:w="162" w:type="dxa"/>
          </w:tcPr>
          <w:p>
            <w:pPr>
              <w:pStyle w:val="TableParagraph"/>
              <w:rPr>
                <w:rFonts w:ascii="Times New Roman"/>
                <w:sz w:val="12"/>
              </w:rPr>
            </w:pPr>
          </w:p>
        </w:tc>
        <w:tc>
          <w:tcPr>
            <w:tcW w:w="944" w:type="dxa"/>
            <w:tcBorders>
              <w:top w:val="single" w:sz="8" w:space="0" w:color="231F20"/>
              <w:bottom w:val="single" w:sz="8" w:space="0" w:color="231F20"/>
            </w:tcBorders>
          </w:tcPr>
          <w:p>
            <w:pPr>
              <w:pStyle w:val="TableParagraph"/>
              <w:spacing w:line="151" w:lineRule="exact"/>
              <w:ind w:right="71"/>
              <w:jc w:val="right"/>
              <w:rPr>
                <w:sz w:val="14"/>
              </w:rPr>
            </w:pPr>
            <w:r>
              <w:rPr>
                <w:color w:val="231F20"/>
                <w:spacing w:val="-2"/>
                <w:sz w:val="14"/>
              </w:rPr>
              <w:t>32,131,661</w:t>
            </w:r>
          </w:p>
        </w:tc>
        <w:tc>
          <w:tcPr>
            <w:tcW w:w="162" w:type="dxa"/>
          </w:tcPr>
          <w:p>
            <w:pPr>
              <w:pStyle w:val="TableParagraph"/>
              <w:rPr>
                <w:rFonts w:ascii="Times New Roman"/>
                <w:sz w:val="12"/>
              </w:rPr>
            </w:pPr>
          </w:p>
        </w:tc>
        <w:tc>
          <w:tcPr>
            <w:tcW w:w="944" w:type="dxa"/>
            <w:tcBorders>
              <w:top w:val="single" w:sz="8" w:space="0" w:color="231F20"/>
              <w:bottom w:val="single" w:sz="8" w:space="0" w:color="231F20"/>
            </w:tcBorders>
          </w:tcPr>
          <w:p>
            <w:pPr>
              <w:pStyle w:val="TableParagraph"/>
              <w:spacing w:line="151" w:lineRule="exact"/>
              <w:ind w:left="180"/>
              <w:rPr>
                <w:sz w:val="14"/>
              </w:rPr>
            </w:pPr>
            <w:r>
              <w:rPr>
                <w:color w:val="231F20"/>
                <w:spacing w:val="-2"/>
                <w:sz w:val="14"/>
              </w:rPr>
              <w:t>32,523,702</w:t>
            </w:r>
          </w:p>
        </w:tc>
        <w:tc>
          <w:tcPr>
            <w:tcW w:w="162" w:type="dxa"/>
          </w:tcPr>
          <w:p>
            <w:pPr>
              <w:pStyle w:val="TableParagraph"/>
              <w:rPr>
                <w:rFonts w:ascii="Times New Roman"/>
                <w:sz w:val="12"/>
              </w:rPr>
            </w:pPr>
          </w:p>
        </w:tc>
        <w:tc>
          <w:tcPr>
            <w:tcW w:w="944" w:type="dxa"/>
            <w:tcBorders>
              <w:top w:val="single" w:sz="8" w:space="0" w:color="231F20"/>
              <w:bottom w:val="single" w:sz="8" w:space="0" w:color="231F20"/>
            </w:tcBorders>
          </w:tcPr>
          <w:p>
            <w:pPr>
              <w:pStyle w:val="TableParagraph"/>
              <w:spacing w:line="151" w:lineRule="exact"/>
              <w:ind w:right="69"/>
              <w:jc w:val="right"/>
              <w:rPr>
                <w:sz w:val="14"/>
              </w:rPr>
            </w:pPr>
            <w:r>
              <w:rPr>
                <w:color w:val="231F20"/>
                <w:spacing w:val="-2"/>
                <w:sz w:val="14"/>
              </w:rPr>
              <w:t>30,964,844</w:t>
            </w:r>
          </w:p>
        </w:tc>
        <w:tc>
          <w:tcPr>
            <w:tcW w:w="162" w:type="dxa"/>
          </w:tcPr>
          <w:p>
            <w:pPr>
              <w:pStyle w:val="TableParagraph"/>
              <w:rPr>
                <w:rFonts w:ascii="Times New Roman"/>
                <w:sz w:val="10"/>
              </w:rPr>
            </w:pPr>
          </w:p>
        </w:tc>
        <w:tc>
          <w:tcPr>
            <w:tcW w:w="943" w:type="dxa"/>
            <w:tcBorders>
              <w:top w:val="single" w:sz="8" w:space="0" w:color="231F20"/>
              <w:bottom w:val="single" w:sz="8" w:space="0" w:color="231F20"/>
            </w:tcBorders>
          </w:tcPr>
          <w:p>
            <w:pPr>
              <w:pStyle w:val="TableParagraph"/>
              <w:spacing w:line="151" w:lineRule="exact"/>
              <w:ind w:right="68"/>
              <w:jc w:val="right"/>
              <w:rPr>
                <w:sz w:val="14"/>
              </w:rPr>
            </w:pPr>
            <w:r>
              <w:rPr>
                <w:color w:val="231F20"/>
                <w:spacing w:val="-2"/>
                <w:sz w:val="14"/>
              </w:rPr>
              <w:t>31,886,882</w:t>
            </w:r>
          </w:p>
        </w:tc>
      </w:tr>
      <w:tr>
        <w:trPr>
          <w:trHeight w:val="560" w:hRule="atLeast"/>
        </w:trPr>
        <w:tc>
          <w:tcPr>
            <w:tcW w:w="2902" w:type="dxa"/>
          </w:tcPr>
          <w:p>
            <w:pPr>
              <w:pStyle w:val="TableParagraph"/>
              <w:spacing w:before="11"/>
              <w:rPr>
                <w:sz w:val="13"/>
              </w:rPr>
            </w:pPr>
          </w:p>
          <w:p>
            <w:pPr>
              <w:pStyle w:val="TableParagraph"/>
              <w:spacing w:line="190" w:lineRule="atLeast"/>
              <w:ind w:left="50" w:right="1266"/>
              <w:rPr>
                <w:sz w:val="14"/>
              </w:rPr>
            </w:pPr>
            <w:r>
              <w:rPr>
                <w:color w:val="231F20"/>
                <w:sz w:val="14"/>
              </w:rPr>
              <w:t>Plan</w:t>
            </w:r>
            <w:r>
              <w:rPr>
                <w:color w:val="231F20"/>
                <w:spacing w:val="-10"/>
                <w:sz w:val="14"/>
              </w:rPr>
              <w:t> </w:t>
            </w:r>
            <w:r>
              <w:rPr>
                <w:color w:val="231F20"/>
                <w:sz w:val="14"/>
              </w:rPr>
              <w:t>fiduciary</w:t>
            </w:r>
            <w:r>
              <w:rPr>
                <w:color w:val="231F20"/>
                <w:spacing w:val="-10"/>
                <w:sz w:val="14"/>
              </w:rPr>
              <w:t> </w:t>
            </w:r>
            <w:r>
              <w:rPr>
                <w:color w:val="231F20"/>
                <w:sz w:val="14"/>
              </w:rPr>
              <w:t>net</w:t>
            </w:r>
            <w:r>
              <w:rPr>
                <w:color w:val="231F20"/>
                <w:spacing w:val="-10"/>
                <w:sz w:val="14"/>
              </w:rPr>
              <w:t> </w:t>
            </w:r>
            <w:r>
              <w:rPr>
                <w:color w:val="231F20"/>
                <w:sz w:val="14"/>
              </w:rPr>
              <w:t>position</w:t>
            </w:r>
            <w:r>
              <w:rPr>
                <w:color w:val="231F20"/>
                <w:spacing w:val="40"/>
                <w:sz w:val="14"/>
              </w:rPr>
              <w:t> </w:t>
            </w:r>
            <w:r>
              <w:rPr>
                <w:color w:val="231F20"/>
                <w:sz w:val="14"/>
              </w:rPr>
              <w:t>Contributions:</w:t>
            </w:r>
            <w:r>
              <w:rPr>
                <w:color w:val="231F20"/>
                <w:spacing w:val="-4"/>
                <w:sz w:val="14"/>
              </w:rPr>
              <w:t> </w:t>
            </w:r>
            <w:r>
              <w:rPr>
                <w:color w:val="231F20"/>
                <w:sz w:val="14"/>
              </w:rPr>
              <w:t>employer</w:t>
            </w:r>
          </w:p>
        </w:tc>
        <w:tc>
          <w:tcPr>
            <w:tcW w:w="943" w:type="dxa"/>
            <w:tcBorders>
              <w:top w:val="single" w:sz="8" w:space="0" w:color="231F20"/>
            </w:tcBorders>
          </w:tcPr>
          <w:p>
            <w:pPr>
              <w:pStyle w:val="TableParagraph"/>
              <w:rPr>
                <w:sz w:val="14"/>
              </w:rPr>
            </w:pPr>
          </w:p>
          <w:p>
            <w:pPr>
              <w:pStyle w:val="TableParagraph"/>
              <w:spacing w:before="2"/>
              <w:rPr>
                <w:sz w:val="19"/>
              </w:rPr>
            </w:pPr>
          </w:p>
          <w:p>
            <w:pPr>
              <w:pStyle w:val="TableParagraph"/>
              <w:spacing w:line="159" w:lineRule="exact"/>
              <w:ind w:right="72"/>
              <w:jc w:val="right"/>
              <w:rPr>
                <w:sz w:val="14"/>
              </w:rPr>
            </w:pPr>
            <w:r>
              <w:rPr>
                <w:color w:val="231F20"/>
                <w:spacing w:val="-2"/>
                <w:sz w:val="14"/>
              </w:rPr>
              <w:t>689,092</w:t>
            </w:r>
          </w:p>
        </w:tc>
        <w:tc>
          <w:tcPr>
            <w:tcW w:w="163" w:type="dxa"/>
          </w:tcPr>
          <w:p>
            <w:pPr>
              <w:pStyle w:val="TableParagraph"/>
              <w:rPr>
                <w:rFonts w:ascii="Times New Roman"/>
                <w:sz w:val="14"/>
              </w:rPr>
            </w:pPr>
          </w:p>
        </w:tc>
        <w:tc>
          <w:tcPr>
            <w:tcW w:w="944" w:type="dxa"/>
            <w:tcBorders>
              <w:top w:val="single" w:sz="8" w:space="0" w:color="231F20"/>
            </w:tcBorders>
          </w:tcPr>
          <w:p>
            <w:pPr>
              <w:pStyle w:val="TableParagraph"/>
              <w:rPr>
                <w:sz w:val="14"/>
              </w:rPr>
            </w:pPr>
          </w:p>
          <w:p>
            <w:pPr>
              <w:pStyle w:val="TableParagraph"/>
              <w:spacing w:before="2"/>
              <w:rPr>
                <w:sz w:val="19"/>
              </w:rPr>
            </w:pPr>
          </w:p>
          <w:p>
            <w:pPr>
              <w:pStyle w:val="TableParagraph"/>
              <w:spacing w:line="159" w:lineRule="exact"/>
              <w:ind w:right="71"/>
              <w:jc w:val="right"/>
              <w:rPr>
                <w:sz w:val="14"/>
              </w:rPr>
            </w:pPr>
            <w:r>
              <w:rPr>
                <w:color w:val="231F20"/>
                <w:spacing w:val="-2"/>
                <w:sz w:val="14"/>
              </w:rPr>
              <w:t>705,438</w:t>
            </w:r>
          </w:p>
        </w:tc>
        <w:tc>
          <w:tcPr>
            <w:tcW w:w="162" w:type="dxa"/>
          </w:tcPr>
          <w:p>
            <w:pPr>
              <w:pStyle w:val="TableParagraph"/>
              <w:rPr>
                <w:rFonts w:ascii="Times New Roman"/>
                <w:sz w:val="14"/>
              </w:rPr>
            </w:pPr>
          </w:p>
        </w:tc>
        <w:tc>
          <w:tcPr>
            <w:tcW w:w="944" w:type="dxa"/>
            <w:tcBorders>
              <w:top w:val="single" w:sz="8" w:space="0" w:color="231F20"/>
            </w:tcBorders>
          </w:tcPr>
          <w:p>
            <w:pPr>
              <w:pStyle w:val="TableParagraph"/>
              <w:rPr>
                <w:sz w:val="14"/>
              </w:rPr>
            </w:pPr>
          </w:p>
          <w:p>
            <w:pPr>
              <w:pStyle w:val="TableParagraph"/>
              <w:spacing w:before="2"/>
              <w:rPr>
                <w:sz w:val="19"/>
              </w:rPr>
            </w:pPr>
          </w:p>
          <w:p>
            <w:pPr>
              <w:pStyle w:val="TableParagraph"/>
              <w:spacing w:line="159" w:lineRule="exact"/>
              <w:ind w:right="70"/>
              <w:jc w:val="right"/>
              <w:rPr>
                <w:sz w:val="14"/>
              </w:rPr>
            </w:pPr>
            <w:r>
              <w:rPr>
                <w:color w:val="231F20"/>
                <w:spacing w:val="-2"/>
                <w:sz w:val="14"/>
              </w:rPr>
              <w:t>2,239,377</w:t>
            </w:r>
          </w:p>
        </w:tc>
        <w:tc>
          <w:tcPr>
            <w:tcW w:w="162" w:type="dxa"/>
          </w:tcPr>
          <w:p>
            <w:pPr>
              <w:pStyle w:val="TableParagraph"/>
              <w:rPr>
                <w:rFonts w:ascii="Times New Roman"/>
                <w:sz w:val="14"/>
              </w:rPr>
            </w:pPr>
          </w:p>
        </w:tc>
        <w:tc>
          <w:tcPr>
            <w:tcW w:w="944" w:type="dxa"/>
            <w:tcBorders>
              <w:top w:val="single" w:sz="8" w:space="0" w:color="231F20"/>
            </w:tcBorders>
          </w:tcPr>
          <w:p>
            <w:pPr>
              <w:pStyle w:val="TableParagraph"/>
              <w:rPr>
                <w:sz w:val="14"/>
              </w:rPr>
            </w:pPr>
          </w:p>
          <w:p>
            <w:pPr>
              <w:pStyle w:val="TableParagraph"/>
              <w:spacing w:before="2"/>
              <w:rPr>
                <w:sz w:val="19"/>
              </w:rPr>
            </w:pPr>
          </w:p>
          <w:p>
            <w:pPr>
              <w:pStyle w:val="TableParagraph"/>
              <w:spacing w:line="159" w:lineRule="exact"/>
              <w:ind w:left="257"/>
              <w:rPr>
                <w:sz w:val="14"/>
              </w:rPr>
            </w:pPr>
            <w:r>
              <w:rPr>
                <w:color w:val="231F20"/>
                <w:spacing w:val="-2"/>
                <w:sz w:val="14"/>
              </w:rPr>
              <w:t>3,997,035</w:t>
            </w:r>
          </w:p>
        </w:tc>
        <w:tc>
          <w:tcPr>
            <w:tcW w:w="162" w:type="dxa"/>
          </w:tcPr>
          <w:p>
            <w:pPr>
              <w:pStyle w:val="TableParagraph"/>
              <w:rPr>
                <w:rFonts w:ascii="Times New Roman"/>
                <w:sz w:val="14"/>
              </w:rPr>
            </w:pPr>
          </w:p>
        </w:tc>
        <w:tc>
          <w:tcPr>
            <w:tcW w:w="944" w:type="dxa"/>
            <w:tcBorders>
              <w:top w:val="single" w:sz="8" w:space="0" w:color="231F20"/>
            </w:tcBorders>
          </w:tcPr>
          <w:p>
            <w:pPr>
              <w:pStyle w:val="TableParagraph"/>
              <w:rPr>
                <w:sz w:val="14"/>
              </w:rPr>
            </w:pPr>
          </w:p>
          <w:p>
            <w:pPr>
              <w:pStyle w:val="TableParagraph"/>
              <w:spacing w:before="2"/>
              <w:rPr>
                <w:sz w:val="19"/>
              </w:rPr>
            </w:pPr>
          </w:p>
          <w:p>
            <w:pPr>
              <w:pStyle w:val="TableParagraph"/>
              <w:spacing w:line="159" w:lineRule="exact"/>
              <w:ind w:right="69"/>
              <w:jc w:val="right"/>
              <w:rPr>
                <w:sz w:val="14"/>
              </w:rPr>
            </w:pPr>
            <w:r>
              <w:rPr>
                <w:color w:val="231F20"/>
                <w:spacing w:val="-2"/>
                <w:sz w:val="14"/>
              </w:rPr>
              <w:t>4,998,780</w:t>
            </w:r>
          </w:p>
        </w:tc>
        <w:tc>
          <w:tcPr>
            <w:tcW w:w="162" w:type="dxa"/>
          </w:tcPr>
          <w:p>
            <w:pPr>
              <w:pStyle w:val="TableParagraph"/>
              <w:rPr>
                <w:rFonts w:ascii="Times New Roman"/>
                <w:sz w:val="14"/>
              </w:rPr>
            </w:pPr>
          </w:p>
        </w:tc>
        <w:tc>
          <w:tcPr>
            <w:tcW w:w="943" w:type="dxa"/>
            <w:tcBorders>
              <w:top w:val="single" w:sz="8" w:space="0" w:color="231F20"/>
            </w:tcBorders>
          </w:tcPr>
          <w:p>
            <w:pPr>
              <w:pStyle w:val="TableParagraph"/>
              <w:rPr>
                <w:sz w:val="14"/>
              </w:rPr>
            </w:pPr>
          </w:p>
          <w:p>
            <w:pPr>
              <w:pStyle w:val="TableParagraph"/>
              <w:spacing w:before="2"/>
              <w:rPr>
                <w:sz w:val="19"/>
              </w:rPr>
            </w:pPr>
          </w:p>
          <w:p>
            <w:pPr>
              <w:pStyle w:val="TableParagraph"/>
              <w:spacing w:line="159" w:lineRule="exact"/>
              <w:ind w:right="68"/>
              <w:jc w:val="right"/>
              <w:rPr>
                <w:sz w:val="14"/>
              </w:rPr>
            </w:pPr>
            <w:r>
              <w:rPr>
                <w:color w:val="231F20"/>
                <w:spacing w:val="-2"/>
                <w:sz w:val="14"/>
              </w:rPr>
              <w:t>4,936,193</w:t>
            </w:r>
          </w:p>
        </w:tc>
      </w:tr>
      <w:tr>
        <w:trPr>
          <w:trHeight w:val="191" w:hRule="atLeast"/>
        </w:trPr>
        <w:tc>
          <w:tcPr>
            <w:tcW w:w="2902" w:type="dxa"/>
          </w:tcPr>
          <w:p>
            <w:pPr>
              <w:pStyle w:val="TableParagraph"/>
              <w:spacing w:line="159" w:lineRule="exact" w:before="12"/>
              <w:ind w:left="50"/>
              <w:rPr>
                <w:sz w:val="14"/>
              </w:rPr>
            </w:pPr>
            <w:r>
              <w:rPr>
                <w:color w:val="231F20"/>
                <w:w w:val="95"/>
                <w:sz w:val="14"/>
              </w:rPr>
              <w:t>Contributions:</w:t>
            </w:r>
            <w:r>
              <w:rPr>
                <w:color w:val="231F20"/>
                <w:spacing w:val="24"/>
                <w:sz w:val="14"/>
              </w:rPr>
              <w:t> </w:t>
            </w:r>
            <w:r>
              <w:rPr>
                <w:color w:val="231F20"/>
                <w:spacing w:val="-2"/>
                <w:w w:val="95"/>
                <w:sz w:val="14"/>
              </w:rPr>
              <w:t>member</w:t>
            </w:r>
          </w:p>
        </w:tc>
        <w:tc>
          <w:tcPr>
            <w:tcW w:w="943" w:type="dxa"/>
          </w:tcPr>
          <w:p>
            <w:pPr>
              <w:pStyle w:val="TableParagraph"/>
              <w:spacing w:line="159" w:lineRule="exact" w:before="12"/>
              <w:ind w:right="72"/>
              <w:jc w:val="right"/>
              <w:rPr>
                <w:sz w:val="14"/>
              </w:rPr>
            </w:pPr>
            <w:r>
              <w:rPr>
                <w:color w:val="231F20"/>
                <w:spacing w:val="-2"/>
                <w:sz w:val="14"/>
              </w:rPr>
              <w:t>735,022</w:t>
            </w:r>
          </w:p>
        </w:tc>
        <w:tc>
          <w:tcPr>
            <w:tcW w:w="163" w:type="dxa"/>
          </w:tcPr>
          <w:p>
            <w:pPr>
              <w:pStyle w:val="TableParagraph"/>
              <w:rPr>
                <w:rFonts w:ascii="Times New Roman"/>
                <w:sz w:val="12"/>
              </w:rPr>
            </w:pPr>
          </w:p>
        </w:tc>
        <w:tc>
          <w:tcPr>
            <w:tcW w:w="944" w:type="dxa"/>
          </w:tcPr>
          <w:p>
            <w:pPr>
              <w:pStyle w:val="TableParagraph"/>
              <w:spacing w:line="159" w:lineRule="exact" w:before="12"/>
              <w:ind w:right="71"/>
              <w:jc w:val="right"/>
              <w:rPr>
                <w:sz w:val="14"/>
              </w:rPr>
            </w:pPr>
            <w:r>
              <w:rPr>
                <w:color w:val="231F20"/>
                <w:spacing w:val="-2"/>
                <w:sz w:val="14"/>
              </w:rPr>
              <w:t>650,373</w:t>
            </w:r>
          </w:p>
        </w:tc>
        <w:tc>
          <w:tcPr>
            <w:tcW w:w="162" w:type="dxa"/>
          </w:tcPr>
          <w:p>
            <w:pPr>
              <w:pStyle w:val="TableParagraph"/>
              <w:rPr>
                <w:rFonts w:ascii="Times New Roman"/>
                <w:sz w:val="12"/>
              </w:rPr>
            </w:pPr>
          </w:p>
        </w:tc>
        <w:tc>
          <w:tcPr>
            <w:tcW w:w="944" w:type="dxa"/>
          </w:tcPr>
          <w:p>
            <w:pPr>
              <w:pStyle w:val="TableParagraph"/>
              <w:spacing w:line="159" w:lineRule="exact" w:before="12"/>
              <w:ind w:right="71"/>
              <w:jc w:val="right"/>
              <w:rPr>
                <w:sz w:val="14"/>
              </w:rPr>
            </w:pPr>
            <w:r>
              <w:rPr>
                <w:color w:val="231F20"/>
                <w:spacing w:val="-2"/>
                <w:sz w:val="14"/>
              </w:rPr>
              <w:t>1,631,735</w:t>
            </w:r>
          </w:p>
        </w:tc>
        <w:tc>
          <w:tcPr>
            <w:tcW w:w="162" w:type="dxa"/>
          </w:tcPr>
          <w:p>
            <w:pPr>
              <w:pStyle w:val="TableParagraph"/>
              <w:rPr>
                <w:rFonts w:ascii="Times New Roman"/>
                <w:sz w:val="12"/>
              </w:rPr>
            </w:pPr>
          </w:p>
        </w:tc>
        <w:tc>
          <w:tcPr>
            <w:tcW w:w="944" w:type="dxa"/>
          </w:tcPr>
          <w:p>
            <w:pPr>
              <w:pStyle w:val="TableParagraph"/>
              <w:spacing w:line="159" w:lineRule="exact" w:before="12"/>
              <w:ind w:left="257"/>
              <w:rPr>
                <w:sz w:val="14"/>
              </w:rPr>
            </w:pPr>
            <w:r>
              <w:rPr>
                <w:color w:val="231F20"/>
                <w:spacing w:val="-2"/>
                <w:sz w:val="14"/>
              </w:rPr>
              <w:t>3,386,902</w:t>
            </w:r>
          </w:p>
        </w:tc>
        <w:tc>
          <w:tcPr>
            <w:tcW w:w="162" w:type="dxa"/>
          </w:tcPr>
          <w:p>
            <w:pPr>
              <w:pStyle w:val="TableParagraph"/>
              <w:rPr>
                <w:rFonts w:ascii="Times New Roman"/>
                <w:sz w:val="12"/>
              </w:rPr>
            </w:pPr>
          </w:p>
        </w:tc>
        <w:tc>
          <w:tcPr>
            <w:tcW w:w="944" w:type="dxa"/>
          </w:tcPr>
          <w:p>
            <w:pPr>
              <w:pStyle w:val="TableParagraph"/>
              <w:spacing w:line="159" w:lineRule="exact" w:before="12"/>
              <w:ind w:right="69"/>
              <w:jc w:val="right"/>
              <w:rPr>
                <w:sz w:val="14"/>
              </w:rPr>
            </w:pPr>
            <w:r>
              <w:rPr>
                <w:color w:val="231F20"/>
                <w:spacing w:val="-2"/>
                <w:sz w:val="14"/>
              </w:rPr>
              <w:t>3,706,201</w:t>
            </w:r>
          </w:p>
        </w:tc>
        <w:tc>
          <w:tcPr>
            <w:tcW w:w="162" w:type="dxa"/>
          </w:tcPr>
          <w:p>
            <w:pPr>
              <w:pStyle w:val="TableParagraph"/>
              <w:rPr>
                <w:rFonts w:ascii="Times New Roman"/>
                <w:sz w:val="12"/>
              </w:rPr>
            </w:pPr>
          </w:p>
        </w:tc>
        <w:tc>
          <w:tcPr>
            <w:tcW w:w="943" w:type="dxa"/>
          </w:tcPr>
          <w:p>
            <w:pPr>
              <w:pStyle w:val="TableParagraph"/>
              <w:spacing w:line="159" w:lineRule="exact" w:before="12"/>
              <w:ind w:right="68"/>
              <w:jc w:val="right"/>
              <w:rPr>
                <w:sz w:val="14"/>
              </w:rPr>
            </w:pPr>
            <w:r>
              <w:rPr>
                <w:color w:val="231F20"/>
                <w:spacing w:val="-2"/>
                <w:sz w:val="14"/>
              </w:rPr>
              <w:t>3,628,635</w:t>
            </w:r>
          </w:p>
        </w:tc>
      </w:tr>
      <w:tr>
        <w:trPr>
          <w:trHeight w:val="191" w:hRule="atLeast"/>
        </w:trPr>
        <w:tc>
          <w:tcPr>
            <w:tcW w:w="2902" w:type="dxa"/>
          </w:tcPr>
          <w:p>
            <w:pPr>
              <w:pStyle w:val="TableParagraph"/>
              <w:spacing w:line="159" w:lineRule="exact" w:before="12"/>
              <w:ind w:left="50"/>
              <w:rPr>
                <w:sz w:val="14"/>
              </w:rPr>
            </w:pPr>
            <w:r>
              <w:rPr>
                <w:color w:val="231F20"/>
                <w:w w:val="95"/>
                <w:sz w:val="14"/>
              </w:rPr>
              <w:t>Net</w:t>
            </w:r>
            <w:r>
              <w:rPr>
                <w:color w:val="231F20"/>
                <w:spacing w:val="12"/>
                <w:sz w:val="14"/>
              </w:rPr>
              <w:t> </w:t>
            </w:r>
            <w:r>
              <w:rPr>
                <w:color w:val="231F20"/>
                <w:w w:val="95"/>
                <w:sz w:val="14"/>
              </w:rPr>
              <w:t>investment</w:t>
            </w:r>
            <w:r>
              <w:rPr>
                <w:color w:val="231F20"/>
                <w:spacing w:val="12"/>
                <w:sz w:val="14"/>
              </w:rPr>
              <w:t> </w:t>
            </w:r>
            <w:r>
              <w:rPr>
                <w:color w:val="231F20"/>
                <w:spacing w:val="-2"/>
                <w:w w:val="95"/>
                <w:sz w:val="14"/>
              </w:rPr>
              <w:t>income</w:t>
            </w:r>
          </w:p>
        </w:tc>
        <w:tc>
          <w:tcPr>
            <w:tcW w:w="943" w:type="dxa"/>
          </w:tcPr>
          <w:p>
            <w:pPr>
              <w:pStyle w:val="TableParagraph"/>
              <w:spacing w:line="159" w:lineRule="exact" w:before="12"/>
              <w:ind w:right="72"/>
              <w:jc w:val="right"/>
              <w:rPr>
                <w:sz w:val="14"/>
              </w:rPr>
            </w:pPr>
            <w:r>
              <w:rPr>
                <w:color w:val="231F20"/>
                <w:spacing w:val="-2"/>
                <w:sz w:val="14"/>
              </w:rPr>
              <w:t>714,655</w:t>
            </w:r>
          </w:p>
        </w:tc>
        <w:tc>
          <w:tcPr>
            <w:tcW w:w="163" w:type="dxa"/>
          </w:tcPr>
          <w:p>
            <w:pPr>
              <w:pStyle w:val="TableParagraph"/>
              <w:rPr>
                <w:rFonts w:ascii="Times New Roman"/>
                <w:sz w:val="12"/>
              </w:rPr>
            </w:pPr>
          </w:p>
        </w:tc>
        <w:tc>
          <w:tcPr>
            <w:tcW w:w="944" w:type="dxa"/>
          </w:tcPr>
          <w:p>
            <w:pPr>
              <w:pStyle w:val="TableParagraph"/>
              <w:spacing w:line="159" w:lineRule="exact" w:before="12"/>
              <w:ind w:right="71"/>
              <w:jc w:val="right"/>
              <w:rPr>
                <w:sz w:val="14"/>
              </w:rPr>
            </w:pPr>
            <w:r>
              <w:rPr>
                <w:color w:val="231F20"/>
                <w:spacing w:val="-2"/>
                <w:sz w:val="14"/>
              </w:rPr>
              <w:t>84,850</w:t>
            </w:r>
          </w:p>
        </w:tc>
        <w:tc>
          <w:tcPr>
            <w:tcW w:w="162" w:type="dxa"/>
          </w:tcPr>
          <w:p>
            <w:pPr>
              <w:pStyle w:val="TableParagraph"/>
              <w:rPr>
                <w:rFonts w:ascii="Times New Roman"/>
                <w:sz w:val="12"/>
              </w:rPr>
            </w:pPr>
          </w:p>
        </w:tc>
        <w:tc>
          <w:tcPr>
            <w:tcW w:w="944" w:type="dxa"/>
          </w:tcPr>
          <w:p>
            <w:pPr>
              <w:pStyle w:val="TableParagraph"/>
              <w:spacing w:line="159" w:lineRule="exact" w:before="12"/>
              <w:ind w:right="71"/>
              <w:jc w:val="right"/>
              <w:rPr>
                <w:sz w:val="14"/>
              </w:rPr>
            </w:pPr>
            <w:r>
              <w:rPr>
                <w:color w:val="231F20"/>
                <w:spacing w:val="-2"/>
                <w:sz w:val="14"/>
              </w:rPr>
              <w:t>148,836</w:t>
            </w:r>
          </w:p>
        </w:tc>
        <w:tc>
          <w:tcPr>
            <w:tcW w:w="162" w:type="dxa"/>
          </w:tcPr>
          <w:p>
            <w:pPr>
              <w:pStyle w:val="TableParagraph"/>
              <w:rPr>
                <w:rFonts w:ascii="Times New Roman"/>
                <w:sz w:val="12"/>
              </w:rPr>
            </w:pPr>
          </w:p>
        </w:tc>
        <w:tc>
          <w:tcPr>
            <w:tcW w:w="944" w:type="dxa"/>
          </w:tcPr>
          <w:p>
            <w:pPr>
              <w:pStyle w:val="TableParagraph"/>
              <w:spacing w:line="159" w:lineRule="exact" w:before="12"/>
              <w:ind w:left="373"/>
              <w:rPr>
                <w:sz w:val="14"/>
              </w:rPr>
            </w:pPr>
            <w:r>
              <w:rPr>
                <w:color w:val="231F20"/>
                <w:spacing w:val="-2"/>
                <w:sz w:val="14"/>
              </w:rPr>
              <w:t>173,859</w:t>
            </w:r>
          </w:p>
        </w:tc>
        <w:tc>
          <w:tcPr>
            <w:tcW w:w="162" w:type="dxa"/>
          </w:tcPr>
          <w:p>
            <w:pPr>
              <w:pStyle w:val="TableParagraph"/>
              <w:rPr>
                <w:rFonts w:ascii="Times New Roman"/>
                <w:sz w:val="12"/>
              </w:rPr>
            </w:pPr>
          </w:p>
        </w:tc>
        <w:tc>
          <w:tcPr>
            <w:tcW w:w="944" w:type="dxa"/>
          </w:tcPr>
          <w:p>
            <w:pPr>
              <w:pStyle w:val="TableParagraph"/>
              <w:spacing w:line="159" w:lineRule="exact" w:before="12"/>
              <w:ind w:right="69"/>
              <w:jc w:val="right"/>
              <w:rPr>
                <w:sz w:val="14"/>
              </w:rPr>
            </w:pPr>
            <w:r>
              <w:rPr>
                <w:color w:val="231F20"/>
                <w:spacing w:val="-2"/>
                <w:sz w:val="14"/>
              </w:rPr>
              <w:t>208,410</w:t>
            </w:r>
          </w:p>
        </w:tc>
        <w:tc>
          <w:tcPr>
            <w:tcW w:w="162" w:type="dxa"/>
          </w:tcPr>
          <w:p>
            <w:pPr>
              <w:pStyle w:val="TableParagraph"/>
              <w:rPr>
                <w:rFonts w:ascii="Times New Roman"/>
                <w:sz w:val="12"/>
              </w:rPr>
            </w:pPr>
          </w:p>
        </w:tc>
        <w:tc>
          <w:tcPr>
            <w:tcW w:w="943" w:type="dxa"/>
          </w:tcPr>
          <w:p>
            <w:pPr>
              <w:pStyle w:val="TableParagraph"/>
              <w:spacing w:line="159" w:lineRule="exact" w:before="12"/>
              <w:ind w:right="67"/>
              <w:jc w:val="right"/>
              <w:rPr>
                <w:sz w:val="14"/>
              </w:rPr>
            </w:pPr>
            <w:r>
              <w:rPr>
                <w:color w:val="231F20"/>
                <w:spacing w:val="-2"/>
                <w:sz w:val="14"/>
              </w:rPr>
              <w:t>29,580</w:t>
            </w:r>
          </w:p>
        </w:tc>
      </w:tr>
      <w:tr>
        <w:trPr>
          <w:trHeight w:val="191" w:hRule="atLeast"/>
        </w:trPr>
        <w:tc>
          <w:tcPr>
            <w:tcW w:w="2902" w:type="dxa"/>
          </w:tcPr>
          <w:p>
            <w:pPr>
              <w:pStyle w:val="TableParagraph"/>
              <w:spacing w:line="159" w:lineRule="exact" w:before="12"/>
              <w:ind w:left="50"/>
              <w:rPr>
                <w:sz w:val="14"/>
              </w:rPr>
            </w:pPr>
            <w:r>
              <w:rPr>
                <w:color w:val="231F20"/>
                <w:sz w:val="14"/>
              </w:rPr>
              <w:t>Benefit</w:t>
            </w:r>
            <w:r>
              <w:rPr>
                <w:color w:val="231F20"/>
                <w:spacing w:val="-10"/>
                <w:sz w:val="14"/>
              </w:rPr>
              <w:t> </w:t>
            </w:r>
            <w:r>
              <w:rPr>
                <w:color w:val="231F20"/>
                <w:spacing w:val="-2"/>
                <w:sz w:val="14"/>
              </w:rPr>
              <w:t>payments</w:t>
            </w:r>
          </w:p>
        </w:tc>
        <w:tc>
          <w:tcPr>
            <w:tcW w:w="943" w:type="dxa"/>
          </w:tcPr>
          <w:p>
            <w:pPr>
              <w:pStyle w:val="TableParagraph"/>
              <w:spacing w:line="159" w:lineRule="exact" w:before="12"/>
              <w:ind w:right="25"/>
              <w:jc w:val="right"/>
              <w:rPr>
                <w:sz w:val="14"/>
              </w:rPr>
            </w:pPr>
            <w:r>
              <w:rPr>
                <w:color w:val="231F20"/>
                <w:spacing w:val="-2"/>
                <w:sz w:val="14"/>
              </w:rPr>
              <w:t>(1,477,174)</w:t>
            </w:r>
          </w:p>
        </w:tc>
        <w:tc>
          <w:tcPr>
            <w:tcW w:w="163" w:type="dxa"/>
          </w:tcPr>
          <w:p>
            <w:pPr>
              <w:pStyle w:val="TableParagraph"/>
              <w:rPr>
                <w:rFonts w:ascii="Times New Roman"/>
                <w:sz w:val="12"/>
              </w:rPr>
            </w:pPr>
          </w:p>
        </w:tc>
        <w:tc>
          <w:tcPr>
            <w:tcW w:w="944" w:type="dxa"/>
          </w:tcPr>
          <w:p>
            <w:pPr>
              <w:pStyle w:val="TableParagraph"/>
              <w:spacing w:line="159" w:lineRule="exact" w:before="12"/>
              <w:ind w:right="25"/>
              <w:jc w:val="right"/>
              <w:rPr>
                <w:sz w:val="14"/>
              </w:rPr>
            </w:pPr>
            <w:r>
              <w:rPr>
                <w:color w:val="231F20"/>
                <w:spacing w:val="-2"/>
                <w:sz w:val="14"/>
              </w:rPr>
              <w:t>(1,273,462)</w:t>
            </w:r>
          </w:p>
        </w:tc>
        <w:tc>
          <w:tcPr>
            <w:tcW w:w="162" w:type="dxa"/>
          </w:tcPr>
          <w:p>
            <w:pPr>
              <w:pStyle w:val="TableParagraph"/>
              <w:rPr>
                <w:rFonts w:ascii="Times New Roman"/>
                <w:sz w:val="12"/>
              </w:rPr>
            </w:pPr>
          </w:p>
        </w:tc>
        <w:tc>
          <w:tcPr>
            <w:tcW w:w="944" w:type="dxa"/>
          </w:tcPr>
          <w:p>
            <w:pPr>
              <w:pStyle w:val="TableParagraph"/>
              <w:spacing w:line="159" w:lineRule="exact" w:before="12"/>
              <w:ind w:right="25"/>
              <w:jc w:val="right"/>
              <w:rPr>
                <w:sz w:val="14"/>
              </w:rPr>
            </w:pPr>
            <w:r>
              <w:rPr>
                <w:color w:val="231F20"/>
                <w:spacing w:val="-2"/>
                <w:sz w:val="14"/>
              </w:rPr>
              <w:t>(61,287)</w:t>
            </w:r>
          </w:p>
        </w:tc>
        <w:tc>
          <w:tcPr>
            <w:tcW w:w="162" w:type="dxa"/>
          </w:tcPr>
          <w:p>
            <w:pPr>
              <w:pStyle w:val="TableParagraph"/>
              <w:rPr>
                <w:rFonts w:ascii="Times New Roman"/>
                <w:sz w:val="12"/>
              </w:rPr>
            </w:pPr>
          </w:p>
        </w:tc>
        <w:tc>
          <w:tcPr>
            <w:tcW w:w="944" w:type="dxa"/>
          </w:tcPr>
          <w:p>
            <w:pPr>
              <w:pStyle w:val="TableParagraph"/>
              <w:spacing w:line="159" w:lineRule="exact" w:before="12"/>
              <w:ind w:right="23"/>
              <w:jc w:val="right"/>
              <w:rPr>
                <w:sz w:val="14"/>
              </w:rPr>
            </w:pPr>
            <w:r>
              <w:rPr>
                <w:color w:val="231F20"/>
                <w:spacing w:val="-2"/>
                <w:sz w:val="14"/>
              </w:rPr>
              <w:t>(649,187)</w:t>
            </w:r>
          </w:p>
        </w:tc>
        <w:tc>
          <w:tcPr>
            <w:tcW w:w="162" w:type="dxa"/>
          </w:tcPr>
          <w:p>
            <w:pPr>
              <w:pStyle w:val="TableParagraph"/>
              <w:rPr>
                <w:rFonts w:ascii="Times New Roman"/>
                <w:sz w:val="12"/>
              </w:rPr>
            </w:pPr>
          </w:p>
        </w:tc>
        <w:tc>
          <w:tcPr>
            <w:tcW w:w="944" w:type="dxa"/>
          </w:tcPr>
          <w:p>
            <w:pPr>
              <w:pStyle w:val="TableParagraph"/>
              <w:spacing w:line="159" w:lineRule="exact" w:before="12"/>
              <w:ind w:right="22"/>
              <w:jc w:val="right"/>
              <w:rPr>
                <w:sz w:val="14"/>
              </w:rPr>
            </w:pPr>
            <w:r>
              <w:rPr>
                <w:color w:val="231F20"/>
                <w:spacing w:val="-2"/>
                <w:sz w:val="14"/>
              </w:rPr>
              <w:t>(1,490,341)</w:t>
            </w:r>
          </w:p>
        </w:tc>
        <w:tc>
          <w:tcPr>
            <w:tcW w:w="162" w:type="dxa"/>
          </w:tcPr>
          <w:p>
            <w:pPr>
              <w:pStyle w:val="TableParagraph"/>
              <w:rPr>
                <w:rFonts w:ascii="Times New Roman"/>
                <w:sz w:val="12"/>
              </w:rPr>
            </w:pPr>
          </w:p>
        </w:tc>
        <w:tc>
          <w:tcPr>
            <w:tcW w:w="943" w:type="dxa"/>
          </w:tcPr>
          <w:p>
            <w:pPr>
              <w:pStyle w:val="TableParagraph"/>
              <w:spacing w:line="159" w:lineRule="exact" w:before="12"/>
              <w:ind w:right="21"/>
              <w:jc w:val="right"/>
              <w:rPr>
                <w:sz w:val="14"/>
              </w:rPr>
            </w:pPr>
            <w:r>
              <w:rPr>
                <w:color w:val="231F20"/>
                <w:spacing w:val="-2"/>
                <w:sz w:val="14"/>
              </w:rPr>
              <w:t>(930,054)</w:t>
            </w:r>
          </w:p>
        </w:tc>
      </w:tr>
      <w:tr>
        <w:trPr>
          <w:trHeight w:val="191" w:hRule="atLeast"/>
        </w:trPr>
        <w:tc>
          <w:tcPr>
            <w:tcW w:w="2902" w:type="dxa"/>
          </w:tcPr>
          <w:p>
            <w:pPr>
              <w:pStyle w:val="TableParagraph"/>
              <w:spacing w:line="159" w:lineRule="exact" w:before="12"/>
              <w:ind w:left="50"/>
              <w:rPr>
                <w:sz w:val="14"/>
              </w:rPr>
            </w:pPr>
            <w:r>
              <w:rPr>
                <w:color w:val="231F20"/>
                <w:w w:val="95"/>
                <w:sz w:val="14"/>
              </w:rPr>
              <w:t>Administrative</w:t>
            </w:r>
            <w:r>
              <w:rPr>
                <w:color w:val="231F20"/>
                <w:spacing w:val="24"/>
                <w:sz w:val="14"/>
              </w:rPr>
              <w:t> </w:t>
            </w:r>
            <w:r>
              <w:rPr>
                <w:color w:val="231F20"/>
                <w:spacing w:val="-2"/>
                <w:w w:val="95"/>
                <w:sz w:val="14"/>
              </w:rPr>
              <w:t>expenses</w:t>
            </w:r>
          </w:p>
        </w:tc>
        <w:tc>
          <w:tcPr>
            <w:tcW w:w="943" w:type="dxa"/>
          </w:tcPr>
          <w:p>
            <w:pPr>
              <w:pStyle w:val="TableParagraph"/>
              <w:spacing w:line="159" w:lineRule="exact" w:before="12"/>
              <w:ind w:right="25"/>
              <w:jc w:val="right"/>
              <w:rPr>
                <w:sz w:val="14"/>
              </w:rPr>
            </w:pPr>
            <w:r>
              <w:rPr>
                <w:color w:val="231F20"/>
                <w:spacing w:val="-2"/>
                <w:sz w:val="14"/>
              </w:rPr>
              <w:t>(97,012)</w:t>
            </w:r>
          </w:p>
        </w:tc>
        <w:tc>
          <w:tcPr>
            <w:tcW w:w="163" w:type="dxa"/>
          </w:tcPr>
          <w:p>
            <w:pPr>
              <w:pStyle w:val="TableParagraph"/>
              <w:rPr>
                <w:rFonts w:ascii="Times New Roman"/>
                <w:sz w:val="12"/>
              </w:rPr>
            </w:pPr>
          </w:p>
        </w:tc>
        <w:tc>
          <w:tcPr>
            <w:tcW w:w="944" w:type="dxa"/>
          </w:tcPr>
          <w:p>
            <w:pPr>
              <w:pStyle w:val="TableParagraph"/>
              <w:spacing w:line="159" w:lineRule="exact" w:before="12"/>
              <w:ind w:right="25"/>
              <w:jc w:val="right"/>
              <w:rPr>
                <w:sz w:val="14"/>
              </w:rPr>
            </w:pPr>
            <w:r>
              <w:rPr>
                <w:color w:val="231F20"/>
                <w:spacing w:val="-2"/>
                <w:sz w:val="14"/>
              </w:rPr>
              <w:t>(88,179)</w:t>
            </w:r>
          </w:p>
        </w:tc>
        <w:tc>
          <w:tcPr>
            <w:tcW w:w="162" w:type="dxa"/>
          </w:tcPr>
          <w:p>
            <w:pPr>
              <w:pStyle w:val="TableParagraph"/>
              <w:rPr>
                <w:rFonts w:ascii="Times New Roman"/>
                <w:sz w:val="12"/>
              </w:rPr>
            </w:pPr>
          </w:p>
        </w:tc>
        <w:tc>
          <w:tcPr>
            <w:tcW w:w="944" w:type="dxa"/>
          </w:tcPr>
          <w:p>
            <w:pPr>
              <w:pStyle w:val="TableParagraph"/>
              <w:spacing w:line="159" w:lineRule="exact" w:before="12"/>
              <w:ind w:right="24"/>
              <w:jc w:val="right"/>
              <w:rPr>
                <w:sz w:val="14"/>
              </w:rPr>
            </w:pPr>
            <w:r>
              <w:rPr>
                <w:color w:val="231F20"/>
                <w:spacing w:val="-2"/>
                <w:sz w:val="14"/>
              </w:rPr>
              <w:t>(306,363)</w:t>
            </w:r>
          </w:p>
        </w:tc>
        <w:tc>
          <w:tcPr>
            <w:tcW w:w="162" w:type="dxa"/>
          </w:tcPr>
          <w:p>
            <w:pPr>
              <w:pStyle w:val="TableParagraph"/>
              <w:rPr>
                <w:rFonts w:ascii="Times New Roman"/>
                <w:sz w:val="12"/>
              </w:rPr>
            </w:pPr>
          </w:p>
        </w:tc>
        <w:tc>
          <w:tcPr>
            <w:tcW w:w="944" w:type="dxa"/>
          </w:tcPr>
          <w:p>
            <w:pPr>
              <w:pStyle w:val="TableParagraph"/>
              <w:spacing w:line="159" w:lineRule="exact" w:before="12"/>
              <w:ind w:right="23"/>
              <w:jc w:val="right"/>
              <w:rPr>
                <w:sz w:val="14"/>
              </w:rPr>
            </w:pPr>
            <w:r>
              <w:rPr>
                <w:color w:val="231F20"/>
                <w:spacing w:val="-2"/>
                <w:sz w:val="14"/>
              </w:rPr>
              <w:t>(359,518)</w:t>
            </w:r>
          </w:p>
        </w:tc>
        <w:tc>
          <w:tcPr>
            <w:tcW w:w="162" w:type="dxa"/>
          </w:tcPr>
          <w:p>
            <w:pPr>
              <w:pStyle w:val="TableParagraph"/>
              <w:rPr>
                <w:rFonts w:ascii="Times New Roman"/>
                <w:sz w:val="12"/>
              </w:rPr>
            </w:pPr>
          </w:p>
        </w:tc>
        <w:tc>
          <w:tcPr>
            <w:tcW w:w="944" w:type="dxa"/>
          </w:tcPr>
          <w:p>
            <w:pPr>
              <w:pStyle w:val="TableParagraph"/>
              <w:spacing w:line="159" w:lineRule="exact" w:before="12"/>
              <w:ind w:right="23"/>
              <w:jc w:val="right"/>
              <w:rPr>
                <w:sz w:val="14"/>
              </w:rPr>
            </w:pPr>
            <w:r>
              <w:rPr>
                <w:color w:val="231F20"/>
                <w:spacing w:val="-2"/>
                <w:sz w:val="14"/>
              </w:rPr>
              <w:t>(378,843)</w:t>
            </w:r>
          </w:p>
        </w:tc>
        <w:tc>
          <w:tcPr>
            <w:tcW w:w="162" w:type="dxa"/>
          </w:tcPr>
          <w:p>
            <w:pPr>
              <w:pStyle w:val="TableParagraph"/>
              <w:rPr>
                <w:rFonts w:ascii="Times New Roman"/>
                <w:sz w:val="12"/>
              </w:rPr>
            </w:pPr>
          </w:p>
        </w:tc>
        <w:tc>
          <w:tcPr>
            <w:tcW w:w="943" w:type="dxa"/>
          </w:tcPr>
          <w:p>
            <w:pPr>
              <w:pStyle w:val="TableParagraph"/>
              <w:spacing w:line="159" w:lineRule="exact" w:before="12"/>
              <w:ind w:right="21"/>
              <w:jc w:val="right"/>
              <w:rPr>
                <w:sz w:val="14"/>
              </w:rPr>
            </w:pPr>
            <w:r>
              <w:rPr>
                <w:color w:val="231F20"/>
                <w:spacing w:val="-2"/>
                <w:sz w:val="14"/>
              </w:rPr>
              <w:t>(388,416)</w:t>
            </w:r>
          </w:p>
        </w:tc>
      </w:tr>
      <w:tr>
        <w:trPr>
          <w:trHeight w:val="184" w:hRule="atLeast"/>
        </w:trPr>
        <w:tc>
          <w:tcPr>
            <w:tcW w:w="2902" w:type="dxa"/>
          </w:tcPr>
          <w:p>
            <w:pPr>
              <w:pStyle w:val="TableParagraph"/>
              <w:spacing w:line="152" w:lineRule="exact" w:before="12"/>
              <w:ind w:left="50"/>
              <w:rPr>
                <w:sz w:val="14"/>
              </w:rPr>
            </w:pPr>
            <w:r>
              <w:rPr>
                <w:color w:val="231F20"/>
                <w:spacing w:val="-2"/>
                <w:sz w:val="14"/>
              </w:rPr>
              <w:t>Other</w:t>
            </w:r>
          </w:p>
        </w:tc>
        <w:tc>
          <w:tcPr>
            <w:tcW w:w="943" w:type="dxa"/>
            <w:tcBorders>
              <w:bottom w:val="single" w:sz="8" w:space="0" w:color="231F20"/>
            </w:tcBorders>
          </w:tcPr>
          <w:p>
            <w:pPr>
              <w:pStyle w:val="TableParagraph"/>
              <w:spacing w:line="152" w:lineRule="exact" w:before="12"/>
              <w:ind w:right="71"/>
              <w:jc w:val="right"/>
              <w:rPr>
                <w:sz w:val="14"/>
              </w:rPr>
            </w:pPr>
            <w:r>
              <w:rPr>
                <w:color w:val="231F20"/>
                <w:spacing w:val="-2"/>
                <w:sz w:val="14"/>
              </w:rPr>
              <w:t>147,159</w:t>
            </w:r>
          </w:p>
        </w:tc>
        <w:tc>
          <w:tcPr>
            <w:tcW w:w="163" w:type="dxa"/>
          </w:tcPr>
          <w:p>
            <w:pPr>
              <w:pStyle w:val="TableParagraph"/>
              <w:rPr>
                <w:rFonts w:ascii="Times New Roman"/>
                <w:sz w:val="12"/>
              </w:rPr>
            </w:pPr>
          </w:p>
        </w:tc>
        <w:tc>
          <w:tcPr>
            <w:tcW w:w="944" w:type="dxa"/>
            <w:tcBorders>
              <w:bottom w:val="single" w:sz="8" w:space="0" w:color="231F20"/>
            </w:tcBorders>
          </w:tcPr>
          <w:p>
            <w:pPr>
              <w:pStyle w:val="TableParagraph"/>
              <w:spacing w:line="152" w:lineRule="exact" w:before="12"/>
              <w:ind w:right="71"/>
              <w:jc w:val="right"/>
              <w:rPr>
                <w:sz w:val="14"/>
              </w:rPr>
            </w:pPr>
            <w:r>
              <w:rPr>
                <w:color w:val="231F20"/>
                <w:spacing w:val="-2"/>
                <w:sz w:val="14"/>
              </w:rPr>
              <w:t>5,952</w:t>
            </w:r>
          </w:p>
        </w:tc>
        <w:tc>
          <w:tcPr>
            <w:tcW w:w="162" w:type="dxa"/>
          </w:tcPr>
          <w:p>
            <w:pPr>
              <w:pStyle w:val="TableParagraph"/>
              <w:rPr>
                <w:rFonts w:ascii="Times New Roman"/>
                <w:sz w:val="12"/>
              </w:rPr>
            </w:pPr>
          </w:p>
        </w:tc>
        <w:tc>
          <w:tcPr>
            <w:tcW w:w="944" w:type="dxa"/>
            <w:tcBorders>
              <w:bottom w:val="single" w:sz="8" w:space="0" w:color="231F20"/>
            </w:tcBorders>
          </w:tcPr>
          <w:p>
            <w:pPr>
              <w:pStyle w:val="TableParagraph"/>
              <w:spacing w:line="152" w:lineRule="exact" w:before="12"/>
              <w:ind w:right="24"/>
              <w:jc w:val="right"/>
              <w:rPr>
                <w:sz w:val="14"/>
              </w:rPr>
            </w:pPr>
            <w:r>
              <w:rPr>
                <w:color w:val="231F20"/>
                <w:spacing w:val="-2"/>
                <w:sz w:val="14"/>
              </w:rPr>
              <w:t>(3,713,586)</w:t>
            </w:r>
          </w:p>
        </w:tc>
        <w:tc>
          <w:tcPr>
            <w:tcW w:w="162" w:type="dxa"/>
          </w:tcPr>
          <w:p>
            <w:pPr>
              <w:pStyle w:val="TableParagraph"/>
              <w:rPr>
                <w:rFonts w:ascii="Times New Roman"/>
                <w:sz w:val="12"/>
              </w:rPr>
            </w:pPr>
          </w:p>
        </w:tc>
        <w:tc>
          <w:tcPr>
            <w:tcW w:w="944" w:type="dxa"/>
            <w:tcBorders>
              <w:bottom w:val="single" w:sz="8" w:space="0" w:color="231F20"/>
            </w:tcBorders>
          </w:tcPr>
          <w:p>
            <w:pPr>
              <w:pStyle w:val="TableParagraph"/>
              <w:spacing w:line="152" w:lineRule="exact" w:before="12"/>
              <w:ind w:right="24"/>
              <w:jc w:val="right"/>
              <w:rPr>
                <w:sz w:val="14"/>
              </w:rPr>
            </w:pPr>
            <w:r>
              <w:rPr>
                <w:color w:val="231F20"/>
                <w:spacing w:val="-2"/>
                <w:sz w:val="14"/>
              </w:rPr>
              <w:t>(5,899,903)</w:t>
            </w:r>
          </w:p>
        </w:tc>
        <w:tc>
          <w:tcPr>
            <w:tcW w:w="162" w:type="dxa"/>
          </w:tcPr>
          <w:p>
            <w:pPr>
              <w:pStyle w:val="TableParagraph"/>
              <w:rPr>
                <w:rFonts w:ascii="Times New Roman"/>
                <w:sz w:val="12"/>
              </w:rPr>
            </w:pPr>
          </w:p>
        </w:tc>
        <w:tc>
          <w:tcPr>
            <w:tcW w:w="944" w:type="dxa"/>
            <w:tcBorders>
              <w:bottom w:val="single" w:sz="8" w:space="0" w:color="231F20"/>
            </w:tcBorders>
          </w:tcPr>
          <w:p>
            <w:pPr>
              <w:pStyle w:val="TableParagraph"/>
              <w:spacing w:line="152" w:lineRule="exact" w:before="12"/>
              <w:ind w:right="23"/>
              <w:jc w:val="right"/>
              <w:rPr>
                <w:sz w:val="14"/>
              </w:rPr>
            </w:pPr>
            <w:r>
              <w:rPr>
                <w:color w:val="231F20"/>
                <w:spacing w:val="-2"/>
                <w:sz w:val="14"/>
              </w:rPr>
              <w:t>(6,132,822)</w:t>
            </w:r>
          </w:p>
        </w:tc>
        <w:tc>
          <w:tcPr>
            <w:tcW w:w="162" w:type="dxa"/>
          </w:tcPr>
          <w:p>
            <w:pPr>
              <w:pStyle w:val="TableParagraph"/>
              <w:rPr>
                <w:rFonts w:ascii="Times New Roman"/>
                <w:sz w:val="12"/>
              </w:rPr>
            </w:pPr>
          </w:p>
        </w:tc>
        <w:tc>
          <w:tcPr>
            <w:tcW w:w="943" w:type="dxa"/>
            <w:tcBorders>
              <w:bottom w:val="single" w:sz="8" w:space="0" w:color="231F20"/>
            </w:tcBorders>
          </w:tcPr>
          <w:p>
            <w:pPr>
              <w:pStyle w:val="TableParagraph"/>
              <w:spacing w:line="152" w:lineRule="exact" w:before="12"/>
              <w:ind w:right="22"/>
              <w:jc w:val="right"/>
              <w:rPr>
                <w:sz w:val="14"/>
              </w:rPr>
            </w:pPr>
            <w:r>
              <w:rPr>
                <w:color w:val="231F20"/>
                <w:spacing w:val="-2"/>
                <w:sz w:val="14"/>
              </w:rPr>
              <w:t>(5,963,176)</w:t>
            </w:r>
          </w:p>
        </w:tc>
      </w:tr>
      <w:tr>
        <w:trPr>
          <w:trHeight w:val="178" w:hRule="atLeast"/>
        </w:trPr>
        <w:tc>
          <w:tcPr>
            <w:tcW w:w="2902" w:type="dxa"/>
          </w:tcPr>
          <w:p>
            <w:pPr>
              <w:pStyle w:val="TableParagraph"/>
              <w:spacing w:line="159" w:lineRule="exact"/>
              <w:ind w:left="293"/>
              <w:rPr>
                <w:sz w:val="14"/>
              </w:rPr>
            </w:pPr>
            <w:r>
              <w:rPr>
                <w:color w:val="231F20"/>
                <w:sz w:val="14"/>
              </w:rPr>
              <w:t>Net</w:t>
            </w:r>
            <w:r>
              <w:rPr>
                <w:color w:val="231F20"/>
                <w:spacing w:val="-9"/>
                <w:sz w:val="14"/>
              </w:rPr>
              <w:t> </w:t>
            </w:r>
            <w:r>
              <w:rPr>
                <w:color w:val="231F20"/>
                <w:sz w:val="14"/>
              </w:rPr>
              <w:t>change</w:t>
            </w:r>
            <w:r>
              <w:rPr>
                <w:color w:val="231F20"/>
                <w:spacing w:val="-8"/>
                <w:sz w:val="14"/>
              </w:rPr>
              <w:t> </w:t>
            </w:r>
            <w:r>
              <w:rPr>
                <w:color w:val="231F20"/>
                <w:sz w:val="14"/>
              </w:rPr>
              <w:t>in</w:t>
            </w:r>
            <w:r>
              <w:rPr>
                <w:color w:val="231F20"/>
                <w:spacing w:val="-8"/>
                <w:sz w:val="14"/>
              </w:rPr>
              <w:t> </w:t>
            </w:r>
            <w:r>
              <w:rPr>
                <w:color w:val="231F20"/>
                <w:sz w:val="14"/>
              </w:rPr>
              <w:t>plan</w:t>
            </w:r>
            <w:r>
              <w:rPr>
                <w:color w:val="231F20"/>
                <w:spacing w:val="-8"/>
                <w:sz w:val="14"/>
              </w:rPr>
              <w:t> </w:t>
            </w:r>
            <w:r>
              <w:rPr>
                <w:color w:val="231F20"/>
                <w:sz w:val="14"/>
              </w:rPr>
              <w:t>fiduciary</w:t>
            </w:r>
            <w:r>
              <w:rPr>
                <w:color w:val="231F20"/>
                <w:spacing w:val="-10"/>
                <w:sz w:val="14"/>
              </w:rPr>
              <w:t> </w:t>
            </w:r>
            <w:r>
              <w:rPr>
                <w:color w:val="231F20"/>
                <w:spacing w:val="-2"/>
                <w:sz w:val="14"/>
              </w:rPr>
              <w:t>position</w:t>
            </w:r>
          </w:p>
        </w:tc>
        <w:tc>
          <w:tcPr>
            <w:tcW w:w="943" w:type="dxa"/>
            <w:tcBorders>
              <w:top w:val="single" w:sz="8" w:space="0" w:color="231F20"/>
            </w:tcBorders>
          </w:tcPr>
          <w:p>
            <w:pPr>
              <w:pStyle w:val="TableParagraph"/>
              <w:spacing w:line="159" w:lineRule="exact"/>
              <w:ind w:right="73"/>
              <w:jc w:val="right"/>
              <w:rPr>
                <w:sz w:val="14"/>
              </w:rPr>
            </w:pPr>
            <w:r>
              <w:rPr>
                <w:color w:val="231F20"/>
                <w:spacing w:val="-2"/>
                <w:sz w:val="14"/>
              </w:rPr>
              <w:t>711,742</w:t>
            </w:r>
          </w:p>
        </w:tc>
        <w:tc>
          <w:tcPr>
            <w:tcW w:w="163" w:type="dxa"/>
          </w:tcPr>
          <w:p>
            <w:pPr>
              <w:pStyle w:val="TableParagraph"/>
              <w:rPr>
                <w:rFonts w:ascii="Times New Roman"/>
                <w:sz w:val="12"/>
              </w:rPr>
            </w:pPr>
          </w:p>
        </w:tc>
        <w:tc>
          <w:tcPr>
            <w:tcW w:w="944" w:type="dxa"/>
            <w:tcBorders>
              <w:top w:val="single" w:sz="8" w:space="0" w:color="231F20"/>
            </w:tcBorders>
          </w:tcPr>
          <w:p>
            <w:pPr>
              <w:pStyle w:val="TableParagraph"/>
              <w:spacing w:line="159" w:lineRule="exact"/>
              <w:ind w:right="71"/>
              <w:jc w:val="right"/>
              <w:rPr>
                <w:sz w:val="14"/>
              </w:rPr>
            </w:pPr>
            <w:r>
              <w:rPr>
                <w:color w:val="231F20"/>
                <w:spacing w:val="-2"/>
                <w:sz w:val="14"/>
              </w:rPr>
              <w:t>84,972</w:t>
            </w:r>
          </w:p>
        </w:tc>
        <w:tc>
          <w:tcPr>
            <w:tcW w:w="162" w:type="dxa"/>
          </w:tcPr>
          <w:p>
            <w:pPr>
              <w:pStyle w:val="TableParagraph"/>
              <w:rPr>
                <w:rFonts w:ascii="Times New Roman"/>
                <w:sz w:val="12"/>
              </w:rPr>
            </w:pPr>
          </w:p>
        </w:tc>
        <w:tc>
          <w:tcPr>
            <w:tcW w:w="944" w:type="dxa"/>
            <w:tcBorders>
              <w:top w:val="single" w:sz="8" w:space="0" w:color="231F20"/>
            </w:tcBorders>
          </w:tcPr>
          <w:p>
            <w:pPr>
              <w:pStyle w:val="TableParagraph"/>
              <w:spacing w:line="159" w:lineRule="exact"/>
              <w:ind w:right="24"/>
              <w:jc w:val="right"/>
              <w:rPr>
                <w:sz w:val="14"/>
              </w:rPr>
            </w:pPr>
            <w:r>
              <w:rPr>
                <w:color w:val="231F20"/>
                <w:spacing w:val="-2"/>
                <w:sz w:val="14"/>
              </w:rPr>
              <w:t>(61,288)</w:t>
            </w:r>
          </w:p>
        </w:tc>
        <w:tc>
          <w:tcPr>
            <w:tcW w:w="162" w:type="dxa"/>
          </w:tcPr>
          <w:p>
            <w:pPr>
              <w:pStyle w:val="TableParagraph"/>
              <w:rPr>
                <w:rFonts w:ascii="Times New Roman"/>
                <w:sz w:val="12"/>
              </w:rPr>
            </w:pPr>
          </w:p>
        </w:tc>
        <w:tc>
          <w:tcPr>
            <w:tcW w:w="944" w:type="dxa"/>
            <w:tcBorders>
              <w:top w:val="single" w:sz="8" w:space="0" w:color="231F20"/>
            </w:tcBorders>
          </w:tcPr>
          <w:p>
            <w:pPr>
              <w:pStyle w:val="TableParagraph"/>
              <w:spacing w:line="159" w:lineRule="exact"/>
              <w:ind w:left="372"/>
              <w:rPr>
                <w:sz w:val="14"/>
              </w:rPr>
            </w:pPr>
            <w:r>
              <w:rPr>
                <w:color w:val="231F20"/>
                <w:spacing w:val="-2"/>
                <w:sz w:val="14"/>
              </w:rPr>
              <w:t>649,188</w:t>
            </w:r>
          </w:p>
        </w:tc>
        <w:tc>
          <w:tcPr>
            <w:tcW w:w="162" w:type="dxa"/>
          </w:tcPr>
          <w:p>
            <w:pPr>
              <w:pStyle w:val="TableParagraph"/>
              <w:rPr>
                <w:rFonts w:ascii="Times New Roman"/>
                <w:sz w:val="12"/>
              </w:rPr>
            </w:pPr>
          </w:p>
        </w:tc>
        <w:tc>
          <w:tcPr>
            <w:tcW w:w="944" w:type="dxa"/>
            <w:tcBorders>
              <w:top w:val="single" w:sz="8" w:space="0" w:color="231F20"/>
            </w:tcBorders>
          </w:tcPr>
          <w:p>
            <w:pPr>
              <w:pStyle w:val="TableParagraph"/>
              <w:spacing w:line="159" w:lineRule="exact"/>
              <w:ind w:right="69"/>
              <w:jc w:val="right"/>
              <w:rPr>
                <w:sz w:val="14"/>
              </w:rPr>
            </w:pPr>
            <w:r>
              <w:rPr>
                <w:color w:val="231F20"/>
                <w:spacing w:val="-2"/>
                <w:sz w:val="14"/>
              </w:rPr>
              <w:t>911,385</w:t>
            </w:r>
          </w:p>
        </w:tc>
        <w:tc>
          <w:tcPr>
            <w:tcW w:w="162" w:type="dxa"/>
          </w:tcPr>
          <w:p>
            <w:pPr>
              <w:pStyle w:val="TableParagraph"/>
              <w:rPr>
                <w:rFonts w:ascii="Times New Roman"/>
                <w:sz w:val="12"/>
              </w:rPr>
            </w:pPr>
          </w:p>
        </w:tc>
        <w:tc>
          <w:tcPr>
            <w:tcW w:w="943" w:type="dxa"/>
            <w:tcBorders>
              <w:top w:val="single" w:sz="8" w:space="0" w:color="231F20"/>
            </w:tcBorders>
          </w:tcPr>
          <w:p>
            <w:pPr>
              <w:pStyle w:val="TableParagraph"/>
              <w:spacing w:line="159" w:lineRule="exact"/>
              <w:ind w:right="68"/>
              <w:jc w:val="right"/>
              <w:rPr>
                <w:sz w:val="14"/>
              </w:rPr>
            </w:pPr>
            <w:r>
              <w:rPr>
                <w:color w:val="231F20"/>
                <w:spacing w:val="-2"/>
                <w:sz w:val="14"/>
              </w:rPr>
              <w:t>1,312,762</w:t>
            </w:r>
          </w:p>
        </w:tc>
      </w:tr>
      <w:tr>
        <w:trPr>
          <w:trHeight w:val="163" w:hRule="atLeast"/>
        </w:trPr>
        <w:tc>
          <w:tcPr>
            <w:tcW w:w="2902" w:type="dxa"/>
          </w:tcPr>
          <w:p>
            <w:pPr>
              <w:pStyle w:val="TableParagraph"/>
              <w:spacing w:line="152" w:lineRule="exact" w:before="12"/>
              <w:ind w:left="50"/>
              <w:rPr>
                <w:sz w:val="14"/>
              </w:rPr>
            </w:pPr>
            <w:r>
              <w:rPr>
                <w:color w:val="231F20"/>
                <w:sz w:val="14"/>
              </w:rPr>
              <w:t>Plan</w:t>
            </w:r>
            <w:r>
              <w:rPr>
                <w:color w:val="231F20"/>
                <w:spacing w:val="-10"/>
                <w:sz w:val="14"/>
              </w:rPr>
              <w:t> </w:t>
            </w:r>
            <w:r>
              <w:rPr>
                <w:color w:val="231F20"/>
                <w:sz w:val="14"/>
              </w:rPr>
              <w:t>fiduciary</w:t>
            </w:r>
            <w:r>
              <w:rPr>
                <w:color w:val="231F20"/>
                <w:spacing w:val="-9"/>
                <w:sz w:val="14"/>
              </w:rPr>
              <w:t> </w:t>
            </w:r>
            <w:r>
              <w:rPr>
                <w:color w:val="231F20"/>
                <w:sz w:val="14"/>
              </w:rPr>
              <w:t>net</w:t>
            </w:r>
            <w:r>
              <w:rPr>
                <w:color w:val="231F20"/>
                <w:spacing w:val="-9"/>
                <w:sz w:val="14"/>
              </w:rPr>
              <w:t> </w:t>
            </w:r>
            <w:r>
              <w:rPr>
                <w:color w:val="231F20"/>
                <w:sz w:val="14"/>
              </w:rPr>
              <w:t>position,</w:t>
            </w:r>
            <w:r>
              <w:rPr>
                <w:color w:val="231F20"/>
                <w:spacing w:val="-9"/>
                <w:sz w:val="14"/>
              </w:rPr>
              <w:t> </w:t>
            </w:r>
            <w:r>
              <w:rPr>
                <w:color w:val="231F20"/>
                <w:spacing w:val="-2"/>
                <w:sz w:val="14"/>
              </w:rPr>
              <w:t>beginning</w:t>
            </w:r>
          </w:p>
        </w:tc>
        <w:tc>
          <w:tcPr>
            <w:tcW w:w="943" w:type="dxa"/>
            <w:tcBorders>
              <w:bottom w:val="single" w:sz="8" w:space="0" w:color="231F20"/>
            </w:tcBorders>
          </w:tcPr>
          <w:p>
            <w:pPr>
              <w:pStyle w:val="TableParagraph"/>
              <w:spacing w:line="152" w:lineRule="exact" w:before="12"/>
              <w:ind w:left="254"/>
              <w:rPr>
                <w:sz w:val="14"/>
              </w:rPr>
            </w:pPr>
            <w:r>
              <w:rPr>
                <w:color w:val="231F20"/>
                <w:spacing w:val="-2"/>
                <w:sz w:val="14"/>
              </w:rPr>
              <w:t>4,328,340</w:t>
            </w:r>
          </w:p>
        </w:tc>
        <w:tc>
          <w:tcPr>
            <w:tcW w:w="163" w:type="dxa"/>
          </w:tcPr>
          <w:p>
            <w:pPr>
              <w:pStyle w:val="TableParagraph"/>
              <w:rPr>
                <w:rFonts w:ascii="Times New Roman"/>
                <w:sz w:val="10"/>
              </w:rPr>
            </w:pPr>
          </w:p>
        </w:tc>
        <w:tc>
          <w:tcPr>
            <w:tcW w:w="944" w:type="dxa"/>
            <w:tcBorders>
              <w:bottom w:val="single" w:sz="8" w:space="0" w:color="231F20"/>
            </w:tcBorders>
          </w:tcPr>
          <w:p>
            <w:pPr>
              <w:pStyle w:val="TableParagraph"/>
              <w:spacing w:line="152" w:lineRule="exact" w:before="12"/>
              <w:ind w:right="72"/>
              <w:jc w:val="right"/>
              <w:rPr>
                <w:sz w:val="14"/>
              </w:rPr>
            </w:pPr>
            <w:r>
              <w:rPr>
                <w:color w:val="231F20"/>
                <w:spacing w:val="-2"/>
                <w:sz w:val="14"/>
              </w:rPr>
              <w:t>4,243,368</w:t>
            </w:r>
          </w:p>
        </w:tc>
        <w:tc>
          <w:tcPr>
            <w:tcW w:w="162" w:type="dxa"/>
          </w:tcPr>
          <w:p>
            <w:pPr>
              <w:pStyle w:val="TableParagraph"/>
              <w:rPr>
                <w:rFonts w:ascii="Times New Roman"/>
                <w:sz w:val="10"/>
              </w:rPr>
            </w:pPr>
          </w:p>
        </w:tc>
        <w:tc>
          <w:tcPr>
            <w:tcW w:w="944" w:type="dxa"/>
            <w:tcBorders>
              <w:bottom w:val="single" w:sz="8" w:space="0" w:color="231F20"/>
            </w:tcBorders>
          </w:tcPr>
          <w:p>
            <w:pPr>
              <w:pStyle w:val="TableParagraph"/>
              <w:spacing w:line="152" w:lineRule="exact" w:before="12"/>
              <w:ind w:right="71"/>
              <w:jc w:val="right"/>
              <w:rPr>
                <w:sz w:val="14"/>
              </w:rPr>
            </w:pPr>
            <w:r>
              <w:rPr>
                <w:color w:val="231F20"/>
                <w:spacing w:val="-2"/>
                <w:sz w:val="14"/>
              </w:rPr>
              <w:t>4,304,656</w:t>
            </w:r>
          </w:p>
        </w:tc>
        <w:tc>
          <w:tcPr>
            <w:tcW w:w="162" w:type="dxa"/>
          </w:tcPr>
          <w:p>
            <w:pPr>
              <w:pStyle w:val="TableParagraph"/>
              <w:rPr>
                <w:rFonts w:ascii="Times New Roman"/>
                <w:sz w:val="10"/>
              </w:rPr>
            </w:pPr>
          </w:p>
        </w:tc>
        <w:tc>
          <w:tcPr>
            <w:tcW w:w="944" w:type="dxa"/>
            <w:tcBorders>
              <w:bottom w:val="single" w:sz="8" w:space="0" w:color="231F20"/>
            </w:tcBorders>
          </w:tcPr>
          <w:p>
            <w:pPr>
              <w:pStyle w:val="TableParagraph"/>
              <w:spacing w:line="152" w:lineRule="exact" w:before="12"/>
              <w:ind w:left="257"/>
              <w:rPr>
                <w:sz w:val="14"/>
              </w:rPr>
            </w:pPr>
            <w:r>
              <w:rPr>
                <w:color w:val="231F20"/>
                <w:spacing w:val="-2"/>
                <w:sz w:val="14"/>
              </w:rPr>
              <w:t>3,655,468</w:t>
            </w:r>
          </w:p>
        </w:tc>
        <w:tc>
          <w:tcPr>
            <w:tcW w:w="162" w:type="dxa"/>
          </w:tcPr>
          <w:p>
            <w:pPr>
              <w:pStyle w:val="TableParagraph"/>
              <w:rPr>
                <w:rFonts w:ascii="Times New Roman"/>
                <w:sz w:val="10"/>
              </w:rPr>
            </w:pPr>
          </w:p>
        </w:tc>
        <w:tc>
          <w:tcPr>
            <w:tcW w:w="944" w:type="dxa"/>
            <w:tcBorders>
              <w:bottom w:val="single" w:sz="8" w:space="0" w:color="231F20"/>
            </w:tcBorders>
          </w:tcPr>
          <w:p>
            <w:pPr>
              <w:pStyle w:val="TableParagraph"/>
              <w:spacing w:line="152" w:lineRule="exact" w:before="12"/>
              <w:ind w:right="69"/>
              <w:jc w:val="right"/>
              <w:rPr>
                <w:sz w:val="14"/>
              </w:rPr>
            </w:pPr>
            <w:r>
              <w:rPr>
                <w:color w:val="231F20"/>
                <w:spacing w:val="-2"/>
                <w:sz w:val="14"/>
              </w:rPr>
              <w:t>2,744,083</w:t>
            </w:r>
          </w:p>
        </w:tc>
        <w:tc>
          <w:tcPr>
            <w:tcW w:w="162" w:type="dxa"/>
          </w:tcPr>
          <w:p>
            <w:pPr>
              <w:pStyle w:val="TableParagraph"/>
              <w:rPr>
                <w:rFonts w:ascii="Times New Roman"/>
                <w:sz w:val="12"/>
              </w:rPr>
            </w:pPr>
          </w:p>
        </w:tc>
        <w:tc>
          <w:tcPr>
            <w:tcW w:w="943" w:type="dxa"/>
            <w:tcBorders>
              <w:bottom w:val="single" w:sz="8" w:space="0" w:color="231F20"/>
            </w:tcBorders>
          </w:tcPr>
          <w:p>
            <w:pPr>
              <w:pStyle w:val="TableParagraph"/>
              <w:spacing w:line="152" w:lineRule="exact" w:before="12"/>
              <w:ind w:right="68"/>
              <w:jc w:val="right"/>
              <w:rPr>
                <w:sz w:val="14"/>
              </w:rPr>
            </w:pPr>
            <w:r>
              <w:rPr>
                <w:color w:val="231F20"/>
                <w:spacing w:val="-2"/>
                <w:sz w:val="14"/>
              </w:rPr>
              <w:t>1,431,321</w:t>
            </w:r>
          </w:p>
        </w:tc>
      </w:tr>
      <w:tr>
        <w:trPr>
          <w:trHeight w:val="192" w:hRule="atLeast"/>
        </w:trPr>
        <w:tc>
          <w:tcPr>
            <w:tcW w:w="2902" w:type="dxa"/>
          </w:tcPr>
          <w:p>
            <w:pPr>
              <w:pStyle w:val="TableParagraph"/>
              <w:spacing w:line="149" w:lineRule="exact"/>
              <w:ind w:left="50"/>
              <w:rPr>
                <w:sz w:val="14"/>
              </w:rPr>
            </w:pPr>
            <w:r>
              <w:rPr>
                <w:color w:val="231F20"/>
                <w:sz w:val="14"/>
              </w:rPr>
              <w:t>Plan</w:t>
            </w:r>
            <w:r>
              <w:rPr>
                <w:color w:val="231F20"/>
                <w:spacing w:val="-10"/>
                <w:sz w:val="14"/>
              </w:rPr>
              <w:t> </w:t>
            </w:r>
            <w:r>
              <w:rPr>
                <w:color w:val="231F20"/>
                <w:sz w:val="14"/>
              </w:rPr>
              <w:t>fiduciary</w:t>
            </w:r>
            <w:r>
              <w:rPr>
                <w:color w:val="231F20"/>
                <w:spacing w:val="-10"/>
                <w:sz w:val="14"/>
              </w:rPr>
              <w:t> </w:t>
            </w:r>
            <w:r>
              <w:rPr>
                <w:color w:val="231F20"/>
                <w:sz w:val="14"/>
              </w:rPr>
              <w:t>net</w:t>
            </w:r>
            <w:r>
              <w:rPr>
                <w:color w:val="231F20"/>
                <w:spacing w:val="-8"/>
                <w:sz w:val="14"/>
              </w:rPr>
              <w:t> </w:t>
            </w:r>
            <w:r>
              <w:rPr>
                <w:color w:val="231F20"/>
                <w:sz w:val="14"/>
              </w:rPr>
              <w:t>position,</w:t>
            </w:r>
            <w:r>
              <w:rPr>
                <w:color w:val="231F20"/>
                <w:spacing w:val="-9"/>
                <w:sz w:val="14"/>
              </w:rPr>
              <w:t> </w:t>
            </w:r>
            <w:r>
              <w:rPr>
                <w:color w:val="231F20"/>
                <w:sz w:val="14"/>
              </w:rPr>
              <w:t>ending</w:t>
            </w:r>
            <w:r>
              <w:rPr>
                <w:color w:val="231F20"/>
                <w:spacing w:val="-7"/>
                <w:sz w:val="14"/>
              </w:rPr>
              <w:t> </w:t>
            </w:r>
            <w:r>
              <w:rPr>
                <w:color w:val="231F20"/>
                <w:spacing w:val="-5"/>
                <w:sz w:val="14"/>
                <w:vertAlign w:val="superscript"/>
              </w:rPr>
              <w:t>(b)</w:t>
            </w:r>
          </w:p>
        </w:tc>
        <w:tc>
          <w:tcPr>
            <w:tcW w:w="943" w:type="dxa"/>
            <w:tcBorders>
              <w:top w:val="single" w:sz="8" w:space="0" w:color="231F20"/>
              <w:bottom w:val="single" w:sz="8" w:space="0" w:color="231F20"/>
            </w:tcBorders>
          </w:tcPr>
          <w:p>
            <w:pPr>
              <w:pStyle w:val="TableParagraph"/>
              <w:spacing w:line="151" w:lineRule="exact"/>
              <w:ind w:left="256"/>
              <w:rPr>
                <w:sz w:val="14"/>
              </w:rPr>
            </w:pPr>
            <w:r>
              <w:rPr>
                <w:color w:val="231F20"/>
                <w:spacing w:val="-2"/>
                <w:sz w:val="14"/>
              </w:rPr>
              <w:t>5,040,082</w:t>
            </w:r>
          </w:p>
        </w:tc>
        <w:tc>
          <w:tcPr>
            <w:tcW w:w="163" w:type="dxa"/>
          </w:tcPr>
          <w:p>
            <w:pPr>
              <w:pStyle w:val="TableParagraph"/>
              <w:rPr>
                <w:rFonts w:ascii="Times New Roman"/>
                <w:sz w:val="12"/>
              </w:rPr>
            </w:pPr>
          </w:p>
        </w:tc>
        <w:tc>
          <w:tcPr>
            <w:tcW w:w="944" w:type="dxa"/>
            <w:tcBorders>
              <w:top w:val="single" w:sz="8" w:space="0" w:color="231F20"/>
              <w:bottom w:val="single" w:sz="8" w:space="0" w:color="231F20"/>
            </w:tcBorders>
          </w:tcPr>
          <w:p>
            <w:pPr>
              <w:pStyle w:val="TableParagraph"/>
              <w:spacing w:line="151" w:lineRule="exact"/>
              <w:ind w:right="72"/>
              <w:jc w:val="right"/>
              <w:rPr>
                <w:sz w:val="14"/>
              </w:rPr>
            </w:pPr>
            <w:r>
              <w:rPr>
                <w:color w:val="231F20"/>
                <w:spacing w:val="-2"/>
                <w:sz w:val="14"/>
              </w:rPr>
              <w:t>4,328,340</w:t>
            </w:r>
          </w:p>
        </w:tc>
        <w:tc>
          <w:tcPr>
            <w:tcW w:w="162" w:type="dxa"/>
          </w:tcPr>
          <w:p>
            <w:pPr>
              <w:pStyle w:val="TableParagraph"/>
              <w:rPr>
                <w:rFonts w:ascii="Times New Roman"/>
                <w:sz w:val="12"/>
              </w:rPr>
            </w:pPr>
          </w:p>
        </w:tc>
        <w:tc>
          <w:tcPr>
            <w:tcW w:w="944" w:type="dxa"/>
            <w:tcBorders>
              <w:top w:val="single" w:sz="8" w:space="0" w:color="231F20"/>
              <w:bottom w:val="single" w:sz="8" w:space="0" w:color="231F20"/>
            </w:tcBorders>
          </w:tcPr>
          <w:p>
            <w:pPr>
              <w:pStyle w:val="TableParagraph"/>
              <w:spacing w:line="151" w:lineRule="exact"/>
              <w:ind w:right="71"/>
              <w:jc w:val="right"/>
              <w:rPr>
                <w:sz w:val="14"/>
              </w:rPr>
            </w:pPr>
            <w:r>
              <w:rPr>
                <w:color w:val="231F20"/>
                <w:spacing w:val="-2"/>
                <w:sz w:val="14"/>
              </w:rPr>
              <w:t>4,243,368</w:t>
            </w:r>
          </w:p>
        </w:tc>
        <w:tc>
          <w:tcPr>
            <w:tcW w:w="162" w:type="dxa"/>
          </w:tcPr>
          <w:p>
            <w:pPr>
              <w:pStyle w:val="TableParagraph"/>
              <w:rPr>
                <w:rFonts w:ascii="Times New Roman"/>
                <w:sz w:val="12"/>
              </w:rPr>
            </w:pPr>
          </w:p>
        </w:tc>
        <w:tc>
          <w:tcPr>
            <w:tcW w:w="944" w:type="dxa"/>
            <w:tcBorders>
              <w:top w:val="single" w:sz="8" w:space="0" w:color="231F20"/>
              <w:bottom w:val="single" w:sz="8" w:space="0" w:color="231F20"/>
            </w:tcBorders>
          </w:tcPr>
          <w:p>
            <w:pPr>
              <w:pStyle w:val="TableParagraph"/>
              <w:spacing w:line="151" w:lineRule="exact"/>
              <w:ind w:left="258"/>
              <w:rPr>
                <w:sz w:val="14"/>
              </w:rPr>
            </w:pPr>
            <w:r>
              <w:rPr>
                <w:color w:val="231F20"/>
                <w:spacing w:val="-2"/>
                <w:sz w:val="14"/>
              </w:rPr>
              <w:t>4,304,656</w:t>
            </w:r>
          </w:p>
        </w:tc>
        <w:tc>
          <w:tcPr>
            <w:tcW w:w="162" w:type="dxa"/>
          </w:tcPr>
          <w:p>
            <w:pPr>
              <w:pStyle w:val="TableParagraph"/>
              <w:rPr>
                <w:rFonts w:ascii="Times New Roman"/>
                <w:sz w:val="12"/>
              </w:rPr>
            </w:pPr>
          </w:p>
        </w:tc>
        <w:tc>
          <w:tcPr>
            <w:tcW w:w="944" w:type="dxa"/>
            <w:tcBorders>
              <w:top w:val="single" w:sz="8" w:space="0" w:color="231F20"/>
              <w:bottom w:val="single" w:sz="8" w:space="0" w:color="231F20"/>
            </w:tcBorders>
          </w:tcPr>
          <w:p>
            <w:pPr>
              <w:pStyle w:val="TableParagraph"/>
              <w:spacing w:line="151" w:lineRule="exact"/>
              <w:ind w:right="69"/>
              <w:jc w:val="right"/>
              <w:rPr>
                <w:sz w:val="14"/>
              </w:rPr>
            </w:pPr>
            <w:r>
              <w:rPr>
                <w:color w:val="231F20"/>
                <w:spacing w:val="-2"/>
                <w:sz w:val="14"/>
              </w:rPr>
              <w:t>3,655,468</w:t>
            </w:r>
          </w:p>
        </w:tc>
        <w:tc>
          <w:tcPr>
            <w:tcW w:w="162" w:type="dxa"/>
          </w:tcPr>
          <w:p>
            <w:pPr>
              <w:pStyle w:val="TableParagraph"/>
              <w:rPr>
                <w:rFonts w:ascii="Times New Roman"/>
                <w:sz w:val="10"/>
              </w:rPr>
            </w:pPr>
          </w:p>
        </w:tc>
        <w:tc>
          <w:tcPr>
            <w:tcW w:w="943" w:type="dxa"/>
            <w:tcBorders>
              <w:top w:val="single" w:sz="8" w:space="0" w:color="231F20"/>
              <w:bottom w:val="single" w:sz="8" w:space="0" w:color="231F20"/>
            </w:tcBorders>
          </w:tcPr>
          <w:p>
            <w:pPr>
              <w:pStyle w:val="TableParagraph"/>
              <w:spacing w:line="151" w:lineRule="exact"/>
              <w:ind w:right="67"/>
              <w:jc w:val="right"/>
              <w:rPr>
                <w:sz w:val="14"/>
              </w:rPr>
            </w:pPr>
            <w:r>
              <w:rPr>
                <w:color w:val="231F20"/>
                <w:spacing w:val="-2"/>
                <w:sz w:val="14"/>
              </w:rPr>
              <w:t>2,744,083</w:t>
            </w:r>
          </w:p>
        </w:tc>
      </w:tr>
      <w:tr>
        <w:trPr>
          <w:trHeight w:val="442" w:hRule="atLeast"/>
        </w:trPr>
        <w:tc>
          <w:tcPr>
            <w:tcW w:w="2902" w:type="dxa"/>
          </w:tcPr>
          <w:p>
            <w:pPr>
              <w:pStyle w:val="TableParagraph"/>
              <w:spacing w:before="2"/>
              <w:rPr>
                <w:sz w:val="18"/>
              </w:rPr>
            </w:pPr>
          </w:p>
          <w:p>
            <w:pPr>
              <w:pStyle w:val="TableParagraph"/>
              <w:spacing w:before="1"/>
              <w:ind w:left="294"/>
              <w:rPr>
                <w:sz w:val="14"/>
              </w:rPr>
            </w:pPr>
            <w:r>
              <w:rPr>
                <w:color w:val="231F20"/>
                <w:sz w:val="14"/>
              </w:rPr>
              <w:t>Net</w:t>
            </w:r>
            <w:r>
              <w:rPr>
                <w:color w:val="231F20"/>
                <w:spacing w:val="-10"/>
                <w:sz w:val="14"/>
              </w:rPr>
              <w:t> </w:t>
            </w:r>
            <w:r>
              <w:rPr>
                <w:color w:val="231F20"/>
                <w:sz w:val="14"/>
              </w:rPr>
              <w:t>OPEB</w:t>
            </w:r>
            <w:r>
              <w:rPr>
                <w:color w:val="231F20"/>
                <w:spacing w:val="-10"/>
                <w:sz w:val="14"/>
              </w:rPr>
              <w:t> </w:t>
            </w:r>
            <w:r>
              <w:rPr>
                <w:color w:val="231F20"/>
                <w:sz w:val="14"/>
              </w:rPr>
              <w:t>liability,</w:t>
            </w:r>
            <w:r>
              <w:rPr>
                <w:color w:val="231F20"/>
                <w:spacing w:val="-6"/>
                <w:sz w:val="14"/>
              </w:rPr>
              <w:t> </w:t>
            </w:r>
            <w:r>
              <w:rPr>
                <w:color w:val="231F20"/>
                <w:sz w:val="14"/>
              </w:rPr>
              <w:t>ending</w:t>
            </w:r>
            <w:r>
              <w:rPr>
                <w:color w:val="231F20"/>
                <w:spacing w:val="-6"/>
                <w:sz w:val="14"/>
              </w:rPr>
              <w:t> </w:t>
            </w:r>
            <w:r>
              <w:rPr>
                <w:color w:val="231F20"/>
                <w:sz w:val="14"/>
                <w:vertAlign w:val="superscript"/>
              </w:rPr>
              <w:t>(a)</w:t>
            </w:r>
            <w:r>
              <w:rPr>
                <w:color w:val="231F20"/>
                <w:spacing w:val="-14"/>
                <w:sz w:val="14"/>
                <w:vertAlign w:val="baseline"/>
              </w:rPr>
              <w:t> </w:t>
            </w:r>
            <w:r>
              <w:rPr>
                <w:color w:val="231F20"/>
                <w:sz w:val="14"/>
                <w:vertAlign w:val="superscript"/>
              </w:rPr>
              <w:t>-</w:t>
            </w:r>
            <w:r>
              <w:rPr>
                <w:color w:val="231F20"/>
                <w:spacing w:val="-13"/>
                <w:sz w:val="14"/>
                <w:vertAlign w:val="baseline"/>
              </w:rPr>
              <w:t> </w:t>
            </w:r>
            <w:r>
              <w:rPr>
                <w:color w:val="231F20"/>
                <w:spacing w:val="-5"/>
                <w:sz w:val="14"/>
                <w:vertAlign w:val="superscript"/>
              </w:rPr>
              <w:t>(b)</w:t>
            </w:r>
          </w:p>
        </w:tc>
        <w:tc>
          <w:tcPr>
            <w:tcW w:w="943" w:type="dxa"/>
            <w:tcBorders>
              <w:top w:val="single" w:sz="8" w:space="0" w:color="231F20"/>
              <w:bottom w:val="single" w:sz="8" w:space="0" w:color="231F20"/>
            </w:tcBorders>
          </w:tcPr>
          <w:p>
            <w:pPr>
              <w:pStyle w:val="TableParagraph"/>
              <w:spacing w:before="7"/>
              <w:rPr>
                <w:sz w:val="20"/>
              </w:rPr>
            </w:pPr>
          </w:p>
          <w:p>
            <w:pPr>
              <w:pStyle w:val="TableParagraph"/>
              <w:ind w:left="73"/>
              <w:rPr>
                <w:sz w:val="14"/>
              </w:rPr>
            </w:pPr>
            <w:r>
              <w:rPr>
                <w:color w:val="231F20"/>
                <w:w w:val="95"/>
                <w:sz w:val="14"/>
              </w:rPr>
              <w:t>$</w:t>
            </w:r>
            <w:r>
              <w:rPr>
                <w:color w:val="231F20"/>
                <w:spacing w:val="-6"/>
                <w:w w:val="95"/>
                <w:sz w:val="14"/>
              </w:rPr>
              <w:t> </w:t>
            </w:r>
            <w:r>
              <w:rPr>
                <w:color w:val="231F20"/>
                <w:spacing w:val="-2"/>
                <w:w w:val="95"/>
                <w:sz w:val="14"/>
              </w:rPr>
              <w:t>59,253,702</w:t>
            </w:r>
          </w:p>
        </w:tc>
        <w:tc>
          <w:tcPr>
            <w:tcW w:w="163" w:type="dxa"/>
          </w:tcPr>
          <w:p>
            <w:pPr>
              <w:pStyle w:val="TableParagraph"/>
              <w:rPr>
                <w:rFonts w:ascii="Times New Roman"/>
                <w:sz w:val="14"/>
              </w:rPr>
            </w:pPr>
          </w:p>
        </w:tc>
        <w:tc>
          <w:tcPr>
            <w:tcW w:w="944" w:type="dxa"/>
            <w:tcBorders>
              <w:top w:val="single" w:sz="8" w:space="0" w:color="231F20"/>
              <w:bottom w:val="single" w:sz="8" w:space="0" w:color="231F20"/>
            </w:tcBorders>
          </w:tcPr>
          <w:p>
            <w:pPr>
              <w:pStyle w:val="TableParagraph"/>
              <w:spacing w:before="7"/>
              <w:rPr>
                <w:sz w:val="20"/>
              </w:rPr>
            </w:pPr>
          </w:p>
          <w:p>
            <w:pPr>
              <w:pStyle w:val="TableParagraph"/>
              <w:ind w:right="72"/>
              <w:jc w:val="right"/>
              <w:rPr>
                <w:sz w:val="14"/>
              </w:rPr>
            </w:pPr>
            <w:r>
              <w:rPr>
                <w:color w:val="231F20"/>
                <w:w w:val="95"/>
                <w:sz w:val="14"/>
              </w:rPr>
              <w:t>$</w:t>
            </w:r>
            <w:r>
              <w:rPr>
                <w:color w:val="231F20"/>
                <w:spacing w:val="-7"/>
                <w:w w:val="95"/>
                <w:sz w:val="14"/>
              </w:rPr>
              <w:t> </w:t>
            </w:r>
            <w:r>
              <w:rPr>
                <w:color w:val="231F20"/>
                <w:spacing w:val="-2"/>
                <w:sz w:val="14"/>
              </w:rPr>
              <w:t>36,995,244</w:t>
            </w:r>
          </w:p>
        </w:tc>
        <w:tc>
          <w:tcPr>
            <w:tcW w:w="162" w:type="dxa"/>
          </w:tcPr>
          <w:p>
            <w:pPr>
              <w:pStyle w:val="TableParagraph"/>
              <w:rPr>
                <w:rFonts w:ascii="Times New Roman"/>
                <w:sz w:val="14"/>
              </w:rPr>
            </w:pPr>
          </w:p>
        </w:tc>
        <w:tc>
          <w:tcPr>
            <w:tcW w:w="944" w:type="dxa"/>
            <w:tcBorders>
              <w:top w:val="single" w:sz="8" w:space="0" w:color="231F20"/>
              <w:bottom w:val="single" w:sz="8" w:space="0" w:color="231F20"/>
            </w:tcBorders>
          </w:tcPr>
          <w:p>
            <w:pPr>
              <w:pStyle w:val="TableParagraph"/>
              <w:spacing w:before="7"/>
              <w:rPr>
                <w:sz w:val="20"/>
              </w:rPr>
            </w:pPr>
          </w:p>
          <w:p>
            <w:pPr>
              <w:pStyle w:val="TableParagraph"/>
              <w:ind w:right="71"/>
              <w:jc w:val="right"/>
              <w:rPr>
                <w:sz w:val="14"/>
              </w:rPr>
            </w:pPr>
            <w:r>
              <w:rPr>
                <w:color w:val="231F20"/>
                <w:w w:val="95"/>
                <w:sz w:val="14"/>
              </w:rPr>
              <w:t>$</w:t>
            </w:r>
            <w:r>
              <w:rPr>
                <w:color w:val="231F20"/>
                <w:spacing w:val="-8"/>
                <w:w w:val="95"/>
                <w:sz w:val="14"/>
              </w:rPr>
              <w:t> </w:t>
            </w:r>
            <w:r>
              <w:rPr>
                <w:color w:val="231F20"/>
                <w:spacing w:val="-2"/>
                <w:w w:val="95"/>
                <w:sz w:val="14"/>
              </w:rPr>
              <w:t>27,888,293</w:t>
            </w:r>
          </w:p>
        </w:tc>
        <w:tc>
          <w:tcPr>
            <w:tcW w:w="162" w:type="dxa"/>
          </w:tcPr>
          <w:p>
            <w:pPr>
              <w:pStyle w:val="TableParagraph"/>
              <w:rPr>
                <w:rFonts w:ascii="Times New Roman"/>
                <w:sz w:val="14"/>
              </w:rPr>
            </w:pPr>
          </w:p>
        </w:tc>
        <w:tc>
          <w:tcPr>
            <w:tcW w:w="944" w:type="dxa"/>
            <w:tcBorders>
              <w:top w:val="single" w:sz="8" w:space="0" w:color="231F20"/>
              <w:bottom w:val="single" w:sz="8" w:space="0" w:color="231F20"/>
            </w:tcBorders>
          </w:tcPr>
          <w:p>
            <w:pPr>
              <w:pStyle w:val="TableParagraph"/>
              <w:spacing w:before="7"/>
              <w:rPr>
                <w:sz w:val="20"/>
              </w:rPr>
            </w:pPr>
          </w:p>
          <w:p>
            <w:pPr>
              <w:pStyle w:val="TableParagraph"/>
              <w:ind w:left="76"/>
              <w:rPr>
                <w:sz w:val="14"/>
              </w:rPr>
            </w:pPr>
            <w:r>
              <w:rPr>
                <w:color w:val="231F20"/>
                <w:w w:val="95"/>
                <w:sz w:val="14"/>
              </w:rPr>
              <w:t>$</w:t>
            </w:r>
            <w:r>
              <w:rPr>
                <w:color w:val="231F20"/>
                <w:spacing w:val="-8"/>
                <w:w w:val="95"/>
                <w:sz w:val="14"/>
              </w:rPr>
              <w:t> </w:t>
            </w:r>
            <w:r>
              <w:rPr>
                <w:color w:val="231F20"/>
                <w:spacing w:val="-2"/>
                <w:w w:val="95"/>
                <w:sz w:val="14"/>
              </w:rPr>
              <w:t>28,219,046</w:t>
            </w:r>
          </w:p>
        </w:tc>
        <w:tc>
          <w:tcPr>
            <w:tcW w:w="162" w:type="dxa"/>
          </w:tcPr>
          <w:p>
            <w:pPr>
              <w:pStyle w:val="TableParagraph"/>
              <w:rPr>
                <w:rFonts w:ascii="Times New Roman"/>
                <w:sz w:val="14"/>
              </w:rPr>
            </w:pPr>
          </w:p>
        </w:tc>
        <w:tc>
          <w:tcPr>
            <w:tcW w:w="944" w:type="dxa"/>
            <w:tcBorders>
              <w:top w:val="single" w:sz="8" w:space="0" w:color="231F20"/>
              <w:bottom w:val="single" w:sz="8" w:space="0" w:color="231F20"/>
            </w:tcBorders>
          </w:tcPr>
          <w:p>
            <w:pPr>
              <w:pStyle w:val="TableParagraph"/>
              <w:spacing w:before="7"/>
              <w:rPr>
                <w:sz w:val="20"/>
              </w:rPr>
            </w:pPr>
          </w:p>
          <w:p>
            <w:pPr>
              <w:pStyle w:val="TableParagraph"/>
              <w:ind w:right="69"/>
              <w:jc w:val="right"/>
              <w:rPr>
                <w:sz w:val="14"/>
              </w:rPr>
            </w:pPr>
            <w:r>
              <w:rPr>
                <w:color w:val="231F20"/>
                <w:w w:val="95"/>
                <w:sz w:val="14"/>
              </w:rPr>
              <w:t>$</w:t>
            </w:r>
            <w:r>
              <w:rPr>
                <w:color w:val="231F20"/>
                <w:spacing w:val="-8"/>
                <w:w w:val="95"/>
                <w:sz w:val="14"/>
              </w:rPr>
              <w:t> </w:t>
            </w:r>
            <w:r>
              <w:rPr>
                <w:color w:val="231F20"/>
                <w:spacing w:val="-2"/>
                <w:w w:val="95"/>
                <w:sz w:val="14"/>
              </w:rPr>
              <w:t>27,309,376</w:t>
            </w:r>
          </w:p>
        </w:tc>
        <w:tc>
          <w:tcPr>
            <w:tcW w:w="162" w:type="dxa"/>
          </w:tcPr>
          <w:p>
            <w:pPr>
              <w:pStyle w:val="TableParagraph"/>
              <w:rPr>
                <w:rFonts w:ascii="Times New Roman"/>
                <w:sz w:val="14"/>
              </w:rPr>
            </w:pPr>
          </w:p>
        </w:tc>
        <w:tc>
          <w:tcPr>
            <w:tcW w:w="943" w:type="dxa"/>
            <w:tcBorders>
              <w:top w:val="single" w:sz="8" w:space="0" w:color="231F20"/>
              <w:bottom w:val="single" w:sz="8" w:space="0" w:color="231F20"/>
            </w:tcBorders>
          </w:tcPr>
          <w:p>
            <w:pPr>
              <w:pStyle w:val="TableParagraph"/>
              <w:spacing w:before="7"/>
              <w:rPr>
                <w:sz w:val="20"/>
              </w:rPr>
            </w:pPr>
          </w:p>
          <w:p>
            <w:pPr>
              <w:pStyle w:val="TableParagraph"/>
              <w:ind w:right="68"/>
              <w:jc w:val="right"/>
              <w:rPr>
                <w:sz w:val="14"/>
              </w:rPr>
            </w:pPr>
            <w:r>
              <w:rPr>
                <w:color w:val="231F20"/>
                <w:w w:val="95"/>
                <w:sz w:val="14"/>
              </w:rPr>
              <w:t>$</w:t>
            </w:r>
            <w:r>
              <w:rPr>
                <w:color w:val="231F20"/>
                <w:spacing w:val="-8"/>
                <w:w w:val="95"/>
                <w:sz w:val="14"/>
              </w:rPr>
              <w:t> </w:t>
            </w:r>
            <w:r>
              <w:rPr>
                <w:color w:val="231F20"/>
                <w:spacing w:val="-2"/>
                <w:w w:val="95"/>
                <w:sz w:val="14"/>
              </w:rPr>
              <w:t>29,142,799</w:t>
            </w:r>
          </w:p>
        </w:tc>
      </w:tr>
      <w:tr>
        <w:trPr>
          <w:trHeight w:val="653" w:hRule="atLeast"/>
        </w:trPr>
        <w:tc>
          <w:tcPr>
            <w:tcW w:w="2902" w:type="dxa"/>
          </w:tcPr>
          <w:p>
            <w:pPr>
              <w:pStyle w:val="TableParagraph"/>
              <w:rPr>
                <w:sz w:val="19"/>
              </w:rPr>
            </w:pPr>
          </w:p>
          <w:p>
            <w:pPr>
              <w:pStyle w:val="TableParagraph"/>
              <w:spacing w:line="285" w:lineRule="auto"/>
              <w:ind w:left="210" w:right="180" w:hanging="160"/>
              <w:rPr>
                <w:sz w:val="14"/>
              </w:rPr>
            </w:pPr>
            <w:r>
              <w:rPr>
                <w:color w:val="231F20"/>
                <w:sz w:val="14"/>
              </w:rPr>
              <w:t>Plan</w:t>
            </w:r>
            <w:r>
              <w:rPr>
                <w:color w:val="231F20"/>
                <w:spacing w:val="-10"/>
                <w:sz w:val="14"/>
              </w:rPr>
              <w:t> </w:t>
            </w:r>
            <w:r>
              <w:rPr>
                <w:color w:val="231F20"/>
                <w:sz w:val="14"/>
              </w:rPr>
              <w:t>fiduciary</w:t>
            </w:r>
            <w:r>
              <w:rPr>
                <w:color w:val="231F20"/>
                <w:spacing w:val="-10"/>
                <w:sz w:val="14"/>
              </w:rPr>
              <w:t> </w:t>
            </w:r>
            <w:r>
              <w:rPr>
                <w:color w:val="231F20"/>
                <w:sz w:val="14"/>
              </w:rPr>
              <w:t>net</w:t>
            </w:r>
            <w:r>
              <w:rPr>
                <w:color w:val="231F20"/>
                <w:spacing w:val="-10"/>
                <w:sz w:val="14"/>
              </w:rPr>
              <w:t> </w:t>
            </w:r>
            <w:r>
              <w:rPr>
                <w:color w:val="231F20"/>
                <w:sz w:val="14"/>
              </w:rPr>
              <w:t>position</w:t>
            </w:r>
            <w:r>
              <w:rPr>
                <w:color w:val="231F20"/>
                <w:spacing w:val="-9"/>
                <w:sz w:val="14"/>
              </w:rPr>
              <w:t> </w:t>
            </w:r>
            <w:r>
              <w:rPr>
                <w:color w:val="231F20"/>
                <w:sz w:val="14"/>
              </w:rPr>
              <w:t>as</w:t>
            </w:r>
            <w:r>
              <w:rPr>
                <w:color w:val="231F20"/>
                <w:spacing w:val="-10"/>
                <w:sz w:val="14"/>
              </w:rPr>
              <w:t> </w:t>
            </w:r>
            <w:r>
              <w:rPr>
                <w:color w:val="231F20"/>
                <w:sz w:val="14"/>
              </w:rPr>
              <w:t>a</w:t>
            </w:r>
            <w:r>
              <w:rPr>
                <w:color w:val="231F20"/>
                <w:spacing w:val="-10"/>
                <w:sz w:val="14"/>
              </w:rPr>
              <w:t> </w:t>
            </w:r>
            <w:r>
              <w:rPr>
                <w:color w:val="231F20"/>
                <w:sz w:val="14"/>
              </w:rPr>
              <w:t>percentage</w:t>
            </w:r>
            <w:r>
              <w:rPr>
                <w:color w:val="231F20"/>
                <w:spacing w:val="40"/>
                <w:sz w:val="14"/>
              </w:rPr>
              <w:t> </w:t>
            </w:r>
            <w:r>
              <w:rPr>
                <w:color w:val="231F20"/>
                <w:sz w:val="14"/>
              </w:rPr>
              <w:t>of the total OPEB liability</w:t>
            </w:r>
          </w:p>
        </w:tc>
        <w:tc>
          <w:tcPr>
            <w:tcW w:w="943" w:type="dxa"/>
            <w:tcBorders>
              <w:top w:val="single" w:sz="8" w:space="0" w:color="231F20"/>
            </w:tcBorders>
          </w:tcPr>
          <w:p>
            <w:pPr>
              <w:pStyle w:val="TableParagraph"/>
              <w:rPr>
                <w:sz w:val="14"/>
              </w:rPr>
            </w:pPr>
          </w:p>
          <w:p>
            <w:pPr>
              <w:pStyle w:val="TableParagraph"/>
              <w:spacing w:before="10"/>
              <w:rPr>
                <w:sz w:val="18"/>
              </w:rPr>
            </w:pPr>
          </w:p>
          <w:p>
            <w:pPr>
              <w:pStyle w:val="TableParagraph"/>
              <w:ind w:right="25"/>
              <w:jc w:val="right"/>
              <w:rPr>
                <w:sz w:val="14"/>
              </w:rPr>
            </w:pPr>
            <w:r>
              <w:rPr>
                <w:color w:val="231F20"/>
                <w:spacing w:val="-4"/>
                <w:sz w:val="14"/>
              </w:rPr>
              <w:t>7.8%</w:t>
            </w:r>
          </w:p>
        </w:tc>
        <w:tc>
          <w:tcPr>
            <w:tcW w:w="163" w:type="dxa"/>
          </w:tcPr>
          <w:p>
            <w:pPr>
              <w:pStyle w:val="TableParagraph"/>
              <w:rPr>
                <w:rFonts w:ascii="Times New Roman"/>
                <w:sz w:val="14"/>
              </w:rPr>
            </w:pPr>
          </w:p>
        </w:tc>
        <w:tc>
          <w:tcPr>
            <w:tcW w:w="944" w:type="dxa"/>
            <w:tcBorders>
              <w:top w:val="single" w:sz="8" w:space="0" w:color="231F20"/>
            </w:tcBorders>
          </w:tcPr>
          <w:p>
            <w:pPr>
              <w:pStyle w:val="TableParagraph"/>
              <w:rPr>
                <w:sz w:val="14"/>
              </w:rPr>
            </w:pPr>
          </w:p>
          <w:p>
            <w:pPr>
              <w:pStyle w:val="TableParagraph"/>
              <w:spacing w:before="10"/>
              <w:rPr>
                <w:sz w:val="18"/>
              </w:rPr>
            </w:pPr>
          </w:p>
          <w:p>
            <w:pPr>
              <w:pStyle w:val="TableParagraph"/>
              <w:ind w:right="26"/>
              <w:jc w:val="right"/>
              <w:rPr>
                <w:sz w:val="14"/>
              </w:rPr>
            </w:pPr>
            <w:r>
              <w:rPr>
                <w:color w:val="231F20"/>
                <w:spacing w:val="-2"/>
                <w:sz w:val="14"/>
              </w:rPr>
              <w:t>10.5%</w:t>
            </w:r>
          </w:p>
        </w:tc>
        <w:tc>
          <w:tcPr>
            <w:tcW w:w="162" w:type="dxa"/>
          </w:tcPr>
          <w:p>
            <w:pPr>
              <w:pStyle w:val="TableParagraph"/>
              <w:rPr>
                <w:rFonts w:ascii="Times New Roman"/>
                <w:sz w:val="14"/>
              </w:rPr>
            </w:pPr>
          </w:p>
        </w:tc>
        <w:tc>
          <w:tcPr>
            <w:tcW w:w="944" w:type="dxa"/>
            <w:tcBorders>
              <w:top w:val="single" w:sz="8" w:space="0" w:color="231F20"/>
            </w:tcBorders>
          </w:tcPr>
          <w:p>
            <w:pPr>
              <w:pStyle w:val="TableParagraph"/>
              <w:rPr>
                <w:sz w:val="14"/>
              </w:rPr>
            </w:pPr>
          </w:p>
          <w:p>
            <w:pPr>
              <w:pStyle w:val="TableParagraph"/>
              <w:spacing w:before="10"/>
              <w:rPr>
                <w:sz w:val="18"/>
              </w:rPr>
            </w:pPr>
          </w:p>
          <w:p>
            <w:pPr>
              <w:pStyle w:val="TableParagraph"/>
              <w:ind w:right="26"/>
              <w:jc w:val="right"/>
              <w:rPr>
                <w:sz w:val="14"/>
              </w:rPr>
            </w:pPr>
            <w:r>
              <w:rPr>
                <w:color w:val="231F20"/>
                <w:spacing w:val="-2"/>
                <w:sz w:val="14"/>
              </w:rPr>
              <w:t>13.2%</w:t>
            </w:r>
          </w:p>
        </w:tc>
        <w:tc>
          <w:tcPr>
            <w:tcW w:w="162" w:type="dxa"/>
          </w:tcPr>
          <w:p>
            <w:pPr>
              <w:pStyle w:val="TableParagraph"/>
              <w:rPr>
                <w:rFonts w:ascii="Times New Roman"/>
                <w:sz w:val="14"/>
              </w:rPr>
            </w:pPr>
          </w:p>
        </w:tc>
        <w:tc>
          <w:tcPr>
            <w:tcW w:w="944" w:type="dxa"/>
            <w:tcBorders>
              <w:top w:val="single" w:sz="8" w:space="0" w:color="231F20"/>
            </w:tcBorders>
          </w:tcPr>
          <w:p>
            <w:pPr>
              <w:pStyle w:val="TableParagraph"/>
              <w:rPr>
                <w:sz w:val="14"/>
              </w:rPr>
            </w:pPr>
          </w:p>
          <w:p>
            <w:pPr>
              <w:pStyle w:val="TableParagraph"/>
              <w:spacing w:before="10"/>
              <w:rPr>
                <w:sz w:val="18"/>
              </w:rPr>
            </w:pPr>
          </w:p>
          <w:p>
            <w:pPr>
              <w:pStyle w:val="TableParagraph"/>
              <w:ind w:right="24"/>
              <w:jc w:val="right"/>
              <w:rPr>
                <w:sz w:val="14"/>
              </w:rPr>
            </w:pPr>
            <w:r>
              <w:rPr>
                <w:color w:val="231F20"/>
                <w:spacing w:val="-2"/>
                <w:sz w:val="14"/>
              </w:rPr>
              <w:t>13.2%</w:t>
            </w:r>
          </w:p>
        </w:tc>
        <w:tc>
          <w:tcPr>
            <w:tcW w:w="162" w:type="dxa"/>
          </w:tcPr>
          <w:p>
            <w:pPr>
              <w:pStyle w:val="TableParagraph"/>
              <w:rPr>
                <w:rFonts w:ascii="Times New Roman"/>
                <w:sz w:val="14"/>
              </w:rPr>
            </w:pPr>
          </w:p>
        </w:tc>
        <w:tc>
          <w:tcPr>
            <w:tcW w:w="944" w:type="dxa"/>
            <w:tcBorders>
              <w:top w:val="single" w:sz="8" w:space="0" w:color="231F20"/>
            </w:tcBorders>
          </w:tcPr>
          <w:p>
            <w:pPr>
              <w:pStyle w:val="TableParagraph"/>
              <w:rPr>
                <w:sz w:val="14"/>
              </w:rPr>
            </w:pPr>
          </w:p>
          <w:p>
            <w:pPr>
              <w:pStyle w:val="TableParagraph"/>
              <w:spacing w:before="10"/>
              <w:rPr>
                <w:sz w:val="18"/>
              </w:rPr>
            </w:pPr>
          </w:p>
          <w:p>
            <w:pPr>
              <w:pStyle w:val="TableParagraph"/>
              <w:ind w:right="23"/>
              <w:jc w:val="right"/>
              <w:rPr>
                <w:sz w:val="14"/>
              </w:rPr>
            </w:pPr>
            <w:r>
              <w:rPr>
                <w:color w:val="231F20"/>
                <w:spacing w:val="-2"/>
                <w:sz w:val="14"/>
              </w:rPr>
              <w:t>11.8%</w:t>
            </w:r>
          </w:p>
        </w:tc>
        <w:tc>
          <w:tcPr>
            <w:tcW w:w="162" w:type="dxa"/>
          </w:tcPr>
          <w:p>
            <w:pPr>
              <w:pStyle w:val="TableParagraph"/>
              <w:rPr>
                <w:rFonts w:ascii="Times New Roman"/>
                <w:sz w:val="14"/>
              </w:rPr>
            </w:pPr>
          </w:p>
        </w:tc>
        <w:tc>
          <w:tcPr>
            <w:tcW w:w="943" w:type="dxa"/>
            <w:tcBorders>
              <w:top w:val="single" w:sz="8" w:space="0" w:color="231F20"/>
            </w:tcBorders>
          </w:tcPr>
          <w:p>
            <w:pPr>
              <w:pStyle w:val="TableParagraph"/>
              <w:rPr>
                <w:sz w:val="14"/>
              </w:rPr>
            </w:pPr>
          </w:p>
          <w:p>
            <w:pPr>
              <w:pStyle w:val="TableParagraph"/>
              <w:spacing w:before="10"/>
              <w:rPr>
                <w:sz w:val="18"/>
              </w:rPr>
            </w:pPr>
          </w:p>
          <w:p>
            <w:pPr>
              <w:pStyle w:val="TableParagraph"/>
              <w:ind w:right="21"/>
              <w:jc w:val="right"/>
              <w:rPr>
                <w:sz w:val="14"/>
              </w:rPr>
            </w:pPr>
            <w:r>
              <w:rPr>
                <w:color w:val="231F20"/>
                <w:spacing w:val="-4"/>
                <w:sz w:val="14"/>
              </w:rPr>
              <w:t>8.6%</w:t>
            </w:r>
          </w:p>
        </w:tc>
      </w:tr>
      <w:tr>
        <w:trPr>
          <w:trHeight w:val="382" w:hRule="atLeast"/>
        </w:trPr>
        <w:tc>
          <w:tcPr>
            <w:tcW w:w="2902" w:type="dxa"/>
          </w:tcPr>
          <w:p>
            <w:pPr>
              <w:pStyle w:val="TableParagraph"/>
              <w:spacing w:before="108"/>
              <w:ind w:left="50"/>
              <w:rPr>
                <w:sz w:val="14"/>
              </w:rPr>
            </w:pPr>
            <w:r>
              <w:rPr>
                <w:color w:val="231F20"/>
                <w:w w:val="95"/>
                <w:sz w:val="14"/>
              </w:rPr>
              <w:t>Covered-employee</w:t>
            </w:r>
            <w:r>
              <w:rPr>
                <w:color w:val="231F20"/>
                <w:spacing w:val="32"/>
                <w:sz w:val="14"/>
              </w:rPr>
              <w:t> </w:t>
            </w:r>
            <w:r>
              <w:rPr>
                <w:color w:val="231F20"/>
                <w:spacing w:val="-2"/>
                <w:w w:val="95"/>
                <w:sz w:val="14"/>
              </w:rPr>
              <w:t>payroll</w:t>
            </w:r>
          </w:p>
        </w:tc>
        <w:tc>
          <w:tcPr>
            <w:tcW w:w="943" w:type="dxa"/>
          </w:tcPr>
          <w:p>
            <w:pPr>
              <w:pStyle w:val="TableParagraph"/>
              <w:spacing w:before="108"/>
              <w:ind w:left="74"/>
              <w:rPr>
                <w:sz w:val="14"/>
              </w:rPr>
            </w:pPr>
            <w:r>
              <w:rPr>
                <w:color w:val="231F20"/>
                <w:w w:val="95"/>
                <w:sz w:val="14"/>
              </w:rPr>
              <w:t>$</w:t>
            </w:r>
            <w:r>
              <w:rPr>
                <w:color w:val="231F20"/>
                <w:spacing w:val="-7"/>
                <w:w w:val="95"/>
                <w:sz w:val="14"/>
              </w:rPr>
              <w:t> </w:t>
            </w:r>
            <w:r>
              <w:rPr>
                <w:color w:val="231F20"/>
                <w:spacing w:val="-2"/>
                <w:sz w:val="14"/>
              </w:rPr>
              <w:t>48,652,784</w:t>
            </w:r>
          </w:p>
        </w:tc>
        <w:tc>
          <w:tcPr>
            <w:tcW w:w="163" w:type="dxa"/>
          </w:tcPr>
          <w:p>
            <w:pPr>
              <w:pStyle w:val="TableParagraph"/>
              <w:rPr>
                <w:rFonts w:ascii="Times New Roman"/>
                <w:sz w:val="14"/>
              </w:rPr>
            </w:pPr>
          </w:p>
        </w:tc>
        <w:tc>
          <w:tcPr>
            <w:tcW w:w="944" w:type="dxa"/>
          </w:tcPr>
          <w:p>
            <w:pPr>
              <w:pStyle w:val="TableParagraph"/>
              <w:spacing w:before="108"/>
              <w:ind w:right="73"/>
              <w:jc w:val="right"/>
              <w:rPr>
                <w:sz w:val="14"/>
              </w:rPr>
            </w:pPr>
            <w:r>
              <w:rPr>
                <w:color w:val="231F20"/>
                <w:w w:val="95"/>
                <w:sz w:val="14"/>
              </w:rPr>
              <w:t>$</w:t>
            </w:r>
            <w:r>
              <w:rPr>
                <w:color w:val="231F20"/>
                <w:spacing w:val="-7"/>
                <w:w w:val="95"/>
                <w:sz w:val="14"/>
              </w:rPr>
              <w:t> </w:t>
            </w:r>
            <w:r>
              <w:rPr>
                <w:color w:val="231F20"/>
                <w:spacing w:val="-2"/>
                <w:sz w:val="14"/>
              </w:rPr>
              <w:t>30,618,535</w:t>
            </w:r>
          </w:p>
        </w:tc>
        <w:tc>
          <w:tcPr>
            <w:tcW w:w="162" w:type="dxa"/>
          </w:tcPr>
          <w:p>
            <w:pPr>
              <w:pStyle w:val="TableParagraph"/>
              <w:rPr>
                <w:rFonts w:ascii="Times New Roman"/>
                <w:sz w:val="14"/>
              </w:rPr>
            </w:pPr>
          </w:p>
        </w:tc>
        <w:tc>
          <w:tcPr>
            <w:tcW w:w="944" w:type="dxa"/>
          </w:tcPr>
          <w:p>
            <w:pPr>
              <w:pStyle w:val="TableParagraph"/>
              <w:spacing w:before="108"/>
              <w:ind w:right="71"/>
              <w:jc w:val="right"/>
              <w:rPr>
                <w:sz w:val="14"/>
              </w:rPr>
            </w:pPr>
            <w:r>
              <w:rPr>
                <w:color w:val="231F20"/>
                <w:w w:val="95"/>
                <w:sz w:val="14"/>
              </w:rPr>
              <w:t>$</w:t>
            </w:r>
            <w:r>
              <w:rPr>
                <w:color w:val="231F20"/>
                <w:spacing w:val="-8"/>
                <w:w w:val="95"/>
                <w:sz w:val="14"/>
              </w:rPr>
              <w:t> </w:t>
            </w:r>
            <w:r>
              <w:rPr>
                <w:color w:val="231F20"/>
                <w:spacing w:val="-2"/>
                <w:w w:val="95"/>
                <w:sz w:val="14"/>
              </w:rPr>
              <w:t>29,915,918</w:t>
            </w:r>
          </w:p>
        </w:tc>
        <w:tc>
          <w:tcPr>
            <w:tcW w:w="162" w:type="dxa"/>
          </w:tcPr>
          <w:p>
            <w:pPr>
              <w:pStyle w:val="TableParagraph"/>
              <w:rPr>
                <w:rFonts w:ascii="Times New Roman"/>
                <w:sz w:val="14"/>
              </w:rPr>
            </w:pPr>
          </w:p>
        </w:tc>
        <w:tc>
          <w:tcPr>
            <w:tcW w:w="944" w:type="dxa"/>
          </w:tcPr>
          <w:p>
            <w:pPr>
              <w:pStyle w:val="TableParagraph"/>
              <w:spacing w:before="108"/>
              <w:ind w:left="76"/>
              <w:rPr>
                <w:sz w:val="14"/>
              </w:rPr>
            </w:pPr>
            <w:r>
              <w:rPr>
                <w:color w:val="231F20"/>
                <w:w w:val="95"/>
                <w:sz w:val="14"/>
              </w:rPr>
              <w:t>$</w:t>
            </w:r>
            <w:r>
              <w:rPr>
                <w:color w:val="231F20"/>
                <w:spacing w:val="-8"/>
                <w:w w:val="95"/>
                <w:sz w:val="14"/>
              </w:rPr>
              <w:t> </w:t>
            </w:r>
            <w:r>
              <w:rPr>
                <w:color w:val="231F20"/>
                <w:spacing w:val="-2"/>
                <w:w w:val="95"/>
                <w:sz w:val="14"/>
              </w:rPr>
              <w:t>28,337,003</w:t>
            </w:r>
          </w:p>
        </w:tc>
        <w:tc>
          <w:tcPr>
            <w:tcW w:w="162" w:type="dxa"/>
          </w:tcPr>
          <w:p>
            <w:pPr>
              <w:pStyle w:val="TableParagraph"/>
              <w:rPr>
                <w:rFonts w:ascii="Times New Roman"/>
                <w:sz w:val="14"/>
              </w:rPr>
            </w:pPr>
          </w:p>
        </w:tc>
        <w:tc>
          <w:tcPr>
            <w:tcW w:w="944" w:type="dxa"/>
          </w:tcPr>
          <w:p>
            <w:pPr>
              <w:pStyle w:val="TableParagraph"/>
              <w:spacing w:before="108"/>
              <w:ind w:right="69"/>
              <w:jc w:val="right"/>
              <w:rPr>
                <w:sz w:val="14"/>
              </w:rPr>
            </w:pPr>
            <w:r>
              <w:rPr>
                <w:color w:val="231F20"/>
                <w:w w:val="95"/>
                <w:sz w:val="14"/>
              </w:rPr>
              <w:t>$</w:t>
            </w:r>
            <w:r>
              <w:rPr>
                <w:color w:val="231F20"/>
                <w:spacing w:val="-8"/>
                <w:w w:val="95"/>
                <w:sz w:val="14"/>
              </w:rPr>
              <w:t> </w:t>
            </w:r>
            <w:r>
              <w:rPr>
                <w:color w:val="231F20"/>
                <w:spacing w:val="-2"/>
                <w:w w:val="95"/>
                <w:sz w:val="14"/>
              </w:rPr>
              <w:t>28,142,927</w:t>
            </w:r>
          </w:p>
        </w:tc>
        <w:tc>
          <w:tcPr>
            <w:tcW w:w="162" w:type="dxa"/>
          </w:tcPr>
          <w:p>
            <w:pPr>
              <w:pStyle w:val="TableParagraph"/>
              <w:rPr>
                <w:rFonts w:ascii="Times New Roman"/>
                <w:sz w:val="14"/>
              </w:rPr>
            </w:pPr>
          </w:p>
        </w:tc>
        <w:tc>
          <w:tcPr>
            <w:tcW w:w="943" w:type="dxa"/>
          </w:tcPr>
          <w:p>
            <w:pPr>
              <w:pStyle w:val="TableParagraph"/>
              <w:spacing w:before="108"/>
              <w:ind w:right="68"/>
              <w:jc w:val="right"/>
              <w:rPr>
                <w:sz w:val="14"/>
              </w:rPr>
            </w:pPr>
            <w:r>
              <w:rPr>
                <w:color w:val="231F20"/>
                <w:w w:val="95"/>
                <w:sz w:val="14"/>
              </w:rPr>
              <w:t>$</w:t>
            </w:r>
            <w:r>
              <w:rPr>
                <w:color w:val="231F20"/>
                <w:spacing w:val="-8"/>
                <w:w w:val="95"/>
                <w:sz w:val="14"/>
              </w:rPr>
              <w:t> </w:t>
            </w:r>
            <w:r>
              <w:rPr>
                <w:color w:val="231F20"/>
                <w:spacing w:val="-2"/>
                <w:w w:val="95"/>
                <w:sz w:val="14"/>
              </w:rPr>
              <w:t>27,958,526</w:t>
            </w:r>
          </w:p>
        </w:tc>
      </w:tr>
      <w:tr>
        <w:trPr>
          <w:trHeight w:val="459" w:hRule="atLeast"/>
        </w:trPr>
        <w:tc>
          <w:tcPr>
            <w:tcW w:w="2902" w:type="dxa"/>
          </w:tcPr>
          <w:p>
            <w:pPr>
              <w:pStyle w:val="TableParagraph"/>
              <w:spacing w:line="190" w:lineRule="atLeast" w:before="59"/>
              <w:ind w:left="172" w:right="180" w:hanging="122"/>
              <w:rPr>
                <w:sz w:val="14"/>
              </w:rPr>
            </w:pPr>
            <w:r>
              <w:rPr>
                <w:color w:val="231F20"/>
                <w:sz w:val="14"/>
              </w:rPr>
              <w:t>Institute's net OPEB liability as a</w:t>
            </w:r>
            <w:r>
              <w:rPr>
                <w:color w:val="231F20"/>
                <w:spacing w:val="40"/>
                <w:sz w:val="14"/>
              </w:rPr>
              <w:t> </w:t>
            </w:r>
            <w:r>
              <w:rPr>
                <w:color w:val="231F20"/>
                <w:spacing w:val="-2"/>
                <w:sz w:val="14"/>
              </w:rPr>
              <w:t>percentage</w:t>
            </w:r>
            <w:r>
              <w:rPr>
                <w:color w:val="231F20"/>
                <w:spacing w:val="-3"/>
                <w:sz w:val="14"/>
              </w:rPr>
              <w:t> </w:t>
            </w:r>
            <w:r>
              <w:rPr>
                <w:color w:val="231F20"/>
                <w:spacing w:val="-2"/>
                <w:sz w:val="14"/>
              </w:rPr>
              <w:t>of</w:t>
            </w:r>
            <w:r>
              <w:rPr>
                <w:color w:val="231F20"/>
                <w:spacing w:val="-3"/>
                <w:sz w:val="14"/>
              </w:rPr>
              <w:t> </w:t>
            </w:r>
            <w:r>
              <w:rPr>
                <w:color w:val="231F20"/>
                <w:spacing w:val="-2"/>
                <w:sz w:val="14"/>
              </w:rPr>
              <w:t>covered-employee</w:t>
            </w:r>
            <w:r>
              <w:rPr>
                <w:color w:val="231F20"/>
                <w:spacing w:val="-3"/>
                <w:sz w:val="14"/>
              </w:rPr>
              <w:t> </w:t>
            </w:r>
            <w:r>
              <w:rPr>
                <w:color w:val="231F20"/>
                <w:spacing w:val="-2"/>
                <w:sz w:val="14"/>
              </w:rPr>
              <w:t>payroll</w:t>
            </w:r>
          </w:p>
        </w:tc>
        <w:tc>
          <w:tcPr>
            <w:tcW w:w="943" w:type="dxa"/>
          </w:tcPr>
          <w:p>
            <w:pPr>
              <w:pStyle w:val="TableParagraph"/>
              <w:rPr>
                <w:sz w:val="14"/>
              </w:rPr>
            </w:pPr>
          </w:p>
          <w:p>
            <w:pPr>
              <w:pStyle w:val="TableParagraph"/>
              <w:spacing w:before="11"/>
              <w:rPr>
                <w:sz w:val="11"/>
              </w:rPr>
            </w:pPr>
          </w:p>
          <w:p>
            <w:pPr>
              <w:pStyle w:val="TableParagraph"/>
              <w:spacing w:line="141" w:lineRule="exact"/>
              <w:ind w:right="25"/>
              <w:jc w:val="right"/>
              <w:rPr>
                <w:sz w:val="14"/>
              </w:rPr>
            </w:pPr>
            <w:r>
              <w:rPr>
                <w:color w:val="231F20"/>
                <w:spacing w:val="-4"/>
                <w:sz w:val="14"/>
              </w:rPr>
              <w:t>122%</w:t>
            </w:r>
          </w:p>
        </w:tc>
        <w:tc>
          <w:tcPr>
            <w:tcW w:w="163" w:type="dxa"/>
          </w:tcPr>
          <w:p>
            <w:pPr>
              <w:pStyle w:val="TableParagraph"/>
              <w:rPr>
                <w:rFonts w:ascii="Times New Roman"/>
                <w:sz w:val="14"/>
              </w:rPr>
            </w:pPr>
          </w:p>
        </w:tc>
        <w:tc>
          <w:tcPr>
            <w:tcW w:w="944" w:type="dxa"/>
          </w:tcPr>
          <w:p>
            <w:pPr>
              <w:pStyle w:val="TableParagraph"/>
              <w:rPr>
                <w:sz w:val="14"/>
              </w:rPr>
            </w:pPr>
          </w:p>
          <w:p>
            <w:pPr>
              <w:pStyle w:val="TableParagraph"/>
              <w:spacing w:before="11"/>
              <w:rPr>
                <w:sz w:val="11"/>
              </w:rPr>
            </w:pPr>
          </w:p>
          <w:p>
            <w:pPr>
              <w:pStyle w:val="TableParagraph"/>
              <w:spacing w:line="141" w:lineRule="exact"/>
              <w:ind w:right="26"/>
              <w:jc w:val="right"/>
              <w:rPr>
                <w:sz w:val="14"/>
              </w:rPr>
            </w:pPr>
            <w:r>
              <w:rPr>
                <w:color w:val="231F20"/>
                <w:spacing w:val="-4"/>
                <w:sz w:val="14"/>
              </w:rPr>
              <w:t>121%</w:t>
            </w:r>
          </w:p>
        </w:tc>
        <w:tc>
          <w:tcPr>
            <w:tcW w:w="162" w:type="dxa"/>
          </w:tcPr>
          <w:p>
            <w:pPr>
              <w:pStyle w:val="TableParagraph"/>
              <w:rPr>
                <w:rFonts w:ascii="Times New Roman"/>
                <w:sz w:val="14"/>
              </w:rPr>
            </w:pPr>
          </w:p>
        </w:tc>
        <w:tc>
          <w:tcPr>
            <w:tcW w:w="944" w:type="dxa"/>
          </w:tcPr>
          <w:p>
            <w:pPr>
              <w:pStyle w:val="TableParagraph"/>
              <w:rPr>
                <w:sz w:val="14"/>
              </w:rPr>
            </w:pPr>
          </w:p>
          <w:p>
            <w:pPr>
              <w:pStyle w:val="TableParagraph"/>
              <w:spacing w:before="11"/>
              <w:rPr>
                <w:sz w:val="11"/>
              </w:rPr>
            </w:pPr>
          </w:p>
          <w:p>
            <w:pPr>
              <w:pStyle w:val="TableParagraph"/>
              <w:spacing w:line="141" w:lineRule="exact"/>
              <w:ind w:right="26"/>
              <w:jc w:val="right"/>
              <w:rPr>
                <w:sz w:val="14"/>
              </w:rPr>
            </w:pPr>
            <w:r>
              <w:rPr>
                <w:color w:val="231F20"/>
                <w:spacing w:val="-5"/>
                <w:sz w:val="14"/>
              </w:rPr>
              <w:t>93%</w:t>
            </w:r>
          </w:p>
        </w:tc>
        <w:tc>
          <w:tcPr>
            <w:tcW w:w="162" w:type="dxa"/>
          </w:tcPr>
          <w:p>
            <w:pPr>
              <w:pStyle w:val="TableParagraph"/>
              <w:rPr>
                <w:rFonts w:ascii="Times New Roman"/>
                <w:sz w:val="14"/>
              </w:rPr>
            </w:pPr>
          </w:p>
        </w:tc>
        <w:tc>
          <w:tcPr>
            <w:tcW w:w="944" w:type="dxa"/>
          </w:tcPr>
          <w:p>
            <w:pPr>
              <w:pStyle w:val="TableParagraph"/>
              <w:rPr>
                <w:sz w:val="14"/>
              </w:rPr>
            </w:pPr>
          </w:p>
          <w:p>
            <w:pPr>
              <w:pStyle w:val="TableParagraph"/>
              <w:spacing w:before="11"/>
              <w:rPr>
                <w:sz w:val="11"/>
              </w:rPr>
            </w:pPr>
          </w:p>
          <w:p>
            <w:pPr>
              <w:pStyle w:val="TableParagraph"/>
              <w:spacing w:line="141" w:lineRule="exact"/>
              <w:ind w:right="24"/>
              <w:jc w:val="right"/>
              <w:rPr>
                <w:sz w:val="14"/>
              </w:rPr>
            </w:pPr>
            <w:r>
              <w:rPr>
                <w:color w:val="231F20"/>
                <w:spacing w:val="-4"/>
                <w:sz w:val="14"/>
              </w:rPr>
              <w:t>100%</w:t>
            </w:r>
          </w:p>
        </w:tc>
        <w:tc>
          <w:tcPr>
            <w:tcW w:w="162" w:type="dxa"/>
          </w:tcPr>
          <w:p>
            <w:pPr>
              <w:pStyle w:val="TableParagraph"/>
              <w:rPr>
                <w:rFonts w:ascii="Times New Roman"/>
                <w:sz w:val="14"/>
              </w:rPr>
            </w:pPr>
          </w:p>
        </w:tc>
        <w:tc>
          <w:tcPr>
            <w:tcW w:w="944" w:type="dxa"/>
          </w:tcPr>
          <w:p>
            <w:pPr>
              <w:pStyle w:val="TableParagraph"/>
              <w:rPr>
                <w:sz w:val="14"/>
              </w:rPr>
            </w:pPr>
          </w:p>
          <w:p>
            <w:pPr>
              <w:pStyle w:val="TableParagraph"/>
              <w:spacing w:before="11"/>
              <w:rPr>
                <w:sz w:val="11"/>
              </w:rPr>
            </w:pPr>
          </w:p>
          <w:p>
            <w:pPr>
              <w:pStyle w:val="TableParagraph"/>
              <w:spacing w:line="141" w:lineRule="exact"/>
              <w:ind w:right="24"/>
              <w:jc w:val="right"/>
              <w:rPr>
                <w:sz w:val="14"/>
              </w:rPr>
            </w:pPr>
            <w:r>
              <w:rPr>
                <w:color w:val="231F20"/>
                <w:spacing w:val="-5"/>
                <w:sz w:val="14"/>
              </w:rPr>
              <w:t>97%</w:t>
            </w:r>
          </w:p>
        </w:tc>
        <w:tc>
          <w:tcPr>
            <w:tcW w:w="162" w:type="dxa"/>
          </w:tcPr>
          <w:p>
            <w:pPr>
              <w:pStyle w:val="TableParagraph"/>
              <w:rPr>
                <w:rFonts w:ascii="Times New Roman"/>
                <w:sz w:val="14"/>
              </w:rPr>
            </w:pPr>
          </w:p>
        </w:tc>
        <w:tc>
          <w:tcPr>
            <w:tcW w:w="943" w:type="dxa"/>
          </w:tcPr>
          <w:p>
            <w:pPr>
              <w:pStyle w:val="TableParagraph"/>
              <w:rPr>
                <w:sz w:val="14"/>
              </w:rPr>
            </w:pPr>
          </w:p>
          <w:p>
            <w:pPr>
              <w:pStyle w:val="TableParagraph"/>
              <w:spacing w:before="11"/>
              <w:rPr>
                <w:sz w:val="11"/>
              </w:rPr>
            </w:pPr>
          </w:p>
          <w:p>
            <w:pPr>
              <w:pStyle w:val="TableParagraph"/>
              <w:spacing w:line="141" w:lineRule="exact"/>
              <w:ind w:right="22"/>
              <w:jc w:val="right"/>
              <w:rPr>
                <w:sz w:val="14"/>
              </w:rPr>
            </w:pPr>
            <w:r>
              <w:rPr>
                <w:color w:val="231F20"/>
                <w:spacing w:val="-4"/>
                <w:sz w:val="14"/>
              </w:rPr>
              <w:t>104%</w:t>
            </w:r>
          </w:p>
        </w:tc>
      </w:tr>
    </w:tbl>
    <w:p>
      <w:pPr>
        <w:spacing w:after="0" w:line="141" w:lineRule="exact"/>
        <w:jc w:val="right"/>
        <w:rPr>
          <w:sz w:val="14"/>
        </w:rPr>
        <w:sectPr>
          <w:headerReference w:type="default" r:id="rId56"/>
          <w:footerReference w:type="default" r:id="rId57"/>
          <w:pgSz w:w="12240" w:h="15840"/>
          <w:pgMar w:header="1270" w:footer="1097" w:top="1580" w:bottom="1280" w:left="1280" w:right="1280"/>
        </w:sectPr>
      </w:pPr>
    </w:p>
    <w:p>
      <w:pPr>
        <w:pStyle w:val="Heading3"/>
        <w:ind w:left="3644" w:right="2196" w:hanging="1012"/>
        <w:jc w:val="left"/>
      </w:pPr>
      <w:r>
        <w:rPr/>
        <w:pict>
          <v:rect style="position:absolute;margin-left:70.5pt;margin-top:28.525633pt;width:471.001pt;height:1.5pt;mso-position-horizontal-relative:page;mso-position-vertical-relative:paragraph;z-index:-15637504;mso-wrap-distance-left:0;mso-wrap-distance-right:0" id="docshape440" filled="true" fillcolor="#231f20" stroked="false">
            <v:fill type="solid"/>
            <w10:wrap type="topAndBottom"/>
          </v:rect>
        </w:pict>
      </w:r>
      <w:r>
        <w:rPr>
          <w:color w:val="231F20"/>
        </w:rPr>
        <w:t>Schedule</w:t>
      </w:r>
      <w:r>
        <w:rPr>
          <w:color w:val="231F20"/>
          <w:spacing w:val="-9"/>
        </w:rPr>
        <w:t> </w:t>
      </w:r>
      <w:r>
        <w:rPr>
          <w:color w:val="231F20"/>
        </w:rPr>
        <w:t>of</w:t>
      </w:r>
      <w:r>
        <w:rPr>
          <w:color w:val="231F20"/>
          <w:spacing w:val="-9"/>
        </w:rPr>
        <w:t> </w:t>
      </w:r>
      <w:r>
        <w:rPr>
          <w:color w:val="231F20"/>
        </w:rPr>
        <w:t>OPEB</w:t>
      </w:r>
      <w:r>
        <w:rPr>
          <w:color w:val="231F20"/>
          <w:spacing w:val="-9"/>
        </w:rPr>
        <w:t> </w:t>
      </w:r>
      <w:r>
        <w:rPr>
          <w:color w:val="231F20"/>
        </w:rPr>
        <w:t>Investment</w:t>
      </w:r>
      <w:r>
        <w:rPr>
          <w:color w:val="231F20"/>
          <w:spacing w:val="-9"/>
        </w:rPr>
        <w:t> </w:t>
      </w:r>
      <w:r>
        <w:rPr>
          <w:color w:val="231F20"/>
        </w:rPr>
        <w:t>Returns Last 10 Fiscal Years*</w:t>
      </w:r>
    </w:p>
    <w:p>
      <w:pPr>
        <w:pStyle w:val="BodyText"/>
        <w:rPr>
          <w:b/>
        </w:rPr>
      </w:pPr>
    </w:p>
    <w:p>
      <w:pPr>
        <w:pStyle w:val="BodyText"/>
        <w:rPr>
          <w:b/>
          <w:sz w:val="18"/>
        </w:rPr>
      </w:pPr>
    </w:p>
    <w:p>
      <w:pPr>
        <w:pStyle w:val="Heading4"/>
        <w:spacing w:line="477" w:lineRule="auto" w:before="94"/>
        <w:ind w:left="160" w:right="7118" w:hanging="1"/>
        <w:rPr>
          <w:b w:val="0"/>
        </w:rPr>
      </w:pPr>
      <w:r>
        <w:rPr>
          <w:color w:val="231F20"/>
        </w:rPr>
        <w:t>Notes to Schedule Benefit</w:t>
      </w:r>
      <w:r>
        <w:rPr>
          <w:color w:val="231F20"/>
          <w:spacing w:val="-14"/>
        </w:rPr>
        <w:t> </w:t>
      </w:r>
      <w:r>
        <w:rPr>
          <w:color w:val="231F20"/>
        </w:rPr>
        <w:t>Changes:</w:t>
      </w:r>
      <w:r>
        <w:rPr>
          <w:color w:val="231F20"/>
          <w:spacing w:val="-14"/>
        </w:rPr>
        <w:t> </w:t>
      </w:r>
      <w:r>
        <w:rPr>
          <w:b w:val="0"/>
          <w:color w:val="231F20"/>
        </w:rPr>
        <w:t>None</w:t>
      </w:r>
    </w:p>
    <w:p>
      <w:pPr>
        <w:pStyle w:val="BodyText"/>
        <w:spacing w:line="276" w:lineRule="auto" w:before="72"/>
        <w:ind w:left="160" w:right="201"/>
      </w:pPr>
      <w:r>
        <w:rPr>
          <w:b/>
          <w:color w:val="231F20"/>
        </w:rPr>
        <w:t>Changes</w:t>
      </w:r>
      <w:r>
        <w:rPr>
          <w:b/>
          <w:color w:val="231F20"/>
          <w:spacing w:val="-3"/>
        </w:rPr>
        <w:t> </w:t>
      </w:r>
      <w:r>
        <w:rPr>
          <w:b/>
          <w:color w:val="231F20"/>
        </w:rPr>
        <w:t>in</w:t>
      </w:r>
      <w:r>
        <w:rPr>
          <w:b/>
          <w:color w:val="231F20"/>
          <w:spacing w:val="-3"/>
        </w:rPr>
        <w:t> </w:t>
      </w:r>
      <w:r>
        <w:rPr>
          <w:b/>
          <w:color w:val="231F20"/>
        </w:rPr>
        <w:t>Assumptions:</w:t>
      </w:r>
      <w:r>
        <w:rPr>
          <w:b/>
          <w:color w:val="231F20"/>
          <w:spacing w:val="-2"/>
        </w:rPr>
        <w:t> </w:t>
      </w:r>
      <w:r>
        <w:rPr>
          <w:color w:val="231F20"/>
        </w:rPr>
        <w:t>The</w:t>
      </w:r>
      <w:r>
        <w:rPr>
          <w:color w:val="231F20"/>
          <w:spacing w:val="-3"/>
        </w:rPr>
        <w:t> </w:t>
      </w:r>
      <w:r>
        <w:rPr>
          <w:color w:val="231F20"/>
        </w:rPr>
        <w:t>$7,720,129</w:t>
      </w:r>
      <w:r>
        <w:rPr>
          <w:color w:val="231F20"/>
          <w:spacing w:val="-3"/>
        </w:rPr>
        <w:t> </w:t>
      </w:r>
      <w:r>
        <w:rPr>
          <w:color w:val="231F20"/>
        </w:rPr>
        <w:t>increase</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liability</w:t>
      </w:r>
      <w:r>
        <w:rPr>
          <w:color w:val="231F20"/>
          <w:spacing w:val="-3"/>
        </w:rPr>
        <w:t> </w:t>
      </w:r>
      <w:r>
        <w:rPr>
          <w:color w:val="231F20"/>
        </w:rPr>
        <w:t>from</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2021</w:t>
      </w:r>
      <w:r>
        <w:rPr>
          <w:color w:val="231F20"/>
          <w:spacing w:val="-3"/>
        </w:rPr>
        <w:t> </w:t>
      </w:r>
      <w:r>
        <w:rPr>
          <w:color w:val="231F20"/>
        </w:rPr>
        <w:t>to</w:t>
      </w:r>
      <w:r>
        <w:rPr>
          <w:color w:val="231F20"/>
          <w:spacing w:val="-3"/>
        </w:rPr>
        <w:t> </w:t>
      </w:r>
      <w:r>
        <w:rPr>
          <w:color w:val="231F20"/>
        </w:rPr>
        <w:t>June</w:t>
      </w:r>
      <w:r>
        <w:rPr>
          <w:color w:val="231F20"/>
          <w:spacing w:val="-3"/>
        </w:rPr>
        <w:t> </w:t>
      </w:r>
      <w:r>
        <w:rPr>
          <w:color w:val="231F20"/>
        </w:rPr>
        <w:t>30,</w:t>
      </w:r>
      <w:r>
        <w:rPr>
          <w:color w:val="231F20"/>
          <w:spacing w:val="-3"/>
        </w:rPr>
        <w:t> </w:t>
      </w:r>
      <w:r>
        <w:rPr>
          <w:color w:val="231F20"/>
        </w:rPr>
        <w:t>2022 is due mainly to the decrease in the assumed discount rate, changes to the mortality table and trend rates. The $9,191,923 increase in liability from the fiscal year ending June 30, 2020 to the fiscal year ending June 30, 2021 is due to the decrease in the assumed discount rate.</w:t>
      </w:r>
    </w:p>
    <w:p>
      <w:pPr>
        <w:pStyle w:val="BodyText"/>
        <w:rPr>
          <w:sz w:val="23"/>
        </w:rPr>
      </w:pPr>
    </w:p>
    <w:p>
      <w:pPr>
        <w:pStyle w:val="BodyText"/>
        <w:spacing w:line="276" w:lineRule="auto"/>
        <w:ind w:left="160" w:right="225"/>
      </w:pPr>
      <w:r>
        <w:rPr>
          <w:color w:val="231F20"/>
        </w:rPr>
        <w:t>The schedule of the Institute’s OPEB investment returns present multiyear trend information for the last 10 fiscal years. Fiscal year 2017 was the first year of implementation, therefore, only five years are shown.</w:t>
      </w:r>
      <w:r>
        <w:rPr>
          <w:color w:val="231F20"/>
          <w:spacing w:val="-3"/>
        </w:rPr>
        <w:t> </w:t>
      </w:r>
      <w:r>
        <w:rPr>
          <w:color w:val="231F20"/>
        </w:rPr>
        <w:t>Until</w:t>
      </w:r>
      <w:r>
        <w:rPr>
          <w:color w:val="231F20"/>
          <w:spacing w:val="-3"/>
        </w:rPr>
        <w:t> </w:t>
      </w:r>
      <w:r>
        <w:rPr>
          <w:color w:val="231F20"/>
        </w:rPr>
        <w:t>a</w:t>
      </w:r>
      <w:r>
        <w:rPr>
          <w:color w:val="231F20"/>
          <w:spacing w:val="-3"/>
        </w:rPr>
        <w:t> </w:t>
      </w:r>
      <w:r>
        <w:rPr>
          <w:color w:val="231F20"/>
        </w:rPr>
        <w:t>full</w:t>
      </w:r>
      <w:r>
        <w:rPr>
          <w:color w:val="231F20"/>
          <w:spacing w:val="-3"/>
        </w:rPr>
        <w:t> </w:t>
      </w:r>
      <w:r>
        <w:rPr>
          <w:color w:val="231F20"/>
        </w:rPr>
        <w:t>10-year</w:t>
      </w:r>
      <w:r>
        <w:rPr>
          <w:color w:val="231F20"/>
          <w:spacing w:val="-2"/>
        </w:rPr>
        <w:t> </w:t>
      </w:r>
      <w:r>
        <w:rPr>
          <w:color w:val="231F20"/>
        </w:rPr>
        <w:t>trend</w:t>
      </w:r>
      <w:r>
        <w:rPr>
          <w:color w:val="231F20"/>
          <w:spacing w:val="-3"/>
        </w:rPr>
        <w:t> </w:t>
      </w:r>
      <w:r>
        <w:rPr>
          <w:color w:val="231F20"/>
        </w:rPr>
        <w:t>is</w:t>
      </w:r>
      <w:r>
        <w:rPr>
          <w:color w:val="231F20"/>
          <w:spacing w:val="-4"/>
        </w:rPr>
        <w:t> </w:t>
      </w:r>
      <w:r>
        <w:rPr>
          <w:color w:val="231F20"/>
        </w:rPr>
        <w:t>compiled,</w:t>
      </w:r>
      <w:r>
        <w:rPr>
          <w:color w:val="231F20"/>
          <w:spacing w:val="-3"/>
        </w:rPr>
        <w:t> </w:t>
      </w:r>
      <w:r>
        <w:rPr>
          <w:color w:val="231F20"/>
        </w:rPr>
        <w:t>information</w:t>
      </w:r>
      <w:r>
        <w:rPr>
          <w:color w:val="231F20"/>
          <w:spacing w:val="-3"/>
        </w:rPr>
        <w:t> </w:t>
      </w:r>
      <w:r>
        <w:rPr>
          <w:color w:val="231F20"/>
        </w:rPr>
        <w:t>for</w:t>
      </w:r>
      <w:r>
        <w:rPr>
          <w:color w:val="231F20"/>
          <w:spacing w:val="-3"/>
        </w:rPr>
        <w:t> </w:t>
      </w:r>
      <w:r>
        <w:rPr>
          <w:color w:val="231F20"/>
        </w:rPr>
        <w:t>those</w:t>
      </w:r>
      <w:r>
        <w:rPr>
          <w:color w:val="231F20"/>
          <w:spacing w:val="-3"/>
        </w:rPr>
        <w:t> </w:t>
      </w:r>
      <w:r>
        <w:rPr>
          <w:color w:val="231F20"/>
        </w:rPr>
        <w:t>years</w:t>
      </w:r>
      <w:r>
        <w:rPr>
          <w:color w:val="231F20"/>
          <w:spacing w:val="-3"/>
        </w:rPr>
        <w:t> </w:t>
      </w:r>
      <w:r>
        <w:rPr>
          <w:color w:val="231F20"/>
        </w:rPr>
        <w:t>for</w:t>
      </w:r>
      <w:r>
        <w:rPr>
          <w:color w:val="231F20"/>
          <w:spacing w:val="-3"/>
        </w:rPr>
        <w:t> </w:t>
      </w:r>
      <w:r>
        <w:rPr>
          <w:color w:val="231F20"/>
        </w:rPr>
        <w:t>which</w:t>
      </w:r>
      <w:r>
        <w:rPr>
          <w:color w:val="231F20"/>
          <w:spacing w:val="-3"/>
        </w:rPr>
        <w:t> </w:t>
      </w:r>
      <w:r>
        <w:rPr>
          <w:color w:val="231F20"/>
        </w:rPr>
        <w:t>information</w:t>
      </w:r>
      <w:r>
        <w:rPr>
          <w:color w:val="231F20"/>
          <w:spacing w:val="-3"/>
        </w:rPr>
        <w:t> </w:t>
      </w:r>
      <w:r>
        <w:rPr>
          <w:color w:val="231F20"/>
        </w:rPr>
        <w:t>is</w:t>
      </w:r>
      <w:r>
        <w:rPr>
          <w:color w:val="231F20"/>
          <w:spacing w:val="-3"/>
        </w:rPr>
        <w:t> </w:t>
      </w:r>
      <w:r>
        <w:rPr>
          <w:color w:val="231F20"/>
        </w:rPr>
        <w:t>available will be presented.</w:t>
      </w:r>
    </w:p>
    <w:p>
      <w:pPr>
        <w:pStyle w:val="BodyText"/>
        <w:rPr>
          <w:sz w:val="22"/>
        </w:rPr>
      </w:pPr>
    </w:p>
    <w:p>
      <w:pPr>
        <w:pStyle w:val="BodyText"/>
        <w:spacing w:before="11"/>
      </w:pPr>
    </w:p>
    <w:p>
      <w:pPr>
        <w:spacing w:line="300" w:lineRule="auto" w:before="0"/>
        <w:ind w:left="321" w:right="6933" w:hanging="125"/>
        <w:jc w:val="left"/>
        <w:rPr>
          <w:sz w:val="14"/>
        </w:rPr>
      </w:pPr>
      <w:r>
        <w:rPr/>
        <w:pict>
          <v:shape style="position:absolute;margin-left:208.440002pt;margin-top:-10.113106pt;width:330.45pt;height:28.25pt;mso-position-horizontal-relative:page;mso-position-vertical-relative:paragraph;z-index:15820288" type="#_x0000_t202" id="docshape44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3"/>
                    <w:gridCol w:w="167"/>
                    <w:gridCol w:w="973"/>
                    <w:gridCol w:w="167"/>
                    <w:gridCol w:w="973"/>
                    <w:gridCol w:w="167"/>
                    <w:gridCol w:w="972"/>
                    <w:gridCol w:w="168"/>
                    <w:gridCol w:w="972"/>
                    <w:gridCol w:w="168"/>
                    <w:gridCol w:w="908"/>
                  </w:tblGrid>
                  <w:tr>
                    <w:trPr>
                      <w:trHeight w:val="173" w:hRule="atLeast"/>
                    </w:trPr>
                    <w:tc>
                      <w:tcPr>
                        <w:tcW w:w="973" w:type="dxa"/>
                        <w:tcBorders>
                          <w:bottom w:val="single" w:sz="8" w:space="0" w:color="231F20"/>
                        </w:tcBorders>
                      </w:tcPr>
                      <w:p>
                        <w:pPr>
                          <w:pStyle w:val="TableParagraph"/>
                          <w:spacing w:line="153" w:lineRule="exact"/>
                          <w:ind w:left="183" w:right="168"/>
                          <w:jc w:val="center"/>
                          <w:rPr>
                            <w:sz w:val="14"/>
                          </w:rPr>
                        </w:pPr>
                        <w:r>
                          <w:rPr>
                            <w:color w:val="231F20"/>
                            <w:spacing w:val="-4"/>
                            <w:sz w:val="14"/>
                          </w:rPr>
                          <w:t>2022</w:t>
                        </w:r>
                      </w:p>
                    </w:tc>
                    <w:tc>
                      <w:tcPr>
                        <w:tcW w:w="167" w:type="dxa"/>
                      </w:tcPr>
                      <w:p>
                        <w:pPr>
                          <w:pStyle w:val="TableParagraph"/>
                          <w:rPr>
                            <w:rFonts w:ascii="Times New Roman"/>
                            <w:sz w:val="10"/>
                          </w:rPr>
                        </w:pPr>
                      </w:p>
                    </w:tc>
                    <w:tc>
                      <w:tcPr>
                        <w:tcW w:w="973" w:type="dxa"/>
                        <w:tcBorders>
                          <w:bottom w:val="single" w:sz="8" w:space="0" w:color="231F20"/>
                        </w:tcBorders>
                      </w:tcPr>
                      <w:p>
                        <w:pPr>
                          <w:pStyle w:val="TableParagraph"/>
                          <w:spacing w:line="153" w:lineRule="exact"/>
                          <w:ind w:left="183" w:right="168"/>
                          <w:jc w:val="center"/>
                          <w:rPr>
                            <w:sz w:val="14"/>
                          </w:rPr>
                        </w:pPr>
                        <w:r>
                          <w:rPr>
                            <w:color w:val="231F20"/>
                            <w:spacing w:val="-4"/>
                            <w:sz w:val="14"/>
                          </w:rPr>
                          <w:t>2021</w:t>
                        </w:r>
                      </w:p>
                    </w:tc>
                    <w:tc>
                      <w:tcPr>
                        <w:tcW w:w="167" w:type="dxa"/>
                      </w:tcPr>
                      <w:p>
                        <w:pPr>
                          <w:pStyle w:val="TableParagraph"/>
                          <w:rPr>
                            <w:rFonts w:ascii="Times New Roman"/>
                            <w:sz w:val="10"/>
                          </w:rPr>
                        </w:pPr>
                      </w:p>
                    </w:tc>
                    <w:tc>
                      <w:tcPr>
                        <w:tcW w:w="973" w:type="dxa"/>
                        <w:tcBorders>
                          <w:bottom w:val="single" w:sz="8" w:space="0" w:color="231F20"/>
                        </w:tcBorders>
                      </w:tcPr>
                      <w:p>
                        <w:pPr>
                          <w:pStyle w:val="TableParagraph"/>
                          <w:spacing w:line="153" w:lineRule="exact"/>
                          <w:ind w:left="335"/>
                          <w:rPr>
                            <w:sz w:val="14"/>
                          </w:rPr>
                        </w:pPr>
                        <w:r>
                          <w:rPr>
                            <w:color w:val="231F20"/>
                            <w:spacing w:val="-4"/>
                            <w:sz w:val="14"/>
                          </w:rPr>
                          <w:t>2020</w:t>
                        </w:r>
                      </w:p>
                    </w:tc>
                    <w:tc>
                      <w:tcPr>
                        <w:tcW w:w="167" w:type="dxa"/>
                      </w:tcPr>
                      <w:p>
                        <w:pPr>
                          <w:pStyle w:val="TableParagraph"/>
                          <w:rPr>
                            <w:rFonts w:ascii="Times New Roman"/>
                            <w:sz w:val="10"/>
                          </w:rPr>
                        </w:pPr>
                      </w:p>
                    </w:tc>
                    <w:tc>
                      <w:tcPr>
                        <w:tcW w:w="972" w:type="dxa"/>
                        <w:tcBorders>
                          <w:bottom w:val="single" w:sz="8" w:space="0" w:color="231F20"/>
                        </w:tcBorders>
                      </w:tcPr>
                      <w:p>
                        <w:pPr>
                          <w:pStyle w:val="TableParagraph"/>
                          <w:spacing w:line="153" w:lineRule="exact"/>
                          <w:ind w:left="335"/>
                          <w:rPr>
                            <w:sz w:val="14"/>
                          </w:rPr>
                        </w:pPr>
                        <w:r>
                          <w:rPr>
                            <w:color w:val="231F20"/>
                            <w:spacing w:val="-4"/>
                            <w:sz w:val="14"/>
                          </w:rPr>
                          <w:t>2019</w:t>
                        </w:r>
                      </w:p>
                    </w:tc>
                    <w:tc>
                      <w:tcPr>
                        <w:tcW w:w="168" w:type="dxa"/>
                      </w:tcPr>
                      <w:p>
                        <w:pPr>
                          <w:pStyle w:val="TableParagraph"/>
                          <w:rPr>
                            <w:rFonts w:ascii="Times New Roman"/>
                            <w:sz w:val="10"/>
                          </w:rPr>
                        </w:pPr>
                      </w:p>
                    </w:tc>
                    <w:tc>
                      <w:tcPr>
                        <w:tcW w:w="972" w:type="dxa"/>
                        <w:tcBorders>
                          <w:bottom w:val="single" w:sz="8" w:space="0" w:color="231F20"/>
                        </w:tcBorders>
                      </w:tcPr>
                      <w:p>
                        <w:pPr>
                          <w:pStyle w:val="TableParagraph"/>
                          <w:spacing w:line="153" w:lineRule="exact"/>
                          <w:ind w:left="278" w:right="265"/>
                          <w:jc w:val="center"/>
                          <w:rPr>
                            <w:sz w:val="14"/>
                          </w:rPr>
                        </w:pPr>
                        <w:r>
                          <w:rPr>
                            <w:color w:val="231F20"/>
                            <w:spacing w:val="-4"/>
                            <w:sz w:val="14"/>
                          </w:rPr>
                          <w:t>2018</w:t>
                        </w:r>
                      </w:p>
                    </w:tc>
                    <w:tc>
                      <w:tcPr>
                        <w:tcW w:w="168" w:type="dxa"/>
                      </w:tcPr>
                      <w:p>
                        <w:pPr>
                          <w:pStyle w:val="TableParagraph"/>
                          <w:rPr>
                            <w:rFonts w:ascii="Times New Roman"/>
                            <w:sz w:val="10"/>
                          </w:rPr>
                        </w:pPr>
                      </w:p>
                    </w:tc>
                    <w:tc>
                      <w:tcPr>
                        <w:tcW w:w="908" w:type="dxa"/>
                        <w:tcBorders>
                          <w:bottom w:val="single" w:sz="8" w:space="0" w:color="231F20"/>
                        </w:tcBorders>
                      </w:tcPr>
                      <w:p>
                        <w:pPr>
                          <w:pStyle w:val="TableParagraph"/>
                          <w:spacing w:line="153" w:lineRule="exact"/>
                          <w:ind w:left="208" w:right="194"/>
                          <w:jc w:val="center"/>
                          <w:rPr>
                            <w:sz w:val="14"/>
                          </w:rPr>
                        </w:pPr>
                        <w:r>
                          <w:rPr>
                            <w:color w:val="231F20"/>
                            <w:spacing w:val="-4"/>
                            <w:sz w:val="14"/>
                          </w:rPr>
                          <w:t>2017</w:t>
                        </w:r>
                      </w:p>
                    </w:tc>
                  </w:tr>
                  <w:tr>
                    <w:trPr>
                      <w:trHeight w:val="372" w:hRule="atLeast"/>
                    </w:trPr>
                    <w:tc>
                      <w:tcPr>
                        <w:tcW w:w="973" w:type="dxa"/>
                        <w:tcBorders>
                          <w:top w:val="single" w:sz="8" w:space="0" w:color="231F20"/>
                        </w:tcBorders>
                      </w:tcPr>
                      <w:p>
                        <w:pPr>
                          <w:pStyle w:val="TableParagraph"/>
                          <w:spacing w:before="2"/>
                          <w:rPr>
                            <w:sz w:val="18"/>
                          </w:rPr>
                        </w:pPr>
                      </w:p>
                      <w:p>
                        <w:pPr>
                          <w:pStyle w:val="TableParagraph"/>
                          <w:spacing w:line="142" w:lineRule="exact" w:before="1"/>
                          <w:ind w:left="184" w:right="168"/>
                          <w:jc w:val="center"/>
                          <w:rPr>
                            <w:sz w:val="14"/>
                          </w:rPr>
                        </w:pPr>
                        <w:r>
                          <w:rPr>
                            <w:color w:val="231F20"/>
                            <w:spacing w:val="-2"/>
                            <w:sz w:val="14"/>
                          </w:rPr>
                          <w:t>-11.83%</w:t>
                        </w:r>
                      </w:p>
                    </w:tc>
                    <w:tc>
                      <w:tcPr>
                        <w:tcW w:w="167" w:type="dxa"/>
                      </w:tcPr>
                      <w:p>
                        <w:pPr>
                          <w:pStyle w:val="TableParagraph"/>
                          <w:rPr>
                            <w:rFonts w:ascii="Times New Roman"/>
                            <w:sz w:val="18"/>
                          </w:rPr>
                        </w:pPr>
                      </w:p>
                    </w:tc>
                    <w:tc>
                      <w:tcPr>
                        <w:tcW w:w="973" w:type="dxa"/>
                        <w:tcBorders>
                          <w:top w:val="single" w:sz="8" w:space="0" w:color="231F20"/>
                        </w:tcBorders>
                      </w:tcPr>
                      <w:p>
                        <w:pPr>
                          <w:pStyle w:val="TableParagraph"/>
                          <w:spacing w:before="2"/>
                          <w:rPr>
                            <w:sz w:val="18"/>
                          </w:rPr>
                        </w:pPr>
                      </w:p>
                      <w:p>
                        <w:pPr>
                          <w:pStyle w:val="TableParagraph"/>
                          <w:spacing w:line="142" w:lineRule="exact" w:before="1"/>
                          <w:ind w:left="184" w:right="168"/>
                          <w:jc w:val="center"/>
                          <w:rPr>
                            <w:sz w:val="14"/>
                          </w:rPr>
                        </w:pPr>
                        <w:r>
                          <w:rPr>
                            <w:color w:val="231F20"/>
                            <w:spacing w:val="-2"/>
                            <w:sz w:val="14"/>
                          </w:rPr>
                          <w:t>36.75%</w:t>
                        </w:r>
                      </w:p>
                    </w:tc>
                    <w:tc>
                      <w:tcPr>
                        <w:tcW w:w="167" w:type="dxa"/>
                      </w:tcPr>
                      <w:p>
                        <w:pPr>
                          <w:pStyle w:val="TableParagraph"/>
                          <w:rPr>
                            <w:rFonts w:ascii="Times New Roman"/>
                            <w:sz w:val="18"/>
                          </w:rPr>
                        </w:pPr>
                      </w:p>
                    </w:tc>
                    <w:tc>
                      <w:tcPr>
                        <w:tcW w:w="973" w:type="dxa"/>
                        <w:tcBorders>
                          <w:top w:val="single" w:sz="8" w:space="0" w:color="231F20"/>
                        </w:tcBorders>
                      </w:tcPr>
                      <w:p>
                        <w:pPr>
                          <w:pStyle w:val="TableParagraph"/>
                          <w:spacing w:before="2"/>
                          <w:rPr>
                            <w:sz w:val="18"/>
                          </w:rPr>
                        </w:pPr>
                      </w:p>
                      <w:p>
                        <w:pPr>
                          <w:pStyle w:val="TableParagraph"/>
                          <w:spacing w:line="142" w:lineRule="exact" w:before="1"/>
                          <w:ind w:left="291"/>
                          <w:rPr>
                            <w:sz w:val="14"/>
                          </w:rPr>
                        </w:pPr>
                        <w:r>
                          <w:rPr>
                            <w:color w:val="231F20"/>
                            <w:spacing w:val="-2"/>
                            <w:sz w:val="14"/>
                          </w:rPr>
                          <w:t>3.70%</w:t>
                        </w:r>
                      </w:p>
                    </w:tc>
                    <w:tc>
                      <w:tcPr>
                        <w:tcW w:w="167" w:type="dxa"/>
                      </w:tcPr>
                      <w:p>
                        <w:pPr>
                          <w:pStyle w:val="TableParagraph"/>
                          <w:rPr>
                            <w:rFonts w:ascii="Times New Roman"/>
                            <w:sz w:val="18"/>
                          </w:rPr>
                        </w:pPr>
                      </w:p>
                    </w:tc>
                    <w:tc>
                      <w:tcPr>
                        <w:tcW w:w="972" w:type="dxa"/>
                        <w:tcBorders>
                          <w:top w:val="single" w:sz="8" w:space="0" w:color="231F20"/>
                        </w:tcBorders>
                      </w:tcPr>
                      <w:p>
                        <w:pPr>
                          <w:pStyle w:val="TableParagraph"/>
                          <w:spacing w:before="2"/>
                          <w:rPr>
                            <w:sz w:val="18"/>
                          </w:rPr>
                        </w:pPr>
                      </w:p>
                      <w:p>
                        <w:pPr>
                          <w:pStyle w:val="TableParagraph"/>
                          <w:spacing w:line="142" w:lineRule="exact" w:before="1"/>
                          <w:ind w:left="291"/>
                          <w:rPr>
                            <w:sz w:val="14"/>
                          </w:rPr>
                        </w:pPr>
                        <w:r>
                          <w:rPr>
                            <w:color w:val="231F20"/>
                            <w:spacing w:val="-2"/>
                            <w:sz w:val="14"/>
                          </w:rPr>
                          <w:t>7.10%</w:t>
                        </w:r>
                      </w:p>
                    </w:tc>
                    <w:tc>
                      <w:tcPr>
                        <w:tcW w:w="168" w:type="dxa"/>
                      </w:tcPr>
                      <w:p>
                        <w:pPr>
                          <w:pStyle w:val="TableParagraph"/>
                          <w:rPr>
                            <w:rFonts w:ascii="Times New Roman"/>
                            <w:sz w:val="18"/>
                          </w:rPr>
                        </w:pPr>
                      </w:p>
                    </w:tc>
                    <w:tc>
                      <w:tcPr>
                        <w:tcW w:w="972" w:type="dxa"/>
                        <w:tcBorders>
                          <w:top w:val="single" w:sz="8" w:space="0" w:color="231F20"/>
                        </w:tcBorders>
                      </w:tcPr>
                      <w:p>
                        <w:pPr>
                          <w:pStyle w:val="TableParagraph"/>
                          <w:spacing w:before="2"/>
                          <w:rPr>
                            <w:sz w:val="18"/>
                          </w:rPr>
                        </w:pPr>
                      </w:p>
                      <w:p>
                        <w:pPr>
                          <w:pStyle w:val="TableParagraph"/>
                          <w:spacing w:line="142" w:lineRule="exact" w:before="1"/>
                          <w:ind w:left="279" w:right="265"/>
                          <w:jc w:val="center"/>
                          <w:rPr>
                            <w:sz w:val="14"/>
                          </w:rPr>
                        </w:pPr>
                        <w:r>
                          <w:rPr>
                            <w:color w:val="231F20"/>
                            <w:spacing w:val="-2"/>
                            <w:sz w:val="14"/>
                          </w:rPr>
                          <w:t>9.40%</w:t>
                        </w:r>
                      </w:p>
                    </w:tc>
                    <w:tc>
                      <w:tcPr>
                        <w:tcW w:w="168" w:type="dxa"/>
                      </w:tcPr>
                      <w:p>
                        <w:pPr>
                          <w:pStyle w:val="TableParagraph"/>
                          <w:rPr>
                            <w:rFonts w:ascii="Times New Roman"/>
                            <w:sz w:val="18"/>
                          </w:rPr>
                        </w:pPr>
                      </w:p>
                    </w:tc>
                    <w:tc>
                      <w:tcPr>
                        <w:tcW w:w="908" w:type="dxa"/>
                        <w:tcBorders>
                          <w:top w:val="single" w:sz="8" w:space="0" w:color="231F20"/>
                        </w:tcBorders>
                      </w:tcPr>
                      <w:p>
                        <w:pPr>
                          <w:pStyle w:val="TableParagraph"/>
                          <w:spacing w:before="2"/>
                          <w:rPr>
                            <w:sz w:val="18"/>
                          </w:rPr>
                        </w:pPr>
                      </w:p>
                      <w:p>
                        <w:pPr>
                          <w:pStyle w:val="TableParagraph"/>
                          <w:spacing w:line="142" w:lineRule="exact" w:before="1"/>
                          <w:ind w:left="208" w:right="196"/>
                          <w:jc w:val="center"/>
                          <w:rPr>
                            <w:sz w:val="14"/>
                          </w:rPr>
                        </w:pPr>
                        <w:r>
                          <w:rPr>
                            <w:color w:val="231F20"/>
                            <w:spacing w:val="-2"/>
                            <w:sz w:val="14"/>
                          </w:rPr>
                          <w:t>11.30%</w:t>
                        </w:r>
                      </w:p>
                    </w:tc>
                  </w:tr>
                </w:tbl>
                <w:p>
                  <w:pPr>
                    <w:pStyle w:val="BodyText"/>
                  </w:pPr>
                </w:p>
              </w:txbxContent>
            </v:textbox>
            <w10:wrap type="none"/>
          </v:shape>
        </w:pict>
      </w:r>
      <w:r>
        <w:rPr>
          <w:color w:val="231F20"/>
          <w:sz w:val="14"/>
        </w:rPr>
        <w:t>Annual</w:t>
      </w:r>
      <w:r>
        <w:rPr>
          <w:color w:val="231F20"/>
          <w:spacing w:val="-1"/>
          <w:sz w:val="14"/>
        </w:rPr>
        <w:t> </w:t>
      </w:r>
      <w:r>
        <w:rPr>
          <w:color w:val="231F20"/>
          <w:sz w:val="14"/>
        </w:rPr>
        <w:t>money-weighted</w:t>
      </w:r>
      <w:r>
        <w:rPr>
          <w:color w:val="231F20"/>
          <w:spacing w:val="-1"/>
          <w:sz w:val="14"/>
        </w:rPr>
        <w:t> </w:t>
      </w:r>
      <w:r>
        <w:rPr>
          <w:color w:val="231F20"/>
          <w:sz w:val="14"/>
        </w:rPr>
        <w:t>rate</w:t>
      </w:r>
      <w:r>
        <w:rPr>
          <w:color w:val="231F20"/>
          <w:spacing w:val="-2"/>
          <w:sz w:val="14"/>
        </w:rPr>
        <w:t> </w:t>
      </w:r>
      <w:r>
        <w:rPr>
          <w:color w:val="231F20"/>
          <w:sz w:val="14"/>
        </w:rPr>
        <w:t>of</w:t>
      </w:r>
      <w:r>
        <w:rPr>
          <w:color w:val="231F20"/>
          <w:spacing w:val="-1"/>
          <w:sz w:val="14"/>
        </w:rPr>
        <w:t> </w:t>
      </w:r>
      <w:r>
        <w:rPr>
          <w:color w:val="231F20"/>
          <w:sz w:val="14"/>
        </w:rPr>
        <w:t>return,</w:t>
      </w:r>
      <w:r>
        <w:rPr>
          <w:color w:val="231F20"/>
          <w:spacing w:val="40"/>
          <w:sz w:val="14"/>
        </w:rPr>
        <w:t> </w:t>
      </w:r>
      <w:r>
        <w:rPr>
          <w:color w:val="231F20"/>
          <w:sz w:val="14"/>
        </w:rPr>
        <w:t>net of investment expense</w:t>
      </w:r>
    </w:p>
    <w:p>
      <w:pPr>
        <w:spacing w:after="0" w:line="300" w:lineRule="auto"/>
        <w:jc w:val="left"/>
        <w:rPr>
          <w:sz w:val="14"/>
        </w:rPr>
        <w:sectPr>
          <w:pgSz w:w="12240" w:h="15840"/>
          <w:pgMar w:header="1270" w:footer="1097" w:top="1580" w:bottom="1280" w:left="1280" w:right="12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7"/>
        </w:rPr>
      </w:pPr>
    </w:p>
    <w:p>
      <w:pPr>
        <w:pStyle w:val="Heading1"/>
        <w:ind w:left="2555" w:right="2555"/>
      </w:pPr>
      <w:r>
        <w:rPr/>
        <w:pict>
          <v:rect style="position:absolute;margin-left:70.5pt;margin-top:23.30271pt;width:471.001pt;height:1.5pt;mso-position-horizontal-relative:page;mso-position-vertical-relative:paragraph;z-index:-15636480;mso-wrap-distance-left:0;mso-wrap-distance-right:0" id="docshape442" filled="true" fillcolor="#231f20" stroked="false">
            <v:fill type="solid"/>
            <w10:wrap type="topAndBottom"/>
          </v:rect>
        </w:pict>
      </w:r>
      <w:bookmarkStart w:name="_TOC_250000" w:id="3"/>
      <w:r>
        <w:rPr>
          <w:color w:val="231F20"/>
        </w:rPr>
        <w:t>Supplementary</w:t>
      </w:r>
      <w:r>
        <w:rPr>
          <w:color w:val="231F20"/>
          <w:spacing w:val="-13"/>
        </w:rPr>
        <w:t> </w:t>
      </w:r>
      <w:bookmarkEnd w:id="3"/>
      <w:r>
        <w:rPr>
          <w:color w:val="231F20"/>
          <w:spacing w:val="-2"/>
        </w:rPr>
        <w:t>Information</w:t>
      </w:r>
    </w:p>
    <w:p>
      <w:pPr>
        <w:spacing w:after="0"/>
        <w:sectPr>
          <w:headerReference w:type="default" r:id="rId58"/>
          <w:footerReference w:type="default" r:id="rId59"/>
          <w:pgSz w:w="12240" w:h="15840"/>
          <w:pgMar w:header="0" w:footer="0" w:top="1820" w:bottom="280" w:left="1280" w:right="1280"/>
        </w:sectPr>
      </w:pPr>
    </w:p>
    <w:p>
      <w:pPr>
        <w:pStyle w:val="Heading3"/>
        <w:ind w:left="3139" w:right="201" w:hanging="2854"/>
        <w:jc w:val="left"/>
      </w:pPr>
      <w:r>
        <w:rPr/>
        <w:pict>
          <v:rect style="position:absolute;margin-left:70.5pt;margin-top:28.525633pt;width:471.001pt;height:1.5pt;mso-position-horizontal-relative:page;mso-position-vertical-relative:paragraph;z-index:-15635968;mso-wrap-distance-left:0;mso-wrap-distance-right:0" id="docshape446" filled="true" fillcolor="#231f20" stroked="false">
            <v:fill type="solid"/>
            <w10:wrap type="topAndBottom"/>
          </v:rect>
        </w:pict>
      </w:r>
      <w:r>
        <w:rPr>
          <w:color w:val="231F20"/>
        </w:rPr>
        <w:t>Budget</w:t>
      </w:r>
      <w:r>
        <w:rPr>
          <w:color w:val="231F20"/>
          <w:spacing w:val="-4"/>
        </w:rPr>
        <w:t> </w:t>
      </w:r>
      <w:r>
        <w:rPr>
          <w:color w:val="231F20"/>
        </w:rPr>
        <w:t>Comparison</w:t>
      </w:r>
      <w:r>
        <w:rPr>
          <w:color w:val="231F20"/>
          <w:spacing w:val="-4"/>
        </w:rPr>
        <w:t> </w:t>
      </w:r>
      <w:r>
        <w:rPr>
          <w:color w:val="231F20"/>
        </w:rPr>
        <w:t>–</w:t>
      </w:r>
      <w:r>
        <w:rPr>
          <w:color w:val="231F20"/>
          <w:spacing w:val="-4"/>
        </w:rPr>
        <w:t> </w:t>
      </w:r>
      <w:r>
        <w:rPr>
          <w:color w:val="231F20"/>
        </w:rPr>
        <w:t>Unrestricted</w:t>
      </w:r>
      <w:r>
        <w:rPr>
          <w:color w:val="231F20"/>
          <w:spacing w:val="-4"/>
        </w:rPr>
        <w:t> </w:t>
      </w:r>
      <w:r>
        <w:rPr>
          <w:color w:val="231F20"/>
        </w:rPr>
        <w:t>and</w:t>
      </w:r>
      <w:r>
        <w:rPr>
          <w:color w:val="231F20"/>
          <w:spacing w:val="-4"/>
        </w:rPr>
        <w:t> </w:t>
      </w:r>
      <w:r>
        <w:rPr>
          <w:color w:val="231F20"/>
        </w:rPr>
        <w:t>Restricted</w:t>
      </w:r>
      <w:r>
        <w:rPr>
          <w:color w:val="231F20"/>
          <w:spacing w:val="-4"/>
        </w:rPr>
        <w:t> </w:t>
      </w:r>
      <w:r>
        <w:rPr>
          <w:color w:val="231F20"/>
        </w:rPr>
        <w:t>–</w:t>
      </w:r>
      <w:r>
        <w:rPr>
          <w:color w:val="231F20"/>
          <w:spacing w:val="-6"/>
        </w:rPr>
        <w:t> </w:t>
      </w:r>
      <w:r>
        <w:rPr>
          <w:color w:val="231F20"/>
        </w:rPr>
        <w:t>All</w:t>
      </w:r>
      <w:r>
        <w:rPr>
          <w:color w:val="231F20"/>
          <w:spacing w:val="-4"/>
        </w:rPr>
        <w:t> </w:t>
      </w:r>
      <w:r>
        <w:rPr>
          <w:color w:val="231F20"/>
        </w:rPr>
        <w:t>Operations</w:t>
      </w:r>
      <w:r>
        <w:rPr>
          <w:color w:val="231F20"/>
          <w:spacing w:val="-4"/>
        </w:rPr>
        <w:t> </w:t>
      </w:r>
      <w:r>
        <w:rPr>
          <w:color w:val="231F20"/>
        </w:rPr>
        <w:t>(Schedule</w:t>
      </w:r>
      <w:r>
        <w:rPr>
          <w:color w:val="231F20"/>
          <w:spacing w:val="-4"/>
        </w:rPr>
        <w:t> </w:t>
      </w:r>
      <w:r>
        <w:rPr>
          <w:color w:val="231F20"/>
        </w:rPr>
        <w:t>1) For Year Ended June 30, 2022</w:t>
      </w:r>
    </w:p>
    <w:p>
      <w:pPr>
        <w:pStyle w:val="BodyText"/>
        <w:rPr>
          <w:b/>
        </w:rPr>
      </w:pPr>
    </w:p>
    <w:p>
      <w:pPr>
        <w:pStyle w:val="BodyText"/>
        <w:spacing w:before="4" w:after="1"/>
        <w:rPr>
          <w:b/>
          <w:sz w:val="21"/>
        </w:rPr>
      </w:pPr>
    </w:p>
    <w:tbl>
      <w:tblPr>
        <w:tblW w:w="0" w:type="auto"/>
        <w:jc w:val="left"/>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5"/>
        <w:gridCol w:w="1470"/>
        <w:gridCol w:w="1339"/>
        <w:gridCol w:w="1339"/>
        <w:gridCol w:w="1309"/>
      </w:tblGrid>
      <w:tr>
        <w:trPr>
          <w:trHeight w:val="817" w:hRule="atLeast"/>
        </w:trPr>
        <w:tc>
          <w:tcPr>
            <w:tcW w:w="3895" w:type="dxa"/>
          </w:tcPr>
          <w:p>
            <w:pPr>
              <w:pStyle w:val="TableParagraph"/>
              <w:rPr>
                <w:rFonts w:ascii="Times New Roman"/>
                <w:sz w:val="14"/>
              </w:rPr>
            </w:pPr>
          </w:p>
        </w:tc>
        <w:tc>
          <w:tcPr>
            <w:tcW w:w="1470" w:type="dxa"/>
          </w:tcPr>
          <w:p>
            <w:pPr>
              <w:pStyle w:val="TableParagraph"/>
              <w:rPr>
                <w:b/>
                <w:sz w:val="18"/>
              </w:rPr>
            </w:pPr>
          </w:p>
          <w:p>
            <w:pPr>
              <w:pStyle w:val="TableParagraph"/>
              <w:rPr>
                <w:b/>
                <w:sz w:val="18"/>
              </w:rPr>
            </w:pPr>
          </w:p>
          <w:p>
            <w:pPr>
              <w:pStyle w:val="TableParagraph"/>
              <w:spacing w:before="6"/>
              <w:rPr>
                <w:b/>
                <w:sz w:val="15"/>
              </w:rPr>
            </w:pPr>
          </w:p>
          <w:p>
            <w:pPr>
              <w:pStyle w:val="TableParagraph"/>
              <w:ind w:right="112"/>
              <w:jc w:val="right"/>
              <w:rPr>
                <w:sz w:val="15"/>
              </w:rPr>
            </w:pPr>
            <w:r>
              <w:rPr>
                <w:color w:val="231F20"/>
                <w:spacing w:val="2"/>
                <w:w w:val="105"/>
                <w:sz w:val="15"/>
                <w:u w:val="single" w:color="231F20"/>
              </w:rPr>
              <w:t> </w:t>
            </w:r>
            <w:r>
              <w:rPr>
                <w:color w:val="231F20"/>
                <w:w w:val="105"/>
                <w:sz w:val="15"/>
                <w:u w:val="single" w:color="231F20"/>
              </w:rPr>
              <w:t>Original</w:t>
            </w:r>
            <w:r>
              <w:rPr>
                <w:color w:val="231F20"/>
                <w:spacing w:val="-1"/>
                <w:w w:val="105"/>
                <w:sz w:val="15"/>
                <w:u w:val="single" w:color="231F20"/>
              </w:rPr>
              <w:t> </w:t>
            </w:r>
            <w:r>
              <w:rPr>
                <w:color w:val="231F20"/>
                <w:spacing w:val="-2"/>
                <w:w w:val="105"/>
                <w:sz w:val="15"/>
                <w:u w:val="single" w:color="231F20"/>
              </w:rPr>
              <w:t>Budget</w:t>
            </w:r>
          </w:p>
        </w:tc>
        <w:tc>
          <w:tcPr>
            <w:tcW w:w="1339" w:type="dxa"/>
          </w:tcPr>
          <w:p>
            <w:pPr>
              <w:pStyle w:val="TableParagraph"/>
              <w:rPr>
                <w:b/>
                <w:sz w:val="18"/>
              </w:rPr>
            </w:pPr>
          </w:p>
          <w:p>
            <w:pPr>
              <w:pStyle w:val="TableParagraph"/>
              <w:rPr>
                <w:b/>
                <w:sz w:val="18"/>
              </w:rPr>
            </w:pPr>
          </w:p>
          <w:p>
            <w:pPr>
              <w:pStyle w:val="TableParagraph"/>
              <w:spacing w:before="6"/>
              <w:rPr>
                <w:b/>
                <w:sz w:val="15"/>
              </w:rPr>
            </w:pPr>
          </w:p>
          <w:p>
            <w:pPr>
              <w:pStyle w:val="TableParagraph"/>
              <w:ind w:right="78"/>
              <w:jc w:val="right"/>
              <w:rPr>
                <w:sz w:val="15"/>
              </w:rPr>
            </w:pPr>
            <w:r>
              <w:rPr>
                <w:color w:val="231F20"/>
                <w:spacing w:val="29"/>
                <w:w w:val="105"/>
                <w:sz w:val="15"/>
                <w:u w:val="single" w:color="231F20"/>
              </w:rPr>
              <w:t>  </w:t>
            </w:r>
            <w:r>
              <w:rPr>
                <w:color w:val="231F20"/>
                <w:w w:val="105"/>
                <w:sz w:val="15"/>
                <w:u w:val="single" w:color="231F20"/>
              </w:rPr>
              <w:t>Final </w:t>
            </w:r>
            <w:r>
              <w:rPr>
                <w:color w:val="231F20"/>
                <w:spacing w:val="-2"/>
                <w:w w:val="105"/>
                <w:sz w:val="15"/>
                <w:u w:val="single" w:color="231F20"/>
              </w:rPr>
              <w:t>Budget</w:t>
            </w:r>
            <w:r>
              <w:rPr>
                <w:color w:val="231F20"/>
                <w:spacing w:val="40"/>
                <w:w w:val="105"/>
                <w:sz w:val="15"/>
                <w:u w:val="single" w:color="231F20"/>
              </w:rPr>
              <w:t> </w:t>
            </w:r>
          </w:p>
        </w:tc>
        <w:tc>
          <w:tcPr>
            <w:tcW w:w="1339" w:type="dxa"/>
          </w:tcPr>
          <w:p>
            <w:pPr>
              <w:pStyle w:val="TableParagraph"/>
              <w:rPr>
                <w:b/>
                <w:sz w:val="18"/>
              </w:rPr>
            </w:pPr>
          </w:p>
          <w:p>
            <w:pPr>
              <w:pStyle w:val="TableParagraph"/>
              <w:rPr>
                <w:b/>
                <w:sz w:val="18"/>
              </w:rPr>
            </w:pPr>
          </w:p>
          <w:p>
            <w:pPr>
              <w:pStyle w:val="TableParagraph"/>
              <w:spacing w:before="6"/>
              <w:rPr>
                <w:b/>
                <w:sz w:val="15"/>
              </w:rPr>
            </w:pPr>
          </w:p>
          <w:p>
            <w:pPr>
              <w:pStyle w:val="TableParagraph"/>
              <w:tabs>
                <w:tab w:pos="334" w:val="left" w:leader="none"/>
                <w:tab w:pos="1178" w:val="left" w:leader="none"/>
              </w:tabs>
              <w:ind w:right="78"/>
              <w:jc w:val="right"/>
              <w:rPr>
                <w:sz w:val="15"/>
              </w:rPr>
            </w:pPr>
            <w:r>
              <w:rPr>
                <w:color w:val="231F20"/>
                <w:sz w:val="15"/>
                <w:u w:val="single" w:color="231F20"/>
              </w:rPr>
              <w:tab/>
            </w:r>
            <w:r>
              <w:rPr>
                <w:color w:val="231F20"/>
                <w:spacing w:val="-2"/>
                <w:w w:val="105"/>
                <w:sz w:val="15"/>
                <w:u w:val="single" w:color="231F20"/>
              </w:rPr>
              <w:t>Actuals</w:t>
            </w:r>
            <w:r>
              <w:rPr>
                <w:color w:val="231F20"/>
                <w:sz w:val="15"/>
                <w:u w:val="single" w:color="231F20"/>
              </w:rPr>
              <w:tab/>
            </w:r>
          </w:p>
        </w:tc>
        <w:tc>
          <w:tcPr>
            <w:tcW w:w="1309" w:type="dxa"/>
          </w:tcPr>
          <w:p>
            <w:pPr>
              <w:pStyle w:val="TableParagraph"/>
              <w:spacing w:line="273" w:lineRule="auto" w:before="2"/>
              <w:ind w:left="212" w:right="164" w:firstLine="1"/>
              <w:jc w:val="center"/>
              <w:rPr>
                <w:sz w:val="15"/>
              </w:rPr>
            </w:pPr>
            <w:r>
              <w:rPr>
                <w:color w:val="231F20"/>
                <w:w w:val="105"/>
                <w:sz w:val="15"/>
              </w:rPr>
              <w:t>Final Budget vs Actuals Over </w:t>
            </w:r>
            <w:r>
              <w:rPr>
                <w:color w:val="231F20"/>
                <w:spacing w:val="-2"/>
                <w:w w:val="105"/>
                <w:sz w:val="15"/>
              </w:rPr>
              <w:t>(Under)</w:t>
            </w:r>
          </w:p>
          <w:p>
            <w:pPr>
              <w:pStyle w:val="TableParagraph"/>
              <w:tabs>
                <w:tab w:pos="376" w:val="left" w:leader="none"/>
                <w:tab w:pos="1209" w:val="left" w:leader="none"/>
              </w:tabs>
              <w:spacing w:before="1"/>
              <w:ind w:left="30"/>
              <w:jc w:val="center"/>
              <w:rPr>
                <w:sz w:val="15"/>
              </w:rPr>
            </w:pPr>
            <w:r>
              <w:rPr>
                <w:color w:val="231F20"/>
                <w:sz w:val="15"/>
                <w:u w:val="single" w:color="231F20"/>
              </w:rPr>
              <w:tab/>
            </w:r>
            <w:r>
              <w:rPr>
                <w:color w:val="231F20"/>
                <w:spacing w:val="-2"/>
                <w:w w:val="105"/>
                <w:sz w:val="15"/>
                <w:u w:val="single" w:color="231F20"/>
              </w:rPr>
              <w:t>Budget</w:t>
            </w:r>
            <w:r>
              <w:rPr>
                <w:color w:val="231F20"/>
                <w:sz w:val="15"/>
                <w:u w:val="single" w:color="231F20"/>
              </w:rPr>
              <w:tab/>
            </w:r>
          </w:p>
        </w:tc>
      </w:tr>
      <w:tr>
        <w:trPr>
          <w:trHeight w:val="352" w:hRule="atLeast"/>
        </w:trPr>
        <w:tc>
          <w:tcPr>
            <w:tcW w:w="3895" w:type="dxa"/>
          </w:tcPr>
          <w:p>
            <w:pPr>
              <w:pStyle w:val="TableParagraph"/>
              <w:spacing w:before="53"/>
              <w:ind w:left="50"/>
              <w:rPr>
                <w:sz w:val="15"/>
              </w:rPr>
            </w:pPr>
            <w:r>
              <w:rPr>
                <w:color w:val="231F20"/>
                <w:w w:val="105"/>
                <w:sz w:val="15"/>
              </w:rPr>
              <w:t>Unrestricted</w:t>
            </w:r>
            <w:r>
              <w:rPr>
                <w:color w:val="231F20"/>
                <w:spacing w:val="-3"/>
                <w:w w:val="105"/>
                <w:sz w:val="15"/>
              </w:rPr>
              <w:t> </w:t>
            </w:r>
            <w:r>
              <w:rPr>
                <w:color w:val="231F20"/>
                <w:w w:val="105"/>
                <w:sz w:val="15"/>
              </w:rPr>
              <w:t>and restricted</w:t>
            </w:r>
            <w:r>
              <w:rPr>
                <w:color w:val="231F20"/>
                <w:spacing w:val="-2"/>
                <w:w w:val="105"/>
                <w:sz w:val="15"/>
              </w:rPr>
              <w:t> </w:t>
            </w:r>
            <w:r>
              <w:rPr>
                <w:color w:val="231F20"/>
                <w:w w:val="105"/>
                <w:sz w:val="15"/>
              </w:rPr>
              <w:t>beginning net</w:t>
            </w:r>
            <w:r>
              <w:rPr>
                <w:color w:val="231F20"/>
                <w:spacing w:val="-2"/>
                <w:w w:val="105"/>
                <w:sz w:val="15"/>
              </w:rPr>
              <w:t> position</w:t>
            </w:r>
          </w:p>
        </w:tc>
        <w:tc>
          <w:tcPr>
            <w:tcW w:w="1470" w:type="dxa"/>
          </w:tcPr>
          <w:p>
            <w:pPr>
              <w:pStyle w:val="TableParagraph"/>
              <w:spacing w:before="53"/>
              <w:ind w:right="78"/>
              <w:jc w:val="right"/>
              <w:rPr>
                <w:sz w:val="15"/>
              </w:rPr>
            </w:pPr>
            <w:r>
              <w:rPr>
                <w:color w:val="231F20"/>
                <w:spacing w:val="39"/>
                <w:w w:val="105"/>
                <w:sz w:val="15"/>
                <w:u w:val="single" w:color="231F20"/>
              </w:rPr>
              <w:t> </w:t>
            </w:r>
            <w:r>
              <w:rPr>
                <w:color w:val="231F20"/>
                <w:w w:val="105"/>
                <w:sz w:val="15"/>
                <w:u w:val="single" w:color="231F20"/>
              </w:rPr>
              <w:t>$</w:t>
            </w:r>
            <w:r>
              <w:rPr>
                <w:color w:val="231F20"/>
                <w:spacing w:val="64"/>
                <w:w w:val="150"/>
                <w:sz w:val="15"/>
                <w:u w:val="single" w:color="231F20"/>
              </w:rPr>
              <w:t> </w:t>
            </w:r>
            <w:r>
              <w:rPr>
                <w:color w:val="231F20"/>
                <w:spacing w:val="-2"/>
                <w:w w:val="105"/>
                <w:sz w:val="15"/>
                <w:u w:val="single" w:color="231F20"/>
              </w:rPr>
              <w:t>34,376,813</w:t>
            </w:r>
            <w:r>
              <w:rPr>
                <w:color w:val="231F20"/>
                <w:spacing w:val="80"/>
                <w:w w:val="105"/>
                <w:sz w:val="15"/>
                <w:u w:val="single" w:color="231F20"/>
              </w:rPr>
              <w:t> </w:t>
            </w:r>
          </w:p>
        </w:tc>
        <w:tc>
          <w:tcPr>
            <w:tcW w:w="1339" w:type="dxa"/>
          </w:tcPr>
          <w:p>
            <w:pPr>
              <w:pStyle w:val="TableParagraph"/>
              <w:spacing w:before="53"/>
              <w:ind w:right="78"/>
              <w:jc w:val="right"/>
              <w:rPr>
                <w:sz w:val="15"/>
              </w:rPr>
            </w:pPr>
            <w:r>
              <w:rPr>
                <w:color w:val="231F20"/>
                <w:spacing w:val="38"/>
                <w:w w:val="105"/>
                <w:sz w:val="15"/>
                <w:u w:val="single" w:color="231F20"/>
              </w:rPr>
              <w:t> </w:t>
            </w:r>
            <w:r>
              <w:rPr>
                <w:color w:val="231F20"/>
                <w:w w:val="105"/>
                <w:sz w:val="15"/>
                <w:u w:val="single" w:color="231F20"/>
              </w:rPr>
              <w:t>$</w:t>
            </w:r>
            <w:r>
              <w:rPr>
                <w:color w:val="231F20"/>
                <w:spacing w:val="63"/>
                <w:w w:val="150"/>
                <w:sz w:val="15"/>
                <w:u w:val="single" w:color="231F20"/>
              </w:rPr>
              <w:t> </w:t>
            </w:r>
            <w:r>
              <w:rPr>
                <w:color w:val="231F20"/>
                <w:spacing w:val="-2"/>
                <w:w w:val="105"/>
                <w:sz w:val="15"/>
                <w:u w:val="single" w:color="231F20"/>
              </w:rPr>
              <w:t>56,395,609</w:t>
            </w:r>
            <w:r>
              <w:rPr>
                <w:color w:val="231F20"/>
                <w:spacing w:val="80"/>
                <w:w w:val="105"/>
                <w:sz w:val="15"/>
                <w:u w:val="single" w:color="231F20"/>
              </w:rPr>
              <w:t> </w:t>
            </w:r>
          </w:p>
        </w:tc>
        <w:tc>
          <w:tcPr>
            <w:tcW w:w="1339" w:type="dxa"/>
          </w:tcPr>
          <w:p>
            <w:pPr>
              <w:pStyle w:val="TableParagraph"/>
              <w:spacing w:before="53"/>
              <w:ind w:right="78"/>
              <w:jc w:val="right"/>
              <w:rPr>
                <w:sz w:val="15"/>
              </w:rPr>
            </w:pPr>
            <w:r>
              <w:rPr>
                <w:color w:val="231F20"/>
                <w:spacing w:val="38"/>
                <w:w w:val="105"/>
                <w:sz w:val="15"/>
                <w:u w:val="single" w:color="231F20"/>
              </w:rPr>
              <w:t> </w:t>
            </w:r>
            <w:r>
              <w:rPr>
                <w:color w:val="231F20"/>
                <w:w w:val="105"/>
                <w:sz w:val="15"/>
                <w:u w:val="single" w:color="231F20"/>
              </w:rPr>
              <w:t>$</w:t>
            </w:r>
            <w:r>
              <w:rPr>
                <w:color w:val="231F20"/>
                <w:spacing w:val="64"/>
                <w:w w:val="150"/>
                <w:sz w:val="15"/>
                <w:u w:val="single" w:color="231F20"/>
              </w:rPr>
              <w:t> </w:t>
            </w:r>
            <w:r>
              <w:rPr>
                <w:color w:val="231F20"/>
                <w:spacing w:val="-2"/>
                <w:w w:val="105"/>
                <w:sz w:val="15"/>
                <w:u w:val="single" w:color="231F20"/>
              </w:rPr>
              <w:t>56,395,609</w:t>
            </w:r>
            <w:r>
              <w:rPr>
                <w:color w:val="231F20"/>
                <w:spacing w:val="80"/>
                <w:w w:val="105"/>
                <w:sz w:val="15"/>
                <w:u w:val="single" w:color="231F20"/>
              </w:rPr>
              <w:t> </w:t>
            </w:r>
          </w:p>
        </w:tc>
        <w:tc>
          <w:tcPr>
            <w:tcW w:w="1309" w:type="dxa"/>
          </w:tcPr>
          <w:p>
            <w:pPr>
              <w:pStyle w:val="TableParagraph"/>
              <w:tabs>
                <w:tab w:pos="1040" w:val="left" w:leader="none"/>
              </w:tabs>
              <w:spacing w:before="53"/>
              <w:ind w:right="47"/>
              <w:jc w:val="right"/>
              <w:rPr>
                <w:sz w:val="15"/>
              </w:rPr>
            </w:pPr>
            <w:r>
              <w:rPr>
                <w:color w:val="231F20"/>
                <w:spacing w:val="38"/>
                <w:w w:val="105"/>
                <w:sz w:val="15"/>
                <w:u w:val="single" w:color="231F20"/>
              </w:rPr>
              <w:t> </w:t>
            </w:r>
            <w:r>
              <w:rPr>
                <w:color w:val="231F20"/>
                <w:spacing w:val="-10"/>
                <w:w w:val="105"/>
                <w:sz w:val="15"/>
                <w:u w:val="single" w:color="231F20"/>
              </w:rPr>
              <w:t>$</w:t>
            </w:r>
            <w:r>
              <w:rPr>
                <w:color w:val="231F20"/>
                <w:sz w:val="15"/>
                <w:u w:val="single" w:color="231F20"/>
              </w:rPr>
              <w:tab/>
            </w:r>
            <w:r>
              <w:rPr>
                <w:color w:val="231F20"/>
                <w:spacing w:val="-10"/>
                <w:w w:val="105"/>
                <w:sz w:val="15"/>
                <w:u w:val="single" w:color="231F20"/>
              </w:rPr>
              <w:t>-</w:t>
            </w:r>
            <w:r>
              <w:rPr>
                <w:color w:val="231F20"/>
                <w:spacing w:val="80"/>
                <w:w w:val="105"/>
                <w:sz w:val="15"/>
                <w:u w:val="single" w:color="231F20"/>
              </w:rPr>
              <w:t> </w:t>
            </w:r>
          </w:p>
        </w:tc>
      </w:tr>
      <w:tr>
        <w:trPr>
          <w:trHeight w:val="508" w:hRule="atLeast"/>
        </w:trPr>
        <w:tc>
          <w:tcPr>
            <w:tcW w:w="3895" w:type="dxa"/>
          </w:tcPr>
          <w:p>
            <w:pPr>
              <w:pStyle w:val="TableParagraph"/>
              <w:spacing w:line="190" w:lineRule="atLeast" w:before="109"/>
              <w:ind w:left="272" w:right="926" w:hanging="223"/>
              <w:rPr>
                <w:sz w:val="15"/>
              </w:rPr>
            </w:pPr>
            <w:r>
              <w:rPr>
                <w:color w:val="231F20"/>
                <w:w w:val="105"/>
                <w:sz w:val="15"/>
              </w:rPr>
              <w:t>Unrestricted</w:t>
            </w:r>
            <w:r>
              <w:rPr>
                <w:color w:val="231F20"/>
                <w:spacing w:val="-4"/>
                <w:w w:val="105"/>
                <w:sz w:val="15"/>
              </w:rPr>
              <w:t> </w:t>
            </w:r>
            <w:r>
              <w:rPr>
                <w:color w:val="231F20"/>
                <w:w w:val="105"/>
                <w:sz w:val="15"/>
              </w:rPr>
              <w:t>and</w:t>
            </w:r>
            <w:r>
              <w:rPr>
                <w:color w:val="231F20"/>
                <w:spacing w:val="-3"/>
                <w:w w:val="105"/>
                <w:sz w:val="15"/>
              </w:rPr>
              <w:t> </w:t>
            </w:r>
            <w:r>
              <w:rPr>
                <w:color w:val="231F20"/>
                <w:w w:val="105"/>
                <w:sz w:val="15"/>
              </w:rPr>
              <w:t>restricted</w:t>
            </w:r>
            <w:r>
              <w:rPr>
                <w:color w:val="231F20"/>
                <w:spacing w:val="-4"/>
                <w:w w:val="105"/>
                <w:sz w:val="15"/>
              </w:rPr>
              <w:t> </w:t>
            </w:r>
            <w:r>
              <w:rPr>
                <w:color w:val="231F20"/>
                <w:w w:val="105"/>
                <w:sz w:val="15"/>
              </w:rPr>
              <w:t>revenues: State</w:t>
            </w:r>
            <w:r>
              <w:rPr>
                <w:color w:val="231F20"/>
                <w:spacing w:val="-3"/>
                <w:w w:val="105"/>
                <w:sz w:val="15"/>
              </w:rPr>
              <w:t> </w:t>
            </w:r>
            <w:r>
              <w:rPr>
                <w:color w:val="231F20"/>
                <w:w w:val="105"/>
                <w:sz w:val="15"/>
              </w:rPr>
              <w:t>general</w:t>
            </w:r>
            <w:r>
              <w:rPr>
                <w:color w:val="231F20"/>
                <w:spacing w:val="-1"/>
                <w:w w:val="105"/>
                <w:sz w:val="15"/>
              </w:rPr>
              <w:t> </w:t>
            </w:r>
            <w:r>
              <w:rPr>
                <w:color w:val="231F20"/>
                <w:w w:val="105"/>
                <w:sz w:val="15"/>
              </w:rPr>
              <w:t>fund</w:t>
            </w:r>
            <w:r>
              <w:rPr>
                <w:color w:val="231F20"/>
                <w:spacing w:val="-2"/>
                <w:w w:val="105"/>
                <w:sz w:val="15"/>
              </w:rPr>
              <w:t> appropriations</w:t>
            </w:r>
          </w:p>
        </w:tc>
        <w:tc>
          <w:tcPr>
            <w:tcW w:w="1470" w:type="dxa"/>
          </w:tcPr>
          <w:p>
            <w:pPr>
              <w:pStyle w:val="TableParagraph"/>
              <w:rPr>
                <w:b/>
                <w:sz w:val="18"/>
              </w:rPr>
            </w:pPr>
          </w:p>
          <w:p>
            <w:pPr>
              <w:pStyle w:val="TableParagraph"/>
              <w:spacing w:line="164" w:lineRule="exact" w:before="117"/>
              <w:ind w:right="164"/>
              <w:jc w:val="right"/>
              <w:rPr>
                <w:sz w:val="15"/>
              </w:rPr>
            </w:pPr>
            <w:r>
              <w:rPr>
                <w:color w:val="231F20"/>
                <w:spacing w:val="-2"/>
                <w:w w:val="105"/>
                <w:sz w:val="15"/>
              </w:rPr>
              <w:t>49,731,281</w:t>
            </w:r>
          </w:p>
        </w:tc>
        <w:tc>
          <w:tcPr>
            <w:tcW w:w="1339" w:type="dxa"/>
          </w:tcPr>
          <w:p>
            <w:pPr>
              <w:pStyle w:val="TableParagraph"/>
              <w:rPr>
                <w:b/>
                <w:sz w:val="18"/>
              </w:rPr>
            </w:pPr>
          </w:p>
          <w:p>
            <w:pPr>
              <w:pStyle w:val="TableParagraph"/>
              <w:spacing w:line="164" w:lineRule="exact" w:before="117"/>
              <w:ind w:right="162"/>
              <w:jc w:val="right"/>
              <w:rPr>
                <w:sz w:val="15"/>
              </w:rPr>
            </w:pPr>
            <w:r>
              <w:rPr>
                <w:color w:val="231F20"/>
                <w:spacing w:val="-2"/>
                <w:w w:val="105"/>
                <w:sz w:val="15"/>
              </w:rPr>
              <w:t>50,018,881</w:t>
            </w:r>
          </w:p>
        </w:tc>
        <w:tc>
          <w:tcPr>
            <w:tcW w:w="1339" w:type="dxa"/>
          </w:tcPr>
          <w:p>
            <w:pPr>
              <w:pStyle w:val="TableParagraph"/>
              <w:rPr>
                <w:b/>
                <w:sz w:val="18"/>
              </w:rPr>
            </w:pPr>
          </w:p>
          <w:p>
            <w:pPr>
              <w:pStyle w:val="TableParagraph"/>
              <w:spacing w:line="164" w:lineRule="exact" w:before="117"/>
              <w:ind w:left="379"/>
              <w:rPr>
                <w:sz w:val="15"/>
              </w:rPr>
            </w:pPr>
            <w:r>
              <w:rPr>
                <w:color w:val="231F20"/>
                <w:spacing w:val="-2"/>
                <w:w w:val="105"/>
                <w:sz w:val="15"/>
              </w:rPr>
              <w:t>42,940,164</w:t>
            </w:r>
          </w:p>
        </w:tc>
        <w:tc>
          <w:tcPr>
            <w:tcW w:w="1309" w:type="dxa"/>
          </w:tcPr>
          <w:p>
            <w:pPr>
              <w:pStyle w:val="TableParagraph"/>
              <w:rPr>
                <w:b/>
                <w:sz w:val="18"/>
              </w:rPr>
            </w:pPr>
          </w:p>
          <w:p>
            <w:pPr>
              <w:pStyle w:val="TableParagraph"/>
              <w:spacing w:line="164" w:lineRule="exact" w:before="117"/>
              <w:ind w:right="78"/>
              <w:jc w:val="right"/>
              <w:rPr>
                <w:sz w:val="15"/>
              </w:rPr>
            </w:pPr>
            <w:r>
              <w:rPr>
                <w:color w:val="231F20"/>
                <w:spacing w:val="-2"/>
                <w:w w:val="105"/>
                <w:sz w:val="15"/>
              </w:rPr>
              <w:t>(7,078,717)</w:t>
            </w:r>
          </w:p>
        </w:tc>
      </w:tr>
      <w:tr>
        <w:trPr>
          <w:trHeight w:val="196" w:hRule="atLeast"/>
        </w:trPr>
        <w:tc>
          <w:tcPr>
            <w:tcW w:w="3895" w:type="dxa"/>
          </w:tcPr>
          <w:p>
            <w:pPr>
              <w:pStyle w:val="TableParagraph"/>
              <w:spacing w:line="164" w:lineRule="exact" w:before="12"/>
              <w:ind w:left="272"/>
              <w:rPr>
                <w:sz w:val="15"/>
              </w:rPr>
            </w:pPr>
            <w:r>
              <w:rPr>
                <w:color w:val="231F20"/>
                <w:w w:val="105"/>
                <w:sz w:val="15"/>
              </w:rPr>
              <w:t>Restricted</w:t>
            </w:r>
            <w:r>
              <w:rPr>
                <w:color w:val="231F20"/>
                <w:spacing w:val="-3"/>
                <w:w w:val="105"/>
                <w:sz w:val="15"/>
              </w:rPr>
              <w:t> </w:t>
            </w:r>
            <w:r>
              <w:rPr>
                <w:color w:val="231F20"/>
                <w:w w:val="105"/>
                <w:sz w:val="15"/>
              </w:rPr>
              <w:t>revenue</w:t>
            </w:r>
            <w:r>
              <w:rPr>
                <w:color w:val="231F20"/>
                <w:spacing w:val="-3"/>
                <w:w w:val="105"/>
                <w:sz w:val="15"/>
              </w:rPr>
              <w:t> </w:t>
            </w:r>
            <w:r>
              <w:rPr>
                <w:color w:val="231F20"/>
                <w:spacing w:val="-2"/>
                <w:w w:val="105"/>
                <w:sz w:val="15"/>
              </w:rPr>
              <w:t>sources</w:t>
            </w:r>
          </w:p>
        </w:tc>
        <w:tc>
          <w:tcPr>
            <w:tcW w:w="1470" w:type="dxa"/>
          </w:tcPr>
          <w:p>
            <w:pPr>
              <w:pStyle w:val="TableParagraph"/>
              <w:spacing w:line="164" w:lineRule="exact" w:before="12"/>
              <w:ind w:right="162"/>
              <w:jc w:val="right"/>
              <w:rPr>
                <w:sz w:val="15"/>
              </w:rPr>
            </w:pPr>
            <w:r>
              <w:rPr>
                <w:color w:val="231F20"/>
                <w:spacing w:val="-2"/>
                <w:w w:val="105"/>
                <w:sz w:val="15"/>
              </w:rPr>
              <w:t>74,742,798</w:t>
            </w:r>
          </w:p>
        </w:tc>
        <w:tc>
          <w:tcPr>
            <w:tcW w:w="1339" w:type="dxa"/>
          </w:tcPr>
          <w:p>
            <w:pPr>
              <w:pStyle w:val="TableParagraph"/>
              <w:spacing w:line="164" w:lineRule="exact" w:before="12"/>
              <w:ind w:right="162"/>
              <w:jc w:val="right"/>
              <w:rPr>
                <w:sz w:val="15"/>
              </w:rPr>
            </w:pPr>
            <w:r>
              <w:rPr>
                <w:color w:val="231F20"/>
                <w:spacing w:val="-2"/>
                <w:w w:val="105"/>
                <w:sz w:val="15"/>
              </w:rPr>
              <w:t>77,842,798</w:t>
            </w:r>
          </w:p>
        </w:tc>
        <w:tc>
          <w:tcPr>
            <w:tcW w:w="1339" w:type="dxa"/>
          </w:tcPr>
          <w:p>
            <w:pPr>
              <w:pStyle w:val="TableParagraph"/>
              <w:spacing w:line="164" w:lineRule="exact" w:before="12"/>
              <w:ind w:left="379"/>
              <w:rPr>
                <w:sz w:val="15"/>
              </w:rPr>
            </w:pPr>
            <w:r>
              <w:rPr>
                <w:color w:val="231F20"/>
                <w:spacing w:val="-2"/>
                <w:w w:val="105"/>
                <w:sz w:val="15"/>
              </w:rPr>
              <w:t>93,005,850</w:t>
            </w:r>
          </w:p>
        </w:tc>
        <w:tc>
          <w:tcPr>
            <w:tcW w:w="1309" w:type="dxa"/>
          </w:tcPr>
          <w:p>
            <w:pPr>
              <w:pStyle w:val="TableParagraph"/>
              <w:spacing w:line="164" w:lineRule="exact" w:before="12"/>
              <w:ind w:left="379"/>
              <w:rPr>
                <w:sz w:val="15"/>
              </w:rPr>
            </w:pPr>
            <w:r>
              <w:rPr>
                <w:color w:val="231F20"/>
                <w:spacing w:val="-2"/>
                <w:w w:val="105"/>
                <w:sz w:val="15"/>
              </w:rPr>
              <w:t>15,163,052</w:t>
            </w:r>
          </w:p>
        </w:tc>
      </w:tr>
      <w:tr>
        <w:trPr>
          <w:trHeight w:val="196" w:hRule="atLeast"/>
        </w:trPr>
        <w:tc>
          <w:tcPr>
            <w:tcW w:w="3895" w:type="dxa"/>
          </w:tcPr>
          <w:p>
            <w:pPr>
              <w:pStyle w:val="TableParagraph"/>
              <w:spacing w:line="164" w:lineRule="exact" w:before="12"/>
              <w:ind w:left="272"/>
              <w:rPr>
                <w:sz w:val="15"/>
              </w:rPr>
            </w:pPr>
            <w:r>
              <w:rPr>
                <w:color w:val="231F20"/>
                <w:w w:val="105"/>
                <w:sz w:val="15"/>
              </w:rPr>
              <w:t>Tuition</w:t>
            </w:r>
            <w:r>
              <w:rPr>
                <w:color w:val="231F20"/>
                <w:spacing w:val="-3"/>
                <w:w w:val="105"/>
                <w:sz w:val="15"/>
              </w:rPr>
              <w:t> </w:t>
            </w:r>
            <w:r>
              <w:rPr>
                <w:color w:val="231F20"/>
                <w:w w:val="105"/>
                <w:sz w:val="15"/>
              </w:rPr>
              <w:t>and</w:t>
            </w:r>
            <w:r>
              <w:rPr>
                <w:color w:val="231F20"/>
                <w:spacing w:val="-2"/>
                <w:w w:val="105"/>
                <w:sz w:val="15"/>
              </w:rPr>
              <w:t> </w:t>
            </w:r>
            <w:r>
              <w:rPr>
                <w:color w:val="231F20"/>
                <w:spacing w:val="-4"/>
                <w:w w:val="105"/>
                <w:sz w:val="15"/>
              </w:rPr>
              <w:t>fees</w:t>
            </w:r>
          </w:p>
        </w:tc>
        <w:tc>
          <w:tcPr>
            <w:tcW w:w="1470" w:type="dxa"/>
          </w:tcPr>
          <w:p>
            <w:pPr>
              <w:pStyle w:val="TableParagraph"/>
              <w:spacing w:line="164" w:lineRule="exact" w:before="12"/>
              <w:ind w:right="163"/>
              <w:jc w:val="right"/>
              <w:rPr>
                <w:sz w:val="15"/>
              </w:rPr>
            </w:pPr>
            <w:r>
              <w:rPr>
                <w:color w:val="231F20"/>
                <w:spacing w:val="-2"/>
                <w:w w:val="105"/>
                <w:sz w:val="15"/>
              </w:rPr>
              <w:t>15,932,912</w:t>
            </w:r>
          </w:p>
        </w:tc>
        <w:tc>
          <w:tcPr>
            <w:tcW w:w="1339" w:type="dxa"/>
          </w:tcPr>
          <w:p>
            <w:pPr>
              <w:pStyle w:val="TableParagraph"/>
              <w:spacing w:line="164" w:lineRule="exact" w:before="12"/>
              <w:ind w:right="162"/>
              <w:jc w:val="right"/>
              <w:rPr>
                <w:sz w:val="15"/>
              </w:rPr>
            </w:pPr>
            <w:r>
              <w:rPr>
                <w:color w:val="231F20"/>
                <w:spacing w:val="-2"/>
                <w:w w:val="105"/>
                <w:sz w:val="15"/>
              </w:rPr>
              <w:t>15,963,565</w:t>
            </w:r>
          </w:p>
        </w:tc>
        <w:tc>
          <w:tcPr>
            <w:tcW w:w="1339" w:type="dxa"/>
          </w:tcPr>
          <w:p>
            <w:pPr>
              <w:pStyle w:val="TableParagraph"/>
              <w:spacing w:line="164" w:lineRule="exact" w:before="12"/>
              <w:ind w:left="379"/>
              <w:rPr>
                <w:sz w:val="15"/>
              </w:rPr>
            </w:pPr>
            <w:r>
              <w:rPr>
                <w:color w:val="231F20"/>
                <w:spacing w:val="-2"/>
                <w:w w:val="105"/>
                <w:sz w:val="15"/>
              </w:rPr>
              <w:t>14,024,841</w:t>
            </w:r>
          </w:p>
        </w:tc>
        <w:tc>
          <w:tcPr>
            <w:tcW w:w="1309" w:type="dxa"/>
          </w:tcPr>
          <w:p>
            <w:pPr>
              <w:pStyle w:val="TableParagraph"/>
              <w:spacing w:line="164" w:lineRule="exact" w:before="12"/>
              <w:ind w:right="78"/>
              <w:jc w:val="right"/>
              <w:rPr>
                <w:sz w:val="15"/>
              </w:rPr>
            </w:pPr>
            <w:r>
              <w:rPr>
                <w:color w:val="231F20"/>
                <w:spacing w:val="-2"/>
                <w:w w:val="105"/>
                <w:sz w:val="15"/>
              </w:rPr>
              <w:t>(1,938,724)</w:t>
            </w:r>
          </w:p>
        </w:tc>
      </w:tr>
      <w:tr>
        <w:trPr>
          <w:trHeight w:val="196" w:hRule="atLeast"/>
        </w:trPr>
        <w:tc>
          <w:tcPr>
            <w:tcW w:w="3895" w:type="dxa"/>
          </w:tcPr>
          <w:p>
            <w:pPr>
              <w:pStyle w:val="TableParagraph"/>
              <w:spacing w:line="164" w:lineRule="exact" w:before="12"/>
              <w:ind w:left="272"/>
              <w:rPr>
                <w:sz w:val="15"/>
              </w:rPr>
            </w:pPr>
            <w:r>
              <w:rPr>
                <w:color w:val="231F20"/>
                <w:w w:val="105"/>
                <w:sz w:val="15"/>
              </w:rPr>
              <w:t>Land</w:t>
            </w:r>
            <w:r>
              <w:rPr>
                <w:color w:val="231F20"/>
                <w:spacing w:val="-3"/>
                <w:w w:val="105"/>
                <w:sz w:val="15"/>
              </w:rPr>
              <w:t> </w:t>
            </w:r>
            <w:r>
              <w:rPr>
                <w:color w:val="231F20"/>
                <w:w w:val="105"/>
                <w:sz w:val="15"/>
              </w:rPr>
              <w:t>and</w:t>
            </w:r>
            <w:r>
              <w:rPr>
                <w:color w:val="231F20"/>
                <w:spacing w:val="-2"/>
                <w:w w:val="105"/>
                <w:sz w:val="15"/>
              </w:rPr>
              <w:t> </w:t>
            </w:r>
            <w:r>
              <w:rPr>
                <w:color w:val="231F20"/>
                <w:w w:val="105"/>
                <w:sz w:val="15"/>
              </w:rPr>
              <w:t>permanent</w:t>
            </w:r>
            <w:r>
              <w:rPr>
                <w:color w:val="231F20"/>
                <w:spacing w:val="-2"/>
                <w:w w:val="105"/>
                <w:sz w:val="15"/>
              </w:rPr>
              <w:t> </w:t>
            </w:r>
            <w:r>
              <w:rPr>
                <w:color w:val="231F20"/>
                <w:spacing w:val="-4"/>
                <w:w w:val="105"/>
                <w:sz w:val="15"/>
              </w:rPr>
              <w:t>fund</w:t>
            </w:r>
          </w:p>
        </w:tc>
        <w:tc>
          <w:tcPr>
            <w:tcW w:w="1470" w:type="dxa"/>
          </w:tcPr>
          <w:p>
            <w:pPr>
              <w:pStyle w:val="TableParagraph"/>
              <w:spacing w:line="164" w:lineRule="exact" w:before="12"/>
              <w:ind w:right="163"/>
              <w:jc w:val="right"/>
              <w:rPr>
                <w:sz w:val="15"/>
              </w:rPr>
            </w:pPr>
            <w:r>
              <w:rPr>
                <w:color w:val="231F20"/>
                <w:spacing w:val="-2"/>
                <w:w w:val="105"/>
                <w:sz w:val="15"/>
              </w:rPr>
              <w:t>1,050,000</w:t>
            </w:r>
          </w:p>
        </w:tc>
        <w:tc>
          <w:tcPr>
            <w:tcW w:w="1339" w:type="dxa"/>
          </w:tcPr>
          <w:p>
            <w:pPr>
              <w:pStyle w:val="TableParagraph"/>
              <w:spacing w:line="164" w:lineRule="exact" w:before="12"/>
              <w:ind w:right="162"/>
              <w:jc w:val="right"/>
              <w:rPr>
                <w:sz w:val="15"/>
              </w:rPr>
            </w:pPr>
            <w:r>
              <w:rPr>
                <w:color w:val="231F20"/>
                <w:spacing w:val="-2"/>
                <w:w w:val="105"/>
                <w:sz w:val="15"/>
              </w:rPr>
              <w:t>3,450,000</w:t>
            </w:r>
          </w:p>
        </w:tc>
        <w:tc>
          <w:tcPr>
            <w:tcW w:w="1339" w:type="dxa"/>
          </w:tcPr>
          <w:p>
            <w:pPr>
              <w:pStyle w:val="TableParagraph"/>
              <w:spacing w:line="164" w:lineRule="exact" w:before="12"/>
              <w:ind w:left="466"/>
              <w:rPr>
                <w:sz w:val="15"/>
              </w:rPr>
            </w:pPr>
            <w:r>
              <w:rPr>
                <w:color w:val="231F20"/>
                <w:spacing w:val="-2"/>
                <w:w w:val="105"/>
                <w:sz w:val="15"/>
              </w:rPr>
              <w:t>3,377,550</w:t>
            </w:r>
          </w:p>
        </w:tc>
        <w:tc>
          <w:tcPr>
            <w:tcW w:w="1309" w:type="dxa"/>
          </w:tcPr>
          <w:p>
            <w:pPr>
              <w:pStyle w:val="TableParagraph"/>
              <w:spacing w:line="164" w:lineRule="exact" w:before="12"/>
              <w:ind w:right="78"/>
              <w:jc w:val="right"/>
              <w:rPr>
                <w:sz w:val="15"/>
              </w:rPr>
            </w:pPr>
            <w:r>
              <w:rPr>
                <w:color w:val="231F20"/>
                <w:spacing w:val="-2"/>
                <w:w w:val="105"/>
                <w:sz w:val="15"/>
              </w:rPr>
              <w:t>(72,450)</w:t>
            </w:r>
          </w:p>
        </w:tc>
      </w:tr>
      <w:tr>
        <w:trPr>
          <w:trHeight w:val="196" w:hRule="atLeast"/>
        </w:trPr>
        <w:tc>
          <w:tcPr>
            <w:tcW w:w="3895" w:type="dxa"/>
          </w:tcPr>
          <w:p>
            <w:pPr>
              <w:pStyle w:val="TableParagraph"/>
              <w:spacing w:line="164" w:lineRule="exact" w:before="12"/>
              <w:ind w:left="271"/>
              <w:rPr>
                <w:sz w:val="15"/>
              </w:rPr>
            </w:pPr>
            <w:r>
              <w:rPr>
                <w:color w:val="231F20"/>
                <w:w w:val="105"/>
                <w:sz w:val="15"/>
              </w:rPr>
              <w:t>Endowment</w:t>
            </w:r>
            <w:r>
              <w:rPr>
                <w:color w:val="231F20"/>
                <w:spacing w:val="-6"/>
                <w:w w:val="105"/>
                <w:sz w:val="15"/>
              </w:rPr>
              <w:t> </w:t>
            </w:r>
            <w:r>
              <w:rPr>
                <w:color w:val="231F20"/>
                <w:w w:val="105"/>
                <w:sz w:val="15"/>
              </w:rPr>
              <w:t>earnings/private</w:t>
            </w:r>
            <w:r>
              <w:rPr>
                <w:color w:val="231F20"/>
                <w:spacing w:val="-5"/>
                <w:w w:val="105"/>
                <w:sz w:val="15"/>
              </w:rPr>
              <w:t> </w:t>
            </w:r>
            <w:r>
              <w:rPr>
                <w:color w:val="231F20"/>
                <w:spacing w:val="-4"/>
                <w:w w:val="105"/>
                <w:sz w:val="15"/>
              </w:rPr>
              <w:t>gifts</w:t>
            </w:r>
          </w:p>
        </w:tc>
        <w:tc>
          <w:tcPr>
            <w:tcW w:w="1470" w:type="dxa"/>
          </w:tcPr>
          <w:p>
            <w:pPr>
              <w:pStyle w:val="TableParagraph"/>
              <w:spacing w:line="164" w:lineRule="exact" w:before="12"/>
              <w:ind w:right="164"/>
              <w:jc w:val="right"/>
              <w:rPr>
                <w:sz w:val="15"/>
              </w:rPr>
            </w:pPr>
            <w:r>
              <w:rPr>
                <w:color w:val="231F20"/>
                <w:w w:val="105"/>
                <w:sz w:val="15"/>
              </w:rPr>
              <w:t>-</w:t>
            </w:r>
          </w:p>
        </w:tc>
        <w:tc>
          <w:tcPr>
            <w:tcW w:w="1339" w:type="dxa"/>
          </w:tcPr>
          <w:p>
            <w:pPr>
              <w:pStyle w:val="TableParagraph"/>
              <w:spacing w:line="164" w:lineRule="exact" w:before="12"/>
              <w:ind w:right="163"/>
              <w:jc w:val="right"/>
              <w:rPr>
                <w:sz w:val="15"/>
              </w:rPr>
            </w:pPr>
            <w:r>
              <w:rPr>
                <w:color w:val="231F20"/>
                <w:w w:val="105"/>
                <w:sz w:val="15"/>
              </w:rPr>
              <w:t>-</w:t>
            </w:r>
          </w:p>
        </w:tc>
        <w:tc>
          <w:tcPr>
            <w:tcW w:w="1339" w:type="dxa"/>
          </w:tcPr>
          <w:p>
            <w:pPr>
              <w:pStyle w:val="TableParagraph"/>
              <w:spacing w:line="164" w:lineRule="exact" w:before="12"/>
              <w:ind w:right="162"/>
              <w:jc w:val="right"/>
              <w:rPr>
                <w:sz w:val="15"/>
              </w:rPr>
            </w:pPr>
            <w:r>
              <w:rPr>
                <w:color w:val="231F20"/>
                <w:spacing w:val="-2"/>
                <w:w w:val="105"/>
                <w:sz w:val="15"/>
              </w:rPr>
              <w:t>116,535</w:t>
            </w:r>
          </w:p>
        </w:tc>
        <w:tc>
          <w:tcPr>
            <w:tcW w:w="1309" w:type="dxa"/>
          </w:tcPr>
          <w:p>
            <w:pPr>
              <w:pStyle w:val="TableParagraph"/>
              <w:spacing w:line="164" w:lineRule="exact" w:before="12"/>
              <w:ind w:right="132"/>
              <w:jc w:val="right"/>
              <w:rPr>
                <w:sz w:val="15"/>
              </w:rPr>
            </w:pPr>
            <w:r>
              <w:rPr>
                <w:color w:val="231F20"/>
                <w:spacing w:val="-2"/>
                <w:w w:val="105"/>
                <w:sz w:val="15"/>
              </w:rPr>
              <w:t>116,535</w:t>
            </w:r>
          </w:p>
        </w:tc>
      </w:tr>
      <w:tr>
        <w:trPr>
          <w:trHeight w:val="283" w:hRule="atLeast"/>
        </w:trPr>
        <w:tc>
          <w:tcPr>
            <w:tcW w:w="3895" w:type="dxa"/>
          </w:tcPr>
          <w:p>
            <w:pPr>
              <w:pStyle w:val="TableParagraph"/>
              <w:spacing w:before="12"/>
              <w:ind w:left="271"/>
              <w:rPr>
                <w:sz w:val="15"/>
              </w:rPr>
            </w:pPr>
            <w:r>
              <w:rPr>
                <w:color w:val="231F20"/>
                <w:spacing w:val="-2"/>
                <w:w w:val="105"/>
                <w:sz w:val="15"/>
              </w:rPr>
              <w:t>Other</w:t>
            </w:r>
          </w:p>
        </w:tc>
        <w:tc>
          <w:tcPr>
            <w:tcW w:w="1470" w:type="dxa"/>
          </w:tcPr>
          <w:p>
            <w:pPr>
              <w:pStyle w:val="TableParagraph"/>
              <w:tabs>
                <w:tab w:pos="297" w:val="left" w:leader="none"/>
              </w:tabs>
              <w:spacing w:before="12"/>
              <w:ind w:right="78"/>
              <w:jc w:val="right"/>
              <w:rPr>
                <w:sz w:val="15"/>
              </w:rPr>
            </w:pPr>
            <w:r>
              <w:rPr>
                <w:color w:val="231F20"/>
                <w:sz w:val="15"/>
                <w:u w:val="single" w:color="231F20"/>
              </w:rPr>
              <w:tab/>
            </w:r>
            <w:r>
              <w:rPr>
                <w:color w:val="231F20"/>
                <w:spacing w:val="-2"/>
                <w:w w:val="105"/>
                <w:sz w:val="15"/>
                <w:u w:val="single" w:color="231F20"/>
              </w:rPr>
              <w:t>15,089,885</w:t>
            </w:r>
            <w:r>
              <w:rPr>
                <w:color w:val="231F20"/>
                <w:spacing w:val="80"/>
                <w:w w:val="105"/>
                <w:sz w:val="15"/>
                <w:u w:val="single" w:color="231F20"/>
              </w:rPr>
              <w:t> </w:t>
            </w:r>
          </w:p>
        </w:tc>
        <w:tc>
          <w:tcPr>
            <w:tcW w:w="1339" w:type="dxa"/>
          </w:tcPr>
          <w:p>
            <w:pPr>
              <w:pStyle w:val="TableParagraph"/>
              <w:tabs>
                <w:tab w:pos="297" w:val="left" w:leader="none"/>
              </w:tabs>
              <w:spacing w:before="12"/>
              <w:ind w:right="78"/>
              <w:jc w:val="right"/>
              <w:rPr>
                <w:sz w:val="15"/>
              </w:rPr>
            </w:pPr>
            <w:r>
              <w:rPr>
                <w:color w:val="231F20"/>
                <w:sz w:val="15"/>
                <w:u w:val="single" w:color="231F20"/>
              </w:rPr>
              <w:tab/>
            </w:r>
            <w:r>
              <w:rPr>
                <w:color w:val="231F20"/>
                <w:spacing w:val="-2"/>
                <w:w w:val="105"/>
                <w:sz w:val="15"/>
                <w:u w:val="single" w:color="231F20"/>
              </w:rPr>
              <w:t>17,189,885</w:t>
            </w:r>
            <w:r>
              <w:rPr>
                <w:color w:val="231F20"/>
                <w:spacing w:val="80"/>
                <w:w w:val="105"/>
                <w:sz w:val="15"/>
                <w:u w:val="single" w:color="231F20"/>
              </w:rPr>
              <w:t> </w:t>
            </w:r>
          </w:p>
        </w:tc>
        <w:tc>
          <w:tcPr>
            <w:tcW w:w="1339" w:type="dxa"/>
          </w:tcPr>
          <w:p>
            <w:pPr>
              <w:pStyle w:val="TableParagraph"/>
              <w:tabs>
                <w:tab w:pos="298" w:val="left" w:leader="none"/>
              </w:tabs>
              <w:spacing w:before="12"/>
              <w:ind w:right="78"/>
              <w:jc w:val="right"/>
              <w:rPr>
                <w:sz w:val="15"/>
              </w:rPr>
            </w:pPr>
            <w:r>
              <w:rPr>
                <w:color w:val="231F20"/>
                <w:sz w:val="15"/>
                <w:u w:val="single" w:color="231F20"/>
              </w:rPr>
              <w:tab/>
            </w:r>
            <w:r>
              <w:rPr>
                <w:color w:val="231F20"/>
                <w:spacing w:val="-2"/>
                <w:w w:val="105"/>
                <w:sz w:val="15"/>
                <w:u w:val="single" w:color="231F20"/>
              </w:rPr>
              <w:t>19,456,264</w:t>
            </w:r>
            <w:r>
              <w:rPr>
                <w:color w:val="231F20"/>
                <w:spacing w:val="80"/>
                <w:w w:val="105"/>
                <w:sz w:val="15"/>
                <w:u w:val="single" w:color="231F20"/>
              </w:rPr>
              <w:t> </w:t>
            </w:r>
          </w:p>
        </w:tc>
        <w:tc>
          <w:tcPr>
            <w:tcW w:w="1309" w:type="dxa"/>
          </w:tcPr>
          <w:p>
            <w:pPr>
              <w:pStyle w:val="TableParagraph"/>
              <w:tabs>
                <w:tab w:pos="386" w:val="left" w:leader="none"/>
              </w:tabs>
              <w:spacing w:before="12"/>
              <w:ind w:right="47"/>
              <w:jc w:val="right"/>
              <w:rPr>
                <w:sz w:val="15"/>
              </w:rPr>
            </w:pPr>
            <w:r>
              <w:rPr>
                <w:color w:val="231F20"/>
                <w:sz w:val="15"/>
                <w:u w:val="single" w:color="231F20"/>
              </w:rPr>
              <w:tab/>
            </w:r>
            <w:r>
              <w:rPr>
                <w:color w:val="231F20"/>
                <w:spacing w:val="-2"/>
                <w:w w:val="105"/>
                <w:sz w:val="15"/>
                <w:u w:val="single" w:color="231F20"/>
              </w:rPr>
              <w:t>2,266,379</w:t>
            </w:r>
            <w:r>
              <w:rPr>
                <w:color w:val="231F20"/>
                <w:spacing w:val="80"/>
                <w:w w:val="105"/>
                <w:sz w:val="15"/>
                <w:u w:val="single" w:color="231F20"/>
              </w:rPr>
              <w:t> </w:t>
            </w:r>
          </w:p>
        </w:tc>
      </w:tr>
      <w:tr>
        <w:trPr>
          <w:trHeight w:val="382" w:hRule="atLeast"/>
        </w:trPr>
        <w:tc>
          <w:tcPr>
            <w:tcW w:w="3895" w:type="dxa"/>
          </w:tcPr>
          <w:p>
            <w:pPr>
              <w:pStyle w:val="TableParagraph"/>
              <w:spacing w:before="100"/>
              <w:ind w:left="383"/>
              <w:rPr>
                <w:sz w:val="15"/>
              </w:rPr>
            </w:pPr>
            <w:r>
              <w:rPr>
                <w:color w:val="231F20"/>
                <w:w w:val="105"/>
                <w:sz w:val="15"/>
              </w:rPr>
              <w:t>Total</w:t>
            </w:r>
            <w:r>
              <w:rPr>
                <w:color w:val="231F20"/>
                <w:spacing w:val="-2"/>
                <w:w w:val="105"/>
                <w:sz w:val="15"/>
              </w:rPr>
              <w:t> </w:t>
            </w:r>
            <w:r>
              <w:rPr>
                <w:color w:val="231F20"/>
                <w:w w:val="105"/>
                <w:sz w:val="15"/>
              </w:rPr>
              <w:t>unrestricted</w:t>
            </w:r>
            <w:r>
              <w:rPr>
                <w:color w:val="231F20"/>
                <w:spacing w:val="-2"/>
                <w:w w:val="105"/>
                <w:sz w:val="15"/>
              </w:rPr>
              <w:t> </w:t>
            </w:r>
            <w:r>
              <w:rPr>
                <w:color w:val="231F20"/>
                <w:w w:val="105"/>
                <w:sz w:val="15"/>
              </w:rPr>
              <w:t>and</w:t>
            </w:r>
            <w:r>
              <w:rPr>
                <w:color w:val="231F20"/>
                <w:spacing w:val="1"/>
                <w:w w:val="105"/>
                <w:sz w:val="15"/>
              </w:rPr>
              <w:t> </w:t>
            </w:r>
            <w:r>
              <w:rPr>
                <w:color w:val="231F20"/>
                <w:w w:val="105"/>
                <w:sz w:val="15"/>
              </w:rPr>
              <w:t>restricted</w:t>
            </w:r>
            <w:r>
              <w:rPr>
                <w:color w:val="231F20"/>
                <w:spacing w:val="-2"/>
                <w:w w:val="105"/>
                <w:sz w:val="15"/>
              </w:rPr>
              <w:t> revenues</w:t>
            </w:r>
          </w:p>
        </w:tc>
        <w:tc>
          <w:tcPr>
            <w:tcW w:w="1470" w:type="dxa"/>
          </w:tcPr>
          <w:p>
            <w:pPr>
              <w:pStyle w:val="TableParagraph"/>
              <w:spacing w:before="100"/>
              <w:ind w:right="78"/>
              <w:jc w:val="right"/>
              <w:rPr>
                <w:sz w:val="15"/>
              </w:rPr>
            </w:pPr>
            <w:r>
              <w:rPr>
                <w:color w:val="231F20"/>
                <w:spacing w:val="61"/>
                <w:w w:val="105"/>
                <w:sz w:val="15"/>
                <w:u w:val="single" w:color="231F20"/>
              </w:rPr>
              <w:t>  </w:t>
            </w:r>
            <w:r>
              <w:rPr>
                <w:color w:val="231F20"/>
                <w:spacing w:val="-2"/>
                <w:w w:val="105"/>
                <w:sz w:val="15"/>
                <w:u w:val="single" w:color="231F20"/>
              </w:rPr>
              <w:t>156,546,876</w:t>
            </w:r>
            <w:r>
              <w:rPr>
                <w:color w:val="231F20"/>
                <w:spacing w:val="80"/>
                <w:w w:val="105"/>
                <w:sz w:val="15"/>
                <w:u w:val="single" w:color="231F20"/>
              </w:rPr>
              <w:t> </w:t>
            </w:r>
          </w:p>
        </w:tc>
        <w:tc>
          <w:tcPr>
            <w:tcW w:w="1339" w:type="dxa"/>
          </w:tcPr>
          <w:p>
            <w:pPr>
              <w:pStyle w:val="TableParagraph"/>
              <w:spacing w:before="100"/>
              <w:ind w:right="78"/>
              <w:jc w:val="right"/>
              <w:rPr>
                <w:sz w:val="15"/>
              </w:rPr>
            </w:pPr>
            <w:r>
              <w:rPr>
                <w:color w:val="231F20"/>
                <w:spacing w:val="60"/>
                <w:w w:val="105"/>
                <w:sz w:val="15"/>
                <w:u w:val="single" w:color="231F20"/>
              </w:rPr>
              <w:t>  </w:t>
            </w:r>
            <w:r>
              <w:rPr>
                <w:color w:val="231F20"/>
                <w:spacing w:val="-2"/>
                <w:w w:val="105"/>
                <w:sz w:val="15"/>
                <w:u w:val="single" w:color="231F20"/>
              </w:rPr>
              <w:t>164,465,129</w:t>
            </w:r>
            <w:r>
              <w:rPr>
                <w:color w:val="231F20"/>
                <w:spacing w:val="80"/>
                <w:w w:val="105"/>
                <w:sz w:val="15"/>
                <w:u w:val="single" w:color="231F20"/>
              </w:rPr>
              <w:t> </w:t>
            </w:r>
          </w:p>
        </w:tc>
        <w:tc>
          <w:tcPr>
            <w:tcW w:w="1339" w:type="dxa"/>
          </w:tcPr>
          <w:p>
            <w:pPr>
              <w:pStyle w:val="TableParagraph"/>
              <w:spacing w:before="100"/>
              <w:ind w:right="78"/>
              <w:jc w:val="right"/>
              <w:rPr>
                <w:sz w:val="15"/>
              </w:rPr>
            </w:pPr>
            <w:r>
              <w:rPr>
                <w:color w:val="231F20"/>
                <w:spacing w:val="60"/>
                <w:w w:val="105"/>
                <w:sz w:val="15"/>
                <w:u w:val="single" w:color="231F20"/>
              </w:rPr>
              <w:t>  </w:t>
            </w:r>
            <w:r>
              <w:rPr>
                <w:color w:val="231F20"/>
                <w:spacing w:val="-2"/>
                <w:w w:val="105"/>
                <w:sz w:val="15"/>
                <w:u w:val="single" w:color="231F20"/>
              </w:rPr>
              <w:t>172,921,204</w:t>
            </w:r>
            <w:r>
              <w:rPr>
                <w:color w:val="231F20"/>
                <w:spacing w:val="80"/>
                <w:w w:val="105"/>
                <w:sz w:val="15"/>
                <w:u w:val="single" w:color="231F20"/>
              </w:rPr>
              <w:t> </w:t>
            </w:r>
          </w:p>
        </w:tc>
        <w:tc>
          <w:tcPr>
            <w:tcW w:w="1309" w:type="dxa"/>
          </w:tcPr>
          <w:p>
            <w:pPr>
              <w:pStyle w:val="TableParagraph"/>
              <w:tabs>
                <w:tab w:pos="386" w:val="left" w:leader="none"/>
              </w:tabs>
              <w:spacing w:before="100"/>
              <w:ind w:right="47"/>
              <w:jc w:val="right"/>
              <w:rPr>
                <w:sz w:val="15"/>
              </w:rPr>
            </w:pPr>
            <w:r>
              <w:rPr>
                <w:color w:val="231F20"/>
                <w:sz w:val="15"/>
                <w:u w:val="single" w:color="231F20"/>
              </w:rPr>
              <w:tab/>
            </w:r>
            <w:r>
              <w:rPr>
                <w:color w:val="231F20"/>
                <w:spacing w:val="-2"/>
                <w:w w:val="105"/>
                <w:sz w:val="15"/>
                <w:u w:val="single" w:color="231F20"/>
              </w:rPr>
              <w:t>8,456,075</w:t>
            </w:r>
            <w:r>
              <w:rPr>
                <w:color w:val="231F20"/>
                <w:spacing w:val="80"/>
                <w:w w:val="105"/>
                <w:sz w:val="15"/>
                <w:u w:val="single" w:color="231F20"/>
              </w:rPr>
              <w:t> </w:t>
            </w:r>
          </w:p>
        </w:tc>
      </w:tr>
      <w:tr>
        <w:trPr>
          <w:trHeight w:val="589" w:hRule="atLeast"/>
        </w:trPr>
        <w:tc>
          <w:tcPr>
            <w:tcW w:w="3895" w:type="dxa"/>
          </w:tcPr>
          <w:p>
            <w:pPr>
              <w:pStyle w:val="TableParagraph"/>
              <w:spacing w:line="273" w:lineRule="auto" w:before="110"/>
              <w:ind w:left="495" w:right="373" w:hanging="112"/>
              <w:rPr>
                <w:sz w:val="15"/>
              </w:rPr>
            </w:pPr>
            <w:r>
              <w:rPr>
                <w:color w:val="231F20"/>
                <w:w w:val="105"/>
                <w:sz w:val="15"/>
              </w:rPr>
              <w:t>Total</w:t>
            </w:r>
            <w:r>
              <w:rPr>
                <w:color w:val="231F20"/>
                <w:spacing w:val="-3"/>
                <w:w w:val="105"/>
                <w:sz w:val="15"/>
              </w:rPr>
              <w:t> </w:t>
            </w:r>
            <w:r>
              <w:rPr>
                <w:color w:val="231F20"/>
                <w:w w:val="105"/>
                <w:sz w:val="15"/>
              </w:rPr>
              <w:t>unrestricted</w:t>
            </w:r>
            <w:r>
              <w:rPr>
                <w:color w:val="231F20"/>
                <w:spacing w:val="-3"/>
                <w:w w:val="105"/>
                <w:sz w:val="15"/>
              </w:rPr>
              <w:t> </w:t>
            </w:r>
            <w:r>
              <w:rPr>
                <w:color w:val="231F20"/>
                <w:w w:val="105"/>
                <w:sz w:val="15"/>
              </w:rPr>
              <w:t>and</w:t>
            </w:r>
            <w:r>
              <w:rPr>
                <w:color w:val="231F20"/>
                <w:spacing w:val="-2"/>
                <w:w w:val="105"/>
                <w:sz w:val="15"/>
              </w:rPr>
              <w:t> </w:t>
            </w:r>
            <w:r>
              <w:rPr>
                <w:color w:val="231F20"/>
                <w:w w:val="105"/>
                <w:sz w:val="15"/>
              </w:rPr>
              <w:t>restricted</w:t>
            </w:r>
            <w:r>
              <w:rPr>
                <w:color w:val="231F20"/>
                <w:spacing w:val="-3"/>
                <w:w w:val="105"/>
                <w:sz w:val="15"/>
              </w:rPr>
              <w:t> </w:t>
            </w:r>
            <w:r>
              <w:rPr>
                <w:color w:val="231F20"/>
                <w:w w:val="105"/>
                <w:sz w:val="15"/>
              </w:rPr>
              <w:t>revenues and net position budgeted</w:t>
            </w:r>
          </w:p>
        </w:tc>
        <w:tc>
          <w:tcPr>
            <w:tcW w:w="1470" w:type="dxa"/>
          </w:tcPr>
          <w:p>
            <w:pPr>
              <w:pStyle w:val="TableParagraph"/>
              <w:spacing w:before="8"/>
              <w:rPr>
                <w:b/>
                <w:sz w:val="26"/>
              </w:rPr>
            </w:pPr>
          </w:p>
          <w:p>
            <w:pPr>
              <w:pStyle w:val="TableParagraph"/>
              <w:ind w:right="78"/>
              <w:jc w:val="right"/>
              <w:rPr>
                <w:sz w:val="15"/>
              </w:rPr>
            </w:pPr>
            <w:r>
              <w:rPr>
                <w:color w:val="231F20"/>
                <w:spacing w:val="59"/>
                <w:w w:val="105"/>
                <w:sz w:val="15"/>
                <w:u w:val="single" w:color="231F20"/>
              </w:rPr>
              <w:t>  </w:t>
            </w:r>
            <w:r>
              <w:rPr>
                <w:color w:val="231F20"/>
                <w:spacing w:val="-2"/>
                <w:w w:val="105"/>
                <w:sz w:val="15"/>
                <w:u w:val="single" w:color="231F20"/>
              </w:rPr>
              <w:t>190,923,689</w:t>
            </w:r>
            <w:r>
              <w:rPr>
                <w:color w:val="231F20"/>
                <w:spacing w:val="80"/>
                <w:w w:val="105"/>
                <w:sz w:val="15"/>
                <w:u w:val="single" w:color="231F20"/>
              </w:rPr>
              <w:t> </w:t>
            </w:r>
          </w:p>
        </w:tc>
        <w:tc>
          <w:tcPr>
            <w:tcW w:w="1339" w:type="dxa"/>
          </w:tcPr>
          <w:p>
            <w:pPr>
              <w:pStyle w:val="TableParagraph"/>
              <w:spacing w:before="8"/>
              <w:rPr>
                <w:b/>
                <w:sz w:val="26"/>
              </w:rPr>
            </w:pPr>
          </w:p>
          <w:p>
            <w:pPr>
              <w:pStyle w:val="TableParagraph"/>
              <w:ind w:right="78"/>
              <w:jc w:val="right"/>
              <w:rPr>
                <w:sz w:val="15"/>
              </w:rPr>
            </w:pPr>
            <w:r>
              <w:rPr>
                <w:color w:val="231F20"/>
                <w:spacing w:val="60"/>
                <w:w w:val="105"/>
                <w:sz w:val="15"/>
                <w:u w:val="single" w:color="231F20"/>
              </w:rPr>
              <w:t>  </w:t>
            </w:r>
            <w:r>
              <w:rPr>
                <w:color w:val="231F20"/>
                <w:spacing w:val="-2"/>
                <w:w w:val="105"/>
                <w:sz w:val="15"/>
                <w:u w:val="single" w:color="231F20"/>
              </w:rPr>
              <w:t>220,860,738</w:t>
            </w:r>
            <w:r>
              <w:rPr>
                <w:color w:val="231F20"/>
                <w:spacing w:val="80"/>
                <w:w w:val="105"/>
                <w:sz w:val="15"/>
                <w:u w:val="single" w:color="231F20"/>
              </w:rPr>
              <w:t> </w:t>
            </w:r>
          </w:p>
        </w:tc>
        <w:tc>
          <w:tcPr>
            <w:tcW w:w="1339" w:type="dxa"/>
          </w:tcPr>
          <w:p>
            <w:pPr>
              <w:pStyle w:val="TableParagraph"/>
              <w:spacing w:before="8"/>
              <w:rPr>
                <w:b/>
                <w:sz w:val="26"/>
              </w:rPr>
            </w:pPr>
          </w:p>
          <w:p>
            <w:pPr>
              <w:pStyle w:val="TableParagraph"/>
              <w:ind w:right="78"/>
              <w:jc w:val="right"/>
              <w:rPr>
                <w:sz w:val="15"/>
              </w:rPr>
            </w:pPr>
            <w:r>
              <w:rPr>
                <w:color w:val="231F20"/>
                <w:spacing w:val="60"/>
                <w:w w:val="105"/>
                <w:sz w:val="15"/>
                <w:u w:val="single" w:color="231F20"/>
              </w:rPr>
              <w:t>  </w:t>
            </w:r>
            <w:r>
              <w:rPr>
                <w:color w:val="231F20"/>
                <w:spacing w:val="-2"/>
                <w:w w:val="105"/>
                <w:sz w:val="15"/>
                <w:u w:val="single" w:color="231F20"/>
              </w:rPr>
              <w:t>229,316,813</w:t>
            </w:r>
            <w:r>
              <w:rPr>
                <w:color w:val="231F20"/>
                <w:spacing w:val="80"/>
                <w:w w:val="105"/>
                <w:sz w:val="15"/>
                <w:u w:val="single" w:color="231F20"/>
              </w:rPr>
              <w:t> </w:t>
            </w:r>
          </w:p>
        </w:tc>
        <w:tc>
          <w:tcPr>
            <w:tcW w:w="1309" w:type="dxa"/>
          </w:tcPr>
          <w:p>
            <w:pPr>
              <w:pStyle w:val="TableParagraph"/>
              <w:spacing w:before="8"/>
              <w:rPr>
                <w:b/>
                <w:sz w:val="26"/>
              </w:rPr>
            </w:pPr>
          </w:p>
          <w:p>
            <w:pPr>
              <w:pStyle w:val="TableParagraph"/>
              <w:tabs>
                <w:tab w:pos="386" w:val="left" w:leader="none"/>
              </w:tabs>
              <w:ind w:right="47"/>
              <w:jc w:val="right"/>
              <w:rPr>
                <w:sz w:val="15"/>
              </w:rPr>
            </w:pPr>
            <w:r>
              <w:rPr>
                <w:color w:val="231F20"/>
                <w:sz w:val="15"/>
                <w:u w:val="single" w:color="231F20"/>
              </w:rPr>
              <w:tab/>
            </w:r>
            <w:r>
              <w:rPr>
                <w:color w:val="231F20"/>
                <w:spacing w:val="-2"/>
                <w:w w:val="105"/>
                <w:sz w:val="15"/>
                <w:u w:val="single" w:color="231F20"/>
              </w:rPr>
              <w:t>8,456,075</w:t>
            </w:r>
            <w:r>
              <w:rPr>
                <w:color w:val="231F20"/>
                <w:spacing w:val="80"/>
                <w:w w:val="105"/>
                <w:sz w:val="15"/>
                <w:u w:val="single" w:color="231F20"/>
              </w:rPr>
              <w:t> </w:t>
            </w:r>
          </w:p>
        </w:tc>
      </w:tr>
      <w:tr>
        <w:trPr>
          <w:trHeight w:val="491" w:hRule="atLeast"/>
        </w:trPr>
        <w:tc>
          <w:tcPr>
            <w:tcW w:w="3895" w:type="dxa"/>
          </w:tcPr>
          <w:p>
            <w:pPr>
              <w:pStyle w:val="TableParagraph"/>
              <w:spacing w:line="190" w:lineRule="atLeast" w:before="91"/>
              <w:ind w:left="272" w:right="926" w:hanging="223"/>
              <w:rPr>
                <w:sz w:val="15"/>
              </w:rPr>
            </w:pPr>
            <w:r>
              <w:rPr>
                <w:color w:val="231F20"/>
                <w:w w:val="105"/>
                <w:sz w:val="15"/>
              </w:rPr>
              <w:t>Unrestricted</w:t>
            </w:r>
            <w:r>
              <w:rPr>
                <w:color w:val="231F20"/>
                <w:spacing w:val="-4"/>
                <w:w w:val="105"/>
                <w:sz w:val="15"/>
              </w:rPr>
              <w:t> </w:t>
            </w:r>
            <w:r>
              <w:rPr>
                <w:color w:val="231F20"/>
                <w:w w:val="105"/>
                <w:sz w:val="15"/>
              </w:rPr>
              <w:t>and</w:t>
            </w:r>
            <w:r>
              <w:rPr>
                <w:color w:val="231F20"/>
                <w:spacing w:val="-2"/>
                <w:w w:val="105"/>
                <w:sz w:val="15"/>
              </w:rPr>
              <w:t> </w:t>
            </w:r>
            <w:r>
              <w:rPr>
                <w:color w:val="231F20"/>
                <w:w w:val="105"/>
                <w:sz w:val="15"/>
              </w:rPr>
              <w:t>restricted</w:t>
            </w:r>
            <w:r>
              <w:rPr>
                <w:color w:val="231F20"/>
                <w:spacing w:val="-4"/>
                <w:w w:val="105"/>
                <w:sz w:val="15"/>
              </w:rPr>
              <w:t> </w:t>
            </w:r>
            <w:r>
              <w:rPr>
                <w:color w:val="231F20"/>
                <w:w w:val="105"/>
                <w:sz w:val="15"/>
              </w:rPr>
              <w:t>expenditures: Instruction and general</w:t>
            </w:r>
          </w:p>
        </w:tc>
        <w:tc>
          <w:tcPr>
            <w:tcW w:w="1470" w:type="dxa"/>
          </w:tcPr>
          <w:p>
            <w:pPr>
              <w:pStyle w:val="TableParagraph"/>
              <w:spacing w:before="8"/>
              <w:rPr>
                <w:b/>
                <w:sz w:val="26"/>
              </w:rPr>
            </w:pPr>
          </w:p>
          <w:p>
            <w:pPr>
              <w:pStyle w:val="TableParagraph"/>
              <w:spacing w:line="164" w:lineRule="exact"/>
              <w:ind w:right="162"/>
              <w:jc w:val="right"/>
              <w:rPr>
                <w:sz w:val="15"/>
              </w:rPr>
            </w:pPr>
            <w:r>
              <w:rPr>
                <w:color w:val="231F20"/>
                <w:spacing w:val="-2"/>
                <w:w w:val="105"/>
                <w:sz w:val="15"/>
              </w:rPr>
              <w:t>44,663,754</w:t>
            </w:r>
          </w:p>
        </w:tc>
        <w:tc>
          <w:tcPr>
            <w:tcW w:w="1339" w:type="dxa"/>
          </w:tcPr>
          <w:p>
            <w:pPr>
              <w:pStyle w:val="TableParagraph"/>
              <w:spacing w:before="8"/>
              <w:rPr>
                <w:b/>
                <w:sz w:val="26"/>
              </w:rPr>
            </w:pPr>
          </w:p>
          <w:p>
            <w:pPr>
              <w:pStyle w:val="TableParagraph"/>
              <w:spacing w:line="164" w:lineRule="exact"/>
              <w:ind w:right="162"/>
              <w:jc w:val="right"/>
              <w:rPr>
                <w:sz w:val="15"/>
              </w:rPr>
            </w:pPr>
            <w:r>
              <w:rPr>
                <w:color w:val="231F20"/>
                <w:spacing w:val="-2"/>
                <w:w w:val="105"/>
                <w:sz w:val="15"/>
              </w:rPr>
              <w:t>50,122,135</w:t>
            </w:r>
          </w:p>
        </w:tc>
        <w:tc>
          <w:tcPr>
            <w:tcW w:w="1339" w:type="dxa"/>
          </w:tcPr>
          <w:p>
            <w:pPr>
              <w:pStyle w:val="TableParagraph"/>
              <w:spacing w:before="8"/>
              <w:rPr>
                <w:b/>
                <w:sz w:val="26"/>
              </w:rPr>
            </w:pPr>
          </w:p>
          <w:p>
            <w:pPr>
              <w:pStyle w:val="TableParagraph"/>
              <w:spacing w:line="164" w:lineRule="exact"/>
              <w:ind w:left="379"/>
              <w:rPr>
                <w:sz w:val="15"/>
              </w:rPr>
            </w:pPr>
            <w:r>
              <w:rPr>
                <w:color w:val="231F20"/>
                <w:spacing w:val="-2"/>
                <w:w w:val="105"/>
                <w:sz w:val="15"/>
              </w:rPr>
              <w:t>41,585,916</w:t>
            </w:r>
          </w:p>
        </w:tc>
        <w:tc>
          <w:tcPr>
            <w:tcW w:w="1309" w:type="dxa"/>
          </w:tcPr>
          <w:p>
            <w:pPr>
              <w:pStyle w:val="TableParagraph"/>
              <w:spacing w:before="8"/>
              <w:rPr>
                <w:b/>
                <w:sz w:val="26"/>
              </w:rPr>
            </w:pPr>
          </w:p>
          <w:p>
            <w:pPr>
              <w:pStyle w:val="TableParagraph"/>
              <w:spacing w:line="164" w:lineRule="exact"/>
              <w:ind w:right="78"/>
              <w:jc w:val="right"/>
              <w:rPr>
                <w:sz w:val="15"/>
              </w:rPr>
            </w:pPr>
            <w:r>
              <w:rPr>
                <w:color w:val="231F20"/>
                <w:spacing w:val="-2"/>
                <w:w w:val="105"/>
                <w:sz w:val="15"/>
              </w:rPr>
              <w:t>(8,536,219)</w:t>
            </w:r>
          </w:p>
        </w:tc>
      </w:tr>
      <w:tr>
        <w:trPr>
          <w:trHeight w:val="196" w:hRule="atLeast"/>
        </w:trPr>
        <w:tc>
          <w:tcPr>
            <w:tcW w:w="3895" w:type="dxa"/>
          </w:tcPr>
          <w:p>
            <w:pPr>
              <w:pStyle w:val="TableParagraph"/>
              <w:spacing w:line="164" w:lineRule="exact" w:before="12"/>
              <w:ind w:left="272"/>
              <w:rPr>
                <w:sz w:val="15"/>
              </w:rPr>
            </w:pPr>
            <w:r>
              <w:rPr>
                <w:color w:val="231F20"/>
                <w:w w:val="105"/>
                <w:sz w:val="15"/>
              </w:rPr>
              <w:t>Student</w:t>
            </w:r>
            <w:r>
              <w:rPr>
                <w:color w:val="231F20"/>
                <w:spacing w:val="-2"/>
                <w:w w:val="105"/>
                <w:sz w:val="15"/>
              </w:rPr>
              <w:t> </w:t>
            </w:r>
            <w:r>
              <w:rPr>
                <w:color w:val="231F20"/>
                <w:w w:val="105"/>
                <w:sz w:val="15"/>
              </w:rPr>
              <w:t>social</w:t>
            </w:r>
            <w:r>
              <w:rPr>
                <w:color w:val="231F20"/>
                <w:spacing w:val="-1"/>
                <w:w w:val="105"/>
                <w:sz w:val="15"/>
              </w:rPr>
              <w:t> </w:t>
            </w:r>
            <w:r>
              <w:rPr>
                <w:color w:val="231F20"/>
                <w:w w:val="105"/>
                <w:sz w:val="15"/>
              </w:rPr>
              <w:t>and</w:t>
            </w:r>
            <w:r>
              <w:rPr>
                <w:color w:val="231F20"/>
                <w:spacing w:val="-3"/>
                <w:w w:val="105"/>
                <w:sz w:val="15"/>
              </w:rPr>
              <w:t> </w:t>
            </w:r>
            <w:r>
              <w:rPr>
                <w:color w:val="231F20"/>
                <w:spacing w:val="-2"/>
                <w:w w:val="105"/>
                <w:sz w:val="15"/>
              </w:rPr>
              <w:t>cultural</w:t>
            </w:r>
          </w:p>
        </w:tc>
        <w:tc>
          <w:tcPr>
            <w:tcW w:w="1470" w:type="dxa"/>
          </w:tcPr>
          <w:p>
            <w:pPr>
              <w:pStyle w:val="TableParagraph"/>
              <w:spacing w:line="164" w:lineRule="exact" w:before="12"/>
              <w:ind w:right="163"/>
              <w:jc w:val="right"/>
              <w:rPr>
                <w:sz w:val="15"/>
              </w:rPr>
            </w:pPr>
            <w:r>
              <w:rPr>
                <w:color w:val="231F20"/>
                <w:spacing w:val="-2"/>
                <w:w w:val="105"/>
                <w:sz w:val="15"/>
              </w:rPr>
              <w:t>743,497</w:t>
            </w:r>
          </w:p>
        </w:tc>
        <w:tc>
          <w:tcPr>
            <w:tcW w:w="1339" w:type="dxa"/>
          </w:tcPr>
          <w:p>
            <w:pPr>
              <w:pStyle w:val="TableParagraph"/>
              <w:spacing w:line="164" w:lineRule="exact" w:before="12"/>
              <w:ind w:right="162"/>
              <w:jc w:val="right"/>
              <w:rPr>
                <w:sz w:val="15"/>
              </w:rPr>
            </w:pPr>
            <w:r>
              <w:rPr>
                <w:color w:val="231F20"/>
                <w:spacing w:val="-2"/>
                <w:w w:val="105"/>
                <w:sz w:val="15"/>
              </w:rPr>
              <w:t>1,573,722</w:t>
            </w:r>
          </w:p>
        </w:tc>
        <w:tc>
          <w:tcPr>
            <w:tcW w:w="1339" w:type="dxa"/>
          </w:tcPr>
          <w:p>
            <w:pPr>
              <w:pStyle w:val="TableParagraph"/>
              <w:spacing w:line="164" w:lineRule="exact" w:before="12"/>
              <w:ind w:left="467"/>
              <w:rPr>
                <w:sz w:val="15"/>
              </w:rPr>
            </w:pPr>
            <w:r>
              <w:rPr>
                <w:color w:val="231F20"/>
                <w:spacing w:val="-2"/>
                <w:w w:val="105"/>
                <w:sz w:val="15"/>
              </w:rPr>
              <w:t>1,102,432</w:t>
            </w:r>
          </w:p>
        </w:tc>
        <w:tc>
          <w:tcPr>
            <w:tcW w:w="1309" w:type="dxa"/>
          </w:tcPr>
          <w:p>
            <w:pPr>
              <w:pStyle w:val="TableParagraph"/>
              <w:spacing w:line="164" w:lineRule="exact" w:before="12"/>
              <w:ind w:right="79"/>
              <w:jc w:val="right"/>
              <w:rPr>
                <w:sz w:val="15"/>
              </w:rPr>
            </w:pPr>
            <w:r>
              <w:rPr>
                <w:color w:val="231F20"/>
                <w:spacing w:val="-2"/>
                <w:w w:val="105"/>
                <w:sz w:val="15"/>
              </w:rPr>
              <w:t>(471,290)</w:t>
            </w:r>
          </w:p>
        </w:tc>
      </w:tr>
      <w:tr>
        <w:trPr>
          <w:trHeight w:val="196" w:hRule="atLeast"/>
        </w:trPr>
        <w:tc>
          <w:tcPr>
            <w:tcW w:w="3895" w:type="dxa"/>
          </w:tcPr>
          <w:p>
            <w:pPr>
              <w:pStyle w:val="TableParagraph"/>
              <w:spacing w:line="164" w:lineRule="exact" w:before="12"/>
              <w:ind w:left="272"/>
              <w:rPr>
                <w:sz w:val="15"/>
              </w:rPr>
            </w:pPr>
            <w:r>
              <w:rPr>
                <w:color w:val="231F20"/>
                <w:spacing w:val="-2"/>
                <w:w w:val="105"/>
                <w:sz w:val="15"/>
              </w:rPr>
              <w:t>Research</w:t>
            </w:r>
          </w:p>
        </w:tc>
        <w:tc>
          <w:tcPr>
            <w:tcW w:w="1470" w:type="dxa"/>
          </w:tcPr>
          <w:p>
            <w:pPr>
              <w:pStyle w:val="TableParagraph"/>
              <w:spacing w:line="164" w:lineRule="exact" w:before="12"/>
              <w:ind w:right="163"/>
              <w:jc w:val="right"/>
              <w:rPr>
                <w:sz w:val="15"/>
              </w:rPr>
            </w:pPr>
            <w:r>
              <w:rPr>
                <w:color w:val="231F20"/>
                <w:spacing w:val="-2"/>
                <w:w w:val="105"/>
                <w:sz w:val="15"/>
              </w:rPr>
              <w:t>67,363,670</w:t>
            </w:r>
          </w:p>
        </w:tc>
        <w:tc>
          <w:tcPr>
            <w:tcW w:w="1339" w:type="dxa"/>
          </w:tcPr>
          <w:p>
            <w:pPr>
              <w:pStyle w:val="TableParagraph"/>
              <w:spacing w:line="164" w:lineRule="exact" w:before="12"/>
              <w:ind w:right="162"/>
              <w:jc w:val="right"/>
              <w:rPr>
                <w:sz w:val="15"/>
              </w:rPr>
            </w:pPr>
            <w:r>
              <w:rPr>
                <w:color w:val="231F20"/>
                <w:spacing w:val="-2"/>
                <w:w w:val="105"/>
                <w:sz w:val="15"/>
              </w:rPr>
              <w:t>68,882,207</w:t>
            </w:r>
          </w:p>
        </w:tc>
        <w:tc>
          <w:tcPr>
            <w:tcW w:w="1339" w:type="dxa"/>
          </w:tcPr>
          <w:p>
            <w:pPr>
              <w:pStyle w:val="TableParagraph"/>
              <w:spacing w:line="164" w:lineRule="exact" w:before="12"/>
              <w:ind w:left="379"/>
              <w:rPr>
                <w:sz w:val="15"/>
              </w:rPr>
            </w:pPr>
            <w:r>
              <w:rPr>
                <w:color w:val="231F20"/>
                <w:spacing w:val="-2"/>
                <w:w w:val="105"/>
                <w:sz w:val="15"/>
              </w:rPr>
              <w:t>82,566,448</w:t>
            </w:r>
          </w:p>
        </w:tc>
        <w:tc>
          <w:tcPr>
            <w:tcW w:w="1309" w:type="dxa"/>
          </w:tcPr>
          <w:p>
            <w:pPr>
              <w:pStyle w:val="TableParagraph"/>
              <w:spacing w:line="164" w:lineRule="exact" w:before="12"/>
              <w:ind w:left="379"/>
              <w:rPr>
                <w:sz w:val="15"/>
              </w:rPr>
            </w:pPr>
            <w:r>
              <w:rPr>
                <w:color w:val="231F20"/>
                <w:spacing w:val="-2"/>
                <w:w w:val="105"/>
                <w:sz w:val="15"/>
              </w:rPr>
              <w:t>13,684,241</w:t>
            </w:r>
          </w:p>
        </w:tc>
      </w:tr>
      <w:tr>
        <w:trPr>
          <w:trHeight w:val="196" w:hRule="atLeast"/>
        </w:trPr>
        <w:tc>
          <w:tcPr>
            <w:tcW w:w="3895" w:type="dxa"/>
          </w:tcPr>
          <w:p>
            <w:pPr>
              <w:pStyle w:val="TableParagraph"/>
              <w:spacing w:line="164" w:lineRule="exact" w:before="12"/>
              <w:ind w:left="272"/>
              <w:rPr>
                <w:sz w:val="15"/>
              </w:rPr>
            </w:pPr>
            <w:r>
              <w:rPr>
                <w:color w:val="231F20"/>
                <w:w w:val="105"/>
                <w:sz w:val="15"/>
              </w:rPr>
              <w:t>Public</w:t>
            </w:r>
            <w:r>
              <w:rPr>
                <w:color w:val="231F20"/>
                <w:spacing w:val="-1"/>
                <w:w w:val="105"/>
                <w:sz w:val="15"/>
              </w:rPr>
              <w:t> </w:t>
            </w:r>
            <w:r>
              <w:rPr>
                <w:color w:val="231F20"/>
                <w:spacing w:val="-2"/>
                <w:w w:val="105"/>
                <w:sz w:val="15"/>
              </w:rPr>
              <w:t>service</w:t>
            </w:r>
          </w:p>
        </w:tc>
        <w:tc>
          <w:tcPr>
            <w:tcW w:w="1470" w:type="dxa"/>
          </w:tcPr>
          <w:p>
            <w:pPr>
              <w:pStyle w:val="TableParagraph"/>
              <w:spacing w:line="164" w:lineRule="exact" w:before="12"/>
              <w:ind w:right="162"/>
              <w:jc w:val="right"/>
              <w:rPr>
                <w:sz w:val="15"/>
              </w:rPr>
            </w:pPr>
            <w:r>
              <w:rPr>
                <w:color w:val="231F20"/>
                <w:spacing w:val="-2"/>
                <w:w w:val="105"/>
                <w:sz w:val="15"/>
              </w:rPr>
              <w:t>1,699,396</w:t>
            </w:r>
          </w:p>
        </w:tc>
        <w:tc>
          <w:tcPr>
            <w:tcW w:w="1339" w:type="dxa"/>
          </w:tcPr>
          <w:p>
            <w:pPr>
              <w:pStyle w:val="TableParagraph"/>
              <w:spacing w:line="164" w:lineRule="exact" w:before="12"/>
              <w:ind w:right="162"/>
              <w:jc w:val="right"/>
              <w:rPr>
                <w:sz w:val="15"/>
              </w:rPr>
            </w:pPr>
            <w:r>
              <w:rPr>
                <w:color w:val="231F20"/>
                <w:spacing w:val="-2"/>
                <w:w w:val="105"/>
                <w:sz w:val="15"/>
              </w:rPr>
              <w:t>2,435,090</w:t>
            </w:r>
          </w:p>
        </w:tc>
        <w:tc>
          <w:tcPr>
            <w:tcW w:w="1339" w:type="dxa"/>
          </w:tcPr>
          <w:p>
            <w:pPr>
              <w:pStyle w:val="TableParagraph"/>
              <w:spacing w:line="164" w:lineRule="exact" w:before="12"/>
              <w:ind w:right="162"/>
              <w:jc w:val="right"/>
              <w:rPr>
                <w:sz w:val="15"/>
              </w:rPr>
            </w:pPr>
            <w:r>
              <w:rPr>
                <w:color w:val="231F20"/>
                <w:spacing w:val="-2"/>
                <w:w w:val="105"/>
                <w:sz w:val="15"/>
              </w:rPr>
              <w:t>688,537</w:t>
            </w:r>
          </w:p>
        </w:tc>
        <w:tc>
          <w:tcPr>
            <w:tcW w:w="1309" w:type="dxa"/>
          </w:tcPr>
          <w:p>
            <w:pPr>
              <w:pStyle w:val="TableParagraph"/>
              <w:spacing w:line="164" w:lineRule="exact" w:before="12"/>
              <w:ind w:right="78"/>
              <w:jc w:val="right"/>
              <w:rPr>
                <w:sz w:val="15"/>
              </w:rPr>
            </w:pPr>
            <w:r>
              <w:rPr>
                <w:color w:val="231F20"/>
                <w:spacing w:val="-2"/>
                <w:w w:val="105"/>
                <w:sz w:val="15"/>
              </w:rPr>
              <w:t>(1,746,553)</w:t>
            </w:r>
          </w:p>
        </w:tc>
      </w:tr>
      <w:tr>
        <w:trPr>
          <w:trHeight w:val="196" w:hRule="atLeast"/>
        </w:trPr>
        <w:tc>
          <w:tcPr>
            <w:tcW w:w="3895" w:type="dxa"/>
          </w:tcPr>
          <w:p>
            <w:pPr>
              <w:pStyle w:val="TableParagraph"/>
              <w:spacing w:line="164" w:lineRule="exact" w:before="12"/>
              <w:ind w:left="272"/>
              <w:rPr>
                <w:sz w:val="15"/>
              </w:rPr>
            </w:pPr>
            <w:r>
              <w:rPr>
                <w:color w:val="231F20"/>
                <w:w w:val="105"/>
                <w:sz w:val="15"/>
              </w:rPr>
              <w:t>Internal</w:t>
            </w:r>
            <w:r>
              <w:rPr>
                <w:color w:val="231F20"/>
                <w:spacing w:val="-2"/>
                <w:w w:val="105"/>
                <w:sz w:val="15"/>
              </w:rPr>
              <w:t> </w:t>
            </w:r>
            <w:r>
              <w:rPr>
                <w:color w:val="231F20"/>
                <w:w w:val="105"/>
                <w:sz w:val="15"/>
              </w:rPr>
              <w:t>service</w:t>
            </w:r>
            <w:r>
              <w:rPr>
                <w:color w:val="231F20"/>
                <w:spacing w:val="-1"/>
                <w:w w:val="105"/>
                <w:sz w:val="15"/>
              </w:rPr>
              <w:t> </w:t>
            </w:r>
            <w:r>
              <w:rPr>
                <w:color w:val="231F20"/>
                <w:spacing w:val="-2"/>
                <w:w w:val="105"/>
                <w:sz w:val="15"/>
              </w:rPr>
              <w:t>departments</w:t>
            </w:r>
          </w:p>
        </w:tc>
        <w:tc>
          <w:tcPr>
            <w:tcW w:w="1470" w:type="dxa"/>
          </w:tcPr>
          <w:p>
            <w:pPr>
              <w:pStyle w:val="TableParagraph"/>
              <w:spacing w:line="164" w:lineRule="exact" w:before="12"/>
              <w:ind w:right="163"/>
              <w:jc w:val="right"/>
              <w:rPr>
                <w:sz w:val="15"/>
              </w:rPr>
            </w:pPr>
            <w:r>
              <w:rPr>
                <w:color w:val="231F20"/>
                <w:spacing w:val="-2"/>
                <w:w w:val="105"/>
                <w:sz w:val="15"/>
              </w:rPr>
              <w:t>9,232,500</w:t>
            </w:r>
          </w:p>
        </w:tc>
        <w:tc>
          <w:tcPr>
            <w:tcW w:w="1339" w:type="dxa"/>
          </w:tcPr>
          <w:p>
            <w:pPr>
              <w:pStyle w:val="TableParagraph"/>
              <w:spacing w:line="164" w:lineRule="exact" w:before="12"/>
              <w:ind w:right="162"/>
              <w:jc w:val="right"/>
              <w:rPr>
                <w:sz w:val="15"/>
              </w:rPr>
            </w:pPr>
            <w:r>
              <w:rPr>
                <w:color w:val="231F20"/>
                <w:spacing w:val="-2"/>
                <w:w w:val="105"/>
                <w:sz w:val="15"/>
              </w:rPr>
              <w:t>9,215,869</w:t>
            </w:r>
          </w:p>
        </w:tc>
        <w:tc>
          <w:tcPr>
            <w:tcW w:w="1339" w:type="dxa"/>
          </w:tcPr>
          <w:p>
            <w:pPr>
              <w:pStyle w:val="TableParagraph"/>
              <w:spacing w:line="164" w:lineRule="exact" w:before="12"/>
              <w:ind w:left="466"/>
              <w:rPr>
                <w:sz w:val="15"/>
              </w:rPr>
            </w:pPr>
            <w:r>
              <w:rPr>
                <w:color w:val="231F20"/>
                <w:spacing w:val="-2"/>
                <w:w w:val="105"/>
                <w:sz w:val="15"/>
              </w:rPr>
              <w:t>7,277,148</w:t>
            </w:r>
          </w:p>
        </w:tc>
        <w:tc>
          <w:tcPr>
            <w:tcW w:w="1309" w:type="dxa"/>
          </w:tcPr>
          <w:p>
            <w:pPr>
              <w:pStyle w:val="TableParagraph"/>
              <w:spacing w:line="164" w:lineRule="exact" w:before="12"/>
              <w:ind w:right="78"/>
              <w:jc w:val="right"/>
              <w:rPr>
                <w:sz w:val="15"/>
              </w:rPr>
            </w:pPr>
            <w:r>
              <w:rPr>
                <w:color w:val="231F20"/>
                <w:spacing w:val="-2"/>
                <w:w w:val="105"/>
                <w:sz w:val="15"/>
              </w:rPr>
              <w:t>(1,938,721)</w:t>
            </w:r>
          </w:p>
        </w:tc>
      </w:tr>
      <w:tr>
        <w:trPr>
          <w:trHeight w:val="196" w:hRule="atLeast"/>
        </w:trPr>
        <w:tc>
          <w:tcPr>
            <w:tcW w:w="3895" w:type="dxa"/>
          </w:tcPr>
          <w:p>
            <w:pPr>
              <w:pStyle w:val="TableParagraph"/>
              <w:spacing w:line="164" w:lineRule="exact" w:before="12"/>
              <w:ind w:left="272"/>
              <w:rPr>
                <w:sz w:val="15"/>
              </w:rPr>
            </w:pPr>
            <w:r>
              <w:rPr>
                <w:color w:val="231F20"/>
                <w:w w:val="105"/>
                <w:sz w:val="15"/>
              </w:rPr>
              <w:t>Student</w:t>
            </w:r>
            <w:r>
              <w:rPr>
                <w:color w:val="231F20"/>
                <w:spacing w:val="-3"/>
                <w:w w:val="105"/>
                <w:sz w:val="15"/>
              </w:rPr>
              <w:t> </w:t>
            </w:r>
            <w:r>
              <w:rPr>
                <w:color w:val="231F20"/>
                <w:spacing w:val="-5"/>
                <w:w w:val="105"/>
                <w:sz w:val="15"/>
              </w:rPr>
              <w:t>aid</w:t>
            </w:r>
          </w:p>
        </w:tc>
        <w:tc>
          <w:tcPr>
            <w:tcW w:w="1470" w:type="dxa"/>
          </w:tcPr>
          <w:p>
            <w:pPr>
              <w:pStyle w:val="TableParagraph"/>
              <w:spacing w:line="164" w:lineRule="exact" w:before="12"/>
              <w:ind w:right="163"/>
              <w:jc w:val="right"/>
              <w:rPr>
                <w:sz w:val="15"/>
              </w:rPr>
            </w:pPr>
            <w:r>
              <w:rPr>
                <w:color w:val="231F20"/>
                <w:spacing w:val="-2"/>
                <w:w w:val="105"/>
                <w:sz w:val="15"/>
              </w:rPr>
              <w:t>11,133,845</w:t>
            </w:r>
          </w:p>
        </w:tc>
        <w:tc>
          <w:tcPr>
            <w:tcW w:w="1339" w:type="dxa"/>
          </w:tcPr>
          <w:p>
            <w:pPr>
              <w:pStyle w:val="TableParagraph"/>
              <w:spacing w:line="164" w:lineRule="exact" w:before="12"/>
              <w:ind w:right="162"/>
              <w:jc w:val="right"/>
              <w:rPr>
                <w:sz w:val="15"/>
              </w:rPr>
            </w:pPr>
            <w:r>
              <w:rPr>
                <w:color w:val="231F20"/>
                <w:spacing w:val="-2"/>
                <w:w w:val="105"/>
                <w:sz w:val="15"/>
              </w:rPr>
              <w:t>14,752,880</w:t>
            </w:r>
          </w:p>
        </w:tc>
        <w:tc>
          <w:tcPr>
            <w:tcW w:w="1339" w:type="dxa"/>
          </w:tcPr>
          <w:p>
            <w:pPr>
              <w:pStyle w:val="TableParagraph"/>
              <w:spacing w:line="164" w:lineRule="exact" w:before="12"/>
              <w:ind w:left="379"/>
              <w:rPr>
                <w:sz w:val="15"/>
              </w:rPr>
            </w:pPr>
            <w:r>
              <w:rPr>
                <w:color w:val="231F20"/>
                <w:spacing w:val="-2"/>
                <w:w w:val="105"/>
                <w:sz w:val="15"/>
              </w:rPr>
              <w:t>13,235,873</w:t>
            </w:r>
          </w:p>
        </w:tc>
        <w:tc>
          <w:tcPr>
            <w:tcW w:w="1309" w:type="dxa"/>
          </w:tcPr>
          <w:p>
            <w:pPr>
              <w:pStyle w:val="TableParagraph"/>
              <w:spacing w:line="164" w:lineRule="exact" w:before="12"/>
              <w:ind w:right="78"/>
              <w:jc w:val="right"/>
              <w:rPr>
                <w:sz w:val="15"/>
              </w:rPr>
            </w:pPr>
            <w:r>
              <w:rPr>
                <w:color w:val="231F20"/>
                <w:spacing w:val="-2"/>
                <w:w w:val="105"/>
                <w:sz w:val="15"/>
              </w:rPr>
              <w:t>(1,517,007)</w:t>
            </w:r>
          </w:p>
        </w:tc>
      </w:tr>
      <w:tr>
        <w:trPr>
          <w:trHeight w:val="196" w:hRule="atLeast"/>
        </w:trPr>
        <w:tc>
          <w:tcPr>
            <w:tcW w:w="3895" w:type="dxa"/>
          </w:tcPr>
          <w:p>
            <w:pPr>
              <w:pStyle w:val="TableParagraph"/>
              <w:spacing w:line="164" w:lineRule="exact" w:before="12"/>
              <w:ind w:left="272"/>
              <w:rPr>
                <w:sz w:val="15"/>
              </w:rPr>
            </w:pPr>
            <w:r>
              <w:rPr>
                <w:color w:val="231F20"/>
                <w:w w:val="105"/>
                <w:sz w:val="15"/>
              </w:rPr>
              <w:t>Auxiliary</w:t>
            </w:r>
            <w:r>
              <w:rPr>
                <w:color w:val="231F20"/>
                <w:spacing w:val="-1"/>
                <w:w w:val="105"/>
                <w:sz w:val="15"/>
              </w:rPr>
              <w:t> </w:t>
            </w:r>
            <w:r>
              <w:rPr>
                <w:color w:val="231F20"/>
                <w:spacing w:val="-2"/>
                <w:w w:val="105"/>
                <w:sz w:val="15"/>
              </w:rPr>
              <w:t>enterprises</w:t>
            </w:r>
          </w:p>
        </w:tc>
        <w:tc>
          <w:tcPr>
            <w:tcW w:w="1470" w:type="dxa"/>
          </w:tcPr>
          <w:p>
            <w:pPr>
              <w:pStyle w:val="TableParagraph"/>
              <w:spacing w:line="164" w:lineRule="exact" w:before="12"/>
              <w:ind w:right="163"/>
              <w:jc w:val="right"/>
              <w:rPr>
                <w:sz w:val="15"/>
              </w:rPr>
            </w:pPr>
            <w:r>
              <w:rPr>
                <w:color w:val="231F20"/>
                <w:spacing w:val="-2"/>
                <w:w w:val="105"/>
                <w:sz w:val="15"/>
              </w:rPr>
              <w:t>6,096,336</w:t>
            </w:r>
          </w:p>
        </w:tc>
        <w:tc>
          <w:tcPr>
            <w:tcW w:w="1339" w:type="dxa"/>
          </w:tcPr>
          <w:p>
            <w:pPr>
              <w:pStyle w:val="TableParagraph"/>
              <w:spacing w:line="164" w:lineRule="exact" w:before="12"/>
              <w:ind w:right="162"/>
              <w:jc w:val="right"/>
              <w:rPr>
                <w:sz w:val="15"/>
              </w:rPr>
            </w:pPr>
            <w:r>
              <w:rPr>
                <w:color w:val="231F20"/>
                <w:spacing w:val="-2"/>
                <w:w w:val="105"/>
                <w:sz w:val="15"/>
              </w:rPr>
              <w:t>6,104,421</w:t>
            </w:r>
          </w:p>
        </w:tc>
        <w:tc>
          <w:tcPr>
            <w:tcW w:w="1339" w:type="dxa"/>
          </w:tcPr>
          <w:p>
            <w:pPr>
              <w:pStyle w:val="TableParagraph"/>
              <w:spacing w:line="164" w:lineRule="exact" w:before="12"/>
              <w:ind w:left="466"/>
              <w:rPr>
                <w:sz w:val="15"/>
              </w:rPr>
            </w:pPr>
            <w:r>
              <w:rPr>
                <w:color w:val="231F20"/>
                <w:spacing w:val="-2"/>
                <w:w w:val="105"/>
                <w:sz w:val="15"/>
              </w:rPr>
              <w:t>5,986,541</w:t>
            </w:r>
          </w:p>
        </w:tc>
        <w:tc>
          <w:tcPr>
            <w:tcW w:w="1309" w:type="dxa"/>
          </w:tcPr>
          <w:p>
            <w:pPr>
              <w:pStyle w:val="TableParagraph"/>
              <w:spacing w:line="164" w:lineRule="exact" w:before="12"/>
              <w:ind w:right="79"/>
              <w:jc w:val="right"/>
              <w:rPr>
                <w:sz w:val="15"/>
              </w:rPr>
            </w:pPr>
            <w:r>
              <w:rPr>
                <w:color w:val="231F20"/>
                <w:spacing w:val="-2"/>
                <w:w w:val="105"/>
                <w:sz w:val="15"/>
              </w:rPr>
              <w:t>(117,880)</w:t>
            </w:r>
          </w:p>
        </w:tc>
      </w:tr>
      <w:tr>
        <w:trPr>
          <w:trHeight w:val="196" w:hRule="atLeast"/>
        </w:trPr>
        <w:tc>
          <w:tcPr>
            <w:tcW w:w="3895" w:type="dxa"/>
          </w:tcPr>
          <w:p>
            <w:pPr>
              <w:pStyle w:val="TableParagraph"/>
              <w:spacing w:line="164" w:lineRule="exact" w:before="12"/>
              <w:ind w:left="272"/>
              <w:rPr>
                <w:sz w:val="15"/>
              </w:rPr>
            </w:pPr>
            <w:r>
              <w:rPr>
                <w:color w:val="231F20"/>
                <w:w w:val="105"/>
                <w:sz w:val="15"/>
              </w:rPr>
              <w:t>Intercollegiate</w:t>
            </w:r>
            <w:r>
              <w:rPr>
                <w:color w:val="231F20"/>
                <w:spacing w:val="-6"/>
                <w:w w:val="105"/>
                <w:sz w:val="15"/>
              </w:rPr>
              <w:t> </w:t>
            </w:r>
            <w:r>
              <w:rPr>
                <w:color w:val="231F20"/>
                <w:spacing w:val="-2"/>
                <w:w w:val="105"/>
                <w:sz w:val="15"/>
              </w:rPr>
              <w:t>athletics</w:t>
            </w:r>
          </w:p>
        </w:tc>
        <w:tc>
          <w:tcPr>
            <w:tcW w:w="1470" w:type="dxa"/>
          </w:tcPr>
          <w:p>
            <w:pPr>
              <w:pStyle w:val="TableParagraph"/>
              <w:spacing w:line="164" w:lineRule="exact" w:before="12"/>
              <w:ind w:right="164"/>
              <w:jc w:val="right"/>
              <w:rPr>
                <w:sz w:val="15"/>
              </w:rPr>
            </w:pPr>
            <w:r>
              <w:rPr>
                <w:color w:val="231F20"/>
                <w:w w:val="105"/>
                <w:sz w:val="15"/>
              </w:rPr>
              <w:t>-</w:t>
            </w:r>
          </w:p>
        </w:tc>
        <w:tc>
          <w:tcPr>
            <w:tcW w:w="1339" w:type="dxa"/>
          </w:tcPr>
          <w:p>
            <w:pPr>
              <w:pStyle w:val="TableParagraph"/>
              <w:spacing w:line="164" w:lineRule="exact" w:before="12"/>
              <w:ind w:right="162"/>
              <w:jc w:val="right"/>
              <w:rPr>
                <w:sz w:val="15"/>
              </w:rPr>
            </w:pPr>
            <w:r>
              <w:rPr>
                <w:color w:val="231F20"/>
                <w:w w:val="105"/>
                <w:sz w:val="15"/>
              </w:rPr>
              <w:t>-</w:t>
            </w:r>
          </w:p>
        </w:tc>
        <w:tc>
          <w:tcPr>
            <w:tcW w:w="1339" w:type="dxa"/>
          </w:tcPr>
          <w:p>
            <w:pPr>
              <w:pStyle w:val="TableParagraph"/>
              <w:spacing w:line="164" w:lineRule="exact" w:before="12"/>
              <w:ind w:right="162"/>
              <w:jc w:val="right"/>
              <w:rPr>
                <w:sz w:val="15"/>
              </w:rPr>
            </w:pPr>
            <w:r>
              <w:rPr>
                <w:color w:val="231F20"/>
                <w:w w:val="105"/>
                <w:sz w:val="15"/>
              </w:rPr>
              <w:t>-</w:t>
            </w:r>
          </w:p>
        </w:tc>
        <w:tc>
          <w:tcPr>
            <w:tcW w:w="1309" w:type="dxa"/>
          </w:tcPr>
          <w:p>
            <w:pPr>
              <w:pStyle w:val="TableParagraph"/>
              <w:spacing w:line="164" w:lineRule="exact" w:before="12"/>
              <w:ind w:right="132"/>
              <w:jc w:val="right"/>
              <w:rPr>
                <w:sz w:val="15"/>
              </w:rPr>
            </w:pPr>
            <w:r>
              <w:rPr>
                <w:color w:val="231F20"/>
                <w:w w:val="105"/>
                <w:sz w:val="15"/>
              </w:rPr>
              <w:t>-</w:t>
            </w:r>
          </w:p>
        </w:tc>
      </w:tr>
      <w:tr>
        <w:trPr>
          <w:trHeight w:val="196" w:hRule="atLeast"/>
        </w:trPr>
        <w:tc>
          <w:tcPr>
            <w:tcW w:w="3895" w:type="dxa"/>
          </w:tcPr>
          <w:p>
            <w:pPr>
              <w:pStyle w:val="TableParagraph"/>
              <w:spacing w:line="164" w:lineRule="exact" w:before="12"/>
              <w:ind w:left="272"/>
              <w:rPr>
                <w:sz w:val="15"/>
              </w:rPr>
            </w:pPr>
            <w:r>
              <w:rPr>
                <w:color w:val="231F20"/>
                <w:w w:val="105"/>
                <w:sz w:val="15"/>
              </w:rPr>
              <w:t>Independent</w:t>
            </w:r>
            <w:r>
              <w:rPr>
                <w:color w:val="231F20"/>
                <w:spacing w:val="-4"/>
                <w:w w:val="105"/>
                <w:sz w:val="15"/>
              </w:rPr>
              <w:t> </w:t>
            </w:r>
            <w:r>
              <w:rPr>
                <w:color w:val="231F20"/>
                <w:spacing w:val="-2"/>
                <w:w w:val="105"/>
                <w:sz w:val="15"/>
              </w:rPr>
              <w:t>operations</w:t>
            </w:r>
          </w:p>
        </w:tc>
        <w:tc>
          <w:tcPr>
            <w:tcW w:w="1470" w:type="dxa"/>
          </w:tcPr>
          <w:p>
            <w:pPr>
              <w:pStyle w:val="TableParagraph"/>
              <w:spacing w:line="164" w:lineRule="exact" w:before="12"/>
              <w:ind w:right="163"/>
              <w:jc w:val="right"/>
              <w:rPr>
                <w:sz w:val="15"/>
              </w:rPr>
            </w:pPr>
            <w:r>
              <w:rPr>
                <w:color w:val="231F20"/>
                <w:spacing w:val="-2"/>
                <w:w w:val="105"/>
                <w:sz w:val="15"/>
              </w:rPr>
              <w:t>6,606,817</w:t>
            </w:r>
          </w:p>
        </w:tc>
        <w:tc>
          <w:tcPr>
            <w:tcW w:w="1339" w:type="dxa"/>
          </w:tcPr>
          <w:p>
            <w:pPr>
              <w:pStyle w:val="TableParagraph"/>
              <w:spacing w:line="164" w:lineRule="exact" w:before="12"/>
              <w:ind w:right="162"/>
              <w:jc w:val="right"/>
              <w:rPr>
                <w:sz w:val="15"/>
              </w:rPr>
            </w:pPr>
            <w:r>
              <w:rPr>
                <w:color w:val="231F20"/>
                <w:spacing w:val="-2"/>
                <w:w w:val="105"/>
                <w:sz w:val="15"/>
              </w:rPr>
              <w:t>8,706,117</w:t>
            </w:r>
          </w:p>
        </w:tc>
        <w:tc>
          <w:tcPr>
            <w:tcW w:w="1339" w:type="dxa"/>
          </w:tcPr>
          <w:p>
            <w:pPr>
              <w:pStyle w:val="TableParagraph"/>
              <w:spacing w:line="164" w:lineRule="exact" w:before="12"/>
              <w:ind w:left="467"/>
              <w:rPr>
                <w:sz w:val="15"/>
              </w:rPr>
            </w:pPr>
            <w:r>
              <w:rPr>
                <w:color w:val="231F20"/>
                <w:spacing w:val="-2"/>
                <w:w w:val="105"/>
                <w:sz w:val="15"/>
              </w:rPr>
              <w:t>7,524,637</w:t>
            </w:r>
          </w:p>
        </w:tc>
        <w:tc>
          <w:tcPr>
            <w:tcW w:w="1309" w:type="dxa"/>
          </w:tcPr>
          <w:p>
            <w:pPr>
              <w:pStyle w:val="TableParagraph"/>
              <w:spacing w:line="164" w:lineRule="exact" w:before="12"/>
              <w:ind w:right="78"/>
              <w:jc w:val="right"/>
              <w:rPr>
                <w:sz w:val="15"/>
              </w:rPr>
            </w:pPr>
            <w:r>
              <w:rPr>
                <w:color w:val="231F20"/>
                <w:spacing w:val="-2"/>
                <w:w w:val="105"/>
                <w:sz w:val="15"/>
              </w:rPr>
              <w:t>(1,181,480)</w:t>
            </w:r>
          </w:p>
        </w:tc>
      </w:tr>
      <w:tr>
        <w:trPr>
          <w:trHeight w:val="195" w:hRule="atLeast"/>
        </w:trPr>
        <w:tc>
          <w:tcPr>
            <w:tcW w:w="3895" w:type="dxa"/>
          </w:tcPr>
          <w:p>
            <w:pPr>
              <w:pStyle w:val="TableParagraph"/>
              <w:spacing w:line="163" w:lineRule="exact" w:before="12"/>
              <w:ind w:left="272"/>
              <w:rPr>
                <w:sz w:val="15"/>
              </w:rPr>
            </w:pPr>
            <w:r>
              <w:rPr>
                <w:color w:val="231F20"/>
                <w:w w:val="105"/>
                <w:sz w:val="15"/>
              </w:rPr>
              <w:t>Capital</w:t>
            </w:r>
            <w:r>
              <w:rPr>
                <w:color w:val="231F20"/>
                <w:spacing w:val="-3"/>
                <w:w w:val="105"/>
                <w:sz w:val="15"/>
              </w:rPr>
              <w:t> </w:t>
            </w:r>
            <w:r>
              <w:rPr>
                <w:color w:val="231F20"/>
                <w:spacing w:val="-2"/>
                <w:w w:val="105"/>
                <w:sz w:val="15"/>
              </w:rPr>
              <w:t>outlay</w:t>
            </w:r>
          </w:p>
        </w:tc>
        <w:tc>
          <w:tcPr>
            <w:tcW w:w="1470" w:type="dxa"/>
          </w:tcPr>
          <w:p>
            <w:pPr>
              <w:pStyle w:val="TableParagraph"/>
              <w:spacing w:line="163" w:lineRule="exact" w:before="12"/>
              <w:ind w:right="163"/>
              <w:jc w:val="right"/>
              <w:rPr>
                <w:sz w:val="15"/>
              </w:rPr>
            </w:pPr>
            <w:r>
              <w:rPr>
                <w:color w:val="231F20"/>
                <w:spacing w:val="-2"/>
                <w:w w:val="105"/>
                <w:sz w:val="15"/>
              </w:rPr>
              <w:t>9,144,000</w:t>
            </w:r>
          </w:p>
        </w:tc>
        <w:tc>
          <w:tcPr>
            <w:tcW w:w="1339" w:type="dxa"/>
          </w:tcPr>
          <w:p>
            <w:pPr>
              <w:pStyle w:val="TableParagraph"/>
              <w:spacing w:line="163" w:lineRule="exact" w:before="12"/>
              <w:ind w:right="162"/>
              <w:jc w:val="right"/>
              <w:rPr>
                <w:sz w:val="15"/>
              </w:rPr>
            </w:pPr>
            <w:r>
              <w:rPr>
                <w:color w:val="231F20"/>
                <w:spacing w:val="-2"/>
                <w:w w:val="105"/>
                <w:sz w:val="15"/>
              </w:rPr>
              <w:t>9,144,000</w:t>
            </w:r>
          </w:p>
        </w:tc>
        <w:tc>
          <w:tcPr>
            <w:tcW w:w="1339" w:type="dxa"/>
          </w:tcPr>
          <w:p>
            <w:pPr>
              <w:pStyle w:val="TableParagraph"/>
              <w:spacing w:line="163" w:lineRule="exact" w:before="12"/>
              <w:ind w:left="467"/>
              <w:rPr>
                <w:sz w:val="15"/>
              </w:rPr>
            </w:pPr>
            <w:r>
              <w:rPr>
                <w:color w:val="231F20"/>
                <w:spacing w:val="-2"/>
                <w:w w:val="105"/>
                <w:sz w:val="15"/>
              </w:rPr>
              <w:t>7,426,101</w:t>
            </w:r>
          </w:p>
        </w:tc>
        <w:tc>
          <w:tcPr>
            <w:tcW w:w="1309" w:type="dxa"/>
          </w:tcPr>
          <w:p>
            <w:pPr>
              <w:pStyle w:val="TableParagraph"/>
              <w:spacing w:line="163" w:lineRule="exact" w:before="12"/>
              <w:ind w:right="78"/>
              <w:jc w:val="right"/>
              <w:rPr>
                <w:sz w:val="15"/>
              </w:rPr>
            </w:pPr>
            <w:r>
              <w:rPr>
                <w:color w:val="231F20"/>
                <w:spacing w:val="-2"/>
                <w:w w:val="105"/>
                <w:sz w:val="15"/>
              </w:rPr>
              <w:t>(1,717,899)</w:t>
            </w:r>
          </w:p>
        </w:tc>
      </w:tr>
      <w:tr>
        <w:trPr>
          <w:trHeight w:val="196" w:hRule="atLeast"/>
        </w:trPr>
        <w:tc>
          <w:tcPr>
            <w:tcW w:w="3895" w:type="dxa"/>
          </w:tcPr>
          <w:p>
            <w:pPr>
              <w:pStyle w:val="TableParagraph"/>
              <w:spacing w:line="164" w:lineRule="exact" w:before="12"/>
              <w:ind w:left="272"/>
              <w:rPr>
                <w:sz w:val="15"/>
              </w:rPr>
            </w:pPr>
            <w:r>
              <w:rPr>
                <w:color w:val="231F20"/>
                <w:w w:val="105"/>
                <w:sz w:val="15"/>
              </w:rPr>
              <w:t>Renewal</w:t>
            </w:r>
            <w:r>
              <w:rPr>
                <w:color w:val="231F20"/>
                <w:spacing w:val="-2"/>
                <w:w w:val="105"/>
                <w:sz w:val="15"/>
              </w:rPr>
              <w:t> </w:t>
            </w:r>
            <w:r>
              <w:rPr>
                <w:color w:val="231F20"/>
                <w:w w:val="105"/>
                <w:sz w:val="15"/>
              </w:rPr>
              <w:t>and</w:t>
            </w:r>
            <w:r>
              <w:rPr>
                <w:color w:val="231F20"/>
                <w:spacing w:val="-2"/>
                <w:w w:val="105"/>
                <w:sz w:val="15"/>
              </w:rPr>
              <w:t> replacements</w:t>
            </w:r>
          </w:p>
        </w:tc>
        <w:tc>
          <w:tcPr>
            <w:tcW w:w="1470" w:type="dxa"/>
          </w:tcPr>
          <w:p>
            <w:pPr>
              <w:pStyle w:val="TableParagraph"/>
              <w:spacing w:line="165" w:lineRule="exact" w:before="11"/>
              <w:ind w:right="163"/>
              <w:jc w:val="right"/>
              <w:rPr>
                <w:sz w:val="15"/>
              </w:rPr>
            </w:pPr>
            <w:r>
              <w:rPr>
                <w:color w:val="231F20"/>
                <w:spacing w:val="-2"/>
                <w:w w:val="105"/>
                <w:sz w:val="15"/>
              </w:rPr>
              <w:t>1,302,000</w:t>
            </w:r>
          </w:p>
        </w:tc>
        <w:tc>
          <w:tcPr>
            <w:tcW w:w="1339" w:type="dxa"/>
          </w:tcPr>
          <w:p>
            <w:pPr>
              <w:pStyle w:val="TableParagraph"/>
              <w:spacing w:line="165" w:lineRule="exact" w:before="11"/>
              <w:ind w:right="162"/>
              <w:jc w:val="right"/>
              <w:rPr>
                <w:sz w:val="15"/>
              </w:rPr>
            </w:pPr>
            <w:r>
              <w:rPr>
                <w:color w:val="231F20"/>
                <w:spacing w:val="-2"/>
                <w:w w:val="105"/>
                <w:sz w:val="15"/>
              </w:rPr>
              <w:t>1,302,000</w:t>
            </w:r>
          </w:p>
        </w:tc>
        <w:tc>
          <w:tcPr>
            <w:tcW w:w="1339" w:type="dxa"/>
          </w:tcPr>
          <w:p>
            <w:pPr>
              <w:pStyle w:val="TableParagraph"/>
              <w:spacing w:line="165" w:lineRule="exact" w:before="11"/>
              <w:ind w:left="466"/>
              <w:rPr>
                <w:sz w:val="15"/>
              </w:rPr>
            </w:pPr>
            <w:r>
              <w:rPr>
                <w:color w:val="231F20"/>
                <w:spacing w:val="-2"/>
                <w:w w:val="105"/>
                <w:sz w:val="15"/>
              </w:rPr>
              <w:t>1,533,588</w:t>
            </w:r>
          </w:p>
        </w:tc>
        <w:tc>
          <w:tcPr>
            <w:tcW w:w="1309" w:type="dxa"/>
          </w:tcPr>
          <w:p>
            <w:pPr>
              <w:pStyle w:val="TableParagraph"/>
              <w:spacing w:line="165" w:lineRule="exact" w:before="11"/>
              <w:ind w:right="132"/>
              <w:jc w:val="right"/>
              <w:rPr>
                <w:sz w:val="15"/>
              </w:rPr>
            </w:pPr>
            <w:r>
              <w:rPr>
                <w:color w:val="231F20"/>
                <w:spacing w:val="-2"/>
                <w:w w:val="105"/>
                <w:sz w:val="15"/>
              </w:rPr>
              <w:t>231,588</w:t>
            </w:r>
          </w:p>
        </w:tc>
      </w:tr>
      <w:tr>
        <w:trPr>
          <w:trHeight w:val="284" w:hRule="atLeast"/>
        </w:trPr>
        <w:tc>
          <w:tcPr>
            <w:tcW w:w="3895" w:type="dxa"/>
          </w:tcPr>
          <w:p>
            <w:pPr>
              <w:pStyle w:val="TableParagraph"/>
              <w:spacing w:before="12"/>
              <w:ind w:left="271"/>
              <w:rPr>
                <w:sz w:val="15"/>
              </w:rPr>
            </w:pPr>
            <w:r>
              <w:rPr>
                <w:color w:val="231F20"/>
                <w:w w:val="105"/>
                <w:sz w:val="15"/>
              </w:rPr>
              <w:t>Retirement</w:t>
            </w:r>
            <w:r>
              <w:rPr>
                <w:color w:val="231F20"/>
                <w:spacing w:val="-2"/>
                <w:w w:val="105"/>
                <w:sz w:val="15"/>
              </w:rPr>
              <w:t> </w:t>
            </w:r>
            <w:r>
              <w:rPr>
                <w:color w:val="231F20"/>
                <w:w w:val="105"/>
                <w:sz w:val="15"/>
              </w:rPr>
              <w:t>of</w:t>
            </w:r>
            <w:r>
              <w:rPr>
                <w:color w:val="231F20"/>
                <w:spacing w:val="-2"/>
                <w:w w:val="105"/>
                <w:sz w:val="15"/>
              </w:rPr>
              <w:t> indebtedness</w:t>
            </w:r>
          </w:p>
        </w:tc>
        <w:tc>
          <w:tcPr>
            <w:tcW w:w="1470" w:type="dxa"/>
          </w:tcPr>
          <w:p>
            <w:pPr>
              <w:pStyle w:val="TableParagraph"/>
              <w:tabs>
                <w:tab w:pos="387" w:val="left" w:leader="none"/>
              </w:tabs>
              <w:spacing w:before="12"/>
              <w:ind w:right="78"/>
              <w:jc w:val="right"/>
              <w:rPr>
                <w:sz w:val="15"/>
              </w:rPr>
            </w:pPr>
            <w:r>
              <w:rPr>
                <w:color w:val="231F20"/>
                <w:sz w:val="15"/>
                <w:u w:val="single" w:color="231F20"/>
              </w:rPr>
              <w:tab/>
            </w:r>
            <w:r>
              <w:rPr>
                <w:color w:val="231F20"/>
                <w:spacing w:val="-2"/>
                <w:w w:val="105"/>
                <w:sz w:val="15"/>
                <w:u w:val="single" w:color="231F20"/>
              </w:rPr>
              <w:t>1,183,250</w:t>
            </w:r>
            <w:r>
              <w:rPr>
                <w:color w:val="231F20"/>
                <w:spacing w:val="80"/>
                <w:w w:val="105"/>
                <w:sz w:val="15"/>
                <w:u w:val="single" w:color="231F20"/>
              </w:rPr>
              <w:t> </w:t>
            </w:r>
          </w:p>
        </w:tc>
        <w:tc>
          <w:tcPr>
            <w:tcW w:w="1339" w:type="dxa"/>
          </w:tcPr>
          <w:p>
            <w:pPr>
              <w:pStyle w:val="TableParagraph"/>
              <w:tabs>
                <w:tab w:pos="386" w:val="left" w:leader="none"/>
              </w:tabs>
              <w:spacing w:before="12"/>
              <w:ind w:right="78"/>
              <w:jc w:val="right"/>
              <w:rPr>
                <w:sz w:val="15"/>
              </w:rPr>
            </w:pPr>
            <w:r>
              <w:rPr>
                <w:color w:val="231F20"/>
                <w:sz w:val="15"/>
                <w:u w:val="single" w:color="231F20"/>
              </w:rPr>
              <w:tab/>
            </w:r>
            <w:r>
              <w:rPr>
                <w:color w:val="231F20"/>
                <w:spacing w:val="-2"/>
                <w:w w:val="105"/>
                <w:sz w:val="15"/>
                <w:u w:val="single" w:color="231F20"/>
              </w:rPr>
              <w:t>1,183,250</w:t>
            </w:r>
            <w:r>
              <w:rPr>
                <w:color w:val="231F20"/>
                <w:spacing w:val="80"/>
                <w:w w:val="105"/>
                <w:sz w:val="15"/>
                <w:u w:val="single" w:color="231F20"/>
              </w:rPr>
              <w:t> </w:t>
            </w:r>
          </w:p>
        </w:tc>
        <w:tc>
          <w:tcPr>
            <w:tcW w:w="1339" w:type="dxa"/>
          </w:tcPr>
          <w:p>
            <w:pPr>
              <w:pStyle w:val="TableParagraph"/>
              <w:tabs>
                <w:tab w:pos="519" w:val="left" w:leader="none"/>
              </w:tabs>
              <w:spacing w:before="12"/>
              <w:ind w:right="78"/>
              <w:jc w:val="right"/>
              <w:rPr>
                <w:sz w:val="15"/>
              </w:rPr>
            </w:pPr>
            <w:r>
              <w:rPr>
                <w:color w:val="231F20"/>
                <w:sz w:val="15"/>
                <w:u w:val="single" w:color="231F20"/>
              </w:rPr>
              <w:tab/>
            </w:r>
            <w:r>
              <w:rPr>
                <w:color w:val="231F20"/>
                <w:spacing w:val="-2"/>
                <w:w w:val="105"/>
                <w:sz w:val="15"/>
                <w:u w:val="single" w:color="231F20"/>
              </w:rPr>
              <w:t>631,411</w:t>
            </w:r>
            <w:r>
              <w:rPr>
                <w:color w:val="231F20"/>
                <w:spacing w:val="80"/>
                <w:w w:val="105"/>
                <w:sz w:val="15"/>
                <w:u w:val="single" w:color="231F20"/>
              </w:rPr>
              <w:t> </w:t>
            </w:r>
          </w:p>
        </w:tc>
        <w:tc>
          <w:tcPr>
            <w:tcW w:w="1309" w:type="dxa"/>
          </w:tcPr>
          <w:p>
            <w:pPr>
              <w:pStyle w:val="TableParagraph"/>
              <w:tabs>
                <w:tab w:pos="465" w:val="left" w:leader="none"/>
              </w:tabs>
              <w:spacing w:before="12"/>
              <w:ind w:right="78"/>
              <w:jc w:val="right"/>
              <w:rPr>
                <w:sz w:val="15"/>
              </w:rPr>
            </w:pPr>
            <w:r>
              <w:rPr>
                <w:color w:val="231F20"/>
                <w:sz w:val="15"/>
                <w:u w:val="single" w:color="231F20"/>
              </w:rPr>
              <w:tab/>
            </w:r>
            <w:r>
              <w:rPr>
                <w:color w:val="231F20"/>
                <w:spacing w:val="-2"/>
                <w:w w:val="105"/>
                <w:sz w:val="15"/>
                <w:u w:val="single" w:color="231F20"/>
              </w:rPr>
              <w:t>(551,839)</w:t>
            </w:r>
          </w:p>
        </w:tc>
      </w:tr>
      <w:tr>
        <w:trPr>
          <w:trHeight w:val="382" w:hRule="atLeast"/>
        </w:trPr>
        <w:tc>
          <w:tcPr>
            <w:tcW w:w="3895" w:type="dxa"/>
          </w:tcPr>
          <w:p>
            <w:pPr>
              <w:pStyle w:val="TableParagraph"/>
              <w:spacing w:before="100"/>
              <w:ind w:left="495"/>
              <w:rPr>
                <w:sz w:val="15"/>
              </w:rPr>
            </w:pPr>
            <w:r>
              <w:rPr>
                <w:color w:val="231F20"/>
                <w:w w:val="105"/>
                <w:sz w:val="15"/>
              </w:rPr>
              <w:t>Total</w:t>
            </w:r>
            <w:r>
              <w:rPr>
                <w:color w:val="231F20"/>
                <w:spacing w:val="-2"/>
                <w:w w:val="105"/>
                <w:sz w:val="15"/>
              </w:rPr>
              <w:t> </w:t>
            </w:r>
            <w:r>
              <w:rPr>
                <w:color w:val="231F20"/>
                <w:w w:val="105"/>
                <w:sz w:val="15"/>
              </w:rPr>
              <w:t>unrestricted</w:t>
            </w:r>
            <w:r>
              <w:rPr>
                <w:color w:val="231F20"/>
                <w:spacing w:val="-1"/>
                <w:w w:val="105"/>
                <w:sz w:val="15"/>
              </w:rPr>
              <w:t> </w:t>
            </w:r>
            <w:r>
              <w:rPr>
                <w:color w:val="231F20"/>
                <w:w w:val="105"/>
                <w:sz w:val="15"/>
              </w:rPr>
              <w:t>and</w:t>
            </w:r>
            <w:r>
              <w:rPr>
                <w:color w:val="231F20"/>
                <w:spacing w:val="-2"/>
                <w:w w:val="105"/>
                <w:sz w:val="15"/>
              </w:rPr>
              <w:t> </w:t>
            </w:r>
            <w:r>
              <w:rPr>
                <w:color w:val="231F20"/>
                <w:w w:val="105"/>
                <w:sz w:val="15"/>
              </w:rPr>
              <w:t>restricted</w:t>
            </w:r>
            <w:r>
              <w:rPr>
                <w:color w:val="231F20"/>
                <w:spacing w:val="-1"/>
                <w:w w:val="105"/>
                <w:sz w:val="15"/>
              </w:rPr>
              <w:t> </w:t>
            </w:r>
            <w:r>
              <w:rPr>
                <w:color w:val="231F20"/>
                <w:spacing w:val="-2"/>
                <w:w w:val="105"/>
                <w:sz w:val="15"/>
              </w:rPr>
              <w:t>expenditures</w:t>
            </w:r>
          </w:p>
        </w:tc>
        <w:tc>
          <w:tcPr>
            <w:tcW w:w="1470" w:type="dxa"/>
          </w:tcPr>
          <w:p>
            <w:pPr>
              <w:pStyle w:val="TableParagraph"/>
              <w:spacing w:before="100"/>
              <w:ind w:right="78"/>
              <w:jc w:val="right"/>
              <w:rPr>
                <w:sz w:val="15"/>
              </w:rPr>
            </w:pPr>
            <w:r>
              <w:rPr>
                <w:color w:val="231F20"/>
                <w:spacing w:val="59"/>
                <w:w w:val="105"/>
                <w:sz w:val="15"/>
                <w:u w:val="single" w:color="231F20"/>
              </w:rPr>
              <w:t>  </w:t>
            </w:r>
            <w:r>
              <w:rPr>
                <w:color w:val="231F20"/>
                <w:spacing w:val="-2"/>
                <w:w w:val="105"/>
                <w:sz w:val="15"/>
                <w:u w:val="single" w:color="231F20"/>
              </w:rPr>
              <w:t>159,169,065</w:t>
            </w:r>
            <w:r>
              <w:rPr>
                <w:color w:val="231F20"/>
                <w:spacing w:val="80"/>
                <w:w w:val="105"/>
                <w:sz w:val="15"/>
                <w:u w:val="single" w:color="231F20"/>
              </w:rPr>
              <w:t> </w:t>
            </w:r>
          </w:p>
        </w:tc>
        <w:tc>
          <w:tcPr>
            <w:tcW w:w="1339" w:type="dxa"/>
          </w:tcPr>
          <w:p>
            <w:pPr>
              <w:pStyle w:val="TableParagraph"/>
              <w:spacing w:before="100"/>
              <w:ind w:right="78"/>
              <w:jc w:val="right"/>
              <w:rPr>
                <w:sz w:val="15"/>
              </w:rPr>
            </w:pPr>
            <w:r>
              <w:rPr>
                <w:color w:val="231F20"/>
                <w:spacing w:val="60"/>
                <w:w w:val="105"/>
                <w:sz w:val="15"/>
                <w:u w:val="single" w:color="231F20"/>
              </w:rPr>
              <w:t>  </w:t>
            </w:r>
            <w:r>
              <w:rPr>
                <w:color w:val="231F20"/>
                <w:spacing w:val="-2"/>
                <w:w w:val="105"/>
                <w:sz w:val="15"/>
                <w:u w:val="single" w:color="231F20"/>
              </w:rPr>
              <w:t>173,421,691</w:t>
            </w:r>
            <w:r>
              <w:rPr>
                <w:color w:val="231F20"/>
                <w:spacing w:val="80"/>
                <w:w w:val="105"/>
                <w:sz w:val="15"/>
                <w:u w:val="single" w:color="231F20"/>
              </w:rPr>
              <w:t> </w:t>
            </w:r>
          </w:p>
        </w:tc>
        <w:tc>
          <w:tcPr>
            <w:tcW w:w="1339" w:type="dxa"/>
          </w:tcPr>
          <w:p>
            <w:pPr>
              <w:pStyle w:val="TableParagraph"/>
              <w:spacing w:before="100"/>
              <w:ind w:right="78"/>
              <w:jc w:val="right"/>
              <w:rPr>
                <w:sz w:val="15"/>
              </w:rPr>
            </w:pPr>
            <w:r>
              <w:rPr>
                <w:color w:val="231F20"/>
                <w:spacing w:val="60"/>
                <w:w w:val="105"/>
                <w:sz w:val="15"/>
                <w:u w:val="single" w:color="231F20"/>
              </w:rPr>
              <w:t>  </w:t>
            </w:r>
            <w:r>
              <w:rPr>
                <w:color w:val="231F20"/>
                <w:spacing w:val="-2"/>
                <w:w w:val="105"/>
                <w:sz w:val="15"/>
                <w:u w:val="single" w:color="231F20"/>
              </w:rPr>
              <w:t>169,558,632</w:t>
            </w:r>
            <w:r>
              <w:rPr>
                <w:color w:val="231F20"/>
                <w:spacing w:val="80"/>
                <w:w w:val="105"/>
                <w:sz w:val="15"/>
                <w:u w:val="single" w:color="231F20"/>
              </w:rPr>
              <w:t> </w:t>
            </w:r>
          </w:p>
        </w:tc>
        <w:tc>
          <w:tcPr>
            <w:tcW w:w="1309" w:type="dxa"/>
          </w:tcPr>
          <w:p>
            <w:pPr>
              <w:pStyle w:val="TableParagraph"/>
              <w:tabs>
                <w:tab w:pos="333" w:val="left" w:leader="none"/>
              </w:tabs>
              <w:spacing w:before="100"/>
              <w:ind w:right="78"/>
              <w:jc w:val="right"/>
              <w:rPr>
                <w:sz w:val="15"/>
              </w:rPr>
            </w:pPr>
            <w:r>
              <w:rPr>
                <w:color w:val="231F20"/>
                <w:sz w:val="15"/>
                <w:u w:val="single" w:color="231F20"/>
              </w:rPr>
              <w:tab/>
            </w:r>
            <w:r>
              <w:rPr>
                <w:color w:val="231F20"/>
                <w:spacing w:val="-2"/>
                <w:w w:val="105"/>
                <w:sz w:val="15"/>
                <w:u w:val="single" w:color="231F20"/>
              </w:rPr>
              <w:t>(3,863,059)</w:t>
            </w:r>
          </w:p>
        </w:tc>
      </w:tr>
      <w:tr>
        <w:trPr>
          <w:trHeight w:val="392" w:hRule="atLeast"/>
        </w:trPr>
        <w:tc>
          <w:tcPr>
            <w:tcW w:w="3895" w:type="dxa"/>
          </w:tcPr>
          <w:p>
            <w:pPr>
              <w:pStyle w:val="TableParagraph"/>
              <w:spacing w:before="110"/>
              <w:ind w:left="50"/>
              <w:rPr>
                <w:sz w:val="15"/>
              </w:rPr>
            </w:pPr>
            <w:r>
              <w:rPr>
                <w:color w:val="231F20"/>
                <w:w w:val="105"/>
                <w:sz w:val="15"/>
              </w:rPr>
              <w:t>Net</w:t>
            </w:r>
            <w:r>
              <w:rPr>
                <w:color w:val="231F20"/>
                <w:spacing w:val="-2"/>
                <w:w w:val="105"/>
                <w:sz w:val="15"/>
              </w:rPr>
              <w:t> transfers</w:t>
            </w:r>
          </w:p>
        </w:tc>
        <w:tc>
          <w:tcPr>
            <w:tcW w:w="1470" w:type="dxa"/>
          </w:tcPr>
          <w:p>
            <w:pPr>
              <w:pStyle w:val="TableParagraph"/>
              <w:tabs>
                <w:tab w:pos="466" w:val="left" w:leader="none"/>
              </w:tabs>
              <w:spacing w:before="110"/>
              <w:ind w:right="111"/>
              <w:jc w:val="right"/>
              <w:rPr>
                <w:sz w:val="15"/>
              </w:rPr>
            </w:pPr>
            <w:r>
              <w:rPr>
                <w:color w:val="231F20"/>
                <w:sz w:val="15"/>
                <w:u w:val="single" w:color="231F20"/>
              </w:rPr>
              <w:tab/>
            </w:r>
            <w:r>
              <w:rPr>
                <w:color w:val="231F20"/>
                <w:spacing w:val="-2"/>
                <w:w w:val="105"/>
                <w:sz w:val="15"/>
                <w:u w:val="single" w:color="231F20"/>
              </w:rPr>
              <w:t>(119,980)</w:t>
            </w:r>
          </w:p>
        </w:tc>
        <w:tc>
          <w:tcPr>
            <w:tcW w:w="1339" w:type="dxa"/>
          </w:tcPr>
          <w:p>
            <w:pPr>
              <w:pStyle w:val="TableParagraph"/>
              <w:tabs>
                <w:tab w:pos="554" w:val="left" w:leader="none"/>
              </w:tabs>
              <w:spacing w:before="110"/>
              <w:ind w:right="109"/>
              <w:jc w:val="right"/>
              <w:rPr>
                <w:sz w:val="15"/>
              </w:rPr>
            </w:pPr>
            <w:r>
              <w:rPr>
                <w:color w:val="231F20"/>
                <w:sz w:val="15"/>
                <w:u w:val="single" w:color="231F20"/>
              </w:rPr>
              <w:tab/>
            </w:r>
            <w:r>
              <w:rPr>
                <w:color w:val="231F20"/>
                <w:spacing w:val="-2"/>
                <w:w w:val="105"/>
                <w:sz w:val="15"/>
                <w:u w:val="single" w:color="231F20"/>
              </w:rPr>
              <w:t>(52,000)</w:t>
            </w:r>
          </w:p>
        </w:tc>
        <w:tc>
          <w:tcPr>
            <w:tcW w:w="1339" w:type="dxa"/>
          </w:tcPr>
          <w:p>
            <w:pPr>
              <w:pStyle w:val="TableParagraph"/>
              <w:tabs>
                <w:tab w:pos="554" w:val="left" w:leader="none"/>
              </w:tabs>
              <w:spacing w:before="110"/>
              <w:ind w:right="110"/>
              <w:jc w:val="right"/>
              <w:rPr>
                <w:sz w:val="15"/>
              </w:rPr>
            </w:pPr>
            <w:r>
              <w:rPr>
                <w:color w:val="231F20"/>
                <w:sz w:val="15"/>
                <w:u w:val="single" w:color="231F20"/>
              </w:rPr>
              <w:tab/>
            </w:r>
            <w:r>
              <w:rPr>
                <w:color w:val="231F20"/>
                <w:spacing w:val="-2"/>
                <w:w w:val="105"/>
                <w:sz w:val="15"/>
                <w:u w:val="single" w:color="231F20"/>
              </w:rPr>
              <w:t>(47,196)</w:t>
            </w:r>
          </w:p>
        </w:tc>
        <w:tc>
          <w:tcPr>
            <w:tcW w:w="1309" w:type="dxa"/>
          </w:tcPr>
          <w:p>
            <w:pPr>
              <w:pStyle w:val="TableParagraph"/>
              <w:tabs>
                <w:tab w:pos="696" w:val="left" w:leader="none"/>
              </w:tabs>
              <w:spacing w:before="110"/>
              <w:ind w:right="47"/>
              <w:jc w:val="right"/>
              <w:rPr>
                <w:sz w:val="15"/>
              </w:rPr>
            </w:pPr>
            <w:r>
              <w:rPr>
                <w:color w:val="231F20"/>
                <w:sz w:val="15"/>
                <w:u w:val="single" w:color="231F20"/>
              </w:rPr>
              <w:tab/>
            </w:r>
            <w:r>
              <w:rPr>
                <w:color w:val="231F20"/>
                <w:spacing w:val="-2"/>
                <w:w w:val="105"/>
                <w:sz w:val="15"/>
                <w:u w:val="single" w:color="231F20"/>
              </w:rPr>
              <w:t>4,804</w:t>
            </w:r>
            <w:r>
              <w:rPr>
                <w:color w:val="231F20"/>
                <w:spacing w:val="80"/>
                <w:w w:val="105"/>
                <w:sz w:val="15"/>
                <w:u w:val="single" w:color="231F20"/>
              </w:rPr>
              <w:t> </w:t>
            </w:r>
          </w:p>
        </w:tc>
      </w:tr>
      <w:tr>
        <w:trPr>
          <w:trHeight w:val="391" w:hRule="atLeast"/>
        </w:trPr>
        <w:tc>
          <w:tcPr>
            <w:tcW w:w="3895" w:type="dxa"/>
          </w:tcPr>
          <w:p>
            <w:pPr>
              <w:pStyle w:val="TableParagraph"/>
              <w:spacing w:before="110"/>
              <w:ind w:left="50"/>
              <w:rPr>
                <w:sz w:val="15"/>
              </w:rPr>
            </w:pPr>
            <w:r>
              <w:rPr>
                <w:color w:val="231F20"/>
                <w:w w:val="105"/>
                <w:sz w:val="15"/>
              </w:rPr>
              <w:t>Change</w:t>
            </w:r>
            <w:r>
              <w:rPr>
                <w:color w:val="231F20"/>
                <w:spacing w:val="-3"/>
                <w:w w:val="105"/>
                <w:sz w:val="15"/>
              </w:rPr>
              <w:t> </w:t>
            </w:r>
            <w:r>
              <w:rPr>
                <w:color w:val="231F20"/>
                <w:w w:val="105"/>
                <w:sz w:val="15"/>
              </w:rPr>
              <w:t>in</w:t>
            </w:r>
            <w:r>
              <w:rPr>
                <w:color w:val="231F20"/>
                <w:spacing w:val="-1"/>
                <w:w w:val="105"/>
                <w:sz w:val="15"/>
              </w:rPr>
              <w:t> </w:t>
            </w:r>
            <w:r>
              <w:rPr>
                <w:color w:val="231F20"/>
                <w:w w:val="105"/>
                <w:sz w:val="15"/>
              </w:rPr>
              <w:t>net</w:t>
            </w:r>
            <w:r>
              <w:rPr>
                <w:color w:val="231F20"/>
                <w:spacing w:val="-3"/>
                <w:w w:val="105"/>
                <w:sz w:val="15"/>
              </w:rPr>
              <w:t> </w:t>
            </w:r>
            <w:r>
              <w:rPr>
                <w:color w:val="231F20"/>
                <w:w w:val="105"/>
                <w:sz w:val="15"/>
              </w:rPr>
              <w:t>(deficit)</w:t>
            </w:r>
            <w:r>
              <w:rPr>
                <w:color w:val="231F20"/>
                <w:spacing w:val="-1"/>
                <w:w w:val="105"/>
                <w:sz w:val="15"/>
              </w:rPr>
              <w:t> </w:t>
            </w:r>
            <w:r>
              <w:rPr>
                <w:color w:val="231F20"/>
                <w:w w:val="105"/>
                <w:sz w:val="15"/>
              </w:rPr>
              <w:t>position</w:t>
            </w:r>
            <w:r>
              <w:rPr>
                <w:color w:val="231F20"/>
                <w:spacing w:val="-3"/>
                <w:w w:val="105"/>
                <w:sz w:val="15"/>
              </w:rPr>
              <w:t> </w:t>
            </w:r>
            <w:r>
              <w:rPr>
                <w:color w:val="231F20"/>
                <w:w w:val="105"/>
                <w:sz w:val="15"/>
              </w:rPr>
              <w:t>(budgetary</w:t>
            </w:r>
            <w:r>
              <w:rPr>
                <w:color w:val="231F20"/>
                <w:spacing w:val="-3"/>
                <w:w w:val="105"/>
                <w:sz w:val="15"/>
              </w:rPr>
              <w:t> </w:t>
            </w:r>
            <w:r>
              <w:rPr>
                <w:color w:val="231F20"/>
                <w:spacing w:val="-2"/>
                <w:w w:val="105"/>
                <w:sz w:val="15"/>
              </w:rPr>
              <w:t>basis)</w:t>
            </w:r>
          </w:p>
        </w:tc>
        <w:tc>
          <w:tcPr>
            <w:tcW w:w="1470" w:type="dxa"/>
          </w:tcPr>
          <w:p>
            <w:pPr>
              <w:pStyle w:val="TableParagraph"/>
              <w:tabs>
                <w:tab w:pos="333" w:val="left" w:leader="none"/>
              </w:tabs>
              <w:spacing w:before="110"/>
              <w:ind w:right="111"/>
              <w:jc w:val="right"/>
              <w:rPr>
                <w:sz w:val="15"/>
              </w:rPr>
            </w:pPr>
            <w:r>
              <w:rPr>
                <w:color w:val="231F20"/>
                <w:sz w:val="15"/>
                <w:u w:val="single" w:color="231F20"/>
              </w:rPr>
              <w:tab/>
            </w:r>
            <w:r>
              <w:rPr>
                <w:color w:val="231F20"/>
                <w:spacing w:val="-2"/>
                <w:w w:val="105"/>
                <w:sz w:val="15"/>
                <w:u w:val="single" w:color="231F20"/>
              </w:rPr>
              <w:t>(2,742,169)</w:t>
            </w:r>
          </w:p>
        </w:tc>
        <w:tc>
          <w:tcPr>
            <w:tcW w:w="1339" w:type="dxa"/>
          </w:tcPr>
          <w:p>
            <w:pPr>
              <w:pStyle w:val="TableParagraph"/>
              <w:tabs>
                <w:tab w:pos="333" w:val="left" w:leader="none"/>
              </w:tabs>
              <w:spacing w:before="110"/>
              <w:ind w:right="109"/>
              <w:jc w:val="right"/>
              <w:rPr>
                <w:sz w:val="15"/>
              </w:rPr>
            </w:pPr>
            <w:r>
              <w:rPr>
                <w:color w:val="231F20"/>
                <w:sz w:val="15"/>
                <w:u w:val="single" w:color="231F20"/>
              </w:rPr>
              <w:tab/>
            </w:r>
            <w:r>
              <w:rPr>
                <w:color w:val="231F20"/>
                <w:spacing w:val="-2"/>
                <w:w w:val="105"/>
                <w:sz w:val="15"/>
                <w:u w:val="single" w:color="231F20"/>
              </w:rPr>
              <w:t>(9,008,562)</w:t>
            </w:r>
          </w:p>
        </w:tc>
        <w:tc>
          <w:tcPr>
            <w:tcW w:w="1339" w:type="dxa"/>
          </w:tcPr>
          <w:p>
            <w:pPr>
              <w:pStyle w:val="TableParagraph"/>
              <w:tabs>
                <w:tab w:pos="386" w:val="left" w:leader="none"/>
              </w:tabs>
              <w:spacing w:before="110"/>
              <w:ind w:right="78"/>
              <w:jc w:val="right"/>
              <w:rPr>
                <w:sz w:val="15"/>
              </w:rPr>
            </w:pPr>
            <w:r>
              <w:rPr>
                <w:color w:val="231F20"/>
                <w:sz w:val="15"/>
                <w:u w:val="single" w:color="231F20"/>
              </w:rPr>
              <w:tab/>
            </w:r>
            <w:r>
              <w:rPr>
                <w:color w:val="231F20"/>
                <w:spacing w:val="-2"/>
                <w:w w:val="105"/>
                <w:sz w:val="15"/>
                <w:u w:val="single" w:color="231F20"/>
              </w:rPr>
              <w:t>3,315,376</w:t>
            </w:r>
            <w:r>
              <w:rPr>
                <w:color w:val="231F20"/>
                <w:spacing w:val="80"/>
                <w:w w:val="105"/>
                <w:sz w:val="15"/>
                <w:u w:val="single" w:color="231F20"/>
              </w:rPr>
              <w:t> </w:t>
            </w:r>
          </w:p>
        </w:tc>
        <w:tc>
          <w:tcPr>
            <w:tcW w:w="1309" w:type="dxa"/>
          </w:tcPr>
          <w:p>
            <w:pPr>
              <w:pStyle w:val="TableParagraph"/>
              <w:tabs>
                <w:tab w:pos="299" w:val="left" w:leader="none"/>
              </w:tabs>
              <w:spacing w:before="110"/>
              <w:ind w:right="47"/>
              <w:jc w:val="right"/>
              <w:rPr>
                <w:sz w:val="15"/>
              </w:rPr>
            </w:pPr>
            <w:r>
              <w:rPr>
                <w:color w:val="231F20"/>
                <w:sz w:val="15"/>
                <w:u w:val="single" w:color="231F20"/>
              </w:rPr>
              <w:tab/>
            </w:r>
            <w:r>
              <w:rPr>
                <w:color w:val="231F20"/>
                <w:spacing w:val="-2"/>
                <w:w w:val="105"/>
                <w:sz w:val="15"/>
                <w:u w:val="single" w:color="231F20"/>
              </w:rPr>
              <w:t>12,323,938</w:t>
            </w:r>
            <w:r>
              <w:rPr>
                <w:color w:val="231F20"/>
                <w:spacing w:val="80"/>
                <w:w w:val="105"/>
                <w:sz w:val="15"/>
                <w:u w:val="single" w:color="231F20"/>
              </w:rPr>
              <w:t> </w:t>
            </w:r>
          </w:p>
        </w:tc>
      </w:tr>
      <w:tr>
        <w:trPr>
          <w:trHeight w:val="334" w:hRule="atLeast"/>
        </w:trPr>
        <w:tc>
          <w:tcPr>
            <w:tcW w:w="3895" w:type="dxa"/>
          </w:tcPr>
          <w:p>
            <w:pPr>
              <w:pStyle w:val="TableParagraph"/>
              <w:spacing w:before="109"/>
              <w:ind w:left="50"/>
              <w:rPr>
                <w:sz w:val="15"/>
              </w:rPr>
            </w:pPr>
            <w:r>
              <w:rPr>
                <w:color w:val="231F20"/>
                <w:w w:val="105"/>
                <w:sz w:val="15"/>
              </w:rPr>
              <w:t>Ending</w:t>
            </w:r>
            <w:r>
              <w:rPr>
                <w:color w:val="231F20"/>
                <w:spacing w:val="-3"/>
                <w:w w:val="105"/>
                <w:sz w:val="15"/>
              </w:rPr>
              <w:t> </w:t>
            </w:r>
            <w:r>
              <w:rPr>
                <w:color w:val="231F20"/>
                <w:w w:val="105"/>
                <w:sz w:val="15"/>
              </w:rPr>
              <w:t>net</w:t>
            </w:r>
            <w:r>
              <w:rPr>
                <w:color w:val="231F20"/>
                <w:spacing w:val="-2"/>
                <w:w w:val="105"/>
                <w:sz w:val="15"/>
              </w:rPr>
              <w:t> position</w:t>
            </w:r>
          </w:p>
        </w:tc>
        <w:tc>
          <w:tcPr>
            <w:tcW w:w="1470" w:type="dxa"/>
          </w:tcPr>
          <w:p>
            <w:pPr>
              <w:pStyle w:val="TableParagraph"/>
              <w:spacing w:before="109"/>
              <w:ind w:right="78"/>
              <w:jc w:val="right"/>
              <w:rPr>
                <w:sz w:val="15"/>
              </w:rPr>
            </w:pPr>
            <w:r>
              <w:rPr>
                <w:color w:val="231F20"/>
                <w:spacing w:val="38"/>
                <w:w w:val="105"/>
                <w:sz w:val="15"/>
                <w:u w:val="single" w:color="231F20"/>
              </w:rPr>
              <w:t> </w:t>
            </w:r>
            <w:r>
              <w:rPr>
                <w:color w:val="231F20"/>
                <w:w w:val="105"/>
                <w:sz w:val="15"/>
                <w:u w:val="single" w:color="231F20"/>
              </w:rPr>
              <w:t>$</w:t>
            </w:r>
            <w:r>
              <w:rPr>
                <w:color w:val="231F20"/>
                <w:spacing w:val="62"/>
                <w:w w:val="150"/>
                <w:sz w:val="15"/>
                <w:u w:val="single" w:color="231F20"/>
              </w:rPr>
              <w:t> </w:t>
            </w:r>
            <w:r>
              <w:rPr>
                <w:color w:val="231F20"/>
                <w:spacing w:val="-2"/>
                <w:w w:val="105"/>
                <w:sz w:val="15"/>
                <w:u w:val="single" w:color="231F20"/>
              </w:rPr>
              <w:t>31,634,644</w:t>
            </w:r>
            <w:r>
              <w:rPr>
                <w:color w:val="231F20"/>
                <w:spacing w:val="80"/>
                <w:w w:val="105"/>
                <w:sz w:val="15"/>
                <w:u w:val="single" w:color="231F20"/>
              </w:rPr>
              <w:t> </w:t>
            </w:r>
          </w:p>
        </w:tc>
        <w:tc>
          <w:tcPr>
            <w:tcW w:w="1339" w:type="dxa"/>
          </w:tcPr>
          <w:p>
            <w:pPr>
              <w:pStyle w:val="TableParagraph"/>
              <w:spacing w:before="109"/>
              <w:ind w:right="162"/>
              <w:jc w:val="right"/>
              <w:rPr>
                <w:sz w:val="15"/>
              </w:rPr>
            </w:pPr>
            <w:r>
              <w:rPr>
                <w:color w:val="231F20"/>
                <w:w w:val="105"/>
                <w:sz w:val="15"/>
              </w:rPr>
              <w:t>$</w:t>
            </w:r>
            <w:r>
              <w:rPr>
                <w:color w:val="231F20"/>
                <w:spacing w:val="62"/>
                <w:w w:val="150"/>
                <w:sz w:val="15"/>
              </w:rPr>
              <w:t> </w:t>
            </w:r>
            <w:r>
              <w:rPr>
                <w:color w:val="231F20"/>
                <w:spacing w:val="-2"/>
                <w:w w:val="105"/>
                <w:sz w:val="15"/>
              </w:rPr>
              <w:t>47,387,047</w:t>
            </w:r>
          </w:p>
        </w:tc>
        <w:tc>
          <w:tcPr>
            <w:tcW w:w="1339" w:type="dxa"/>
          </w:tcPr>
          <w:p>
            <w:pPr>
              <w:pStyle w:val="TableParagraph"/>
              <w:spacing w:before="109"/>
              <w:ind w:left="164"/>
              <w:rPr>
                <w:sz w:val="15"/>
              </w:rPr>
            </w:pPr>
            <w:r>
              <w:rPr>
                <w:color w:val="231F20"/>
                <w:w w:val="105"/>
                <w:sz w:val="15"/>
              </w:rPr>
              <w:t>$</w:t>
            </w:r>
            <w:r>
              <w:rPr>
                <w:color w:val="231F20"/>
                <w:spacing w:val="63"/>
                <w:w w:val="150"/>
                <w:sz w:val="15"/>
              </w:rPr>
              <w:t> </w:t>
            </w:r>
            <w:r>
              <w:rPr>
                <w:color w:val="231F20"/>
                <w:spacing w:val="-2"/>
                <w:w w:val="105"/>
                <w:sz w:val="15"/>
              </w:rPr>
              <w:t>59,710,985</w:t>
            </w:r>
          </w:p>
        </w:tc>
        <w:tc>
          <w:tcPr>
            <w:tcW w:w="1309" w:type="dxa"/>
          </w:tcPr>
          <w:p>
            <w:pPr>
              <w:pStyle w:val="TableParagraph"/>
              <w:spacing w:before="109"/>
              <w:ind w:left="164"/>
              <w:rPr>
                <w:sz w:val="15"/>
              </w:rPr>
            </w:pPr>
            <w:r>
              <w:rPr>
                <w:color w:val="231F20"/>
                <w:w w:val="105"/>
                <w:sz w:val="15"/>
              </w:rPr>
              <w:t>$</w:t>
            </w:r>
            <w:r>
              <w:rPr>
                <w:color w:val="231F20"/>
                <w:spacing w:val="63"/>
                <w:w w:val="150"/>
                <w:sz w:val="15"/>
              </w:rPr>
              <w:t> </w:t>
            </w:r>
            <w:r>
              <w:rPr>
                <w:color w:val="231F20"/>
                <w:spacing w:val="-2"/>
                <w:w w:val="105"/>
                <w:sz w:val="15"/>
              </w:rPr>
              <w:t>12,323,938</w:t>
            </w:r>
          </w:p>
        </w:tc>
      </w:tr>
    </w:tbl>
    <w:p>
      <w:pPr>
        <w:pStyle w:val="BodyText"/>
        <w:spacing w:before="9"/>
        <w:rPr>
          <w:b/>
          <w:sz w:val="19"/>
        </w:rPr>
      </w:pPr>
    </w:p>
    <w:p>
      <w:pPr>
        <w:spacing w:line="278" w:lineRule="auto" w:before="101"/>
        <w:ind w:left="193" w:right="296" w:firstLine="0"/>
        <w:jc w:val="left"/>
        <w:rPr>
          <w:sz w:val="12"/>
        </w:rPr>
      </w:pPr>
      <w:r>
        <w:rPr/>
        <w:pict>
          <v:rect style="position:absolute;margin-left:276.721008pt;margin-top:-11.28406pt;width:58.92pt;height:.77994pt;mso-position-horizontal-relative:page;mso-position-vertical-relative:paragraph;z-index:15821824" id="docshape447" filled="true" fillcolor="#231f20" stroked="false">
            <v:fill type="solid"/>
            <w10:wrap type="none"/>
          </v:rect>
        </w:pict>
      </w:r>
      <w:r>
        <w:rPr/>
        <w:pict>
          <v:shape style="position:absolute;margin-left:343.68103pt;margin-top:-12.783133pt;width:58.95pt;height:2.3pt;mso-position-horizontal-relative:page;mso-position-vertical-relative:paragraph;z-index:-28291072" id="docshape448" coordorigin="6874,-256" coordsize="1179,46" path="m8052,-226l6874,-226,6874,-210,8052,-210,8052,-226xm8052,-256l6874,-256,6874,-240,8052,-240,8052,-256xe" filled="true" fillcolor="#231f20" stroked="false">
            <v:path arrowok="t"/>
            <v:fill type="solid"/>
            <w10:wrap type="none"/>
          </v:shape>
        </w:pict>
      </w:r>
      <w:r>
        <w:rPr/>
        <w:pict>
          <v:shape style="position:absolute;margin-left:410.641022pt;margin-top:-12.783133pt;width:58.95pt;height:2.3pt;mso-position-horizontal-relative:page;mso-position-vertical-relative:paragraph;z-index:-28290560" id="docshape449" coordorigin="8213,-256" coordsize="1179,46" path="m9391,-226l8213,-226,8213,-210,9391,-210,9391,-226xm9391,-256l8213,-256,8213,-240,9391,-240,9391,-256xe" filled="true" fillcolor="#231f20" stroked="false">
            <v:path arrowok="t"/>
            <v:fill type="solid"/>
            <w10:wrap type="none"/>
          </v:shape>
        </w:pict>
      </w:r>
      <w:r>
        <w:rPr/>
        <w:pict>
          <v:shape style="position:absolute;margin-left:477.601013pt;margin-top:-12.783133pt;width:58.95pt;height:2.3pt;mso-position-horizontal-relative:page;mso-position-vertical-relative:paragraph;z-index:-28290048" id="docshape450" coordorigin="9552,-256" coordsize="1179,46" path="m10730,-226l9552,-226,9552,-210,10730,-210,10730,-226xm10730,-256l9552,-256,9552,-240,10730,-240,10730,-256xe" filled="true" fillcolor="#231f20" stroked="false">
            <v:path arrowok="t"/>
            <v:fill type="solid"/>
            <w10:wrap type="none"/>
          </v:shape>
        </w:pict>
      </w:r>
      <w:r>
        <w:rPr>
          <w:color w:val="231F20"/>
          <w:w w:val="105"/>
          <w:sz w:val="12"/>
        </w:rPr>
        <w:t>Under title 5 of the New Mexico Administrative Code, chapter 3, part 4, paragraph 10- Items of Budgetary Control: The total expenditures in each of the following</w:t>
      </w:r>
      <w:r>
        <w:rPr>
          <w:color w:val="231F20"/>
          <w:spacing w:val="40"/>
          <w:w w:val="105"/>
          <w:sz w:val="12"/>
        </w:rPr>
        <w:t> </w:t>
      </w:r>
      <w:r>
        <w:rPr>
          <w:color w:val="231F20"/>
          <w:w w:val="105"/>
          <w:sz w:val="12"/>
        </w:rPr>
        <w:t>budgetary</w:t>
      </w:r>
      <w:r>
        <w:rPr>
          <w:color w:val="231F20"/>
          <w:spacing w:val="-1"/>
          <w:w w:val="105"/>
          <w:sz w:val="12"/>
        </w:rPr>
        <w:t> </w:t>
      </w:r>
      <w:r>
        <w:rPr>
          <w:color w:val="231F20"/>
          <w:w w:val="105"/>
          <w:sz w:val="12"/>
        </w:rPr>
        <w:t>functions will be used as the items of budgetary</w:t>
      </w:r>
      <w:r>
        <w:rPr>
          <w:color w:val="231F20"/>
          <w:spacing w:val="-1"/>
          <w:w w:val="105"/>
          <w:sz w:val="12"/>
        </w:rPr>
        <w:t> </w:t>
      </w:r>
      <w:r>
        <w:rPr>
          <w:color w:val="231F20"/>
          <w:w w:val="105"/>
          <w:sz w:val="12"/>
        </w:rPr>
        <w:t>control. Total expenditures or transfers in each of these items of budgetary</w:t>
      </w:r>
      <w:r>
        <w:rPr>
          <w:color w:val="231F20"/>
          <w:spacing w:val="-2"/>
          <w:w w:val="105"/>
          <w:sz w:val="12"/>
        </w:rPr>
        <w:t> </w:t>
      </w:r>
      <w:r>
        <w:rPr>
          <w:color w:val="231F20"/>
          <w:w w:val="105"/>
          <w:sz w:val="12"/>
        </w:rPr>
        <w:t>control may</w:t>
      </w:r>
      <w:r>
        <w:rPr>
          <w:color w:val="231F20"/>
          <w:spacing w:val="-1"/>
          <w:w w:val="105"/>
          <w:sz w:val="12"/>
        </w:rPr>
        <w:t> </w:t>
      </w:r>
      <w:r>
        <w:rPr>
          <w:color w:val="231F20"/>
          <w:w w:val="105"/>
          <w:sz w:val="12"/>
        </w:rPr>
        <w:t>not exceed the</w:t>
      </w:r>
      <w:r>
        <w:rPr>
          <w:color w:val="231F20"/>
          <w:spacing w:val="40"/>
          <w:w w:val="105"/>
          <w:sz w:val="12"/>
        </w:rPr>
        <w:t> </w:t>
      </w:r>
      <w:r>
        <w:rPr>
          <w:color w:val="231F20"/>
          <w:w w:val="105"/>
          <w:sz w:val="12"/>
        </w:rPr>
        <w:t>amounts shown in the approved budget: A. Unrestricted expenditures and restricted expenditures, B. Instruction and general, C. Each budget function in current</w:t>
      </w:r>
      <w:r>
        <w:rPr>
          <w:color w:val="231F20"/>
          <w:spacing w:val="40"/>
          <w:w w:val="105"/>
          <w:sz w:val="12"/>
        </w:rPr>
        <w:t> </w:t>
      </w:r>
      <w:r>
        <w:rPr>
          <w:color w:val="231F20"/>
          <w:w w:val="105"/>
          <w:sz w:val="12"/>
        </w:rPr>
        <w:t>funds other than instruction and general, D. Within the plant funds budget: major projects, library bonds, equipment bonds, minor capital outlay, renewals and</w:t>
      </w:r>
      <w:r>
        <w:rPr>
          <w:color w:val="231F20"/>
          <w:spacing w:val="40"/>
          <w:w w:val="105"/>
          <w:sz w:val="12"/>
        </w:rPr>
        <w:t> </w:t>
      </w:r>
      <w:r>
        <w:rPr>
          <w:color w:val="231F20"/>
          <w:w w:val="105"/>
          <w:sz w:val="12"/>
        </w:rPr>
        <w:t>replacements and dent service, and E. Each individual items of transfer between funds and/or functions.</w:t>
      </w:r>
    </w:p>
    <w:p>
      <w:pPr>
        <w:pStyle w:val="BodyText"/>
        <w:spacing w:before="11"/>
      </w:pPr>
    </w:p>
    <w:p>
      <w:pPr>
        <w:spacing w:before="101"/>
        <w:ind w:left="193" w:right="0" w:firstLine="0"/>
        <w:jc w:val="left"/>
        <w:rPr>
          <w:sz w:val="12"/>
        </w:rPr>
      </w:pPr>
      <w:r>
        <w:rPr>
          <w:color w:val="231F20"/>
          <w:w w:val="105"/>
          <w:sz w:val="12"/>
        </w:rPr>
        <w:t>See</w:t>
      </w:r>
      <w:r>
        <w:rPr>
          <w:color w:val="231F20"/>
          <w:spacing w:val="-3"/>
          <w:w w:val="105"/>
          <w:sz w:val="12"/>
        </w:rPr>
        <w:t> </w:t>
      </w:r>
      <w:r>
        <w:rPr>
          <w:color w:val="231F20"/>
          <w:w w:val="105"/>
          <w:sz w:val="12"/>
        </w:rPr>
        <w:t>accompanying</w:t>
      </w:r>
      <w:r>
        <w:rPr>
          <w:color w:val="231F20"/>
          <w:spacing w:val="-3"/>
          <w:w w:val="105"/>
          <w:sz w:val="12"/>
        </w:rPr>
        <w:t> </w:t>
      </w:r>
      <w:r>
        <w:rPr>
          <w:color w:val="231F20"/>
          <w:w w:val="105"/>
          <w:sz w:val="12"/>
        </w:rPr>
        <w:t>independent</w:t>
      </w:r>
      <w:r>
        <w:rPr>
          <w:color w:val="231F20"/>
          <w:spacing w:val="-3"/>
          <w:w w:val="105"/>
          <w:sz w:val="12"/>
        </w:rPr>
        <w:t> </w:t>
      </w:r>
      <w:r>
        <w:rPr>
          <w:color w:val="231F20"/>
          <w:w w:val="105"/>
          <w:sz w:val="12"/>
        </w:rPr>
        <w:t>auditor’s</w:t>
      </w:r>
      <w:r>
        <w:rPr>
          <w:color w:val="231F20"/>
          <w:spacing w:val="-3"/>
          <w:w w:val="105"/>
          <w:sz w:val="12"/>
        </w:rPr>
        <w:t> </w:t>
      </w:r>
      <w:r>
        <w:rPr>
          <w:color w:val="231F20"/>
          <w:spacing w:val="-2"/>
          <w:w w:val="105"/>
          <w:sz w:val="12"/>
        </w:rPr>
        <w:t>report.</w:t>
      </w:r>
    </w:p>
    <w:p>
      <w:pPr>
        <w:spacing w:after="0"/>
        <w:jc w:val="left"/>
        <w:rPr>
          <w:sz w:val="12"/>
        </w:rPr>
        <w:sectPr>
          <w:headerReference w:type="default" r:id="rId60"/>
          <w:footerReference w:type="default" r:id="rId61"/>
          <w:pgSz w:w="12240" w:h="15840"/>
          <w:pgMar w:header="1270" w:footer="1097" w:top="1580" w:bottom="1280" w:left="1280" w:right="1280"/>
          <w:pgNumType w:start="82"/>
        </w:sectPr>
      </w:pPr>
    </w:p>
    <w:p>
      <w:pPr>
        <w:spacing w:before="1"/>
        <w:ind w:left="3139" w:right="178" w:hanging="2741"/>
        <w:jc w:val="left"/>
        <w:rPr>
          <w:b/>
          <w:sz w:val="24"/>
        </w:rPr>
      </w:pPr>
      <w:r>
        <w:rPr/>
        <w:pict>
          <v:rect style="position:absolute;margin-left:70.5pt;margin-top:28.525633pt;width:471.001pt;height:1.5pt;mso-position-horizontal-relative:page;mso-position-vertical-relative:paragraph;z-index:-15633408;mso-wrap-distance-left:0;mso-wrap-distance-right:0" id="docshape451" filled="true" fillcolor="#231f20" stroked="false">
            <v:fill type="solid"/>
            <w10:wrap type="topAndBottom"/>
          </v:rect>
        </w:pict>
      </w:r>
      <w:r>
        <w:rPr>
          <w:b/>
          <w:color w:val="231F20"/>
          <w:sz w:val="24"/>
        </w:rPr>
        <w:t>Unrestricted</w:t>
      </w:r>
      <w:r>
        <w:rPr>
          <w:b/>
          <w:color w:val="231F20"/>
          <w:spacing w:val="-5"/>
          <w:sz w:val="24"/>
        </w:rPr>
        <w:t> </w:t>
      </w:r>
      <w:r>
        <w:rPr>
          <w:b/>
          <w:color w:val="231F20"/>
          <w:sz w:val="24"/>
        </w:rPr>
        <w:t>Revenues</w:t>
      </w:r>
      <w:r>
        <w:rPr>
          <w:b/>
          <w:color w:val="231F20"/>
          <w:spacing w:val="-5"/>
          <w:sz w:val="24"/>
        </w:rPr>
        <w:t> </w:t>
      </w:r>
      <w:r>
        <w:rPr>
          <w:b/>
          <w:color w:val="231F20"/>
          <w:sz w:val="24"/>
        </w:rPr>
        <w:t>and</w:t>
      </w:r>
      <w:r>
        <w:rPr>
          <w:b/>
          <w:color w:val="231F20"/>
          <w:spacing w:val="-5"/>
          <w:sz w:val="24"/>
        </w:rPr>
        <w:t> </w:t>
      </w:r>
      <w:r>
        <w:rPr>
          <w:b/>
          <w:color w:val="231F20"/>
          <w:sz w:val="24"/>
        </w:rPr>
        <w:t>Expenditures</w:t>
      </w:r>
      <w:r>
        <w:rPr>
          <w:b/>
          <w:color w:val="231F20"/>
          <w:spacing w:val="-5"/>
          <w:sz w:val="24"/>
        </w:rPr>
        <w:t> </w:t>
      </w:r>
      <w:r>
        <w:rPr>
          <w:b/>
          <w:color w:val="231F20"/>
          <w:sz w:val="24"/>
        </w:rPr>
        <w:t>–</w:t>
      </w:r>
      <w:r>
        <w:rPr>
          <w:b/>
          <w:color w:val="231F20"/>
          <w:spacing w:val="-5"/>
          <w:sz w:val="24"/>
        </w:rPr>
        <w:t> </w:t>
      </w:r>
      <w:r>
        <w:rPr>
          <w:b/>
          <w:color w:val="231F20"/>
          <w:sz w:val="24"/>
        </w:rPr>
        <w:t>Budget</w:t>
      </w:r>
      <w:r>
        <w:rPr>
          <w:b/>
          <w:color w:val="231F20"/>
          <w:spacing w:val="-5"/>
          <w:sz w:val="24"/>
        </w:rPr>
        <w:t> </w:t>
      </w:r>
      <w:r>
        <w:rPr>
          <w:b/>
          <w:color w:val="231F20"/>
          <w:sz w:val="24"/>
        </w:rPr>
        <w:t>Comparisons</w:t>
      </w:r>
      <w:r>
        <w:rPr>
          <w:b/>
          <w:color w:val="231F20"/>
          <w:spacing w:val="-5"/>
          <w:sz w:val="24"/>
        </w:rPr>
        <w:t> </w:t>
      </w:r>
      <w:r>
        <w:rPr>
          <w:b/>
          <w:color w:val="231F20"/>
          <w:sz w:val="24"/>
        </w:rPr>
        <w:t>(Schedule</w:t>
      </w:r>
      <w:r>
        <w:rPr>
          <w:b/>
          <w:color w:val="231F20"/>
          <w:spacing w:val="-5"/>
          <w:sz w:val="24"/>
        </w:rPr>
        <w:t> </w:t>
      </w:r>
      <w:r>
        <w:rPr>
          <w:b/>
          <w:color w:val="231F20"/>
          <w:sz w:val="24"/>
        </w:rPr>
        <w:t>2) For Year Ended June 30, 2022</w:t>
      </w:r>
    </w:p>
    <w:p>
      <w:pPr>
        <w:pStyle w:val="BodyText"/>
        <w:rPr>
          <w:b/>
        </w:rPr>
      </w:pPr>
    </w:p>
    <w:p>
      <w:pPr>
        <w:pStyle w:val="BodyText"/>
        <w:spacing w:before="5"/>
        <w:rPr>
          <w:b/>
          <w:sz w:val="27"/>
        </w:rPr>
      </w:pPr>
    </w:p>
    <w:tbl>
      <w:tblPr>
        <w:tblW w:w="0" w:type="auto"/>
        <w:jc w:val="left"/>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8"/>
        <w:gridCol w:w="1215"/>
        <w:gridCol w:w="166"/>
        <w:gridCol w:w="1215"/>
        <w:gridCol w:w="166"/>
        <w:gridCol w:w="1215"/>
        <w:gridCol w:w="166"/>
        <w:gridCol w:w="1215"/>
      </w:tblGrid>
      <w:tr>
        <w:trPr>
          <w:trHeight w:val="849" w:hRule="atLeast"/>
        </w:trPr>
        <w:tc>
          <w:tcPr>
            <w:tcW w:w="3948" w:type="dxa"/>
          </w:tcPr>
          <w:p>
            <w:pPr>
              <w:pStyle w:val="TableParagraph"/>
              <w:rPr>
                <w:rFonts w:ascii="Times New Roman"/>
                <w:sz w:val="16"/>
              </w:rPr>
            </w:pPr>
          </w:p>
        </w:tc>
        <w:tc>
          <w:tcPr>
            <w:tcW w:w="1215" w:type="dxa"/>
          </w:tcPr>
          <w:p>
            <w:pPr>
              <w:pStyle w:val="TableParagraph"/>
              <w:rPr>
                <w:b/>
                <w:sz w:val="18"/>
              </w:rPr>
            </w:pPr>
          </w:p>
          <w:p>
            <w:pPr>
              <w:pStyle w:val="TableParagraph"/>
              <w:rPr>
                <w:b/>
                <w:sz w:val="18"/>
              </w:rPr>
            </w:pPr>
          </w:p>
          <w:p>
            <w:pPr>
              <w:pStyle w:val="TableParagraph"/>
              <w:spacing w:before="2"/>
              <w:rPr>
                <w:b/>
                <w:sz w:val="17"/>
              </w:rPr>
            </w:pPr>
          </w:p>
          <w:p>
            <w:pPr>
              <w:pStyle w:val="TableParagraph"/>
              <w:ind w:left="-1"/>
              <w:rPr>
                <w:sz w:val="16"/>
              </w:rPr>
            </w:pPr>
            <w:r>
              <w:rPr>
                <w:color w:val="231F20"/>
                <w:spacing w:val="10"/>
                <w:sz w:val="16"/>
                <w:u w:val="single" w:color="231F20"/>
              </w:rPr>
              <w:t> </w:t>
            </w:r>
            <w:r>
              <w:rPr>
                <w:color w:val="231F20"/>
                <w:sz w:val="16"/>
                <w:u w:val="single" w:color="231F20"/>
              </w:rPr>
              <w:t>Original</w:t>
            </w:r>
            <w:r>
              <w:rPr>
                <w:color w:val="231F20"/>
                <w:spacing w:val="6"/>
                <w:sz w:val="16"/>
                <w:u w:val="single" w:color="231F20"/>
              </w:rPr>
              <w:t> </w:t>
            </w:r>
            <w:r>
              <w:rPr>
                <w:color w:val="231F20"/>
                <w:spacing w:val="-2"/>
                <w:sz w:val="16"/>
                <w:u w:val="single" w:color="231F20"/>
              </w:rPr>
              <w:t>Budget</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rPr>
                <w:b/>
                <w:sz w:val="18"/>
              </w:rPr>
            </w:pPr>
          </w:p>
          <w:p>
            <w:pPr>
              <w:pStyle w:val="TableParagraph"/>
              <w:spacing w:before="2"/>
              <w:rPr>
                <w:b/>
                <w:sz w:val="17"/>
              </w:rPr>
            </w:pPr>
          </w:p>
          <w:p>
            <w:pPr>
              <w:pStyle w:val="TableParagraph"/>
              <w:ind w:left="-2" w:right="1"/>
              <w:jc w:val="right"/>
              <w:rPr>
                <w:sz w:val="16"/>
              </w:rPr>
            </w:pPr>
            <w:r>
              <w:rPr>
                <w:color w:val="231F20"/>
                <w:spacing w:val="34"/>
                <w:sz w:val="16"/>
                <w:u w:val="single" w:color="231F20"/>
              </w:rPr>
              <w:t>  </w:t>
            </w:r>
            <w:r>
              <w:rPr>
                <w:color w:val="231F20"/>
                <w:sz w:val="16"/>
                <w:u w:val="single" w:color="231F20"/>
              </w:rPr>
              <w:t>Final</w:t>
            </w:r>
            <w:r>
              <w:rPr>
                <w:color w:val="231F20"/>
                <w:spacing w:val="4"/>
                <w:sz w:val="16"/>
                <w:u w:val="single" w:color="231F20"/>
              </w:rPr>
              <w:t> </w:t>
            </w:r>
            <w:r>
              <w:rPr>
                <w:color w:val="231F20"/>
                <w:spacing w:val="-2"/>
                <w:sz w:val="16"/>
                <w:u w:val="single" w:color="231F20"/>
              </w:rPr>
              <w:t>Budget</w:t>
            </w:r>
            <w:r>
              <w:rPr>
                <w:color w:val="231F20"/>
                <w:spacing w:val="40"/>
                <w:sz w:val="16"/>
                <w:u w:val="single" w:color="231F20"/>
              </w:rPr>
              <w:t> </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rPr>
                <w:b/>
                <w:sz w:val="18"/>
              </w:rPr>
            </w:pPr>
          </w:p>
          <w:p>
            <w:pPr>
              <w:pStyle w:val="TableParagraph"/>
              <w:spacing w:before="2"/>
              <w:rPr>
                <w:b/>
                <w:sz w:val="17"/>
              </w:rPr>
            </w:pPr>
          </w:p>
          <w:p>
            <w:pPr>
              <w:pStyle w:val="TableParagraph"/>
              <w:tabs>
                <w:tab w:pos="343" w:val="left" w:leader="none"/>
                <w:tab w:pos="1211" w:val="left" w:leader="none"/>
              </w:tabs>
              <w:ind w:left="-3"/>
              <w:jc w:val="right"/>
              <w:rPr>
                <w:sz w:val="16"/>
              </w:rPr>
            </w:pPr>
            <w:r>
              <w:rPr>
                <w:color w:val="231F20"/>
                <w:sz w:val="16"/>
                <w:u w:val="single" w:color="231F20"/>
              </w:rPr>
              <w:tab/>
            </w:r>
            <w:r>
              <w:rPr>
                <w:color w:val="231F20"/>
                <w:spacing w:val="-2"/>
                <w:sz w:val="16"/>
                <w:u w:val="single" w:color="231F20"/>
              </w:rPr>
              <w:t>Actuals</w:t>
            </w:r>
            <w:r>
              <w:rPr>
                <w:color w:val="231F20"/>
                <w:sz w:val="16"/>
                <w:u w:val="single" w:color="231F20"/>
              </w:rPr>
              <w:tab/>
            </w:r>
          </w:p>
        </w:tc>
        <w:tc>
          <w:tcPr>
            <w:tcW w:w="166" w:type="dxa"/>
          </w:tcPr>
          <w:p>
            <w:pPr>
              <w:pStyle w:val="TableParagraph"/>
              <w:rPr>
                <w:rFonts w:ascii="Times New Roman"/>
                <w:sz w:val="16"/>
              </w:rPr>
            </w:pPr>
          </w:p>
        </w:tc>
        <w:tc>
          <w:tcPr>
            <w:tcW w:w="1215" w:type="dxa"/>
          </w:tcPr>
          <w:p>
            <w:pPr>
              <w:pStyle w:val="TableParagraph"/>
              <w:spacing w:line="266" w:lineRule="auto"/>
              <w:ind w:left="132" w:right="123" w:firstLine="3"/>
              <w:jc w:val="center"/>
              <w:rPr>
                <w:sz w:val="16"/>
              </w:rPr>
            </w:pPr>
            <w:r>
              <w:rPr>
                <w:color w:val="231F20"/>
                <w:sz w:val="16"/>
              </w:rPr>
              <w:t>Final Budget vs Actuals Over</w:t>
            </w:r>
            <w:r>
              <w:rPr>
                <w:color w:val="231F20"/>
                <w:spacing w:val="-12"/>
                <w:sz w:val="16"/>
              </w:rPr>
              <w:t> </w:t>
            </w:r>
            <w:r>
              <w:rPr>
                <w:color w:val="231F20"/>
                <w:sz w:val="16"/>
              </w:rPr>
              <w:t>(Under)</w:t>
            </w:r>
          </w:p>
          <w:p>
            <w:pPr>
              <w:pStyle w:val="TableParagraph"/>
              <w:tabs>
                <w:tab w:pos="352" w:val="left" w:leader="none"/>
                <w:tab w:pos="1210" w:val="left" w:leader="none"/>
              </w:tabs>
              <w:ind w:left="-4" w:right="1"/>
              <w:jc w:val="center"/>
              <w:rPr>
                <w:sz w:val="16"/>
              </w:rPr>
            </w:pPr>
            <w:r>
              <w:rPr>
                <w:color w:val="231F20"/>
                <w:sz w:val="16"/>
                <w:u w:val="single" w:color="231F20"/>
              </w:rPr>
              <w:tab/>
            </w:r>
            <w:r>
              <w:rPr>
                <w:color w:val="231F20"/>
                <w:spacing w:val="-2"/>
                <w:sz w:val="16"/>
                <w:u w:val="single" w:color="231F20"/>
              </w:rPr>
              <w:t>Budget</w:t>
            </w:r>
            <w:r>
              <w:rPr>
                <w:color w:val="231F20"/>
                <w:sz w:val="16"/>
                <w:u w:val="single" w:color="231F20"/>
              </w:rPr>
              <w:tab/>
            </w:r>
          </w:p>
        </w:tc>
      </w:tr>
      <w:tr>
        <w:trPr>
          <w:trHeight w:val="349" w:hRule="atLeast"/>
        </w:trPr>
        <w:tc>
          <w:tcPr>
            <w:tcW w:w="3948" w:type="dxa"/>
          </w:tcPr>
          <w:p>
            <w:pPr>
              <w:pStyle w:val="TableParagraph"/>
              <w:spacing w:before="51"/>
              <w:ind w:left="54"/>
              <w:rPr>
                <w:sz w:val="16"/>
              </w:rPr>
            </w:pPr>
            <w:r>
              <w:rPr>
                <w:color w:val="231F20"/>
                <w:sz w:val="16"/>
              </w:rPr>
              <w:t>Unrestricted</w:t>
            </w:r>
            <w:r>
              <w:rPr>
                <w:color w:val="231F20"/>
                <w:spacing w:val="12"/>
                <w:sz w:val="16"/>
              </w:rPr>
              <w:t> </w:t>
            </w:r>
            <w:r>
              <w:rPr>
                <w:color w:val="231F20"/>
                <w:sz w:val="16"/>
              </w:rPr>
              <w:t>beginning</w:t>
            </w:r>
            <w:r>
              <w:rPr>
                <w:color w:val="231F20"/>
                <w:spacing w:val="13"/>
                <w:sz w:val="16"/>
              </w:rPr>
              <w:t> </w:t>
            </w:r>
            <w:r>
              <w:rPr>
                <w:color w:val="231F20"/>
                <w:sz w:val="16"/>
              </w:rPr>
              <w:t>net</w:t>
            </w:r>
            <w:r>
              <w:rPr>
                <w:color w:val="231F20"/>
                <w:spacing w:val="12"/>
                <w:sz w:val="16"/>
              </w:rPr>
              <w:t> </w:t>
            </w:r>
            <w:r>
              <w:rPr>
                <w:color w:val="231F20"/>
                <w:spacing w:val="-2"/>
                <w:sz w:val="16"/>
              </w:rPr>
              <w:t>position</w:t>
            </w:r>
          </w:p>
        </w:tc>
        <w:tc>
          <w:tcPr>
            <w:tcW w:w="1215" w:type="dxa"/>
          </w:tcPr>
          <w:p>
            <w:pPr>
              <w:pStyle w:val="TableParagraph"/>
              <w:spacing w:before="51"/>
              <w:ind w:left="-1"/>
              <w:rPr>
                <w:sz w:val="16"/>
              </w:rPr>
            </w:pPr>
            <w:r>
              <w:rPr>
                <w:color w:val="231F20"/>
                <w:spacing w:val="41"/>
                <w:sz w:val="16"/>
                <w:u w:val="single" w:color="231F20"/>
              </w:rPr>
              <w:t> </w:t>
            </w:r>
            <w:r>
              <w:rPr>
                <w:color w:val="231F20"/>
                <w:sz w:val="16"/>
                <w:u w:val="single" w:color="231F20"/>
              </w:rPr>
              <w:t>$</w:t>
            </w:r>
            <w:r>
              <w:rPr>
                <w:color w:val="231F20"/>
                <w:spacing w:val="61"/>
                <w:w w:val="150"/>
                <w:sz w:val="16"/>
                <w:u w:val="single" w:color="231F20"/>
              </w:rPr>
              <w:t> </w:t>
            </w:r>
            <w:r>
              <w:rPr>
                <w:color w:val="231F20"/>
                <w:spacing w:val="-2"/>
                <w:sz w:val="16"/>
                <w:u w:val="single" w:color="231F20"/>
              </w:rPr>
              <w:t>34,376,813</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spacing w:before="51"/>
              <w:ind w:left="84"/>
              <w:rPr>
                <w:sz w:val="16"/>
              </w:rPr>
            </w:pPr>
            <w:r>
              <w:rPr>
                <w:color w:val="231F20"/>
                <w:sz w:val="16"/>
                <w:u w:val="single" w:color="231F20"/>
              </w:rPr>
              <w:t>$</w:t>
            </w:r>
            <w:r>
              <w:rPr>
                <w:color w:val="231F20"/>
                <w:spacing w:val="63"/>
                <w:w w:val="150"/>
                <w:sz w:val="16"/>
                <w:u w:val="single" w:color="231F20"/>
              </w:rPr>
              <w:t> </w:t>
            </w:r>
            <w:r>
              <w:rPr>
                <w:color w:val="231F20"/>
                <w:spacing w:val="-2"/>
                <w:sz w:val="16"/>
                <w:u w:val="single" w:color="231F20"/>
              </w:rPr>
              <w:t>58,868,160</w:t>
            </w:r>
          </w:p>
        </w:tc>
        <w:tc>
          <w:tcPr>
            <w:tcW w:w="166" w:type="dxa"/>
          </w:tcPr>
          <w:p>
            <w:pPr>
              <w:pStyle w:val="TableParagraph"/>
              <w:rPr>
                <w:rFonts w:ascii="Times New Roman"/>
                <w:sz w:val="16"/>
              </w:rPr>
            </w:pPr>
          </w:p>
        </w:tc>
        <w:tc>
          <w:tcPr>
            <w:tcW w:w="1215" w:type="dxa"/>
          </w:tcPr>
          <w:p>
            <w:pPr>
              <w:pStyle w:val="TableParagraph"/>
              <w:spacing w:before="51"/>
              <w:ind w:left="-3"/>
              <w:jc w:val="right"/>
              <w:rPr>
                <w:sz w:val="16"/>
              </w:rPr>
            </w:pPr>
            <w:r>
              <w:rPr>
                <w:color w:val="231F20"/>
                <w:spacing w:val="41"/>
                <w:sz w:val="16"/>
                <w:u w:val="single" w:color="231F20"/>
              </w:rPr>
              <w:t> </w:t>
            </w:r>
            <w:r>
              <w:rPr>
                <w:color w:val="231F20"/>
                <w:sz w:val="16"/>
                <w:u w:val="single" w:color="231F20"/>
              </w:rPr>
              <w:t>$</w:t>
            </w:r>
            <w:r>
              <w:rPr>
                <w:color w:val="231F20"/>
                <w:spacing w:val="63"/>
                <w:w w:val="150"/>
                <w:sz w:val="16"/>
                <w:u w:val="single" w:color="231F20"/>
              </w:rPr>
              <w:t> </w:t>
            </w:r>
            <w:r>
              <w:rPr>
                <w:color w:val="231F20"/>
                <w:spacing w:val="-2"/>
                <w:sz w:val="16"/>
                <w:u w:val="single" w:color="231F20"/>
              </w:rPr>
              <w:t>58,868,160</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1069" w:val="left" w:leader="none"/>
              </w:tabs>
              <w:spacing w:before="51"/>
              <w:ind w:left="-4" w:right="1"/>
              <w:jc w:val="right"/>
              <w:rPr>
                <w:sz w:val="16"/>
              </w:rPr>
            </w:pPr>
            <w:r>
              <w:rPr>
                <w:color w:val="231F20"/>
                <w:spacing w:val="41"/>
                <w:sz w:val="16"/>
                <w:u w:val="single" w:color="231F20"/>
              </w:rPr>
              <w:t> </w:t>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w:t>
            </w:r>
          </w:p>
        </w:tc>
      </w:tr>
      <w:tr>
        <w:trPr>
          <w:trHeight w:val="511" w:hRule="atLeast"/>
        </w:trPr>
        <w:tc>
          <w:tcPr>
            <w:tcW w:w="3948" w:type="dxa"/>
          </w:tcPr>
          <w:p>
            <w:pPr>
              <w:pStyle w:val="TableParagraph"/>
              <w:spacing w:line="200" w:lineRule="atLeast" w:before="91"/>
              <w:ind w:left="283" w:right="1839" w:hanging="230"/>
              <w:rPr>
                <w:sz w:val="16"/>
              </w:rPr>
            </w:pPr>
            <w:r>
              <w:rPr>
                <w:color w:val="231F20"/>
                <w:sz w:val="16"/>
              </w:rPr>
              <w:t>Unrestricted </w:t>
            </w:r>
            <w:r>
              <w:rPr>
                <w:color w:val="231F20"/>
                <w:sz w:val="16"/>
              </w:rPr>
              <w:t>revenues: </w:t>
            </w:r>
            <w:r>
              <w:rPr>
                <w:color w:val="231F20"/>
                <w:spacing w:val="-2"/>
                <w:sz w:val="16"/>
              </w:rPr>
              <w:t>Tuition</w:t>
            </w:r>
          </w:p>
        </w:tc>
        <w:tc>
          <w:tcPr>
            <w:tcW w:w="1215" w:type="dxa"/>
          </w:tcPr>
          <w:p>
            <w:pPr>
              <w:pStyle w:val="TableParagraph"/>
              <w:rPr>
                <w:b/>
                <w:sz w:val="18"/>
              </w:rPr>
            </w:pPr>
          </w:p>
          <w:p>
            <w:pPr>
              <w:pStyle w:val="TableParagraph"/>
              <w:spacing w:line="175" w:lineRule="exact" w:before="109"/>
              <w:ind w:left="306"/>
              <w:rPr>
                <w:sz w:val="16"/>
              </w:rPr>
            </w:pPr>
            <w:r>
              <w:rPr>
                <w:color w:val="231F20"/>
                <w:spacing w:val="-2"/>
                <w:sz w:val="16"/>
              </w:rPr>
              <w:t>11,077,386</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spacing w:line="175" w:lineRule="exact" w:before="109"/>
              <w:ind w:left="305"/>
              <w:rPr>
                <w:sz w:val="16"/>
              </w:rPr>
            </w:pPr>
            <w:r>
              <w:rPr>
                <w:color w:val="231F20"/>
                <w:spacing w:val="-2"/>
                <w:sz w:val="16"/>
              </w:rPr>
              <w:t>11,123,881</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spacing w:line="175" w:lineRule="exact" w:before="109"/>
              <w:ind w:left="-2" w:right="88"/>
              <w:jc w:val="right"/>
              <w:rPr>
                <w:sz w:val="16"/>
              </w:rPr>
            </w:pPr>
            <w:r>
              <w:rPr>
                <w:color w:val="231F20"/>
                <w:spacing w:val="-2"/>
                <w:sz w:val="16"/>
              </w:rPr>
              <w:t>11,131,792</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spacing w:line="175" w:lineRule="exact" w:before="109"/>
              <w:ind w:left="-2" w:right="89"/>
              <w:jc w:val="right"/>
              <w:rPr>
                <w:sz w:val="16"/>
              </w:rPr>
            </w:pPr>
            <w:r>
              <w:rPr>
                <w:color w:val="231F20"/>
                <w:spacing w:val="-2"/>
                <w:sz w:val="16"/>
              </w:rPr>
              <w:t>7,911</w:t>
            </w:r>
          </w:p>
        </w:tc>
      </w:tr>
      <w:tr>
        <w:trPr>
          <w:trHeight w:val="1023" w:hRule="atLeast"/>
        </w:trPr>
        <w:tc>
          <w:tcPr>
            <w:tcW w:w="3948" w:type="dxa"/>
          </w:tcPr>
          <w:p>
            <w:pPr>
              <w:pStyle w:val="TableParagraph"/>
              <w:spacing w:before="9"/>
              <w:ind w:left="283"/>
              <w:rPr>
                <w:sz w:val="16"/>
              </w:rPr>
            </w:pPr>
            <w:r>
              <w:rPr>
                <w:color w:val="231F20"/>
                <w:sz w:val="16"/>
              </w:rPr>
              <w:t>Miscellaneous</w:t>
            </w:r>
            <w:r>
              <w:rPr>
                <w:color w:val="231F20"/>
                <w:spacing w:val="21"/>
                <w:sz w:val="16"/>
              </w:rPr>
              <w:t> </w:t>
            </w:r>
            <w:r>
              <w:rPr>
                <w:color w:val="231F20"/>
                <w:spacing w:val="-4"/>
                <w:sz w:val="16"/>
              </w:rPr>
              <w:t>fees</w:t>
            </w:r>
          </w:p>
          <w:p>
            <w:pPr>
              <w:pStyle w:val="TableParagraph"/>
              <w:spacing w:line="266" w:lineRule="auto" w:before="21"/>
              <w:ind w:left="283" w:right="1150" w:hanging="1"/>
              <w:rPr>
                <w:sz w:val="16"/>
              </w:rPr>
            </w:pPr>
            <w:r>
              <w:rPr>
                <w:color w:val="231F20"/>
                <w:sz w:val="16"/>
              </w:rPr>
              <w:t>Government appropriation, </w:t>
            </w:r>
            <w:r>
              <w:rPr>
                <w:color w:val="231F20"/>
                <w:sz w:val="16"/>
              </w:rPr>
              <w:t>federal Government appropriation, state Government appropriation, local</w:t>
            </w:r>
          </w:p>
          <w:p>
            <w:pPr>
              <w:pStyle w:val="TableParagraph"/>
              <w:spacing w:line="175" w:lineRule="exact" w:before="2"/>
              <w:ind w:left="283"/>
              <w:rPr>
                <w:sz w:val="16"/>
              </w:rPr>
            </w:pPr>
            <w:r>
              <w:rPr>
                <w:color w:val="231F20"/>
                <w:sz w:val="16"/>
              </w:rPr>
              <w:t>Government</w:t>
            </w:r>
            <w:r>
              <w:rPr>
                <w:color w:val="231F20"/>
                <w:spacing w:val="14"/>
                <w:sz w:val="16"/>
              </w:rPr>
              <w:t> </w:t>
            </w:r>
            <w:r>
              <w:rPr>
                <w:color w:val="231F20"/>
                <w:sz w:val="16"/>
              </w:rPr>
              <w:t>grants,</w:t>
            </w:r>
            <w:r>
              <w:rPr>
                <w:color w:val="231F20"/>
                <w:spacing w:val="13"/>
                <w:sz w:val="16"/>
              </w:rPr>
              <w:t> </w:t>
            </w:r>
            <w:r>
              <w:rPr>
                <w:color w:val="231F20"/>
                <w:spacing w:val="-2"/>
                <w:sz w:val="16"/>
              </w:rPr>
              <w:t>federal</w:t>
            </w:r>
          </w:p>
        </w:tc>
        <w:tc>
          <w:tcPr>
            <w:tcW w:w="1215" w:type="dxa"/>
          </w:tcPr>
          <w:p>
            <w:pPr>
              <w:pStyle w:val="TableParagraph"/>
              <w:spacing w:before="9"/>
              <w:ind w:left="-2" w:right="85"/>
              <w:jc w:val="right"/>
              <w:rPr>
                <w:sz w:val="16"/>
              </w:rPr>
            </w:pPr>
            <w:r>
              <w:rPr>
                <w:color w:val="231F20"/>
                <w:spacing w:val="-2"/>
                <w:sz w:val="16"/>
              </w:rPr>
              <w:t>4,855,526</w:t>
            </w:r>
          </w:p>
          <w:p>
            <w:pPr>
              <w:pStyle w:val="TableParagraph"/>
              <w:spacing w:line="268" w:lineRule="auto" w:before="21"/>
              <w:ind w:left="306" w:right="86" w:firstLine="764"/>
              <w:jc w:val="right"/>
              <w:rPr>
                <w:sz w:val="16"/>
              </w:rPr>
            </w:pPr>
            <w:r>
              <w:rPr>
                <w:color w:val="231F20"/>
                <w:spacing w:val="-10"/>
                <w:sz w:val="16"/>
              </w:rPr>
              <w:t>-</w:t>
            </w:r>
            <w:r>
              <w:rPr>
                <w:color w:val="231F20"/>
                <w:spacing w:val="-2"/>
                <w:sz w:val="16"/>
              </w:rPr>
              <w:t> 49,478,300</w:t>
            </w:r>
          </w:p>
          <w:p>
            <w:pPr>
              <w:pStyle w:val="TableParagraph"/>
              <w:spacing w:line="181" w:lineRule="exact"/>
              <w:ind w:right="86"/>
              <w:jc w:val="right"/>
              <w:rPr>
                <w:sz w:val="16"/>
              </w:rPr>
            </w:pPr>
            <w:r>
              <w:rPr>
                <w:color w:val="231F20"/>
                <w:w w:val="102"/>
                <w:sz w:val="16"/>
              </w:rPr>
              <w:t>-</w:t>
            </w:r>
          </w:p>
          <w:p>
            <w:pPr>
              <w:pStyle w:val="TableParagraph"/>
              <w:spacing w:line="175" w:lineRule="exact" w:before="21"/>
              <w:ind w:right="85"/>
              <w:jc w:val="right"/>
              <w:rPr>
                <w:sz w:val="16"/>
              </w:rPr>
            </w:pPr>
            <w:r>
              <w:rPr>
                <w:color w:val="231F20"/>
                <w:w w:val="102"/>
                <w:sz w:val="16"/>
              </w:rPr>
              <w:t>-</w:t>
            </w:r>
          </w:p>
        </w:tc>
        <w:tc>
          <w:tcPr>
            <w:tcW w:w="166" w:type="dxa"/>
          </w:tcPr>
          <w:p>
            <w:pPr>
              <w:pStyle w:val="TableParagraph"/>
              <w:rPr>
                <w:rFonts w:ascii="Times New Roman"/>
                <w:sz w:val="16"/>
              </w:rPr>
            </w:pPr>
          </w:p>
        </w:tc>
        <w:tc>
          <w:tcPr>
            <w:tcW w:w="1215" w:type="dxa"/>
          </w:tcPr>
          <w:p>
            <w:pPr>
              <w:pStyle w:val="TableParagraph"/>
              <w:spacing w:before="9"/>
              <w:ind w:left="-2" w:right="86"/>
              <w:jc w:val="right"/>
              <w:rPr>
                <w:sz w:val="16"/>
              </w:rPr>
            </w:pPr>
            <w:r>
              <w:rPr>
                <w:color w:val="231F20"/>
                <w:spacing w:val="-2"/>
                <w:sz w:val="16"/>
              </w:rPr>
              <w:t>4,839,684</w:t>
            </w:r>
          </w:p>
          <w:p>
            <w:pPr>
              <w:pStyle w:val="TableParagraph"/>
              <w:spacing w:line="268" w:lineRule="auto" w:before="21"/>
              <w:ind w:left="305" w:right="86" w:firstLine="766"/>
              <w:jc w:val="right"/>
              <w:rPr>
                <w:sz w:val="16"/>
              </w:rPr>
            </w:pPr>
            <w:r>
              <w:rPr>
                <w:color w:val="231F20"/>
                <w:spacing w:val="-10"/>
                <w:sz w:val="16"/>
              </w:rPr>
              <w:t>-</w:t>
            </w:r>
            <w:r>
              <w:rPr>
                <w:color w:val="231F20"/>
                <w:spacing w:val="-2"/>
                <w:sz w:val="16"/>
              </w:rPr>
              <w:t> 49,765,900</w:t>
            </w:r>
          </w:p>
          <w:p>
            <w:pPr>
              <w:pStyle w:val="TableParagraph"/>
              <w:spacing w:line="181" w:lineRule="exact"/>
              <w:ind w:right="86"/>
              <w:jc w:val="right"/>
              <w:rPr>
                <w:sz w:val="16"/>
              </w:rPr>
            </w:pPr>
            <w:r>
              <w:rPr>
                <w:color w:val="231F20"/>
                <w:w w:val="102"/>
                <w:sz w:val="16"/>
              </w:rPr>
              <w:t>-</w:t>
            </w:r>
          </w:p>
          <w:p>
            <w:pPr>
              <w:pStyle w:val="TableParagraph"/>
              <w:spacing w:line="175" w:lineRule="exact" w:before="21"/>
              <w:ind w:right="86"/>
              <w:jc w:val="right"/>
              <w:rPr>
                <w:sz w:val="16"/>
              </w:rPr>
            </w:pPr>
            <w:r>
              <w:rPr>
                <w:color w:val="231F20"/>
                <w:w w:val="102"/>
                <w:sz w:val="16"/>
              </w:rPr>
              <w:t>-</w:t>
            </w:r>
          </w:p>
        </w:tc>
        <w:tc>
          <w:tcPr>
            <w:tcW w:w="166" w:type="dxa"/>
          </w:tcPr>
          <w:p>
            <w:pPr>
              <w:pStyle w:val="TableParagraph"/>
              <w:rPr>
                <w:rFonts w:ascii="Times New Roman"/>
                <w:sz w:val="16"/>
              </w:rPr>
            </w:pPr>
          </w:p>
        </w:tc>
        <w:tc>
          <w:tcPr>
            <w:tcW w:w="1215" w:type="dxa"/>
          </w:tcPr>
          <w:p>
            <w:pPr>
              <w:pStyle w:val="TableParagraph"/>
              <w:spacing w:before="9"/>
              <w:ind w:left="-2" w:right="87"/>
              <w:jc w:val="right"/>
              <w:rPr>
                <w:sz w:val="16"/>
              </w:rPr>
            </w:pPr>
            <w:r>
              <w:rPr>
                <w:color w:val="231F20"/>
                <w:spacing w:val="-2"/>
                <w:sz w:val="16"/>
              </w:rPr>
              <w:t>2,893,049</w:t>
            </w:r>
          </w:p>
          <w:p>
            <w:pPr>
              <w:pStyle w:val="TableParagraph"/>
              <w:spacing w:line="268" w:lineRule="auto" w:before="21"/>
              <w:ind w:left="304" w:right="87" w:firstLine="765"/>
              <w:jc w:val="right"/>
              <w:rPr>
                <w:sz w:val="16"/>
              </w:rPr>
            </w:pPr>
            <w:r>
              <w:rPr>
                <w:color w:val="231F20"/>
                <w:spacing w:val="-10"/>
                <w:sz w:val="16"/>
              </w:rPr>
              <w:t>-</w:t>
            </w:r>
            <w:r>
              <w:rPr>
                <w:color w:val="231F20"/>
                <w:spacing w:val="-2"/>
                <w:sz w:val="16"/>
              </w:rPr>
              <w:t> 42,940,164</w:t>
            </w:r>
          </w:p>
          <w:p>
            <w:pPr>
              <w:pStyle w:val="TableParagraph"/>
              <w:spacing w:line="181" w:lineRule="exact"/>
              <w:ind w:right="87"/>
              <w:jc w:val="right"/>
              <w:rPr>
                <w:sz w:val="16"/>
              </w:rPr>
            </w:pPr>
            <w:r>
              <w:rPr>
                <w:color w:val="231F20"/>
                <w:w w:val="102"/>
                <w:sz w:val="16"/>
              </w:rPr>
              <w:t>-</w:t>
            </w:r>
          </w:p>
          <w:p>
            <w:pPr>
              <w:pStyle w:val="TableParagraph"/>
              <w:spacing w:line="175" w:lineRule="exact" w:before="21"/>
              <w:ind w:left="-2" w:right="88"/>
              <w:jc w:val="right"/>
              <w:rPr>
                <w:sz w:val="16"/>
              </w:rPr>
            </w:pPr>
            <w:r>
              <w:rPr>
                <w:color w:val="231F20"/>
                <w:spacing w:val="-2"/>
                <w:sz w:val="16"/>
              </w:rPr>
              <w:t>151,068</w:t>
            </w:r>
          </w:p>
        </w:tc>
        <w:tc>
          <w:tcPr>
            <w:tcW w:w="166" w:type="dxa"/>
          </w:tcPr>
          <w:p>
            <w:pPr>
              <w:pStyle w:val="TableParagraph"/>
              <w:rPr>
                <w:rFonts w:ascii="Times New Roman"/>
                <w:sz w:val="16"/>
              </w:rPr>
            </w:pPr>
          </w:p>
        </w:tc>
        <w:tc>
          <w:tcPr>
            <w:tcW w:w="1215" w:type="dxa"/>
          </w:tcPr>
          <w:p>
            <w:pPr>
              <w:pStyle w:val="TableParagraph"/>
              <w:spacing w:before="9"/>
              <w:ind w:left="339"/>
              <w:rPr>
                <w:sz w:val="16"/>
              </w:rPr>
            </w:pPr>
            <w:r>
              <w:rPr>
                <w:color w:val="231F20"/>
                <w:spacing w:val="-2"/>
                <w:sz w:val="16"/>
              </w:rPr>
              <w:t>(1,946,635)</w:t>
            </w:r>
          </w:p>
          <w:p>
            <w:pPr>
              <w:pStyle w:val="TableParagraph"/>
              <w:spacing w:line="268" w:lineRule="auto" w:before="21"/>
              <w:ind w:left="339" w:firstLine="729"/>
              <w:rPr>
                <w:sz w:val="16"/>
              </w:rPr>
            </w:pPr>
            <w:r>
              <w:rPr>
                <w:color w:val="231F20"/>
                <w:spacing w:val="-10"/>
                <w:sz w:val="16"/>
              </w:rPr>
              <w:t>-</w:t>
            </w:r>
            <w:r>
              <w:rPr>
                <w:color w:val="231F20"/>
                <w:spacing w:val="-2"/>
                <w:sz w:val="16"/>
              </w:rPr>
              <w:t> (6,825,736)</w:t>
            </w:r>
          </w:p>
          <w:p>
            <w:pPr>
              <w:pStyle w:val="TableParagraph"/>
              <w:spacing w:line="181" w:lineRule="exact"/>
              <w:ind w:right="88"/>
              <w:jc w:val="right"/>
              <w:rPr>
                <w:sz w:val="16"/>
              </w:rPr>
            </w:pPr>
            <w:r>
              <w:rPr>
                <w:color w:val="231F20"/>
                <w:w w:val="102"/>
                <w:sz w:val="16"/>
              </w:rPr>
              <w:t>-</w:t>
            </w:r>
          </w:p>
          <w:p>
            <w:pPr>
              <w:pStyle w:val="TableParagraph"/>
              <w:spacing w:line="175" w:lineRule="exact" w:before="21"/>
              <w:ind w:left="-2" w:right="89"/>
              <w:jc w:val="right"/>
              <w:rPr>
                <w:sz w:val="16"/>
              </w:rPr>
            </w:pPr>
            <w:r>
              <w:rPr>
                <w:color w:val="231F20"/>
                <w:spacing w:val="-2"/>
                <w:sz w:val="16"/>
              </w:rPr>
              <w:t>151,068</w:t>
            </w:r>
          </w:p>
        </w:tc>
      </w:tr>
      <w:tr>
        <w:trPr>
          <w:trHeight w:val="818" w:hRule="atLeast"/>
        </w:trPr>
        <w:tc>
          <w:tcPr>
            <w:tcW w:w="3948" w:type="dxa"/>
          </w:tcPr>
          <w:p>
            <w:pPr>
              <w:pStyle w:val="TableParagraph"/>
              <w:spacing w:line="268" w:lineRule="auto" w:before="9"/>
              <w:ind w:left="283" w:right="1150"/>
              <w:rPr>
                <w:sz w:val="16"/>
              </w:rPr>
            </w:pPr>
            <w:r>
              <w:rPr>
                <w:color w:val="231F20"/>
                <w:sz w:val="16"/>
              </w:rPr>
              <w:t>Government grants, </w:t>
            </w:r>
            <w:r>
              <w:rPr>
                <w:color w:val="231F20"/>
                <w:sz w:val="16"/>
              </w:rPr>
              <w:t>state Contracts, local</w:t>
            </w:r>
          </w:p>
          <w:p>
            <w:pPr>
              <w:pStyle w:val="TableParagraph"/>
              <w:spacing w:line="181" w:lineRule="exact"/>
              <w:ind w:left="283"/>
              <w:rPr>
                <w:sz w:val="16"/>
              </w:rPr>
            </w:pPr>
            <w:r>
              <w:rPr>
                <w:color w:val="231F20"/>
                <w:sz w:val="16"/>
              </w:rPr>
              <w:t>Private</w:t>
            </w:r>
            <w:r>
              <w:rPr>
                <w:color w:val="231F20"/>
                <w:spacing w:val="8"/>
                <w:sz w:val="16"/>
              </w:rPr>
              <w:t> </w:t>
            </w:r>
            <w:r>
              <w:rPr>
                <w:color w:val="231F20"/>
                <w:spacing w:val="-2"/>
                <w:sz w:val="16"/>
              </w:rPr>
              <w:t>contracts</w:t>
            </w:r>
          </w:p>
          <w:p>
            <w:pPr>
              <w:pStyle w:val="TableParagraph"/>
              <w:spacing w:line="175" w:lineRule="exact" w:before="21"/>
              <w:ind w:left="283"/>
              <w:rPr>
                <w:sz w:val="16"/>
              </w:rPr>
            </w:pPr>
            <w:r>
              <w:rPr>
                <w:color w:val="231F20"/>
                <w:spacing w:val="-2"/>
                <w:sz w:val="16"/>
              </w:rPr>
              <w:t>Endowments</w:t>
            </w:r>
          </w:p>
        </w:tc>
        <w:tc>
          <w:tcPr>
            <w:tcW w:w="1215" w:type="dxa"/>
          </w:tcPr>
          <w:p>
            <w:pPr>
              <w:pStyle w:val="TableParagraph"/>
              <w:spacing w:before="9"/>
              <w:ind w:left="-2" w:right="84"/>
              <w:jc w:val="right"/>
              <w:rPr>
                <w:sz w:val="16"/>
              </w:rPr>
            </w:pPr>
            <w:r>
              <w:rPr>
                <w:color w:val="231F20"/>
                <w:spacing w:val="-2"/>
                <w:sz w:val="16"/>
              </w:rPr>
              <w:t>252,981</w:t>
            </w:r>
          </w:p>
          <w:p>
            <w:pPr>
              <w:pStyle w:val="TableParagraph"/>
              <w:spacing w:before="21"/>
              <w:ind w:right="87"/>
              <w:jc w:val="right"/>
              <w:rPr>
                <w:sz w:val="16"/>
              </w:rPr>
            </w:pPr>
            <w:r>
              <w:rPr>
                <w:color w:val="231F20"/>
                <w:w w:val="102"/>
                <w:sz w:val="16"/>
              </w:rPr>
              <w:t>-</w:t>
            </w:r>
          </w:p>
          <w:p>
            <w:pPr>
              <w:pStyle w:val="TableParagraph"/>
              <w:spacing w:before="20"/>
              <w:ind w:right="86"/>
              <w:jc w:val="right"/>
              <w:rPr>
                <w:sz w:val="16"/>
              </w:rPr>
            </w:pPr>
            <w:r>
              <w:rPr>
                <w:color w:val="231F20"/>
                <w:w w:val="102"/>
                <w:sz w:val="16"/>
              </w:rPr>
              <w:t>-</w:t>
            </w:r>
          </w:p>
          <w:p>
            <w:pPr>
              <w:pStyle w:val="TableParagraph"/>
              <w:spacing w:line="175" w:lineRule="exact" w:before="21"/>
              <w:ind w:right="86"/>
              <w:jc w:val="right"/>
              <w:rPr>
                <w:sz w:val="16"/>
              </w:rPr>
            </w:pPr>
            <w:r>
              <w:rPr>
                <w:color w:val="231F20"/>
                <w:w w:val="102"/>
                <w:sz w:val="16"/>
              </w:rPr>
              <w:t>-</w:t>
            </w:r>
          </w:p>
        </w:tc>
        <w:tc>
          <w:tcPr>
            <w:tcW w:w="166" w:type="dxa"/>
          </w:tcPr>
          <w:p>
            <w:pPr>
              <w:pStyle w:val="TableParagraph"/>
              <w:rPr>
                <w:rFonts w:ascii="Times New Roman"/>
                <w:sz w:val="16"/>
              </w:rPr>
            </w:pPr>
          </w:p>
        </w:tc>
        <w:tc>
          <w:tcPr>
            <w:tcW w:w="1215" w:type="dxa"/>
          </w:tcPr>
          <w:p>
            <w:pPr>
              <w:pStyle w:val="TableParagraph"/>
              <w:spacing w:before="9"/>
              <w:ind w:left="-2" w:right="86"/>
              <w:jc w:val="right"/>
              <w:rPr>
                <w:sz w:val="16"/>
              </w:rPr>
            </w:pPr>
            <w:r>
              <w:rPr>
                <w:color w:val="231F20"/>
                <w:spacing w:val="-2"/>
                <w:sz w:val="16"/>
              </w:rPr>
              <w:t>252,981</w:t>
            </w:r>
          </w:p>
          <w:p>
            <w:pPr>
              <w:pStyle w:val="TableParagraph"/>
              <w:spacing w:before="21"/>
              <w:ind w:right="86"/>
              <w:jc w:val="right"/>
              <w:rPr>
                <w:sz w:val="16"/>
              </w:rPr>
            </w:pPr>
            <w:r>
              <w:rPr>
                <w:color w:val="231F20"/>
                <w:w w:val="102"/>
                <w:sz w:val="16"/>
              </w:rPr>
              <w:t>-</w:t>
            </w:r>
          </w:p>
          <w:p>
            <w:pPr>
              <w:pStyle w:val="TableParagraph"/>
              <w:spacing w:before="20"/>
              <w:ind w:right="86"/>
              <w:jc w:val="right"/>
              <w:rPr>
                <w:sz w:val="16"/>
              </w:rPr>
            </w:pPr>
            <w:r>
              <w:rPr>
                <w:color w:val="231F20"/>
                <w:w w:val="102"/>
                <w:sz w:val="16"/>
              </w:rPr>
              <w:t>-</w:t>
            </w:r>
          </w:p>
          <w:p>
            <w:pPr>
              <w:pStyle w:val="TableParagraph"/>
              <w:spacing w:line="175" w:lineRule="exact" w:before="21"/>
              <w:ind w:right="86"/>
              <w:jc w:val="right"/>
              <w:rPr>
                <w:sz w:val="16"/>
              </w:rPr>
            </w:pPr>
            <w:r>
              <w:rPr>
                <w:color w:val="231F20"/>
                <w:w w:val="102"/>
                <w:sz w:val="16"/>
              </w:rPr>
              <w:t>-</w:t>
            </w:r>
          </w:p>
        </w:tc>
        <w:tc>
          <w:tcPr>
            <w:tcW w:w="166" w:type="dxa"/>
          </w:tcPr>
          <w:p>
            <w:pPr>
              <w:pStyle w:val="TableParagraph"/>
              <w:rPr>
                <w:rFonts w:ascii="Times New Roman"/>
                <w:sz w:val="16"/>
              </w:rPr>
            </w:pPr>
          </w:p>
        </w:tc>
        <w:tc>
          <w:tcPr>
            <w:tcW w:w="1215" w:type="dxa"/>
          </w:tcPr>
          <w:p>
            <w:pPr>
              <w:pStyle w:val="TableParagraph"/>
              <w:spacing w:before="9"/>
              <w:ind w:right="87"/>
              <w:jc w:val="right"/>
              <w:rPr>
                <w:sz w:val="16"/>
              </w:rPr>
            </w:pPr>
            <w:r>
              <w:rPr>
                <w:color w:val="231F20"/>
                <w:w w:val="102"/>
                <w:sz w:val="16"/>
              </w:rPr>
              <w:t>-</w:t>
            </w:r>
          </w:p>
          <w:p>
            <w:pPr>
              <w:pStyle w:val="TableParagraph"/>
              <w:spacing w:before="21"/>
              <w:ind w:right="87"/>
              <w:jc w:val="right"/>
              <w:rPr>
                <w:sz w:val="16"/>
              </w:rPr>
            </w:pPr>
            <w:r>
              <w:rPr>
                <w:color w:val="231F20"/>
                <w:w w:val="102"/>
                <w:sz w:val="16"/>
              </w:rPr>
              <w:t>-</w:t>
            </w:r>
          </w:p>
          <w:p>
            <w:pPr>
              <w:pStyle w:val="TableParagraph"/>
              <w:spacing w:line="206" w:lineRule="exact"/>
              <w:ind w:left="624" w:right="87" w:firstLine="446"/>
              <w:jc w:val="right"/>
              <w:rPr>
                <w:sz w:val="16"/>
              </w:rPr>
            </w:pPr>
            <w:r>
              <w:rPr>
                <w:color w:val="231F20"/>
                <w:spacing w:val="-10"/>
                <w:sz w:val="16"/>
              </w:rPr>
              <w:t>-</w:t>
            </w:r>
            <w:r>
              <w:rPr>
                <w:color w:val="231F20"/>
                <w:spacing w:val="-2"/>
                <w:sz w:val="16"/>
              </w:rPr>
              <w:t> 33,202</w:t>
            </w:r>
          </w:p>
        </w:tc>
        <w:tc>
          <w:tcPr>
            <w:tcW w:w="166" w:type="dxa"/>
          </w:tcPr>
          <w:p>
            <w:pPr>
              <w:pStyle w:val="TableParagraph"/>
              <w:rPr>
                <w:rFonts w:ascii="Times New Roman"/>
                <w:sz w:val="16"/>
              </w:rPr>
            </w:pPr>
          </w:p>
        </w:tc>
        <w:tc>
          <w:tcPr>
            <w:tcW w:w="1215" w:type="dxa"/>
          </w:tcPr>
          <w:p>
            <w:pPr>
              <w:pStyle w:val="TableParagraph"/>
              <w:spacing w:before="9"/>
              <w:ind w:left="-2" w:right="34"/>
              <w:jc w:val="right"/>
              <w:rPr>
                <w:sz w:val="16"/>
              </w:rPr>
            </w:pPr>
            <w:r>
              <w:rPr>
                <w:color w:val="231F20"/>
                <w:spacing w:val="-2"/>
                <w:sz w:val="16"/>
              </w:rPr>
              <w:t>(252,981)</w:t>
            </w:r>
          </w:p>
          <w:p>
            <w:pPr>
              <w:pStyle w:val="TableParagraph"/>
              <w:spacing w:before="21"/>
              <w:ind w:right="88"/>
              <w:jc w:val="right"/>
              <w:rPr>
                <w:sz w:val="16"/>
              </w:rPr>
            </w:pPr>
            <w:r>
              <w:rPr>
                <w:color w:val="231F20"/>
                <w:w w:val="102"/>
                <w:sz w:val="16"/>
              </w:rPr>
              <w:t>-</w:t>
            </w:r>
          </w:p>
          <w:p>
            <w:pPr>
              <w:pStyle w:val="TableParagraph"/>
              <w:spacing w:line="206" w:lineRule="exact"/>
              <w:ind w:left="623" w:right="88" w:firstLine="446"/>
              <w:jc w:val="right"/>
              <w:rPr>
                <w:sz w:val="16"/>
              </w:rPr>
            </w:pPr>
            <w:r>
              <w:rPr>
                <w:color w:val="231F20"/>
                <w:spacing w:val="-10"/>
                <w:sz w:val="16"/>
              </w:rPr>
              <w:t>-</w:t>
            </w:r>
            <w:r>
              <w:rPr>
                <w:color w:val="231F20"/>
                <w:spacing w:val="-2"/>
                <w:sz w:val="16"/>
              </w:rPr>
              <w:t> 33,202</w:t>
            </w:r>
          </w:p>
        </w:tc>
      </w:tr>
      <w:tr>
        <w:trPr>
          <w:trHeight w:val="204" w:hRule="atLeast"/>
        </w:trPr>
        <w:tc>
          <w:tcPr>
            <w:tcW w:w="3948" w:type="dxa"/>
          </w:tcPr>
          <w:p>
            <w:pPr>
              <w:pStyle w:val="TableParagraph"/>
              <w:spacing w:line="176" w:lineRule="exact" w:before="9"/>
              <w:ind w:left="283"/>
              <w:rPr>
                <w:sz w:val="16"/>
              </w:rPr>
            </w:pPr>
            <w:r>
              <w:rPr>
                <w:color w:val="231F20"/>
                <w:sz w:val="16"/>
              </w:rPr>
              <w:t>Land</w:t>
            </w:r>
            <w:r>
              <w:rPr>
                <w:color w:val="231F20"/>
                <w:spacing w:val="10"/>
                <w:sz w:val="16"/>
              </w:rPr>
              <w:t> </w:t>
            </w:r>
            <w:r>
              <w:rPr>
                <w:color w:val="231F20"/>
                <w:sz w:val="16"/>
              </w:rPr>
              <w:t>and</w:t>
            </w:r>
            <w:r>
              <w:rPr>
                <w:color w:val="231F20"/>
                <w:spacing w:val="9"/>
                <w:sz w:val="16"/>
              </w:rPr>
              <w:t> </w:t>
            </w:r>
            <w:r>
              <w:rPr>
                <w:color w:val="231F20"/>
                <w:sz w:val="16"/>
              </w:rPr>
              <w:t>permanent</w:t>
            </w:r>
            <w:r>
              <w:rPr>
                <w:color w:val="231F20"/>
                <w:spacing w:val="9"/>
                <w:sz w:val="16"/>
              </w:rPr>
              <w:t> </w:t>
            </w:r>
            <w:r>
              <w:rPr>
                <w:color w:val="231F20"/>
                <w:spacing w:val="-4"/>
                <w:sz w:val="16"/>
              </w:rPr>
              <w:t>fund</w:t>
            </w:r>
          </w:p>
        </w:tc>
        <w:tc>
          <w:tcPr>
            <w:tcW w:w="1215" w:type="dxa"/>
          </w:tcPr>
          <w:p>
            <w:pPr>
              <w:pStyle w:val="TableParagraph"/>
              <w:spacing w:line="176" w:lineRule="exact" w:before="9"/>
              <w:ind w:left="-2" w:right="86"/>
              <w:jc w:val="right"/>
              <w:rPr>
                <w:sz w:val="16"/>
              </w:rPr>
            </w:pPr>
            <w:r>
              <w:rPr>
                <w:color w:val="231F20"/>
                <w:spacing w:val="-2"/>
                <w:sz w:val="16"/>
              </w:rPr>
              <w:t>1,050,000</w:t>
            </w:r>
          </w:p>
        </w:tc>
        <w:tc>
          <w:tcPr>
            <w:tcW w:w="166" w:type="dxa"/>
          </w:tcPr>
          <w:p>
            <w:pPr>
              <w:pStyle w:val="TableParagraph"/>
              <w:rPr>
                <w:rFonts w:ascii="Times New Roman"/>
                <w:sz w:val="14"/>
              </w:rPr>
            </w:pPr>
          </w:p>
        </w:tc>
        <w:tc>
          <w:tcPr>
            <w:tcW w:w="1215" w:type="dxa"/>
          </w:tcPr>
          <w:p>
            <w:pPr>
              <w:pStyle w:val="TableParagraph"/>
              <w:spacing w:line="176" w:lineRule="exact" w:before="9"/>
              <w:ind w:left="397"/>
              <w:rPr>
                <w:sz w:val="16"/>
              </w:rPr>
            </w:pPr>
            <w:r>
              <w:rPr>
                <w:color w:val="231F20"/>
                <w:spacing w:val="-2"/>
                <w:sz w:val="16"/>
              </w:rPr>
              <w:t>1,050,000</w:t>
            </w:r>
          </w:p>
        </w:tc>
        <w:tc>
          <w:tcPr>
            <w:tcW w:w="166" w:type="dxa"/>
          </w:tcPr>
          <w:p>
            <w:pPr>
              <w:pStyle w:val="TableParagraph"/>
              <w:rPr>
                <w:rFonts w:ascii="Times New Roman"/>
                <w:sz w:val="14"/>
              </w:rPr>
            </w:pPr>
          </w:p>
        </w:tc>
        <w:tc>
          <w:tcPr>
            <w:tcW w:w="1215" w:type="dxa"/>
          </w:tcPr>
          <w:p>
            <w:pPr>
              <w:pStyle w:val="TableParagraph"/>
              <w:spacing w:line="176" w:lineRule="exact" w:before="9"/>
              <w:ind w:left="-2" w:right="87"/>
              <w:jc w:val="right"/>
              <w:rPr>
                <w:sz w:val="16"/>
              </w:rPr>
            </w:pPr>
            <w:r>
              <w:rPr>
                <w:color w:val="231F20"/>
                <w:spacing w:val="-2"/>
                <w:sz w:val="16"/>
              </w:rPr>
              <w:t>3,377,550</w:t>
            </w:r>
          </w:p>
        </w:tc>
        <w:tc>
          <w:tcPr>
            <w:tcW w:w="166" w:type="dxa"/>
          </w:tcPr>
          <w:p>
            <w:pPr>
              <w:pStyle w:val="TableParagraph"/>
              <w:rPr>
                <w:rFonts w:ascii="Times New Roman"/>
                <w:sz w:val="14"/>
              </w:rPr>
            </w:pPr>
          </w:p>
        </w:tc>
        <w:tc>
          <w:tcPr>
            <w:tcW w:w="1215" w:type="dxa"/>
          </w:tcPr>
          <w:p>
            <w:pPr>
              <w:pStyle w:val="TableParagraph"/>
              <w:spacing w:line="176" w:lineRule="exact" w:before="9"/>
              <w:ind w:left="395"/>
              <w:rPr>
                <w:sz w:val="16"/>
              </w:rPr>
            </w:pPr>
            <w:r>
              <w:rPr>
                <w:color w:val="231F20"/>
                <w:spacing w:val="-2"/>
                <w:sz w:val="16"/>
              </w:rPr>
              <w:t>2,327,550</w:t>
            </w:r>
          </w:p>
        </w:tc>
      </w:tr>
      <w:tr>
        <w:trPr>
          <w:trHeight w:val="204" w:hRule="atLeast"/>
        </w:trPr>
        <w:tc>
          <w:tcPr>
            <w:tcW w:w="3948" w:type="dxa"/>
          </w:tcPr>
          <w:p>
            <w:pPr>
              <w:pStyle w:val="TableParagraph"/>
              <w:spacing w:line="175" w:lineRule="exact" w:before="9"/>
              <w:ind w:left="283"/>
              <w:rPr>
                <w:sz w:val="16"/>
              </w:rPr>
            </w:pPr>
            <w:r>
              <w:rPr>
                <w:color w:val="231F20"/>
                <w:sz w:val="16"/>
              </w:rPr>
              <w:t>Private</w:t>
            </w:r>
            <w:r>
              <w:rPr>
                <w:color w:val="231F20"/>
                <w:spacing w:val="8"/>
                <w:sz w:val="16"/>
              </w:rPr>
              <w:t> </w:t>
            </w:r>
            <w:r>
              <w:rPr>
                <w:color w:val="231F20"/>
                <w:spacing w:val="-2"/>
                <w:sz w:val="16"/>
              </w:rPr>
              <w:t>gifts</w:t>
            </w:r>
          </w:p>
        </w:tc>
        <w:tc>
          <w:tcPr>
            <w:tcW w:w="1215" w:type="dxa"/>
          </w:tcPr>
          <w:p>
            <w:pPr>
              <w:pStyle w:val="TableParagraph"/>
              <w:spacing w:line="175" w:lineRule="exact" w:before="9"/>
              <w:ind w:left="-2" w:right="85"/>
              <w:jc w:val="right"/>
              <w:rPr>
                <w:sz w:val="16"/>
              </w:rPr>
            </w:pPr>
            <w:r>
              <w:rPr>
                <w:color w:val="231F20"/>
                <w:spacing w:val="-2"/>
                <w:sz w:val="16"/>
              </w:rPr>
              <w:t>525,000</w:t>
            </w:r>
          </w:p>
        </w:tc>
        <w:tc>
          <w:tcPr>
            <w:tcW w:w="166" w:type="dxa"/>
          </w:tcPr>
          <w:p>
            <w:pPr>
              <w:pStyle w:val="TableParagraph"/>
              <w:rPr>
                <w:rFonts w:ascii="Times New Roman"/>
                <w:sz w:val="14"/>
              </w:rPr>
            </w:pPr>
          </w:p>
        </w:tc>
        <w:tc>
          <w:tcPr>
            <w:tcW w:w="1215" w:type="dxa"/>
          </w:tcPr>
          <w:p>
            <w:pPr>
              <w:pStyle w:val="TableParagraph"/>
              <w:spacing w:line="175" w:lineRule="exact" w:before="9"/>
              <w:ind w:left="-2" w:right="86"/>
              <w:jc w:val="right"/>
              <w:rPr>
                <w:sz w:val="16"/>
              </w:rPr>
            </w:pPr>
            <w:r>
              <w:rPr>
                <w:color w:val="231F20"/>
                <w:spacing w:val="-2"/>
                <w:sz w:val="16"/>
              </w:rPr>
              <w:t>525,000</w:t>
            </w:r>
          </w:p>
        </w:tc>
        <w:tc>
          <w:tcPr>
            <w:tcW w:w="166" w:type="dxa"/>
          </w:tcPr>
          <w:p>
            <w:pPr>
              <w:pStyle w:val="TableParagraph"/>
              <w:rPr>
                <w:rFonts w:ascii="Times New Roman"/>
                <w:sz w:val="14"/>
              </w:rPr>
            </w:pPr>
          </w:p>
        </w:tc>
        <w:tc>
          <w:tcPr>
            <w:tcW w:w="1215" w:type="dxa"/>
          </w:tcPr>
          <w:p>
            <w:pPr>
              <w:pStyle w:val="TableParagraph"/>
              <w:spacing w:line="175" w:lineRule="exact" w:before="9"/>
              <w:ind w:left="-2" w:right="87"/>
              <w:jc w:val="right"/>
              <w:rPr>
                <w:sz w:val="16"/>
              </w:rPr>
            </w:pPr>
            <w:r>
              <w:rPr>
                <w:color w:val="231F20"/>
                <w:spacing w:val="-2"/>
                <w:sz w:val="16"/>
              </w:rPr>
              <w:t>83,333</w:t>
            </w:r>
          </w:p>
        </w:tc>
        <w:tc>
          <w:tcPr>
            <w:tcW w:w="166" w:type="dxa"/>
          </w:tcPr>
          <w:p>
            <w:pPr>
              <w:pStyle w:val="TableParagraph"/>
              <w:rPr>
                <w:rFonts w:ascii="Times New Roman"/>
                <w:sz w:val="14"/>
              </w:rPr>
            </w:pPr>
          </w:p>
        </w:tc>
        <w:tc>
          <w:tcPr>
            <w:tcW w:w="1215" w:type="dxa"/>
          </w:tcPr>
          <w:p>
            <w:pPr>
              <w:pStyle w:val="TableParagraph"/>
              <w:spacing w:line="175" w:lineRule="exact" w:before="9"/>
              <w:ind w:left="-2" w:right="33"/>
              <w:jc w:val="right"/>
              <w:rPr>
                <w:sz w:val="16"/>
              </w:rPr>
            </w:pPr>
            <w:r>
              <w:rPr>
                <w:color w:val="231F20"/>
                <w:spacing w:val="-2"/>
                <w:sz w:val="16"/>
              </w:rPr>
              <w:t>(441,667)</w:t>
            </w:r>
          </w:p>
        </w:tc>
      </w:tr>
      <w:tr>
        <w:trPr>
          <w:trHeight w:val="204" w:hRule="atLeast"/>
        </w:trPr>
        <w:tc>
          <w:tcPr>
            <w:tcW w:w="3948" w:type="dxa"/>
          </w:tcPr>
          <w:p>
            <w:pPr>
              <w:pStyle w:val="TableParagraph"/>
              <w:spacing w:line="176" w:lineRule="exact" w:before="9"/>
              <w:ind w:left="284"/>
              <w:rPr>
                <w:sz w:val="16"/>
              </w:rPr>
            </w:pPr>
            <w:r>
              <w:rPr>
                <w:color w:val="231F20"/>
                <w:sz w:val="16"/>
              </w:rPr>
              <w:t>Sales</w:t>
            </w:r>
            <w:r>
              <w:rPr>
                <w:color w:val="231F20"/>
                <w:spacing w:val="6"/>
                <w:sz w:val="16"/>
              </w:rPr>
              <w:t> </w:t>
            </w:r>
            <w:r>
              <w:rPr>
                <w:color w:val="231F20"/>
                <w:sz w:val="16"/>
              </w:rPr>
              <w:t>and</w:t>
            </w:r>
            <w:r>
              <w:rPr>
                <w:color w:val="231F20"/>
                <w:spacing w:val="8"/>
                <w:sz w:val="16"/>
              </w:rPr>
              <w:t> </w:t>
            </w:r>
            <w:r>
              <w:rPr>
                <w:color w:val="231F20"/>
                <w:spacing w:val="-2"/>
                <w:sz w:val="16"/>
              </w:rPr>
              <w:t>service</w:t>
            </w:r>
          </w:p>
        </w:tc>
        <w:tc>
          <w:tcPr>
            <w:tcW w:w="1215" w:type="dxa"/>
          </w:tcPr>
          <w:p>
            <w:pPr>
              <w:pStyle w:val="TableParagraph"/>
              <w:spacing w:line="176" w:lineRule="exact" w:before="9"/>
              <w:ind w:left="-2" w:right="85"/>
              <w:jc w:val="right"/>
              <w:rPr>
                <w:sz w:val="16"/>
              </w:rPr>
            </w:pPr>
            <w:r>
              <w:rPr>
                <w:color w:val="231F20"/>
                <w:spacing w:val="-2"/>
                <w:sz w:val="16"/>
              </w:rPr>
              <w:t>5,447,399</w:t>
            </w:r>
          </w:p>
        </w:tc>
        <w:tc>
          <w:tcPr>
            <w:tcW w:w="166" w:type="dxa"/>
          </w:tcPr>
          <w:p>
            <w:pPr>
              <w:pStyle w:val="TableParagraph"/>
              <w:rPr>
                <w:rFonts w:ascii="Times New Roman"/>
                <w:sz w:val="14"/>
              </w:rPr>
            </w:pPr>
          </w:p>
        </w:tc>
        <w:tc>
          <w:tcPr>
            <w:tcW w:w="1215" w:type="dxa"/>
          </w:tcPr>
          <w:p>
            <w:pPr>
              <w:pStyle w:val="TableParagraph"/>
              <w:spacing w:line="176" w:lineRule="exact" w:before="9"/>
              <w:ind w:left="397"/>
              <w:rPr>
                <w:sz w:val="16"/>
              </w:rPr>
            </w:pPr>
            <w:r>
              <w:rPr>
                <w:color w:val="231F20"/>
                <w:spacing w:val="-2"/>
                <w:sz w:val="16"/>
              </w:rPr>
              <w:t>5,447,399</w:t>
            </w:r>
          </w:p>
        </w:tc>
        <w:tc>
          <w:tcPr>
            <w:tcW w:w="166" w:type="dxa"/>
          </w:tcPr>
          <w:p>
            <w:pPr>
              <w:pStyle w:val="TableParagraph"/>
              <w:rPr>
                <w:rFonts w:ascii="Times New Roman"/>
                <w:sz w:val="14"/>
              </w:rPr>
            </w:pPr>
          </w:p>
        </w:tc>
        <w:tc>
          <w:tcPr>
            <w:tcW w:w="1215" w:type="dxa"/>
          </w:tcPr>
          <w:p>
            <w:pPr>
              <w:pStyle w:val="TableParagraph"/>
              <w:spacing w:line="176" w:lineRule="exact" w:before="9"/>
              <w:ind w:left="-2" w:right="87"/>
              <w:jc w:val="right"/>
              <w:rPr>
                <w:sz w:val="16"/>
              </w:rPr>
            </w:pPr>
            <w:r>
              <w:rPr>
                <w:color w:val="231F20"/>
                <w:spacing w:val="-2"/>
                <w:sz w:val="16"/>
              </w:rPr>
              <w:t>8,255,473</w:t>
            </w:r>
          </w:p>
        </w:tc>
        <w:tc>
          <w:tcPr>
            <w:tcW w:w="166" w:type="dxa"/>
          </w:tcPr>
          <w:p>
            <w:pPr>
              <w:pStyle w:val="TableParagraph"/>
              <w:rPr>
                <w:rFonts w:ascii="Times New Roman"/>
                <w:sz w:val="14"/>
              </w:rPr>
            </w:pPr>
          </w:p>
        </w:tc>
        <w:tc>
          <w:tcPr>
            <w:tcW w:w="1215" w:type="dxa"/>
          </w:tcPr>
          <w:p>
            <w:pPr>
              <w:pStyle w:val="TableParagraph"/>
              <w:spacing w:line="176" w:lineRule="exact" w:before="9"/>
              <w:ind w:left="395"/>
              <w:rPr>
                <w:sz w:val="16"/>
              </w:rPr>
            </w:pPr>
            <w:r>
              <w:rPr>
                <w:color w:val="231F20"/>
                <w:spacing w:val="-2"/>
                <w:sz w:val="16"/>
              </w:rPr>
              <w:t>2,808,074</w:t>
            </w:r>
          </w:p>
        </w:tc>
      </w:tr>
      <w:tr>
        <w:trPr>
          <w:trHeight w:val="295" w:hRule="atLeast"/>
        </w:trPr>
        <w:tc>
          <w:tcPr>
            <w:tcW w:w="3948" w:type="dxa"/>
          </w:tcPr>
          <w:p>
            <w:pPr>
              <w:pStyle w:val="TableParagraph"/>
              <w:spacing w:before="9"/>
              <w:ind w:left="283"/>
              <w:rPr>
                <w:sz w:val="16"/>
              </w:rPr>
            </w:pPr>
            <w:r>
              <w:rPr>
                <w:color w:val="231F20"/>
                <w:sz w:val="16"/>
              </w:rPr>
              <w:t>Other</w:t>
            </w:r>
            <w:r>
              <w:rPr>
                <w:color w:val="231F20"/>
                <w:spacing w:val="8"/>
                <w:sz w:val="16"/>
              </w:rPr>
              <w:t> </w:t>
            </w:r>
            <w:r>
              <w:rPr>
                <w:color w:val="231F20"/>
                <w:spacing w:val="-2"/>
                <w:sz w:val="16"/>
              </w:rPr>
              <w:t>sources</w:t>
            </w:r>
          </w:p>
        </w:tc>
        <w:tc>
          <w:tcPr>
            <w:tcW w:w="1215" w:type="dxa"/>
          </w:tcPr>
          <w:p>
            <w:pPr>
              <w:pStyle w:val="TableParagraph"/>
              <w:tabs>
                <w:tab w:pos="397" w:val="left" w:leader="none"/>
              </w:tabs>
              <w:spacing w:before="9"/>
              <w:ind w:left="-1"/>
              <w:rPr>
                <w:sz w:val="16"/>
              </w:rPr>
            </w:pPr>
            <w:r>
              <w:rPr>
                <w:color w:val="231F20"/>
                <w:sz w:val="16"/>
                <w:u w:val="single" w:color="231F20"/>
              </w:rPr>
              <w:tab/>
            </w:r>
            <w:r>
              <w:rPr>
                <w:color w:val="231F20"/>
                <w:spacing w:val="-2"/>
                <w:sz w:val="16"/>
                <w:u w:val="single" w:color="231F20"/>
              </w:rPr>
              <w:t>9,117,486</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305" w:val="left" w:leader="none"/>
              </w:tabs>
              <w:spacing w:before="9"/>
              <w:ind w:left="-2" w:right="1"/>
              <w:jc w:val="right"/>
              <w:rPr>
                <w:sz w:val="16"/>
              </w:rPr>
            </w:pPr>
            <w:r>
              <w:rPr>
                <w:color w:val="231F20"/>
                <w:sz w:val="16"/>
                <w:u w:val="single" w:color="231F20"/>
              </w:rPr>
              <w:tab/>
            </w:r>
            <w:r>
              <w:rPr>
                <w:color w:val="231F20"/>
                <w:spacing w:val="-2"/>
                <w:sz w:val="16"/>
                <w:u w:val="single" w:color="231F20"/>
              </w:rPr>
              <w:t>11,217,486</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304" w:val="left" w:leader="none"/>
              </w:tabs>
              <w:spacing w:before="9"/>
              <w:ind w:left="-3"/>
              <w:jc w:val="right"/>
              <w:rPr>
                <w:sz w:val="16"/>
              </w:rPr>
            </w:pPr>
            <w:r>
              <w:rPr>
                <w:color w:val="231F20"/>
                <w:sz w:val="16"/>
                <w:u w:val="single" w:color="231F20"/>
              </w:rPr>
              <w:tab/>
            </w:r>
            <w:r>
              <w:rPr>
                <w:color w:val="231F20"/>
                <w:spacing w:val="-2"/>
                <w:sz w:val="16"/>
                <w:u w:val="single" w:color="231F20"/>
              </w:rPr>
              <w:t>11,049,723</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476" w:val="left" w:leader="none"/>
              </w:tabs>
              <w:spacing w:before="9"/>
              <w:ind w:left="-4" w:right="34"/>
              <w:jc w:val="right"/>
              <w:rPr>
                <w:sz w:val="16"/>
              </w:rPr>
            </w:pPr>
            <w:r>
              <w:rPr>
                <w:color w:val="231F20"/>
                <w:sz w:val="16"/>
                <w:u w:val="single" w:color="231F20"/>
              </w:rPr>
              <w:tab/>
            </w:r>
            <w:r>
              <w:rPr>
                <w:color w:val="231F20"/>
                <w:spacing w:val="-2"/>
                <w:sz w:val="16"/>
                <w:u w:val="single" w:color="231F20"/>
              </w:rPr>
              <w:t>(167,763)</w:t>
            </w:r>
          </w:p>
        </w:tc>
      </w:tr>
      <w:tr>
        <w:trPr>
          <w:trHeight w:val="397" w:hRule="atLeast"/>
        </w:trPr>
        <w:tc>
          <w:tcPr>
            <w:tcW w:w="3948" w:type="dxa"/>
          </w:tcPr>
          <w:p>
            <w:pPr>
              <w:pStyle w:val="TableParagraph"/>
              <w:spacing w:before="100"/>
              <w:ind w:left="513"/>
              <w:rPr>
                <w:sz w:val="16"/>
              </w:rPr>
            </w:pPr>
            <w:r>
              <w:rPr>
                <w:color w:val="231F20"/>
                <w:sz w:val="16"/>
              </w:rPr>
              <w:t>Total</w:t>
            </w:r>
            <w:r>
              <w:rPr>
                <w:color w:val="231F20"/>
                <w:spacing w:val="10"/>
                <w:sz w:val="16"/>
              </w:rPr>
              <w:t> </w:t>
            </w:r>
            <w:r>
              <w:rPr>
                <w:color w:val="231F20"/>
                <w:sz w:val="16"/>
              </w:rPr>
              <w:t>unrestricted</w:t>
            </w:r>
            <w:r>
              <w:rPr>
                <w:color w:val="231F20"/>
                <w:spacing w:val="11"/>
                <w:sz w:val="16"/>
              </w:rPr>
              <w:t> </w:t>
            </w:r>
            <w:r>
              <w:rPr>
                <w:color w:val="231F20"/>
                <w:spacing w:val="-2"/>
                <w:sz w:val="16"/>
              </w:rPr>
              <w:t>revenues</w:t>
            </w:r>
          </w:p>
        </w:tc>
        <w:tc>
          <w:tcPr>
            <w:tcW w:w="1215" w:type="dxa"/>
          </w:tcPr>
          <w:p>
            <w:pPr>
              <w:pStyle w:val="TableParagraph"/>
              <w:tabs>
                <w:tab w:pos="305" w:val="left" w:leader="none"/>
              </w:tabs>
              <w:spacing w:before="100"/>
              <w:ind w:left="-1"/>
              <w:rPr>
                <w:sz w:val="16"/>
              </w:rPr>
            </w:pPr>
            <w:r>
              <w:rPr>
                <w:color w:val="231F20"/>
                <w:sz w:val="16"/>
                <w:u w:val="single" w:color="231F20"/>
              </w:rPr>
              <w:tab/>
            </w:r>
            <w:r>
              <w:rPr>
                <w:color w:val="231F20"/>
                <w:spacing w:val="-2"/>
                <w:sz w:val="16"/>
                <w:u w:val="single" w:color="231F20"/>
              </w:rPr>
              <w:t>81,804,078</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305" w:val="left" w:leader="none"/>
              </w:tabs>
              <w:spacing w:before="100"/>
              <w:ind w:left="-2" w:right="1"/>
              <w:jc w:val="right"/>
              <w:rPr>
                <w:sz w:val="16"/>
              </w:rPr>
            </w:pPr>
            <w:r>
              <w:rPr>
                <w:color w:val="231F20"/>
                <w:sz w:val="16"/>
                <w:u w:val="single" w:color="231F20"/>
              </w:rPr>
              <w:tab/>
            </w:r>
            <w:r>
              <w:rPr>
                <w:color w:val="231F20"/>
                <w:spacing w:val="-2"/>
                <w:sz w:val="16"/>
                <w:u w:val="single" w:color="231F20"/>
              </w:rPr>
              <w:t>84,222,331</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304" w:val="left" w:leader="none"/>
              </w:tabs>
              <w:spacing w:before="100"/>
              <w:ind w:left="-3"/>
              <w:jc w:val="right"/>
              <w:rPr>
                <w:sz w:val="16"/>
              </w:rPr>
            </w:pPr>
            <w:r>
              <w:rPr>
                <w:color w:val="231F20"/>
                <w:sz w:val="16"/>
                <w:u w:val="single" w:color="231F20"/>
              </w:rPr>
              <w:tab/>
            </w:r>
            <w:r>
              <w:rPr>
                <w:color w:val="231F20"/>
                <w:spacing w:val="-2"/>
                <w:sz w:val="16"/>
                <w:u w:val="single" w:color="231F20"/>
              </w:rPr>
              <w:t>79,915,354</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339" w:val="left" w:leader="none"/>
              </w:tabs>
              <w:spacing w:before="100"/>
              <w:ind w:left="-4" w:right="33"/>
              <w:jc w:val="right"/>
              <w:rPr>
                <w:sz w:val="16"/>
              </w:rPr>
            </w:pPr>
            <w:r>
              <w:rPr>
                <w:color w:val="231F20"/>
                <w:sz w:val="16"/>
                <w:u w:val="single" w:color="231F20"/>
              </w:rPr>
              <w:tab/>
            </w:r>
            <w:r>
              <w:rPr>
                <w:color w:val="231F20"/>
                <w:spacing w:val="-2"/>
                <w:sz w:val="16"/>
                <w:u w:val="single" w:color="231F20"/>
              </w:rPr>
              <w:t>(4,306,977)</w:t>
            </w:r>
          </w:p>
        </w:tc>
      </w:tr>
      <w:tr>
        <w:trPr>
          <w:trHeight w:val="613" w:hRule="atLeast"/>
        </w:trPr>
        <w:tc>
          <w:tcPr>
            <w:tcW w:w="3948" w:type="dxa"/>
          </w:tcPr>
          <w:p>
            <w:pPr>
              <w:pStyle w:val="TableParagraph"/>
              <w:spacing w:line="266" w:lineRule="auto" w:before="111"/>
              <w:ind w:left="513" w:right="982"/>
              <w:rPr>
                <w:sz w:val="16"/>
              </w:rPr>
            </w:pPr>
            <w:r>
              <w:rPr>
                <w:color w:val="231F20"/>
                <w:sz w:val="16"/>
              </w:rPr>
              <w:t>Total unrestricted revenues </w:t>
            </w:r>
            <w:r>
              <w:rPr>
                <w:color w:val="231F20"/>
                <w:sz w:val="16"/>
              </w:rPr>
              <w:t>and net position budgeted</w:t>
            </w:r>
          </w:p>
        </w:tc>
        <w:tc>
          <w:tcPr>
            <w:tcW w:w="1215" w:type="dxa"/>
          </w:tcPr>
          <w:p>
            <w:pPr>
              <w:pStyle w:val="TableParagraph"/>
              <w:rPr>
                <w:b/>
                <w:sz w:val="18"/>
              </w:rPr>
            </w:pPr>
          </w:p>
          <w:p>
            <w:pPr>
              <w:pStyle w:val="TableParagraph"/>
              <w:spacing w:before="108"/>
              <w:ind w:left="-1"/>
              <w:rPr>
                <w:sz w:val="16"/>
              </w:rPr>
            </w:pPr>
            <w:r>
              <w:rPr>
                <w:color w:val="231F20"/>
                <w:spacing w:val="62"/>
                <w:sz w:val="16"/>
                <w:u w:val="single" w:color="231F20"/>
              </w:rPr>
              <w:t>  </w:t>
            </w:r>
            <w:r>
              <w:rPr>
                <w:color w:val="231F20"/>
                <w:spacing w:val="-2"/>
                <w:sz w:val="16"/>
                <w:u w:val="single" w:color="231F20"/>
              </w:rPr>
              <w:t>116,180,891</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spacing w:before="108"/>
              <w:ind w:left="-2" w:right="1"/>
              <w:jc w:val="right"/>
              <w:rPr>
                <w:sz w:val="16"/>
              </w:rPr>
            </w:pPr>
            <w:r>
              <w:rPr>
                <w:color w:val="231F20"/>
                <w:spacing w:val="63"/>
                <w:sz w:val="16"/>
                <w:u w:val="single" w:color="231F20"/>
              </w:rPr>
              <w:t>  </w:t>
            </w:r>
            <w:r>
              <w:rPr>
                <w:color w:val="231F20"/>
                <w:spacing w:val="-2"/>
                <w:sz w:val="16"/>
                <w:u w:val="single" w:color="231F20"/>
              </w:rPr>
              <w:t>141,090,491</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spacing w:before="108"/>
              <w:ind w:left="-3"/>
              <w:jc w:val="right"/>
              <w:rPr>
                <w:sz w:val="16"/>
              </w:rPr>
            </w:pPr>
            <w:r>
              <w:rPr>
                <w:color w:val="231F20"/>
                <w:spacing w:val="63"/>
                <w:sz w:val="16"/>
                <w:u w:val="single" w:color="231F20"/>
              </w:rPr>
              <w:t>  </w:t>
            </w:r>
            <w:r>
              <w:rPr>
                <w:color w:val="231F20"/>
                <w:spacing w:val="-2"/>
                <w:sz w:val="16"/>
                <w:u w:val="single" w:color="231F20"/>
              </w:rPr>
              <w:t>138,783,514</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tabs>
                <w:tab w:pos="340" w:val="left" w:leader="none"/>
              </w:tabs>
              <w:spacing w:before="108"/>
              <w:ind w:left="-4" w:right="33"/>
              <w:jc w:val="right"/>
              <w:rPr>
                <w:sz w:val="16"/>
              </w:rPr>
            </w:pPr>
            <w:r>
              <w:rPr>
                <w:color w:val="231F20"/>
                <w:sz w:val="16"/>
                <w:u w:val="single" w:color="231F20"/>
              </w:rPr>
              <w:tab/>
            </w:r>
            <w:r>
              <w:rPr>
                <w:color w:val="231F20"/>
                <w:spacing w:val="-2"/>
                <w:sz w:val="16"/>
                <w:u w:val="single" w:color="231F20"/>
              </w:rPr>
              <w:t>(4,306,977)</w:t>
            </w:r>
          </w:p>
        </w:tc>
      </w:tr>
      <w:tr>
        <w:trPr>
          <w:trHeight w:val="511" w:hRule="atLeast"/>
        </w:trPr>
        <w:tc>
          <w:tcPr>
            <w:tcW w:w="3948" w:type="dxa"/>
          </w:tcPr>
          <w:p>
            <w:pPr>
              <w:pStyle w:val="TableParagraph"/>
              <w:spacing w:line="200" w:lineRule="atLeast" w:before="92"/>
              <w:ind w:left="284" w:right="1839" w:hanging="230"/>
              <w:rPr>
                <w:sz w:val="16"/>
              </w:rPr>
            </w:pPr>
            <w:r>
              <w:rPr>
                <w:color w:val="231F20"/>
                <w:sz w:val="16"/>
              </w:rPr>
              <w:t>Unrestricted </w:t>
            </w:r>
            <w:r>
              <w:rPr>
                <w:color w:val="231F20"/>
                <w:sz w:val="16"/>
              </w:rPr>
              <w:t>expenditures: Instruction</w:t>
            </w:r>
            <w:r>
              <w:rPr>
                <w:color w:val="231F20"/>
                <w:spacing w:val="11"/>
                <w:sz w:val="16"/>
              </w:rPr>
              <w:t> </w:t>
            </w:r>
            <w:r>
              <w:rPr>
                <w:color w:val="231F20"/>
                <w:sz w:val="16"/>
              </w:rPr>
              <w:t>and</w:t>
            </w:r>
            <w:r>
              <w:rPr>
                <w:color w:val="231F20"/>
                <w:spacing w:val="10"/>
                <w:sz w:val="16"/>
              </w:rPr>
              <w:t> </w:t>
            </w:r>
            <w:r>
              <w:rPr>
                <w:color w:val="231F20"/>
                <w:spacing w:val="-2"/>
                <w:sz w:val="16"/>
              </w:rPr>
              <w:t>general</w:t>
            </w:r>
          </w:p>
        </w:tc>
        <w:tc>
          <w:tcPr>
            <w:tcW w:w="1215" w:type="dxa"/>
          </w:tcPr>
          <w:p>
            <w:pPr>
              <w:pStyle w:val="TableParagraph"/>
              <w:rPr>
                <w:b/>
                <w:sz w:val="18"/>
              </w:rPr>
            </w:pPr>
          </w:p>
          <w:p>
            <w:pPr>
              <w:pStyle w:val="TableParagraph"/>
              <w:spacing w:line="175" w:lineRule="exact" w:before="109"/>
              <w:ind w:left="307"/>
              <w:rPr>
                <w:sz w:val="16"/>
              </w:rPr>
            </w:pPr>
            <w:r>
              <w:rPr>
                <w:color w:val="231F20"/>
                <w:spacing w:val="-2"/>
                <w:sz w:val="16"/>
              </w:rPr>
              <w:t>44,663,754</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spacing w:line="175" w:lineRule="exact" w:before="109"/>
              <w:ind w:left="306"/>
              <w:rPr>
                <w:sz w:val="16"/>
              </w:rPr>
            </w:pPr>
            <w:r>
              <w:rPr>
                <w:color w:val="231F20"/>
                <w:spacing w:val="-2"/>
                <w:sz w:val="16"/>
              </w:rPr>
              <w:t>50,122,135</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spacing w:line="175" w:lineRule="exact" w:before="109"/>
              <w:ind w:left="-2" w:right="88"/>
              <w:jc w:val="right"/>
              <w:rPr>
                <w:sz w:val="16"/>
              </w:rPr>
            </w:pPr>
            <w:r>
              <w:rPr>
                <w:color w:val="231F20"/>
                <w:spacing w:val="-2"/>
                <w:sz w:val="16"/>
              </w:rPr>
              <w:t>41,585,916</w:t>
            </w:r>
          </w:p>
        </w:tc>
        <w:tc>
          <w:tcPr>
            <w:tcW w:w="166" w:type="dxa"/>
          </w:tcPr>
          <w:p>
            <w:pPr>
              <w:pStyle w:val="TableParagraph"/>
              <w:rPr>
                <w:rFonts w:ascii="Times New Roman"/>
                <w:sz w:val="16"/>
              </w:rPr>
            </w:pPr>
          </w:p>
        </w:tc>
        <w:tc>
          <w:tcPr>
            <w:tcW w:w="1215" w:type="dxa"/>
          </w:tcPr>
          <w:p>
            <w:pPr>
              <w:pStyle w:val="TableParagraph"/>
              <w:rPr>
                <w:b/>
                <w:sz w:val="18"/>
              </w:rPr>
            </w:pPr>
          </w:p>
          <w:p>
            <w:pPr>
              <w:pStyle w:val="TableParagraph"/>
              <w:spacing w:line="175" w:lineRule="exact" w:before="109"/>
              <w:ind w:left="-2" w:right="33"/>
              <w:jc w:val="right"/>
              <w:rPr>
                <w:sz w:val="16"/>
              </w:rPr>
            </w:pPr>
            <w:r>
              <w:rPr>
                <w:color w:val="231F20"/>
                <w:spacing w:val="-2"/>
                <w:sz w:val="16"/>
              </w:rPr>
              <w:t>(8,536,219)</w:t>
            </w:r>
          </w:p>
        </w:tc>
      </w:tr>
      <w:tr>
        <w:trPr>
          <w:trHeight w:val="204" w:hRule="atLeast"/>
        </w:trPr>
        <w:tc>
          <w:tcPr>
            <w:tcW w:w="3948" w:type="dxa"/>
          </w:tcPr>
          <w:p>
            <w:pPr>
              <w:pStyle w:val="TableParagraph"/>
              <w:spacing w:line="176" w:lineRule="exact" w:before="9"/>
              <w:ind w:left="284"/>
              <w:rPr>
                <w:sz w:val="16"/>
              </w:rPr>
            </w:pPr>
            <w:r>
              <w:rPr>
                <w:color w:val="231F20"/>
                <w:sz w:val="16"/>
              </w:rPr>
              <w:t>Student</w:t>
            </w:r>
            <w:r>
              <w:rPr>
                <w:color w:val="231F20"/>
                <w:spacing w:val="8"/>
                <w:sz w:val="16"/>
              </w:rPr>
              <w:t> </w:t>
            </w:r>
            <w:r>
              <w:rPr>
                <w:color w:val="231F20"/>
                <w:sz w:val="16"/>
              </w:rPr>
              <w:t>social</w:t>
            </w:r>
            <w:r>
              <w:rPr>
                <w:color w:val="231F20"/>
                <w:spacing w:val="9"/>
                <w:sz w:val="16"/>
              </w:rPr>
              <w:t> </w:t>
            </w:r>
            <w:r>
              <w:rPr>
                <w:color w:val="231F20"/>
                <w:sz w:val="16"/>
              </w:rPr>
              <w:t>and</w:t>
            </w:r>
            <w:r>
              <w:rPr>
                <w:color w:val="231F20"/>
                <w:spacing w:val="8"/>
                <w:sz w:val="16"/>
              </w:rPr>
              <w:t> </w:t>
            </w:r>
            <w:r>
              <w:rPr>
                <w:color w:val="231F20"/>
                <w:spacing w:val="-2"/>
                <w:sz w:val="16"/>
              </w:rPr>
              <w:t>cultural</w:t>
            </w:r>
          </w:p>
        </w:tc>
        <w:tc>
          <w:tcPr>
            <w:tcW w:w="1215" w:type="dxa"/>
          </w:tcPr>
          <w:p>
            <w:pPr>
              <w:pStyle w:val="TableParagraph"/>
              <w:spacing w:line="176" w:lineRule="exact" w:before="9"/>
              <w:ind w:left="-2" w:right="85"/>
              <w:jc w:val="right"/>
              <w:rPr>
                <w:sz w:val="16"/>
              </w:rPr>
            </w:pPr>
            <w:r>
              <w:rPr>
                <w:color w:val="231F20"/>
                <w:spacing w:val="-2"/>
                <w:sz w:val="16"/>
              </w:rPr>
              <w:t>743,497</w:t>
            </w:r>
          </w:p>
        </w:tc>
        <w:tc>
          <w:tcPr>
            <w:tcW w:w="166" w:type="dxa"/>
          </w:tcPr>
          <w:p>
            <w:pPr>
              <w:pStyle w:val="TableParagraph"/>
              <w:rPr>
                <w:rFonts w:ascii="Times New Roman"/>
                <w:sz w:val="14"/>
              </w:rPr>
            </w:pPr>
          </w:p>
        </w:tc>
        <w:tc>
          <w:tcPr>
            <w:tcW w:w="1215" w:type="dxa"/>
          </w:tcPr>
          <w:p>
            <w:pPr>
              <w:pStyle w:val="TableParagraph"/>
              <w:spacing w:line="176" w:lineRule="exact" w:before="9"/>
              <w:ind w:left="397"/>
              <w:rPr>
                <w:sz w:val="16"/>
              </w:rPr>
            </w:pPr>
            <w:r>
              <w:rPr>
                <w:color w:val="231F20"/>
                <w:spacing w:val="-2"/>
                <w:sz w:val="16"/>
              </w:rPr>
              <w:t>1,573,722</w:t>
            </w:r>
          </w:p>
        </w:tc>
        <w:tc>
          <w:tcPr>
            <w:tcW w:w="166" w:type="dxa"/>
          </w:tcPr>
          <w:p>
            <w:pPr>
              <w:pStyle w:val="TableParagraph"/>
              <w:rPr>
                <w:rFonts w:ascii="Times New Roman"/>
                <w:sz w:val="14"/>
              </w:rPr>
            </w:pPr>
          </w:p>
        </w:tc>
        <w:tc>
          <w:tcPr>
            <w:tcW w:w="1215" w:type="dxa"/>
          </w:tcPr>
          <w:p>
            <w:pPr>
              <w:pStyle w:val="TableParagraph"/>
              <w:spacing w:line="176" w:lineRule="exact" w:before="9"/>
              <w:ind w:left="-2" w:right="87"/>
              <w:jc w:val="right"/>
              <w:rPr>
                <w:sz w:val="16"/>
              </w:rPr>
            </w:pPr>
            <w:r>
              <w:rPr>
                <w:color w:val="231F20"/>
                <w:spacing w:val="-2"/>
                <w:sz w:val="16"/>
              </w:rPr>
              <w:t>1,102,432</w:t>
            </w:r>
          </w:p>
        </w:tc>
        <w:tc>
          <w:tcPr>
            <w:tcW w:w="166" w:type="dxa"/>
          </w:tcPr>
          <w:p>
            <w:pPr>
              <w:pStyle w:val="TableParagraph"/>
              <w:rPr>
                <w:rFonts w:ascii="Times New Roman"/>
                <w:sz w:val="14"/>
              </w:rPr>
            </w:pPr>
          </w:p>
        </w:tc>
        <w:tc>
          <w:tcPr>
            <w:tcW w:w="1215" w:type="dxa"/>
          </w:tcPr>
          <w:p>
            <w:pPr>
              <w:pStyle w:val="TableParagraph"/>
              <w:spacing w:line="176" w:lineRule="exact" w:before="9"/>
              <w:ind w:left="-2" w:right="33"/>
              <w:jc w:val="right"/>
              <w:rPr>
                <w:sz w:val="16"/>
              </w:rPr>
            </w:pPr>
            <w:r>
              <w:rPr>
                <w:color w:val="231F20"/>
                <w:spacing w:val="-2"/>
                <w:sz w:val="16"/>
              </w:rPr>
              <w:t>(471,290)</w:t>
            </w:r>
          </w:p>
        </w:tc>
      </w:tr>
      <w:tr>
        <w:trPr>
          <w:trHeight w:val="204" w:hRule="atLeast"/>
        </w:trPr>
        <w:tc>
          <w:tcPr>
            <w:tcW w:w="3948" w:type="dxa"/>
          </w:tcPr>
          <w:p>
            <w:pPr>
              <w:pStyle w:val="TableParagraph"/>
              <w:spacing w:line="175" w:lineRule="exact" w:before="9"/>
              <w:ind w:left="284"/>
              <w:rPr>
                <w:sz w:val="16"/>
              </w:rPr>
            </w:pPr>
            <w:r>
              <w:rPr>
                <w:color w:val="231F20"/>
                <w:spacing w:val="-2"/>
                <w:sz w:val="16"/>
              </w:rPr>
              <w:t>Research</w:t>
            </w:r>
          </w:p>
        </w:tc>
        <w:tc>
          <w:tcPr>
            <w:tcW w:w="1215" w:type="dxa"/>
          </w:tcPr>
          <w:p>
            <w:pPr>
              <w:pStyle w:val="TableParagraph"/>
              <w:spacing w:line="175" w:lineRule="exact" w:before="9"/>
              <w:ind w:left="305"/>
              <w:rPr>
                <w:sz w:val="16"/>
              </w:rPr>
            </w:pPr>
            <w:r>
              <w:rPr>
                <w:color w:val="231F20"/>
                <w:spacing w:val="-2"/>
                <w:sz w:val="16"/>
              </w:rPr>
              <w:t>10,038,670</w:t>
            </w:r>
          </w:p>
        </w:tc>
        <w:tc>
          <w:tcPr>
            <w:tcW w:w="166" w:type="dxa"/>
          </w:tcPr>
          <w:p>
            <w:pPr>
              <w:pStyle w:val="TableParagraph"/>
              <w:rPr>
                <w:rFonts w:ascii="Times New Roman"/>
                <w:sz w:val="14"/>
              </w:rPr>
            </w:pPr>
          </w:p>
        </w:tc>
        <w:tc>
          <w:tcPr>
            <w:tcW w:w="1215" w:type="dxa"/>
          </w:tcPr>
          <w:p>
            <w:pPr>
              <w:pStyle w:val="TableParagraph"/>
              <w:spacing w:line="175" w:lineRule="exact" w:before="9"/>
              <w:ind w:left="306"/>
              <w:rPr>
                <w:sz w:val="16"/>
              </w:rPr>
            </w:pPr>
            <w:r>
              <w:rPr>
                <w:color w:val="231F20"/>
                <w:spacing w:val="-2"/>
                <w:sz w:val="16"/>
              </w:rPr>
              <w:t>13,368,489</w:t>
            </w:r>
          </w:p>
        </w:tc>
        <w:tc>
          <w:tcPr>
            <w:tcW w:w="166" w:type="dxa"/>
          </w:tcPr>
          <w:p>
            <w:pPr>
              <w:pStyle w:val="TableParagraph"/>
              <w:rPr>
                <w:rFonts w:ascii="Times New Roman"/>
                <w:sz w:val="14"/>
              </w:rPr>
            </w:pPr>
          </w:p>
        </w:tc>
        <w:tc>
          <w:tcPr>
            <w:tcW w:w="1215" w:type="dxa"/>
          </w:tcPr>
          <w:p>
            <w:pPr>
              <w:pStyle w:val="TableParagraph"/>
              <w:spacing w:line="175" w:lineRule="exact" w:before="9"/>
              <w:ind w:left="-2" w:right="87"/>
              <w:jc w:val="right"/>
              <w:rPr>
                <w:sz w:val="16"/>
              </w:rPr>
            </w:pPr>
            <w:r>
              <w:rPr>
                <w:color w:val="231F20"/>
                <w:spacing w:val="-2"/>
                <w:sz w:val="16"/>
              </w:rPr>
              <w:t>7,805,725</w:t>
            </w:r>
          </w:p>
        </w:tc>
        <w:tc>
          <w:tcPr>
            <w:tcW w:w="166" w:type="dxa"/>
          </w:tcPr>
          <w:p>
            <w:pPr>
              <w:pStyle w:val="TableParagraph"/>
              <w:rPr>
                <w:rFonts w:ascii="Times New Roman"/>
                <w:sz w:val="14"/>
              </w:rPr>
            </w:pPr>
          </w:p>
        </w:tc>
        <w:tc>
          <w:tcPr>
            <w:tcW w:w="1215" w:type="dxa"/>
          </w:tcPr>
          <w:p>
            <w:pPr>
              <w:pStyle w:val="TableParagraph"/>
              <w:spacing w:line="175" w:lineRule="exact" w:before="9"/>
              <w:ind w:left="-2" w:right="33"/>
              <w:jc w:val="right"/>
              <w:rPr>
                <w:sz w:val="16"/>
              </w:rPr>
            </w:pPr>
            <w:r>
              <w:rPr>
                <w:color w:val="231F20"/>
                <w:spacing w:val="-2"/>
                <w:sz w:val="16"/>
              </w:rPr>
              <w:t>(5,562,764)</w:t>
            </w:r>
          </w:p>
        </w:tc>
      </w:tr>
      <w:tr>
        <w:trPr>
          <w:trHeight w:val="204" w:hRule="atLeast"/>
        </w:trPr>
        <w:tc>
          <w:tcPr>
            <w:tcW w:w="3948" w:type="dxa"/>
          </w:tcPr>
          <w:p>
            <w:pPr>
              <w:pStyle w:val="TableParagraph"/>
              <w:spacing w:line="176" w:lineRule="exact" w:before="9"/>
              <w:ind w:left="283"/>
              <w:rPr>
                <w:sz w:val="16"/>
              </w:rPr>
            </w:pPr>
            <w:r>
              <w:rPr>
                <w:color w:val="231F20"/>
                <w:sz w:val="16"/>
              </w:rPr>
              <w:t>Public</w:t>
            </w:r>
            <w:r>
              <w:rPr>
                <w:color w:val="231F20"/>
                <w:spacing w:val="8"/>
                <w:sz w:val="16"/>
              </w:rPr>
              <w:t> </w:t>
            </w:r>
            <w:r>
              <w:rPr>
                <w:color w:val="231F20"/>
                <w:spacing w:val="-2"/>
                <w:sz w:val="16"/>
              </w:rPr>
              <w:t>service</w:t>
            </w:r>
          </w:p>
        </w:tc>
        <w:tc>
          <w:tcPr>
            <w:tcW w:w="1215" w:type="dxa"/>
          </w:tcPr>
          <w:p>
            <w:pPr>
              <w:pStyle w:val="TableParagraph"/>
              <w:spacing w:line="176" w:lineRule="exact" w:before="9"/>
              <w:ind w:left="-2" w:right="86"/>
              <w:jc w:val="right"/>
              <w:rPr>
                <w:sz w:val="16"/>
              </w:rPr>
            </w:pPr>
            <w:r>
              <w:rPr>
                <w:color w:val="231F20"/>
                <w:spacing w:val="-2"/>
                <w:sz w:val="16"/>
              </w:rPr>
              <w:t>1,699,396</w:t>
            </w:r>
          </w:p>
        </w:tc>
        <w:tc>
          <w:tcPr>
            <w:tcW w:w="166" w:type="dxa"/>
          </w:tcPr>
          <w:p>
            <w:pPr>
              <w:pStyle w:val="TableParagraph"/>
              <w:rPr>
                <w:rFonts w:ascii="Times New Roman"/>
                <w:sz w:val="14"/>
              </w:rPr>
            </w:pPr>
          </w:p>
        </w:tc>
        <w:tc>
          <w:tcPr>
            <w:tcW w:w="1215" w:type="dxa"/>
          </w:tcPr>
          <w:p>
            <w:pPr>
              <w:pStyle w:val="TableParagraph"/>
              <w:spacing w:line="176" w:lineRule="exact" w:before="9"/>
              <w:ind w:left="397"/>
              <w:rPr>
                <w:sz w:val="16"/>
              </w:rPr>
            </w:pPr>
            <w:r>
              <w:rPr>
                <w:color w:val="231F20"/>
                <w:spacing w:val="-2"/>
                <w:sz w:val="16"/>
              </w:rPr>
              <w:t>2,435,090</w:t>
            </w:r>
          </w:p>
        </w:tc>
        <w:tc>
          <w:tcPr>
            <w:tcW w:w="166" w:type="dxa"/>
          </w:tcPr>
          <w:p>
            <w:pPr>
              <w:pStyle w:val="TableParagraph"/>
              <w:rPr>
                <w:rFonts w:ascii="Times New Roman"/>
                <w:sz w:val="14"/>
              </w:rPr>
            </w:pPr>
          </w:p>
        </w:tc>
        <w:tc>
          <w:tcPr>
            <w:tcW w:w="1215" w:type="dxa"/>
          </w:tcPr>
          <w:p>
            <w:pPr>
              <w:pStyle w:val="TableParagraph"/>
              <w:spacing w:line="176" w:lineRule="exact" w:before="9"/>
              <w:ind w:left="-2" w:right="88"/>
              <w:jc w:val="right"/>
              <w:rPr>
                <w:sz w:val="16"/>
              </w:rPr>
            </w:pPr>
            <w:r>
              <w:rPr>
                <w:color w:val="231F20"/>
                <w:spacing w:val="-2"/>
                <w:sz w:val="16"/>
              </w:rPr>
              <w:t>688,537</w:t>
            </w:r>
          </w:p>
        </w:tc>
        <w:tc>
          <w:tcPr>
            <w:tcW w:w="166" w:type="dxa"/>
          </w:tcPr>
          <w:p>
            <w:pPr>
              <w:pStyle w:val="TableParagraph"/>
              <w:rPr>
                <w:rFonts w:ascii="Times New Roman"/>
                <w:sz w:val="14"/>
              </w:rPr>
            </w:pPr>
          </w:p>
        </w:tc>
        <w:tc>
          <w:tcPr>
            <w:tcW w:w="1215" w:type="dxa"/>
          </w:tcPr>
          <w:p>
            <w:pPr>
              <w:pStyle w:val="TableParagraph"/>
              <w:spacing w:line="176" w:lineRule="exact" w:before="9"/>
              <w:ind w:left="-2" w:right="34"/>
              <w:jc w:val="right"/>
              <w:rPr>
                <w:sz w:val="16"/>
              </w:rPr>
            </w:pPr>
            <w:r>
              <w:rPr>
                <w:color w:val="231F20"/>
                <w:spacing w:val="-2"/>
                <w:sz w:val="16"/>
              </w:rPr>
              <w:t>(1,746,553)</w:t>
            </w:r>
          </w:p>
        </w:tc>
      </w:tr>
      <w:tr>
        <w:trPr>
          <w:trHeight w:val="204" w:hRule="atLeast"/>
        </w:trPr>
        <w:tc>
          <w:tcPr>
            <w:tcW w:w="3948" w:type="dxa"/>
          </w:tcPr>
          <w:p>
            <w:pPr>
              <w:pStyle w:val="TableParagraph"/>
              <w:spacing w:line="175" w:lineRule="exact" w:before="9"/>
              <w:ind w:left="283"/>
              <w:rPr>
                <w:sz w:val="16"/>
              </w:rPr>
            </w:pPr>
            <w:r>
              <w:rPr>
                <w:color w:val="231F20"/>
                <w:sz w:val="16"/>
              </w:rPr>
              <w:t>Internal</w:t>
            </w:r>
            <w:r>
              <w:rPr>
                <w:color w:val="231F20"/>
                <w:spacing w:val="10"/>
                <w:sz w:val="16"/>
              </w:rPr>
              <w:t> </w:t>
            </w:r>
            <w:r>
              <w:rPr>
                <w:color w:val="231F20"/>
                <w:sz w:val="16"/>
              </w:rPr>
              <w:t>service</w:t>
            </w:r>
            <w:r>
              <w:rPr>
                <w:color w:val="231F20"/>
                <w:spacing w:val="10"/>
                <w:sz w:val="16"/>
              </w:rPr>
              <w:t> </w:t>
            </w:r>
            <w:r>
              <w:rPr>
                <w:color w:val="231F20"/>
                <w:spacing w:val="-2"/>
                <w:sz w:val="16"/>
              </w:rPr>
              <w:t>departments</w:t>
            </w:r>
          </w:p>
        </w:tc>
        <w:tc>
          <w:tcPr>
            <w:tcW w:w="1215" w:type="dxa"/>
          </w:tcPr>
          <w:p>
            <w:pPr>
              <w:pStyle w:val="TableParagraph"/>
              <w:spacing w:line="175" w:lineRule="exact" w:before="9"/>
              <w:ind w:left="-2" w:right="86"/>
              <w:jc w:val="right"/>
              <w:rPr>
                <w:sz w:val="16"/>
              </w:rPr>
            </w:pPr>
            <w:r>
              <w:rPr>
                <w:color w:val="231F20"/>
                <w:spacing w:val="-2"/>
                <w:sz w:val="16"/>
              </w:rPr>
              <w:t>867,000</w:t>
            </w:r>
          </w:p>
        </w:tc>
        <w:tc>
          <w:tcPr>
            <w:tcW w:w="166" w:type="dxa"/>
          </w:tcPr>
          <w:p>
            <w:pPr>
              <w:pStyle w:val="TableParagraph"/>
              <w:rPr>
                <w:rFonts w:ascii="Times New Roman"/>
                <w:sz w:val="14"/>
              </w:rPr>
            </w:pPr>
          </w:p>
        </w:tc>
        <w:tc>
          <w:tcPr>
            <w:tcW w:w="1215" w:type="dxa"/>
          </w:tcPr>
          <w:p>
            <w:pPr>
              <w:pStyle w:val="TableParagraph"/>
              <w:spacing w:line="175" w:lineRule="exact" w:before="9"/>
              <w:ind w:left="-2" w:right="86"/>
              <w:jc w:val="right"/>
              <w:rPr>
                <w:sz w:val="16"/>
              </w:rPr>
            </w:pPr>
            <w:r>
              <w:rPr>
                <w:color w:val="231F20"/>
                <w:spacing w:val="-2"/>
                <w:sz w:val="16"/>
              </w:rPr>
              <w:t>850,369</w:t>
            </w:r>
          </w:p>
        </w:tc>
        <w:tc>
          <w:tcPr>
            <w:tcW w:w="166" w:type="dxa"/>
          </w:tcPr>
          <w:p>
            <w:pPr>
              <w:pStyle w:val="TableParagraph"/>
              <w:rPr>
                <w:rFonts w:ascii="Times New Roman"/>
                <w:sz w:val="14"/>
              </w:rPr>
            </w:pPr>
          </w:p>
        </w:tc>
        <w:tc>
          <w:tcPr>
            <w:tcW w:w="1215" w:type="dxa"/>
          </w:tcPr>
          <w:p>
            <w:pPr>
              <w:pStyle w:val="TableParagraph"/>
              <w:spacing w:line="175" w:lineRule="exact" w:before="9"/>
              <w:ind w:left="-2" w:right="88"/>
              <w:jc w:val="right"/>
              <w:rPr>
                <w:sz w:val="16"/>
              </w:rPr>
            </w:pPr>
            <w:r>
              <w:rPr>
                <w:color w:val="231F20"/>
                <w:spacing w:val="-2"/>
                <w:sz w:val="16"/>
              </w:rPr>
              <w:t>900,514</w:t>
            </w:r>
          </w:p>
        </w:tc>
        <w:tc>
          <w:tcPr>
            <w:tcW w:w="166" w:type="dxa"/>
          </w:tcPr>
          <w:p>
            <w:pPr>
              <w:pStyle w:val="TableParagraph"/>
              <w:rPr>
                <w:rFonts w:ascii="Times New Roman"/>
                <w:sz w:val="14"/>
              </w:rPr>
            </w:pPr>
          </w:p>
        </w:tc>
        <w:tc>
          <w:tcPr>
            <w:tcW w:w="1215" w:type="dxa"/>
          </w:tcPr>
          <w:p>
            <w:pPr>
              <w:pStyle w:val="TableParagraph"/>
              <w:spacing w:line="175" w:lineRule="exact" w:before="9"/>
              <w:ind w:left="-2" w:right="89"/>
              <w:jc w:val="right"/>
              <w:rPr>
                <w:sz w:val="16"/>
              </w:rPr>
            </w:pPr>
            <w:r>
              <w:rPr>
                <w:color w:val="231F20"/>
                <w:spacing w:val="-2"/>
                <w:sz w:val="16"/>
              </w:rPr>
              <w:t>50,145</w:t>
            </w:r>
          </w:p>
        </w:tc>
      </w:tr>
      <w:tr>
        <w:trPr>
          <w:trHeight w:val="204" w:hRule="atLeast"/>
        </w:trPr>
        <w:tc>
          <w:tcPr>
            <w:tcW w:w="3948" w:type="dxa"/>
          </w:tcPr>
          <w:p>
            <w:pPr>
              <w:pStyle w:val="TableParagraph"/>
              <w:spacing w:line="176" w:lineRule="exact" w:before="9"/>
              <w:ind w:left="283"/>
              <w:rPr>
                <w:sz w:val="16"/>
              </w:rPr>
            </w:pPr>
            <w:r>
              <w:rPr>
                <w:color w:val="231F20"/>
                <w:sz w:val="16"/>
              </w:rPr>
              <w:t>Student</w:t>
            </w:r>
            <w:r>
              <w:rPr>
                <w:color w:val="231F20"/>
                <w:spacing w:val="10"/>
                <w:sz w:val="16"/>
              </w:rPr>
              <w:t> </w:t>
            </w:r>
            <w:r>
              <w:rPr>
                <w:color w:val="231F20"/>
                <w:spacing w:val="-5"/>
                <w:sz w:val="16"/>
              </w:rPr>
              <w:t>aid</w:t>
            </w:r>
          </w:p>
        </w:tc>
        <w:tc>
          <w:tcPr>
            <w:tcW w:w="1215" w:type="dxa"/>
          </w:tcPr>
          <w:p>
            <w:pPr>
              <w:pStyle w:val="TableParagraph"/>
              <w:spacing w:line="176" w:lineRule="exact" w:before="9"/>
              <w:ind w:left="-2" w:right="86"/>
              <w:jc w:val="right"/>
              <w:rPr>
                <w:sz w:val="16"/>
              </w:rPr>
            </w:pPr>
            <w:r>
              <w:rPr>
                <w:color w:val="231F20"/>
                <w:spacing w:val="-2"/>
                <w:sz w:val="16"/>
              </w:rPr>
              <w:t>4,081,547</w:t>
            </w:r>
          </w:p>
        </w:tc>
        <w:tc>
          <w:tcPr>
            <w:tcW w:w="166" w:type="dxa"/>
          </w:tcPr>
          <w:p>
            <w:pPr>
              <w:pStyle w:val="TableParagraph"/>
              <w:rPr>
                <w:rFonts w:ascii="Times New Roman"/>
                <w:sz w:val="14"/>
              </w:rPr>
            </w:pPr>
          </w:p>
        </w:tc>
        <w:tc>
          <w:tcPr>
            <w:tcW w:w="1215" w:type="dxa"/>
          </w:tcPr>
          <w:p>
            <w:pPr>
              <w:pStyle w:val="TableParagraph"/>
              <w:spacing w:line="176" w:lineRule="exact" w:before="9"/>
              <w:ind w:left="396"/>
              <w:rPr>
                <w:sz w:val="16"/>
              </w:rPr>
            </w:pPr>
            <w:r>
              <w:rPr>
                <w:color w:val="231F20"/>
                <w:spacing w:val="-2"/>
                <w:sz w:val="16"/>
              </w:rPr>
              <w:t>6,461,851</w:t>
            </w:r>
          </w:p>
        </w:tc>
        <w:tc>
          <w:tcPr>
            <w:tcW w:w="166" w:type="dxa"/>
          </w:tcPr>
          <w:p>
            <w:pPr>
              <w:pStyle w:val="TableParagraph"/>
              <w:rPr>
                <w:rFonts w:ascii="Times New Roman"/>
                <w:sz w:val="14"/>
              </w:rPr>
            </w:pPr>
          </w:p>
        </w:tc>
        <w:tc>
          <w:tcPr>
            <w:tcW w:w="1215" w:type="dxa"/>
          </w:tcPr>
          <w:p>
            <w:pPr>
              <w:pStyle w:val="TableParagraph"/>
              <w:spacing w:line="176" w:lineRule="exact" w:before="9"/>
              <w:ind w:left="-2" w:right="87"/>
              <w:jc w:val="right"/>
              <w:rPr>
                <w:sz w:val="16"/>
              </w:rPr>
            </w:pPr>
            <w:r>
              <w:rPr>
                <w:color w:val="231F20"/>
                <w:spacing w:val="-2"/>
                <w:sz w:val="16"/>
              </w:rPr>
              <w:t>6,065,269</w:t>
            </w:r>
          </w:p>
        </w:tc>
        <w:tc>
          <w:tcPr>
            <w:tcW w:w="166" w:type="dxa"/>
          </w:tcPr>
          <w:p>
            <w:pPr>
              <w:pStyle w:val="TableParagraph"/>
              <w:rPr>
                <w:rFonts w:ascii="Times New Roman"/>
                <w:sz w:val="14"/>
              </w:rPr>
            </w:pPr>
          </w:p>
        </w:tc>
        <w:tc>
          <w:tcPr>
            <w:tcW w:w="1215" w:type="dxa"/>
          </w:tcPr>
          <w:p>
            <w:pPr>
              <w:pStyle w:val="TableParagraph"/>
              <w:spacing w:line="176" w:lineRule="exact" w:before="9"/>
              <w:ind w:left="-2" w:right="34"/>
              <w:jc w:val="right"/>
              <w:rPr>
                <w:sz w:val="16"/>
              </w:rPr>
            </w:pPr>
            <w:r>
              <w:rPr>
                <w:color w:val="231F20"/>
                <w:spacing w:val="-2"/>
                <w:sz w:val="16"/>
              </w:rPr>
              <w:t>(396,582)</w:t>
            </w:r>
          </w:p>
        </w:tc>
      </w:tr>
      <w:tr>
        <w:trPr>
          <w:trHeight w:val="613" w:hRule="atLeast"/>
        </w:trPr>
        <w:tc>
          <w:tcPr>
            <w:tcW w:w="3948" w:type="dxa"/>
          </w:tcPr>
          <w:p>
            <w:pPr>
              <w:pStyle w:val="TableParagraph"/>
              <w:spacing w:line="266" w:lineRule="auto" w:before="9"/>
              <w:ind w:left="283" w:right="1839"/>
              <w:rPr>
                <w:sz w:val="16"/>
              </w:rPr>
            </w:pPr>
            <w:r>
              <w:rPr>
                <w:color w:val="231F20"/>
                <w:sz w:val="16"/>
              </w:rPr>
              <w:t>Auxiliary enterprises Intercollegiate</w:t>
            </w:r>
            <w:r>
              <w:rPr>
                <w:color w:val="231F20"/>
                <w:spacing w:val="18"/>
                <w:sz w:val="16"/>
              </w:rPr>
              <w:t> </w:t>
            </w:r>
            <w:r>
              <w:rPr>
                <w:color w:val="231F20"/>
                <w:spacing w:val="-2"/>
                <w:sz w:val="16"/>
              </w:rPr>
              <w:t>athletics</w:t>
            </w:r>
          </w:p>
          <w:p>
            <w:pPr>
              <w:pStyle w:val="TableParagraph"/>
              <w:spacing w:line="175" w:lineRule="exact" w:before="1"/>
              <w:ind w:left="283"/>
              <w:rPr>
                <w:sz w:val="16"/>
              </w:rPr>
            </w:pPr>
            <w:r>
              <w:rPr>
                <w:color w:val="231F20"/>
                <w:sz w:val="16"/>
              </w:rPr>
              <w:t>Independent</w:t>
            </w:r>
            <w:r>
              <w:rPr>
                <w:color w:val="231F20"/>
                <w:spacing w:val="17"/>
                <w:sz w:val="16"/>
              </w:rPr>
              <w:t> </w:t>
            </w:r>
            <w:r>
              <w:rPr>
                <w:color w:val="231F20"/>
                <w:spacing w:val="-2"/>
                <w:sz w:val="16"/>
              </w:rPr>
              <w:t>operations</w:t>
            </w:r>
          </w:p>
        </w:tc>
        <w:tc>
          <w:tcPr>
            <w:tcW w:w="1215" w:type="dxa"/>
          </w:tcPr>
          <w:p>
            <w:pPr>
              <w:pStyle w:val="TableParagraph"/>
              <w:spacing w:before="9"/>
              <w:ind w:left="-2" w:right="86"/>
              <w:jc w:val="right"/>
              <w:rPr>
                <w:sz w:val="16"/>
              </w:rPr>
            </w:pPr>
            <w:r>
              <w:rPr>
                <w:color w:val="231F20"/>
                <w:spacing w:val="-2"/>
                <w:sz w:val="16"/>
              </w:rPr>
              <w:t>6,096,336</w:t>
            </w:r>
          </w:p>
          <w:p>
            <w:pPr>
              <w:pStyle w:val="TableParagraph"/>
              <w:spacing w:line="206" w:lineRule="exact"/>
              <w:ind w:left="396" w:right="86" w:firstLine="674"/>
              <w:jc w:val="right"/>
              <w:rPr>
                <w:sz w:val="16"/>
              </w:rPr>
            </w:pPr>
            <w:r>
              <w:rPr>
                <w:color w:val="231F20"/>
                <w:spacing w:val="-10"/>
                <w:sz w:val="16"/>
              </w:rPr>
              <w:t>-</w:t>
            </w:r>
            <w:r>
              <w:rPr>
                <w:color w:val="231F20"/>
                <w:spacing w:val="-2"/>
                <w:sz w:val="16"/>
              </w:rPr>
              <w:t> 4,606,817</w:t>
            </w:r>
          </w:p>
        </w:tc>
        <w:tc>
          <w:tcPr>
            <w:tcW w:w="166" w:type="dxa"/>
          </w:tcPr>
          <w:p>
            <w:pPr>
              <w:pStyle w:val="TableParagraph"/>
              <w:rPr>
                <w:rFonts w:ascii="Times New Roman"/>
                <w:sz w:val="16"/>
              </w:rPr>
            </w:pPr>
          </w:p>
        </w:tc>
        <w:tc>
          <w:tcPr>
            <w:tcW w:w="1215" w:type="dxa"/>
          </w:tcPr>
          <w:p>
            <w:pPr>
              <w:pStyle w:val="TableParagraph"/>
              <w:spacing w:before="9"/>
              <w:ind w:left="-2" w:right="86"/>
              <w:jc w:val="right"/>
              <w:rPr>
                <w:sz w:val="16"/>
              </w:rPr>
            </w:pPr>
            <w:r>
              <w:rPr>
                <w:color w:val="231F20"/>
                <w:spacing w:val="-2"/>
                <w:sz w:val="16"/>
              </w:rPr>
              <w:t>6,104,421</w:t>
            </w:r>
          </w:p>
          <w:p>
            <w:pPr>
              <w:pStyle w:val="TableParagraph"/>
              <w:spacing w:line="206" w:lineRule="exact"/>
              <w:ind w:left="396" w:right="87" w:firstLine="674"/>
              <w:jc w:val="right"/>
              <w:rPr>
                <w:sz w:val="16"/>
              </w:rPr>
            </w:pPr>
            <w:r>
              <w:rPr>
                <w:color w:val="231F20"/>
                <w:spacing w:val="-10"/>
                <w:sz w:val="16"/>
              </w:rPr>
              <w:t>-</w:t>
            </w:r>
            <w:r>
              <w:rPr>
                <w:color w:val="231F20"/>
                <w:spacing w:val="-2"/>
                <w:sz w:val="16"/>
              </w:rPr>
              <w:t> 5,506,117</w:t>
            </w:r>
          </w:p>
        </w:tc>
        <w:tc>
          <w:tcPr>
            <w:tcW w:w="166" w:type="dxa"/>
          </w:tcPr>
          <w:p>
            <w:pPr>
              <w:pStyle w:val="TableParagraph"/>
              <w:rPr>
                <w:rFonts w:ascii="Times New Roman"/>
                <w:sz w:val="16"/>
              </w:rPr>
            </w:pPr>
          </w:p>
        </w:tc>
        <w:tc>
          <w:tcPr>
            <w:tcW w:w="1215" w:type="dxa"/>
          </w:tcPr>
          <w:p>
            <w:pPr>
              <w:pStyle w:val="TableParagraph"/>
              <w:spacing w:before="9"/>
              <w:ind w:left="-2" w:right="87"/>
              <w:jc w:val="right"/>
              <w:rPr>
                <w:sz w:val="16"/>
              </w:rPr>
            </w:pPr>
            <w:r>
              <w:rPr>
                <w:color w:val="231F20"/>
                <w:spacing w:val="-2"/>
                <w:sz w:val="16"/>
              </w:rPr>
              <w:t>5,986,541</w:t>
            </w:r>
          </w:p>
          <w:p>
            <w:pPr>
              <w:pStyle w:val="TableParagraph"/>
              <w:spacing w:line="206" w:lineRule="exact"/>
              <w:ind w:left="395" w:right="88" w:firstLine="674"/>
              <w:jc w:val="right"/>
              <w:rPr>
                <w:sz w:val="16"/>
              </w:rPr>
            </w:pPr>
            <w:r>
              <w:rPr>
                <w:color w:val="231F20"/>
                <w:spacing w:val="-10"/>
                <w:sz w:val="16"/>
              </w:rPr>
              <w:t>-</w:t>
            </w:r>
            <w:r>
              <w:rPr>
                <w:color w:val="231F20"/>
                <w:spacing w:val="-2"/>
                <w:sz w:val="16"/>
              </w:rPr>
              <w:t> 4,359,197</w:t>
            </w:r>
          </w:p>
        </w:tc>
        <w:tc>
          <w:tcPr>
            <w:tcW w:w="166" w:type="dxa"/>
          </w:tcPr>
          <w:p>
            <w:pPr>
              <w:pStyle w:val="TableParagraph"/>
              <w:rPr>
                <w:rFonts w:ascii="Times New Roman"/>
                <w:sz w:val="16"/>
              </w:rPr>
            </w:pPr>
          </w:p>
        </w:tc>
        <w:tc>
          <w:tcPr>
            <w:tcW w:w="1215" w:type="dxa"/>
          </w:tcPr>
          <w:p>
            <w:pPr>
              <w:pStyle w:val="TableParagraph"/>
              <w:spacing w:before="9"/>
              <w:ind w:left="476"/>
              <w:rPr>
                <w:sz w:val="16"/>
              </w:rPr>
            </w:pPr>
            <w:r>
              <w:rPr>
                <w:color w:val="231F20"/>
                <w:spacing w:val="-2"/>
                <w:sz w:val="16"/>
              </w:rPr>
              <w:t>(117,880)</w:t>
            </w:r>
          </w:p>
          <w:p>
            <w:pPr>
              <w:pStyle w:val="TableParagraph"/>
              <w:spacing w:line="206" w:lineRule="exact"/>
              <w:ind w:left="339" w:firstLine="730"/>
              <w:rPr>
                <w:sz w:val="16"/>
              </w:rPr>
            </w:pPr>
            <w:r>
              <w:rPr>
                <w:color w:val="231F20"/>
                <w:spacing w:val="-10"/>
                <w:sz w:val="16"/>
              </w:rPr>
              <w:t>-</w:t>
            </w:r>
            <w:r>
              <w:rPr>
                <w:color w:val="231F20"/>
                <w:spacing w:val="-2"/>
                <w:sz w:val="16"/>
              </w:rPr>
              <w:t> (1,146,920)</w:t>
            </w:r>
          </w:p>
        </w:tc>
      </w:tr>
      <w:tr>
        <w:trPr>
          <w:trHeight w:val="204" w:hRule="atLeast"/>
        </w:trPr>
        <w:tc>
          <w:tcPr>
            <w:tcW w:w="3948" w:type="dxa"/>
          </w:tcPr>
          <w:p>
            <w:pPr>
              <w:pStyle w:val="TableParagraph"/>
              <w:spacing w:line="176" w:lineRule="exact" w:before="9"/>
              <w:ind w:left="283"/>
              <w:rPr>
                <w:sz w:val="16"/>
              </w:rPr>
            </w:pPr>
            <w:r>
              <w:rPr>
                <w:color w:val="231F20"/>
                <w:sz w:val="16"/>
              </w:rPr>
              <w:t>Capital</w:t>
            </w:r>
            <w:r>
              <w:rPr>
                <w:color w:val="231F20"/>
                <w:spacing w:val="4"/>
                <w:sz w:val="16"/>
              </w:rPr>
              <w:t> </w:t>
            </w:r>
            <w:r>
              <w:rPr>
                <w:color w:val="231F20"/>
                <w:spacing w:val="-2"/>
                <w:sz w:val="16"/>
              </w:rPr>
              <w:t>outlay</w:t>
            </w:r>
          </w:p>
        </w:tc>
        <w:tc>
          <w:tcPr>
            <w:tcW w:w="1215" w:type="dxa"/>
          </w:tcPr>
          <w:p>
            <w:pPr>
              <w:pStyle w:val="TableParagraph"/>
              <w:spacing w:line="176" w:lineRule="exact" w:before="9"/>
              <w:ind w:left="-2" w:right="87"/>
              <w:jc w:val="right"/>
              <w:rPr>
                <w:sz w:val="16"/>
              </w:rPr>
            </w:pPr>
            <w:r>
              <w:rPr>
                <w:color w:val="231F20"/>
                <w:spacing w:val="-2"/>
                <w:sz w:val="16"/>
              </w:rPr>
              <w:t>9,144,000</w:t>
            </w:r>
          </w:p>
        </w:tc>
        <w:tc>
          <w:tcPr>
            <w:tcW w:w="166" w:type="dxa"/>
          </w:tcPr>
          <w:p>
            <w:pPr>
              <w:pStyle w:val="TableParagraph"/>
              <w:rPr>
                <w:rFonts w:ascii="Times New Roman"/>
                <w:sz w:val="14"/>
              </w:rPr>
            </w:pPr>
          </w:p>
        </w:tc>
        <w:tc>
          <w:tcPr>
            <w:tcW w:w="1215" w:type="dxa"/>
          </w:tcPr>
          <w:p>
            <w:pPr>
              <w:pStyle w:val="TableParagraph"/>
              <w:spacing w:line="176" w:lineRule="exact" w:before="9"/>
              <w:ind w:left="396"/>
              <w:rPr>
                <w:sz w:val="16"/>
              </w:rPr>
            </w:pPr>
            <w:r>
              <w:rPr>
                <w:color w:val="231F20"/>
                <w:spacing w:val="-2"/>
                <w:sz w:val="16"/>
              </w:rPr>
              <w:t>9,144,000</w:t>
            </w:r>
          </w:p>
        </w:tc>
        <w:tc>
          <w:tcPr>
            <w:tcW w:w="166" w:type="dxa"/>
          </w:tcPr>
          <w:p>
            <w:pPr>
              <w:pStyle w:val="TableParagraph"/>
              <w:rPr>
                <w:rFonts w:ascii="Times New Roman"/>
                <w:sz w:val="14"/>
              </w:rPr>
            </w:pPr>
          </w:p>
        </w:tc>
        <w:tc>
          <w:tcPr>
            <w:tcW w:w="1215" w:type="dxa"/>
          </w:tcPr>
          <w:p>
            <w:pPr>
              <w:pStyle w:val="TableParagraph"/>
              <w:spacing w:line="176" w:lineRule="exact" w:before="9"/>
              <w:ind w:left="-2" w:right="88"/>
              <w:jc w:val="right"/>
              <w:rPr>
                <w:sz w:val="16"/>
              </w:rPr>
            </w:pPr>
            <w:r>
              <w:rPr>
                <w:color w:val="231F20"/>
                <w:spacing w:val="-2"/>
                <w:sz w:val="16"/>
              </w:rPr>
              <w:t>7,426,101</w:t>
            </w:r>
          </w:p>
        </w:tc>
        <w:tc>
          <w:tcPr>
            <w:tcW w:w="166" w:type="dxa"/>
          </w:tcPr>
          <w:p>
            <w:pPr>
              <w:pStyle w:val="TableParagraph"/>
              <w:rPr>
                <w:rFonts w:ascii="Times New Roman"/>
                <w:sz w:val="14"/>
              </w:rPr>
            </w:pPr>
          </w:p>
        </w:tc>
        <w:tc>
          <w:tcPr>
            <w:tcW w:w="1215" w:type="dxa"/>
          </w:tcPr>
          <w:p>
            <w:pPr>
              <w:pStyle w:val="TableParagraph"/>
              <w:spacing w:line="176" w:lineRule="exact" w:before="9"/>
              <w:ind w:left="-2" w:right="35"/>
              <w:jc w:val="right"/>
              <w:rPr>
                <w:sz w:val="16"/>
              </w:rPr>
            </w:pPr>
            <w:r>
              <w:rPr>
                <w:color w:val="231F20"/>
                <w:spacing w:val="-2"/>
                <w:sz w:val="16"/>
              </w:rPr>
              <w:t>(1,717,899)</w:t>
            </w:r>
          </w:p>
        </w:tc>
      </w:tr>
      <w:tr>
        <w:trPr>
          <w:trHeight w:val="204" w:hRule="atLeast"/>
        </w:trPr>
        <w:tc>
          <w:tcPr>
            <w:tcW w:w="3948" w:type="dxa"/>
          </w:tcPr>
          <w:p>
            <w:pPr>
              <w:pStyle w:val="TableParagraph"/>
              <w:spacing w:line="175" w:lineRule="exact" w:before="9"/>
              <w:ind w:left="282"/>
              <w:rPr>
                <w:sz w:val="16"/>
              </w:rPr>
            </w:pPr>
            <w:r>
              <w:rPr>
                <w:color w:val="231F20"/>
                <w:sz w:val="16"/>
              </w:rPr>
              <w:t>Renewal</w:t>
            </w:r>
            <w:r>
              <w:rPr>
                <w:color w:val="231F20"/>
                <w:spacing w:val="10"/>
                <w:sz w:val="16"/>
              </w:rPr>
              <w:t> </w:t>
            </w:r>
            <w:r>
              <w:rPr>
                <w:color w:val="231F20"/>
                <w:sz w:val="16"/>
              </w:rPr>
              <w:t>and</w:t>
            </w:r>
            <w:r>
              <w:rPr>
                <w:color w:val="231F20"/>
                <w:spacing w:val="8"/>
                <w:sz w:val="16"/>
              </w:rPr>
              <w:t> </w:t>
            </w:r>
            <w:r>
              <w:rPr>
                <w:color w:val="231F20"/>
                <w:spacing w:val="-2"/>
                <w:sz w:val="16"/>
              </w:rPr>
              <w:t>replacements</w:t>
            </w:r>
          </w:p>
        </w:tc>
        <w:tc>
          <w:tcPr>
            <w:tcW w:w="1215" w:type="dxa"/>
          </w:tcPr>
          <w:p>
            <w:pPr>
              <w:pStyle w:val="TableParagraph"/>
              <w:spacing w:line="175" w:lineRule="exact" w:before="9"/>
              <w:ind w:left="-2" w:right="87"/>
              <w:jc w:val="right"/>
              <w:rPr>
                <w:sz w:val="16"/>
              </w:rPr>
            </w:pPr>
            <w:r>
              <w:rPr>
                <w:color w:val="231F20"/>
                <w:spacing w:val="-2"/>
                <w:sz w:val="16"/>
              </w:rPr>
              <w:t>1,302,000</w:t>
            </w:r>
          </w:p>
        </w:tc>
        <w:tc>
          <w:tcPr>
            <w:tcW w:w="166" w:type="dxa"/>
          </w:tcPr>
          <w:p>
            <w:pPr>
              <w:pStyle w:val="TableParagraph"/>
              <w:rPr>
                <w:rFonts w:ascii="Times New Roman"/>
                <w:sz w:val="14"/>
              </w:rPr>
            </w:pPr>
          </w:p>
        </w:tc>
        <w:tc>
          <w:tcPr>
            <w:tcW w:w="1215" w:type="dxa"/>
          </w:tcPr>
          <w:p>
            <w:pPr>
              <w:pStyle w:val="TableParagraph"/>
              <w:spacing w:line="175" w:lineRule="exact" w:before="9"/>
              <w:ind w:left="395"/>
              <w:rPr>
                <w:sz w:val="16"/>
              </w:rPr>
            </w:pPr>
            <w:r>
              <w:rPr>
                <w:color w:val="231F20"/>
                <w:spacing w:val="-2"/>
                <w:sz w:val="16"/>
              </w:rPr>
              <w:t>1,302,000</w:t>
            </w:r>
          </w:p>
        </w:tc>
        <w:tc>
          <w:tcPr>
            <w:tcW w:w="166" w:type="dxa"/>
          </w:tcPr>
          <w:p>
            <w:pPr>
              <w:pStyle w:val="TableParagraph"/>
              <w:rPr>
                <w:rFonts w:ascii="Times New Roman"/>
                <w:sz w:val="14"/>
              </w:rPr>
            </w:pPr>
          </w:p>
        </w:tc>
        <w:tc>
          <w:tcPr>
            <w:tcW w:w="1215" w:type="dxa"/>
          </w:tcPr>
          <w:p>
            <w:pPr>
              <w:pStyle w:val="TableParagraph"/>
              <w:spacing w:line="175" w:lineRule="exact" w:before="9"/>
              <w:ind w:left="-2" w:right="88"/>
              <w:jc w:val="right"/>
              <w:rPr>
                <w:sz w:val="16"/>
              </w:rPr>
            </w:pPr>
            <w:r>
              <w:rPr>
                <w:color w:val="231F20"/>
                <w:spacing w:val="-2"/>
                <w:sz w:val="16"/>
              </w:rPr>
              <w:t>1,533,588</w:t>
            </w:r>
          </w:p>
        </w:tc>
        <w:tc>
          <w:tcPr>
            <w:tcW w:w="166" w:type="dxa"/>
          </w:tcPr>
          <w:p>
            <w:pPr>
              <w:pStyle w:val="TableParagraph"/>
              <w:rPr>
                <w:rFonts w:ascii="Times New Roman"/>
                <w:sz w:val="14"/>
              </w:rPr>
            </w:pPr>
          </w:p>
        </w:tc>
        <w:tc>
          <w:tcPr>
            <w:tcW w:w="1215" w:type="dxa"/>
          </w:tcPr>
          <w:p>
            <w:pPr>
              <w:pStyle w:val="TableParagraph"/>
              <w:spacing w:line="175" w:lineRule="exact" w:before="9"/>
              <w:ind w:left="-2" w:right="90"/>
              <w:jc w:val="right"/>
              <w:rPr>
                <w:sz w:val="16"/>
              </w:rPr>
            </w:pPr>
            <w:r>
              <w:rPr>
                <w:color w:val="231F20"/>
                <w:spacing w:val="-2"/>
                <w:sz w:val="16"/>
              </w:rPr>
              <w:t>231,588</w:t>
            </w:r>
          </w:p>
        </w:tc>
      </w:tr>
      <w:tr>
        <w:trPr>
          <w:trHeight w:val="295" w:hRule="atLeast"/>
        </w:trPr>
        <w:tc>
          <w:tcPr>
            <w:tcW w:w="3948" w:type="dxa"/>
          </w:tcPr>
          <w:p>
            <w:pPr>
              <w:pStyle w:val="TableParagraph"/>
              <w:spacing w:before="9"/>
              <w:ind w:left="282"/>
              <w:rPr>
                <w:sz w:val="16"/>
              </w:rPr>
            </w:pPr>
            <w:r>
              <w:rPr>
                <w:color w:val="231F20"/>
                <w:sz w:val="16"/>
              </w:rPr>
              <w:t>Retirement</w:t>
            </w:r>
            <w:r>
              <w:rPr>
                <w:color w:val="231F20"/>
                <w:spacing w:val="8"/>
                <w:sz w:val="16"/>
              </w:rPr>
              <w:t> </w:t>
            </w:r>
            <w:r>
              <w:rPr>
                <w:color w:val="231F20"/>
                <w:sz w:val="16"/>
              </w:rPr>
              <w:t>of</w:t>
            </w:r>
            <w:r>
              <w:rPr>
                <w:color w:val="231F20"/>
                <w:spacing w:val="9"/>
                <w:sz w:val="16"/>
              </w:rPr>
              <w:t> </w:t>
            </w:r>
            <w:r>
              <w:rPr>
                <w:color w:val="231F20"/>
                <w:spacing w:val="-2"/>
                <w:sz w:val="16"/>
              </w:rPr>
              <w:t>indebtedness</w:t>
            </w:r>
          </w:p>
        </w:tc>
        <w:tc>
          <w:tcPr>
            <w:tcW w:w="1215" w:type="dxa"/>
          </w:tcPr>
          <w:p>
            <w:pPr>
              <w:pStyle w:val="TableParagraph"/>
              <w:tabs>
                <w:tab w:pos="395" w:val="left" w:leader="none"/>
              </w:tabs>
              <w:spacing w:before="9"/>
              <w:ind w:left="-1"/>
              <w:rPr>
                <w:sz w:val="16"/>
              </w:rPr>
            </w:pPr>
            <w:r>
              <w:rPr>
                <w:color w:val="231F20"/>
                <w:sz w:val="16"/>
                <w:u w:val="single" w:color="231F20"/>
              </w:rPr>
              <w:tab/>
            </w:r>
            <w:r>
              <w:rPr>
                <w:color w:val="231F20"/>
                <w:spacing w:val="-2"/>
                <w:sz w:val="16"/>
                <w:u w:val="single" w:color="231F20"/>
              </w:rPr>
              <w:t>1,183,250</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395" w:val="left" w:leader="none"/>
              </w:tabs>
              <w:spacing w:before="9"/>
              <w:ind w:left="-2" w:right="1"/>
              <w:jc w:val="right"/>
              <w:rPr>
                <w:sz w:val="16"/>
              </w:rPr>
            </w:pPr>
            <w:r>
              <w:rPr>
                <w:color w:val="231F20"/>
                <w:sz w:val="16"/>
                <w:u w:val="single" w:color="231F20"/>
              </w:rPr>
              <w:tab/>
            </w:r>
            <w:r>
              <w:rPr>
                <w:color w:val="231F20"/>
                <w:spacing w:val="-2"/>
                <w:sz w:val="16"/>
                <w:u w:val="single" w:color="231F20"/>
              </w:rPr>
              <w:t>1,183,250</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531" w:val="left" w:leader="none"/>
              </w:tabs>
              <w:spacing w:before="9"/>
              <w:ind w:left="-3"/>
              <w:jc w:val="right"/>
              <w:rPr>
                <w:sz w:val="16"/>
              </w:rPr>
            </w:pPr>
            <w:r>
              <w:rPr>
                <w:color w:val="231F20"/>
                <w:sz w:val="16"/>
                <w:u w:val="single" w:color="231F20"/>
              </w:rPr>
              <w:tab/>
            </w:r>
            <w:r>
              <w:rPr>
                <w:color w:val="231F20"/>
                <w:spacing w:val="-2"/>
                <w:sz w:val="16"/>
                <w:u w:val="single" w:color="231F20"/>
              </w:rPr>
              <w:t>631,411</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475" w:val="left" w:leader="none"/>
              </w:tabs>
              <w:spacing w:before="9"/>
              <w:ind w:left="-4" w:right="35"/>
              <w:jc w:val="right"/>
              <w:rPr>
                <w:sz w:val="16"/>
              </w:rPr>
            </w:pPr>
            <w:r>
              <w:rPr>
                <w:color w:val="231F20"/>
                <w:sz w:val="16"/>
                <w:u w:val="single" w:color="231F20"/>
              </w:rPr>
              <w:tab/>
            </w:r>
            <w:r>
              <w:rPr>
                <w:color w:val="231F20"/>
                <w:spacing w:val="-2"/>
                <w:sz w:val="16"/>
                <w:u w:val="single" w:color="231F20"/>
              </w:rPr>
              <w:t>(551,839)</w:t>
            </w:r>
          </w:p>
        </w:tc>
      </w:tr>
      <w:tr>
        <w:trPr>
          <w:trHeight w:val="397" w:hRule="atLeast"/>
        </w:trPr>
        <w:tc>
          <w:tcPr>
            <w:tcW w:w="3948" w:type="dxa"/>
          </w:tcPr>
          <w:p>
            <w:pPr>
              <w:pStyle w:val="TableParagraph"/>
              <w:spacing w:before="100"/>
              <w:ind w:left="511"/>
              <w:rPr>
                <w:sz w:val="16"/>
              </w:rPr>
            </w:pPr>
            <w:r>
              <w:rPr>
                <w:color w:val="231F20"/>
                <w:sz w:val="16"/>
              </w:rPr>
              <w:t>Total</w:t>
            </w:r>
            <w:r>
              <w:rPr>
                <w:color w:val="231F20"/>
                <w:spacing w:val="10"/>
                <w:sz w:val="16"/>
              </w:rPr>
              <w:t> </w:t>
            </w:r>
            <w:r>
              <w:rPr>
                <w:color w:val="231F20"/>
                <w:sz w:val="16"/>
              </w:rPr>
              <w:t>unrestricted</w:t>
            </w:r>
            <w:r>
              <w:rPr>
                <w:color w:val="231F20"/>
                <w:spacing w:val="11"/>
                <w:sz w:val="16"/>
              </w:rPr>
              <w:t> </w:t>
            </w:r>
            <w:r>
              <w:rPr>
                <w:color w:val="231F20"/>
                <w:spacing w:val="-2"/>
                <w:sz w:val="16"/>
              </w:rPr>
              <w:t>expenditures</w:t>
            </w:r>
          </w:p>
        </w:tc>
        <w:tc>
          <w:tcPr>
            <w:tcW w:w="1215" w:type="dxa"/>
          </w:tcPr>
          <w:p>
            <w:pPr>
              <w:pStyle w:val="TableParagraph"/>
              <w:spacing w:before="100"/>
              <w:ind w:left="304"/>
              <w:rPr>
                <w:sz w:val="16"/>
              </w:rPr>
            </w:pPr>
            <w:r>
              <w:rPr>
                <w:color w:val="231F20"/>
                <w:spacing w:val="-2"/>
                <w:sz w:val="16"/>
              </w:rPr>
              <w:t>84,426,267</w:t>
            </w:r>
          </w:p>
        </w:tc>
        <w:tc>
          <w:tcPr>
            <w:tcW w:w="166" w:type="dxa"/>
          </w:tcPr>
          <w:p>
            <w:pPr>
              <w:pStyle w:val="TableParagraph"/>
              <w:rPr>
                <w:rFonts w:ascii="Times New Roman"/>
                <w:sz w:val="16"/>
              </w:rPr>
            </w:pPr>
          </w:p>
        </w:tc>
        <w:tc>
          <w:tcPr>
            <w:tcW w:w="1215" w:type="dxa"/>
          </w:tcPr>
          <w:p>
            <w:pPr>
              <w:pStyle w:val="TableParagraph"/>
              <w:spacing w:before="100"/>
              <w:ind w:left="304"/>
              <w:rPr>
                <w:sz w:val="16"/>
              </w:rPr>
            </w:pPr>
            <w:r>
              <w:rPr>
                <w:color w:val="231F20"/>
                <w:spacing w:val="-2"/>
                <w:sz w:val="16"/>
              </w:rPr>
              <w:t>98,051,444</w:t>
            </w:r>
          </w:p>
        </w:tc>
        <w:tc>
          <w:tcPr>
            <w:tcW w:w="166" w:type="dxa"/>
          </w:tcPr>
          <w:p>
            <w:pPr>
              <w:pStyle w:val="TableParagraph"/>
              <w:rPr>
                <w:rFonts w:ascii="Times New Roman"/>
                <w:sz w:val="16"/>
              </w:rPr>
            </w:pPr>
          </w:p>
        </w:tc>
        <w:tc>
          <w:tcPr>
            <w:tcW w:w="1215" w:type="dxa"/>
          </w:tcPr>
          <w:p>
            <w:pPr>
              <w:pStyle w:val="TableParagraph"/>
              <w:spacing w:before="100"/>
              <w:ind w:left="-2" w:right="89"/>
              <w:jc w:val="right"/>
              <w:rPr>
                <w:sz w:val="16"/>
              </w:rPr>
            </w:pPr>
            <w:r>
              <w:rPr>
                <w:color w:val="231F20"/>
                <w:spacing w:val="-2"/>
                <w:sz w:val="16"/>
              </w:rPr>
              <w:t>78,085,231</w:t>
            </w:r>
          </w:p>
        </w:tc>
        <w:tc>
          <w:tcPr>
            <w:tcW w:w="166" w:type="dxa"/>
          </w:tcPr>
          <w:p>
            <w:pPr>
              <w:pStyle w:val="TableParagraph"/>
              <w:rPr>
                <w:rFonts w:ascii="Times New Roman"/>
                <w:sz w:val="16"/>
              </w:rPr>
            </w:pPr>
          </w:p>
        </w:tc>
        <w:tc>
          <w:tcPr>
            <w:tcW w:w="1215" w:type="dxa"/>
          </w:tcPr>
          <w:p>
            <w:pPr>
              <w:pStyle w:val="TableParagraph"/>
              <w:spacing w:before="100"/>
              <w:ind w:left="-2" w:right="35"/>
              <w:jc w:val="right"/>
              <w:rPr>
                <w:sz w:val="16"/>
              </w:rPr>
            </w:pPr>
            <w:r>
              <w:rPr>
                <w:color w:val="231F20"/>
                <w:spacing w:val="-2"/>
                <w:sz w:val="16"/>
              </w:rPr>
              <w:t>(19,966,213)</w:t>
            </w:r>
          </w:p>
        </w:tc>
      </w:tr>
      <w:tr>
        <w:trPr>
          <w:trHeight w:val="409" w:hRule="atLeast"/>
        </w:trPr>
        <w:tc>
          <w:tcPr>
            <w:tcW w:w="3948" w:type="dxa"/>
          </w:tcPr>
          <w:p>
            <w:pPr>
              <w:pStyle w:val="TableParagraph"/>
              <w:spacing w:before="111"/>
              <w:ind w:left="53"/>
              <w:rPr>
                <w:sz w:val="16"/>
              </w:rPr>
            </w:pPr>
            <w:r>
              <w:rPr>
                <w:color w:val="231F20"/>
                <w:sz w:val="16"/>
              </w:rPr>
              <w:t>Net</w:t>
            </w:r>
            <w:r>
              <w:rPr>
                <w:color w:val="231F20"/>
                <w:spacing w:val="4"/>
                <w:sz w:val="16"/>
              </w:rPr>
              <w:t> </w:t>
            </w:r>
            <w:r>
              <w:rPr>
                <w:color w:val="231F20"/>
                <w:spacing w:val="-2"/>
                <w:sz w:val="16"/>
              </w:rPr>
              <w:t>transfers</w:t>
            </w:r>
          </w:p>
        </w:tc>
        <w:tc>
          <w:tcPr>
            <w:tcW w:w="1215" w:type="dxa"/>
          </w:tcPr>
          <w:p>
            <w:pPr>
              <w:pStyle w:val="TableParagraph"/>
              <w:tabs>
                <w:tab w:pos="477" w:val="left" w:leader="none"/>
              </w:tabs>
              <w:spacing w:before="111"/>
              <w:ind w:left="-1"/>
              <w:rPr>
                <w:sz w:val="16"/>
              </w:rPr>
            </w:pPr>
            <w:r>
              <w:rPr>
                <w:color w:val="231F20"/>
                <w:sz w:val="16"/>
                <w:u w:val="single" w:color="231F20"/>
              </w:rPr>
              <w:tab/>
            </w:r>
            <w:r>
              <w:rPr>
                <w:color w:val="231F20"/>
                <w:spacing w:val="-2"/>
                <w:sz w:val="16"/>
                <w:u w:val="single" w:color="231F20"/>
              </w:rPr>
              <w:t>(119,980)</w:t>
            </w:r>
          </w:p>
        </w:tc>
        <w:tc>
          <w:tcPr>
            <w:tcW w:w="166" w:type="dxa"/>
          </w:tcPr>
          <w:p>
            <w:pPr>
              <w:pStyle w:val="TableParagraph"/>
              <w:rPr>
                <w:rFonts w:ascii="Times New Roman"/>
                <w:sz w:val="16"/>
              </w:rPr>
            </w:pPr>
          </w:p>
        </w:tc>
        <w:tc>
          <w:tcPr>
            <w:tcW w:w="1215" w:type="dxa"/>
          </w:tcPr>
          <w:p>
            <w:pPr>
              <w:pStyle w:val="TableParagraph"/>
              <w:tabs>
                <w:tab w:pos="569" w:val="left" w:leader="none"/>
              </w:tabs>
              <w:spacing w:before="111"/>
              <w:ind w:left="-2" w:right="32"/>
              <w:jc w:val="right"/>
              <w:rPr>
                <w:sz w:val="16"/>
              </w:rPr>
            </w:pPr>
            <w:r>
              <w:rPr>
                <w:color w:val="231F20"/>
                <w:sz w:val="16"/>
                <w:u w:val="single" w:color="231F20"/>
              </w:rPr>
              <w:tab/>
            </w:r>
            <w:r>
              <w:rPr>
                <w:color w:val="231F20"/>
                <w:spacing w:val="-2"/>
                <w:sz w:val="16"/>
                <w:u w:val="single" w:color="231F20"/>
              </w:rPr>
              <w:t>(52,000)</w:t>
            </w:r>
          </w:p>
        </w:tc>
        <w:tc>
          <w:tcPr>
            <w:tcW w:w="166" w:type="dxa"/>
          </w:tcPr>
          <w:p>
            <w:pPr>
              <w:pStyle w:val="TableParagraph"/>
              <w:rPr>
                <w:rFonts w:ascii="Times New Roman"/>
                <w:sz w:val="16"/>
              </w:rPr>
            </w:pPr>
          </w:p>
        </w:tc>
        <w:tc>
          <w:tcPr>
            <w:tcW w:w="1215" w:type="dxa"/>
          </w:tcPr>
          <w:p>
            <w:pPr>
              <w:pStyle w:val="TableParagraph"/>
              <w:tabs>
                <w:tab w:pos="476" w:val="left" w:leader="none"/>
              </w:tabs>
              <w:spacing w:before="111"/>
              <w:ind w:left="-3" w:right="33"/>
              <w:jc w:val="right"/>
              <w:rPr>
                <w:sz w:val="16"/>
              </w:rPr>
            </w:pPr>
            <w:r>
              <w:rPr>
                <w:color w:val="231F20"/>
                <w:sz w:val="16"/>
                <w:u w:val="single" w:color="231F20"/>
              </w:rPr>
              <w:tab/>
            </w:r>
            <w:r>
              <w:rPr>
                <w:color w:val="231F20"/>
                <w:spacing w:val="-2"/>
                <w:sz w:val="16"/>
                <w:u w:val="single" w:color="231F20"/>
              </w:rPr>
              <w:t>(490,098)</w:t>
            </w:r>
          </w:p>
        </w:tc>
        <w:tc>
          <w:tcPr>
            <w:tcW w:w="166" w:type="dxa"/>
          </w:tcPr>
          <w:p>
            <w:pPr>
              <w:pStyle w:val="TableParagraph"/>
              <w:rPr>
                <w:rFonts w:ascii="Times New Roman"/>
                <w:sz w:val="16"/>
              </w:rPr>
            </w:pPr>
          </w:p>
        </w:tc>
        <w:tc>
          <w:tcPr>
            <w:tcW w:w="1215" w:type="dxa"/>
          </w:tcPr>
          <w:p>
            <w:pPr>
              <w:pStyle w:val="TableParagraph"/>
              <w:tabs>
                <w:tab w:pos="475" w:val="left" w:leader="none"/>
              </w:tabs>
              <w:spacing w:before="111"/>
              <w:ind w:left="-4" w:right="34"/>
              <w:jc w:val="right"/>
              <w:rPr>
                <w:sz w:val="16"/>
              </w:rPr>
            </w:pPr>
            <w:r>
              <w:rPr>
                <w:color w:val="231F20"/>
                <w:sz w:val="16"/>
                <w:u w:val="single" w:color="231F20"/>
              </w:rPr>
              <w:tab/>
            </w:r>
            <w:r>
              <w:rPr>
                <w:color w:val="231F20"/>
                <w:spacing w:val="-2"/>
                <w:sz w:val="16"/>
                <w:u w:val="single" w:color="231F20"/>
              </w:rPr>
              <w:t>(438,098)</w:t>
            </w:r>
          </w:p>
        </w:tc>
      </w:tr>
      <w:tr>
        <w:trPr>
          <w:trHeight w:val="407" w:hRule="atLeast"/>
        </w:trPr>
        <w:tc>
          <w:tcPr>
            <w:tcW w:w="3948" w:type="dxa"/>
          </w:tcPr>
          <w:p>
            <w:pPr>
              <w:pStyle w:val="TableParagraph"/>
              <w:spacing w:before="111"/>
              <w:ind w:left="53"/>
              <w:rPr>
                <w:sz w:val="16"/>
              </w:rPr>
            </w:pPr>
            <w:r>
              <w:rPr>
                <w:color w:val="231F20"/>
                <w:sz w:val="16"/>
              </w:rPr>
              <w:t>Change</w:t>
            </w:r>
            <w:r>
              <w:rPr>
                <w:color w:val="231F20"/>
                <w:spacing w:val="8"/>
                <w:sz w:val="16"/>
              </w:rPr>
              <w:t> </w:t>
            </w:r>
            <w:r>
              <w:rPr>
                <w:color w:val="231F20"/>
                <w:sz w:val="16"/>
              </w:rPr>
              <w:t>in</w:t>
            </w:r>
            <w:r>
              <w:rPr>
                <w:color w:val="231F20"/>
                <w:spacing w:val="8"/>
                <w:sz w:val="16"/>
              </w:rPr>
              <w:t> </w:t>
            </w:r>
            <w:r>
              <w:rPr>
                <w:color w:val="231F20"/>
                <w:sz w:val="16"/>
              </w:rPr>
              <w:t>net</w:t>
            </w:r>
            <w:r>
              <w:rPr>
                <w:color w:val="231F20"/>
                <w:spacing w:val="9"/>
                <w:sz w:val="16"/>
              </w:rPr>
              <w:t> </w:t>
            </w:r>
            <w:r>
              <w:rPr>
                <w:color w:val="231F20"/>
                <w:sz w:val="16"/>
              </w:rPr>
              <w:t>(deficit)</w:t>
            </w:r>
            <w:r>
              <w:rPr>
                <w:color w:val="231F20"/>
                <w:spacing w:val="9"/>
                <w:sz w:val="16"/>
              </w:rPr>
              <w:t> </w:t>
            </w:r>
            <w:r>
              <w:rPr>
                <w:color w:val="231F20"/>
                <w:sz w:val="16"/>
              </w:rPr>
              <w:t>position</w:t>
            </w:r>
            <w:r>
              <w:rPr>
                <w:color w:val="231F20"/>
                <w:spacing w:val="9"/>
                <w:sz w:val="16"/>
              </w:rPr>
              <w:t> </w:t>
            </w:r>
            <w:r>
              <w:rPr>
                <w:color w:val="231F20"/>
                <w:sz w:val="16"/>
              </w:rPr>
              <w:t>(budgetary</w:t>
            </w:r>
            <w:r>
              <w:rPr>
                <w:color w:val="231F20"/>
                <w:spacing w:val="9"/>
                <w:sz w:val="16"/>
              </w:rPr>
              <w:t> </w:t>
            </w:r>
            <w:r>
              <w:rPr>
                <w:color w:val="231F20"/>
                <w:spacing w:val="-2"/>
                <w:sz w:val="16"/>
              </w:rPr>
              <w:t>basis)</w:t>
            </w:r>
          </w:p>
        </w:tc>
        <w:tc>
          <w:tcPr>
            <w:tcW w:w="1215" w:type="dxa"/>
          </w:tcPr>
          <w:p>
            <w:pPr>
              <w:pStyle w:val="TableParagraph"/>
              <w:tabs>
                <w:tab w:pos="341" w:val="left" w:leader="none"/>
              </w:tabs>
              <w:spacing w:before="111"/>
              <w:ind w:left="-1"/>
              <w:rPr>
                <w:sz w:val="16"/>
              </w:rPr>
            </w:pPr>
            <w:r>
              <w:rPr>
                <w:color w:val="231F20"/>
                <w:sz w:val="16"/>
                <w:u w:val="single" w:color="231F20"/>
              </w:rPr>
              <w:tab/>
            </w:r>
            <w:r>
              <w:rPr>
                <w:color w:val="231F20"/>
                <w:spacing w:val="-2"/>
                <w:sz w:val="16"/>
                <w:u w:val="single" w:color="231F20"/>
              </w:rPr>
              <w:t>(2,742,169)</w:t>
            </w:r>
          </w:p>
        </w:tc>
        <w:tc>
          <w:tcPr>
            <w:tcW w:w="166" w:type="dxa"/>
          </w:tcPr>
          <w:p>
            <w:pPr>
              <w:pStyle w:val="TableParagraph"/>
              <w:rPr>
                <w:rFonts w:ascii="Times New Roman"/>
                <w:sz w:val="16"/>
              </w:rPr>
            </w:pPr>
          </w:p>
        </w:tc>
        <w:tc>
          <w:tcPr>
            <w:tcW w:w="1215" w:type="dxa"/>
          </w:tcPr>
          <w:p>
            <w:pPr>
              <w:pStyle w:val="TableParagraph"/>
              <w:tabs>
                <w:tab w:pos="250" w:val="left" w:leader="none"/>
              </w:tabs>
              <w:spacing w:before="111"/>
              <w:ind w:left="-2" w:right="32"/>
              <w:jc w:val="right"/>
              <w:rPr>
                <w:sz w:val="16"/>
              </w:rPr>
            </w:pPr>
            <w:r>
              <w:rPr>
                <w:color w:val="231F20"/>
                <w:sz w:val="16"/>
                <w:u w:val="single" w:color="231F20"/>
              </w:rPr>
              <w:tab/>
            </w:r>
            <w:r>
              <w:rPr>
                <w:color w:val="231F20"/>
                <w:spacing w:val="-2"/>
                <w:sz w:val="16"/>
                <w:u w:val="single" w:color="231F20"/>
              </w:rPr>
              <w:t>(13,881,113)</w:t>
            </w:r>
          </w:p>
        </w:tc>
        <w:tc>
          <w:tcPr>
            <w:tcW w:w="166" w:type="dxa"/>
          </w:tcPr>
          <w:p>
            <w:pPr>
              <w:pStyle w:val="TableParagraph"/>
              <w:rPr>
                <w:rFonts w:ascii="Times New Roman"/>
                <w:sz w:val="16"/>
              </w:rPr>
            </w:pPr>
          </w:p>
        </w:tc>
        <w:tc>
          <w:tcPr>
            <w:tcW w:w="1215" w:type="dxa"/>
          </w:tcPr>
          <w:p>
            <w:pPr>
              <w:pStyle w:val="TableParagraph"/>
              <w:tabs>
                <w:tab w:pos="395" w:val="left" w:leader="none"/>
              </w:tabs>
              <w:spacing w:before="111"/>
              <w:ind w:left="-3"/>
              <w:jc w:val="right"/>
              <w:rPr>
                <w:sz w:val="16"/>
              </w:rPr>
            </w:pPr>
            <w:r>
              <w:rPr>
                <w:color w:val="231F20"/>
                <w:sz w:val="16"/>
                <w:u w:val="single" w:color="231F20"/>
              </w:rPr>
              <w:tab/>
            </w:r>
            <w:r>
              <w:rPr>
                <w:color w:val="231F20"/>
                <w:spacing w:val="-2"/>
                <w:sz w:val="16"/>
                <w:u w:val="single" w:color="231F20"/>
              </w:rPr>
              <w:t>1,340,025</w:t>
            </w:r>
            <w:r>
              <w:rPr>
                <w:color w:val="231F20"/>
                <w:spacing w:val="80"/>
                <w:sz w:val="16"/>
                <w:u w:val="single" w:color="231F20"/>
              </w:rPr>
              <w:t> </w:t>
            </w:r>
          </w:p>
        </w:tc>
        <w:tc>
          <w:tcPr>
            <w:tcW w:w="166" w:type="dxa"/>
          </w:tcPr>
          <w:p>
            <w:pPr>
              <w:pStyle w:val="TableParagraph"/>
              <w:rPr>
                <w:rFonts w:ascii="Times New Roman"/>
                <w:sz w:val="16"/>
              </w:rPr>
            </w:pPr>
          </w:p>
        </w:tc>
        <w:tc>
          <w:tcPr>
            <w:tcW w:w="1215" w:type="dxa"/>
          </w:tcPr>
          <w:p>
            <w:pPr>
              <w:pStyle w:val="TableParagraph"/>
              <w:tabs>
                <w:tab w:pos="302" w:val="left" w:leader="none"/>
              </w:tabs>
              <w:spacing w:before="111"/>
              <w:ind w:left="-4" w:right="1"/>
              <w:jc w:val="right"/>
              <w:rPr>
                <w:sz w:val="16"/>
              </w:rPr>
            </w:pPr>
            <w:r>
              <w:rPr>
                <w:color w:val="231F20"/>
                <w:sz w:val="16"/>
                <w:u w:val="single" w:color="231F20"/>
              </w:rPr>
              <w:tab/>
            </w:r>
            <w:r>
              <w:rPr>
                <w:color w:val="231F20"/>
                <w:spacing w:val="-2"/>
                <w:sz w:val="16"/>
                <w:u w:val="single" w:color="231F20"/>
              </w:rPr>
              <w:t>15,221,138</w:t>
            </w:r>
            <w:r>
              <w:rPr>
                <w:color w:val="231F20"/>
                <w:spacing w:val="80"/>
                <w:sz w:val="16"/>
                <w:u w:val="single" w:color="231F20"/>
              </w:rPr>
              <w:t> </w:t>
            </w:r>
          </w:p>
        </w:tc>
      </w:tr>
      <w:tr>
        <w:trPr>
          <w:trHeight w:val="330" w:hRule="atLeast"/>
        </w:trPr>
        <w:tc>
          <w:tcPr>
            <w:tcW w:w="3948" w:type="dxa"/>
          </w:tcPr>
          <w:p>
            <w:pPr>
              <w:pStyle w:val="TableParagraph"/>
              <w:spacing w:before="110"/>
              <w:ind w:left="53"/>
              <w:rPr>
                <w:sz w:val="16"/>
              </w:rPr>
            </w:pPr>
            <w:r>
              <w:rPr>
                <w:color w:val="231F20"/>
                <w:sz w:val="16"/>
              </w:rPr>
              <w:t>Ending</w:t>
            </w:r>
            <w:r>
              <w:rPr>
                <w:color w:val="231F20"/>
                <w:spacing w:val="6"/>
                <w:sz w:val="16"/>
              </w:rPr>
              <w:t> </w:t>
            </w:r>
            <w:r>
              <w:rPr>
                <w:color w:val="231F20"/>
                <w:sz w:val="16"/>
              </w:rPr>
              <w:t>net</w:t>
            </w:r>
            <w:r>
              <w:rPr>
                <w:color w:val="231F20"/>
                <w:spacing w:val="7"/>
                <w:sz w:val="16"/>
              </w:rPr>
              <w:t> </w:t>
            </w:r>
            <w:r>
              <w:rPr>
                <w:color w:val="231F20"/>
                <w:spacing w:val="-2"/>
                <w:sz w:val="16"/>
              </w:rPr>
              <w:t>position</w:t>
            </w:r>
          </w:p>
        </w:tc>
        <w:tc>
          <w:tcPr>
            <w:tcW w:w="1215" w:type="dxa"/>
            <w:tcBorders>
              <w:bottom w:val="single" w:sz="8" w:space="0" w:color="231F20"/>
            </w:tcBorders>
          </w:tcPr>
          <w:p>
            <w:pPr>
              <w:pStyle w:val="TableParagraph"/>
              <w:spacing w:before="110"/>
              <w:ind w:left="-1"/>
              <w:rPr>
                <w:sz w:val="16"/>
              </w:rPr>
            </w:pPr>
            <w:r>
              <w:rPr>
                <w:color w:val="231F20"/>
                <w:spacing w:val="40"/>
                <w:sz w:val="16"/>
                <w:u w:val="single" w:color="231F20"/>
              </w:rPr>
              <w:t> </w:t>
            </w:r>
            <w:r>
              <w:rPr>
                <w:color w:val="231F20"/>
                <w:sz w:val="16"/>
                <w:u w:val="single" w:color="231F20"/>
              </w:rPr>
              <w:t>$</w:t>
            </w:r>
            <w:r>
              <w:rPr>
                <w:color w:val="231F20"/>
                <w:spacing w:val="62"/>
                <w:w w:val="150"/>
                <w:sz w:val="16"/>
                <w:u w:val="single" w:color="231F20"/>
              </w:rPr>
              <w:t> </w:t>
            </w:r>
            <w:r>
              <w:rPr>
                <w:color w:val="231F20"/>
                <w:spacing w:val="-2"/>
                <w:sz w:val="16"/>
                <w:u w:val="single" w:color="231F20"/>
              </w:rPr>
              <w:t>31,634,644</w:t>
            </w:r>
            <w:r>
              <w:rPr>
                <w:color w:val="231F20"/>
                <w:spacing w:val="80"/>
                <w:sz w:val="16"/>
                <w:u w:val="single" w:color="231F20"/>
              </w:rPr>
              <w:t> </w:t>
            </w:r>
          </w:p>
        </w:tc>
        <w:tc>
          <w:tcPr>
            <w:tcW w:w="166" w:type="dxa"/>
          </w:tcPr>
          <w:p>
            <w:pPr>
              <w:pStyle w:val="TableParagraph"/>
              <w:rPr>
                <w:rFonts w:ascii="Times New Roman"/>
                <w:sz w:val="16"/>
              </w:rPr>
            </w:pPr>
          </w:p>
        </w:tc>
        <w:tc>
          <w:tcPr>
            <w:tcW w:w="1215" w:type="dxa"/>
            <w:tcBorders>
              <w:bottom w:val="single" w:sz="8" w:space="0" w:color="231F20"/>
            </w:tcBorders>
          </w:tcPr>
          <w:p>
            <w:pPr>
              <w:pStyle w:val="TableParagraph"/>
              <w:spacing w:before="110"/>
              <w:ind w:left="-2" w:right="1"/>
              <w:jc w:val="right"/>
              <w:rPr>
                <w:sz w:val="16"/>
              </w:rPr>
            </w:pPr>
            <w:r>
              <w:rPr>
                <w:color w:val="231F20"/>
                <w:spacing w:val="40"/>
                <w:sz w:val="16"/>
                <w:u w:val="single" w:color="231F20"/>
              </w:rPr>
              <w:t> </w:t>
            </w:r>
            <w:r>
              <w:rPr>
                <w:color w:val="231F20"/>
                <w:sz w:val="16"/>
                <w:u w:val="single" w:color="231F20"/>
              </w:rPr>
              <w:t>$</w:t>
            </w:r>
            <w:r>
              <w:rPr>
                <w:color w:val="231F20"/>
                <w:spacing w:val="63"/>
                <w:w w:val="150"/>
                <w:sz w:val="16"/>
                <w:u w:val="single" w:color="231F20"/>
              </w:rPr>
              <w:t> </w:t>
            </w:r>
            <w:r>
              <w:rPr>
                <w:color w:val="231F20"/>
                <w:spacing w:val="-2"/>
                <w:sz w:val="16"/>
                <w:u w:val="single" w:color="231F20"/>
              </w:rPr>
              <w:t>42,987,047</w:t>
            </w:r>
            <w:r>
              <w:rPr>
                <w:color w:val="231F20"/>
                <w:spacing w:val="80"/>
                <w:sz w:val="16"/>
                <w:u w:val="single" w:color="231F20"/>
              </w:rPr>
              <w:t> </w:t>
            </w:r>
          </w:p>
        </w:tc>
        <w:tc>
          <w:tcPr>
            <w:tcW w:w="166" w:type="dxa"/>
          </w:tcPr>
          <w:p>
            <w:pPr>
              <w:pStyle w:val="TableParagraph"/>
              <w:rPr>
                <w:rFonts w:ascii="Times New Roman"/>
                <w:sz w:val="16"/>
              </w:rPr>
            </w:pPr>
          </w:p>
        </w:tc>
        <w:tc>
          <w:tcPr>
            <w:tcW w:w="1215" w:type="dxa"/>
            <w:tcBorders>
              <w:bottom w:val="single" w:sz="8" w:space="0" w:color="231F20"/>
            </w:tcBorders>
          </w:tcPr>
          <w:p>
            <w:pPr>
              <w:pStyle w:val="TableParagraph"/>
              <w:spacing w:before="110"/>
              <w:ind w:left="-3"/>
              <w:jc w:val="right"/>
              <w:rPr>
                <w:sz w:val="16"/>
              </w:rPr>
            </w:pPr>
            <w:r>
              <w:rPr>
                <w:color w:val="231F20"/>
                <w:spacing w:val="40"/>
                <w:sz w:val="16"/>
                <w:u w:val="single" w:color="231F20"/>
              </w:rPr>
              <w:t> </w:t>
            </w:r>
            <w:r>
              <w:rPr>
                <w:color w:val="231F20"/>
                <w:sz w:val="16"/>
                <w:u w:val="single" w:color="231F20"/>
              </w:rPr>
              <w:t>$</w:t>
            </w:r>
            <w:r>
              <w:rPr>
                <w:color w:val="231F20"/>
                <w:spacing w:val="63"/>
                <w:w w:val="150"/>
                <w:sz w:val="16"/>
                <w:u w:val="single" w:color="231F20"/>
              </w:rPr>
              <w:t> </w:t>
            </w:r>
            <w:r>
              <w:rPr>
                <w:color w:val="231F20"/>
                <w:spacing w:val="-2"/>
                <w:sz w:val="16"/>
                <w:u w:val="single" w:color="231F20"/>
              </w:rPr>
              <w:t>60,208,185</w:t>
            </w:r>
            <w:r>
              <w:rPr>
                <w:color w:val="231F20"/>
                <w:spacing w:val="80"/>
                <w:sz w:val="16"/>
                <w:u w:val="single" w:color="231F20"/>
              </w:rPr>
              <w:t> </w:t>
            </w:r>
          </w:p>
        </w:tc>
        <w:tc>
          <w:tcPr>
            <w:tcW w:w="166" w:type="dxa"/>
          </w:tcPr>
          <w:p>
            <w:pPr>
              <w:pStyle w:val="TableParagraph"/>
              <w:rPr>
                <w:rFonts w:ascii="Times New Roman"/>
                <w:sz w:val="16"/>
              </w:rPr>
            </w:pPr>
          </w:p>
        </w:tc>
        <w:tc>
          <w:tcPr>
            <w:tcW w:w="1215" w:type="dxa"/>
            <w:tcBorders>
              <w:bottom w:val="single" w:sz="8" w:space="0" w:color="231F20"/>
            </w:tcBorders>
          </w:tcPr>
          <w:p>
            <w:pPr>
              <w:pStyle w:val="TableParagraph"/>
              <w:spacing w:before="110"/>
              <w:ind w:left="-4" w:right="1"/>
              <w:jc w:val="right"/>
              <w:rPr>
                <w:sz w:val="16"/>
              </w:rPr>
            </w:pPr>
            <w:r>
              <w:rPr>
                <w:color w:val="231F20"/>
                <w:spacing w:val="40"/>
                <w:sz w:val="16"/>
                <w:u w:val="single" w:color="231F20"/>
              </w:rPr>
              <w:t> </w:t>
            </w:r>
            <w:r>
              <w:rPr>
                <w:color w:val="231F20"/>
                <w:sz w:val="16"/>
                <w:u w:val="single" w:color="231F20"/>
              </w:rPr>
              <w:t>$</w:t>
            </w:r>
            <w:r>
              <w:rPr>
                <w:color w:val="231F20"/>
                <w:spacing w:val="63"/>
                <w:w w:val="150"/>
                <w:sz w:val="16"/>
                <w:u w:val="single" w:color="231F20"/>
              </w:rPr>
              <w:t> </w:t>
            </w:r>
            <w:r>
              <w:rPr>
                <w:color w:val="231F20"/>
                <w:spacing w:val="-2"/>
                <w:sz w:val="16"/>
                <w:u w:val="single" w:color="231F20"/>
              </w:rPr>
              <w:t>15,221,138</w:t>
            </w:r>
            <w:r>
              <w:rPr>
                <w:color w:val="231F20"/>
                <w:spacing w:val="80"/>
                <w:sz w:val="16"/>
                <w:u w:val="single" w:color="231F20"/>
              </w:rPr>
              <w:t> </w:t>
            </w:r>
          </w:p>
        </w:tc>
      </w:tr>
      <w:tr>
        <w:trPr>
          <w:trHeight w:val="367" w:hRule="atLeast"/>
        </w:trPr>
        <w:tc>
          <w:tcPr>
            <w:tcW w:w="3948" w:type="dxa"/>
          </w:tcPr>
          <w:p>
            <w:pPr>
              <w:pStyle w:val="TableParagraph"/>
              <w:spacing w:before="10"/>
              <w:rPr>
                <w:b/>
                <w:sz w:val="18"/>
              </w:rPr>
            </w:pPr>
          </w:p>
          <w:p>
            <w:pPr>
              <w:pStyle w:val="TableParagraph"/>
              <w:spacing w:line="130" w:lineRule="exact" w:before="1"/>
              <w:ind w:left="50"/>
              <w:rPr>
                <w:sz w:val="13"/>
              </w:rPr>
            </w:pPr>
            <w:r>
              <w:rPr>
                <w:color w:val="231F20"/>
                <w:sz w:val="13"/>
              </w:rPr>
              <w:t>See</w:t>
            </w:r>
            <w:r>
              <w:rPr>
                <w:color w:val="231F20"/>
                <w:spacing w:val="-5"/>
                <w:sz w:val="13"/>
              </w:rPr>
              <w:t> </w:t>
            </w:r>
            <w:r>
              <w:rPr>
                <w:color w:val="231F20"/>
                <w:sz w:val="13"/>
              </w:rPr>
              <w:t>accompanying</w:t>
            </w:r>
            <w:r>
              <w:rPr>
                <w:color w:val="231F20"/>
                <w:spacing w:val="-4"/>
                <w:sz w:val="13"/>
              </w:rPr>
              <w:t> </w:t>
            </w:r>
            <w:r>
              <w:rPr>
                <w:color w:val="231F20"/>
                <w:sz w:val="13"/>
              </w:rPr>
              <w:t>independent</w:t>
            </w:r>
            <w:r>
              <w:rPr>
                <w:color w:val="231F20"/>
                <w:spacing w:val="-5"/>
                <w:sz w:val="13"/>
              </w:rPr>
              <w:t> </w:t>
            </w:r>
            <w:r>
              <w:rPr>
                <w:color w:val="231F20"/>
                <w:sz w:val="13"/>
              </w:rPr>
              <w:t>auditor’s</w:t>
            </w:r>
            <w:r>
              <w:rPr>
                <w:color w:val="231F20"/>
                <w:spacing w:val="-4"/>
                <w:sz w:val="13"/>
              </w:rPr>
              <w:t> </w:t>
            </w:r>
            <w:r>
              <w:rPr>
                <w:color w:val="231F20"/>
                <w:spacing w:val="-2"/>
                <w:sz w:val="13"/>
              </w:rPr>
              <w:t>report.</w:t>
            </w:r>
          </w:p>
        </w:tc>
        <w:tc>
          <w:tcPr>
            <w:tcW w:w="1215" w:type="dxa"/>
            <w:tcBorders>
              <w:top w:val="single" w:sz="8" w:space="0" w:color="231F20"/>
            </w:tcBorders>
          </w:tcPr>
          <w:p>
            <w:pPr>
              <w:pStyle w:val="TableParagraph"/>
              <w:rPr>
                <w:rFonts w:ascii="Times New Roman"/>
                <w:sz w:val="16"/>
              </w:rPr>
            </w:pPr>
          </w:p>
        </w:tc>
        <w:tc>
          <w:tcPr>
            <w:tcW w:w="166" w:type="dxa"/>
          </w:tcPr>
          <w:p>
            <w:pPr>
              <w:pStyle w:val="TableParagraph"/>
              <w:rPr>
                <w:rFonts w:ascii="Times New Roman"/>
                <w:sz w:val="16"/>
              </w:rPr>
            </w:pPr>
          </w:p>
        </w:tc>
        <w:tc>
          <w:tcPr>
            <w:tcW w:w="1215" w:type="dxa"/>
            <w:tcBorders>
              <w:top w:val="single" w:sz="8" w:space="0" w:color="231F20"/>
            </w:tcBorders>
          </w:tcPr>
          <w:p>
            <w:pPr>
              <w:pStyle w:val="TableParagraph"/>
              <w:rPr>
                <w:rFonts w:ascii="Times New Roman"/>
                <w:sz w:val="16"/>
              </w:rPr>
            </w:pPr>
          </w:p>
        </w:tc>
        <w:tc>
          <w:tcPr>
            <w:tcW w:w="166" w:type="dxa"/>
          </w:tcPr>
          <w:p>
            <w:pPr>
              <w:pStyle w:val="TableParagraph"/>
              <w:rPr>
                <w:rFonts w:ascii="Times New Roman"/>
                <w:sz w:val="16"/>
              </w:rPr>
            </w:pPr>
          </w:p>
        </w:tc>
        <w:tc>
          <w:tcPr>
            <w:tcW w:w="1215" w:type="dxa"/>
            <w:tcBorders>
              <w:top w:val="single" w:sz="8" w:space="0" w:color="231F20"/>
            </w:tcBorders>
          </w:tcPr>
          <w:p>
            <w:pPr>
              <w:pStyle w:val="TableParagraph"/>
              <w:rPr>
                <w:rFonts w:ascii="Times New Roman"/>
                <w:sz w:val="16"/>
              </w:rPr>
            </w:pPr>
          </w:p>
        </w:tc>
        <w:tc>
          <w:tcPr>
            <w:tcW w:w="166" w:type="dxa"/>
          </w:tcPr>
          <w:p>
            <w:pPr>
              <w:pStyle w:val="TableParagraph"/>
              <w:rPr>
                <w:rFonts w:ascii="Times New Roman"/>
                <w:sz w:val="16"/>
              </w:rPr>
            </w:pPr>
          </w:p>
        </w:tc>
        <w:tc>
          <w:tcPr>
            <w:tcW w:w="1215" w:type="dxa"/>
            <w:tcBorders>
              <w:top w:val="single" w:sz="8" w:space="0" w:color="231F20"/>
            </w:tcBorders>
          </w:tcPr>
          <w:p>
            <w:pPr>
              <w:pStyle w:val="TableParagraph"/>
              <w:rPr>
                <w:rFonts w:ascii="Times New Roman"/>
                <w:sz w:val="16"/>
              </w:rPr>
            </w:pPr>
          </w:p>
        </w:tc>
      </w:tr>
    </w:tbl>
    <w:p>
      <w:pPr>
        <w:spacing w:after="0"/>
        <w:rPr>
          <w:rFonts w:ascii="Times New Roman"/>
          <w:sz w:val="16"/>
        </w:rPr>
        <w:sectPr>
          <w:pgSz w:w="12240" w:h="15840"/>
          <w:pgMar w:header="1270" w:footer="1097" w:top="1580" w:bottom="1280" w:left="1280" w:right="1280"/>
        </w:sectPr>
      </w:pPr>
    </w:p>
    <w:p>
      <w:pPr>
        <w:spacing w:before="1"/>
        <w:ind w:left="1654" w:right="1654" w:firstLine="0"/>
        <w:jc w:val="center"/>
        <w:rPr>
          <w:b/>
          <w:sz w:val="24"/>
        </w:rPr>
      </w:pPr>
      <w:r>
        <w:rPr>
          <w:b/>
          <w:color w:val="231F20"/>
          <w:sz w:val="24"/>
        </w:rPr>
        <w:t>Restricted</w:t>
      </w:r>
      <w:r>
        <w:rPr>
          <w:b/>
          <w:color w:val="231F20"/>
          <w:spacing w:val="-7"/>
          <w:sz w:val="24"/>
        </w:rPr>
        <w:t> </w:t>
      </w:r>
      <w:r>
        <w:rPr>
          <w:b/>
          <w:color w:val="231F20"/>
          <w:sz w:val="24"/>
        </w:rPr>
        <w:t>Current</w:t>
      </w:r>
      <w:r>
        <w:rPr>
          <w:b/>
          <w:color w:val="231F20"/>
          <w:spacing w:val="-7"/>
          <w:sz w:val="24"/>
        </w:rPr>
        <w:t> </w:t>
      </w:r>
      <w:r>
        <w:rPr>
          <w:b/>
          <w:color w:val="231F20"/>
          <w:sz w:val="24"/>
        </w:rPr>
        <w:t>Funds</w:t>
      </w:r>
      <w:r>
        <w:rPr>
          <w:b/>
          <w:color w:val="231F20"/>
          <w:spacing w:val="-7"/>
          <w:sz w:val="24"/>
        </w:rPr>
        <w:t> </w:t>
      </w:r>
      <w:r>
        <w:rPr>
          <w:b/>
          <w:color w:val="231F20"/>
          <w:sz w:val="24"/>
        </w:rPr>
        <w:t>–</w:t>
      </w:r>
      <w:r>
        <w:rPr>
          <w:b/>
          <w:color w:val="231F20"/>
          <w:spacing w:val="-8"/>
          <w:sz w:val="24"/>
        </w:rPr>
        <w:t> </w:t>
      </w:r>
      <w:r>
        <w:rPr>
          <w:b/>
          <w:color w:val="231F20"/>
          <w:sz w:val="24"/>
        </w:rPr>
        <w:t>Revenues</w:t>
      </w:r>
      <w:r>
        <w:rPr>
          <w:b/>
          <w:color w:val="231F20"/>
          <w:spacing w:val="-7"/>
          <w:sz w:val="24"/>
        </w:rPr>
        <w:t> </w:t>
      </w:r>
      <w:r>
        <w:rPr>
          <w:b/>
          <w:color w:val="231F20"/>
          <w:sz w:val="24"/>
        </w:rPr>
        <w:t>and</w:t>
      </w:r>
      <w:r>
        <w:rPr>
          <w:b/>
          <w:color w:val="231F20"/>
          <w:spacing w:val="-7"/>
          <w:sz w:val="24"/>
        </w:rPr>
        <w:t> </w:t>
      </w:r>
      <w:r>
        <w:rPr>
          <w:b/>
          <w:color w:val="231F20"/>
          <w:sz w:val="24"/>
        </w:rPr>
        <w:t>Expenditures Budget Comparisons (Schedule 3)</w:t>
      </w:r>
    </w:p>
    <w:p>
      <w:pPr>
        <w:spacing w:before="0"/>
        <w:ind w:left="2558" w:right="2555" w:firstLine="0"/>
        <w:jc w:val="center"/>
        <w:rPr>
          <w:b/>
          <w:sz w:val="24"/>
        </w:rPr>
      </w:pPr>
      <w:r>
        <w:rPr/>
        <w:pict>
          <v:rect style="position:absolute;margin-left:70.5pt;margin-top:14.675645pt;width:471.001pt;height:1.5pt;mso-position-horizontal-relative:page;mso-position-vertical-relative:paragraph;z-index:-15632896;mso-wrap-distance-left:0;mso-wrap-distance-right:0" id="docshape455" filled="true" fillcolor="#231f20" stroked="false">
            <v:fill type="solid"/>
            <w10:wrap type="topAndBottom"/>
          </v:rect>
        </w:pict>
      </w:r>
      <w:r>
        <w:rPr>
          <w:b/>
          <w:color w:val="231F20"/>
          <w:sz w:val="24"/>
        </w:rPr>
        <w:t>For</w:t>
      </w:r>
      <w:r>
        <w:rPr>
          <w:b/>
          <w:color w:val="231F20"/>
          <w:spacing w:val="-1"/>
          <w:sz w:val="24"/>
        </w:rPr>
        <w:t> </w:t>
      </w:r>
      <w:r>
        <w:rPr>
          <w:b/>
          <w:color w:val="231F20"/>
          <w:sz w:val="24"/>
        </w:rPr>
        <w:t>Year</w:t>
      </w:r>
      <w:r>
        <w:rPr>
          <w:b/>
          <w:color w:val="231F20"/>
          <w:spacing w:val="-1"/>
          <w:sz w:val="24"/>
        </w:rPr>
        <w:t> </w:t>
      </w:r>
      <w:r>
        <w:rPr>
          <w:b/>
          <w:color w:val="231F20"/>
          <w:sz w:val="24"/>
        </w:rPr>
        <w:t>Ended</w:t>
      </w:r>
      <w:r>
        <w:rPr>
          <w:b/>
          <w:color w:val="231F20"/>
          <w:spacing w:val="-1"/>
          <w:sz w:val="24"/>
        </w:rPr>
        <w:t> </w:t>
      </w:r>
      <w:r>
        <w:rPr>
          <w:b/>
          <w:color w:val="231F20"/>
          <w:sz w:val="24"/>
        </w:rPr>
        <w:t>June</w:t>
      </w:r>
      <w:r>
        <w:rPr>
          <w:b/>
          <w:color w:val="231F20"/>
          <w:spacing w:val="-1"/>
          <w:sz w:val="24"/>
        </w:rPr>
        <w:t> </w:t>
      </w:r>
      <w:r>
        <w:rPr>
          <w:b/>
          <w:color w:val="231F20"/>
          <w:sz w:val="24"/>
        </w:rPr>
        <w:t>30,</w:t>
      </w:r>
      <w:r>
        <w:rPr>
          <w:b/>
          <w:color w:val="231F20"/>
          <w:spacing w:val="-1"/>
          <w:sz w:val="24"/>
        </w:rPr>
        <w:t> </w:t>
      </w:r>
      <w:r>
        <w:rPr>
          <w:b/>
          <w:color w:val="231F20"/>
          <w:spacing w:val="-4"/>
          <w:sz w:val="24"/>
        </w:rPr>
        <w:t>2022</w:t>
      </w:r>
    </w:p>
    <w:p>
      <w:pPr>
        <w:pStyle w:val="BodyText"/>
        <w:rPr>
          <w:b/>
        </w:rPr>
      </w:pPr>
    </w:p>
    <w:p>
      <w:pPr>
        <w:pStyle w:val="BodyText"/>
        <w:spacing w:before="6"/>
        <w:rPr>
          <w:b/>
          <w:sz w:val="27"/>
        </w:rPr>
      </w:pPr>
    </w:p>
    <w:tbl>
      <w:tblPr>
        <w:tblW w:w="0" w:type="auto"/>
        <w:jc w:val="left"/>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3"/>
        <w:gridCol w:w="1811"/>
        <w:gridCol w:w="1384"/>
        <w:gridCol w:w="1384"/>
        <w:gridCol w:w="1351"/>
      </w:tblGrid>
      <w:tr>
        <w:trPr>
          <w:trHeight w:val="848" w:hRule="atLeast"/>
        </w:trPr>
        <w:tc>
          <w:tcPr>
            <w:tcW w:w="3423" w:type="dxa"/>
          </w:tcPr>
          <w:p>
            <w:pPr>
              <w:pStyle w:val="TableParagraph"/>
              <w:rPr>
                <w:rFonts w:ascii="Times New Roman"/>
                <w:sz w:val="16"/>
              </w:rPr>
            </w:pPr>
          </w:p>
        </w:tc>
        <w:tc>
          <w:tcPr>
            <w:tcW w:w="1811" w:type="dxa"/>
          </w:tcPr>
          <w:p>
            <w:pPr>
              <w:pStyle w:val="TableParagraph"/>
              <w:rPr>
                <w:b/>
                <w:sz w:val="18"/>
              </w:rPr>
            </w:pPr>
          </w:p>
          <w:p>
            <w:pPr>
              <w:pStyle w:val="TableParagraph"/>
              <w:rPr>
                <w:b/>
                <w:sz w:val="18"/>
              </w:rPr>
            </w:pPr>
          </w:p>
          <w:p>
            <w:pPr>
              <w:pStyle w:val="TableParagraph"/>
              <w:rPr>
                <w:b/>
                <w:sz w:val="17"/>
              </w:rPr>
            </w:pPr>
          </w:p>
          <w:p>
            <w:pPr>
              <w:pStyle w:val="TableParagraph"/>
              <w:spacing w:before="1"/>
              <w:ind w:right="116"/>
              <w:jc w:val="right"/>
              <w:rPr>
                <w:sz w:val="16"/>
              </w:rPr>
            </w:pPr>
            <w:r>
              <w:rPr>
                <w:color w:val="231F20"/>
                <w:spacing w:val="8"/>
                <w:sz w:val="16"/>
                <w:u w:val="single" w:color="231F20"/>
              </w:rPr>
              <w:t> </w:t>
            </w:r>
            <w:r>
              <w:rPr>
                <w:color w:val="231F20"/>
                <w:sz w:val="16"/>
                <w:u w:val="single" w:color="231F20"/>
              </w:rPr>
              <w:t>Original</w:t>
            </w:r>
            <w:r>
              <w:rPr>
                <w:color w:val="231F20"/>
                <w:spacing w:val="2"/>
                <w:sz w:val="16"/>
                <w:u w:val="single" w:color="231F20"/>
              </w:rPr>
              <w:t> </w:t>
            </w:r>
            <w:r>
              <w:rPr>
                <w:color w:val="231F20"/>
                <w:spacing w:val="-2"/>
                <w:sz w:val="16"/>
                <w:u w:val="single" w:color="231F20"/>
              </w:rPr>
              <w:t>Budget</w:t>
            </w:r>
          </w:p>
        </w:tc>
        <w:tc>
          <w:tcPr>
            <w:tcW w:w="1384" w:type="dxa"/>
          </w:tcPr>
          <w:p>
            <w:pPr>
              <w:pStyle w:val="TableParagraph"/>
              <w:rPr>
                <w:b/>
                <w:sz w:val="18"/>
              </w:rPr>
            </w:pPr>
          </w:p>
          <w:p>
            <w:pPr>
              <w:pStyle w:val="TableParagraph"/>
              <w:rPr>
                <w:b/>
                <w:sz w:val="18"/>
              </w:rPr>
            </w:pPr>
          </w:p>
          <w:p>
            <w:pPr>
              <w:pStyle w:val="TableParagraph"/>
              <w:rPr>
                <w:b/>
                <w:sz w:val="17"/>
              </w:rPr>
            </w:pPr>
          </w:p>
          <w:p>
            <w:pPr>
              <w:pStyle w:val="TableParagraph"/>
              <w:spacing w:before="1"/>
              <w:ind w:right="78"/>
              <w:jc w:val="right"/>
              <w:rPr>
                <w:sz w:val="16"/>
              </w:rPr>
            </w:pPr>
            <w:r>
              <w:rPr>
                <w:color w:val="231F20"/>
                <w:spacing w:val="33"/>
                <w:sz w:val="16"/>
                <w:u w:val="single" w:color="231F20"/>
              </w:rPr>
              <w:t>  </w:t>
            </w:r>
            <w:r>
              <w:rPr>
                <w:color w:val="231F20"/>
                <w:sz w:val="16"/>
                <w:u w:val="single" w:color="231F20"/>
              </w:rPr>
              <w:t>Final</w:t>
            </w:r>
            <w:r>
              <w:rPr>
                <w:color w:val="231F20"/>
                <w:spacing w:val="3"/>
                <w:sz w:val="16"/>
                <w:u w:val="single" w:color="231F20"/>
              </w:rPr>
              <w:t> </w:t>
            </w:r>
            <w:r>
              <w:rPr>
                <w:color w:val="231F20"/>
                <w:spacing w:val="-2"/>
                <w:sz w:val="16"/>
                <w:u w:val="single" w:color="231F20"/>
              </w:rPr>
              <w:t>Budget</w:t>
            </w:r>
            <w:r>
              <w:rPr>
                <w:color w:val="231F20"/>
                <w:spacing w:val="40"/>
                <w:sz w:val="16"/>
                <w:u w:val="single" w:color="231F20"/>
              </w:rPr>
              <w:t> </w:t>
            </w:r>
          </w:p>
        </w:tc>
        <w:tc>
          <w:tcPr>
            <w:tcW w:w="1384" w:type="dxa"/>
          </w:tcPr>
          <w:p>
            <w:pPr>
              <w:pStyle w:val="TableParagraph"/>
              <w:rPr>
                <w:b/>
                <w:sz w:val="18"/>
              </w:rPr>
            </w:pPr>
          </w:p>
          <w:p>
            <w:pPr>
              <w:pStyle w:val="TableParagraph"/>
              <w:rPr>
                <w:b/>
                <w:sz w:val="18"/>
              </w:rPr>
            </w:pPr>
          </w:p>
          <w:p>
            <w:pPr>
              <w:pStyle w:val="TableParagraph"/>
              <w:rPr>
                <w:b/>
                <w:sz w:val="17"/>
              </w:rPr>
            </w:pPr>
          </w:p>
          <w:p>
            <w:pPr>
              <w:pStyle w:val="TableParagraph"/>
              <w:tabs>
                <w:tab w:pos="346" w:val="left" w:leader="none"/>
                <w:tab w:pos="1219" w:val="left" w:leader="none"/>
              </w:tabs>
              <w:spacing w:before="1"/>
              <w:ind w:right="78"/>
              <w:jc w:val="right"/>
              <w:rPr>
                <w:sz w:val="16"/>
              </w:rPr>
            </w:pPr>
            <w:r>
              <w:rPr>
                <w:color w:val="231F20"/>
                <w:sz w:val="16"/>
                <w:u w:val="single" w:color="231F20"/>
              </w:rPr>
              <w:tab/>
            </w:r>
            <w:r>
              <w:rPr>
                <w:color w:val="231F20"/>
                <w:spacing w:val="-2"/>
                <w:sz w:val="16"/>
                <w:u w:val="single" w:color="231F20"/>
              </w:rPr>
              <w:t>Actuals</w:t>
            </w:r>
            <w:r>
              <w:rPr>
                <w:color w:val="231F20"/>
                <w:sz w:val="16"/>
                <w:u w:val="single" w:color="231F20"/>
              </w:rPr>
              <w:tab/>
            </w:r>
          </w:p>
        </w:tc>
        <w:tc>
          <w:tcPr>
            <w:tcW w:w="1351" w:type="dxa"/>
          </w:tcPr>
          <w:p>
            <w:pPr>
              <w:pStyle w:val="TableParagraph"/>
              <w:spacing w:line="266" w:lineRule="auto"/>
              <w:ind w:left="222" w:right="165" w:hanging="1"/>
              <w:jc w:val="center"/>
              <w:rPr>
                <w:sz w:val="16"/>
              </w:rPr>
            </w:pPr>
            <w:r>
              <w:rPr>
                <w:color w:val="231F20"/>
                <w:sz w:val="16"/>
              </w:rPr>
              <w:t>Final Budget vs Actuals Over</w:t>
            </w:r>
            <w:r>
              <w:rPr>
                <w:color w:val="231F20"/>
                <w:spacing w:val="-10"/>
                <w:sz w:val="16"/>
              </w:rPr>
              <w:t> </w:t>
            </w:r>
            <w:r>
              <w:rPr>
                <w:color w:val="231F20"/>
                <w:sz w:val="16"/>
              </w:rPr>
              <w:t>(Under)</w:t>
            </w:r>
          </w:p>
          <w:p>
            <w:pPr>
              <w:pStyle w:val="TableParagraph"/>
              <w:tabs>
                <w:tab w:pos="396" w:val="left" w:leader="none"/>
                <w:tab w:pos="1258" w:val="left" w:leader="none"/>
              </w:tabs>
              <w:spacing w:line="183" w:lineRule="exact"/>
              <w:ind w:left="39"/>
              <w:jc w:val="center"/>
              <w:rPr>
                <w:sz w:val="16"/>
              </w:rPr>
            </w:pPr>
            <w:r>
              <w:rPr>
                <w:color w:val="231F20"/>
                <w:sz w:val="16"/>
                <w:u w:val="single" w:color="231F20"/>
              </w:rPr>
              <w:tab/>
            </w:r>
            <w:r>
              <w:rPr>
                <w:color w:val="231F20"/>
                <w:spacing w:val="-2"/>
                <w:sz w:val="16"/>
                <w:u w:val="single" w:color="231F20"/>
              </w:rPr>
              <w:t>Budget</w:t>
            </w:r>
            <w:r>
              <w:rPr>
                <w:color w:val="231F20"/>
                <w:sz w:val="16"/>
                <w:u w:val="single" w:color="231F20"/>
              </w:rPr>
              <w:tab/>
            </w:r>
          </w:p>
        </w:tc>
      </w:tr>
      <w:tr>
        <w:trPr>
          <w:trHeight w:val="348" w:hRule="atLeast"/>
        </w:trPr>
        <w:tc>
          <w:tcPr>
            <w:tcW w:w="3423" w:type="dxa"/>
          </w:tcPr>
          <w:p>
            <w:pPr>
              <w:pStyle w:val="TableParagraph"/>
              <w:spacing w:before="51"/>
              <w:ind w:left="50"/>
              <w:rPr>
                <w:sz w:val="16"/>
              </w:rPr>
            </w:pPr>
            <w:r>
              <w:rPr>
                <w:color w:val="231F20"/>
                <w:sz w:val="16"/>
              </w:rPr>
              <w:t>Restricted</w:t>
            </w:r>
            <w:r>
              <w:rPr>
                <w:color w:val="231F20"/>
                <w:spacing w:val="5"/>
                <w:sz w:val="16"/>
              </w:rPr>
              <w:t> </w:t>
            </w:r>
            <w:r>
              <w:rPr>
                <w:color w:val="231F20"/>
                <w:sz w:val="16"/>
              </w:rPr>
              <w:t>beginning</w:t>
            </w:r>
            <w:r>
              <w:rPr>
                <w:color w:val="231F20"/>
                <w:spacing w:val="7"/>
                <w:sz w:val="16"/>
              </w:rPr>
              <w:t> </w:t>
            </w:r>
            <w:r>
              <w:rPr>
                <w:color w:val="231F20"/>
                <w:sz w:val="16"/>
              </w:rPr>
              <w:t>net</w:t>
            </w:r>
            <w:r>
              <w:rPr>
                <w:color w:val="231F20"/>
                <w:spacing w:val="6"/>
                <w:sz w:val="16"/>
              </w:rPr>
              <w:t> </w:t>
            </w:r>
            <w:r>
              <w:rPr>
                <w:color w:val="231F20"/>
                <w:spacing w:val="-2"/>
                <w:sz w:val="16"/>
              </w:rPr>
              <w:t>position</w:t>
            </w:r>
          </w:p>
        </w:tc>
        <w:tc>
          <w:tcPr>
            <w:tcW w:w="1811" w:type="dxa"/>
          </w:tcPr>
          <w:p>
            <w:pPr>
              <w:pStyle w:val="TableParagraph"/>
              <w:tabs>
                <w:tab w:pos="1075" w:val="left" w:leader="none"/>
              </w:tabs>
              <w:spacing w:before="51"/>
              <w:ind w:right="79"/>
              <w:jc w:val="right"/>
              <w:rPr>
                <w:sz w:val="16"/>
              </w:rPr>
            </w:pPr>
            <w:r>
              <w:rPr>
                <w:color w:val="231F20"/>
                <w:spacing w:val="41"/>
                <w:sz w:val="16"/>
                <w:u w:val="single" w:color="231F20"/>
              </w:rPr>
              <w:t> </w:t>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w:t>
            </w:r>
          </w:p>
        </w:tc>
        <w:tc>
          <w:tcPr>
            <w:tcW w:w="1384" w:type="dxa"/>
          </w:tcPr>
          <w:p>
            <w:pPr>
              <w:pStyle w:val="TableParagraph"/>
              <w:spacing w:before="51"/>
              <w:ind w:right="111"/>
              <w:jc w:val="right"/>
              <w:rPr>
                <w:sz w:val="16"/>
              </w:rPr>
            </w:pPr>
            <w:r>
              <w:rPr>
                <w:color w:val="231F20"/>
                <w:spacing w:val="41"/>
                <w:sz w:val="16"/>
                <w:u w:val="single" w:color="231F20"/>
              </w:rPr>
              <w:t> </w:t>
            </w:r>
            <w:r>
              <w:rPr>
                <w:color w:val="231F20"/>
                <w:sz w:val="16"/>
                <w:u w:val="single" w:color="231F20"/>
              </w:rPr>
              <w:t>$</w:t>
            </w:r>
            <w:r>
              <w:rPr>
                <w:color w:val="231F20"/>
                <w:spacing w:val="39"/>
                <w:sz w:val="16"/>
                <w:u w:val="single" w:color="231F20"/>
              </w:rPr>
              <w:t>  </w:t>
            </w:r>
            <w:r>
              <w:rPr>
                <w:color w:val="231F20"/>
                <w:spacing w:val="-2"/>
                <w:sz w:val="16"/>
                <w:u w:val="single" w:color="231F20"/>
              </w:rPr>
              <w:t>(2,472,551)</w:t>
            </w:r>
          </w:p>
        </w:tc>
        <w:tc>
          <w:tcPr>
            <w:tcW w:w="1384" w:type="dxa"/>
          </w:tcPr>
          <w:p>
            <w:pPr>
              <w:pStyle w:val="TableParagraph"/>
              <w:spacing w:before="51"/>
              <w:ind w:right="110"/>
              <w:jc w:val="right"/>
              <w:rPr>
                <w:sz w:val="16"/>
              </w:rPr>
            </w:pPr>
            <w:r>
              <w:rPr>
                <w:color w:val="231F20"/>
                <w:spacing w:val="42"/>
                <w:sz w:val="16"/>
                <w:u w:val="single" w:color="231F20"/>
              </w:rPr>
              <w:t> </w:t>
            </w:r>
            <w:r>
              <w:rPr>
                <w:color w:val="231F20"/>
                <w:sz w:val="16"/>
                <w:u w:val="single" w:color="231F20"/>
              </w:rPr>
              <w:t>$</w:t>
            </w:r>
            <w:r>
              <w:rPr>
                <w:color w:val="231F20"/>
                <w:spacing w:val="39"/>
                <w:sz w:val="16"/>
                <w:u w:val="single" w:color="231F20"/>
              </w:rPr>
              <w:t>  </w:t>
            </w:r>
            <w:r>
              <w:rPr>
                <w:color w:val="231F20"/>
                <w:spacing w:val="-2"/>
                <w:sz w:val="16"/>
                <w:u w:val="single" w:color="231F20"/>
              </w:rPr>
              <w:t>(2,472,551)</w:t>
            </w:r>
          </w:p>
        </w:tc>
        <w:tc>
          <w:tcPr>
            <w:tcW w:w="1351" w:type="dxa"/>
          </w:tcPr>
          <w:p>
            <w:pPr>
              <w:pStyle w:val="TableParagraph"/>
              <w:tabs>
                <w:tab w:pos="1162" w:val="left" w:leader="none"/>
              </w:tabs>
              <w:spacing w:before="51"/>
              <w:ind w:left="85"/>
              <w:rPr>
                <w:sz w:val="16"/>
              </w:rPr>
            </w:pPr>
            <w:r>
              <w:rPr>
                <w:color w:val="231F20"/>
                <w:spacing w:val="42"/>
                <w:sz w:val="16"/>
                <w:u w:val="single" w:color="231F20"/>
              </w:rPr>
              <w:t> </w:t>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w:t>
            </w:r>
          </w:p>
        </w:tc>
      </w:tr>
      <w:tr>
        <w:trPr>
          <w:trHeight w:val="509" w:hRule="atLeast"/>
        </w:trPr>
        <w:tc>
          <w:tcPr>
            <w:tcW w:w="3423" w:type="dxa"/>
          </w:tcPr>
          <w:p>
            <w:pPr>
              <w:pStyle w:val="TableParagraph"/>
              <w:spacing w:line="200" w:lineRule="atLeast" w:before="90"/>
              <w:ind w:left="280" w:right="1460" w:hanging="231"/>
              <w:rPr>
                <w:sz w:val="16"/>
              </w:rPr>
            </w:pPr>
            <w:r>
              <w:rPr>
                <w:color w:val="231F20"/>
                <w:sz w:val="16"/>
              </w:rPr>
              <w:t>Restricted </w:t>
            </w:r>
            <w:r>
              <w:rPr>
                <w:color w:val="231F20"/>
                <w:sz w:val="16"/>
              </w:rPr>
              <w:t>revenues: </w:t>
            </w:r>
            <w:r>
              <w:rPr>
                <w:color w:val="231F20"/>
                <w:spacing w:val="-2"/>
                <w:sz w:val="16"/>
              </w:rPr>
              <w:t>Tuition</w:t>
            </w:r>
          </w:p>
        </w:tc>
        <w:tc>
          <w:tcPr>
            <w:tcW w:w="1811" w:type="dxa"/>
          </w:tcPr>
          <w:p>
            <w:pPr>
              <w:pStyle w:val="TableParagraph"/>
              <w:rPr>
                <w:b/>
                <w:sz w:val="18"/>
              </w:rPr>
            </w:pPr>
          </w:p>
          <w:p>
            <w:pPr>
              <w:pStyle w:val="TableParagraph"/>
              <w:spacing w:line="175" w:lineRule="exact" w:before="107"/>
              <w:ind w:right="168"/>
              <w:jc w:val="right"/>
              <w:rPr>
                <w:sz w:val="16"/>
              </w:rPr>
            </w:pPr>
            <w:r>
              <w:rPr>
                <w:color w:val="231F20"/>
                <w:w w:val="102"/>
                <w:sz w:val="16"/>
              </w:rPr>
              <w:t>-</w:t>
            </w:r>
          </w:p>
        </w:tc>
        <w:tc>
          <w:tcPr>
            <w:tcW w:w="1384" w:type="dxa"/>
          </w:tcPr>
          <w:p>
            <w:pPr>
              <w:pStyle w:val="TableParagraph"/>
              <w:rPr>
                <w:b/>
                <w:sz w:val="18"/>
              </w:rPr>
            </w:pPr>
          </w:p>
          <w:p>
            <w:pPr>
              <w:pStyle w:val="TableParagraph"/>
              <w:spacing w:line="175" w:lineRule="exact" w:before="107"/>
              <w:ind w:right="166"/>
              <w:jc w:val="right"/>
              <w:rPr>
                <w:sz w:val="16"/>
              </w:rPr>
            </w:pPr>
            <w:r>
              <w:rPr>
                <w:color w:val="231F20"/>
                <w:w w:val="102"/>
                <w:sz w:val="16"/>
              </w:rPr>
              <w:t>-</w:t>
            </w:r>
          </w:p>
        </w:tc>
        <w:tc>
          <w:tcPr>
            <w:tcW w:w="1384" w:type="dxa"/>
          </w:tcPr>
          <w:p>
            <w:pPr>
              <w:pStyle w:val="TableParagraph"/>
              <w:rPr>
                <w:b/>
                <w:sz w:val="18"/>
              </w:rPr>
            </w:pPr>
          </w:p>
          <w:p>
            <w:pPr>
              <w:pStyle w:val="TableParagraph"/>
              <w:spacing w:line="175" w:lineRule="exact" w:before="107"/>
              <w:ind w:right="165"/>
              <w:jc w:val="right"/>
              <w:rPr>
                <w:sz w:val="16"/>
              </w:rPr>
            </w:pPr>
            <w:r>
              <w:rPr>
                <w:color w:val="231F20"/>
                <w:w w:val="102"/>
                <w:sz w:val="16"/>
              </w:rPr>
              <w:t>-</w:t>
            </w:r>
          </w:p>
        </w:tc>
        <w:tc>
          <w:tcPr>
            <w:tcW w:w="1351" w:type="dxa"/>
          </w:tcPr>
          <w:p>
            <w:pPr>
              <w:pStyle w:val="TableParagraph"/>
              <w:rPr>
                <w:b/>
                <w:sz w:val="18"/>
              </w:rPr>
            </w:pPr>
          </w:p>
          <w:p>
            <w:pPr>
              <w:pStyle w:val="TableParagraph"/>
              <w:spacing w:line="175" w:lineRule="exact" w:before="107"/>
              <w:ind w:right="131"/>
              <w:jc w:val="right"/>
              <w:rPr>
                <w:sz w:val="16"/>
              </w:rPr>
            </w:pPr>
            <w:r>
              <w:rPr>
                <w:color w:val="231F20"/>
                <w:w w:val="102"/>
                <w:sz w:val="16"/>
              </w:rPr>
              <w:t>-</w:t>
            </w:r>
          </w:p>
        </w:tc>
      </w:tr>
      <w:tr>
        <w:trPr>
          <w:trHeight w:val="204" w:hRule="atLeast"/>
        </w:trPr>
        <w:tc>
          <w:tcPr>
            <w:tcW w:w="3423" w:type="dxa"/>
          </w:tcPr>
          <w:p>
            <w:pPr>
              <w:pStyle w:val="TableParagraph"/>
              <w:spacing w:line="175" w:lineRule="exact" w:before="8"/>
              <w:ind w:left="280"/>
              <w:rPr>
                <w:sz w:val="16"/>
              </w:rPr>
            </w:pPr>
            <w:r>
              <w:rPr>
                <w:color w:val="231F20"/>
                <w:sz w:val="16"/>
              </w:rPr>
              <w:t>Miscellaneous</w:t>
            </w:r>
            <w:r>
              <w:rPr>
                <w:color w:val="231F20"/>
                <w:spacing w:val="13"/>
                <w:sz w:val="16"/>
              </w:rPr>
              <w:t> </w:t>
            </w:r>
            <w:r>
              <w:rPr>
                <w:color w:val="231F20"/>
                <w:spacing w:val="-4"/>
                <w:sz w:val="16"/>
              </w:rPr>
              <w:t>fees</w:t>
            </w:r>
          </w:p>
        </w:tc>
        <w:tc>
          <w:tcPr>
            <w:tcW w:w="1811" w:type="dxa"/>
          </w:tcPr>
          <w:p>
            <w:pPr>
              <w:pStyle w:val="TableParagraph"/>
              <w:spacing w:line="175" w:lineRule="exact" w:before="8"/>
              <w:ind w:right="167"/>
              <w:jc w:val="right"/>
              <w:rPr>
                <w:sz w:val="16"/>
              </w:rPr>
            </w:pPr>
            <w:r>
              <w:rPr>
                <w:color w:val="231F20"/>
                <w:w w:val="102"/>
                <w:sz w:val="16"/>
              </w:rPr>
              <w:t>-</w:t>
            </w:r>
          </w:p>
        </w:tc>
        <w:tc>
          <w:tcPr>
            <w:tcW w:w="1384" w:type="dxa"/>
          </w:tcPr>
          <w:p>
            <w:pPr>
              <w:pStyle w:val="TableParagraph"/>
              <w:spacing w:line="175" w:lineRule="exact" w:before="8"/>
              <w:ind w:right="166"/>
              <w:jc w:val="right"/>
              <w:rPr>
                <w:sz w:val="16"/>
              </w:rPr>
            </w:pPr>
            <w:r>
              <w:rPr>
                <w:color w:val="231F20"/>
                <w:w w:val="102"/>
                <w:sz w:val="16"/>
              </w:rPr>
              <w:t>-</w:t>
            </w:r>
          </w:p>
        </w:tc>
        <w:tc>
          <w:tcPr>
            <w:tcW w:w="1384" w:type="dxa"/>
          </w:tcPr>
          <w:p>
            <w:pPr>
              <w:pStyle w:val="TableParagraph"/>
              <w:spacing w:line="175" w:lineRule="exact" w:before="8"/>
              <w:ind w:right="165"/>
              <w:jc w:val="right"/>
              <w:rPr>
                <w:sz w:val="16"/>
              </w:rPr>
            </w:pPr>
            <w:r>
              <w:rPr>
                <w:color w:val="231F20"/>
                <w:w w:val="102"/>
                <w:sz w:val="16"/>
              </w:rPr>
              <w:t>-</w:t>
            </w:r>
          </w:p>
        </w:tc>
        <w:tc>
          <w:tcPr>
            <w:tcW w:w="1351" w:type="dxa"/>
          </w:tcPr>
          <w:p>
            <w:pPr>
              <w:pStyle w:val="TableParagraph"/>
              <w:spacing w:line="175" w:lineRule="exact" w:before="8"/>
              <w:ind w:right="131"/>
              <w:jc w:val="right"/>
              <w:rPr>
                <w:sz w:val="16"/>
              </w:rPr>
            </w:pPr>
            <w:r>
              <w:rPr>
                <w:color w:val="231F20"/>
                <w:w w:val="102"/>
                <w:sz w:val="16"/>
              </w:rPr>
              <w:t>-</w:t>
            </w:r>
          </w:p>
        </w:tc>
      </w:tr>
      <w:tr>
        <w:trPr>
          <w:trHeight w:val="204" w:hRule="atLeast"/>
        </w:trPr>
        <w:tc>
          <w:tcPr>
            <w:tcW w:w="3423" w:type="dxa"/>
          </w:tcPr>
          <w:p>
            <w:pPr>
              <w:pStyle w:val="TableParagraph"/>
              <w:spacing w:line="175" w:lineRule="exact" w:before="8"/>
              <w:ind w:left="280"/>
              <w:rPr>
                <w:sz w:val="16"/>
              </w:rPr>
            </w:pPr>
            <w:r>
              <w:rPr>
                <w:color w:val="231F20"/>
                <w:sz w:val="16"/>
              </w:rPr>
              <w:t>Government</w:t>
            </w:r>
            <w:r>
              <w:rPr>
                <w:color w:val="231F20"/>
                <w:spacing w:val="8"/>
                <w:sz w:val="16"/>
              </w:rPr>
              <w:t> </w:t>
            </w:r>
            <w:r>
              <w:rPr>
                <w:color w:val="231F20"/>
                <w:sz w:val="16"/>
              </w:rPr>
              <w:t>appropriation,</w:t>
            </w:r>
            <w:r>
              <w:rPr>
                <w:color w:val="231F20"/>
                <w:spacing w:val="11"/>
                <w:sz w:val="16"/>
              </w:rPr>
              <w:t> </w:t>
            </w:r>
            <w:r>
              <w:rPr>
                <w:color w:val="231F20"/>
                <w:spacing w:val="-2"/>
                <w:sz w:val="16"/>
              </w:rPr>
              <w:t>federal</w:t>
            </w:r>
          </w:p>
        </w:tc>
        <w:tc>
          <w:tcPr>
            <w:tcW w:w="1811" w:type="dxa"/>
          </w:tcPr>
          <w:p>
            <w:pPr>
              <w:pStyle w:val="TableParagraph"/>
              <w:spacing w:line="175" w:lineRule="exact" w:before="8"/>
              <w:ind w:right="170"/>
              <w:jc w:val="right"/>
              <w:rPr>
                <w:sz w:val="16"/>
              </w:rPr>
            </w:pPr>
            <w:r>
              <w:rPr>
                <w:color w:val="231F20"/>
                <w:spacing w:val="-2"/>
                <w:sz w:val="16"/>
              </w:rPr>
              <w:t>202,298</w:t>
            </w:r>
          </w:p>
        </w:tc>
        <w:tc>
          <w:tcPr>
            <w:tcW w:w="1384" w:type="dxa"/>
          </w:tcPr>
          <w:p>
            <w:pPr>
              <w:pStyle w:val="TableParagraph"/>
              <w:spacing w:line="175" w:lineRule="exact" w:before="8"/>
              <w:ind w:right="165"/>
              <w:jc w:val="right"/>
              <w:rPr>
                <w:sz w:val="16"/>
              </w:rPr>
            </w:pPr>
            <w:r>
              <w:rPr>
                <w:color w:val="231F20"/>
                <w:spacing w:val="-2"/>
                <w:sz w:val="16"/>
              </w:rPr>
              <w:t>202,298</w:t>
            </w:r>
          </w:p>
        </w:tc>
        <w:tc>
          <w:tcPr>
            <w:tcW w:w="1384" w:type="dxa"/>
          </w:tcPr>
          <w:p>
            <w:pPr>
              <w:pStyle w:val="TableParagraph"/>
              <w:spacing w:line="175" w:lineRule="exact" w:before="8"/>
              <w:ind w:right="165"/>
              <w:jc w:val="right"/>
              <w:rPr>
                <w:sz w:val="16"/>
              </w:rPr>
            </w:pPr>
            <w:r>
              <w:rPr>
                <w:color w:val="231F20"/>
                <w:spacing w:val="-2"/>
                <w:sz w:val="16"/>
              </w:rPr>
              <w:t>291,383</w:t>
            </w:r>
          </w:p>
        </w:tc>
        <w:tc>
          <w:tcPr>
            <w:tcW w:w="1351" w:type="dxa"/>
          </w:tcPr>
          <w:p>
            <w:pPr>
              <w:pStyle w:val="TableParagraph"/>
              <w:spacing w:line="175" w:lineRule="exact" w:before="8"/>
              <w:ind w:right="131"/>
              <w:jc w:val="right"/>
              <w:rPr>
                <w:sz w:val="16"/>
              </w:rPr>
            </w:pPr>
            <w:r>
              <w:rPr>
                <w:color w:val="231F20"/>
                <w:spacing w:val="-2"/>
                <w:sz w:val="16"/>
              </w:rPr>
              <w:t>89,085</w:t>
            </w:r>
          </w:p>
        </w:tc>
      </w:tr>
      <w:tr>
        <w:trPr>
          <w:trHeight w:val="204" w:hRule="atLeast"/>
        </w:trPr>
        <w:tc>
          <w:tcPr>
            <w:tcW w:w="3423" w:type="dxa"/>
          </w:tcPr>
          <w:p>
            <w:pPr>
              <w:pStyle w:val="TableParagraph"/>
              <w:spacing w:line="175" w:lineRule="exact" w:before="8"/>
              <w:ind w:left="280"/>
              <w:rPr>
                <w:sz w:val="16"/>
              </w:rPr>
            </w:pPr>
            <w:r>
              <w:rPr>
                <w:color w:val="231F20"/>
                <w:sz w:val="16"/>
              </w:rPr>
              <w:t>Government</w:t>
            </w:r>
            <w:r>
              <w:rPr>
                <w:color w:val="231F20"/>
                <w:spacing w:val="8"/>
                <w:sz w:val="16"/>
              </w:rPr>
              <w:t> </w:t>
            </w:r>
            <w:r>
              <w:rPr>
                <w:color w:val="231F20"/>
                <w:sz w:val="16"/>
              </w:rPr>
              <w:t>appropriation,</w:t>
            </w:r>
            <w:r>
              <w:rPr>
                <w:color w:val="231F20"/>
                <w:spacing w:val="11"/>
                <w:sz w:val="16"/>
              </w:rPr>
              <w:t> </w:t>
            </w:r>
            <w:r>
              <w:rPr>
                <w:color w:val="231F20"/>
                <w:spacing w:val="-2"/>
                <w:sz w:val="16"/>
              </w:rPr>
              <w:t>state</w:t>
            </w:r>
          </w:p>
        </w:tc>
        <w:tc>
          <w:tcPr>
            <w:tcW w:w="1811" w:type="dxa"/>
          </w:tcPr>
          <w:p>
            <w:pPr>
              <w:pStyle w:val="TableParagraph"/>
              <w:spacing w:line="175" w:lineRule="exact" w:before="8"/>
              <w:ind w:right="168"/>
              <w:jc w:val="right"/>
              <w:rPr>
                <w:sz w:val="16"/>
              </w:rPr>
            </w:pPr>
            <w:r>
              <w:rPr>
                <w:color w:val="231F20"/>
                <w:w w:val="102"/>
                <w:sz w:val="16"/>
              </w:rPr>
              <w:t>-</w:t>
            </w:r>
          </w:p>
        </w:tc>
        <w:tc>
          <w:tcPr>
            <w:tcW w:w="1384" w:type="dxa"/>
          </w:tcPr>
          <w:p>
            <w:pPr>
              <w:pStyle w:val="TableParagraph"/>
              <w:spacing w:line="175" w:lineRule="exact" w:before="8"/>
              <w:ind w:right="166"/>
              <w:jc w:val="right"/>
              <w:rPr>
                <w:sz w:val="16"/>
              </w:rPr>
            </w:pPr>
            <w:r>
              <w:rPr>
                <w:color w:val="231F20"/>
                <w:w w:val="102"/>
                <w:sz w:val="16"/>
              </w:rPr>
              <w:t>-</w:t>
            </w:r>
          </w:p>
        </w:tc>
        <w:tc>
          <w:tcPr>
            <w:tcW w:w="1384" w:type="dxa"/>
          </w:tcPr>
          <w:p>
            <w:pPr>
              <w:pStyle w:val="TableParagraph"/>
              <w:spacing w:line="175" w:lineRule="exact" w:before="8"/>
              <w:ind w:right="165"/>
              <w:jc w:val="right"/>
              <w:rPr>
                <w:sz w:val="16"/>
              </w:rPr>
            </w:pPr>
            <w:r>
              <w:rPr>
                <w:color w:val="231F20"/>
                <w:w w:val="102"/>
                <w:sz w:val="16"/>
              </w:rPr>
              <w:t>-</w:t>
            </w:r>
          </w:p>
        </w:tc>
        <w:tc>
          <w:tcPr>
            <w:tcW w:w="1351" w:type="dxa"/>
          </w:tcPr>
          <w:p>
            <w:pPr>
              <w:pStyle w:val="TableParagraph"/>
              <w:spacing w:line="175" w:lineRule="exact" w:before="8"/>
              <w:ind w:right="131"/>
              <w:jc w:val="right"/>
              <w:rPr>
                <w:sz w:val="16"/>
              </w:rPr>
            </w:pPr>
            <w:r>
              <w:rPr>
                <w:color w:val="231F20"/>
                <w:w w:val="102"/>
                <w:sz w:val="16"/>
              </w:rPr>
              <w:t>-</w:t>
            </w:r>
          </w:p>
        </w:tc>
      </w:tr>
      <w:tr>
        <w:trPr>
          <w:trHeight w:val="204" w:hRule="atLeast"/>
        </w:trPr>
        <w:tc>
          <w:tcPr>
            <w:tcW w:w="3423" w:type="dxa"/>
          </w:tcPr>
          <w:p>
            <w:pPr>
              <w:pStyle w:val="TableParagraph"/>
              <w:spacing w:line="175" w:lineRule="exact" w:before="8"/>
              <w:ind w:left="280"/>
              <w:rPr>
                <w:sz w:val="16"/>
              </w:rPr>
            </w:pPr>
            <w:r>
              <w:rPr>
                <w:color w:val="231F20"/>
                <w:sz w:val="16"/>
              </w:rPr>
              <w:t>Government</w:t>
            </w:r>
            <w:r>
              <w:rPr>
                <w:color w:val="231F20"/>
                <w:spacing w:val="8"/>
                <w:sz w:val="16"/>
              </w:rPr>
              <w:t> </w:t>
            </w:r>
            <w:r>
              <w:rPr>
                <w:color w:val="231F20"/>
                <w:sz w:val="16"/>
              </w:rPr>
              <w:t>appropriation,</w:t>
            </w:r>
            <w:r>
              <w:rPr>
                <w:color w:val="231F20"/>
                <w:spacing w:val="11"/>
                <w:sz w:val="16"/>
              </w:rPr>
              <w:t> </w:t>
            </w:r>
            <w:r>
              <w:rPr>
                <w:color w:val="231F20"/>
                <w:spacing w:val="-2"/>
                <w:sz w:val="16"/>
              </w:rPr>
              <w:t>local</w:t>
            </w:r>
          </w:p>
        </w:tc>
        <w:tc>
          <w:tcPr>
            <w:tcW w:w="1811" w:type="dxa"/>
          </w:tcPr>
          <w:p>
            <w:pPr>
              <w:pStyle w:val="TableParagraph"/>
              <w:spacing w:line="175" w:lineRule="exact" w:before="8"/>
              <w:ind w:right="168"/>
              <w:jc w:val="right"/>
              <w:rPr>
                <w:sz w:val="16"/>
              </w:rPr>
            </w:pPr>
            <w:r>
              <w:rPr>
                <w:color w:val="231F20"/>
                <w:w w:val="102"/>
                <w:sz w:val="16"/>
              </w:rPr>
              <w:t>-</w:t>
            </w:r>
          </w:p>
        </w:tc>
        <w:tc>
          <w:tcPr>
            <w:tcW w:w="1384" w:type="dxa"/>
          </w:tcPr>
          <w:p>
            <w:pPr>
              <w:pStyle w:val="TableParagraph"/>
              <w:spacing w:line="175" w:lineRule="exact" w:before="8"/>
              <w:ind w:right="166"/>
              <w:jc w:val="right"/>
              <w:rPr>
                <w:sz w:val="16"/>
              </w:rPr>
            </w:pPr>
            <w:r>
              <w:rPr>
                <w:color w:val="231F20"/>
                <w:w w:val="102"/>
                <w:sz w:val="16"/>
              </w:rPr>
              <w:t>-</w:t>
            </w:r>
          </w:p>
        </w:tc>
        <w:tc>
          <w:tcPr>
            <w:tcW w:w="1384" w:type="dxa"/>
          </w:tcPr>
          <w:p>
            <w:pPr>
              <w:pStyle w:val="TableParagraph"/>
              <w:spacing w:line="175" w:lineRule="exact" w:before="8"/>
              <w:ind w:right="165"/>
              <w:jc w:val="right"/>
              <w:rPr>
                <w:sz w:val="16"/>
              </w:rPr>
            </w:pPr>
            <w:r>
              <w:rPr>
                <w:color w:val="231F20"/>
                <w:w w:val="102"/>
                <w:sz w:val="16"/>
              </w:rPr>
              <w:t>-</w:t>
            </w:r>
          </w:p>
        </w:tc>
        <w:tc>
          <w:tcPr>
            <w:tcW w:w="1351" w:type="dxa"/>
          </w:tcPr>
          <w:p>
            <w:pPr>
              <w:pStyle w:val="TableParagraph"/>
              <w:spacing w:line="175" w:lineRule="exact" w:before="8"/>
              <w:ind w:right="131"/>
              <w:jc w:val="right"/>
              <w:rPr>
                <w:sz w:val="16"/>
              </w:rPr>
            </w:pPr>
            <w:r>
              <w:rPr>
                <w:color w:val="231F20"/>
                <w:w w:val="102"/>
                <w:sz w:val="16"/>
              </w:rPr>
              <w:t>-</w:t>
            </w:r>
          </w:p>
        </w:tc>
      </w:tr>
      <w:tr>
        <w:trPr>
          <w:trHeight w:val="204" w:hRule="atLeast"/>
        </w:trPr>
        <w:tc>
          <w:tcPr>
            <w:tcW w:w="3423" w:type="dxa"/>
          </w:tcPr>
          <w:p>
            <w:pPr>
              <w:pStyle w:val="TableParagraph"/>
              <w:spacing w:line="176" w:lineRule="exact" w:before="8"/>
              <w:ind w:left="280"/>
              <w:rPr>
                <w:sz w:val="16"/>
              </w:rPr>
            </w:pPr>
            <w:r>
              <w:rPr>
                <w:color w:val="231F20"/>
                <w:sz w:val="16"/>
              </w:rPr>
              <w:t>Government</w:t>
            </w:r>
            <w:r>
              <w:rPr>
                <w:color w:val="231F20"/>
                <w:spacing w:val="7"/>
                <w:sz w:val="16"/>
              </w:rPr>
              <w:t> </w:t>
            </w:r>
            <w:r>
              <w:rPr>
                <w:color w:val="231F20"/>
                <w:sz w:val="16"/>
              </w:rPr>
              <w:t>grants,</w:t>
            </w:r>
            <w:r>
              <w:rPr>
                <w:color w:val="231F20"/>
                <w:spacing w:val="7"/>
                <w:sz w:val="16"/>
              </w:rPr>
              <w:t> </w:t>
            </w:r>
            <w:r>
              <w:rPr>
                <w:color w:val="231F20"/>
                <w:spacing w:val="-2"/>
                <w:sz w:val="16"/>
              </w:rPr>
              <w:t>federal</w:t>
            </w:r>
          </w:p>
        </w:tc>
        <w:tc>
          <w:tcPr>
            <w:tcW w:w="1811" w:type="dxa"/>
          </w:tcPr>
          <w:p>
            <w:pPr>
              <w:pStyle w:val="TableParagraph"/>
              <w:spacing w:line="176" w:lineRule="exact" w:before="8"/>
              <w:ind w:right="169"/>
              <w:jc w:val="right"/>
              <w:rPr>
                <w:sz w:val="16"/>
              </w:rPr>
            </w:pPr>
            <w:r>
              <w:rPr>
                <w:color w:val="231F20"/>
                <w:spacing w:val="-2"/>
                <w:sz w:val="16"/>
              </w:rPr>
              <w:t>48,550,000</w:t>
            </w:r>
          </w:p>
        </w:tc>
        <w:tc>
          <w:tcPr>
            <w:tcW w:w="1384" w:type="dxa"/>
          </w:tcPr>
          <w:p>
            <w:pPr>
              <w:pStyle w:val="TableParagraph"/>
              <w:spacing w:line="176" w:lineRule="exact" w:before="8"/>
              <w:ind w:left="392"/>
              <w:rPr>
                <w:sz w:val="16"/>
              </w:rPr>
            </w:pPr>
            <w:r>
              <w:rPr>
                <w:color w:val="231F20"/>
                <w:spacing w:val="-2"/>
                <w:sz w:val="16"/>
              </w:rPr>
              <w:t>49,750,000</w:t>
            </w:r>
          </w:p>
        </w:tc>
        <w:tc>
          <w:tcPr>
            <w:tcW w:w="1384" w:type="dxa"/>
          </w:tcPr>
          <w:p>
            <w:pPr>
              <w:pStyle w:val="TableParagraph"/>
              <w:spacing w:line="176" w:lineRule="exact" w:before="8"/>
              <w:ind w:right="164"/>
              <w:jc w:val="right"/>
              <w:rPr>
                <w:sz w:val="16"/>
              </w:rPr>
            </w:pPr>
            <w:r>
              <w:rPr>
                <w:color w:val="231F20"/>
                <w:spacing w:val="-2"/>
                <w:sz w:val="16"/>
              </w:rPr>
              <w:t>64,141,661</w:t>
            </w:r>
          </w:p>
        </w:tc>
        <w:tc>
          <w:tcPr>
            <w:tcW w:w="1351" w:type="dxa"/>
          </w:tcPr>
          <w:p>
            <w:pPr>
              <w:pStyle w:val="TableParagraph"/>
              <w:spacing w:line="176" w:lineRule="exact" w:before="8"/>
              <w:ind w:left="394"/>
              <w:rPr>
                <w:sz w:val="16"/>
              </w:rPr>
            </w:pPr>
            <w:r>
              <w:rPr>
                <w:color w:val="231F20"/>
                <w:spacing w:val="-2"/>
                <w:sz w:val="16"/>
              </w:rPr>
              <w:t>14,391,661</w:t>
            </w:r>
          </w:p>
        </w:tc>
      </w:tr>
      <w:tr>
        <w:trPr>
          <w:trHeight w:val="204" w:hRule="atLeast"/>
        </w:trPr>
        <w:tc>
          <w:tcPr>
            <w:tcW w:w="3423" w:type="dxa"/>
          </w:tcPr>
          <w:p>
            <w:pPr>
              <w:pStyle w:val="TableParagraph"/>
              <w:spacing w:line="175" w:lineRule="exact" w:before="9"/>
              <w:ind w:left="280"/>
              <w:rPr>
                <w:sz w:val="16"/>
              </w:rPr>
            </w:pPr>
            <w:r>
              <w:rPr>
                <w:color w:val="231F20"/>
                <w:sz w:val="16"/>
              </w:rPr>
              <w:t>Government</w:t>
            </w:r>
            <w:r>
              <w:rPr>
                <w:color w:val="231F20"/>
                <w:spacing w:val="7"/>
                <w:sz w:val="16"/>
              </w:rPr>
              <w:t> </w:t>
            </w:r>
            <w:r>
              <w:rPr>
                <w:color w:val="231F20"/>
                <w:sz w:val="16"/>
              </w:rPr>
              <w:t>grants,</w:t>
            </w:r>
            <w:r>
              <w:rPr>
                <w:color w:val="231F20"/>
                <w:spacing w:val="9"/>
                <w:sz w:val="16"/>
              </w:rPr>
              <w:t> </w:t>
            </w:r>
            <w:r>
              <w:rPr>
                <w:color w:val="231F20"/>
                <w:spacing w:val="-2"/>
                <w:sz w:val="16"/>
              </w:rPr>
              <w:t>state</w:t>
            </w:r>
          </w:p>
        </w:tc>
        <w:tc>
          <w:tcPr>
            <w:tcW w:w="1811" w:type="dxa"/>
          </w:tcPr>
          <w:p>
            <w:pPr>
              <w:pStyle w:val="TableParagraph"/>
              <w:spacing w:line="175" w:lineRule="exact" w:before="9"/>
              <w:ind w:right="168"/>
              <w:jc w:val="right"/>
              <w:rPr>
                <w:sz w:val="16"/>
              </w:rPr>
            </w:pPr>
            <w:r>
              <w:rPr>
                <w:color w:val="231F20"/>
                <w:spacing w:val="-2"/>
                <w:sz w:val="16"/>
              </w:rPr>
              <w:t>2,600,000</w:t>
            </w:r>
          </w:p>
        </w:tc>
        <w:tc>
          <w:tcPr>
            <w:tcW w:w="1384" w:type="dxa"/>
          </w:tcPr>
          <w:p>
            <w:pPr>
              <w:pStyle w:val="TableParagraph"/>
              <w:spacing w:line="175" w:lineRule="exact" w:before="9"/>
              <w:ind w:left="484"/>
              <w:rPr>
                <w:sz w:val="16"/>
              </w:rPr>
            </w:pPr>
            <w:r>
              <w:rPr>
                <w:color w:val="231F20"/>
                <w:spacing w:val="-2"/>
                <w:sz w:val="16"/>
              </w:rPr>
              <w:t>2,600,000</w:t>
            </w:r>
          </w:p>
        </w:tc>
        <w:tc>
          <w:tcPr>
            <w:tcW w:w="1384" w:type="dxa"/>
          </w:tcPr>
          <w:p>
            <w:pPr>
              <w:pStyle w:val="TableParagraph"/>
              <w:spacing w:line="175" w:lineRule="exact" w:before="9"/>
              <w:ind w:right="164"/>
              <w:jc w:val="right"/>
              <w:rPr>
                <w:sz w:val="16"/>
              </w:rPr>
            </w:pPr>
            <w:r>
              <w:rPr>
                <w:color w:val="231F20"/>
                <w:spacing w:val="-2"/>
                <w:sz w:val="16"/>
              </w:rPr>
              <w:t>3,482,888</w:t>
            </w:r>
          </w:p>
        </w:tc>
        <w:tc>
          <w:tcPr>
            <w:tcW w:w="1351" w:type="dxa"/>
          </w:tcPr>
          <w:p>
            <w:pPr>
              <w:pStyle w:val="TableParagraph"/>
              <w:spacing w:line="175" w:lineRule="exact" w:before="9"/>
              <w:ind w:right="131"/>
              <w:jc w:val="right"/>
              <w:rPr>
                <w:sz w:val="16"/>
              </w:rPr>
            </w:pPr>
            <w:r>
              <w:rPr>
                <w:color w:val="231F20"/>
                <w:spacing w:val="-2"/>
                <w:sz w:val="16"/>
              </w:rPr>
              <w:t>882,888</w:t>
            </w:r>
          </w:p>
        </w:tc>
      </w:tr>
      <w:tr>
        <w:trPr>
          <w:trHeight w:val="204" w:hRule="atLeast"/>
        </w:trPr>
        <w:tc>
          <w:tcPr>
            <w:tcW w:w="3423" w:type="dxa"/>
          </w:tcPr>
          <w:p>
            <w:pPr>
              <w:pStyle w:val="TableParagraph"/>
              <w:spacing w:line="175" w:lineRule="exact" w:before="8"/>
              <w:ind w:left="280"/>
              <w:rPr>
                <w:sz w:val="16"/>
              </w:rPr>
            </w:pPr>
            <w:r>
              <w:rPr>
                <w:color w:val="231F20"/>
                <w:sz w:val="16"/>
              </w:rPr>
              <w:t>Contracts,</w:t>
            </w:r>
            <w:r>
              <w:rPr>
                <w:color w:val="231F20"/>
                <w:spacing w:val="7"/>
                <w:sz w:val="16"/>
              </w:rPr>
              <w:t> </w:t>
            </w:r>
            <w:r>
              <w:rPr>
                <w:color w:val="231F20"/>
                <w:spacing w:val="-2"/>
                <w:sz w:val="16"/>
              </w:rPr>
              <w:t>other</w:t>
            </w:r>
          </w:p>
        </w:tc>
        <w:tc>
          <w:tcPr>
            <w:tcW w:w="1811" w:type="dxa"/>
          </w:tcPr>
          <w:p>
            <w:pPr>
              <w:pStyle w:val="TableParagraph"/>
              <w:spacing w:line="175" w:lineRule="exact" w:before="8"/>
              <w:ind w:right="168"/>
              <w:jc w:val="right"/>
              <w:rPr>
                <w:sz w:val="16"/>
              </w:rPr>
            </w:pPr>
            <w:r>
              <w:rPr>
                <w:color w:val="231F20"/>
                <w:spacing w:val="-2"/>
                <w:sz w:val="16"/>
              </w:rPr>
              <w:t>500,000</w:t>
            </w:r>
          </w:p>
        </w:tc>
        <w:tc>
          <w:tcPr>
            <w:tcW w:w="1384" w:type="dxa"/>
          </w:tcPr>
          <w:p>
            <w:pPr>
              <w:pStyle w:val="TableParagraph"/>
              <w:spacing w:line="175" w:lineRule="exact" w:before="8"/>
              <w:ind w:left="484"/>
              <w:rPr>
                <w:sz w:val="16"/>
              </w:rPr>
            </w:pPr>
            <w:r>
              <w:rPr>
                <w:color w:val="231F20"/>
                <w:spacing w:val="-2"/>
                <w:sz w:val="16"/>
              </w:rPr>
              <w:t>2,400,000</w:t>
            </w:r>
          </w:p>
        </w:tc>
        <w:tc>
          <w:tcPr>
            <w:tcW w:w="1384" w:type="dxa"/>
          </w:tcPr>
          <w:p>
            <w:pPr>
              <w:pStyle w:val="TableParagraph"/>
              <w:spacing w:line="175" w:lineRule="exact" w:before="8"/>
              <w:ind w:right="164"/>
              <w:jc w:val="right"/>
              <w:rPr>
                <w:sz w:val="16"/>
              </w:rPr>
            </w:pPr>
            <w:r>
              <w:rPr>
                <w:color w:val="231F20"/>
                <w:spacing w:val="-2"/>
                <w:sz w:val="16"/>
              </w:rPr>
              <w:t>5,074,113</w:t>
            </w:r>
          </w:p>
        </w:tc>
        <w:tc>
          <w:tcPr>
            <w:tcW w:w="1351" w:type="dxa"/>
          </w:tcPr>
          <w:p>
            <w:pPr>
              <w:pStyle w:val="TableParagraph"/>
              <w:spacing w:line="175" w:lineRule="exact" w:before="8"/>
              <w:ind w:right="131"/>
              <w:jc w:val="right"/>
              <w:rPr>
                <w:sz w:val="16"/>
              </w:rPr>
            </w:pPr>
            <w:r>
              <w:rPr>
                <w:color w:val="231F20"/>
                <w:spacing w:val="-2"/>
                <w:sz w:val="16"/>
              </w:rPr>
              <w:t>2,674,113</w:t>
            </w:r>
          </w:p>
        </w:tc>
      </w:tr>
      <w:tr>
        <w:trPr>
          <w:trHeight w:val="204" w:hRule="atLeast"/>
        </w:trPr>
        <w:tc>
          <w:tcPr>
            <w:tcW w:w="3423" w:type="dxa"/>
          </w:tcPr>
          <w:p>
            <w:pPr>
              <w:pStyle w:val="TableParagraph"/>
              <w:spacing w:line="175" w:lineRule="exact" w:before="8"/>
              <w:ind w:left="280"/>
              <w:rPr>
                <w:sz w:val="16"/>
              </w:rPr>
            </w:pPr>
            <w:r>
              <w:rPr>
                <w:color w:val="231F20"/>
                <w:sz w:val="16"/>
              </w:rPr>
              <w:t>Private</w:t>
            </w:r>
            <w:r>
              <w:rPr>
                <w:color w:val="231F20"/>
                <w:spacing w:val="3"/>
                <w:sz w:val="16"/>
              </w:rPr>
              <w:t> </w:t>
            </w:r>
            <w:r>
              <w:rPr>
                <w:color w:val="231F20"/>
                <w:spacing w:val="-2"/>
                <w:sz w:val="16"/>
              </w:rPr>
              <w:t>contracts</w:t>
            </w:r>
          </w:p>
        </w:tc>
        <w:tc>
          <w:tcPr>
            <w:tcW w:w="1811" w:type="dxa"/>
          </w:tcPr>
          <w:p>
            <w:pPr>
              <w:pStyle w:val="TableParagraph"/>
              <w:spacing w:line="175" w:lineRule="exact" w:before="8"/>
              <w:ind w:right="167"/>
              <w:jc w:val="right"/>
              <w:rPr>
                <w:sz w:val="16"/>
              </w:rPr>
            </w:pPr>
            <w:r>
              <w:rPr>
                <w:color w:val="231F20"/>
                <w:spacing w:val="-2"/>
                <w:sz w:val="16"/>
              </w:rPr>
              <w:t>10,775,000</w:t>
            </w:r>
          </w:p>
        </w:tc>
        <w:tc>
          <w:tcPr>
            <w:tcW w:w="1384" w:type="dxa"/>
          </w:tcPr>
          <w:p>
            <w:pPr>
              <w:pStyle w:val="TableParagraph"/>
              <w:spacing w:line="175" w:lineRule="exact" w:before="8"/>
              <w:ind w:left="392"/>
              <w:rPr>
                <w:sz w:val="16"/>
              </w:rPr>
            </w:pPr>
            <w:r>
              <w:rPr>
                <w:color w:val="231F20"/>
                <w:spacing w:val="-2"/>
                <w:sz w:val="16"/>
              </w:rPr>
              <w:t>10,775,000</w:t>
            </w:r>
          </w:p>
        </w:tc>
        <w:tc>
          <w:tcPr>
            <w:tcW w:w="1384" w:type="dxa"/>
          </w:tcPr>
          <w:p>
            <w:pPr>
              <w:pStyle w:val="TableParagraph"/>
              <w:spacing w:line="175" w:lineRule="exact" w:before="8"/>
              <w:ind w:right="164"/>
              <w:jc w:val="right"/>
              <w:rPr>
                <w:sz w:val="16"/>
              </w:rPr>
            </w:pPr>
            <w:r>
              <w:rPr>
                <w:color w:val="231F20"/>
                <w:spacing w:val="-2"/>
                <w:sz w:val="16"/>
              </w:rPr>
              <w:t>12,295,154</w:t>
            </w:r>
          </w:p>
        </w:tc>
        <w:tc>
          <w:tcPr>
            <w:tcW w:w="1351" w:type="dxa"/>
          </w:tcPr>
          <w:p>
            <w:pPr>
              <w:pStyle w:val="TableParagraph"/>
              <w:spacing w:line="175" w:lineRule="exact" w:before="8"/>
              <w:ind w:right="130"/>
              <w:jc w:val="right"/>
              <w:rPr>
                <w:sz w:val="16"/>
              </w:rPr>
            </w:pPr>
            <w:r>
              <w:rPr>
                <w:color w:val="231F20"/>
                <w:spacing w:val="-2"/>
                <w:sz w:val="16"/>
              </w:rPr>
              <w:t>1,520,154</w:t>
            </w:r>
          </w:p>
        </w:tc>
      </w:tr>
      <w:tr>
        <w:trPr>
          <w:trHeight w:val="204" w:hRule="atLeast"/>
        </w:trPr>
        <w:tc>
          <w:tcPr>
            <w:tcW w:w="3423" w:type="dxa"/>
          </w:tcPr>
          <w:p>
            <w:pPr>
              <w:pStyle w:val="TableParagraph"/>
              <w:spacing w:line="175" w:lineRule="exact" w:before="8"/>
              <w:ind w:left="280"/>
              <w:rPr>
                <w:sz w:val="16"/>
              </w:rPr>
            </w:pPr>
            <w:r>
              <w:rPr>
                <w:color w:val="231F20"/>
                <w:spacing w:val="-2"/>
                <w:sz w:val="16"/>
              </w:rPr>
              <w:t>Endowments</w:t>
            </w:r>
          </w:p>
        </w:tc>
        <w:tc>
          <w:tcPr>
            <w:tcW w:w="1811" w:type="dxa"/>
          </w:tcPr>
          <w:p>
            <w:pPr>
              <w:pStyle w:val="TableParagraph"/>
              <w:spacing w:line="175" w:lineRule="exact" w:before="8"/>
              <w:ind w:right="167"/>
              <w:jc w:val="right"/>
              <w:rPr>
                <w:sz w:val="16"/>
              </w:rPr>
            </w:pPr>
            <w:r>
              <w:rPr>
                <w:color w:val="231F20"/>
                <w:w w:val="102"/>
                <w:sz w:val="16"/>
              </w:rPr>
              <w:t>-</w:t>
            </w:r>
          </w:p>
        </w:tc>
        <w:tc>
          <w:tcPr>
            <w:tcW w:w="1384" w:type="dxa"/>
          </w:tcPr>
          <w:p>
            <w:pPr>
              <w:pStyle w:val="TableParagraph"/>
              <w:spacing w:line="175" w:lineRule="exact" w:before="8"/>
              <w:ind w:right="165"/>
              <w:jc w:val="right"/>
              <w:rPr>
                <w:sz w:val="16"/>
              </w:rPr>
            </w:pPr>
            <w:r>
              <w:rPr>
                <w:color w:val="231F20"/>
                <w:w w:val="102"/>
                <w:sz w:val="16"/>
              </w:rPr>
              <w:t>-</w:t>
            </w:r>
          </w:p>
        </w:tc>
        <w:tc>
          <w:tcPr>
            <w:tcW w:w="1384" w:type="dxa"/>
          </w:tcPr>
          <w:p>
            <w:pPr>
              <w:pStyle w:val="TableParagraph"/>
              <w:spacing w:line="175" w:lineRule="exact" w:before="8"/>
              <w:ind w:right="165"/>
              <w:jc w:val="right"/>
              <w:rPr>
                <w:sz w:val="16"/>
              </w:rPr>
            </w:pPr>
            <w:r>
              <w:rPr>
                <w:color w:val="231F20"/>
                <w:w w:val="102"/>
                <w:sz w:val="16"/>
              </w:rPr>
              <w:t>-</w:t>
            </w:r>
          </w:p>
        </w:tc>
        <w:tc>
          <w:tcPr>
            <w:tcW w:w="1351" w:type="dxa"/>
          </w:tcPr>
          <w:p>
            <w:pPr>
              <w:pStyle w:val="TableParagraph"/>
              <w:spacing w:line="175" w:lineRule="exact" w:before="8"/>
              <w:ind w:right="131"/>
              <w:jc w:val="right"/>
              <w:rPr>
                <w:sz w:val="16"/>
              </w:rPr>
            </w:pPr>
            <w:r>
              <w:rPr>
                <w:color w:val="231F20"/>
                <w:w w:val="102"/>
                <w:sz w:val="16"/>
              </w:rPr>
              <w:t>-</w:t>
            </w:r>
          </w:p>
        </w:tc>
      </w:tr>
      <w:tr>
        <w:trPr>
          <w:trHeight w:val="204" w:hRule="atLeast"/>
        </w:trPr>
        <w:tc>
          <w:tcPr>
            <w:tcW w:w="3423" w:type="dxa"/>
          </w:tcPr>
          <w:p>
            <w:pPr>
              <w:pStyle w:val="TableParagraph"/>
              <w:spacing w:line="175" w:lineRule="exact" w:before="8"/>
              <w:ind w:left="280"/>
              <w:rPr>
                <w:sz w:val="16"/>
              </w:rPr>
            </w:pPr>
            <w:r>
              <w:rPr>
                <w:color w:val="231F20"/>
                <w:sz w:val="16"/>
              </w:rPr>
              <w:t>Land</w:t>
            </w:r>
            <w:r>
              <w:rPr>
                <w:color w:val="231F20"/>
                <w:spacing w:val="5"/>
                <w:sz w:val="16"/>
              </w:rPr>
              <w:t> </w:t>
            </w:r>
            <w:r>
              <w:rPr>
                <w:color w:val="231F20"/>
                <w:sz w:val="16"/>
              </w:rPr>
              <w:t>and</w:t>
            </w:r>
            <w:r>
              <w:rPr>
                <w:color w:val="231F20"/>
                <w:spacing w:val="6"/>
                <w:sz w:val="16"/>
              </w:rPr>
              <w:t> </w:t>
            </w:r>
            <w:r>
              <w:rPr>
                <w:color w:val="231F20"/>
                <w:sz w:val="16"/>
              </w:rPr>
              <w:t>permanent</w:t>
            </w:r>
            <w:r>
              <w:rPr>
                <w:color w:val="231F20"/>
                <w:spacing w:val="5"/>
                <w:sz w:val="16"/>
              </w:rPr>
              <w:t> </w:t>
            </w:r>
            <w:r>
              <w:rPr>
                <w:color w:val="231F20"/>
                <w:spacing w:val="-4"/>
                <w:sz w:val="16"/>
              </w:rPr>
              <w:t>fund</w:t>
            </w:r>
          </w:p>
        </w:tc>
        <w:tc>
          <w:tcPr>
            <w:tcW w:w="1811" w:type="dxa"/>
          </w:tcPr>
          <w:p>
            <w:pPr>
              <w:pStyle w:val="TableParagraph"/>
              <w:spacing w:line="175" w:lineRule="exact" w:before="8"/>
              <w:ind w:right="168"/>
              <w:jc w:val="right"/>
              <w:rPr>
                <w:sz w:val="16"/>
              </w:rPr>
            </w:pPr>
            <w:r>
              <w:rPr>
                <w:color w:val="231F20"/>
                <w:w w:val="102"/>
                <w:sz w:val="16"/>
              </w:rPr>
              <w:t>-</w:t>
            </w:r>
          </w:p>
        </w:tc>
        <w:tc>
          <w:tcPr>
            <w:tcW w:w="1384" w:type="dxa"/>
          </w:tcPr>
          <w:p>
            <w:pPr>
              <w:pStyle w:val="TableParagraph"/>
              <w:spacing w:line="175" w:lineRule="exact" w:before="8"/>
              <w:ind w:right="165"/>
              <w:jc w:val="right"/>
              <w:rPr>
                <w:sz w:val="16"/>
              </w:rPr>
            </w:pPr>
            <w:r>
              <w:rPr>
                <w:color w:val="231F20"/>
                <w:w w:val="102"/>
                <w:sz w:val="16"/>
              </w:rPr>
              <w:t>-</w:t>
            </w:r>
          </w:p>
        </w:tc>
        <w:tc>
          <w:tcPr>
            <w:tcW w:w="1384" w:type="dxa"/>
          </w:tcPr>
          <w:p>
            <w:pPr>
              <w:pStyle w:val="TableParagraph"/>
              <w:spacing w:line="175" w:lineRule="exact" w:before="8"/>
              <w:ind w:right="164"/>
              <w:jc w:val="right"/>
              <w:rPr>
                <w:sz w:val="16"/>
              </w:rPr>
            </w:pPr>
            <w:r>
              <w:rPr>
                <w:color w:val="231F20"/>
                <w:w w:val="102"/>
                <w:sz w:val="16"/>
              </w:rPr>
              <w:t>-</w:t>
            </w:r>
          </w:p>
        </w:tc>
        <w:tc>
          <w:tcPr>
            <w:tcW w:w="1351" w:type="dxa"/>
          </w:tcPr>
          <w:p>
            <w:pPr>
              <w:pStyle w:val="TableParagraph"/>
              <w:spacing w:line="175" w:lineRule="exact" w:before="8"/>
              <w:ind w:right="131"/>
              <w:jc w:val="right"/>
              <w:rPr>
                <w:sz w:val="16"/>
              </w:rPr>
            </w:pPr>
            <w:r>
              <w:rPr>
                <w:color w:val="231F20"/>
                <w:w w:val="102"/>
                <w:sz w:val="16"/>
              </w:rPr>
              <w:t>-</w:t>
            </w:r>
          </w:p>
        </w:tc>
      </w:tr>
      <w:tr>
        <w:trPr>
          <w:trHeight w:val="204" w:hRule="atLeast"/>
        </w:trPr>
        <w:tc>
          <w:tcPr>
            <w:tcW w:w="3423" w:type="dxa"/>
          </w:tcPr>
          <w:p>
            <w:pPr>
              <w:pStyle w:val="TableParagraph"/>
              <w:spacing w:line="175" w:lineRule="exact" w:before="8"/>
              <w:ind w:left="280"/>
              <w:rPr>
                <w:sz w:val="16"/>
              </w:rPr>
            </w:pPr>
            <w:r>
              <w:rPr>
                <w:color w:val="231F20"/>
                <w:sz w:val="16"/>
              </w:rPr>
              <w:t>Private</w:t>
            </w:r>
            <w:r>
              <w:rPr>
                <w:color w:val="231F20"/>
                <w:spacing w:val="4"/>
                <w:sz w:val="16"/>
              </w:rPr>
              <w:t> </w:t>
            </w:r>
            <w:r>
              <w:rPr>
                <w:color w:val="231F20"/>
                <w:spacing w:val="-2"/>
                <w:sz w:val="16"/>
              </w:rPr>
              <w:t>gifts</w:t>
            </w:r>
          </w:p>
        </w:tc>
        <w:tc>
          <w:tcPr>
            <w:tcW w:w="1811" w:type="dxa"/>
          </w:tcPr>
          <w:p>
            <w:pPr>
              <w:pStyle w:val="TableParagraph"/>
              <w:spacing w:line="175" w:lineRule="exact" w:before="8"/>
              <w:ind w:right="167"/>
              <w:jc w:val="right"/>
              <w:rPr>
                <w:sz w:val="16"/>
              </w:rPr>
            </w:pPr>
            <w:r>
              <w:rPr>
                <w:color w:val="231F20"/>
                <w:w w:val="102"/>
                <w:sz w:val="16"/>
              </w:rPr>
              <w:t>-</w:t>
            </w:r>
          </w:p>
        </w:tc>
        <w:tc>
          <w:tcPr>
            <w:tcW w:w="1384" w:type="dxa"/>
          </w:tcPr>
          <w:p>
            <w:pPr>
              <w:pStyle w:val="TableParagraph"/>
              <w:spacing w:line="175" w:lineRule="exact" w:before="8"/>
              <w:ind w:right="165"/>
              <w:jc w:val="right"/>
              <w:rPr>
                <w:sz w:val="16"/>
              </w:rPr>
            </w:pPr>
            <w:r>
              <w:rPr>
                <w:color w:val="231F20"/>
                <w:w w:val="102"/>
                <w:sz w:val="16"/>
              </w:rPr>
              <w:t>-</w:t>
            </w:r>
          </w:p>
        </w:tc>
        <w:tc>
          <w:tcPr>
            <w:tcW w:w="1384" w:type="dxa"/>
          </w:tcPr>
          <w:p>
            <w:pPr>
              <w:pStyle w:val="TableParagraph"/>
              <w:spacing w:line="175" w:lineRule="exact" w:before="8"/>
              <w:ind w:right="164"/>
              <w:jc w:val="right"/>
              <w:rPr>
                <w:sz w:val="16"/>
              </w:rPr>
            </w:pPr>
            <w:r>
              <w:rPr>
                <w:color w:val="231F20"/>
                <w:w w:val="102"/>
                <w:sz w:val="16"/>
              </w:rPr>
              <w:t>-</w:t>
            </w:r>
          </w:p>
        </w:tc>
        <w:tc>
          <w:tcPr>
            <w:tcW w:w="1351" w:type="dxa"/>
          </w:tcPr>
          <w:p>
            <w:pPr>
              <w:pStyle w:val="TableParagraph"/>
              <w:spacing w:line="175" w:lineRule="exact" w:before="8"/>
              <w:ind w:right="131"/>
              <w:jc w:val="right"/>
              <w:rPr>
                <w:sz w:val="16"/>
              </w:rPr>
            </w:pPr>
            <w:r>
              <w:rPr>
                <w:color w:val="231F20"/>
                <w:w w:val="102"/>
                <w:sz w:val="16"/>
              </w:rPr>
              <w:t>-</w:t>
            </w:r>
          </w:p>
        </w:tc>
      </w:tr>
      <w:tr>
        <w:trPr>
          <w:trHeight w:val="204" w:hRule="atLeast"/>
        </w:trPr>
        <w:tc>
          <w:tcPr>
            <w:tcW w:w="3423" w:type="dxa"/>
          </w:tcPr>
          <w:p>
            <w:pPr>
              <w:pStyle w:val="TableParagraph"/>
              <w:spacing w:line="175" w:lineRule="exact" w:before="8"/>
              <w:ind w:left="280"/>
              <w:rPr>
                <w:sz w:val="16"/>
              </w:rPr>
            </w:pPr>
            <w:r>
              <w:rPr>
                <w:color w:val="231F20"/>
                <w:sz w:val="16"/>
              </w:rPr>
              <w:t>Sales</w:t>
            </w:r>
            <w:r>
              <w:rPr>
                <w:color w:val="231F20"/>
                <w:spacing w:val="4"/>
                <w:sz w:val="16"/>
              </w:rPr>
              <w:t> </w:t>
            </w:r>
            <w:r>
              <w:rPr>
                <w:color w:val="231F20"/>
                <w:sz w:val="16"/>
              </w:rPr>
              <w:t>and</w:t>
            </w:r>
            <w:r>
              <w:rPr>
                <w:color w:val="231F20"/>
                <w:spacing w:val="5"/>
                <w:sz w:val="16"/>
              </w:rPr>
              <w:t> </w:t>
            </w:r>
            <w:r>
              <w:rPr>
                <w:color w:val="231F20"/>
                <w:spacing w:val="-2"/>
                <w:sz w:val="16"/>
              </w:rPr>
              <w:t>service</w:t>
            </w:r>
          </w:p>
        </w:tc>
        <w:tc>
          <w:tcPr>
            <w:tcW w:w="1811" w:type="dxa"/>
          </w:tcPr>
          <w:p>
            <w:pPr>
              <w:pStyle w:val="TableParagraph"/>
              <w:spacing w:line="175" w:lineRule="exact" w:before="8"/>
              <w:ind w:right="169"/>
              <w:jc w:val="right"/>
              <w:rPr>
                <w:sz w:val="16"/>
              </w:rPr>
            </w:pPr>
            <w:r>
              <w:rPr>
                <w:color w:val="231F20"/>
                <w:spacing w:val="-2"/>
                <w:sz w:val="16"/>
              </w:rPr>
              <w:t>8,365,500</w:t>
            </w:r>
          </w:p>
        </w:tc>
        <w:tc>
          <w:tcPr>
            <w:tcW w:w="1384" w:type="dxa"/>
          </w:tcPr>
          <w:p>
            <w:pPr>
              <w:pStyle w:val="TableParagraph"/>
              <w:spacing w:line="175" w:lineRule="exact" w:before="8"/>
              <w:ind w:left="484"/>
              <w:rPr>
                <w:sz w:val="16"/>
              </w:rPr>
            </w:pPr>
            <w:r>
              <w:rPr>
                <w:color w:val="231F20"/>
                <w:spacing w:val="-2"/>
                <w:sz w:val="16"/>
              </w:rPr>
              <w:t>8,365,500</w:t>
            </w:r>
          </w:p>
        </w:tc>
        <w:tc>
          <w:tcPr>
            <w:tcW w:w="1384" w:type="dxa"/>
          </w:tcPr>
          <w:p>
            <w:pPr>
              <w:pStyle w:val="TableParagraph"/>
              <w:spacing w:line="175" w:lineRule="exact" w:before="8"/>
              <w:ind w:right="164"/>
              <w:jc w:val="right"/>
              <w:rPr>
                <w:sz w:val="16"/>
              </w:rPr>
            </w:pPr>
            <w:r>
              <w:rPr>
                <w:color w:val="231F20"/>
                <w:spacing w:val="-2"/>
                <w:sz w:val="16"/>
              </w:rPr>
              <w:t>7,720,652</w:t>
            </w:r>
          </w:p>
        </w:tc>
        <w:tc>
          <w:tcPr>
            <w:tcW w:w="1351" w:type="dxa"/>
          </w:tcPr>
          <w:p>
            <w:pPr>
              <w:pStyle w:val="TableParagraph"/>
              <w:spacing w:line="175" w:lineRule="exact" w:before="8"/>
              <w:ind w:right="76"/>
              <w:jc w:val="right"/>
              <w:rPr>
                <w:sz w:val="16"/>
              </w:rPr>
            </w:pPr>
            <w:r>
              <w:rPr>
                <w:color w:val="231F20"/>
                <w:spacing w:val="-2"/>
                <w:sz w:val="16"/>
              </w:rPr>
              <w:t>(644,848)</w:t>
            </w:r>
          </w:p>
        </w:tc>
      </w:tr>
      <w:tr>
        <w:trPr>
          <w:trHeight w:val="295" w:hRule="atLeast"/>
        </w:trPr>
        <w:tc>
          <w:tcPr>
            <w:tcW w:w="3423" w:type="dxa"/>
          </w:tcPr>
          <w:p>
            <w:pPr>
              <w:pStyle w:val="TableParagraph"/>
              <w:spacing w:before="8"/>
              <w:ind w:left="280"/>
              <w:rPr>
                <w:sz w:val="16"/>
              </w:rPr>
            </w:pPr>
            <w:r>
              <w:rPr>
                <w:color w:val="231F20"/>
                <w:sz w:val="16"/>
              </w:rPr>
              <w:t>Other</w:t>
            </w:r>
            <w:r>
              <w:rPr>
                <w:color w:val="231F20"/>
                <w:spacing w:val="7"/>
                <w:sz w:val="16"/>
              </w:rPr>
              <w:t> </w:t>
            </w:r>
            <w:r>
              <w:rPr>
                <w:color w:val="231F20"/>
                <w:spacing w:val="-2"/>
                <w:sz w:val="16"/>
              </w:rPr>
              <w:t>sources</w:t>
            </w:r>
          </w:p>
        </w:tc>
        <w:tc>
          <w:tcPr>
            <w:tcW w:w="1811" w:type="dxa"/>
          </w:tcPr>
          <w:p>
            <w:pPr>
              <w:pStyle w:val="TableParagraph"/>
              <w:tabs>
                <w:tab w:pos="399" w:val="left" w:leader="none"/>
              </w:tabs>
              <w:spacing w:before="8"/>
              <w:ind w:right="79"/>
              <w:jc w:val="right"/>
              <w:rPr>
                <w:sz w:val="16"/>
              </w:rPr>
            </w:pPr>
            <w:r>
              <w:rPr>
                <w:color w:val="231F20"/>
                <w:sz w:val="16"/>
                <w:u w:val="single" w:color="231F20"/>
              </w:rPr>
              <w:tab/>
            </w:r>
            <w:r>
              <w:rPr>
                <w:color w:val="231F20"/>
                <w:spacing w:val="-2"/>
                <w:sz w:val="16"/>
                <w:u w:val="single" w:color="231F20"/>
              </w:rPr>
              <w:t>3,750,000</w:t>
            </w:r>
            <w:r>
              <w:rPr>
                <w:color w:val="231F20"/>
                <w:spacing w:val="80"/>
                <w:sz w:val="16"/>
                <w:u w:val="single" w:color="231F20"/>
              </w:rPr>
              <w:t> </w:t>
            </w:r>
          </w:p>
        </w:tc>
        <w:tc>
          <w:tcPr>
            <w:tcW w:w="1384" w:type="dxa"/>
          </w:tcPr>
          <w:p>
            <w:pPr>
              <w:pStyle w:val="TableParagraph"/>
              <w:tabs>
                <w:tab w:pos="400" w:val="left" w:leader="none"/>
              </w:tabs>
              <w:spacing w:before="8"/>
              <w:ind w:right="78"/>
              <w:jc w:val="right"/>
              <w:rPr>
                <w:sz w:val="16"/>
              </w:rPr>
            </w:pPr>
            <w:r>
              <w:rPr>
                <w:color w:val="231F20"/>
                <w:sz w:val="16"/>
                <w:u w:val="single" w:color="231F20"/>
              </w:rPr>
              <w:tab/>
            </w:r>
            <w:r>
              <w:rPr>
                <w:color w:val="231F20"/>
                <w:spacing w:val="-2"/>
                <w:sz w:val="16"/>
                <w:u w:val="single" w:color="231F20"/>
              </w:rPr>
              <w:t>3,750,000</w:t>
            </w:r>
            <w:r>
              <w:rPr>
                <w:color w:val="231F20"/>
                <w:spacing w:val="80"/>
                <w:sz w:val="16"/>
                <w:u w:val="single" w:color="231F20"/>
              </w:rPr>
              <w:t> </w:t>
            </w:r>
          </w:p>
        </w:tc>
        <w:tc>
          <w:tcPr>
            <w:tcW w:w="1384" w:type="dxa"/>
          </w:tcPr>
          <w:p>
            <w:pPr>
              <w:pStyle w:val="TableParagraph"/>
              <w:tabs>
                <w:tab w:pos="1076" w:val="left" w:leader="none"/>
              </w:tabs>
              <w:spacing w:before="8"/>
              <w:ind w:right="78"/>
              <w:jc w:val="right"/>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tc>
        <w:tc>
          <w:tcPr>
            <w:tcW w:w="1351" w:type="dxa"/>
          </w:tcPr>
          <w:p>
            <w:pPr>
              <w:pStyle w:val="TableParagraph"/>
              <w:tabs>
                <w:tab w:pos="432" w:val="left" w:leader="none"/>
              </w:tabs>
              <w:spacing w:before="8"/>
              <w:ind w:left="85"/>
              <w:rPr>
                <w:sz w:val="16"/>
              </w:rPr>
            </w:pPr>
            <w:r>
              <w:rPr>
                <w:color w:val="231F20"/>
                <w:sz w:val="16"/>
                <w:u w:val="single" w:color="231F20"/>
              </w:rPr>
              <w:tab/>
            </w:r>
            <w:r>
              <w:rPr>
                <w:color w:val="231F20"/>
                <w:spacing w:val="-2"/>
                <w:sz w:val="16"/>
                <w:u w:val="single" w:color="231F20"/>
              </w:rPr>
              <w:t>(3,750,000)</w:t>
            </w:r>
          </w:p>
        </w:tc>
      </w:tr>
      <w:tr>
        <w:trPr>
          <w:trHeight w:val="397" w:hRule="atLeast"/>
        </w:trPr>
        <w:tc>
          <w:tcPr>
            <w:tcW w:w="3423" w:type="dxa"/>
          </w:tcPr>
          <w:p>
            <w:pPr>
              <w:pStyle w:val="TableParagraph"/>
              <w:spacing w:before="100"/>
              <w:ind w:left="511"/>
              <w:rPr>
                <w:sz w:val="16"/>
              </w:rPr>
            </w:pPr>
            <w:r>
              <w:rPr>
                <w:color w:val="231F20"/>
                <w:sz w:val="16"/>
              </w:rPr>
              <w:t>Total</w:t>
            </w:r>
            <w:r>
              <w:rPr>
                <w:color w:val="231F20"/>
                <w:spacing w:val="6"/>
                <w:sz w:val="16"/>
              </w:rPr>
              <w:t> </w:t>
            </w:r>
            <w:r>
              <w:rPr>
                <w:color w:val="231F20"/>
                <w:sz w:val="16"/>
              </w:rPr>
              <w:t>restricted</w:t>
            </w:r>
            <w:r>
              <w:rPr>
                <w:color w:val="231F20"/>
                <w:spacing w:val="6"/>
                <w:sz w:val="16"/>
              </w:rPr>
              <w:t> </w:t>
            </w:r>
            <w:r>
              <w:rPr>
                <w:color w:val="231F20"/>
                <w:spacing w:val="-2"/>
                <w:sz w:val="16"/>
              </w:rPr>
              <w:t>revenues</w:t>
            </w:r>
          </w:p>
        </w:tc>
        <w:tc>
          <w:tcPr>
            <w:tcW w:w="1811" w:type="dxa"/>
          </w:tcPr>
          <w:p>
            <w:pPr>
              <w:pStyle w:val="TableParagraph"/>
              <w:tabs>
                <w:tab w:pos="307" w:val="left" w:leader="none"/>
              </w:tabs>
              <w:spacing w:before="100"/>
              <w:ind w:right="79"/>
              <w:jc w:val="right"/>
              <w:rPr>
                <w:sz w:val="16"/>
              </w:rPr>
            </w:pPr>
            <w:r>
              <w:rPr>
                <w:color w:val="231F20"/>
                <w:sz w:val="16"/>
                <w:u w:val="single" w:color="231F20"/>
              </w:rPr>
              <w:tab/>
            </w:r>
            <w:r>
              <w:rPr>
                <w:color w:val="231F20"/>
                <w:spacing w:val="-2"/>
                <w:sz w:val="16"/>
                <w:u w:val="single" w:color="231F20"/>
              </w:rPr>
              <w:t>74,742,798</w:t>
            </w:r>
            <w:r>
              <w:rPr>
                <w:color w:val="231F20"/>
                <w:spacing w:val="80"/>
                <w:sz w:val="16"/>
                <w:u w:val="single" w:color="231F20"/>
              </w:rPr>
              <w:t> </w:t>
            </w:r>
          </w:p>
        </w:tc>
        <w:tc>
          <w:tcPr>
            <w:tcW w:w="1384" w:type="dxa"/>
          </w:tcPr>
          <w:p>
            <w:pPr>
              <w:pStyle w:val="TableParagraph"/>
              <w:tabs>
                <w:tab w:pos="308" w:val="left" w:leader="none"/>
              </w:tabs>
              <w:spacing w:before="100"/>
              <w:ind w:right="78"/>
              <w:jc w:val="right"/>
              <w:rPr>
                <w:sz w:val="16"/>
              </w:rPr>
            </w:pPr>
            <w:r>
              <w:rPr>
                <w:color w:val="231F20"/>
                <w:sz w:val="16"/>
                <w:u w:val="single" w:color="231F20"/>
              </w:rPr>
              <w:tab/>
            </w:r>
            <w:r>
              <w:rPr>
                <w:color w:val="231F20"/>
                <w:spacing w:val="-2"/>
                <w:sz w:val="16"/>
                <w:u w:val="single" w:color="231F20"/>
              </w:rPr>
              <w:t>77,842,798</w:t>
            </w:r>
            <w:r>
              <w:rPr>
                <w:color w:val="231F20"/>
                <w:spacing w:val="80"/>
                <w:sz w:val="16"/>
                <w:u w:val="single" w:color="231F20"/>
              </w:rPr>
              <w:t> </w:t>
            </w:r>
          </w:p>
        </w:tc>
        <w:tc>
          <w:tcPr>
            <w:tcW w:w="1384" w:type="dxa"/>
          </w:tcPr>
          <w:p>
            <w:pPr>
              <w:pStyle w:val="TableParagraph"/>
              <w:tabs>
                <w:tab w:pos="308" w:val="left" w:leader="none"/>
              </w:tabs>
              <w:spacing w:before="100"/>
              <w:ind w:right="78"/>
              <w:jc w:val="right"/>
              <w:rPr>
                <w:sz w:val="16"/>
              </w:rPr>
            </w:pPr>
            <w:r>
              <w:rPr>
                <w:color w:val="231F20"/>
                <w:sz w:val="16"/>
                <w:u w:val="single" w:color="231F20"/>
              </w:rPr>
              <w:tab/>
            </w:r>
            <w:r>
              <w:rPr>
                <w:color w:val="231F20"/>
                <w:spacing w:val="-2"/>
                <w:sz w:val="16"/>
                <w:u w:val="single" w:color="231F20"/>
              </w:rPr>
              <w:t>93,005,851</w:t>
            </w:r>
            <w:r>
              <w:rPr>
                <w:color w:val="231F20"/>
                <w:spacing w:val="80"/>
                <w:sz w:val="16"/>
                <w:u w:val="single" w:color="231F20"/>
              </w:rPr>
              <w:t> </w:t>
            </w:r>
          </w:p>
        </w:tc>
        <w:tc>
          <w:tcPr>
            <w:tcW w:w="1351" w:type="dxa"/>
          </w:tcPr>
          <w:p>
            <w:pPr>
              <w:pStyle w:val="TableParagraph"/>
              <w:tabs>
                <w:tab w:pos="394" w:val="left" w:leader="none"/>
              </w:tabs>
              <w:spacing w:before="100"/>
              <w:ind w:left="85"/>
              <w:rPr>
                <w:sz w:val="16"/>
              </w:rPr>
            </w:pPr>
            <w:r>
              <w:rPr>
                <w:color w:val="231F20"/>
                <w:sz w:val="16"/>
                <w:u w:val="single" w:color="231F20"/>
              </w:rPr>
              <w:tab/>
            </w:r>
            <w:r>
              <w:rPr>
                <w:color w:val="231F20"/>
                <w:spacing w:val="-2"/>
                <w:sz w:val="16"/>
                <w:u w:val="single" w:color="231F20"/>
              </w:rPr>
              <w:t>15,163,053</w:t>
            </w:r>
            <w:r>
              <w:rPr>
                <w:color w:val="231F20"/>
                <w:spacing w:val="80"/>
                <w:sz w:val="16"/>
                <w:u w:val="single" w:color="231F20"/>
              </w:rPr>
              <w:t> </w:t>
            </w:r>
          </w:p>
        </w:tc>
      </w:tr>
      <w:tr>
        <w:trPr>
          <w:trHeight w:val="306" w:hRule="atLeast"/>
        </w:trPr>
        <w:tc>
          <w:tcPr>
            <w:tcW w:w="3423" w:type="dxa"/>
          </w:tcPr>
          <w:p>
            <w:pPr>
              <w:pStyle w:val="TableParagraph"/>
              <w:spacing w:line="175" w:lineRule="exact" w:before="110"/>
              <w:ind w:left="280"/>
              <w:rPr>
                <w:sz w:val="16"/>
              </w:rPr>
            </w:pPr>
            <w:r>
              <w:rPr>
                <w:color w:val="231F20"/>
                <w:sz w:val="16"/>
              </w:rPr>
              <w:t>Cash</w:t>
            </w:r>
            <w:r>
              <w:rPr>
                <w:color w:val="231F20"/>
                <w:spacing w:val="6"/>
                <w:sz w:val="16"/>
              </w:rPr>
              <w:t> </w:t>
            </w:r>
            <w:r>
              <w:rPr>
                <w:color w:val="231F20"/>
                <w:sz w:val="16"/>
              </w:rPr>
              <w:t>balance,</w:t>
            </w:r>
            <w:r>
              <w:rPr>
                <w:color w:val="231F20"/>
                <w:spacing w:val="6"/>
                <w:sz w:val="16"/>
              </w:rPr>
              <w:t> </w:t>
            </w:r>
            <w:r>
              <w:rPr>
                <w:color w:val="231F20"/>
                <w:spacing w:val="-2"/>
                <w:sz w:val="16"/>
              </w:rPr>
              <w:t>budgeted</w:t>
            </w:r>
          </w:p>
        </w:tc>
        <w:tc>
          <w:tcPr>
            <w:tcW w:w="1811" w:type="dxa"/>
          </w:tcPr>
          <w:p>
            <w:pPr>
              <w:pStyle w:val="TableParagraph"/>
              <w:tabs>
                <w:tab w:pos="1076" w:val="left" w:leader="none"/>
              </w:tabs>
              <w:spacing w:line="175" w:lineRule="exact" w:before="110"/>
              <w:ind w:right="79"/>
              <w:jc w:val="right"/>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tc>
        <w:tc>
          <w:tcPr>
            <w:tcW w:w="1384" w:type="dxa"/>
          </w:tcPr>
          <w:p>
            <w:pPr>
              <w:pStyle w:val="TableParagraph"/>
              <w:tabs>
                <w:tab w:pos="345" w:val="left" w:leader="none"/>
              </w:tabs>
              <w:spacing w:line="175" w:lineRule="exact" w:before="110"/>
              <w:ind w:right="111"/>
              <w:jc w:val="right"/>
              <w:rPr>
                <w:sz w:val="16"/>
              </w:rPr>
            </w:pPr>
            <w:r>
              <w:rPr>
                <w:color w:val="231F20"/>
                <w:sz w:val="16"/>
                <w:u w:val="single" w:color="231F20"/>
              </w:rPr>
              <w:tab/>
            </w:r>
            <w:r>
              <w:rPr>
                <w:color w:val="231F20"/>
                <w:spacing w:val="-2"/>
                <w:sz w:val="16"/>
                <w:u w:val="single" w:color="231F20"/>
              </w:rPr>
              <w:t>(2,472,551)</w:t>
            </w:r>
          </w:p>
        </w:tc>
        <w:tc>
          <w:tcPr>
            <w:tcW w:w="1384" w:type="dxa"/>
          </w:tcPr>
          <w:p>
            <w:pPr>
              <w:pStyle w:val="TableParagraph"/>
              <w:tabs>
                <w:tab w:pos="345" w:val="left" w:leader="none"/>
              </w:tabs>
              <w:spacing w:line="175" w:lineRule="exact" w:before="110"/>
              <w:ind w:right="111"/>
              <w:jc w:val="right"/>
              <w:rPr>
                <w:sz w:val="16"/>
              </w:rPr>
            </w:pPr>
            <w:r>
              <w:rPr>
                <w:color w:val="231F20"/>
                <w:sz w:val="16"/>
                <w:u w:val="single" w:color="231F20"/>
              </w:rPr>
              <w:tab/>
            </w:r>
            <w:r>
              <w:rPr>
                <w:color w:val="231F20"/>
                <w:spacing w:val="-2"/>
                <w:sz w:val="16"/>
                <w:u w:val="single" w:color="231F20"/>
              </w:rPr>
              <w:t>(2,472,551)</w:t>
            </w:r>
          </w:p>
        </w:tc>
        <w:tc>
          <w:tcPr>
            <w:tcW w:w="1351" w:type="dxa"/>
          </w:tcPr>
          <w:p>
            <w:pPr>
              <w:pStyle w:val="TableParagraph"/>
              <w:tabs>
                <w:tab w:pos="1162" w:val="left" w:leader="none"/>
              </w:tabs>
              <w:spacing w:line="175" w:lineRule="exact" w:before="110"/>
              <w:ind w:left="85"/>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tc>
      </w:tr>
      <w:tr>
        <w:trPr>
          <w:trHeight w:val="397" w:hRule="atLeast"/>
        </w:trPr>
        <w:tc>
          <w:tcPr>
            <w:tcW w:w="3423" w:type="dxa"/>
          </w:tcPr>
          <w:p>
            <w:pPr>
              <w:pStyle w:val="TableParagraph"/>
              <w:spacing w:before="8"/>
              <w:ind w:left="511"/>
              <w:rPr>
                <w:sz w:val="16"/>
              </w:rPr>
            </w:pPr>
            <w:r>
              <w:rPr>
                <w:color w:val="231F20"/>
                <w:sz w:val="16"/>
              </w:rPr>
              <w:t>Total</w:t>
            </w:r>
            <w:r>
              <w:rPr>
                <w:color w:val="231F20"/>
                <w:spacing w:val="5"/>
                <w:sz w:val="16"/>
              </w:rPr>
              <w:t> </w:t>
            </w:r>
            <w:r>
              <w:rPr>
                <w:color w:val="231F20"/>
                <w:sz w:val="16"/>
              </w:rPr>
              <w:t>restricted</w:t>
            </w:r>
            <w:r>
              <w:rPr>
                <w:color w:val="231F20"/>
                <w:spacing w:val="6"/>
                <w:sz w:val="16"/>
              </w:rPr>
              <w:t> </w:t>
            </w:r>
            <w:r>
              <w:rPr>
                <w:color w:val="231F20"/>
                <w:sz w:val="16"/>
              </w:rPr>
              <w:t>revenues</w:t>
            </w:r>
            <w:r>
              <w:rPr>
                <w:color w:val="231F20"/>
                <w:spacing w:val="7"/>
                <w:sz w:val="16"/>
              </w:rPr>
              <w:t> </w:t>
            </w:r>
            <w:r>
              <w:rPr>
                <w:color w:val="231F20"/>
                <w:sz w:val="16"/>
              </w:rPr>
              <w:t>and</w:t>
            </w:r>
            <w:r>
              <w:rPr>
                <w:color w:val="231F20"/>
                <w:spacing w:val="6"/>
                <w:sz w:val="16"/>
              </w:rPr>
              <w:t> </w:t>
            </w:r>
            <w:r>
              <w:rPr>
                <w:color w:val="231F20"/>
                <w:spacing w:val="-5"/>
                <w:sz w:val="16"/>
              </w:rPr>
              <w:t>net</w:t>
            </w:r>
          </w:p>
          <w:p>
            <w:pPr>
              <w:pStyle w:val="TableParagraph"/>
              <w:spacing w:line="165" w:lineRule="exact" w:before="20"/>
              <w:ind w:left="626"/>
              <w:rPr>
                <w:sz w:val="16"/>
              </w:rPr>
            </w:pPr>
            <w:r>
              <w:rPr>
                <w:color w:val="231F20"/>
                <w:sz w:val="16"/>
              </w:rPr>
              <w:t>position</w:t>
            </w:r>
            <w:r>
              <w:rPr>
                <w:color w:val="231F20"/>
                <w:spacing w:val="6"/>
                <w:sz w:val="16"/>
              </w:rPr>
              <w:t> </w:t>
            </w:r>
            <w:r>
              <w:rPr>
                <w:color w:val="231F20"/>
                <w:spacing w:val="-2"/>
                <w:sz w:val="16"/>
              </w:rPr>
              <w:t>budgeted</w:t>
            </w:r>
          </w:p>
        </w:tc>
        <w:tc>
          <w:tcPr>
            <w:tcW w:w="1811" w:type="dxa"/>
          </w:tcPr>
          <w:p>
            <w:pPr>
              <w:pStyle w:val="TableParagraph"/>
              <w:spacing w:before="5"/>
              <w:rPr>
                <w:b/>
                <w:sz w:val="18"/>
              </w:rPr>
            </w:pPr>
          </w:p>
          <w:p>
            <w:pPr>
              <w:pStyle w:val="TableParagraph"/>
              <w:tabs>
                <w:tab w:pos="308" w:val="left" w:leader="none"/>
              </w:tabs>
              <w:spacing w:line="165" w:lineRule="exact"/>
              <w:ind w:right="79"/>
              <w:jc w:val="right"/>
              <w:rPr>
                <w:sz w:val="16"/>
              </w:rPr>
            </w:pPr>
            <w:r>
              <w:rPr>
                <w:color w:val="231F20"/>
                <w:sz w:val="16"/>
                <w:u w:val="single" w:color="231F20"/>
              </w:rPr>
              <w:tab/>
            </w:r>
            <w:r>
              <w:rPr>
                <w:color w:val="231F20"/>
                <w:spacing w:val="-2"/>
                <w:sz w:val="16"/>
                <w:u w:val="single" w:color="231F20"/>
              </w:rPr>
              <w:t>74,742,798</w:t>
            </w:r>
            <w:r>
              <w:rPr>
                <w:color w:val="231F20"/>
                <w:spacing w:val="80"/>
                <w:sz w:val="16"/>
                <w:u w:val="single" w:color="231F20"/>
              </w:rPr>
              <w:t> </w:t>
            </w:r>
          </w:p>
        </w:tc>
        <w:tc>
          <w:tcPr>
            <w:tcW w:w="1384" w:type="dxa"/>
          </w:tcPr>
          <w:p>
            <w:pPr>
              <w:pStyle w:val="TableParagraph"/>
              <w:spacing w:before="5"/>
              <w:rPr>
                <w:b/>
                <w:sz w:val="18"/>
              </w:rPr>
            </w:pPr>
          </w:p>
          <w:p>
            <w:pPr>
              <w:pStyle w:val="TableParagraph"/>
              <w:tabs>
                <w:tab w:pos="309" w:val="left" w:leader="none"/>
              </w:tabs>
              <w:spacing w:line="165" w:lineRule="exact"/>
              <w:ind w:right="78"/>
              <w:jc w:val="right"/>
              <w:rPr>
                <w:sz w:val="16"/>
              </w:rPr>
            </w:pPr>
            <w:r>
              <w:rPr>
                <w:color w:val="231F20"/>
                <w:sz w:val="16"/>
                <w:u w:val="single" w:color="231F20"/>
              </w:rPr>
              <w:tab/>
            </w:r>
            <w:r>
              <w:rPr>
                <w:color w:val="231F20"/>
                <w:spacing w:val="-2"/>
                <w:sz w:val="16"/>
                <w:u w:val="single" w:color="231F20"/>
              </w:rPr>
              <w:t>75,370,247</w:t>
            </w:r>
            <w:r>
              <w:rPr>
                <w:color w:val="231F20"/>
                <w:spacing w:val="80"/>
                <w:sz w:val="16"/>
                <w:u w:val="single" w:color="231F20"/>
              </w:rPr>
              <w:t> </w:t>
            </w:r>
          </w:p>
        </w:tc>
        <w:tc>
          <w:tcPr>
            <w:tcW w:w="1384" w:type="dxa"/>
          </w:tcPr>
          <w:p>
            <w:pPr>
              <w:pStyle w:val="TableParagraph"/>
              <w:spacing w:before="5"/>
              <w:rPr>
                <w:b/>
                <w:sz w:val="18"/>
              </w:rPr>
            </w:pPr>
          </w:p>
          <w:p>
            <w:pPr>
              <w:pStyle w:val="TableParagraph"/>
              <w:tabs>
                <w:tab w:pos="309" w:val="left" w:leader="none"/>
              </w:tabs>
              <w:spacing w:line="165" w:lineRule="exact"/>
              <w:ind w:right="78"/>
              <w:jc w:val="right"/>
              <w:rPr>
                <w:sz w:val="16"/>
              </w:rPr>
            </w:pPr>
            <w:r>
              <w:rPr>
                <w:color w:val="231F20"/>
                <w:sz w:val="16"/>
                <w:u w:val="single" w:color="231F20"/>
              </w:rPr>
              <w:tab/>
            </w:r>
            <w:r>
              <w:rPr>
                <w:color w:val="231F20"/>
                <w:spacing w:val="-2"/>
                <w:sz w:val="16"/>
                <w:u w:val="single" w:color="231F20"/>
              </w:rPr>
              <w:t>90,533,300</w:t>
            </w:r>
            <w:r>
              <w:rPr>
                <w:color w:val="231F20"/>
                <w:spacing w:val="80"/>
                <w:sz w:val="16"/>
                <w:u w:val="single" w:color="231F20"/>
              </w:rPr>
              <w:t> </w:t>
            </w:r>
          </w:p>
        </w:tc>
        <w:tc>
          <w:tcPr>
            <w:tcW w:w="1351" w:type="dxa"/>
          </w:tcPr>
          <w:p>
            <w:pPr>
              <w:pStyle w:val="TableParagraph"/>
              <w:spacing w:before="5"/>
              <w:rPr>
                <w:b/>
                <w:sz w:val="18"/>
              </w:rPr>
            </w:pPr>
          </w:p>
          <w:p>
            <w:pPr>
              <w:pStyle w:val="TableParagraph"/>
              <w:tabs>
                <w:tab w:pos="394" w:val="left" w:leader="none"/>
              </w:tabs>
              <w:spacing w:line="165" w:lineRule="exact"/>
              <w:ind w:left="85"/>
              <w:rPr>
                <w:sz w:val="16"/>
              </w:rPr>
            </w:pPr>
            <w:r>
              <w:rPr>
                <w:color w:val="231F20"/>
                <w:sz w:val="16"/>
                <w:u w:val="single" w:color="231F20"/>
              </w:rPr>
              <w:tab/>
            </w:r>
            <w:r>
              <w:rPr>
                <w:color w:val="231F20"/>
                <w:spacing w:val="-2"/>
                <w:sz w:val="16"/>
                <w:u w:val="single" w:color="231F20"/>
              </w:rPr>
              <w:t>15,163,053</w:t>
            </w:r>
            <w:r>
              <w:rPr>
                <w:color w:val="231F20"/>
                <w:spacing w:val="80"/>
                <w:sz w:val="16"/>
                <w:u w:val="single" w:color="231F20"/>
              </w:rPr>
              <w:t> </w:t>
            </w:r>
          </w:p>
        </w:tc>
      </w:tr>
    </w:tbl>
    <w:p>
      <w:pPr>
        <w:pStyle w:val="BodyText"/>
        <w:spacing w:before="2"/>
        <w:rPr>
          <w:b/>
          <w:sz w:val="11"/>
        </w:rPr>
      </w:pPr>
    </w:p>
    <w:p>
      <w:pPr>
        <w:spacing w:before="99" w:after="22"/>
        <w:ind w:left="200" w:right="0" w:firstLine="0"/>
        <w:jc w:val="left"/>
        <w:rPr>
          <w:sz w:val="16"/>
        </w:rPr>
      </w:pPr>
      <w:r>
        <w:rPr>
          <w:color w:val="231F20"/>
          <w:sz w:val="16"/>
        </w:rPr>
        <w:t>Restricted</w:t>
      </w:r>
      <w:r>
        <w:rPr>
          <w:color w:val="231F20"/>
          <w:spacing w:val="5"/>
          <w:sz w:val="16"/>
        </w:rPr>
        <w:t> </w:t>
      </w:r>
      <w:r>
        <w:rPr>
          <w:color w:val="231F20"/>
          <w:spacing w:val="-2"/>
          <w:sz w:val="16"/>
        </w:rPr>
        <w:t>expenditures:</w:t>
      </w:r>
    </w:p>
    <w:tbl>
      <w:tblPr>
        <w:tblW w:w="0" w:type="auto"/>
        <w:jc w:val="left"/>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38"/>
        <w:gridCol w:w="1219"/>
        <w:gridCol w:w="165"/>
        <w:gridCol w:w="1219"/>
        <w:gridCol w:w="165"/>
        <w:gridCol w:w="1219"/>
        <w:gridCol w:w="165"/>
        <w:gridCol w:w="1219"/>
      </w:tblGrid>
      <w:tr>
        <w:trPr>
          <w:trHeight w:val="397" w:hRule="atLeast"/>
        </w:trPr>
        <w:tc>
          <w:tcPr>
            <w:tcW w:w="3938" w:type="dxa"/>
          </w:tcPr>
          <w:p>
            <w:pPr>
              <w:pStyle w:val="TableParagraph"/>
              <w:spacing w:line="182" w:lineRule="exact"/>
              <w:ind w:left="285"/>
              <w:rPr>
                <w:sz w:val="16"/>
              </w:rPr>
            </w:pPr>
            <w:r>
              <w:rPr>
                <w:color w:val="231F20"/>
                <w:sz w:val="16"/>
              </w:rPr>
              <w:t>Instruction</w:t>
            </w:r>
            <w:r>
              <w:rPr>
                <w:color w:val="231F20"/>
                <w:spacing w:val="9"/>
                <w:sz w:val="16"/>
              </w:rPr>
              <w:t> </w:t>
            </w:r>
            <w:r>
              <w:rPr>
                <w:color w:val="231F20"/>
                <w:sz w:val="16"/>
              </w:rPr>
              <w:t>and</w:t>
            </w:r>
            <w:r>
              <w:rPr>
                <w:color w:val="231F20"/>
                <w:spacing w:val="9"/>
                <w:sz w:val="16"/>
              </w:rPr>
              <w:t> </w:t>
            </w:r>
            <w:r>
              <w:rPr>
                <w:color w:val="231F20"/>
                <w:spacing w:val="-2"/>
                <w:sz w:val="16"/>
              </w:rPr>
              <w:t>general</w:t>
            </w:r>
          </w:p>
          <w:p>
            <w:pPr>
              <w:pStyle w:val="TableParagraph"/>
              <w:spacing w:line="175" w:lineRule="exact" w:before="20"/>
              <w:ind w:left="285"/>
              <w:rPr>
                <w:sz w:val="16"/>
              </w:rPr>
            </w:pPr>
            <w:r>
              <w:rPr>
                <w:color w:val="231F20"/>
                <w:sz w:val="16"/>
              </w:rPr>
              <w:t>Student</w:t>
            </w:r>
            <w:r>
              <w:rPr>
                <w:color w:val="231F20"/>
                <w:spacing w:val="4"/>
                <w:sz w:val="16"/>
              </w:rPr>
              <w:t> </w:t>
            </w:r>
            <w:r>
              <w:rPr>
                <w:color w:val="231F20"/>
                <w:sz w:val="16"/>
              </w:rPr>
              <w:t>social</w:t>
            </w:r>
            <w:r>
              <w:rPr>
                <w:color w:val="231F20"/>
                <w:spacing w:val="5"/>
                <w:sz w:val="16"/>
              </w:rPr>
              <w:t> </w:t>
            </w:r>
            <w:r>
              <w:rPr>
                <w:color w:val="231F20"/>
                <w:sz w:val="16"/>
              </w:rPr>
              <w:t>and</w:t>
            </w:r>
            <w:r>
              <w:rPr>
                <w:color w:val="231F20"/>
                <w:spacing w:val="5"/>
                <w:sz w:val="16"/>
              </w:rPr>
              <w:t> </w:t>
            </w:r>
            <w:r>
              <w:rPr>
                <w:color w:val="231F20"/>
                <w:spacing w:val="-2"/>
                <w:sz w:val="16"/>
              </w:rPr>
              <w:t>cultural</w:t>
            </w:r>
          </w:p>
        </w:tc>
        <w:tc>
          <w:tcPr>
            <w:tcW w:w="1219" w:type="dxa"/>
          </w:tcPr>
          <w:p>
            <w:pPr>
              <w:pStyle w:val="TableParagraph"/>
              <w:spacing w:line="182" w:lineRule="exact"/>
              <w:ind w:right="85"/>
              <w:jc w:val="right"/>
              <w:rPr>
                <w:sz w:val="16"/>
              </w:rPr>
            </w:pPr>
            <w:r>
              <w:rPr>
                <w:color w:val="231F20"/>
                <w:w w:val="102"/>
                <w:sz w:val="16"/>
              </w:rPr>
              <w:t>-</w:t>
            </w:r>
          </w:p>
          <w:p>
            <w:pPr>
              <w:pStyle w:val="TableParagraph"/>
              <w:spacing w:line="176" w:lineRule="exact" w:before="19"/>
              <w:ind w:right="86"/>
              <w:jc w:val="right"/>
              <w:rPr>
                <w:sz w:val="16"/>
              </w:rPr>
            </w:pPr>
            <w:r>
              <w:rPr>
                <w:color w:val="231F20"/>
                <w:w w:val="102"/>
                <w:sz w:val="16"/>
              </w:rPr>
              <w:t>-</w:t>
            </w:r>
          </w:p>
        </w:tc>
        <w:tc>
          <w:tcPr>
            <w:tcW w:w="165" w:type="dxa"/>
          </w:tcPr>
          <w:p>
            <w:pPr>
              <w:pStyle w:val="TableParagraph"/>
              <w:rPr>
                <w:rFonts w:ascii="Times New Roman"/>
                <w:sz w:val="16"/>
              </w:rPr>
            </w:pPr>
          </w:p>
        </w:tc>
        <w:tc>
          <w:tcPr>
            <w:tcW w:w="1219" w:type="dxa"/>
          </w:tcPr>
          <w:p>
            <w:pPr>
              <w:pStyle w:val="TableParagraph"/>
              <w:spacing w:line="182" w:lineRule="exact"/>
              <w:ind w:right="83"/>
              <w:jc w:val="right"/>
              <w:rPr>
                <w:sz w:val="16"/>
              </w:rPr>
            </w:pPr>
            <w:r>
              <w:rPr>
                <w:color w:val="231F20"/>
                <w:w w:val="102"/>
                <w:sz w:val="16"/>
              </w:rPr>
              <w:t>-</w:t>
            </w:r>
          </w:p>
          <w:p>
            <w:pPr>
              <w:pStyle w:val="TableParagraph"/>
              <w:spacing w:line="176" w:lineRule="exact" w:before="19"/>
              <w:ind w:right="84"/>
              <w:jc w:val="right"/>
              <w:rPr>
                <w:sz w:val="16"/>
              </w:rPr>
            </w:pPr>
            <w:r>
              <w:rPr>
                <w:color w:val="231F20"/>
                <w:w w:val="102"/>
                <w:sz w:val="16"/>
              </w:rPr>
              <w:t>-</w:t>
            </w:r>
          </w:p>
        </w:tc>
        <w:tc>
          <w:tcPr>
            <w:tcW w:w="165" w:type="dxa"/>
          </w:tcPr>
          <w:p>
            <w:pPr>
              <w:pStyle w:val="TableParagraph"/>
              <w:rPr>
                <w:rFonts w:ascii="Times New Roman"/>
                <w:sz w:val="16"/>
              </w:rPr>
            </w:pPr>
          </w:p>
        </w:tc>
        <w:tc>
          <w:tcPr>
            <w:tcW w:w="1219" w:type="dxa"/>
          </w:tcPr>
          <w:p>
            <w:pPr>
              <w:pStyle w:val="TableParagraph"/>
              <w:spacing w:line="182" w:lineRule="exact"/>
              <w:ind w:right="82"/>
              <w:jc w:val="right"/>
              <w:rPr>
                <w:sz w:val="16"/>
              </w:rPr>
            </w:pPr>
            <w:r>
              <w:rPr>
                <w:color w:val="231F20"/>
                <w:w w:val="102"/>
                <w:sz w:val="16"/>
              </w:rPr>
              <w:t>-</w:t>
            </w:r>
          </w:p>
          <w:p>
            <w:pPr>
              <w:pStyle w:val="TableParagraph"/>
              <w:spacing w:line="176" w:lineRule="exact" w:before="19"/>
              <w:ind w:right="83"/>
              <w:jc w:val="right"/>
              <w:rPr>
                <w:sz w:val="16"/>
              </w:rPr>
            </w:pPr>
            <w:r>
              <w:rPr>
                <w:color w:val="231F20"/>
                <w:w w:val="102"/>
                <w:sz w:val="16"/>
              </w:rPr>
              <w:t>-</w:t>
            </w:r>
          </w:p>
        </w:tc>
        <w:tc>
          <w:tcPr>
            <w:tcW w:w="165" w:type="dxa"/>
          </w:tcPr>
          <w:p>
            <w:pPr>
              <w:pStyle w:val="TableParagraph"/>
              <w:rPr>
                <w:rFonts w:ascii="Times New Roman"/>
                <w:sz w:val="16"/>
              </w:rPr>
            </w:pPr>
          </w:p>
        </w:tc>
        <w:tc>
          <w:tcPr>
            <w:tcW w:w="1219" w:type="dxa"/>
          </w:tcPr>
          <w:p>
            <w:pPr>
              <w:pStyle w:val="TableParagraph"/>
              <w:spacing w:line="182" w:lineRule="exact"/>
              <w:ind w:right="82"/>
              <w:jc w:val="right"/>
              <w:rPr>
                <w:sz w:val="16"/>
              </w:rPr>
            </w:pPr>
            <w:r>
              <w:rPr>
                <w:color w:val="231F20"/>
                <w:w w:val="102"/>
                <w:sz w:val="16"/>
              </w:rPr>
              <w:t>-</w:t>
            </w:r>
          </w:p>
          <w:p>
            <w:pPr>
              <w:pStyle w:val="TableParagraph"/>
              <w:spacing w:line="176" w:lineRule="exact" w:before="19"/>
              <w:ind w:right="82"/>
              <w:jc w:val="right"/>
              <w:rPr>
                <w:sz w:val="16"/>
              </w:rPr>
            </w:pPr>
            <w:r>
              <w:rPr>
                <w:color w:val="231F20"/>
                <w:w w:val="102"/>
                <w:sz w:val="16"/>
              </w:rPr>
              <w:t>-</w:t>
            </w:r>
          </w:p>
        </w:tc>
      </w:tr>
      <w:tr>
        <w:trPr>
          <w:trHeight w:val="204" w:hRule="atLeast"/>
        </w:trPr>
        <w:tc>
          <w:tcPr>
            <w:tcW w:w="3938" w:type="dxa"/>
          </w:tcPr>
          <w:p>
            <w:pPr>
              <w:pStyle w:val="TableParagraph"/>
              <w:spacing w:line="176" w:lineRule="exact" w:before="8"/>
              <w:ind w:left="285"/>
              <w:rPr>
                <w:sz w:val="16"/>
              </w:rPr>
            </w:pPr>
            <w:r>
              <w:rPr>
                <w:color w:val="231F20"/>
                <w:spacing w:val="-2"/>
                <w:sz w:val="16"/>
              </w:rPr>
              <w:t>Research</w:t>
            </w:r>
          </w:p>
        </w:tc>
        <w:tc>
          <w:tcPr>
            <w:tcW w:w="1219" w:type="dxa"/>
          </w:tcPr>
          <w:p>
            <w:pPr>
              <w:pStyle w:val="TableParagraph"/>
              <w:spacing w:line="176" w:lineRule="exact" w:before="8"/>
              <w:ind w:left="306"/>
              <w:rPr>
                <w:sz w:val="16"/>
              </w:rPr>
            </w:pPr>
            <w:r>
              <w:rPr>
                <w:color w:val="231F20"/>
                <w:spacing w:val="-2"/>
                <w:sz w:val="16"/>
              </w:rPr>
              <w:t>57,325,000</w:t>
            </w:r>
          </w:p>
        </w:tc>
        <w:tc>
          <w:tcPr>
            <w:tcW w:w="165" w:type="dxa"/>
          </w:tcPr>
          <w:p>
            <w:pPr>
              <w:pStyle w:val="TableParagraph"/>
              <w:rPr>
                <w:rFonts w:ascii="Times New Roman"/>
                <w:sz w:val="14"/>
              </w:rPr>
            </w:pPr>
          </w:p>
        </w:tc>
        <w:tc>
          <w:tcPr>
            <w:tcW w:w="1219" w:type="dxa"/>
          </w:tcPr>
          <w:p>
            <w:pPr>
              <w:pStyle w:val="TableParagraph"/>
              <w:spacing w:line="176" w:lineRule="exact" w:before="8"/>
              <w:ind w:left="309"/>
              <w:rPr>
                <w:sz w:val="16"/>
              </w:rPr>
            </w:pPr>
            <w:r>
              <w:rPr>
                <w:color w:val="231F20"/>
                <w:spacing w:val="-2"/>
                <w:sz w:val="16"/>
              </w:rPr>
              <w:t>55,513,718</w:t>
            </w:r>
          </w:p>
        </w:tc>
        <w:tc>
          <w:tcPr>
            <w:tcW w:w="165" w:type="dxa"/>
          </w:tcPr>
          <w:p>
            <w:pPr>
              <w:pStyle w:val="TableParagraph"/>
              <w:rPr>
                <w:rFonts w:ascii="Times New Roman"/>
                <w:sz w:val="14"/>
              </w:rPr>
            </w:pPr>
          </w:p>
        </w:tc>
        <w:tc>
          <w:tcPr>
            <w:tcW w:w="1219" w:type="dxa"/>
          </w:tcPr>
          <w:p>
            <w:pPr>
              <w:pStyle w:val="TableParagraph"/>
              <w:spacing w:line="176" w:lineRule="exact" w:before="8"/>
              <w:ind w:right="82"/>
              <w:jc w:val="right"/>
              <w:rPr>
                <w:sz w:val="16"/>
              </w:rPr>
            </w:pPr>
            <w:r>
              <w:rPr>
                <w:color w:val="231F20"/>
                <w:spacing w:val="-2"/>
                <w:sz w:val="16"/>
              </w:rPr>
              <w:t>74,760,723</w:t>
            </w:r>
          </w:p>
        </w:tc>
        <w:tc>
          <w:tcPr>
            <w:tcW w:w="165" w:type="dxa"/>
          </w:tcPr>
          <w:p>
            <w:pPr>
              <w:pStyle w:val="TableParagraph"/>
              <w:rPr>
                <w:rFonts w:ascii="Times New Roman"/>
                <w:sz w:val="14"/>
              </w:rPr>
            </w:pPr>
          </w:p>
        </w:tc>
        <w:tc>
          <w:tcPr>
            <w:tcW w:w="1219" w:type="dxa"/>
          </w:tcPr>
          <w:p>
            <w:pPr>
              <w:pStyle w:val="TableParagraph"/>
              <w:spacing w:line="176" w:lineRule="exact" w:before="8"/>
              <w:ind w:left="311"/>
              <w:rPr>
                <w:sz w:val="16"/>
              </w:rPr>
            </w:pPr>
            <w:r>
              <w:rPr>
                <w:color w:val="231F20"/>
                <w:spacing w:val="-2"/>
                <w:sz w:val="16"/>
              </w:rPr>
              <w:t>19,247,005</w:t>
            </w:r>
          </w:p>
        </w:tc>
      </w:tr>
      <w:tr>
        <w:trPr>
          <w:trHeight w:val="204" w:hRule="atLeast"/>
        </w:trPr>
        <w:tc>
          <w:tcPr>
            <w:tcW w:w="3938" w:type="dxa"/>
          </w:tcPr>
          <w:p>
            <w:pPr>
              <w:pStyle w:val="TableParagraph"/>
              <w:spacing w:line="175" w:lineRule="exact" w:before="9"/>
              <w:ind w:left="285"/>
              <w:rPr>
                <w:sz w:val="16"/>
              </w:rPr>
            </w:pPr>
            <w:r>
              <w:rPr>
                <w:color w:val="231F20"/>
                <w:sz w:val="16"/>
              </w:rPr>
              <w:t>Public</w:t>
            </w:r>
            <w:r>
              <w:rPr>
                <w:color w:val="231F20"/>
                <w:spacing w:val="5"/>
                <w:sz w:val="16"/>
              </w:rPr>
              <w:t> </w:t>
            </w:r>
            <w:r>
              <w:rPr>
                <w:color w:val="231F20"/>
                <w:spacing w:val="-2"/>
                <w:sz w:val="16"/>
              </w:rPr>
              <w:t>service</w:t>
            </w:r>
          </w:p>
        </w:tc>
        <w:tc>
          <w:tcPr>
            <w:tcW w:w="1219" w:type="dxa"/>
          </w:tcPr>
          <w:p>
            <w:pPr>
              <w:pStyle w:val="TableParagraph"/>
              <w:spacing w:line="175" w:lineRule="exact" w:before="9"/>
              <w:ind w:right="85"/>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9"/>
              <w:ind w:right="84"/>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9"/>
              <w:ind w:right="83"/>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9"/>
              <w:ind w:right="82"/>
              <w:jc w:val="right"/>
              <w:rPr>
                <w:sz w:val="16"/>
              </w:rPr>
            </w:pPr>
            <w:r>
              <w:rPr>
                <w:color w:val="231F20"/>
                <w:w w:val="102"/>
                <w:sz w:val="16"/>
              </w:rPr>
              <w:t>-</w:t>
            </w:r>
          </w:p>
        </w:tc>
      </w:tr>
      <w:tr>
        <w:trPr>
          <w:trHeight w:val="204" w:hRule="atLeast"/>
        </w:trPr>
        <w:tc>
          <w:tcPr>
            <w:tcW w:w="3938" w:type="dxa"/>
          </w:tcPr>
          <w:p>
            <w:pPr>
              <w:pStyle w:val="TableParagraph"/>
              <w:spacing w:line="175" w:lineRule="exact" w:before="8"/>
              <w:ind w:left="285"/>
              <w:rPr>
                <w:sz w:val="16"/>
              </w:rPr>
            </w:pPr>
            <w:r>
              <w:rPr>
                <w:color w:val="231F20"/>
                <w:sz w:val="16"/>
              </w:rPr>
              <w:t>Internal</w:t>
            </w:r>
            <w:r>
              <w:rPr>
                <w:color w:val="231F20"/>
                <w:spacing w:val="4"/>
                <w:sz w:val="16"/>
              </w:rPr>
              <w:t> </w:t>
            </w:r>
            <w:r>
              <w:rPr>
                <w:color w:val="231F20"/>
                <w:sz w:val="16"/>
              </w:rPr>
              <w:t>service</w:t>
            </w:r>
            <w:r>
              <w:rPr>
                <w:color w:val="231F20"/>
                <w:spacing w:val="5"/>
                <w:sz w:val="16"/>
              </w:rPr>
              <w:t> </w:t>
            </w:r>
            <w:r>
              <w:rPr>
                <w:color w:val="231F20"/>
                <w:spacing w:val="-2"/>
                <w:sz w:val="16"/>
              </w:rPr>
              <w:t>departments</w:t>
            </w:r>
          </w:p>
        </w:tc>
        <w:tc>
          <w:tcPr>
            <w:tcW w:w="1219" w:type="dxa"/>
          </w:tcPr>
          <w:p>
            <w:pPr>
              <w:pStyle w:val="TableParagraph"/>
              <w:spacing w:line="175" w:lineRule="exact" w:before="8"/>
              <w:ind w:right="86"/>
              <w:jc w:val="right"/>
              <w:rPr>
                <w:sz w:val="16"/>
              </w:rPr>
            </w:pPr>
            <w:r>
              <w:rPr>
                <w:color w:val="231F20"/>
                <w:spacing w:val="-2"/>
                <w:sz w:val="16"/>
              </w:rPr>
              <w:t>8,365,500</w:t>
            </w:r>
          </w:p>
        </w:tc>
        <w:tc>
          <w:tcPr>
            <w:tcW w:w="165" w:type="dxa"/>
          </w:tcPr>
          <w:p>
            <w:pPr>
              <w:pStyle w:val="TableParagraph"/>
              <w:rPr>
                <w:rFonts w:ascii="Times New Roman"/>
                <w:sz w:val="14"/>
              </w:rPr>
            </w:pPr>
          </w:p>
        </w:tc>
        <w:tc>
          <w:tcPr>
            <w:tcW w:w="1219" w:type="dxa"/>
          </w:tcPr>
          <w:p>
            <w:pPr>
              <w:pStyle w:val="TableParagraph"/>
              <w:spacing w:line="175" w:lineRule="exact" w:before="8"/>
              <w:ind w:left="400"/>
              <w:rPr>
                <w:sz w:val="16"/>
              </w:rPr>
            </w:pPr>
            <w:r>
              <w:rPr>
                <w:color w:val="231F20"/>
                <w:spacing w:val="-2"/>
                <w:sz w:val="16"/>
              </w:rPr>
              <w:t>8,365,500</w:t>
            </w:r>
          </w:p>
        </w:tc>
        <w:tc>
          <w:tcPr>
            <w:tcW w:w="165" w:type="dxa"/>
          </w:tcPr>
          <w:p>
            <w:pPr>
              <w:pStyle w:val="TableParagraph"/>
              <w:rPr>
                <w:rFonts w:ascii="Times New Roman"/>
                <w:sz w:val="14"/>
              </w:rPr>
            </w:pPr>
          </w:p>
        </w:tc>
        <w:tc>
          <w:tcPr>
            <w:tcW w:w="1219" w:type="dxa"/>
          </w:tcPr>
          <w:p>
            <w:pPr>
              <w:pStyle w:val="TableParagraph"/>
              <w:spacing w:line="175" w:lineRule="exact" w:before="8"/>
              <w:ind w:right="83"/>
              <w:jc w:val="right"/>
              <w:rPr>
                <w:sz w:val="16"/>
              </w:rPr>
            </w:pPr>
            <w:r>
              <w:rPr>
                <w:color w:val="231F20"/>
                <w:spacing w:val="-2"/>
                <w:sz w:val="16"/>
              </w:rPr>
              <w:t>6,376,634</w:t>
            </w:r>
          </w:p>
        </w:tc>
        <w:tc>
          <w:tcPr>
            <w:tcW w:w="165" w:type="dxa"/>
          </w:tcPr>
          <w:p>
            <w:pPr>
              <w:pStyle w:val="TableParagraph"/>
              <w:rPr>
                <w:rFonts w:ascii="Times New Roman"/>
                <w:sz w:val="14"/>
              </w:rPr>
            </w:pPr>
          </w:p>
        </w:tc>
        <w:tc>
          <w:tcPr>
            <w:tcW w:w="1219" w:type="dxa"/>
          </w:tcPr>
          <w:p>
            <w:pPr>
              <w:pStyle w:val="TableParagraph"/>
              <w:spacing w:line="175" w:lineRule="exact" w:before="8"/>
              <w:ind w:left="348"/>
              <w:rPr>
                <w:sz w:val="16"/>
              </w:rPr>
            </w:pPr>
            <w:r>
              <w:rPr>
                <w:color w:val="231F20"/>
                <w:spacing w:val="-2"/>
                <w:sz w:val="16"/>
              </w:rPr>
              <w:t>(1,988,866)</w:t>
            </w:r>
          </w:p>
        </w:tc>
      </w:tr>
      <w:tr>
        <w:trPr>
          <w:trHeight w:val="204" w:hRule="atLeast"/>
        </w:trPr>
        <w:tc>
          <w:tcPr>
            <w:tcW w:w="3938" w:type="dxa"/>
          </w:tcPr>
          <w:p>
            <w:pPr>
              <w:pStyle w:val="TableParagraph"/>
              <w:spacing w:line="175" w:lineRule="exact" w:before="8"/>
              <w:ind w:left="285"/>
              <w:rPr>
                <w:sz w:val="16"/>
              </w:rPr>
            </w:pPr>
            <w:r>
              <w:rPr>
                <w:color w:val="231F20"/>
                <w:sz w:val="16"/>
              </w:rPr>
              <w:t>Student</w:t>
            </w:r>
            <w:r>
              <w:rPr>
                <w:color w:val="231F20"/>
                <w:spacing w:val="6"/>
                <w:sz w:val="16"/>
              </w:rPr>
              <w:t> </w:t>
            </w:r>
            <w:r>
              <w:rPr>
                <w:color w:val="231F20"/>
                <w:spacing w:val="-5"/>
                <w:sz w:val="16"/>
              </w:rPr>
              <w:t>aid</w:t>
            </w:r>
          </w:p>
        </w:tc>
        <w:tc>
          <w:tcPr>
            <w:tcW w:w="1219" w:type="dxa"/>
          </w:tcPr>
          <w:p>
            <w:pPr>
              <w:pStyle w:val="TableParagraph"/>
              <w:spacing w:line="175" w:lineRule="exact" w:before="8"/>
              <w:ind w:right="86"/>
              <w:jc w:val="right"/>
              <w:rPr>
                <w:sz w:val="16"/>
              </w:rPr>
            </w:pPr>
            <w:r>
              <w:rPr>
                <w:color w:val="231F20"/>
                <w:spacing w:val="-2"/>
                <w:sz w:val="16"/>
              </w:rPr>
              <w:t>7,052,298</w:t>
            </w:r>
          </w:p>
        </w:tc>
        <w:tc>
          <w:tcPr>
            <w:tcW w:w="165" w:type="dxa"/>
          </w:tcPr>
          <w:p>
            <w:pPr>
              <w:pStyle w:val="TableParagraph"/>
              <w:rPr>
                <w:rFonts w:ascii="Times New Roman"/>
                <w:sz w:val="14"/>
              </w:rPr>
            </w:pPr>
          </w:p>
        </w:tc>
        <w:tc>
          <w:tcPr>
            <w:tcW w:w="1219" w:type="dxa"/>
          </w:tcPr>
          <w:p>
            <w:pPr>
              <w:pStyle w:val="TableParagraph"/>
              <w:spacing w:line="175" w:lineRule="exact" w:before="8"/>
              <w:ind w:left="400"/>
              <w:rPr>
                <w:sz w:val="16"/>
              </w:rPr>
            </w:pPr>
            <w:r>
              <w:rPr>
                <w:color w:val="231F20"/>
                <w:spacing w:val="-2"/>
                <w:sz w:val="16"/>
              </w:rPr>
              <w:t>8,291,029</w:t>
            </w:r>
          </w:p>
        </w:tc>
        <w:tc>
          <w:tcPr>
            <w:tcW w:w="165" w:type="dxa"/>
          </w:tcPr>
          <w:p>
            <w:pPr>
              <w:pStyle w:val="TableParagraph"/>
              <w:rPr>
                <w:rFonts w:ascii="Times New Roman"/>
                <w:sz w:val="14"/>
              </w:rPr>
            </w:pPr>
          </w:p>
        </w:tc>
        <w:tc>
          <w:tcPr>
            <w:tcW w:w="1219" w:type="dxa"/>
          </w:tcPr>
          <w:p>
            <w:pPr>
              <w:pStyle w:val="TableParagraph"/>
              <w:spacing w:line="175" w:lineRule="exact" w:before="8"/>
              <w:ind w:right="83"/>
              <w:jc w:val="right"/>
              <w:rPr>
                <w:sz w:val="16"/>
              </w:rPr>
            </w:pPr>
            <w:r>
              <w:rPr>
                <w:color w:val="231F20"/>
                <w:spacing w:val="-2"/>
                <w:sz w:val="16"/>
              </w:rPr>
              <w:t>7,170,604</w:t>
            </w:r>
          </w:p>
        </w:tc>
        <w:tc>
          <w:tcPr>
            <w:tcW w:w="165" w:type="dxa"/>
          </w:tcPr>
          <w:p>
            <w:pPr>
              <w:pStyle w:val="TableParagraph"/>
              <w:rPr>
                <w:rFonts w:ascii="Times New Roman"/>
                <w:sz w:val="14"/>
              </w:rPr>
            </w:pPr>
          </w:p>
        </w:tc>
        <w:tc>
          <w:tcPr>
            <w:tcW w:w="1219" w:type="dxa"/>
          </w:tcPr>
          <w:p>
            <w:pPr>
              <w:pStyle w:val="TableParagraph"/>
              <w:spacing w:line="175" w:lineRule="exact" w:before="8"/>
              <w:ind w:left="348"/>
              <w:rPr>
                <w:sz w:val="16"/>
              </w:rPr>
            </w:pPr>
            <w:r>
              <w:rPr>
                <w:color w:val="231F20"/>
                <w:spacing w:val="-2"/>
                <w:sz w:val="16"/>
              </w:rPr>
              <w:t>(1,120,425)</w:t>
            </w:r>
          </w:p>
        </w:tc>
      </w:tr>
      <w:tr>
        <w:trPr>
          <w:trHeight w:val="204" w:hRule="atLeast"/>
        </w:trPr>
        <w:tc>
          <w:tcPr>
            <w:tcW w:w="3938" w:type="dxa"/>
          </w:tcPr>
          <w:p>
            <w:pPr>
              <w:pStyle w:val="TableParagraph"/>
              <w:spacing w:line="175" w:lineRule="exact" w:before="8"/>
              <w:ind w:left="284"/>
              <w:rPr>
                <w:sz w:val="16"/>
              </w:rPr>
            </w:pPr>
            <w:r>
              <w:rPr>
                <w:color w:val="231F20"/>
                <w:sz w:val="16"/>
              </w:rPr>
              <w:t>Auxiliary</w:t>
            </w:r>
            <w:r>
              <w:rPr>
                <w:color w:val="231F20"/>
                <w:spacing w:val="8"/>
                <w:sz w:val="16"/>
              </w:rPr>
              <w:t> </w:t>
            </w:r>
            <w:r>
              <w:rPr>
                <w:color w:val="231F20"/>
                <w:spacing w:val="-2"/>
                <w:sz w:val="16"/>
              </w:rPr>
              <w:t>enterprises</w:t>
            </w:r>
          </w:p>
        </w:tc>
        <w:tc>
          <w:tcPr>
            <w:tcW w:w="1219" w:type="dxa"/>
          </w:tcPr>
          <w:p>
            <w:pPr>
              <w:pStyle w:val="TableParagraph"/>
              <w:spacing w:line="175" w:lineRule="exact" w:before="8"/>
              <w:ind w:right="86"/>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4"/>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3"/>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2"/>
              <w:jc w:val="right"/>
              <w:rPr>
                <w:sz w:val="16"/>
              </w:rPr>
            </w:pPr>
            <w:r>
              <w:rPr>
                <w:color w:val="231F20"/>
                <w:w w:val="102"/>
                <w:sz w:val="16"/>
              </w:rPr>
              <w:t>-</w:t>
            </w:r>
          </w:p>
        </w:tc>
      </w:tr>
      <w:tr>
        <w:trPr>
          <w:trHeight w:val="204" w:hRule="atLeast"/>
        </w:trPr>
        <w:tc>
          <w:tcPr>
            <w:tcW w:w="3938" w:type="dxa"/>
          </w:tcPr>
          <w:p>
            <w:pPr>
              <w:pStyle w:val="TableParagraph"/>
              <w:spacing w:line="175" w:lineRule="exact" w:before="8"/>
              <w:ind w:left="285"/>
              <w:rPr>
                <w:sz w:val="16"/>
              </w:rPr>
            </w:pPr>
            <w:r>
              <w:rPr>
                <w:color w:val="231F20"/>
                <w:sz w:val="16"/>
              </w:rPr>
              <w:t>Intercollegiate</w:t>
            </w:r>
            <w:r>
              <w:rPr>
                <w:color w:val="231F20"/>
                <w:spacing w:val="20"/>
                <w:sz w:val="16"/>
              </w:rPr>
              <w:t> </w:t>
            </w:r>
            <w:r>
              <w:rPr>
                <w:color w:val="231F20"/>
                <w:spacing w:val="-2"/>
                <w:sz w:val="16"/>
              </w:rPr>
              <w:t>athletics</w:t>
            </w:r>
          </w:p>
        </w:tc>
        <w:tc>
          <w:tcPr>
            <w:tcW w:w="1219" w:type="dxa"/>
          </w:tcPr>
          <w:p>
            <w:pPr>
              <w:pStyle w:val="TableParagraph"/>
              <w:spacing w:line="175" w:lineRule="exact" w:before="8"/>
              <w:ind w:right="84"/>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4"/>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3"/>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2"/>
              <w:jc w:val="right"/>
              <w:rPr>
                <w:sz w:val="16"/>
              </w:rPr>
            </w:pPr>
            <w:r>
              <w:rPr>
                <w:color w:val="231F20"/>
                <w:w w:val="102"/>
                <w:sz w:val="16"/>
              </w:rPr>
              <w:t>-</w:t>
            </w:r>
          </w:p>
        </w:tc>
      </w:tr>
      <w:tr>
        <w:trPr>
          <w:trHeight w:val="204" w:hRule="atLeast"/>
        </w:trPr>
        <w:tc>
          <w:tcPr>
            <w:tcW w:w="3938" w:type="dxa"/>
          </w:tcPr>
          <w:p>
            <w:pPr>
              <w:pStyle w:val="TableParagraph"/>
              <w:spacing w:line="175" w:lineRule="exact" w:before="8"/>
              <w:ind w:left="285"/>
              <w:rPr>
                <w:sz w:val="16"/>
              </w:rPr>
            </w:pPr>
            <w:r>
              <w:rPr>
                <w:color w:val="231F20"/>
                <w:sz w:val="16"/>
              </w:rPr>
              <w:t>Independent</w:t>
            </w:r>
            <w:r>
              <w:rPr>
                <w:color w:val="231F20"/>
                <w:spacing w:val="9"/>
                <w:sz w:val="16"/>
              </w:rPr>
              <w:t> </w:t>
            </w:r>
            <w:r>
              <w:rPr>
                <w:color w:val="231F20"/>
                <w:spacing w:val="-2"/>
                <w:sz w:val="16"/>
              </w:rPr>
              <w:t>operations</w:t>
            </w:r>
          </w:p>
        </w:tc>
        <w:tc>
          <w:tcPr>
            <w:tcW w:w="1219" w:type="dxa"/>
          </w:tcPr>
          <w:p>
            <w:pPr>
              <w:pStyle w:val="TableParagraph"/>
              <w:spacing w:line="175" w:lineRule="exact" w:before="8"/>
              <w:ind w:right="87"/>
              <w:jc w:val="right"/>
              <w:rPr>
                <w:sz w:val="16"/>
              </w:rPr>
            </w:pPr>
            <w:r>
              <w:rPr>
                <w:color w:val="231F20"/>
                <w:spacing w:val="-2"/>
                <w:sz w:val="16"/>
              </w:rPr>
              <w:t>2,000,000</w:t>
            </w:r>
          </w:p>
        </w:tc>
        <w:tc>
          <w:tcPr>
            <w:tcW w:w="165" w:type="dxa"/>
          </w:tcPr>
          <w:p>
            <w:pPr>
              <w:pStyle w:val="TableParagraph"/>
              <w:rPr>
                <w:rFonts w:ascii="Times New Roman"/>
                <w:sz w:val="14"/>
              </w:rPr>
            </w:pPr>
          </w:p>
        </w:tc>
        <w:tc>
          <w:tcPr>
            <w:tcW w:w="1219" w:type="dxa"/>
          </w:tcPr>
          <w:p>
            <w:pPr>
              <w:pStyle w:val="TableParagraph"/>
              <w:spacing w:line="175" w:lineRule="exact" w:before="8"/>
              <w:ind w:left="400"/>
              <w:rPr>
                <w:sz w:val="16"/>
              </w:rPr>
            </w:pPr>
            <w:r>
              <w:rPr>
                <w:color w:val="231F20"/>
                <w:spacing w:val="-2"/>
                <w:sz w:val="16"/>
              </w:rPr>
              <w:t>3,200,000</w:t>
            </w:r>
          </w:p>
        </w:tc>
        <w:tc>
          <w:tcPr>
            <w:tcW w:w="165" w:type="dxa"/>
          </w:tcPr>
          <w:p>
            <w:pPr>
              <w:pStyle w:val="TableParagraph"/>
              <w:rPr>
                <w:rFonts w:ascii="Times New Roman"/>
                <w:sz w:val="14"/>
              </w:rPr>
            </w:pPr>
          </w:p>
        </w:tc>
        <w:tc>
          <w:tcPr>
            <w:tcW w:w="1219" w:type="dxa"/>
          </w:tcPr>
          <w:p>
            <w:pPr>
              <w:pStyle w:val="TableParagraph"/>
              <w:spacing w:line="175" w:lineRule="exact" w:before="8"/>
              <w:ind w:right="83"/>
              <w:jc w:val="right"/>
              <w:rPr>
                <w:sz w:val="16"/>
              </w:rPr>
            </w:pPr>
            <w:r>
              <w:rPr>
                <w:color w:val="231F20"/>
                <w:spacing w:val="-2"/>
                <w:sz w:val="16"/>
              </w:rPr>
              <w:t>3,165,439</w:t>
            </w:r>
          </w:p>
        </w:tc>
        <w:tc>
          <w:tcPr>
            <w:tcW w:w="165" w:type="dxa"/>
          </w:tcPr>
          <w:p>
            <w:pPr>
              <w:pStyle w:val="TableParagraph"/>
              <w:rPr>
                <w:rFonts w:ascii="Times New Roman"/>
                <w:sz w:val="14"/>
              </w:rPr>
            </w:pPr>
          </w:p>
        </w:tc>
        <w:tc>
          <w:tcPr>
            <w:tcW w:w="1219" w:type="dxa"/>
          </w:tcPr>
          <w:p>
            <w:pPr>
              <w:pStyle w:val="TableParagraph"/>
              <w:spacing w:line="175" w:lineRule="exact" w:before="8"/>
              <w:ind w:right="28"/>
              <w:jc w:val="right"/>
              <w:rPr>
                <w:sz w:val="16"/>
              </w:rPr>
            </w:pPr>
            <w:r>
              <w:rPr>
                <w:color w:val="231F20"/>
                <w:spacing w:val="-2"/>
                <w:sz w:val="16"/>
              </w:rPr>
              <w:t>(34,561)</w:t>
            </w:r>
          </w:p>
        </w:tc>
      </w:tr>
      <w:tr>
        <w:trPr>
          <w:trHeight w:val="204" w:hRule="atLeast"/>
        </w:trPr>
        <w:tc>
          <w:tcPr>
            <w:tcW w:w="3938" w:type="dxa"/>
          </w:tcPr>
          <w:p>
            <w:pPr>
              <w:pStyle w:val="TableParagraph"/>
              <w:spacing w:line="175" w:lineRule="exact" w:before="8"/>
              <w:ind w:left="285"/>
              <w:rPr>
                <w:sz w:val="16"/>
              </w:rPr>
            </w:pPr>
            <w:r>
              <w:rPr>
                <w:color w:val="231F20"/>
                <w:sz w:val="16"/>
              </w:rPr>
              <w:t>Capital</w:t>
            </w:r>
            <w:r>
              <w:rPr>
                <w:color w:val="231F20"/>
                <w:spacing w:val="4"/>
                <w:sz w:val="16"/>
              </w:rPr>
              <w:t> </w:t>
            </w:r>
            <w:r>
              <w:rPr>
                <w:color w:val="231F20"/>
                <w:spacing w:val="-2"/>
                <w:sz w:val="16"/>
              </w:rPr>
              <w:t>outlay</w:t>
            </w:r>
          </w:p>
        </w:tc>
        <w:tc>
          <w:tcPr>
            <w:tcW w:w="1219" w:type="dxa"/>
          </w:tcPr>
          <w:p>
            <w:pPr>
              <w:pStyle w:val="TableParagraph"/>
              <w:spacing w:line="175" w:lineRule="exact" w:before="8"/>
              <w:ind w:right="86"/>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4"/>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3"/>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2"/>
              <w:jc w:val="right"/>
              <w:rPr>
                <w:sz w:val="16"/>
              </w:rPr>
            </w:pPr>
            <w:r>
              <w:rPr>
                <w:color w:val="231F20"/>
                <w:w w:val="102"/>
                <w:sz w:val="16"/>
              </w:rPr>
              <w:t>-</w:t>
            </w:r>
          </w:p>
        </w:tc>
      </w:tr>
      <w:tr>
        <w:trPr>
          <w:trHeight w:val="204" w:hRule="atLeast"/>
        </w:trPr>
        <w:tc>
          <w:tcPr>
            <w:tcW w:w="3938" w:type="dxa"/>
          </w:tcPr>
          <w:p>
            <w:pPr>
              <w:pStyle w:val="TableParagraph"/>
              <w:spacing w:line="175" w:lineRule="exact" w:before="8"/>
              <w:ind w:left="285"/>
              <w:rPr>
                <w:sz w:val="16"/>
              </w:rPr>
            </w:pPr>
            <w:r>
              <w:rPr>
                <w:color w:val="231F20"/>
                <w:sz w:val="16"/>
              </w:rPr>
              <w:t>Renewal</w:t>
            </w:r>
            <w:r>
              <w:rPr>
                <w:color w:val="231F20"/>
                <w:spacing w:val="6"/>
                <w:sz w:val="16"/>
              </w:rPr>
              <w:t> </w:t>
            </w:r>
            <w:r>
              <w:rPr>
                <w:color w:val="231F20"/>
                <w:sz w:val="16"/>
              </w:rPr>
              <w:t>and</w:t>
            </w:r>
            <w:r>
              <w:rPr>
                <w:color w:val="231F20"/>
                <w:spacing w:val="6"/>
                <w:sz w:val="16"/>
              </w:rPr>
              <w:t> </w:t>
            </w:r>
            <w:r>
              <w:rPr>
                <w:color w:val="231F20"/>
                <w:spacing w:val="-2"/>
                <w:sz w:val="16"/>
              </w:rPr>
              <w:t>replacements</w:t>
            </w:r>
          </w:p>
        </w:tc>
        <w:tc>
          <w:tcPr>
            <w:tcW w:w="1219" w:type="dxa"/>
          </w:tcPr>
          <w:p>
            <w:pPr>
              <w:pStyle w:val="TableParagraph"/>
              <w:spacing w:line="175" w:lineRule="exact" w:before="8"/>
              <w:ind w:right="87"/>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4"/>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3"/>
              <w:jc w:val="right"/>
              <w:rPr>
                <w:sz w:val="16"/>
              </w:rPr>
            </w:pPr>
            <w:r>
              <w:rPr>
                <w:color w:val="231F20"/>
                <w:w w:val="102"/>
                <w:sz w:val="16"/>
              </w:rPr>
              <w:t>-</w:t>
            </w:r>
          </w:p>
        </w:tc>
        <w:tc>
          <w:tcPr>
            <w:tcW w:w="165" w:type="dxa"/>
          </w:tcPr>
          <w:p>
            <w:pPr>
              <w:pStyle w:val="TableParagraph"/>
              <w:rPr>
                <w:rFonts w:ascii="Times New Roman"/>
                <w:sz w:val="14"/>
              </w:rPr>
            </w:pPr>
          </w:p>
        </w:tc>
        <w:tc>
          <w:tcPr>
            <w:tcW w:w="1219" w:type="dxa"/>
          </w:tcPr>
          <w:p>
            <w:pPr>
              <w:pStyle w:val="TableParagraph"/>
              <w:spacing w:line="175" w:lineRule="exact" w:before="8"/>
              <w:ind w:right="82"/>
              <w:jc w:val="right"/>
              <w:rPr>
                <w:sz w:val="16"/>
              </w:rPr>
            </w:pPr>
            <w:r>
              <w:rPr>
                <w:color w:val="231F20"/>
                <w:w w:val="102"/>
                <w:sz w:val="16"/>
              </w:rPr>
              <w:t>-</w:t>
            </w:r>
          </w:p>
        </w:tc>
      </w:tr>
      <w:tr>
        <w:trPr>
          <w:trHeight w:val="692" w:hRule="atLeast"/>
        </w:trPr>
        <w:tc>
          <w:tcPr>
            <w:tcW w:w="3938" w:type="dxa"/>
          </w:tcPr>
          <w:p>
            <w:pPr>
              <w:pStyle w:val="TableParagraph"/>
              <w:spacing w:before="8"/>
              <w:ind w:left="285"/>
              <w:rPr>
                <w:sz w:val="16"/>
              </w:rPr>
            </w:pPr>
            <w:r>
              <w:rPr>
                <w:color w:val="231F20"/>
                <w:sz w:val="16"/>
              </w:rPr>
              <w:t>Retirement</w:t>
            </w:r>
            <w:r>
              <w:rPr>
                <w:color w:val="231F20"/>
                <w:spacing w:val="5"/>
                <w:sz w:val="16"/>
              </w:rPr>
              <w:t> </w:t>
            </w:r>
            <w:r>
              <w:rPr>
                <w:color w:val="231F20"/>
                <w:sz w:val="16"/>
              </w:rPr>
              <w:t>of</w:t>
            </w:r>
            <w:r>
              <w:rPr>
                <w:color w:val="231F20"/>
                <w:spacing w:val="4"/>
                <w:sz w:val="16"/>
              </w:rPr>
              <w:t> </w:t>
            </w:r>
            <w:r>
              <w:rPr>
                <w:color w:val="231F20"/>
                <w:spacing w:val="-2"/>
                <w:sz w:val="16"/>
              </w:rPr>
              <w:t>indebtedness</w:t>
            </w:r>
          </w:p>
          <w:p>
            <w:pPr>
              <w:pStyle w:val="TableParagraph"/>
              <w:spacing w:before="7"/>
              <w:rPr>
                <w:sz w:val="17"/>
              </w:rPr>
            </w:pPr>
          </w:p>
          <w:p>
            <w:pPr>
              <w:pStyle w:val="TableParagraph"/>
              <w:ind w:left="515"/>
              <w:rPr>
                <w:sz w:val="16"/>
              </w:rPr>
            </w:pPr>
            <w:r>
              <w:rPr>
                <w:color w:val="231F20"/>
                <w:sz w:val="16"/>
              </w:rPr>
              <w:t>Total</w:t>
            </w:r>
            <w:r>
              <w:rPr>
                <w:color w:val="231F20"/>
                <w:spacing w:val="6"/>
                <w:sz w:val="16"/>
              </w:rPr>
              <w:t> </w:t>
            </w:r>
            <w:r>
              <w:rPr>
                <w:color w:val="231F20"/>
                <w:sz w:val="16"/>
              </w:rPr>
              <w:t>restricted</w:t>
            </w:r>
            <w:r>
              <w:rPr>
                <w:color w:val="231F20"/>
                <w:spacing w:val="6"/>
                <w:sz w:val="16"/>
              </w:rPr>
              <w:t> </w:t>
            </w:r>
            <w:r>
              <w:rPr>
                <w:color w:val="231F20"/>
                <w:spacing w:val="-2"/>
                <w:sz w:val="16"/>
              </w:rPr>
              <w:t>expenditures</w:t>
            </w:r>
          </w:p>
        </w:tc>
        <w:tc>
          <w:tcPr>
            <w:tcW w:w="1219" w:type="dxa"/>
          </w:tcPr>
          <w:p>
            <w:pPr>
              <w:pStyle w:val="TableParagraph"/>
              <w:tabs>
                <w:tab w:pos="1075" w:val="left" w:leader="none"/>
              </w:tabs>
              <w:spacing w:before="8"/>
              <w:ind w:right="-15"/>
              <w:jc w:val="right"/>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p>
            <w:pPr>
              <w:pStyle w:val="TableParagraph"/>
              <w:spacing w:before="7"/>
              <w:rPr>
                <w:sz w:val="17"/>
              </w:rPr>
            </w:pPr>
          </w:p>
          <w:p>
            <w:pPr>
              <w:pStyle w:val="TableParagraph"/>
              <w:ind w:right="88"/>
              <w:jc w:val="right"/>
              <w:rPr>
                <w:sz w:val="16"/>
              </w:rPr>
            </w:pPr>
            <w:r>
              <w:rPr>
                <w:color w:val="231F20"/>
                <w:spacing w:val="-2"/>
                <w:sz w:val="16"/>
              </w:rPr>
              <w:t>74,742,798</w:t>
            </w:r>
          </w:p>
        </w:tc>
        <w:tc>
          <w:tcPr>
            <w:tcW w:w="165" w:type="dxa"/>
          </w:tcPr>
          <w:p>
            <w:pPr>
              <w:pStyle w:val="TableParagraph"/>
              <w:rPr>
                <w:rFonts w:ascii="Times New Roman"/>
                <w:sz w:val="16"/>
              </w:rPr>
            </w:pPr>
          </w:p>
        </w:tc>
        <w:tc>
          <w:tcPr>
            <w:tcW w:w="1219" w:type="dxa"/>
          </w:tcPr>
          <w:p>
            <w:pPr>
              <w:pStyle w:val="TableParagraph"/>
              <w:tabs>
                <w:tab w:pos="1076" w:val="left" w:leader="none"/>
              </w:tabs>
              <w:spacing w:before="8"/>
              <w:ind w:right="-15"/>
              <w:jc w:val="right"/>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p>
            <w:pPr>
              <w:pStyle w:val="TableParagraph"/>
              <w:spacing w:before="7"/>
              <w:rPr>
                <w:sz w:val="17"/>
              </w:rPr>
            </w:pPr>
          </w:p>
          <w:p>
            <w:pPr>
              <w:pStyle w:val="TableParagraph"/>
              <w:ind w:right="84"/>
              <w:jc w:val="right"/>
              <w:rPr>
                <w:sz w:val="16"/>
              </w:rPr>
            </w:pPr>
            <w:r>
              <w:rPr>
                <w:color w:val="231F20"/>
                <w:spacing w:val="-2"/>
                <w:sz w:val="16"/>
              </w:rPr>
              <w:t>75,370,247</w:t>
            </w:r>
          </w:p>
        </w:tc>
        <w:tc>
          <w:tcPr>
            <w:tcW w:w="165" w:type="dxa"/>
          </w:tcPr>
          <w:p>
            <w:pPr>
              <w:pStyle w:val="TableParagraph"/>
              <w:rPr>
                <w:rFonts w:ascii="Times New Roman"/>
                <w:sz w:val="16"/>
              </w:rPr>
            </w:pPr>
          </w:p>
        </w:tc>
        <w:tc>
          <w:tcPr>
            <w:tcW w:w="1219" w:type="dxa"/>
          </w:tcPr>
          <w:p>
            <w:pPr>
              <w:pStyle w:val="TableParagraph"/>
              <w:tabs>
                <w:tab w:pos="1076" w:val="left" w:leader="none"/>
              </w:tabs>
              <w:spacing w:before="8"/>
              <w:ind w:right="-15"/>
              <w:jc w:val="right"/>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p>
            <w:pPr>
              <w:pStyle w:val="TableParagraph"/>
              <w:spacing w:before="7"/>
              <w:rPr>
                <w:sz w:val="17"/>
              </w:rPr>
            </w:pPr>
          </w:p>
          <w:p>
            <w:pPr>
              <w:pStyle w:val="TableParagraph"/>
              <w:ind w:right="82"/>
              <w:jc w:val="right"/>
              <w:rPr>
                <w:sz w:val="16"/>
              </w:rPr>
            </w:pPr>
            <w:r>
              <w:rPr>
                <w:color w:val="231F20"/>
                <w:spacing w:val="-2"/>
                <w:sz w:val="16"/>
              </w:rPr>
              <w:t>91,473,400</w:t>
            </w:r>
          </w:p>
        </w:tc>
        <w:tc>
          <w:tcPr>
            <w:tcW w:w="165" w:type="dxa"/>
          </w:tcPr>
          <w:p>
            <w:pPr>
              <w:pStyle w:val="TableParagraph"/>
              <w:rPr>
                <w:rFonts w:ascii="Times New Roman"/>
                <w:sz w:val="16"/>
              </w:rPr>
            </w:pPr>
          </w:p>
        </w:tc>
        <w:tc>
          <w:tcPr>
            <w:tcW w:w="1219" w:type="dxa"/>
          </w:tcPr>
          <w:p>
            <w:pPr>
              <w:pStyle w:val="TableParagraph"/>
              <w:tabs>
                <w:tab w:pos="1076" w:val="left" w:leader="none"/>
              </w:tabs>
              <w:spacing w:before="8"/>
              <w:ind w:right="-15"/>
              <w:jc w:val="right"/>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p>
            <w:pPr>
              <w:pStyle w:val="TableParagraph"/>
              <w:spacing w:before="7"/>
              <w:rPr>
                <w:sz w:val="17"/>
              </w:rPr>
            </w:pPr>
          </w:p>
          <w:p>
            <w:pPr>
              <w:pStyle w:val="TableParagraph"/>
              <w:ind w:right="82"/>
              <w:jc w:val="right"/>
              <w:rPr>
                <w:sz w:val="16"/>
              </w:rPr>
            </w:pPr>
            <w:r>
              <w:rPr>
                <w:color w:val="231F20"/>
                <w:spacing w:val="-2"/>
                <w:sz w:val="16"/>
              </w:rPr>
              <w:t>16,103,153</w:t>
            </w:r>
          </w:p>
        </w:tc>
      </w:tr>
      <w:tr>
        <w:trPr>
          <w:trHeight w:val="408" w:hRule="atLeast"/>
        </w:trPr>
        <w:tc>
          <w:tcPr>
            <w:tcW w:w="3938" w:type="dxa"/>
          </w:tcPr>
          <w:p>
            <w:pPr>
              <w:pStyle w:val="TableParagraph"/>
              <w:spacing w:before="110"/>
              <w:ind w:left="54"/>
              <w:rPr>
                <w:sz w:val="16"/>
              </w:rPr>
            </w:pPr>
            <w:r>
              <w:rPr>
                <w:color w:val="231F20"/>
                <w:sz w:val="16"/>
              </w:rPr>
              <w:t>Net</w:t>
            </w:r>
            <w:r>
              <w:rPr>
                <w:color w:val="231F20"/>
                <w:spacing w:val="5"/>
                <w:sz w:val="16"/>
              </w:rPr>
              <w:t> </w:t>
            </w:r>
            <w:r>
              <w:rPr>
                <w:color w:val="231F20"/>
                <w:spacing w:val="-2"/>
                <w:sz w:val="16"/>
              </w:rPr>
              <w:t>transfers</w:t>
            </w:r>
          </w:p>
        </w:tc>
        <w:tc>
          <w:tcPr>
            <w:tcW w:w="1219" w:type="dxa"/>
          </w:tcPr>
          <w:p>
            <w:pPr>
              <w:pStyle w:val="TableParagraph"/>
              <w:tabs>
                <w:tab w:pos="1076" w:val="left" w:leader="none"/>
              </w:tabs>
              <w:spacing w:before="110"/>
              <w:ind w:right="-15"/>
              <w:jc w:val="right"/>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tc>
        <w:tc>
          <w:tcPr>
            <w:tcW w:w="165" w:type="dxa"/>
          </w:tcPr>
          <w:p>
            <w:pPr>
              <w:pStyle w:val="TableParagraph"/>
              <w:rPr>
                <w:rFonts w:ascii="Times New Roman"/>
                <w:sz w:val="16"/>
              </w:rPr>
            </w:pPr>
          </w:p>
        </w:tc>
        <w:tc>
          <w:tcPr>
            <w:tcW w:w="1219" w:type="dxa"/>
          </w:tcPr>
          <w:p>
            <w:pPr>
              <w:pStyle w:val="TableParagraph"/>
              <w:tabs>
                <w:tab w:pos="1077" w:val="left" w:leader="none"/>
              </w:tabs>
              <w:spacing w:before="110"/>
              <w:ind w:right="-15"/>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tc>
        <w:tc>
          <w:tcPr>
            <w:tcW w:w="165" w:type="dxa"/>
          </w:tcPr>
          <w:p>
            <w:pPr>
              <w:pStyle w:val="TableParagraph"/>
              <w:rPr>
                <w:rFonts w:ascii="Times New Roman"/>
                <w:sz w:val="16"/>
              </w:rPr>
            </w:pPr>
          </w:p>
        </w:tc>
        <w:tc>
          <w:tcPr>
            <w:tcW w:w="1219" w:type="dxa"/>
          </w:tcPr>
          <w:p>
            <w:pPr>
              <w:pStyle w:val="TableParagraph"/>
              <w:tabs>
                <w:tab w:pos="538" w:val="left" w:leader="none"/>
              </w:tabs>
              <w:spacing w:before="110"/>
              <w:ind w:right="-15"/>
              <w:jc w:val="right"/>
              <w:rPr>
                <w:sz w:val="16"/>
              </w:rPr>
            </w:pPr>
            <w:r>
              <w:rPr>
                <w:color w:val="231F20"/>
                <w:sz w:val="16"/>
                <w:u w:val="single" w:color="231F20"/>
              </w:rPr>
              <w:tab/>
            </w:r>
            <w:r>
              <w:rPr>
                <w:color w:val="231F20"/>
                <w:spacing w:val="-2"/>
                <w:sz w:val="16"/>
                <w:u w:val="single" w:color="231F20"/>
              </w:rPr>
              <w:t>442,902</w:t>
            </w:r>
            <w:r>
              <w:rPr>
                <w:color w:val="231F20"/>
                <w:spacing w:val="80"/>
                <w:sz w:val="16"/>
                <w:u w:val="single" w:color="231F20"/>
              </w:rPr>
              <w:t> </w:t>
            </w:r>
          </w:p>
        </w:tc>
        <w:tc>
          <w:tcPr>
            <w:tcW w:w="165" w:type="dxa"/>
          </w:tcPr>
          <w:p>
            <w:pPr>
              <w:pStyle w:val="TableParagraph"/>
              <w:rPr>
                <w:rFonts w:ascii="Times New Roman"/>
                <w:sz w:val="16"/>
              </w:rPr>
            </w:pPr>
          </w:p>
        </w:tc>
        <w:tc>
          <w:tcPr>
            <w:tcW w:w="1219" w:type="dxa"/>
          </w:tcPr>
          <w:p>
            <w:pPr>
              <w:pStyle w:val="TableParagraph"/>
              <w:tabs>
                <w:tab w:pos="540" w:val="left" w:leader="none"/>
              </w:tabs>
              <w:spacing w:before="110"/>
              <w:ind w:left="2" w:right="-15"/>
              <w:rPr>
                <w:sz w:val="16"/>
              </w:rPr>
            </w:pPr>
            <w:r>
              <w:rPr>
                <w:color w:val="231F20"/>
                <w:sz w:val="16"/>
                <w:u w:val="single" w:color="231F20"/>
              </w:rPr>
              <w:tab/>
            </w:r>
            <w:r>
              <w:rPr>
                <w:color w:val="231F20"/>
                <w:spacing w:val="-2"/>
                <w:sz w:val="16"/>
                <w:u w:val="single" w:color="231F20"/>
              </w:rPr>
              <w:t>442,902</w:t>
            </w:r>
            <w:r>
              <w:rPr>
                <w:color w:val="231F20"/>
                <w:spacing w:val="80"/>
                <w:sz w:val="16"/>
                <w:u w:val="single" w:color="231F20"/>
              </w:rPr>
              <w:t> </w:t>
            </w:r>
          </w:p>
        </w:tc>
      </w:tr>
      <w:tr>
        <w:trPr>
          <w:trHeight w:val="406" w:hRule="atLeast"/>
        </w:trPr>
        <w:tc>
          <w:tcPr>
            <w:tcW w:w="3938" w:type="dxa"/>
          </w:tcPr>
          <w:p>
            <w:pPr>
              <w:pStyle w:val="TableParagraph"/>
              <w:spacing w:before="110"/>
              <w:ind w:left="54"/>
              <w:rPr>
                <w:sz w:val="16"/>
              </w:rPr>
            </w:pPr>
            <w:r>
              <w:rPr>
                <w:color w:val="231F20"/>
                <w:sz w:val="16"/>
              </w:rPr>
              <w:t>Change</w:t>
            </w:r>
            <w:r>
              <w:rPr>
                <w:color w:val="231F20"/>
                <w:spacing w:val="4"/>
                <w:sz w:val="16"/>
              </w:rPr>
              <w:t> </w:t>
            </w:r>
            <w:r>
              <w:rPr>
                <w:color w:val="231F20"/>
                <w:sz w:val="16"/>
              </w:rPr>
              <w:t>in</w:t>
            </w:r>
            <w:r>
              <w:rPr>
                <w:color w:val="231F20"/>
                <w:spacing w:val="5"/>
                <w:sz w:val="16"/>
              </w:rPr>
              <w:t> </w:t>
            </w:r>
            <w:r>
              <w:rPr>
                <w:color w:val="231F20"/>
                <w:sz w:val="16"/>
              </w:rPr>
              <w:t>net</w:t>
            </w:r>
            <w:r>
              <w:rPr>
                <w:color w:val="231F20"/>
                <w:spacing w:val="6"/>
                <w:sz w:val="16"/>
              </w:rPr>
              <w:t> </w:t>
            </w:r>
            <w:r>
              <w:rPr>
                <w:color w:val="231F20"/>
                <w:sz w:val="16"/>
              </w:rPr>
              <w:t>(deficit)</w:t>
            </w:r>
            <w:r>
              <w:rPr>
                <w:color w:val="231F20"/>
                <w:spacing w:val="5"/>
                <w:sz w:val="16"/>
              </w:rPr>
              <w:t> </w:t>
            </w:r>
            <w:r>
              <w:rPr>
                <w:color w:val="231F20"/>
                <w:sz w:val="16"/>
              </w:rPr>
              <w:t>position</w:t>
            </w:r>
            <w:r>
              <w:rPr>
                <w:color w:val="231F20"/>
                <w:spacing w:val="4"/>
                <w:sz w:val="16"/>
              </w:rPr>
              <w:t> </w:t>
            </w:r>
            <w:r>
              <w:rPr>
                <w:color w:val="231F20"/>
                <w:sz w:val="16"/>
              </w:rPr>
              <w:t>(budgetary</w:t>
            </w:r>
            <w:r>
              <w:rPr>
                <w:color w:val="231F20"/>
                <w:spacing w:val="3"/>
                <w:sz w:val="16"/>
              </w:rPr>
              <w:t> </w:t>
            </w:r>
            <w:r>
              <w:rPr>
                <w:color w:val="231F20"/>
                <w:spacing w:val="-2"/>
                <w:sz w:val="16"/>
              </w:rPr>
              <w:t>basis)</w:t>
            </w:r>
          </w:p>
        </w:tc>
        <w:tc>
          <w:tcPr>
            <w:tcW w:w="1219" w:type="dxa"/>
          </w:tcPr>
          <w:p>
            <w:pPr>
              <w:pStyle w:val="TableParagraph"/>
              <w:tabs>
                <w:tab w:pos="1074" w:val="left" w:leader="none"/>
              </w:tabs>
              <w:spacing w:before="110"/>
              <w:ind w:right="-15"/>
              <w:jc w:val="right"/>
              <w:rPr>
                <w:sz w:val="16"/>
              </w:rPr>
            </w:pPr>
            <w:r>
              <w:rPr>
                <w:color w:val="231F20"/>
                <w:sz w:val="16"/>
                <w:u w:val="single" w:color="231F20"/>
              </w:rPr>
              <w:tab/>
            </w:r>
            <w:r>
              <w:rPr>
                <w:color w:val="231F20"/>
                <w:spacing w:val="-10"/>
                <w:sz w:val="16"/>
                <w:u w:val="single" w:color="231F20"/>
              </w:rPr>
              <w:t>-</w:t>
            </w:r>
            <w:r>
              <w:rPr>
                <w:color w:val="231F20"/>
                <w:spacing w:val="80"/>
                <w:sz w:val="16"/>
                <w:u w:val="single" w:color="231F20"/>
              </w:rPr>
              <w:t> </w:t>
            </w:r>
          </w:p>
        </w:tc>
        <w:tc>
          <w:tcPr>
            <w:tcW w:w="165" w:type="dxa"/>
          </w:tcPr>
          <w:p>
            <w:pPr>
              <w:pStyle w:val="TableParagraph"/>
              <w:rPr>
                <w:rFonts w:ascii="Times New Roman"/>
                <w:sz w:val="16"/>
              </w:rPr>
            </w:pPr>
          </w:p>
        </w:tc>
        <w:tc>
          <w:tcPr>
            <w:tcW w:w="1219" w:type="dxa"/>
          </w:tcPr>
          <w:p>
            <w:pPr>
              <w:pStyle w:val="TableParagraph"/>
              <w:tabs>
                <w:tab w:pos="399" w:val="left" w:leader="none"/>
              </w:tabs>
              <w:spacing w:before="110"/>
              <w:ind w:right="-15"/>
              <w:rPr>
                <w:sz w:val="16"/>
              </w:rPr>
            </w:pPr>
            <w:r>
              <w:rPr>
                <w:color w:val="231F20"/>
                <w:sz w:val="16"/>
                <w:u w:val="single" w:color="231F20"/>
              </w:rPr>
              <w:tab/>
            </w:r>
            <w:r>
              <w:rPr>
                <w:color w:val="231F20"/>
                <w:spacing w:val="-2"/>
                <w:sz w:val="16"/>
                <w:u w:val="single" w:color="231F20"/>
              </w:rPr>
              <w:t>2,472,551</w:t>
            </w:r>
            <w:r>
              <w:rPr>
                <w:color w:val="231F20"/>
                <w:spacing w:val="80"/>
                <w:sz w:val="16"/>
                <w:u w:val="single" w:color="231F20"/>
              </w:rPr>
              <w:t> </w:t>
            </w:r>
          </w:p>
        </w:tc>
        <w:tc>
          <w:tcPr>
            <w:tcW w:w="165" w:type="dxa"/>
          </w:tcPr>
          <w:p>
            <w:pPr>
              <w:pStyle w:val="TableParagraph"/>
              <w:rPr>
                <w:rFonts w:ascii="Times New Roman"/>
                <w:sz w:val="16"/>
              </w:rPr>
            </w:pPr>
          </w:p>
        </w:tc>
        <w:tc>
          <w:tcPr>
            <w:tcW w:w="1219" w:type="dxa"/>
          </w:tcPr>
          <w:p>
            <w:pPr>
              <w:pStyle w:val="TableParagraph"/>
              <w:tabs>
                <w:tab w:pos="399" w:val="left" w:leader="none"/>
              </w:tabs>
              <w:spacing w:before="110"/>
              <w:ind w:right="-15"/>
              <w:jc w:val="right"/>
              <w:rPr>
                <w:sz w:val="16"/>
              </w:rPr>
            </w:pPr>
            <w:r>
              <w:rPr>
                <w:color w:val="231F20"/>
                <w:sz w:val="16"/>
                <w:u w:val="single" w:color="231F20"/>
              </w:rPr>
              <w:tab/>
            </w:r>
            <w:r>
              <w:rPr>
                <w:color w:val="231F20"/>
                <w:spacing w:val="-2"/>
                <w:sz w:val="16"/>
                <w:u w:val="single" w:color="231F20"/>
              </w:rPr>
              <w:t>1,975,353</w:t>
            </w:r>
            <w:r>
              <w:rPr>
                <w:color w:val="231F20"/>
                <w:spacing w:val="80"/>
                <w:sz w:val="16"/>
                <w:u w:val="single" w:color="231F20"/>
              </w:rPr>
              <w:t> </w:t>
            </w:r>
          </w:p>
        </w:tc>
        <w:tc>
          <w:tcPr>
            <w:tcW w:w="165" w:type="dxa"/>
          </w:tcPr>
          <w:p>
            <w:pPr>
              <w:pStyle w:val="TableParagraph"/>
              <w:rPr>
                <w:rFonts w:ascii="Times New Roman"/>
                <w:sz w:val="16"/>
              </w:rPr>
            </w:pPr>
          </w:p>
        </w:tc>
        <w:tc>
          <w:tcPr>
            <w:tcW w:w="1219" w:type="dxa"/>
          </w:tcPr>
          <w:p>
            <w:pPr>
              <w:pStyle w:val="TableParagraph"/>
              <w:tabs>
                <w:tab w:pos="484" w:val="left" w:leader="none"/>
              </w:tabs>
              <w:spacing w:before="110"/>
              <w:ind w:left="2"/>
              <w:rPr>
                <w:sz w:val="16"/>
              </w:rPr>
            </w:pPr>
            <w:r>
              <w:rPr>
                <w:color w:val="231F20"/>
                <w:sz w:val="16"/>
                <w:u w:val="single" w:color="231F20"/>
              </w:rPr>
              <w:tab/>
            </w:r>
            <w:r>
              <w:rPr>
                <w:color w:val="231F20"/>
                <w:spacing w:val="-2"/>
                <w:sz w:val="16"/>
                <w:u w:val="single" w:color="231F20"/>
              </w:rPr>
              <w:t>(497,198)</w:t>
            </w:r>
          </w:p>
        </w:tc>
      </w:tr>
      <w:tr>
        <w:trPr>
          <w:trHeight w:val="327" w:hRule="atLeast"/>
        </w:trPr>
        <w:tc>
          <w:tcPr>
            <w:tcW w:w="3938" w:type="dxa"/>
          </w:tcPr>
          <w:p>
            <w:pPr>
              <w:pStyle w:val="TableParagraph"/>
              <w:spacing w:before="109"/>
              <w:ind w:left="54"/>
              <w:rPr>
                <w:sz w:val="16"/>
              </w:rPr>
            </w:pPr>
            <w:r>
              <w:rPr>
                <w:color w:val="231F20"/>
                <w:sz w:val="16"/>
              </w:rPr>
              <w:t>Ending</w:t>
            </w:r>
            <w:r>
              <w:rPr>
                <w:color w:val="231F20"/>
                <w:spacing w:val="4"/>
                <w:sz w:val="16"/>
              </w:rPr>
              <w:t> </w:t>
            </w:r>
            <w:r>
              <w:rPr>
                <w:color w:val="231F20"/>
                <w:sz w:val="16"/>
              </w:rPr>
              <w:t>net</w:t>
            </w:r>
            <w:r>
              <w:rPr>
                <w:color w:val="231F20"/>
                <w:spacing w:val="5"/>
                <w:sz w:val="16"/>
              </w:rPr>
              <w:t> </w:t>
            </w:r>
            <w:r>
              <w:rPr>
                <w:color w:val="231F20"/>
                <w:spacing w:val="-2"/>
                <w:sz w:val="16"/>
              </w:rPr>
              <w:t>position</w:t>
            </w:r>
          </w:p>
        </w:tc>
        <w:tc>
          <w:tcPr>
            <w:tcW w:w="1219" w:type="dxa"/>
            <w:tcBorders>
              <w:bottom w:val="single" w:sz="8" w:space="0" w:color="231F20"/>
            </w:tcBorders>
          </w:tcPr>
          <w:p>
            <w:pPr>
              <w:pStyle w:val="TableParagraph"/>
              <w:tabs>
                <w:tab w:pos="1076" w:val="left" w:leader="none"/>
              </w:tabs>
              <w:spacing w:before="109"/>
              <w:ind w:right="-15"/>
              <w:jc w:val="right"/>
              <w:rPr>
                <w:sz w:val="16"/>
              </w:rPr>
            </w:pPr>
            <w:r>
              <w:rPr>
                <w:color w:val="231F20"/>
                <w:spacing w:val="41"/>
                <w:sz w:val="16"/>
                <w:u w:val="single" w:color="231F20"/>
              </w:rPr>
              <w:t> </w:t>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w:t>
            </w:r>
          </w:p>
        </w:tc>
        <w:tc>
          <w:tcPr>
            <w:tcW w:w="165" w:type="dxa"/>
          </w:tcPr>
          <w:p>
            <w:pPr>
              <w:pStyle w:val="TableParagraph"/>
              <w:rPr>
                <w:rFonts w:ascii="Times New Roman"/>
                <w:sz w:val="16"/>
              </w:rPr>
            </w:pPr>
          </w:p>
        </w:tc>
        <w:tc>
          <w:tcPr>
            <w:tcW w:w="1219" w:type="dxa"/>
            <w:tcBorders>
              <w:bottom w:val="single" w:sz="8" w:space="0" w:color="231F20"/>
            </w:tcBorders>
          </w:tcPr>
          <w:p>
            <w:pPr>
              <w:pStyle w:val="TableParagraph"/>
              <w:tabs>
                <w:tab w:pos="1077" w:val="left" w:leader="none"/>
              </w:tabs>
              <w:spacing w:before="109"/>
              <w:ind w:right="-15"/>
              <w:rPr>
                <w:sz w:val="16"/>
              </w:rPr>
            </w:pPr>
            <w:r>
              <w:rPr>
                <w:color w:val="231F20"/>
                <w:spacing w:val="41"/>
                <w:sz w:val="16"/>
                <w:u w:val="single" w:color="231F20"/>
              </w:rPr>
              <w:t> </w:t>
            </w:r>
            <w:r>
              <w:rPr>
                <w:color w:val="231F20"/>
                <w:spacing w:val="-10"/>
                <w:sz w:val="16"/>
                <w:u w:val="single" w:color="231F20"/>
              </w:rPr>
              <w:t>$</w:t>
            </w:r>
            <w:r>
              <w:rPr>
                <w:color w:val="231F20"/>
                <w:sz w:val="16"/>
                <w:u w:val="single" w:color="231F20"/>
              </w:rPr>
              <w:tab/>
            </w:r>
            <w:r>
              <w:rPr>
                <w:color w:val="231F20"/>
                <w:spacing w:val="-12"/>
                <w:sz w:val="16"/>
                <w:u w:val="single" w:color="231F20"/>
              </w:rPr>
              <w:t>-</w:t>
            </w:r>
            <w:r>
              <w:rPr>
                <w:color w:val="231F20"/>
                <w:spacing w:val="80"/>
                <w:sz w:val="16"/>
                <w:u w:val="single" w:color="231F20"/>
              </w:rPr>
              <w:t> </w:t>
            </w:r>
          </w:p>
        </w:tc>
        <w:tc>
          <w:tcPr>
            <w:tcW w:w="165" w:type="dxa"/>
          </w:tcPr>
          <w:p>
            <w:pPr>
              <w:pStyle w:val="TableParagraph"/>
              <w:rPr>
                <w:rFonts w:ascii="Times New Roman"/>
                <w:sz w:val="16"/>
              </w:rPr>
            </w:pPr>
          </w:p>
        </w:tc>
        <w:tc>
          <w:tcPr>
            <w:tcW w:w="1219" w:type="dxa"/>
            <w:tcBorders>
              <w:bottom w:val="single" w:sz="8" w:space="0" w:color="231F20"/>
            </w:tcBorders>
          </w:tcPr>
          <w:p>
            <w:pPr>
              <w:pStyle w:val="TableParagraph"/>
              <w:tabs>
                <w:tab w:pos="482" w:val="left" w:leader="none"/>
              </w:tabs>
              <w:spacing w:before="109"/>
              <w:ind w:right="28"/>
              <w:jc w:val="right"/>
              <w:rPr>
                <w:sz w:val="16"/>
              </w:rPr>
            </w:pPr>
            <w:r>
              <w:rPr>
                <w:color w:val="231F20"/>
                <w:spacing w:val="42"/>
                <w:sz w:val="16"/>
                <w:u w:val="single" w:color="231F20"/>
              </w:rPr>
              <w:t> </w:t>
            </w:r>
            <w:r>
              <w:rPr>
                <w:color w:val="231F20"/>
                <w:spacing w:val="-10"/>
                <w:sz w:val="16"/>
                <w:u w:val="single" w:color="231F20"/>
              </w:rPr>
              <w:t>$</w:t>
            </w:r>
            <w:r>
              <w:rPr>
                <w:color w:val="231F20"/>
                <w:sz w:val="16"/>
                <w:u w:val="single" w:color="231F20"/>
              </w:rPr>
              <w:tab/>
            </w:r>
            <w:r>
              <w:rPr>
                <w:color w:val="231F20"/>
                <w:spacing w:val="-2"/>
                <w:sz w:val="16"/>
                <w:u w:val="single" w:color="231F20"/>
              </w:rPr>
              <w:t>(497,198)</w:t>
            </w:r>
          </w:p>
        </w:tc>
        <w:tc>
          <w:tcPr>
            <w:tcW w:w="165" w:type="dxa"/>
          </w:tcPr>
          <w:p>
            <w:pPr>
              <w:pStyle w:val="TableParagraph"/>
              <w:rPr>
                <w:rFonts w:ascii="Times New Roman"/>
                <w:sz w:val="16"/>
              </w:rPr>
            </w:pPr>
          </w:p>
        </w:tc>
        <w:tc>
          <w:tcPr>
            <w:tcW w:w="1219" w:type="dxa"/>
            <w:tcBorders>
              <w:bottom w:val="single" w:sz="8" w:space="0" w:color="231F20"/>
            </w:tcBorders>
          </w:tcPr>
          <w:p>
            <w:pPr>
              <w:pStyle w:val="TableParagraph"/>
              <w:tabs>
                <w:tab w:pos="485" w:val="left" w:leader="none"/>
              </w:tabs>
              <w:spacing w:before="109"/>
              <w:ind w:left="3"/>
              <w:rPr>
                <w:sz w:val="16"/>
              </w:rPr>
            </w:pPr>
            <w:r>
              <w:rPr>
                <w:color w:val="231F20"/>
                <w:spacing w:val="41"/>
                <w:sz w:val="16"/>
                <w:u w:val="single" w:color="231F20"/>
              </w:rPr>
              <w:t> </w:t>
            </w:r>
            <w:r>
              <w:rPr>
                <w:color w:val="231F20"/>
                <w:spacing w:val="-10"/>
                <w:sz w:val="16"/>
                <w:u w:val="single" w:color="231F20"/>
              </w:rPr>
              <w:t>$</w:t>
            </w:r>
            <w:r>
              <w:rPr>
                <w:color w:val="231F20"/>
                <w:sz w:val="16"/>
                <w:u w:val="single" w:color="231F20"/>
              </w:rPr>
              <w:tab/>
            </w:r>
            <w:r>
              <w:rPr>
                <w:color w:val="231F20"/>
                <w:spacing w:val="-2"/>
                <w:sz w:val="16"/>
                <w:u w:val="single" w:color="231F20"/>
              </w:rPr>
              <w:t>(497,198)</w:t>
            </w:r>
          </w:p>
        </w:tc>
      </w:tr>
      <w:tr>
        <w:trPr>
          <w:trHeight w:val="367" w:hRule="atLeast"/>
        </w:trPr>
        <w:tc>
          <w:tcPr>
            <w:tcW w:w="3938" w:type="dxa"/>
          </w:tcPr>
          <w:p>
            <w:pPr>
              <w:pStyle w:val="TableParagraph"/>
              <w:spacing w:before="10"/>
              <w:rPr>
                <w:sz w:val="18"/>
              </w:rPr>
            </w:pPr>
          </w:p>
          <w:p>
            <w:pPr>
              <w:pStyle w:val="TableParagraph"/>
              <w:spacing w:line="130" w:lineRule="exact" w:before="1"/>
              <w:ind w:left="50"/>
              <w:rPr>
                <w:sz w:val="13"/>
              </w:rPr>
            </w:pPr>
            <w:r>
              <w:rPr>
                <w:color w:val="231F20"/>
                <w:sz w:val="13"/>
              </w:rPr>
              <w:t>See</w:t>
            </w:r>
            <w:r>
              <w:rPr>
                <w:color w:val="231F20"/>
                <w:spacing w:val="-3"/>
                <w:sz w:val="13"/>
              </w:rPr>
              <w:t> </w:t>
            </w:r>
            <w:r>
              <w:rPr>
                <w:color w:val="231F20"/>
                <w:sz w:val="13"/>
              </w:rPr>
              <w:t>accompanying</w:t>
            </w:r>
            <w:r>
              <w:rPr>
                <w:color w:val="231F20"/>
                <w:spacing w:val="-3"/>
                <w:sz w:val="13"/>
              </w:rPr>
              <w:t> </w:t>
            </w:r>
            <w:r>
              <w:rPr>
                <w:color w:val="231F20"/>
                <w:sz w:val="13"/>
              </w:rPr>
              <w:t>independent</w:t>
            </w:r>
            <w:r>
              <w:rPr>
                <w:color w:val="231F20"/>
                <w:spacing w:val="-3"/>
                <w:sz w:val="13"/>
              </w:rPr>
              <w:t> </w:t>
            </w:r>
            <w:r>
              <w:rPr>
                <w:color w:val="231F20"/>
                <w:sz w:val="13"/>
              </w:rPr>
              <w:t>auditor’s</w:t>
            </w:r>
            <w:r>
              <w:rPr>
                <w:color w:val="231F20"/>
                <w:spacing w:val="-2"/>
                <w:sz w:val="13"/>
              </w:rPr>
              <w:t> report.</w:t>
            </w:r>
          </w:p>
        </w:tc>
        <w:tc>
          <w:tcPr>
            <w:tcW w:w="1219" w:type="dxa"/>
            <w:tcBorders>
              <w:top w:val="single" w:sz="8" w:space="0" w:color="231F20"/>
            </w:tcBorders>
          </w:tcPr>
          <w:p>
            <w:pPr>
              <w:pStyle w:val="TableParagraph"/>
              <w:rPr>
                <w:rFonts w:ascii="Times New Roman"/>
                <w:sz w:val="16"/>
              </w:rPr>
            </w:pPr>
          </w:p>
        </w:tc>
        <w:tc>
          <w:tcPr>
            <w:tcW w:w="165" w:type="dxa"/>
          </w:tcPr>
          <w:p>
            <w:pPr>
              <w:pStyle w:val="TableParagraph"/>
              <w:rPr>
                <w:rFonts w:ascii="Times New Roman"/>
                <w:sz w:val="16"/>
              </w:rPr>
            </w:pPr>
          </w:p>
        </w:tc>
        <w:tc>
          <w:tcPr>
            <w:tcW w:w="1219" w:type="dxa"/>
            <w:tcBorders>
              <w:top w:val="single" w:sz="8" w:space="0" w:color="231F20"/>
            </w:tcBorders>
          </w:tcPr>
          <w:p>
            <w:pPr>
              <w:pStyle w:val="TableParagraph"/>
              <w:rPr>
                <w:rFonts w:ascii="Times New Roman"/>
                <w:sz w:val="16"/>
              </w:rPr>
            </w:pPr>
          </w:p>
        </w:tc>
        <w:tc>
          <w:tcPr>
            <w:tcW w:w="165" w:type="dxa"/>
          </w:tcPr>
          <w:p>
            <w:pPr>
              <w:pStyle w:val="TableParagraph"/>
              <w:rPr>
                <w:rFonts w:ascii="Times New Roman"/>
                <w:sz w:val="16"/>
              </w:rPr>
            </w:pPr>
          </w:p>
        </w:tc>
        <w:tc>
          <w:tcPr>
            <w:tcW w:w="1219" w:type="dxa"/>
            <w:tcBorders>
              <w:top w:val="single" w:sz="8" w:space="0" w:color="231F20"/>
            </w:tcBorders>
          </w:tcPr>
          <w:p>
            <w:pPr>
              <w:pStyle w:val="TableParagraph"/>
              <w:rPr>
                <w:rFonts w:ascii="Times New Roman"/>
                <w:sz w:val="16"/>
              </w:rPr>
            </w:pPr>
          </w:p>
        </w:tc>
        <w:tc>
          <w:tcPr>
            <w:tcW w:w="165" w:type="dxa"/>
          </w:tcPr>
          <w:p>
            <w:pPr>
              <w:pStyle w:val="TableParagraph"/>
              <w:rPr>
                <w:rFonts w:ascii="Times New Roman"/>
                <w:sz w:val="16"/>
              </w:rPr>
            </w:pPr>
          </w:p>
        </w:tc>
        <w:tc>
          <w:tcPr>
            <w:tcW w:w="1219" w:type="dxa"/>
            <w:tcBorders>
              <w:top w:val="single" w:sz="8" w:space="0" w:color="231F20"/>
            </w:tcBorders>
          </w:tcPr>
          <w:p>
            <w:pPr>
              <w:pStyle w:val="TableParagraph"/>
              <w:rPr>
                <w:rFonts w:ascii="Times New Roman"/>
                <w:sz w:val="16"/>
              </w:rPr>
            </w:pPr>
          </w:p>
        </w:tc>
      </w:tr>
    </w:tbl>
    <w:p>
      <w:pPr>
        <w:spacing w:after="0"/>
        <w:rPr>
          <w:rFonts w:ascii="Times New Roman"/>
          <w:sz w:val="16"/>
        </w:rPr>
        <w:sectPr>
          <w:headerReference w:type="default" r:id="rId62"/>
          <w:footerReference w:type="default" r:id="rId63"/>
          <w:pgSz w:w="12240" w:h="15840"/>
          <w:pgMar w:header="994" w:footer="1097" w:top="1300" w:bottom="1280" w:left="1280" w:right="1280"/>
        </w:sectPr>
      </w:pPr>
    </w:p>
    <w:p>
      <w:pPr>
        <w:spacing w:before="1"/>
        <w:ind w:left="1066" w:right="1057" w:firstLine="0"/>
        <w:jc w:val="center"/>
        <w:rPr>
          <w:b/>
          <w:sz w:val="24"/>
        </w:rPr>
      </w:pPr>
      <w:r>
        <w:rPr>
          <w:b/>
          <w:color w:val="231F20"/>
          <w:sz w:val="24"/>
        </w:rPr>
        <w:t>Unrestricted</w:t>
      </w:r>
      <w:r>
        <w:rPr>
          <w:b/>
          <w:color w:val="231F20"/>
          <w:spacing w:val="-4"/>
          <w:sz w:val="24"/>
        </w:rPr>
        <w:t> </w:t>
      </w:r>
      <w:r>
        <w:rPr>
          <w:b/>
          <w:color w:val="231F20"/>
          <w:sz w:val="24"/>
        </w:rPr>
        <w:t>Current</w:t>
      </w:r>
      <w:r>
        <w:rPr>
          <w:b/>
          <w:color w:val="231F20"/>
          <w:spacing w:val="-4"/>
          <w:sz w:val="24"/>
        </w:rPr>
        <w:t> </w:t>
      </w:r>
      <w:r>
        <w:rPr>
          <w:b/>
          <w:color w:val="231F20"/>
          <w:sz w:val="24"/>
        </w:rPr>
        <w:t>Funds</w:t>
      </w:r>
      <w:r>
        <w:rPr>
          <w:b/>
          <w:color w:val="231F20"/>
          <w:spacing w:val="-4"/>
          <w:sz w:val="24"/>
        </w:rPr>
        <w:t> </w:t>
      </w:r>
      <w:r>
        <w:rPr>
          <w:b/>
          <w:color w:val="231F20"/>
          <w:sz w:val="24"/>
        </w:rPr>
        <w:t>–</w:t>
      </w:r>
      <w:r>
        <w:rPr>
          <w:b/>
          <w:color w:val="231F20"/>
          <w:spacing w:val="-4"/>
          <w:sz w:val="24"/>
        </w:rPr>
        <w:t> </w:t>
      </w:r>
      <w:r>
        <w:rPr>
          <w:b/>
          <w:color w:val="231F20"/>
          <w:sz w:val="24"/>
        </w:rPr>
        <w:t>Summary</w:t>
      </w:r>
      <w:r>
        <w:rPr>
          <w:b/>
          <w:color w:val="231F20"/>
          <w:spacing w:val="-4"/>
          <w:sz w:val="24"/>
        </w:rPr>
        <w:t> </w:t>
      </w:r>
      <w:r>
        <w:rPr>
          <w:b/>
          <w:color w:val="231F20"/>
          <w:sz w:val="24"/>
        </w:rPr>
        <w:t>of</w:t>
      </w:r>
      <w:r>
        <w:rPr>
          <w:b/>
          <w:color w:val="231F20"/>
          <w:spacing w:val="-4"/>
          <w:sz w:val="24"/>
        </w:rPr>
        <w:t> </w:t>
      </w:r>
      <w:r>
        <w:rPr>
          <w:b/>
          <w:color w:val="231F20"/>
          <w:sz w:val="24"/>
        </w:rPr>
        <w:t>Instruction</w:t>
      </w:r>
      <w:r>
        <w:rPr>
          <w:b/>
          <w:color w:val="231F20"/>
          <w:spacing w:val="-4"/>
          <w:sz w:val="24"/>
        </w:rPr>
        <w:t> </w:t>
      </w:r>
      <w:r>
        <w:rPr>
          <w:b/>
          <w:color w:val="231F20"/>
          <w:sz w:val="24"/>
        </w:rPr>
        <w:t>and</w:t>
      </w:r>
      <w:r>
        <w:rPr>
          <w:b/>
          <w:color w:val="231F20"/>
          <w:spacing w:val="-4"/>
          <w:sz w:val="24"/>
        </w:rPr>
        <w:t> </w:t>
      </w:r>
      <w:r>
        <w:rPr>
          <w:b/>
          <w:color w:val="231F20"/>
          <w:sz w:val="24"/>
        </w:rPr>
        <w:t>General Budget Comparisons (Schedule 4)</w:t>
      </w:r>
    </w:p>
    <w:p>
      <w:pPr>
        <w:spacing w:before="0"/>
        <w:ind w:left="2558" w:right="2555" w:firstLine="0"/>
        <w:jc w:val="center"/>
        <w:rPr>
          <w:b/>
          <w:sz w:val="24"/>
        </w:rPr>
      </w:pPr>
      <w:r>
        <w:rPr/>
        <w:pict>
          <v:rect style="position:absolute;margin-left:70.5pt;margin-top:14.675645pt;width:471.001pt;height:1.5pt;mso-position-horizontal-relative:page;mso-position-vertical-relative:paragraph;z-index:-15632384;mso-wrap-distance-left:0;mso-wrap-distance-right:0" id="docshape456" filled="true" fillcolor="#231f20" stroked="false">
            <v:fill type="solid"/>
            <w10:wrap type="topAndBottom"/>
          </v:rect>
        </w:pict>
      </w:r>
      <w:r>
        <w:rPr>
          <w:b/>
          <w:color w:val="231F20"/>
          <w:sz w:val="24"/>
        </w:rPr>
        <w:t>For</w:t>
      </w:r>
      <w:r>
        <w:rPr>
          <w:b/>
          <w:color w:val="231F20"/>
          <w:spacing w:val="-1"/>
          <w:sz w:val="24"/>
        </w:rPr>
        <w:t> </w:t>
      </w:r>
      <w:r>
        <w:rPr>
          <w:b/>
          <w:color w:val="231F20"/>
          <w:sz w:val="24"/>
        </w:rPr>
        <w:t>Year</w:t>
      </w:r>
      <w:r>
        <w:rPr>
          <w:b/>
          <w:color w:val="231F20"/>
          <w:spacing w:val="-1"/>
          <w:sz w:val="24"/>
        </w:rPr>
        <w:t> </w:t>
      </w:r>
      <w:r>
        <w:rPr>
          <w:b/>
          <w:color w:val="231F20"/>
          <w:sz w:val="24"/>
        </w:rPr>
        <w:t>Ended</w:t>
      </w:r>
      <w:r>
        <w:rPr>
          <w:b/>
          <w:color w:val="231F20"/>
          <w:spacing w:val="-1"/>
          <w:sz w:val="24"/>
        </w:rPr>
        <w:t> </w:t>
      </w:r>
      <w:r>
        <w:rPr>
          <w:b/>
          <w:color w:val="231F20"/>
          <w:sz w:val="24"/>
        </w:rPr>
        <w:t>June</w:t>
      </w:r>
      <w:r>
        <w:rPr>
          <w:b/>
          <w:color w:val="231F20"/>
          <w:spacing w:val="-1"/>
          <w:sz w:val="24"/>
        </w:rPr>
        <w:t> </w:t>
      </w:r>
      <w:r>
        <w:rPr>
          <w:b/>
          <w:color w:val="231F20"/>
          <w:sz w:val="24"/>
        </w:rPr>
        <w:t>30,</w:t>
      </w:r>
      <w:r>
        <w:rPr>
          <w:b/>
          <w:color w:val="231F20"/>
          <w:spacing w:val="-1"/>
          <w:sz w:val="24"/>
        </w:rPr>
        <w:t> </w:t>
      </w:r>
      <w:r>
        <w:rPr>
          <w:b/>
          <w:color w:val="231F20"/>
          <w:spacing w:val="-4"/>
          <w:sz w:val="24"/>
        </w:rPr>
        <w:t>2022</w:t>
      </w:r>
    </w:p>
    <w:p>
      <w:pPr>
        <w:pStyle w:val="BodyText"/>
        <w:rPr>
          <w:b/>
        </w:rPr>
      </w:pPr>
    </w:p>
    <w:p>
      <w:pPr>
        <w:pStyle w:val="BodyText"/>
        <w:spacing w:before="6"/>
        <w:rPr>
          <w:b/>
          <w:sz w:val="21"/>
        </w:rPr>
      </w:pPr>
    </w:p>
    <w:tbl>
      <w:tblPr>
        <w:tblW w:w="0" w:type="auto"/>
        <w:jc w:val="left"/>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2"/>
        <w:gridCol w:w="1211"/>
        <w:gridCol w:w="165"/>
        <w:gridCol w:w="1213"/>
        <w:gridCol w:w="165"/>
        <w:gridCol w:w="1213"/>
        <w:gridCol w:w="165"/>
        <w:gridCol w:w="1263"/>
      </w:tblGrid>
      <w:tr>
        <w:trPr>
          <w:trHeight w:val="848" w:hRule="atLeast"/>
        </w:trPr>
        <w:tc>
          <w:tcPr>
            <w:tcW w:w="3962" w:type="dxa"/>
          </w:tcPr>
          <w:p>
            <w:pPr>
              <w:pStyle w:val="TableParagraph"/>
              <w:rPr>
                <w:rFonts w:ascii="Times New Roman"/>
                <w:sz w:val="16"/>
              </w:rPr>
            </w:pPr>
          </w:p>
        </w:tc>
        <w:tc>
          <w:tcPr>
            <w:tcW w:w="1211" w:type="dxa"/>
          </w:tcPr>
          <w:p>
            <w:pPr>
              <w:pStyle w:val="TableParagraph"/>
              <w:rPr>
                <w:b/>
                <w:sz w:val="18"/>
              </w:rPr>
            </w:pPr>
          </w:p>
          <w:p>
            <w:pPr>
              <w:pStyle w:val="TableParagraph"/>
              <w:rPr>
                <w:b/>
                <w:sz w:val="18"/>
              </w:rPr>
            </w:pPr>
          </w:p>
          <w:p>
            <w:pPr>
              <w:pStyle w:val="TableParagraph"/>
              <w:spacing w:before="2"/>
              <w:rPr>
                <w:b/>
                <w:sz w:val="17"/>
              </w:rPr>
            </w:pPr>
          </w:p>
          <w:p>
            <w:pPr>
              <w:pStyle w:val="TableParagraph"/>
              <w:ind w:left="-2" w:right="32"/>
              <w:jc w:val="right"/>
              <w:rPr>
                <w:sz w:val="16"/>
              </w:rPr>
            </w:pPr>
            <w:r>
              <w:rPr>
                <w:color w:val="231F20"/>
                <w:spacing w:val="11"/>
                <w:sz w:val="16"/>
                <w:u w:val="single" w:color="231F20"/>
              </w:rPr>
              <w:t> </w:t>
            </w:r>
            <w:r>
              <w:rPr>
                <w:color w:val="231F20"/>
                <w:sz w:val="16"/>
                <w:u w:val="single" w:color="231F20"/>
              </w:rPr>
              <w:t>Original</w:t>
            </w:r>
            <w:r>
              <w:rPr>
                <w:color w:val="231F20"/>
                <w:spacing w:val="5"/>
                <w:sz w:val="16"/>
                <w:u w:val="single" w:color="231F20"/>
              </w:rPr>
              <w:t> </w:t>
            </w:r>
            <w:r>
              <w:rPr>
                <w:color w:val="231F20"/>
                <w:spacing w:val="-2"/>
                <w:sz w:val="16"/>
                <w:u w:val="single" w:color="231F20"/>
              </w:rPr>
              <w:t>Budget</w:t>
            </w:r>
          </w:p>
        </w:tc>
        <w:tc>
          <w:tcPr>
            <w:tcW w:w="1378" w:type="dxa"/>
            <w:gridSpan w:val="2"/>
          </w:tcPr>
          <w:p>
            <w:pPr>
              <w:pStyle w:val="TableParagraph"/>
              <w:rPr>
                <w:b/>
                <w:sz w:val="18"/>
              </w:rPr>
            </w:pPr>
          </w:p>
          <w:p>
            <w:pPr>
              <w:pStyle w:val="TableParagraph"/>
              <w:rPr>
                <w:b/>
                <w:sz w:val="18"/>
              </w:rPr>
            </w:pPr>
          </w:p>
          <w:p>
            <w:pPr>
              <w:pStyle w:val="TableParagraph"/>
              <w:spacing w:before="2"/>
              <w:rPr>
                <w:b/>
                <w:sz w:val="17"/>
              </w:rPr>
            </w:pPr>
          </w:p>
          <w:p>
            <w:pPr>
              <w:pStyle w:val="TableParagraph"/>
              <w:ind w:left="164"/>
              <w:rPr>
                <w:sz w:val="16"/>
              </w:rPr>
            </w:pPr>
            <w:r>
              <w:rPr>
                <w:color w:val="231F20"/>
                <w:spacing w:val="35"/>
                <w:sz w:val="16"/>
                <w:u w:val="single" w:color="231F20"/>
              </w:rPr>
              <w:t>  </w:t>
            </w:r>
            <w:r>
              <w:rPr>
                <w:color w:val="231F20"/>
                <w:sz w:val="16"/>
                <w:u w:val="single" w:color="231F20"/>
              </w:rPr>
              <w:t>Final</w:t>
            </w:r>
            <w:r>
              <w:rPr>
                <w:color w:val="231F20"/>
                <w:spacing w:val="2"/>
                <w:sz w:val="16"/>
                <w:u w:val="single" w:color="231F20"/>
              </w:rPr>
              <w:t> </w:t>
            </w:r>
            <w:r>
              <w:rPr>
                <w:color w:val="231F20"/>
                <w:spacing w:val="-2"/>
                <w:sz w:val="16"/>
                <w:u w:val="single" w:color="231F20"/>
              </w:rPr>
              <w:t>Budget</w:t>
            </w:r>
            <w:r>
              <w:rPr>
                <w:color w:val="231F20"/>
                <w:spacing w:val="40"/>
                <w:sz w:val="16"/>
                <w:u w:val="single" w:color="231F20"/>
              </w:rPr>
              <w:t> </w:t>
            </w:r>
          </w:p>
        </w:tc>
        <w:tc>
          <w:tcPr>
            <w:tcW w:w="1378" w:type="dxa"/>
            <w:gridSpan w:val="2"/>
          </w:tcPr>
          <w:p>
            <w:pPr>
              <w:pStyle w:val="TableParagraph"/>
              <w:rPr>
                <w:b/>
                <w:sz w:val="18"/>
              </w:rPr>
            </w:pPr>
          </w:p>
          <w:p>
            <w:pPr>
              <w:pStyle w:val="TableParagraph"/>
              <w:rPr>
                <w:b/>
                <w:sz w:val="18"/>
              </w:rPr>
            </w:pPr>
          </w:p>
          <w:p>
            <w:pPr>
              <w:pStyle w:val="TableParagraph"/>
              <w:spacing w:before="2"/>
              <w:rPr>
                <w:b/>
                <w:sz w:val="17"/>
              </w:rPr>
            </w:pPr>
          </w:p>
          <w:p>
            <w:pPr>
              <w:pStyle w:val="TableParagraph"/>
              <w:tabs>
                <w:tab w:pos="509" w:val="left" w:leader="none"/>
                <w:tab w:pos="1374" w:val="left" w:leader="none"/>
              </w:tabs>
              <w:ind w:left="162"/>
              <w:rPr>
                <w:sz w:val="16"/>
              </w:rPr>
            </w:pPr>
            <w:r>
              <w:rPr>
                <w:color w:val="231F20"/>
                <w:sz w:val="16"/>
                <w:u w:val="single" w:color="231F20"/>
              </w:rPr>
              <w:tab/>
            </w:r>
            <w:r>
              <w:rPr>
                <w:color w:val="231F20"/>
                <w:spacing w:val="-2"/>
                <w:sz w:val="16"/>
                <w:u w:val="single" w:color="231F20"/>
              </w:rPr>
              <w:t>Actuals</w:t>
            </w:r>
            <w:r>
              <w:rPr>
                <w:color w:val="231F20"/>
                <w:sz w:val="16"/>
                <w:u w:val="single" w:color="231F20"/>
              </w:rPr>
              <w:tab/>
            </w:r>
          </w:p>
        </w:tc>
        <w:tc>
          <w:tcPr>
            <w:tcW w:w="1428" w:type="dxa"/>
            <w:gridSpan w:val="2"/>
          </w:tcPr>
          <w:p>
            <w:pPr>
              <w:pStyle w:val="TableParagraph"/>
              <w:spacing w:line="266" w:lineRule="auto"/>
              <w:ind w:left="296" w:right="174" w:firstLine="3"/>
              <w:jc w:val="center"/>
              <w:rPr>
                <w:sz w:val="16"/>
              </w:rPr>
            </w:pPr>
            <w:r>
              <w:rPr>
                <w:color w:val="231F20"/>
                <w:sz w:val="16"/>
              </w:rPr>
              <w:t>Final Budget vs Actuals Over</w:t>
            </w:r>
            <w:r>
              <w:rPr>
                <w:color w:val="231F20"/>
                <w:spacing w:val="6"/>
                <w:sz w:val="16"/>
              </w:rPr>
              <w:t> </w:t>
            </w:r>
            <w:r>
              <w:rPr>
                <w:color w:val="231F20"/>
                <w:spacing w:val="-2"/>
                <w:sz w:val="16"/>
              </w:rPr>
              <w:t>(Under)</w:t>
            </w:r>
          </w:p>
          <w:p>
            <w:pPr>
              <w:pStyle w:val="TableParagraph"/>
              <w:tabs>
                <w:tab w:pos="462" w:val="left" w:leader="none"/>
                <w:tab w:pos="1317" w:val="left" w:leader="none"/>
              </w:tabs>
              <w:ind w:left="106"/>
              <w:jc w:val="center"/>
              <w:rPr>
                <w:sz w:val="16"/>
              </w:rPr>
            </w:pPr>
            <w:r>
              <w:rPr>
                <w:color w:val="231F20"/>
                <w:sz w:val="16"/>
                <w:u w:val="single" w:color="231F20"/>
              </w:rPr>
              <w:tab/>
            </w:r>
            <w:r>
              <w:rPr>
                <w:color w:val="231F20"/>
                <w:spacing w:val="-2"/>
                <w:sz w:val="16"/>
                <w:u w:val="single" w:color="231F20"/>
              </w:rPr>
              <w:t>Budget</w:t>
            </w:r>
            <w:r>
              <w:rPr>
                <w:color w:val="231F20"/>
                <w:sz w:val="16"/>
                <w:u w:val="single" w:color="231F20"/>
              </w:rPr>
              <w:tab/>
            </w:r>
          </w:p>
        </w:tc>
      </w:tr>
      <w:tr>
        <w:trPr>
          <w:trHeight w:val="348" w:hRule="atLeast"/>
        </w:trPr>
        <w:tc>
          <w:tcPr>
            <w:tcW w:w="3962" w:type="dxa"/>
          </w:tcPr>
          <w:p>
            <w:pPr>
              <w:pStyle w:val="TableParagraph"/>
              <w:spacing w:before="51"/>
              <w:ind w:left="54"/>
              <w:rPr>
                <w:sz w:val="16"/>
              </w:rPr>
            </w:pPr>
            <w:r>
              <w:rPr>
                <w:color w:val="231F20"/>
                <w:sz w:val="16"/>
              </w:rPr>
              <w:t>Unrestricted</w:t>
            </w:r>
            <w:r>
              <w:rPr>
                <w:color w:val="231F20"/>
                <w:spacing w:val="12"/>
                <w:sz w:val="16"/>
              </w:rPr>
              <w:t> </w:t>
            </w:r>
            <w:r>
              <w:rPr>
                <w:color w:val="231F20"/>
                <w:sz w:val="16"/>
              </w:rPr>
              <w:t>beginning</w:t>
            </w:r>
            <w:r>
              <w:rPr>
                <w:color w:val="231F20"/>
                <w:spacing w:val="11"/>
                <w:sz w:val="16"/>
              </w:rPr>
              <w:t> </w:t>
            </w:r>
            <w:r>
              <w:rPr>
                <w:color w:val="231F20"/>
                <w:sz w:val="16"/>
              </w:rPr>
              <w:t>net</w:t>
            </w:r>
            <w:r>
              <w:rPr>
                <w:color w:val="231F20"/>
                <w:spacing w:val="11"/>
                <w:sz w:val="16"/>
              </w:rPr>
              <w:t> </w:t>
            </w:r>
            <w:r>
              <w:rPr>
                <w:color w:val="231F20"/>
                <w:spacing w:val="-2"/>
                <w:sz w:val="16"/>
              </w:rPr>
              <w:t>position</w:t>
            </w:r>
          </w:p>
        </w:tc>
        <w:tc>
          <w:tcPr>
            <w:tcW w:w="1211" w:type="dxa"/>
          </w:tcPr>
          <w:p>
            <w:pPr>
              <w:pStyle w:val="TableParagraph"/>
              <w:tabs>
                <w:tab w:pos="396" w:val="left" w:leader="none"/>
              </w:tabs>
              <w:spacing w:before="51"/>
              <w:ind w:left="-2"/>
              <w:jc w:val="right"/>
              <w:rPr>
                <w:sz w:val="16"/>
              </w:rPr>
            </w:pPr>
            <w:r>
              <w:rPr>
                <w:color w:val="231F20"/>
                <w:spacing w:val="41"/>
                <w:sz w:val="16"/>
                <w:u w:val="single" w:color="231F20"/>
              </w:rPr>
              <w:t> </w:t>
            </w:r>
            <w:r>
              <w:rPr>
                <w:color w:val="231F20"/>
                <w:spacing w:val="-10"/>
                <w:sz w:val="16"/>
                <w:u w:val="single" w:color="231F20"/>
              </w:rPr>
              <w:t>$</w:t>
            </w:r>
            <w:r>
              <w:rPr>
                <w:color w:val="231F20"/>
                <w:sz w:val="16"/>
                <w:u w:val="single" w:color="231F20"/>
              </w:rPr>
              <w:tab/>
            </w:r>
            <w:r>
              <w:rPr>
                <w:color w:val="231F20"/>
                <w:spacing w:val="-2"/>
                <w:sz w:val="16"/>
                <w:u w:val="single" w:color="231F20"/>
              </w:rPr>
              <w:t>1,141,796</w:t>
            </w:r>
            <w:r>
              <w:rPr>
                <w:color w:val="231F20"/>
                <w:spacing w:val="80"/>
                <w:sz w:val="16"/>
                <w:u w:val="single" w:color="231F20"/>
              </w:rPr>
              <w:t> </w:t>
            </w:r>
          </w:p>
        </w:tc>
        <w:tc>
          <w:tcPr>
            <w:tcW w:w="1378" w:type="dxa"/>
            <w:gridSpan w:val="2"/>
          </w:tcPr>
          <w:p>
            <w:pPr>
              <w:pStyle w:val="TableParagraph"/>
              <w:spacing w:before="51"/>
              <w:ind w:left="164"/>
              <w:rPr>
                <w:sz w:val="16"/>
              </w:rPr>
            </w:pPr>
            <w:r>
              <w:rPr>
                <w:color w:val="231F20"/>
                <w:spacing w:val="42"/>
                <w:sz w:val="16"/>
                <w:u w:val="single" w:color="231F20"/>
              </w:rPr>
              <w:t> </w:t>
            </w:r>
            <w:r>
              <w:rPr>
                <w:color w:val="231F20"/>
                <w:sz w:val="16"/>
                <w:u w:val="single" w:color="231F20"/>
              </w:rPr>
              <w:t>$</w:t>
            </w:r>
            <w:r>
              <w:rPr>
                <w:color w:val="231F20"/>
                <w:spacing w:val="62"/>
                <w:w w:val="150"/>
                <w:sz w:val="16"/>
                <w:u w:val="single" w:color="231F20"/>
              </w:rPr>
              <w:t> </w:t>
            </w:r>
            <w:r>
              <w:rPr>
                <w:color w:val="231F20"/>
                <w:spacing w:val="-2"/>
                <w:sz w:val="16"/>
                <w:u w:val="single" w:color="231F20"/>
              </w:rPr>
              <w:t>11,053,197</w:t>
            </w:r>
            <w:r>
              <w:rPr>
                <w:color w:val="231F20"/>
                <w:spacing w:val="80"/>
                <w:sz w:val="16"/>
                <w:u w:val="single" w:color="231F20"/>
              </w:rPr>
              <w:t> </w:t>
            </w:r>
          </w:p>
        </w:tc>
        <w:tc>
          <w:tcPr>
            <w:tcW w:w="1378" w:type="dxa"/>
            <w:gridSpan w:val="2"/>
          </w:tcPr>
          <w:p>
            <w:pPr>
              <w:pStyle w:val="TableParagraph"/>
              <w:spacing w:before="51"/>
              <w:ind w:left="162"/>
              <w:rPr>
                <w:sz w:val="16"/>
              </w:rPr>
            </w:pPr>
            <w:r>
              <w:rPr>
                <w:color w:val="231F20"/>
                <w:spacing w:val="42"/>
                <w:sz w:val="16"/>
                <w:u w:val="single" w:color="231F20"/>
              </w:rPr>
              <w:t> </w:t>
            </w:r>
            <w:r>
              <w:rPr>
                <w:color w:val="231F20"/>
                <w:sz w:val="16"/>
                <w:u w:val="single" w:color="231F20"/>
              </w:rPr>
              <w:t>$</w:t>
            </w:r>
            <w:r>
              <w:rPr>
                <w:color w:val="231F20"/>
                <w:spacing w:val="62"/>
                <w:w w:val="150"/>
                <w:sz w:val="16"/>
                <w:u w:val="single" w:color="231F20"/>
              </w:rPr>
              <w:t> </w:t>
            </w:r>
            <w:r>
              <w:rPr>
                <w:color w:val="231F20"/>
                <w:spacing w:val="-2"/>
                <w:sz w:val="16"/>
                <w:u w:val="single" w:color="231F20"/>
              </w:rPr>
              <w:t>11,053,197</w:t>
            </w:r>
            <w:r>
              <w:rPr>
                <w:color w:val="231F20"/>
                <w:spacing w:val="80"/>
                <w:sz w:val="16"/>
                <w:u w:val="single" w:color="231F20"/>
              </w:rPr>
              <w:t> </w:t>
            </w:r>
          </w:p>
        </w:tc>
        <w:tc>
          <w:tcPr>
            <w:tcW w:w="1428" w:type="dxa"/>
            <w:gridSpan w:val="2"/>
          </w:tcPr>
          <w:p>
            <w:pPr>
              <w:pStyle w:val="TableParagraph"/>
              <w:tabs>
                <w:tab w:pos="1231" w:val="left" w:leader="none"/>
              </w:tabs>
              <w:spacing w:before="51"/>
              <w:ind w:left="161"/>
              <w:rPr>
                <w:sz w:val="16"/>
              </w:rPr>
            </w:pPr>
            <w:r>
              <w:rPr>
                <w:color w:val="231F20"/>
                <w:spacing w:val="42"/>
                <w:sz w:val="16"/>
                <w:u w:val="single" w:color="231F20"/>
              </w:rPr>
              <w:t> </w:t>
            </w:r>
            <w:r>
              <w:rPr>
                <w:color w:val="231F20"/>
                <w:spacing w:val="-10"/>
                <w:sz w:val="16"/>
                <w:u w:val="single" w:color="231F20"/>
              </w:rPr>
              <w:t>$</w:t>
            </w:r>
            <w:r>
              <w:rPr>
                <w:color w:val="231F20"/>
                <w:sz w:val="16"/>
                <w:u w:val="single" w:color="231F20"/>
              </w:rPr>
              <w:tab/>
            </w:r>
            <w:r>
              <w:rPr>
                <w:color w:val="231F20"/>
                <w:spacing w:val="-10"/>
                <w:sz w:val="16"/>
                <w:u w:val="single" w:color="231F20"/>
              </w:rPr>
              <w:t>-</w:t>
            </w:r>
            <w:r>
              <w:rPr>
                <w:color w:val="231F20"/>
                <w:spacing w:val="80"/>
                <w:sz w:val="16"/>
                <w:u w:val="single" w:color="231F20"/>
              </w:rPr>
              <w:t> </w:t>
            </w:r>
          </w:p>
        </w:tc>
      </w:tr>
      <w:tr>
        <w:trPr>
          <w:trHeight w:val="511" w:hRule="atLeast"/>
        </w:trPr>
        <w:tc>
          <w:tcPr>
            <w:tcW w:w="3962" w:type="dxa"/>
          </w:tcPr>
          <w:p>
            <w:pPr>
              <w:pStyle w:val="TableParagraph"/>
              <w:spacing w:line="200" w:lineRule="atLeast" w:before="91"/>
              <w:ind w:left="282" w:right="1854" w:hanging="229"/>
              <w:rPr>
                <w:sz w:val="16"/>
              </w:rPr>
            </w:pPr>
            <w:r>
              <w:rPr>
                <w:color w:val="231F20"/>
                <w:sz w:val="16"/>
              </w:rPr>
              <w:t>Unrestricted</w:t>
            </w:r>
            <w:r>
              <w:rPr>
                <w:color w:val="231F20"/>
                <w:spacing w:val="-1"/>
                <w:sz w:val="16"/>
              </w:rPr>
              <w:t> </w:t>
            </w:r>
            <w:r>
              <w:rPr>
                <w:color w:val="231F20"/>
                <w:sz w:val="16"/>
              </w:rPr>
              <w:t>revenues: </w:t>
            </w:r>
            <w:r>
              <w:rPr>
                <w:color w:val="231F20"/>
                <w:spacing w:val="-2"/>
                <w:sz w:val="16"/>
              </w:rPr>
              <w:t>Tuition</w:t>
            </w:r>
          </w:p>
        </w:tc>
        <w:tc>
          <w:tcPr>
            <w:tcW w:w="1211" w:type="dxa"/>
          </w:tcPr>
          <w:p>
            <w:pPr>
              <w:pStyle w:val="TableParagraph"/>
              <w:rPr>
                <w:b/>
                <w:sz w:val="18"/>
              </w:rPr>
            </w:pPr>
          </w:p>
          <w:p>
            <w:pPr>
              <w:pStyle w:val="TableParagraph"/>
              <w:spacing w:line="176" w:lineRule="exact" w:before="108"/>
              <w:ind w:left="305"/>
              <w:rPr>
                <w:sz w:val="16"/>
              </w:rPr>
            </w:pPr>
            <w:r>
              <w:rPr>
                <w:color w:val="231F20"/>
                <w:spacing w:val="-2"/>
                <w:sz w:val="16"/>
              </w:rPr>
              <w:t>11,077,386</w:t>
            </w:r>
          </w:p>
        </w:tc>
        <w:tc>
          <w:tcPr>
            <w:tcW w:w="1378" w:type="dxa"/>
            <w:gridSpan w:val="2"/>
          </w:tcPr>
          <w:p>
            <w:pPr>
              <w:pStyle w:val="TableParagraph"/>
              <w:rPr>
                <w:b/>
                <w:sz w:val="18"/>
              </w:rPr>
            </w:pPr>
          </w:p>
          <w:p>
            <w:pPr>
              <w:pStyle w:val="TableParagraph"/>
              <w:spacing w:line="176" w:lineRule="exact" w:before="108"/>
              <w:ind w:left="471"/>
              <w:rPr>
                <w:sz w:val="16"/>
              </w:rPr>
            </w:pPr>
            <w:r>
              <w:rPr>
                <w:color w:val="231F20"/>
                <w:spacing w:val="-2"/>
                <w:sz w:val="16"/>
              </w:rPr>
              <w:t>11,123,881</w:t>
            </w:r>
          </w:p>
        </w:tc>
        <w:tc>
          <w:tcPr>
            <w:tcW w:w="1378" w:type="dxa"/>
            <w:gridSpan w:val="2"/>
          </w:tcPr>
          <w:p>
            <w:pPr>
              <w:pStyle w:val="TableParagraph"/>
              <w:rPr>
                <w:b/>
                <w:sz w:val="18"/>
              </w:rPr>
            </w:pPr>
          </w:p>
          <w:p>
            <w:pPr>
              <w:pStyle w:val="TableParagraph"/>
              <w:spacing w:line="176" w:lineRule="exact" w:before="108"/>
              <w:ind w:left="469"/>
              <w:rPr>
                <w:sz w:val="16"/>
              </w:rPr>
            </w:pPr>
            <w:r>
              <w:rPr>
                <w:color w:val="231F20"/>
                <w:spacing w:val="-2"/>
                <w:sz w:val="16"/>
              </w:rPr>
              <w:t>11,131,792</w:t>
            </w:r>
          </w:p>
        </w:tc>
        <w:tc>
          <w:tcPr>
            <w:tcW w:w="1428" w:type="dxa"/>
            <w:gridSpan w:val="2"/>
          </w:tcPr>
          <w:p>
            <w:pPr>
              <w:pStyle w:val="TableParagraph"/>
              <w:rPr>
                <w:b/>
                <w:sz w:val="18"/>
              </w:rPr>
            </w:pPr>
          </w:p>
          <w:p>
            <w:pPr>
              <w:pStyle w:val="TableParagraph"/>
              <w:spacing w:line="176" w:lineRule="exact" w:before="108"/>
              <w:ind w:left="877"/>
              <w:rPr>
                <w:sz w:val="16"/>
              </w:rPr>
            </w:pPr>
            <w:r>
              <w:rPr>
                <w:color w:val="231F20"/>
                <w:spacing w:val="-2"/>
                <w:sz w:val="16"/>
              </w:rPr>
              <w:t>7,911</w:t>
            </w:r>
          </w:p>
        </w:tc>
      </w:tr>
      <w:tr>
        <w:trPr>
          <w:trHeight w:val="204" w:hRule="atLeast"/>
        </w:trPr>
        <w:tc>
          <w:tcPr>
            <w:tcW w:w="3962" w:type="dxa"/>
          </w:tcPr>
          <w:p>
            <w:pPr>
              <w:pStyle w:val="TableParagraph"/>
              <w:spacing w:line="175" w:lineRule="exact" w:before="9"/>
              <w:ind w:left="282"/>
              <w:rPr>
                <w:sz w:val="16"/>
              </w:rPr>
            </w:pPr>
            <w:r>
              <w:rPr>
                <w:color w:val="231F20"/>
                <w:sz w:val="16"/>
              </w:rPr>
              <w:t>Miscellaneous</w:t>
            </w:r>
            <w:r>
              <w:rPr>
                <w:color w:val="231F20"/>
                <w:spacing w:val="19"/>
                <w:sz w:val="16"/>
              </w:rPr>
              <w:t> </w:t>
            </w:r>
            <w:r>
              <w:rPr>
                <w:color w:val="231F20"/>
                <w:spacing w:val="-4"/>
                <w:sz w:val="16"/>
              </w:rPr>
              <w:t>fees</w:t>
            </w:r>
          </w:p>
        </w:tc>
        <w:tc>
          <w:tcPr>
            <w:tcW w:w="1211" w:type="dxa"/>
          </w:tcPr>
          <w:p>
            <w:pPr>
              <w:pStyle w:val="TableParagraph"/>
              <w:spacing w:line="175" w:lineRule="exact" w:before="9"/>
              <w:ind w:left="-2" w:right="85"/>
              <w:jc w:val="right"/>
              <w:rPr>
                <w:sz w:val="16"/>
              </w:rPr>
            </w:pPr>
            <w:r>
              <w:rPr>
                <w:color w:val="231F20"/>
                <w:spacing w:val="-2"/>
                <w:sz w:val="16"/>
              </w:rPr>
              <w:t>1,946,657</w:t>
            </w:r>
          </w:p>
        </w:tc>
        <w:tc>
          <w:tcPr>
            <w:tcW w:w="1378" w:type="dxa"/>
            <w:gridSpan w:val="2"/>
          </w:tcPr>
          <w:p>
            <w:pPr>
              <w:pStyle w:val="TableParagraph"/>
              <w:spacing w:line="175" w:lineRule="exact" w:before="9"/>
              <w:ind w:left="562"/>
              <w:rPr>
                <w:sz w:val="16"/>
              </w:rPr>
            </w:pPr>
            <w:r>
              <w:rPr>
                <w:color w:val="231F20"/>
                <w:spacing w:val="-2"/>
                <w:sz w:val="16"/>
              </w:rPr>
              <w:t>1,930,815</w:t>
            </w:r>
          </w:p>
        </w:tc>
        <w:tc>
          <w:tcPr>
            <w:tcW w:w="1378" w:type="dxa"/>
            <w:gridSpan w:val="2"/>
          </w:tcPr>
          <w:p>
            <w:pPr>
              <w:pStyle w:val="TableParagraph"/>
              <w:spacing w:line="175" w:lineRule="exact" w:before="9"/>
              <w:ind w:left="560"/>
              <w:rPr>
                <w:sz w:val="16"/>
              </w:rPr>
            </w:pPr>
            <w:r>
              <w:rPr>
                <w:color w:val="231F20"/>
                <w:spacing w:val="-2"/>
                <w:sz w:val="16"/>
              </w:rPr>
              <w:t>1,976,567</w:t>
            </w:r>
          </w:p>
        </w:tc>
        <w:tc>
          <w:tcPr>
            <w:tcW w:w="1428" w:type="dxa"/>
            <w:gridSpan w:val="2"/>
          </w:tcPr>
          <w:p>
            <w:pPr>
              <w:pStyle w:val="TableParagraph"/>
              <w:spacing w:line="175" w:lineRule="exact" w:before="9"/>
              <w:ind w:left="785"/>
              <w:rPr>
                <w:sz w:val="16"/>
              </w:rPr>
            </w:pPr>
            <w:r>
              <w:rPr>
                <w:color w:val="231F20"/>
                <w:spacing w:val="-2"/>
                <w:sz w:val="16"/>
              </w:rPr>
              <w:t>45,752</w:t>
            </w:r>
          </w:p>
        </w:tc>
      </w:tr>
      <w:tr>
        <w:trPr>
          <w:trHeight w:val="203" w:hRule="atLeast"/>
        </w:trPr>
        <w:tc>
          <w:tcPr>
            <w:tcW w:w="3962" w:type="dxa"/>
          </w:tcPr>
          <w:p>
            <w:pPr>
              <w:pStyle w:val="TableParagraph"/>
              <w:spacing w:line="175" w:lineRule="exact" w:before="8"/>
              <w:ind w:left="282"/>
              <w:rPr>
                <w:sz w:val="16"/>
              </w:rPr>
            </w:pPr>
            <w:r>
              <w:rPr>
                <w:color w:val="231F20"/>
                <w:sz w:val="16"/>
              </w:rPr>
              <w:t>Government</w:t>
            </w:r>
            <w:r>
              <w:rPr>
                <w:color w:val="231F20"/>
                <w:spacing w:val="18"/>
                <w:sz w:val="16"/>
              </w:rPr>
              <w:t> </w:t>
            </w:r>
            <w:r>
              <w:rPr>
                <w:color w:val="231F20"/>
                <w:sz w:val="16"/>
              </w:rPr>
              <w:t>appropriation,</w:t>
            </w:r>
            <w:r>
              <w:rPr>
                <w:color w:val="231F20"/>
                <w:spacing w:val="18"/>
                <w:sz w:val="16"/>
              </w:rPr>
              <w:t> </w:t>
            </w:r>
            <w:r>
              <w:rPr>
                <w:color w:val="231F20"/>
                <w:spacing w:val="-2"/>
                <w:sz w:val="16"/>
              </w:rPr>
              <w:t>federal</w:t>
            </w:r>
          </w:p>
        </w:tc>
        <w:tc>
          <w:tcPr>
            <w:tcW w:w="1211" w:type="dxa"/>
          </w:tcPr>
          <w:p>
            <w:pPr>
              <w:pStyle w:val="TableParagraph"/>
              <w:spacing w:line="175" w:lineRule="exact" w:before="8"/>
              <w:ind w:right="85"/>
              <w:jc w:val="right"/>
              <w:rPr>
                <w:sz w:val="16"/>
              </w:rPr>
            </w:pPr>
            <w:r>
              <w:rPr>
                <w:color w:val="231F20"/>
                <w:w w:val="102"/>
                <w:sz w:val="16"/>
              </w:rPr>
              <w:t>-</w:t>
            </w:r>
          </w:p>
        </w:tc>
        <w:tc>
          <w:tcPr>
            <w:tcW w:w="1378" w:type="dxa"/>
            <w:gridSpan w:val="2"/>
          </w:tcPr>
          <w:p>
            <w:pPr>
              <w:pStyle w:val="TableParagraph"/>
              <w:spacing w:line="175" w:lineRule="exact" w:before="8"/>
              <w:ind w:right="86"/>
              <w:jc w:val="right"/>
              <w:rPr>
                <w:sz w:val="16"/>
              </w:rPr>
            </w:pPr>
            <w:r>
              <w:rPr>
                <w:color w:val="231F20"/>
                <w:w w:val="102"/>
                <w:sz w:val="16"/>
              </w:rPr>
              <w:t>-</w:t>
            </w:r>
          </w:p>
        </w:tc>
        <w:tc>
          <w:tcPr>
            <w:tcW w:w="1378" w:type="dxa"/>
            <w:gridSpan w:val="2"/>
          </w:tcPr>
          <w:p>
            <w:pPr>
              <w:pStyle w:val="TableParagraph"/>
              <w:spacing w:line="175" w:lineRule="exact" w:before="8"/>
              <w:ind w:right="88"/>
              <w:jc w:val="right"/>
              <w:rPr>
                <w:sz w:val="16"/>
              </w:rPr>
            </w:pPr>
            <w:r>
              <w:rPr>
                <w:color w:val="231F20"/>
                <w:w w:val="102"/>
                <w:sz w:val="16"/>
              </w:rPr>
              <w:t>-</w:t>
            </w:r>
          </w:p>
        </w:tc>
        <w:tc>
          <w:tcPr>
            <w:tcW w:w="1428" w:type="dxa"/>
            <w:gridSpan w:val="2"/>
          </w:tcPr>
          <w:p>
            <w:pPr>
              <w:pStyle w:val="TableParagraph"/>
              <w:spacing w:line="175" w:lineRule="exact" w:before="8"/>
              <w:ind w:right="140"/>
              <w:jc w:val="right"/>
              <w:rPr>
                <w:sz w:val="16"/>
              </w:rPr>
            </w:pPr>
            <w:r>
              <w:rPr>
                <w:color w:val="231F20"/>
                <w:w w:val="102"/>
                <w:sz w:val="16"/>
              </w:rPr>
              <w:t>-</w:t>
            </w:r>
          </w:p>
        </w:tc>
      </w:tr>
      <w:tr>
        <w:trPr>
          <w:trHeight w:val="203" w:hRule="atLeast"/>
        </w:trPr>
        <w:tc>
          <w:tcPr>
            <w:tcW w:w="3962" w:type="dxa"/>
          </w:tcPr>
          <w:p>
            <w:pPr>
              <w:pStyle w:val="TableParagraph"/>
              <w:spacing w:line="175" w:lineRule="exact" w:before="8"/>
              <w:ind w:left="282"/>
              <w:rPr>
                <w:sz w:val="16"/>
              </w:rPr>
            </w:pPr>
            <w:r>
              <w:rPr>
                <w:color w:val="231F20"/>
                <w:sz w:val="16"/>
              </w:rPr>
              <w:t>Government</w:t>
            </w:r>
            <w:r>
              <w:rPr>
                <w:color w:val="231F20"/>
                <w:spacing w:val="18"/>
                <w:sz w:val="16"/>
              </w:rPr>
              <w:t> </w:t>
            </w:r>
            <w:r>
              <w:rPr>
                <w:color w:val="231F20"/>
                <w:sz w:val="16"/>
              </w:rPr>
              <w:t>appropriation,</w:t>
            </w:r>
            <w:r>
              <w:rPr>
                <w:color w:val="231F20"/>
                <w:spacing w:val="18"/>
                <w:sz w:val="16"/>
              </w:rPr>
              <w:t> </w:t>
            </w:r>
            <w:r>
              <w:rPr>
                <w:color w:val="231F20"/>
                <w:spacing w:val="-4"/>
                <w:sz w:val="16"/>
              </w:rPr>
              <w:t>state</w:t>
            </w:r>
          </w:p>
        </w:tc>
        <w:tc>
          <w:tcPr>
            <w:tcW w:w="1211" w:type="dxa"/>
          </w:tcPr>
          <w:p>
            <w:pPr>
              <w:pStyle w:val="TableParagraph"/>
              <w:spacing w:line="175" w:lineRule="exact" w:before="8"/>
              <w:ind w:left="306"/>
              <w:rPr>
                <w:sz w:val="16"/>
              </w:rPr>
            </w:pPr>
            <w:r>
              <w:rPr>
                <w:color w:val="231F20"/>
                <w:spacing w:val="-2"/>
                <w:sz w:val="16"/>
              </w:rPr>
              <w:t>29,091,415</w:t>
            </w:r>
          </w:p>
        </w:tc>
        <w:tc>
          <w:tcPr>
            <w:tcW w:w="1378" w:type="dxa"/>
            <w:gridSpan w:val="2"/>
          </w:tcPr>
          <w:p>
            <w:pPr>
              <w:pStyle w:val="TableParagraph"/>
              <w:spacing w:line="175" w:lineRule="exact" w:before="8"/>
              <w:ind w:left="471"/>
              <w:rPr>
                <w:sz w:val="16"/>
              </w:rPr>
            </w:pPr>
            <w:r>
              <w:rPr>
                <w:color w:val="231F20"/>
                <w:spacing w:val="-2"/>
                <w:sz w:val="16"/>
              </w:rPr>
              <w:t>29,277,915</w:t>
            </w:r>
          </w:p>
        </w:tc>
        <w:tc>
          <w:tcPr>
            <w:tcW w:w="1378" w:type="dxa"/>
            <w:gridSpan w:val="2"/>
          </w:tcPr>
          <w:p>
            <w:pPr>
              <w:pStyle w:val="TableParagraph"/>
              <w:spacing w:line="175" w:lineRule="exact" w:before="8"/>
              <w:ind w:left="469"/>
              <w:rPr>
                <w:sz w:val="16"/>
              </w:rPr>
            </w:pPr>
            <w:r>
              <w:rPr>
                <w:color w:val="231F20"/>
                <w:spacing w:val="-2"/>
                <w:sz w:val="16"/>
              </w:rPr>
              <w:t>29,277,915</w:t>
            </w:r>
          </w:p>
        </w:tc>
        <w:tc>
          <w:tcPr>
            <w:tcW w:w="1428" w:type="dxa"/>
            <w:gridSpan w:val="2"/>
          </w:tcPr>
          <w:p>
            <w:pPr>
              <w:pStyle w:val="TableParagraph"/>
              <w:spacing w:line="175" w:lineRule="exact" w:before="8"/>
              <w:ind w:right="140"/>
              <w:jc w:val="right"/>
              <w:rPr>
                <w:sz w:val="16"/>
              </w:rPr>
            </w:pPr>
            <w:r>
              <w:rPr>
                <w:color w:val="231F20"/>
                <w:w w:val="102"/>
                <w:sz w:val="16"/>
              </w:rPr>
              <w:t>-</w:t>
            </w:r>
          </w:p>
        </w:tc>
      </w:tr>
      <w:tr>
        <w:trPr>
          <w:trHeight w:val="204" w:hRule="atLeast"/>
        </w:trPr>
        <w:tc>
          <w:tcPr>
            <w:tcW w:w="3962" w:type="dxa"/>
          </w:tcPr>
          <w:p>
            <w:pPr>
              <w:pStyle w:val="TableParagraph"/>
              <w:spacing w:line="176" w:lineRule="exact" w:before="8"/>
              <w:ind w:left="282"/>
              <w:rPr>
                <w:sz w:val="16"/>
              </w:rPr>
            </w:pPr>
            <w:r>
              <w:rPr>
                <w:color w:val="231F20"/>
                <w:sz w:val="16"/>
              </w:rPr>
              <w:t>Government</w:t>
            </w:r>
            <w:r>
              <w:rPr>
                <w:color w:val="231F20"/>
                <w:spacing w:val="18"/>
                <w:sz w:val="16"/>
              </w:rPr>
              <w:t> </w:t>
            </w:r>
            <w:r>
              <w:rPr>
                <w:color w:val="231F20"/>
                <w:sz w:val="16"/>
              </w:rPr>
              <w:t>appropriation,</w:t>
            </w:r>
            <w:r>
              <w:rPr>
                <w:color w:val="231F20"/>
                <w:spacing w:val="18"/>
                <w:sz w:val="16"/>
              </w:rPr>
              <w:t> </w:t>
            </w:r>
            <w:r>
              <w:rPr>
                <w:color w:val="231F20"/>
                <w:spacing w:val="-2"/>
                <w:sz w:val="16"/>
              </w:rPr>
              <w:t>local</w:t>
            </w:r>
          </w:p>
        </w:tc>
        <w:tc>
          <w:tcPr>
            <w:tcW w:w="1211" w:type="dxa"/>
          </w:tcPr>
          <w:p>
            <w:pPr>
              <w:pStyle w:val="TableParagraph"/>
              <w:spacing w:line="176" w:lineRule="exact" w:before="8"/>
              <w:ind w:right="86"/>
              <w:jc w:val="right"/>
              <w:rPr>
                <w:sz w:val="16"/>
              </w:rPr>
            </w:pPr>
            <w:r>
              <w:rPr>
                <w:color w:val="231F20"/>
                <w:w w:val="102"/>
                <w:sz w:val="16"/>
              </w:rPr>
              <w:t>-</w:t>
            </w:r>
          </w:p>
        </w:tc>
        <w:tc>
          <w:tcPr>
            <w:tcW w:w="1378" w:type="dxa"/>
            <w:gridSpan w:val="2"/>
          </w:tcPr>
          <w:p>
            <w:pPr>
              <w:pStyle w:val="TableParagraph"/>
              <w:spacing w:line="176" w:lineRule="exact" w:before="8"/>
              <w:ind w:right="87"/>
              <w:jc w:val="right"/>
              <w:rPr>
                <w:sz w:val="16"/>
              </w:rPr>
            </w:pPr>
            <w:r>
              <w:rPr>
                <w:color w:val="231F20"/>
                <w:w w:val="102"/>
                <w:sz w:val="16"/>
              </w:rPr>
              <w:t>-</w:t>
            </w:r>
          </w:p>
        </w:tc>
        <w:tc>
          <w:tcPr>
            <w:tcW w:w="1378" w:type="dxa"/>
            <w:gridSpan w:val="2"/>
          </w:tcPr>
          <w:p>
            <w:pPr>
              <w:pStyle w:val="TableParagraph"/>
              <w:spacing w:line="176" w:lineRule="exact" w:before="8"/>
              <w:ind w:right="88"/>
              <w:jc w:val="right"/>
              <w:rPr>
                <w:sz w:val="16"/>
              </w:rPr>
            </w:pPr>
            <w:r>
              <w:rPr>
                <w:color w:val="231F20"/>
                <w:w w:val="102"/>
                <w:sz w:val="16"/>
              </w:rPr>
              <w:t>-</w:t>
            </w:r>
          </w:p>
        </w:tc>
        <w:tc>
          <w:tcPr>
            <w:tcW w:w="1428" w:type="dxa"/>
            <w:gridSpan w:val="2"/>
          </w:tcPr>
          <w:p>
            <w:pPr>
              <w:pStyle w:val="TableParagraph"/>
              <w:spacing w:line="176" w:lineRule="exact" w:before="8"/>
              <w:ind w:right="140"/>
              <w:jc w:val="right"/>
              <w:rPr>
                <w:sz w:val="16"/>
              </w:rPr>
            </w:pPr>
            <w:r>
              <w:rPr>
                <w:color w:val="231F20"/>
                <w:w w:val="102"/>
                <w:sz w:val="16"/>
              </w:rPr>
              <w:t>-</w:t>
            </w:r>
          </w:p>
        </w:tc>
      </w:tr>
      <w:tr>
        <w:trPr>
          <w:trHeight w:val="204" w:hRule="atLeast"/>
        </w:trPr>
        <w:tc>
          <w:tcPr>
            <w:tcW w:w="3962" w:type="dxa"/>
          </w:tcPr>
          <w:p>
            <w:pPr>
              <w:pStyle w:val="TableParagraph"/>
              <w:spacing w:line="175" w:lineRule="exact" w:before="9"/>
              <w:ind w:left="282"/>
              <w:rPr>
                <w:sz w:val="16"/>
              </w:rPr>
            </w:pPr>
            <w:r>
              <w:rPr>
                <w:color w:val="231F20"/>
                <w:sz w:val="16"/>
              </w:rPr>
              <w:t>Government</w:t>
            </w:r>
            <w:r>
              <w:rPr>
                <w:color w:val="231F20"/>
                <w:spacing w:val="13"/>
                <w:sz w:val="16"/>
              </w:rPr>
              <w:t> </w:t>
            </w:r>
            <w:r>
              <w:rPr>
                <w:color w:val="231F20"/>
                <w:sz w:val="16"/>
              </w:rPr>
              <w:t>grants,</w:t>
            </w:r>
            <w:r>
              <w:rPr>
                <w:color w:val="231F20"/>
                <w:spacing w:val="13"/>
                <w:sz w:val="16"/>
              </w:rPr>
              <w:t> </w:t>
            </w:r>
            <w:r>
              <w:rPr>
                <w:color w:val="231F20"/>
                <w:spacing w:val="-2"/>
                <w:sz w:val="16"/>
              </w:rPr>
              <w:t>federal</w:t>
            </w:r>
          </w:p>
        </w:tc>
        <w:tc>
          <w:tcPr>
            <w:tcW w:w="1211" w:type="dxa"/>
          </w:tcPr>
          <w:p>
            <w:pPr>
              <w:pStyle w:val="TableParagraph"/>
              <w:spacing w:line="175" w:lineRule="exact" w:before="9"/>
              <w:ind w:right="85"/>
              <w:jc w:val="right"/>
              <w:rPr>
                <w:sz w:val="16"/>
              </w:rPr>
            </w:pPr>
            <w:r>
              <w:rPr>
                <w:color w:val="231F20"/>
                <w:w w:val="102"/>
                <w:sz w:val="16"/>
              </w:rPr>
              <w:t>-</w:t>
            </w:r>
          </w:p>
        </w:tc>
        <w:tc>
          <w:tcPr>
            <w:tcW w:w="1378" w:type="dxa"/>
            <w:gridSpan w:val="2"/>
          </w:tcPr>
          <w:p>
            <w:pPr>
              <w:pStyle w:val="TableParagraph"/>
              <w:spacing w:line="175" w:lineRule="exact" w:before="9"/>
              <w:ind w:right="86"/>
              <w:jc w:val="right"/>
              <w:rPr>
                <w:sz w:val="16"/>
              </w:rPr>
            </w:pPr>
            <w:r>
              <w:rPr>
                <w:color w:val="231F20"/>
                <w:w w:val="102"/>
                <w:sz w:val="16"/>
              </w:rPr>
              <w:t>-</w:t>
            </w:r>
          </w:p>
        </w:tc>
        <w:tc>
          <w:tcPr>
            <w:tcW w:w="1378" w:type="dxa"/>
            <w:gridSpan w:val="2"/>
          </w:tcPr>
          <w:p>
            <w:pPr>
              <w:pStyle w:val="TableParagraph"/>
              <w:spacing w:line="175" w:lineRule="exact" w:before="9"/>
              <w:ind w:right="88"/>
              <w:jc w:val="right"/>
              <w:rPr>
                <w:sz w:val="16"/>
              </w:rPr>
            </w:pPr>
            <w:r>
              <w:rPr>
                <w:color w:val="231F20"/>
                <w:w w:val="102"/>
                <w:sz w:val="16"/>
              </w:rPr>
              <w:t>-</w:t>
            </w:r>
          </w:p>
        </w:tc>
        <w:tc>
          <w:tcPr>
            <w:tcW w:w="1428" w:type="dxa"/>
            <w:gridSpan w:val="2"/>
          </w:tcPr>
          <w:p>
            <w:pPr>
              <w:pStyle w:val="TableParagraph"/>
              <w:spacing w:line="175" w:lineRule="exact" w:before="9"/>
              <w:ind w:right="140"/>
              <w:jc w:val="right"/>
              <w:rPr>
                <w:sz w:val="16"/>
              </w:rPr>
            </w:pPr>
            <w:r>
              <w:rPr>
                <w:color w:val="231F20"/>
                <w:w w:val="102"/>
                <w:sz w:val="16"/>
              </w:rPr>
              <w:t>-</w:t>
            </w:r>
          </w:p>
        </w:tc>
      </w:tr>
      <w:tr>
        <w:trPr>
          <w:trHeight w:val="203" w:hRule="atLeast"/>
        </w:trPr>
        <w:tc>
          <w:tcPr>
            <w:tcW w:w="3962" w:type="dxa"/>
          </w:tcPr>
          <w:p>
            <w:pPr>
              <w:pStyle w:val="TableParagraph"/>
              <w:spacing w:line="175" w:lineRule="exact" w:before="8"/>
              <w:ind w:left="282"/>
              <w:rPr>
                <w:sz w:val="16"/>
              </w:rPr>
            </w:pPr>
            <w:r>
              <w:rPr>
                <w:color w:val="231F20"/>
                <w:sz w:val="16"/>
              </w:rPr>
              <w:t>Government</w:t>
            </w:r>
            <w:r>
              <w:rPr>
                <w:color w:val="231F20"/>
                <w:spacing w:val="13"/>
                <w:sz w:val="16"/>
              </w:rPr>
              <w:t> </w:t>
            </w:r>
            <w:r>
              <w:rPr>
                <w:color w:val="231F20"/>
                <w:sz w:val="16"/>
              </w:rPr>
              <w:t>grants,</w:t>
            </w:r>
            <w:r>
              <w:rPr>
                <w:color w:val="231F20"/>
                <w:spacing w:val="13"/>
                <w:sz w:val="16"/>
              </w:rPr>
              <w:t> </w:t>
            </w:r>
            <w:r>
              <w:rPr>
                <w:color w:val="231F20"/>
                <w:spacing w:val="-4"/>
                <w:sz w:val="16"/>
              </w:rPr>
              <w:t>state</w:t>
            </w:r>
          </w:p>
        </w:tc>
        <w:tc>
          <w:tcPr>
            <w:tcW w:w="1211" w:type="dxa"/>
          </w:tcPr>
          <w:p>
            <w:pPr>
              <w:pStyle w:val="TableParagraph"/>
              <w:spacing w:line="175" w:lineRule="exact" w:before="8"/>
              <w:ind w:right="84"/>
              <w:jc w:val="right"/>
              <w:rPr>
                <w:sz w:val="16"/>
              </w:rPr>
            </w:pPr>
            <w:r>
              <w:rPr>
                <w:color w:val="231F20"/>
                <w:w w:val="102"/>
                <w:sz w:val="16"/>
              </w:rPr>
              <w:t>-</w:t>
            </w:r>
          </w:p>
        </w:tc>
        <w:tc>
          <w:tcPr>
            <w:tcW w:w="1378" w:type="dxa"/>
            <w:gridSpan w:val="2"/>
          </w:tcPr>
          <w:p>
            <w:pPr>
              <w:pStyle w:val="TableParagraph"/>
              <w:spacing w:line="175" w:lineRule="exact" w:before="8"/>
              <w:ind w:right="87"/>
              <w:jc w:val="right"/>
              <w:rPr>
                <w:sz w:val="16"/>
              </w:rPr>
            </w:pPr>
            <w:r>
              <w:rPr>
                <w:color w:val="231F20"/>
                <w:w w:val="102"/>
                <w:sz w:val="16"/>
              </w:rPr>
              <w:t>-</w:t>
            </w:r>
          </w:p>
        </w:tc>
        <w:tc>
          <w:tcPr>
            <w:tcW w:w="1378" w:type="dxa"/>
            <w:gridSpan w:val="2"/>
          </w:tcPr>
          <w:p>
            <w:pPr>
              <w:pStyle w:val="TableParagraph"/>
              <w:spacing w:line="175" w:lineRule="exact" w:before="8"/>
              <w:ind w:right="88"/>
              <w:jc w:val="right"/>
              <w:rPr>
                <w:sz w:val="16"/>
              </w:rPr>
            </w:pPr>
            <w:r>
              <w:rPr>
                <w:color w:val="231F20"/>
                <w:w w:val="102"/>
                <w:sz w:val="16"/>
              </w:rPr>
              <w:t>-</w:t>
            </w:r>
          </w:p>
        </w:tc>
        <w:tc>
          <w:tcPr>
            <w:tcW w:w="1428" w:type="dxa"/>
            <w:gridSpan w:val="2"/>
          </w:tcPr>
          <w:p>
            <w:pPr>
              <w:pStyle w:val="TableParagraph"/>
              <w:spacing w:line="175" w:lineRule="exact" w:before="8"/>
              <w:ind w:right="140"/>
              <w:jc w:val="right"/>
              <w:rPr>
                <w:sz w:val="16"/>
              </w:rPr>
            </w:pPr>
            <w:r>
              <w:rPr>
                <w:color w:val="231F20"/>
                <w:w w:val="102"/>
                <w:sz w:val="16"/>
              </w:rPr>
              <w:t>-</w:t>
            </w:r>
          </w:p>
        </w:tc>
      </w:tr>
      <w:tr>
        <w:trPr>
          <w:trHeight w:val="204" w:hRule="atLeast"/>
        </w:trPr>
        <w:tc>
          <w:tcPr>
            <w:tcW w:w="3962" w:type="dxa"/>
          </w:tcPr>
          <w:p>
            <w:pPr>
              <w:pStyle w:val="TableParagraph"/>
              <w:spacing w:line="176" w:lineRule="exact" w:before="8"/>
              <w:ind w:left="282"/>
              <w:rPr>
                <w:sz w:val="16"/>
              </w:rPr>
            </w:pPr>
            <w:r>
              <w:rPr>
                <w:color w:val="231F20"/>
                <w:sz w:val="16"/>
              </w:rPr>
              <w:t>Contracts,</w:t>
            </w:r>
            <w:r>
              <w:rPr>
                <w:color w:val="231F20"/>
                <w:spacing w:val="13"/>
                <w:sz w:val="16"/>
              </w:rPr>
              <w:t> </w:t>
            </w:r>
            <w:r>
              <w:rPr>
                <w:color w:val="231F20"/>
                <w:spacing w:val="-2"/>
                <w:sz w:val="16"/>
              </w:rPr>
              <w:t>local</w:t>
            </w:r>
          </w:p>
        </w:tc>
        <w:tc>
          <w:tcPr>
            <w:tcW w:w="1211" w:type="dxa"/>
          </w:tcPr>
          <w:p>
            <w:pPr>
              <w:pStyle w:val="TableParagraph"/>
              <w:spacing w:line="176" w:lineRule="exact" w:before="8"/>
              <w:ind w:right="86"/>
              <w:jc w:val="right"/>
              <w:rPr>
                <w:sz w:val="16"/>
              </w:rPr>
            </w:pPr>
            <w:r>
              <w:rPr>
                <w:color w:val="231F20"/>
                <w:w w:val="102"/>
                <w:sz w:val="16"/>
              </w:rPr>
              <w:t>-</w:t>
            </w:r>
          </w:p>
        </w:tc>
        <w:tc>
          <w:tcPr>
            <w:tcW w:w="1378" w:type="dxa"/>
            <w:gridSpan w:val="2"/>
          </w:tcPr>
          <w:p>
            <w:pPr>
              <w:pStyle w:val="TableParagraph"/>
              <w:spacing w:line="176" w:lineRule="exact" w:before="8"/>
              <w:ind w:right="87"/>
              <w:jc w:val="right"/>
              <w:rPr>
                <w:sz w:val="16"/>
              </w:rPr>
            </w:pPr>
            <w:r>
              <w:rPr>
                <w:color w:val="231F20"/>
                <w:w w:val="102"/>
                <w:sz w:val="16"/>
              </w:rPr>
              <w:t>-</w:t>
            </w:r>
          </w:p>
        </w:tc>
        <w:tc>
          <w:tcPr>
            <w:tcW w:w="1378" w:type="dxa"/>
            <w:gridSpan w:val="2"/>
          </w:tcPr>
          <w:p>
            <w:pPr>
              <w:pStyle w:val="TableParagraph"/>
              <w:spacing w:line="176" w:lineRule="exact" w:before="8"/>
              <w:ind w:right="88"/>
              <w:jc w:val="right"/>
              <w:rPr>
                <w:sz w:val="16"/>
              </w:rPr>
            </w:pPr>
            <w:r>
              <w:rPr>
                <w:color w:val="231F20"/>
                <w:w w:val="102"/>
                <w:sz w:val="16"/>
              </w:rPr>
              <w:t>-</w:t>
            </w:r>
          </w:p>
        </w:tc>
        <w:tc>
          <w:tcPr>
            <w:tcW w:w="1428" w:type="dxa"/>
            <w:gridSpan w:val="2"/>
          </w:tcPr>
          <w:p>
            <w:pPr>
              <w:pStyle w:val="TableParagraph"/>
              <w:spacing w:line="176" w:lineRule="exact" w:before="8"/>
              <w:ind w:right="140"/>
              <w:jc w:val="right"/>
              <w:rPr>
                <w:sz w:val="16"/>
              </w:rPr>
            </w:pPr>
            <w:r>
              <w:rPr>
                <w:color w:val="231F20"/>
                <w:w w:val="102"/>
                <w:sz w:val="16"/>
              </w:rPr>
              <w:t>-</w:t>
            </w:r>
          </w:p>
        </w:tc>
      </w:tr>
      <w:tr>
        <w:trPr>
          <w:trHeight w:val="204" w:hRule="atLeast"/>
        </w:trPr>
        <w:tc>
          <w:tcPr>
            <w:tcW w:w="3962" w:type="dxa"/>
          </w:tcPr>
          <w:p>
            <w:pPr>
              <w:pStyle w:val="TableParagraph"/>
              <w:spacing w:line="175" w:lineRule="exact" w:before="9"/>
              <w:ind w:left="281"/>
              <w:rPr>
                <w:sz w:val="16"/>
              </w:rPr>
            </w:pPr>
            <w:r>
              <w:rPr>
                <w:color w:val="231F20"/>
                <w:sz w:val="16"/>
              </w:rPr>
              <w:t>Private</w:t>
            </w:r>
            <w:r>
              <w:rPr>
                <w:color w:val="231F20"/>
                <w:spacing w:val="7"/>
                <w:sz w:val="16"/>
              </w:rPr>
              <w:t> </w:t>
            </w:r>
            <w:r>
              <w:rPr>
                <w:color w:val="231F20"/>
                <w:spacing w:val="-2"/>
                <w:sz w:val="16"/>
              </w:rPr>
              <w:t>gift/contracts</w:t>
            </w:r>
          </w:p>
        </w:tc>
        <w:tc>
          <w:tcPr>
            <w:tcW w:w="1211" w:type="dxa"/>
          </w:tcPr>
          <w:p>
            <w:pPr>
              <w:pStyle w:val="TableParagraph"/>
              <w:spacing w:line="175" w:lineRule="exact" w:before="9"/>
              <w:ind w:right="86"/>
              <w:jc w:val="right"/>
              <w:rPr>
                <w:sz w:val="16"/>
              </w:rPr>
            </w:pPr>
            <w:r>
              <w:rPr>
                <w:color w:val="231F20"/>
                <w:w w:val="102"/>
                <w:sz w:val="16"/>
              </w:rPr>
              <w:t>-</w:t>
            </w:r>
          </w:p>
        </w:tc>
        <w:tc>
          <w:tcPr>
            <w:tcW w:w="1378" w:type="dxa"/>
            <w:gridSpan w:val="2"/>
          </w:tcPr>
          <w:p>
            <w:pPr>
              <w:pStyle w:val="TableParagraph"/>
              <w:spacing w:line="175" w:lineRule="exact" w:before="9"/>
              <w:ind w:right="87"/>
              <w:jc w:val="right"/>
              <w:rPr>
                <w:sz w:val="16"/>
              </w:rPr>
            </w:pPr>
            <w:r>
              <w:rPr>
                <w:color w:val="231F20"/>
                <w:w w:val="102"/>
                <w:sz w:val="16"/>
              </w:rPr>
              <w:t>-</w:t>
            </w:r>
          </w:p>
        </w:tc>
        <w:tc>
          <w:tcPr>
            <w:tcW w:w="1378" w:type="dxa"/>
            <w:gridSpan w:val="2"/>
          </w:tcPr>
          <w:p>
            <w:pPr>
              <w:pStyle w:val="TableParagraph"/>
              <w:spacing w:line="175" w:lineRule="exact" w:before="9"/>
              <w:ind w:right="88"/>
              <w:jc w:val="right"/>
              <w:rPr>
                <w:sz w:val="16"/>
              </w:rPr>
            </w:pPr>
            <w:r>
              <w:rPr>
                <w:color w:val="231F20"/>
                <w:w w:val="102"/>
                <w:sz w:val="16"/>
              </w:rPr>
              <w:t>-</w:t>
            </w:r>
          </w:p>
        </w:tc>
        <w:tc>
          <w:tcPr>
            <w:tcW w:w="1428" w:type="dxa"/>
            <w:gridSpan w:val="2"/>
          </w:tcPr>
          <w:p>
            <w:pPr>
              <w:pStyle w:val="TableParagraph"/>
              <w:spacing w:line="175" w:lineRule="exact" w:before="9"/>
              <w:ind w:right="140"/>
              <w:jc w:val="right"/>
              <w:rPr>
                <w:sz w:val="16"/>
              </w:rPr>
            </w:pPr>
            <w:r>
              <w:rPr>
                <w:color w:val="231F20"/>
                <w:w w:val="102"/>
                <w:sz w:val="16"/>
              </w:rPr>
              <w:t>-</w:t>
            </w:r>
          </w:p>
        </w:tc>
      </w:tr>
      <w:tr>
        <w:trPr>
          <w:trHeight w:val="203" w:hRule="atLeast"/>
        </w:trPr>
        <w:tc>
          <w:tcPr>
            <w:tcW w:w="3962" w:type="dxa"/>
          </w:tcPr>
          <w:p>
            <w:pPr>
              <w:pStyle w:val="TableParagraph"/>
              <w:spacing w:line="175" w:lineRule="exact" w:before="8"/>
              <w:ind w:left="281"/>
              <w:rPr>
                <w:sz w:val="16"/>
              </w:rPr>
            </w:pPr>
            <w:r>
              <w:rPr>
                <w:color w:val="231F20"/>
                <w:sz w:val="16"/>
              </w:rPr>
              <w:t>Endowment</w:t>
            </w:r>
            <w:r>
              <w:rPr>
                <w:color w:val="231F20"/>
                <w:spacing w:val="15"/>
                <w:sz w:val="16"/>
              </w:rPr>
              <w:t> </w:t>
            </w:r>
            <w:r>
              <w:rPr>
                <w:color w:val="231F20"/>
                <w:spacing w:val="-2"/>
                <w:sz w:val="16"/>
              </w:rPr>
              <w:t>earnings</w:t>
            </w:r>
          </w:p>
        </w:tc>
        <w:tc>
          <w:tcPr>
            <w:tcW w:w="1211" w:type="dxa"/>
          </w:tcPr>
          <w:p>
            <w:pPr>
              <w:pStyle w:val="TableParagraph"/>
              <w:spacing w:line="175" w:lineRule="exact" w:before="8"/>
              <w:ind w:right="86"/>
              <w:jc w:val="right"/>
              <w:rPr>
                <w:sz w:val="16"/>
              </w:rPr>
            </w:pPr>
            <w:r>
              <w:rPr>
                <w:color w:val="231F20"/>
                <w:w w:val="102"/>
                <w:sz w:val="16"/>
              </w:rPr>
              <w:t>-</w:t>
            </w:r>
          </w:p>
        </w:tc>
        <w:tc>
          <w:tcPr>
            <w:tcW w:w="1378" w:type="dxa"/>
            <w:gridSpan w:val="2"/>
          </w:tcPr>
          <w:p>
            <w:pPr>
              <w:pStyle w:val="TableParagraph"/>
              <w:spacing w:line="175" w:lineRule="exact" w:before="8"/>
              <w:ind w:right="87"/>
              <w:jc w:val="right"/>
              <w:rPr>
                <w:sz w:val="16"/>
              </w:rPr>
            </w:pPr>
            <w:r>
              <w:rPr>
                <w:color w:val="231F20"/>
                <w:w w:val="102"/>
                <w:sz w:val="16"/>
              </w:rPr>
              <w:t>-</w:t>
            </w:r>
          </w:p>
        </w:tc>
        <w:tc>
          <w:tcPr>
            <w:tcW w:w="1378" w:type="dxa"/>
            <w:gridSpan w:val="2"/>
          </w:tcPr>
          <w:p>
            <w:pPr>
              <w:pStyle w:val="TableParagraph"/>
              <w:spacing w:line="175" w:lineRule="exact" w:before="8"/>
              <w:ind w:right="88"/>
              <w:jc w:val="right"/>
              <w:rPr>
                <w:sz w:val="16"/>
              </w:rPr>
            </w:pPr>
            <w:r>
              <w:rPr>
                <w:color w:val="231F20"/>
                <w:spacing w:val="-5"/>
                <w:sz w:val="16"/>
              </w:rPr>
              <w:t>900</w:t>
            </w:r>
          </w:p>
        </w:tc>
        <w:tc>
          <w:tcPr>
            <w:tcW w:w="1428" w:type="dxa"/>
            <w:gridSpan w:val="2"/>
          </w:tcPr>
          <w:p>
            <w:pPr>
              <w:pStyle w:val="TableParagraph"/>
              <w:spacing w:line="175" w:lineRule="exact" w:before="8"/>
              <w:ind w:right="140"/>
              <w:jc w:val="right"/>
              <w:rPr>
                <w:sz w:val="16"/>
              </w:rPr>
            </w:pPr>
            <w:r>
              <w:rPr>
                <w:color w:val="231F20"/>
                <w:spacing w:val="-5"/>
                <w:sz w:val="16"/>
              </w:rPr>
              <w:t>900</w:t>
            </w:r>
          </w:p>
        </w:tc>
      </w:tr>
      <w:tr>
        <w:trPr>
          <w:trHeight w:val="203" w:hRule="atLeast"/>
        </w:trPr>
        <w:tc>
          <w:tcPr>
            <w:tcW w:w="3962" w:type="dxa"/>
          </w:tcPr>
          <w:p>
            <w:pPr>
              <w:pStyle w:val="TableParagraph"/>
              <w:spacing w:line="175" w:lineRule="exact" w:before="8"/>
              <w:ind w:left="281"/>
              <w:rPr>
                <w:sz w:val="16"/>
              </w:rPr>
            </w:pPr>
            <w:r>
              <w:rPr>
                <w:color w:val="231F20"/>
                <w:sz w:val="16"/>
              </w:rPr>
              <w:t>Land</w:t>
            </w:r>
            <w:r>
              <w:rPr>
                <w:color w:val="231F20"/>
                <w:spacing w:val="8"/>
                <w:sz w:val="16"/>
              </w:rPr>
              <w:t> </w:t>
            </w:r>
            <w:r>
              <w:rPr>
                <w:color w:val="231F20"/>
                <w:sz w:val="16"/>
              </w:rPr>
              <w:t>and</w:t>
            </w:r>
            <w:r>
              <w:rPr>
                <w:color w:val="231F20"/>
                <w:spacing w:val="9"/>
                <w:sz w:val="16"/>
              </w:rPr>
              <w:t> </w:t>
            </w:r>
            <w:r>
              <w:rPr>
                <w:color w:val="231F20"/>
                <w:sz w:val="16"/>
              </w:rPr>
              <w:t>permanent</w:t>
            </w:r>
            <w:r>
              <w:rPr>
                <w:color w:val="231F20"/>
                <w:spacing w:val="9"/>
                <w:sz w:val="16"/>
              </w:rPr>
              <w:t> </w:t>
            </w:r>
            <w:r>
              <w:rPr>
                <w:color w:val="231F20"/>
                <w:spacing w:val="-4"/>
                <w:sz w:val="16"/>
              </w:rPr>
              <w:t>fund</w:t>
            </w:r>
          </w:p>
        </w:tc>
        <w:tc>
          <w:tcPr>
            <w:tcW w:w="1211" w:type="dxa"/>
          </w:tcPr>
          <w:p>
            <w:pPr>
              <w:pStyle w:val="TableParagraph"/>
              <w:spacing w:line="175" w:lineRule="exact" w:before="8"/>
              <w:ind w:left="-2" w:right="86"/>
              <w:jc w:val="right"/>
              <w:rPr>
                <w:sz w:val="16"/>
              </w:rPr>
            </w:pPr>
            <w:r>
              <w:rPr>
                <w:color w:val="231F20"/>
                <w:spacing w:val="-2"/>
                <w:sz w:val="16"/>
              </w:rPr>
              <w:t>1,050,000</w:t>
            </w:r>
          </w:p>
        </w:tc>
        <w:tc>
          <w:tcPr>
            <w:tcW w:w="1378" w:type="dxa"/>
            <w:gridSpan w:val="2"/>
          </w:tcPr>
          <w:p>
            <w:pPr>
              <w:pStyle w:val="TableParagraph"/>
              <w:spacing w:line="175" w:lineRule="exact" w:before="8"/>
              <w:ind w:left="561"/>
              <w:rPr>
                <w:sz w:val="16"/>
              </w:rPr>
            </w:pPr>
            <w:r>
              <w:rPr>
                <w:color w:val="231F20"/>
                <w:spacing w:val="-2"/>
                <w:sz w:val="16"/>
              </w:rPr>
              <w:t>1,050,000</w:t>
            </w:r>
          </w:p>
        </w:tc>
        <w:tc>
          <w:tcPr>
            <w:tcW w:w="1378" w:type="dxa"/>
            <w:gridSpan w:val="2"/>
          </w:tcPr>
          <w:p>
            <w:pPr>
              <w:pStyle w:val="TableParagraph"/>
              <w:spacing w:line="175" w:lineRule="exact" w:before="8"/>
              <w:ind w:left="560"/>
              <w:rPr>
                <w:sz w:val="16"/>
              </w:rPr>
            </w:pPr>
            <w:r>
              <w:rPr>
                <w:color w:val="231F20"/>
                <w:spacing w:val="-2"/>
                <w:sz w:val="16"/>
              </w:rPr>
              <w:t>3,377,550</w:t>
            </w:r>
          </w:p>
        </w:tc>
        <w:tc>
          <w:tcPr>
            <w:tcW w:w="1428" w:type="dxa"/>
            <w:gridSpan w:val="2"/>
          </w:tcPr>
          <w:p>
            <w:pPr>
              <w:pStyle w:val="TableParagraph"/>
              <w:spacing w:line="175" w:lineRule="exact" w:before="8"/>
              <w:ind w:left="558"/>
              <w:rPr>
                <w:sz w:val="16"/>
              </w:rPr>
            </w:pPr>
            <w:r>
              <w:rPr>
                <w:color w:val="231F20"/>
                <w:spacing w:val="-2"/>
                <w:sz w:val="16"/>
              </w:rPr>
              <w:t>2,327,550</w:t>
            </w:r>
          </w:p>
        </w:tc>
      </w:tr>
      <w:tr>
        <w:trPr>
          <w:trHeight w:val="204" w:hRule="atLeast"/>
        </w:trPr>
        <w:tc>
          <w:tcPr>
            <w:tcW w:w="3962" w:type="dxa"/>
          </w:tcPr>
          <w:p>
            <w:pPr>
              <w:pStyle w:val="TableParagraph"/>
              <w:spacing w:line="176" w:lineRule="exact" w:before="8"/>
              <w:ind w:left="281"/>
              <w:rPr>
                <w:sz w:val="16"/>
              </w:rPr>
            </w:pPr>
            <w:r>
              <w:rPr>
                <w:color w:val="231F20"/>
                <w:sz w:val="16"/>
              </w:rPr>
              <w:t>Private</w:t>
            </w:r>
            <w:r>
              <w:rPr>
                <w:color w:val="231F20"/>
                <w:spacing w:val="7"/>
                <w:sz w:val="16"/>
              </w:rPr>
              <w:t> </w:t>
            </w:r>
            <w:r>
              <w:rPr>
                <w:color w:val="231F20"/>
                <w:spacing w:val="-2"/>
                <w:sz w:val="16"/>
              </w:rPr>
              <w:t>gifts</w:t>
            </w:r>
          </w:p>
        </w:tc>
        <w:tc>
          <w:tcPr>
            <w:tcW w:w="1211" w:type="dxa"/>
          </w:tcPr>
          <w:p>
            <w:pPr>
              <w:pStyle w:val="TableParagraph"/>
              <w:spacing w:line="176" w:lineRule="exact" w:before="8"/>
              <w:ind w:right="86"/>
              <w:jc w:val="right"/>
              <w:rPr>
                <w:sz w:val="16"/>
              </w:rPr>
            </w:pPr>
            <w:r>
              <w:rPr>
                <w:color w:val="231F20"/>
                <w:w w:val="102"/>
                <w:sz w:val="16"/>
              </w:rPr>
              <w:t>-</w:t>
            </w:r>
          </w:p>
        </w:tc>
        <w:tc>
          <w:tcPr>
            <w:tcW w:w="1378" w:type="dxa"/>
            <w:gridSpan w:val="2"/>
          </w:tcPr>
          <w:p>
            <w:pPr>
              <w:pStyle w:val="TableParagraph"/>
              <w:spacing w:line="176" w:lineRule="exact" w:before="8"/>
              <w:ind w:right="87"/>
              <w:jc w:val="right"/>
              <w:rPr>
                <w:sz w:val="16"/>
              </w:rPr>
            </w:pPr>
            <w:r>
              <w:rPr>
                <w:color w:val="231F20"/>
                <w:w w:val="102"/>
                <w:sz w:val="16"/>
              </w:rPr>
              <w:t>-</w:t>
            </w:r>
          </w:p>
        </w:tc>
        <w:tc>
          <w:tcPr>
            <w:tcW w:w="1378" w:type="dxa"/>
            <w:gridSpan w:val="2"/>
          </w:tcPr>
          <w:p>
            <w:pPr>
              <w:pStyle w:val="TableParagraph"/>
              <w:spacing w:line="176" w:lineRule="exact" w:before="8"/>
              <w:ind w:right="88"/>
              <w:jc w:val="right"/>
              <w:rPr>
                <w:sz w:val="16"/>
              </w:rPr>
            </w:pPr>
            <w:r>
              <w:rPr>
                <w:color w:val="231F20"/>
                <w:w w:val="102"/>
                <w:sz w:val="16"/>
              </w:rPr>
              <w:t>-</w:t>
            </w:r>
          </w:p>
        </w:tc>
        <w:tc>
          <w:tcPr>
            <w:tcW w:w="1428" w:type="dxa"/>
            <w:gridSpan w:val="2"/>
          </w:tcPr>
          <w:p>
            <w:pPr>
              <w:pStyle w:val="TableParagraph"/>
              <w:spacing w:line="176" w:lineRule="exact" w:before="8"/>
              <w:ind w:right="140"/>
              <w:jc w:val="right"/>
              <w:rPr>
                <w:sz w:val="16"/>
              </w:rPr>
            </w:pPr>
            <w:r>
              <w:rPr>
                <w:color w:val="231F20"/>
                <w:w w:val="102"/>
                <w:sz w:val="16"/>
              </w:rPr>
              <w:t>-</w:t>
            </w:r>
          </w:p>
        </w:tc>
      </w:tr>
      <w:tr>
        <w:trPr>
          <w:trHeight w:val="204" w:hRule="atLeast"/>
        </w:trPr>
        <w:tc>
          <w:tcPr>
            <w:tcW w:w="3962" w:type="dxa"/>
          </w:tcPr>
          <w:p>
            <w:pPr>
              <w:pStyle w:val="TableParagraph"/>
              <w:spacing w:line="175" w:lineRule="exact" w:before="9"/>
              <w:ind w:left="281"/>
              <w:rPr>
                <w:sz w:val="16"/>
              </w:rPr>
            </w:pPr>
            <w:r>
              <w:rPr>
                <w:color w:val="231F20"/>
                <w:sz w:val="16"/>
              </w:rPr>
              <w:t>Sales</w:t>
            </w:r>
            <w:r>
              <w:rPr>
                <w:color w:val="231F20"/>
                <w:spacing w:val="7"/>
                <w:sz w:val="16"/>
              </w:rPr>
              <w:t> </w:t>
            </w:r>
            <w:r>
              <w:rPr>
                <w:color w:val="231F20"/>
                <w:sz w:val="16"/>
              </w:rPr>
              <w:t>and</w:t>
            </w:r>
            <w:r>
              <w:rPr>
                <w:color w:val="231F20"/>
                <w:spacing w:val="8"/>
                <w:sz w:val="16"/>
              </w:rPr>
              <w:t> </w:t>
            </w:r>
            <w:r>
              <w:rPr>
                <w:color w:val="231F20"/>
                <w:spacing w:val="-2"/>
                <w:sz w:val="16"/>
              </w:rPr>
              <w:t>service</w:t>
            </w:r>
          </w:p>
        </w:tc>
        <w:tc>
          <w:tcPr>
            <w:tcW w:w="1211" w:type="dxa"/>
          </w:tcPr>
          <w:p>
            <w:pPr>
              <w:pStyle w:val="TableParagraph"/>
              <w:spacing w:line="175" w:lineRule="exact" w:before="9"/>
              <w:ind w:right="86"/>
              <w:jc w:val="right"/>
              <w:rPr>
                <w:sz w:val="16"/>
              </w:rPr>
            </w:pPr>
            <w:r>
              <w:rPr>
                <w:color w:val="231F20"/>
                <w:w w:val="102"/>
                <w:sz w:val="16"/>
              </w:rPr>
              <w:t>-</w:t>
            </w:r>
          </w:p>
        </w:tc>
        <w:tc>
          <w:tcPr>
            <w:tcW w:w="1378" w:type="dxa"/>
            <w:gridSpan w:val="2"/>
          </w:tcPr>
          <w:p>
            <w:pPr>
              <w:pStyle w:val="TableParagraph"/>
              <w:spacing w:line="175" w:lineRule="exact" w:before="9"/>
              <w:ind w:right="87"/>
              <w:jc w:val="right"/>
              <w:rPr>
                <w:sz w:val="16"/>
              </w:rPr>
            </w:pPr>
            <w:r>
              <w:rPr>
                <w:color w:val="231F20"/>
                <w:w w:val="102"/>
                <w:sz w:val="16"/>
              </w:rPr>
              <w:t>-</w:t>
            </w:r>
          </w:p>
        </w:tc>
        <w:tc>
          <w:tcPr>
            <w:tcW w:w="1378" w:type="dxa"/>
            <w:gridSpan w:val="2"/>
          </w:tcPr>
          <w:p>
            <w:pPr>
              <w:pStyle w:val="TableParagraph"/>
              <w:spacing w:line="175" w:lineRule="exact" w:before="9"/>
              <w:ind w:right="88"/>
              <w:jc w:val="right"/>
              <w:rPr>
                <w:sz w:val="16"/>
              </w:rPr>
            </w:pPr>
            <w:r>
              <w:rPr>
                <w:color w:val="231F20"/>
                <w:w w:val="102"/>
                <w:sz w:val="16"/>
              </w:rPr>
              <w:t>-</w:t>
            </w:r>
          </w:p>
        </w:tc>
        <w:tc>
          <w:tcPr>
            <w:tcW w:w="1428" w:type="dxa"/>
            <w:gridSpan w:val="2"/>
          </w:tcPr>
          <w:p>
            <w:pPr>
              <w:pStyle w:val="TableParagraph"/>
              <w:spacing w:line="175" w:lineRule="exact" w:before="9"/>
              <w:ind w:right="140"/>
              <w:jc w:val="right"/>
              <w:rPr>
                <w:sz w:val="16"/>
              </w:rPr>
            </w:pPr>
            <w:r>
              <w:rPr>
                <w:color w:val="231F20"/>
                <w:w w:val="102"/>
                <w:sz w:val="16"/>
              </w:rPr>
              <w:t>-</w:t>
            </w:r>
          </w:p>
        </w:tc>
      </w:tr>
      <w:tr>
        <w:trPr>
          <w:trHeight w:val="295" w:hRule="atLeast"/>
        </w:trPr>
        <w:tc>
          <w:tcPr>
            <w:tcW w:w="3962" w:type="dxa"/>
          </w:tcPr>
          <w:p>
            <w:pPr>
              <w:pStyle w:val="TableParagraph"/>
              <w:spacing w:before="8"/>
              <w:ind w:left="281"/>
              <w:rPr>
                <w:sz w:val="16"/>
              </w:rPr>
            </w:pPr>
            <w:r>
              <w:rPr>
                <w:color w:val="231F20"/>
                <w:sz w:val="16"/>
              </w:rPr>
              <w:t>Other</w:t>
            </w:r>
            <w:r>
              <w:rPr>
                <w:color w:val="231F20"/>
                <w:spacing w:val="9"/>
                <w:sz w:val="16"/>
              </w:rPr>
              <w:t> </w:t>
            </w:r>
            <w:r>
              <w:rPr>
                <w:color w:val="231F20"/>
                <w:spacing w:val="-2"/>
                <w:sz w:val="16"/>
              </w:rPr>
              <w:t>sources</w:t>
            </w:r>
          </w:p>
        </w:tc>
        <w:tc>
          <w:tcPr>
            <w:tcW w:w="1211" w:type="dxa"/>
          </w:tcPr>
          <w:p>
            <w:pPr>
              <w:pStyle w:val="TableParagraph"/>
              <w:tabs>
                <w:tab w:pos="396" w:val="left" w:leader="none"/>
              </w:tabs>
              <w:spacing w:before="8"/>
              <w:ind w:left="-2"/>
              <w:jc w:val="right"/>
              <w:rPr>
                <w:sz w:val="16"/>
              </w:rPr>
            </w:pPr>
            <w:r>
              <w:rPr>
                <w:color w:val="231F20"/>
                <w:sz w:val="16"/>
                <w:u w:val="single" w:color="231F20"/>
              </w:rPr>
              <w:tab/>
            </w:r>
            <w:r>
              <w:rPr>
                <w:color w:val="231F20"/>
                <w:spacing w:val="-2"/>
                <w:sz w:val="16"/>
                <w:u w:val="single" w:color="231F20"/>
              </w:rPr>
              <w:t>6,317,486</w:t>
            </w:r>
            <w:r>
              <w:rPr>
                <w:color w:val="231F20"/>
                <w:spacing w:val="80"/>
                <w:sz w:val="16"/>
                <w:u w:val="single" w:color="231F20"/>
              </w:rPr>
              <w:t> </w:t>
            </w:r>
          </w:p>
        </w:tc>
        <w:tc>
          <w:tcPr>
            <w:tcW w:w="1378" w:type="dxa"/>
            <w:gridSpan w:val="2"/>
          </w:tcPr>
          <w:p>
            <w:pPr>
              <w:pStyle w:val="TableParagraph"/>
              <w:tabs>
                <w:tab w:pos="561" w:val="left" w:leader="none"/>
              </w:tabs>
              <w:spacing w:before="8"/>
              <w:ind w:left="164"/>
              <w:rPr>
                <w:sz w:val="16"/>
              </w:rPr>
            </w:pPr>
            <w:r>
              <w:rPr>
                <w:color w:val="231F20"/>
                <w:sz w:val="16"/>
                <w:u w:val="single" w:color="231F20"/>
              </w:rPr>
              <w:tab/>
            </w:r>
            <w:r>
              <w:rPr>
                <w:color w:val="231F20"/>
                <w:spacing w:val="-2"/>
                <w:sz w:val="16"/>
                <w:u w:val="single" w:color="231F20"/>
              </w:rPr>
              <w:t>6,317,486</w:t>
            </w:r>
            <w:r>
              <w:rPr>
                <w:color w:val="231F20"/>
                <w:spacing w:val="80"/>
                <w:sz w:val="16"/>
                <w:u w:val="single" w:color="231F20"/>
              </w:rPr>
              <w:t> </w:t>
            </w:r>
          </w:p>
        </w:tc>
        <w:tc>
          <w:tcPr>
            <w:tcW w:w="1378" w:type="dxa"/>
            <w:gridSpan w:val="2"/>
          </w:tcPr>
          <w:p>
            <w:pPr>
              <w:pStyle w:val="TableParagraph"/>
              <w:tabs>
                <w:tab w:pos="560" w:val="left" w:leader="none"/>
              </w:tabs>
              <w:spacing w:before="8"/>
              <w:ind w:left="162"/>
              <w:rPr>
                <w:sz w:val="16"/>
              </w:rPr>
            </w:pPr>
            <w:r>
              <w:rPr>
                <w:color w:val="231F20"/>
                <w:sz w:val="16"/>
                <w:u w:val="single" w:color="231F20"/>
              </w:rPr>
              <w:tab/>
            </w:r>
            <w:r>
              <w:rPr>
                <w:color w:val="231F20"/>
                <w:spacing w:val="-2"/>
                <w:sz w:val="16"/>
                <w:u w:val="single" w:color="231F20"/>
              </w:rPr>
              <w:t>7,531,619</w:t>
            </w:r>
            <w:r>
              <w:rPr>
                <w:color w:val="231F20"/>
                <w:spacing w:val="80"/>
                <w:sz w:val="16"/>
                <w:u w:val="single" w:color="231F20"/>
              </w:rPr>
              <w:t> </w:t>
            </w:r>
          </w:p>
        </w:tc>
        <w:tc>
          <w:tcPr>
            <w:tcW w:w="1428" w:type="dxa"/>
            <w:gridSpan w:val="2"/>
          </w:tcPr>
          <w:p>
            <w:pPr>
              <w:pStyle w:val="TableParagraph"/>
              <w:tabs>
                <w:tab w:pos="558" w:val="left" w:leader="none"/>
              </w:tabs>
              <w:spacing w:before="8"/>
              <w:ind w:left="161"/>
              <w:rPr>
                <w:sz w:val="16"/>
              </w:rPr>
            </w:pPr>
            <w:r>
              <w:rPr>
                <w:color w:val="231F20"/>
                <w:sz w:val="16"/>
                <w:u w:val="single" w:color="231F20"/>
              </w:rPr>
              <w:tab/>
            </w:r>
            <w:r>
              <w:rPr>
                <w:color w:val="231F20"/>
                <w:spacing w:val="-2"/>
                <w:sz w:val="16"/>
                <w:u w:val="single" w:color="231F20"/>
              </w:rPr>
              <w:t>1,214,133</w:t>
            </w:r>
            <w:r>
              <w:rPr>
                <w:color w:val="231F20"/>
                <w:spacing w:val="80"/>
                <w:sz w:val="16"/>
                <w:u w:val="single" w:color="231F20"/>
              </w:rPr>
              <w:t> </w:t>
            </w:r>
          </w:p>
        </w:tc>
      </w:tr>
      <w:tr>
        <w:trPr>
          <w:trHeight w:val="284" w:hRule="atLeast"/>
        </w:trPr>
        <w:tc>
          <w:tcPr>
            <w:tcW w:w="3962" w:type="dxa"/>
          </w:tcPr>
          <w:p>
            <w:pPr>
              <w:pStyle w:val="TableParagraph"/>
              <w:spacing w:line="165" w:lineRule="exact" w:before="100"/>
              <w:ind w:left="511"/>
              <w:rPr>
                <w:sz w:val="16"/>
              </w:rPr>
            </w:pPr>
            <w:r>
              <w:rPr>
                <w:color w:val="231F20"/>
                <w:sz w:val="16"/>
              </w:rPr>
              <w:t>Total</w:t>
            </w:r>
            <w:r>
              <w:rPr>
                <w:color w:val="231F20"/>
                <w:spacing w:val="10"/>
                <w:sz w:val="16"/>
              </w:rPr>
              <w:t> </w:t>
            </w:r>
            <w:r>
              <w:rPr>
                <w:color w:val="231F20"/>
                <w:sz w:val="16"/>
              </w:rPr>
              <w:t>unrestricted</w:t>
            </w:r>
            <w:r>
              <w:rPr>
                <w:color w:val="231F20"/>
                <w:spacing w:val="10"/>
                <w:sz w:val="16"/>
              </w:rPr>
              <w:t> </w:t>
            </w:r>
            <w:r>
              <w:rPr>
                <w:color w:val="231F20"/>
                <w:spacing w:val="-2"/>
                <w:sz w:val="16"/>
              </w:rPr>
              <w:t>revenues</w:t>
            </w:r>
          </w:p>
        </w:tc>
        <w:tc>
          <w:tcPr>
            <w:tcW w:w="1211" w:type="dxa"/>
          </w:tcPr>
          <w:p>
            <w:pPr>
              <w:pStyle w:val="TableParagraph"/>
              <w:tabs>
                <w:tab w:pos="304" w:val="left" w:leader="none"/>
              </w:tabs>
              <w:spacing w:line="165" w:lineRule="exact" w:before="100"/>
              <w:ind w:left="-2"/>
              <w:jc w:val="right"/>
              <w:rPr>
                <w:sz w:val="16"/>
              </w:rPr>
            </w:pPr>
            <w:r>
              <w:rPr>
                <w:color w:val="231F20"/>
                <w:sz w:val="16"/>
                <w:u w:val="single" w:color="231F20"/>
              </w:rPr>
              <w:tab/>
            </w:r>
            <w:r>
              <w:rPr>
                <w:color w:val="231F20"/>
                <w:spacing w:val="-2"/>
                <w:sz w:val="16"/>
                <w:u w:val="single" w:color="231F20"/>
              </w:rPr>
              <w:t>49,482,944</w:t>
            </w:r>
            <w:r>
              <w:rPr>
                <w:color w:val="231F20"/>
                <w:spacing w:val="80"/>
                <w:sz w:val="16"/>
                <w:u w:val="single" w:color="231F20"/>
              </w:rPr>
              <w:t> </w:t>
            </w:r>
          </w:p>
        </w:tc>
        <w:tc>
          <w:tcPr>
            <w:tcW w:w="1378" w:type="dxa"/>
            <w:gridSpan w:val="2"/>
          </w:tcPr>
          <w:p>
            <w:pPr>
              <w:pStyle w:val="TableParagraph"/>
              <w:tabs>
                <w:tab w:pos="470" w:val="left" w:leader="none"/>
              </w:tabs>
              <w:spacing w:line="165" w:lineRule="exact" w:before="100"/>
              <w:ind w:left="164"/>
              <w:rPr>
                <w:sz w:val="16"/>
              </w:rPr>
            </w:pPr>
            <w:r>
              <w:rPr>
                <w:color w:val="231F20"/>
                <w:sz w:val="16"/>
                <w:u w:val="single" w:color="231F20"/>
              </w:rPr>
              <w:tab/>
            </w:r>
            <w:r>
              <w:rPr>
                <w:color w:val="231F20"/>
                <w:spacing w:val="-2"/>
                <w:sz w:val="16"/>
                <w:u w:val="single" w:color="231F20"/>
              </w:rPr>
              <w:t>49,700,097</w:t>
            </w:r>
            <w:r>
              <w:rPr>
                <w:color w:val="231F20"/>
                <w:spacing w:val="80"/>
                <w:sz w:val="16"/>
                <w:u w:val="single" w:color="231F20"/>
              </w:rPr>
              <w:t> </w:t>
            </w:r>
          </w:p>
        </w:tc>
        <w:tc>
          <w:tcPr>
            <w:tcW w:w="1378" w:type="dxa"/>
            <w:gridSpan w:val="2"/>
          </w:tcPr>
          <w:p>
            <w:pPr>
              <w:pStyle w:val="TableParagraph"/>
              <w:tabs>
                <w:tab w:pos="468" w:val="left" w:leader="none"/>
              </w:tabs>
              <w:spacing w:line="165" w:lineRule="exact" w:before="100"/>
              <w:ind w:left="162"/>
              <w:rPr>
                <w:sz w:val="16"/>
              </w:rPr>
            </w:pPr>
            <w:r>
              <w:rPr>
                <w:color w:val="231F20"/>
                <w:sz w:val="16"/>
                <w:u w:val="single" w:color="231F20"/>
              </w:rPr>
              <w:tab/>
            </w:r>
            <w:r>
              <w:rPr>
                <w:color w:val="231F20"/>
                <w:spacing w:val="-2"/>
                <w:sz w:val="16"/>
                <w:u w:val="single" w:color="231F20"/>
              </w:rPr>
              <w:t>53,296,343</w:t>
            </w:r>
            <w:r>
              <w:rPr>
                <w:color w:val="231F20"/>
                <w:spacing w:val="80"/>
                <w:sz w:val="16"/>
                <w:u w:val="single" w:color="231F20"/>
              </w:rPr>
              <w:t> </w:t>
            </w:r>
          </w:p>
        </w:tc>
        <w:tc>
          <w:tcPr>
            <w:tcW w:w="1428" w:type="dxa"/>
            <w:gridSpan w:val="2"/>
          </w:tcPr>
          <w:p>
            <w:pPr>
              <w:pStyle w:val="TableParagraph"/>
              <w:tabs>
                <w:tab w:pos="558" w:val="left" w:leader="none"/>
              </w:tabs>
              <w:spacing w:line="165" w:lineRule="exact" w:before="100"/>
              <w:ind w:left="161"/>
              <w:rPr>
                <w:sz w:val="16"/>
              </w:rPr>
            </w:pPr>
            <w:r>
              <w:rPr>
                <w:color w:val="231F20"/>
                <w:sz w:val="16"/>
                <w:u w:val="single" w:color="231F20"/>
              </w:rPr>
              <w:tab/>
            </w:r>
            <w:r>
              <w:rPr>
                <w:color w:val="231F20"/>
                <w:spacing w:val="-2"/>
                <w:sz w:val="16"/>
                <w:u w:val="single" w:color="231F20"/>
              </w:rPr>
              <w:t>3,596,246</w:t>
            </w:r>
            <w:r>
              <w:rPr>
                <w:color w:val="231F20"/>
                <w:spacing w:val="80"/>
                <w:sz w:val="16"/>
                <w:u w:val="single" w:color="231F20"/>
              </w:rPr>
              <w:t> </w:t>
            </w:r>
          </w:p>
        </w:tc>
      </w:tr>
      <w:tr>
        <w:trPr>
          <w:trHeight w:val="623" w:hRule="atLeast"/>
        </w:trPr>
        <w:tc>
          <w:tcPr>
            <w:tcW w:w="3962" w:type="dxa"/>
          </w:tcPr>
          <w:p>
            <w:pPr>
              <w:pStyle w:val="TableParagraph"/>
              <w:spacing w:before="8"/>
              <w:rPr>
                <w:b/>
                <w:sz w:val="17"/>
              </w:rPr>
            </w:pPr>
          </w:p>
          <w:p>
            <w:pPr>
              <w:pStyle w:val="TableParagraph"/>
              <w:spacing w:line="200" w:lineRule="atLeast"/>
              <w:ind w:left="281" w:right="1854" w:hanging="229"/>
              <w:rPr>
                <w:sz w:val="16"/>
              </w:rPr>
            </w:pPr>
            <w:r>
              <w:rPr>
                <w:color w:val="231F20"/>
                <w:sz w:val="16"/>
              </w:rPr>
              <w:t>Unrestricted expenditures: </w:t>
            </w:r>
            <w:r>
              <w:rPr>
                <w:color w:val="231F20"/>
                <w:spacing w:val="-2"/>
                <w:sz w:val="16"/>
              </w:rPr>
              <w:t>Instruction</w:t>
            </w:r>
          </w:p>
        </w:tc>
        <w:tc>
          <w:tcPr>
            <w:tcW w:w="1211" w:type="dxa"/>
          </w:tcPr>
          <w:p>
            <w:pPr>
              <w:pStyle w:val="TableParagraph"/>
              <w:rPr>
                <w:b/>
                <w:sz w:val="18"/>
              </w:rPr>
            </w:pPr>
          </w:p>
          <w:p>
            <w:pPr>
              <w:pStyle w:val="TableParagraph"/>
              <w:spacing w:before="2"/>
              <w:rPr>
                <w:b/>
                <w:sz w:val="19"/>
              </w:rPr>
            </w:pPr>
          </w:p>
          <w:p>
            <w:pPr>
              <w:pStyle w:val="TableParagraph"/>
              <w:spacing w:line="175" w:lineRule="exact" w:before="1"/>
              <w:ind w:left="306"/>
              <w:rPr>
                <w:sz w:val="16"/>
              </w:rPr>
            </w:pPr>
            <w:r>
              <w:rPr>
                <w:color w:val="231F20"/>
                <w:spacing w:val="-2"/>
                <w:sz w:val="16"/>
              </w:rPr>
              <w:t>20,147,983</w:t>
            </w:r>
          </w:p>
        </w:tc>
        <w:tc>
          <w:tcPr>
            <w:tcW w:w="165" w:type="dxa"/>
          </w:tcPr>
          <w:p>
            <w:pPr>
              <w:pStyle w:val="TableParagraph"/>
              <w:rPr>
                <w:rFonts w:ascii="Times New Roman"/>
                <w:sz w:val="16"/>
              </w:rPr>
            </w:pPr>
          </w:p>
        </w:tc>
        <w:tc>
          <w:tcPr>
            <w:tcW w:w="1213" w:type="dxa"/>
          </w:tcPr>
          <w:p>
            <w:pPr>
              <w:pStyle w:val="TableParagraph"/>
              <w:rPr>
                <w:b/>
                <w:sz w:val="18"/>
              </w:rPr>
            </w:pPr>
          </w:p>
          <w:p>
            <w:pPr>
              <w:pStyle w:val="TableParagraph"/>
              <w:spacing w:before="2"/>
              <w:rPr>
                <w:b/>
                <w:sz w:val="19"/>
              </w:rPr>
            </w:pPr>
          </w:p>
          <w:p>
            <w:pPr>
              <w:pStyle w:val="TableParagraph"/>
              <w:spacing w:line="175" w:lineRule="exact" w:before="1"/>
              <w:ind w:left="-1" w:right="87"/>
              <w:jc w:val="right"/>
              <w:rPr>
                <w:sz w:val="16"/>
              </w:rPr>
            </w:pPr>
            <w:r>
              <w:rPr>
                <w:color w:val="231F20"/>
                <w:spacing w:val="-2"/>
                <w:sz w:val="16"/>
              </w:rPr>
              <w:t>23,439,186</w:t>
            </w:r>
          </w:p>
        </w:tc>
        <w:tc>
          <w:tcPr>
            <w:tcW w:w="165" w:type="dxa"/>
          </w:tcPr>
          <w:p>
            <w:pPr>
              <w:pStyle w:val="TableParagraph"/>
              <w:rPr>
                <w:rFonts w:ascii="Times New Roman"/>
                <w:sz w:val="16"/>
              </w:rPr>
            </w:pPr>
          </w:p>
        </w:tc>
        <w:tc>
          <w:tcPr>
            <w:tcW w:w="1213" w:type="dxa"/>
          </w:tcPr>
          <w:p>
            <w:pPr>
              <w:pStyle w:val="TableParagraph"/>
              <w:rPr>
                <w:b/>
                <w:sz w:val="18"/>
              </w:rPr>
            </w:pPr>
          </w:p>
          <w:p>
            <w:pPr>
              <w:pStyle w:val="TableParagraph"/>
              <w:spacing w:before="2"/>
              <w:rPr>
                <w:b/>
                <w:sz w:val="19"/>
              </w:rPr>
            </w:pPr>
          </w:p>
          <w:p>
            <w:pPr>
              <w:pStyle w:val="TableParagraph"/>
              <w:spacing w:line="175" w:lineRule="exact" w:before="1"/>
              <w:ind w:left="-1" w:right="89"/>
              <w:jc w:val="right"/>
              <w:rPr>
                <w:sz w:val="16"/>
              </w:rPr>
            </w:pPr>
            <w:r>
              <w:rPr>
                <w:color w:val="231F20"/>
                <w:spacing w:val="-2"/>
                <w:sz w:val="16"/>
              </w:rPr>
              <w:t>19,099,632</w:t>
            </w:r>
          </w:p>
        </w:tc>
        <w:tc>
          <w:tcPr>
            <w:tcW w:w="165" w:type="dxa"/>
          </w:tcPr>
          <w:p>
            <w:pPr>
              <w:pStyle w:val="TableParagraph"/>
              <w:rPr>
                <w:rFonts w:ascii="Times New Roman"/>
                <w:sz w:val="16"/>
              </w:rPr>
            </w:pPr>
          </w:p>
        </w:tc>
        <w:tc>
          <w:tcPr>
            <w:tcW w:w="1263" w:type="dxa"/>
          </w:tcPr>
          <w:p>
            <w:pPr>
              <w:pStyle w:val="TableParagraph"/>
              <w:rPr>
                <w:b/>
                <w:sz w:val="18"/>
              </w:rPr>
            </w:pPr>
          </w:p>
          <w:p>
            <w:pPr>
              <w:pStyle w:val="TableParagraph"/>
              <w:spacing w:before="2"/>
              <w:rPr>
                <w:b/>
                <w:sz w:val="19"/>
              </w:rPr>
            </w:pPr>
          </w:p>
          <w:p>
            <w:pPr>
              <w:pStyle w:val="TableParagraph"/>
              <w:spacing w:line="175" w:lineRule="exact" w:before="1"/>
              <w:ind w:left="-4" w:right="86"/>
              <w:jc w:val="right"/>
              <w:rPr>
                <w:sz w:val="16"/>
              </w:rPr>
            </w:pPr>
            <w:r>
              <w:rPr>
                <w:color w:val="231F20"/>
                <w:spacing w:val="-2"/>
                <w:sz w:val="16"/>
              </w:rPr>
              <w:t>(4,339,554)</w:t>
            </w:r>
          </w:p>
        </w:tc>
      </w:tr>
      <w:tr>
        <w:trPr>
          <w:trHeight w:val="203" w:hRule="atLeast"/>
        </w:trPr>
        <w:tc>
          <w:tcPr>
            <w:tcW w:w="3962" w:type="dxa"/>
          </w:tcPr>
          <w:p>
            <w:pPr>
              <w:pStyle w:val="TableParagraph"/>
              <w:spacing w:line="175" w:lineRule="exact" w:before="8"/>
              <w:ind w:left="281"/>
              <w:rPr>
                <w:sz w:val="16"/>
              </w:rPr>
            </w:pPr>
            <w:r>
              <w:rPr>
                <w:color w:val="231F20"/>
                <w:sz w:val="16"/>
              </w:rPr>
              <w:t>Academic</w:t>
            </w:r>
            <w:r>
              <w:rPr>
                <w:color w:val="231F20"/>
                <w:spacing w:val="13"/>
                <w:sz w:val="16"/>
              </w:rPr>
              <w:t> </w:t>
            </w:r>
            <w:r>
              <w:rPr>
                <w:color w:val="231F20"/>
                <w:spacing w:val="-2"/>
                <w:sz w:val="16"/>
              </w:rPr>
              <w:t>support</w:t>
            </w:r>
          </w:p>
        </w:tc>
        <w:tc>
          <w:tcPr>
            <w:tcW w:w="1211" w:type="dxa"/>
          </w:tcPr>
          <w:p>
            <w:pPr>
              <w:pStyle w:val="TableParagraph"/>
              <w:spacing w:line="175" w:lineRule="exact" w:before="8"/>
              <w:ind w:left="-2" w:right="86"/>
              <w:jc w:val="right"/>
              <w:rPr>
                <w:sz w:val="16"/>
              </w:rPr>
            </w:pPr>
            <w:r>
              <w:rPr>
                <w:color w:val="231F20"/>
                <w:spacing w:val="-2"/>
                <w:sz w:val="16"/>
              </w:rPr>
              <w:t>4,617,214</w:t>
            </w:r>
          </w:p>
        </w:tc>
        <w:tc>
          <w:tcPr>
            <w:tcW w:w="165" w:type="dxa"/>
          </w:tcPr>
          <w:p>
            <w:pPr>
              <w:pStyle w:val="TableParagraph"/>
              <w:rPr>
                <w:rFonts w:ascii="Times New Roman"/>
                <w:sz w:val="14"/>
              </w:rPr>
            </w:pPr>
          </w:p>
        </w:tc>
        <w:tc>
          <w:tcPr>
            <w:tcW w:w="1213" w:type="dxa"/>
          </w:tcPr>
          <w:p>
            <w:pPr>
              <w:pStyle w:val="TableParagraph"/>
              <w:spacing w:line="175" w:lineRule="exact" w:before="8"/>
              <w:ind w:left="-1" w:right="87"/>
              <w:jc w:val="right"/>
              <w:rPr>
                <w:sz w:val="16"/>
              </w:rPr>
            </w:pPr>
            <w:r>
              <w:rPr>
                <w:color w:val="231F20"/>
                <w:spacing w:val="-2"/>
                <w:sz w:val="16"/>
              </w:rPr>
              <w:t>4,861,655</w:t>
            </w:r>
          </w:p>
        </w:tc>
        <w:tc>
          <w:tcPr>
            <w:tcW w:w="165" w:type="dxa"/>
          </w:tcPr>
          <w:p>
            <w:pPr>
              <w:pStyle w:val="TableParagraph"/>
              <w:rPr>
                <w:rFonts w:ascii="Times New Roman"/>
                <w:sz w:val="14"/>
              </w:rPr>
            </w:pPr>
          </w:p>
        </w:tc>
        <w:tc>
          <w:tcPr>
            <w:tcW w:w="1213" w:type="dxa"/>
          </w:tcPr>
          <w:p>
            <w:pPr>
              <w:pStyle w:val="TableParagraph"/>
              <w:spacing w:line="175" w:lineRule="exact" w:before="8"/>
              <w:ind w:left="-1" w:right="89"/>
              <w:jc w:val="right"/>
              <w:rPr>
                <w:sz w:val="16"/>
              </w:rPr>
            </w:pPr>
            <w:r>
              <w:rPr>
                <w:color w:val="231F20"/>
                <w:spacing w:val="-2"/>
                <w:sz w:val="16"/>
              </w:rPr>
              <w:t>4,795,388</w:t>
            </w:r>
          </w:p>
        </w:tc>
        <w:tc>
          <w:tcPr>
            <w:tcW w:w="165" w:type="dxa"/>
          </w:tcPr>
          <w:p>
            <w:pPr>
              <w:pStyle w:val="TableParagraph"/>
              <w:rPr>
                <w:rFonts w:ascii="Times New Roman"/>
                <w:sz w:val="14"/>
              </w:rPr>
            </w:pPr>
          </w:p>
        </w:tc>
        <w:tc>
          <w:tcPr>
            <w:tcW w:w="1263" w:type="dxa"/>
          </w:tcPr>
          <w:p>
            <w:pPr>
              <w:pStyle w:val="TableParagraph"/>
              <w:spacing w:line="175" w:lineRule="exact" w:before="8"/>
              <w:ind w:left="-4" w:right="86"/>
              <w:jc w:val="right"/>
              <w:rPr>
                <w:sz w:val="16"/>
              </w:rPr>
            </w:pPr>
            <w:r>
              <w:rPr>
                <w:color w:val="231F20"/>
                <w:spacing w:val="-2"/>
                <w:sz w:val="16"/>
              </w:rPr>
              <w:t>(66,267)</w:t>
            </w:r>
          </w:p>
        </w:tc>
      </w:tr>
      <w:tr>
        <w:trPr>
          <w:trHeight w:val="203" w:hRule="atLeast"/>
        </w:trPr>
        <w:tc>
          <w:tcPr>
            <w:tcW w:w="3962" w:type="dxa"/>
          </w:tcPr>
          <w:p>
            <w:pPr>
              <w:pStyle w:val="TableParagraph"/>
              <w:spacing w:line="175" w:lineRule="exact" w:before="8"/>
              <w:ind w:left="281"/>
              <w:rPr>
                <w:sz w:val="16"/>
              </w:rPr>
            </w:pPr>
            <w:r>
              <w:rPr>
                <w:color w:val="231F20"/>
                <w:sz w:val="16"/>
              </w:rPr>
              <w:t>Student</w:t>
            </w:r>
            <w:r>
              <w:rPr>
                <w:color w:val="231F20"/>
                <w:spacing w:val="10"/>
                <w:sz w:val="16"/>
              </w:rPr>
              <w:t> </w:t>
            </w:r>
            <w:r>
              <w:rPr>
                <w:color w:val="231F20"/>
                <w:spacing w:val="-2"/>
                <w:sz w:val="16"/>
              </w:rPr>
              <w:t>services</w:t>
            </w:r>
          </w:p>
        </w:tc>
        <w:tc>
          <w:tcPr>
            <w:tcW w:w="1211" w:type="dxa"/>
          </w:tcPr>
          <w:p>
            <w:pPr>
              <w:pStyle w:val="TableParagraph"/>
              <w:spacing w:line="175" w:lineRule="exact" w:before="8"/>
              <w:ind w:left="-2" w:right="86"/>
              <w:jc w:val="right"/>
              <w:rPr>
                <w:sz w:val="16"/>
              </w:rPr>
            </w:pPr>
            <w:r>
              <w:rPr>
                <w:color w:val="231F20"/>
                <w:spacing w:val="-2"/>
                <w:sz w:val="16"/>
              </w:rPr>
              <w:t>1,992,730</w:t>
            </w:r>
          </w:p>
        </w:tc>
        <w:tc>
          <w:tcPr>
            <w:tcW w:w="165" w:type="dxa"/>
          </w:tcPr>
          <w:p>
            <w:pPr>
              <w:pStyle w:val="TableParagraph"/>
              <w:rPr>
                <w:rFonts w:ascii="Times New Roman"/>
                <w:sz w:val="14"/>
              </w:rPr>
            </w:pPr>
          </w:p>
        </w:tc>
        <w:tc>
          <w:tcPr>
            <w:tcW w:w="1213" w:type="dxa"/>
          </w:tcPr>
          <w:p>
            <w:pPr>
              <w:pStyle w:val="TableParagraph"/>
              <w:spacing w:line="175" w:lineRule="exact" w:before="8"/>
              <w:ind w:left="-1" w:right="87"/>
              <w:jc w:val="right"/>
              <w:rPr>
                <w:sz w:val="16"/>
              </w:rPr>
            </w:pPr>
            <w:r>
              <w:rPr>
                <w:color w:val="231F20"/>
                <w:spacing w:val="-2"/>
                <w:sz w:val="16"/>
              </w:rPr>
              <w:t>2,288,456</w:t>
            </w:r>
          </w:p>
        </w:tc>
        <w:tc>
          <w:tcPr>
            <w:tcW w:w="165" w:type="dxa"/>
          </w:tcPr>
          <w:p>
            <w:pPr>
              <w:pStyle w:val="TableParagraph"/>
              <w:rPr>
                <w:rFonts w:ascii="Times New Roman"/>
                <w:sz w:val="14"/>
              </w:rPr>
            </w:pPr>
          </w:p>
        </w:tc>
        <w:tc>
          <w:tcPr>
            <w:tcW w:w="1213" w:type="dxa"/>
          </w:tcPr>
          <w:p>
            <w:pPr>
              <w:pStyle w:val="TableParagraph"/>
              <w:spacing w:line="175" w:lineRule="exact" w:before="8"/>
              <w:ind w:left="-1" w:right="88"/>
              <w:jc w:val="right"/>
              <w:rPr>
                <w:sz w:val="16"/>
              </w:rPr>
            </w:pPr>
            <w:r>
              <w:rPr>
                <w:color w:val="231F20"/>
                <w:spacing w:val="-2"/>
                <w:sz w:val="16"/>
              </w:rPr>
              <w:t>1,983,808</w:t>
            </w:r>
          </w:p>
        </w:tc>
        <w:tc>
          <w:tcPr>
            <w:tcW w:w="165" w:type="dxa"/>
          </w:tcPr>
          <w:p>
            <w:pPr>
              <w:pStyle w:val="TableParagraph"/>
              <w:rPr>
                <w:rFonts w:ascii="Times New Roman"/>
                <w:sz w:val="14"/>
              </w:rPr>
            </w:pPr>
          </w:p>
        </w:tc>
        <w:tc>
          <w:tcPr>
            <w:tcW w:w="1263" w:type="dxa"/>
          </w:tcPr>
          <w:p>
            <w:pPr>
              <w:pStyle w:val="TableParagraph"/>
              <w:spacing w:line="175" w:lineRule="exact" w:before="8"/>
              <w:ind w:left="-4" w:right="85"/>
              <w:jc w:val="right"/>
              <w:rPr>
                <w:sz w:val="16"/>
              </w:rPr>
            </w:pPr>
            <w:r>
              <w:rPr>
                <w:color w:val="231F20"/>
                <w:spacing w:val="-2"/>
                <w:sz w:val="16"/>
              </w:rPr>
              <w:t>(304,648)</w:t>
            </w:r>
          </w:p>
        </w:tc>
      </w:tr>
      <w:tr>
        <w:trPr>
          <w:trHeight w:val="205" w:hRule="atLeast"/>
        </w:trPr>
        <w:tc>
          <w:tcPr>
            <w:tcW w:w="3962" w:type="dxa"/>
          </w:tcPr>
          <w:p>
            <w:pPr>
              <w:pStyle w:val="TableParagraph"/>
              <w:spacing w:line="177" w:lineRule="exact" w:before="8"/>
              <w:ind w:left="282"/>
              <w:rPr>
                <w:sz w:val="16"/>
              </w:rPr>
            </w:pPr>
            <w:r>
              <w:rPr>
                <w:color w:val="231F20"/>
                <w:sz w:val="16"/>
              </w:rPr>
              <w:t>Institutional</w:t>
            </w:r>
            <w:r>
              <w:rPr>
                <w:color w:val="231F20"/>
                <w:spacing w:val="15"/>
                <w:sz w:val="16"/>
              </w:rPr>
              <w:t> </w:t>
            </w:r>
            <w:r>
              <w:rPr>
                <w:color w:val="231F20"/>
                <w:spacing w:val="-2"/>
                <w:sz w:val="16"/>
              </w:rPr>
              <w:t>support</w:t>
            </w:r>
          </w:p>
        </w:tc>
        <w:tc>
          <w:tcPr>
            <w:tcW w:w="1211" w:type="dxa"/>
          </w:tcPr>
          <w:p>
            <w:pPr>
              <w:pStyle w:val="TableParagraph"/>
              <w:spacing w:line="177" w:lineRule="exact" w:before="8"/>
              <w:ind w:left="305"/>
              <w:rPr>
                <w:sz w:val="16"/>
              </w:rPr>
            </w:pPr>
            <w:r>
              <w:rPr>
                <w:color w:val="231F20"/>
                <w:spacing w:val="-2"/>
                <w:sz w:val="16"/>
              </w:rPr>
              <w:t>10,173,578</w:t>
            </w:r>
          </w:p>
        </w:tc>
        <w:tc>
          <w:tcPr>
            <w:tcW w:w="165" w:type="dxa"/>
          </w:tcPr>
          <w:p>
            <w:pPr>
              <w:pStyle w:val="TableParagraph"/>
              <w:rPr>
                <w:rFonts w:ascii="Times New Roman"/>
                <w:sz w:val="14"/>
              </w:rPr>
            </w:pPr>
          </w:p>
        </w:tc>
        <w:tc>
          <w:tcPr>
            <w:tcW w:w="1213" w:type="dxa"/>
          </w:tcPr>
          <w:p>
            <w:pPr>
              <w:pStyle w:val="TableParagraph"/>
              <w:spacing w:line="176" w:lineRule="exact" w:before="9"/>
              <w:ind w:left="-1" w:right="86"/>
              <w:jc w:val="right"/>
              <w:rPr>
                <w:sz w:val="16"/>
              </w:rPr>
            </w:pPr>
            <w:r>
              <w:rPr>
                <w:color w:val="231F20"/>
                <w:spacing w:val="-2"/>
                <w:sz w:val="16"/>
              </w:rPr>
              <w:t>12,178,098</w:t>
            </w:r>
          </w:p>
        </w:tc>
        <w:tc>
          <w:tcPr>
            <w:tcW w:w="165" w:type="dxa"/>
          </w:tcPr>
          <w:p>
            <w:pPr>
              <w:pStyle w:val="TableParagraph"/>
              <w:rPr>
                <w:rFonts w:ascii="Times New Roman"/>
                <w:sz w:val="14"/>
              </w:rPr>
            </w:pPr>
          </w:p>
        </w:tc>
        <w:tc>
          <w:tcPr>
            <w:tcW w:w="1213" w:type="dxa"/>
          </w:tcPr>
          <w:p>
            <w:pPr>
              <w:pStyle w:val="TableParagraph"/>
              <w:spacing w:line="176" w:lineRule="exact" w:before="9"/>
              <w:ind w:left="-1" w:right="87"/>
              <w:jc w:val="right"/>
              <w:rPr>
                <w:sz w:val="16"/>
              </w:rPr>
            </w:pPr>
            <w:r>
              <w:rPr>
                <w:color w:val="231F20"/>
                <w:spacing w:val="-2"/>
                <w:sz w:val="16"/>
              </w:rPr>
              <w:t>9,102,726</w:t>
            </w:r>
          </w:p>
        </w:tc>
        <w:tc>
          <w:tcPr>
            <w:tcW w:w="165" w:type="dxa"/>
          </w:tcPr>
          <w:p>
            <w:pPr>
              <w:pStyle w:val="TableParagraph"/>
              <w:rPr>
                <w:rFonts w:ascii="Times New Roman"/>
                <w:sz w:val="14"/>
              </w:rPr>
            </w:pPr>
          </w:p>
        </w:tc>
        <w:tc>
          <w:tcPr>
            <w:tcW w:w="1263" w:type="dxa"/>
          </w:tcPr>
          <w:p>
            <w:pPr>
              <w:pStyle w:val="TableParagraph"/>
              <w:spacing w:line="176" w:lineRule="exact" w:before="9"/>
              <w:ind w:left="-4" w:right="85"/>
              <w:jc w:val="right"/>
              <w:rPr>
                <w:sz w:val="16"/>
              </w:rPr>
            </w:pPr>
            <w:r>
              <w:rPr>
                <w:color w:val="231F20"/>
                <w:spacing w:val="-2"/>
                <w:sz w:val="16"/>
              </w:rPr>
              <w:t>(3,075,372)</w:t>
            </w:r>
          </w:p>
        </w:tc>
      </w:tr>
      <w:tr>
        <w:trPr>
          <w:trHeight w:val="295" w:hRule="atLeast"/>
        </w:trPr>
        <w:tc>
          <w:tcPr>
            <w:tcW w:w="3962" w:type="dxa"/>
          </w:tcPr>
          <w:p>
            <w:pPr>
              <w:pStyle w:val="TableParagraph"/>
              <w:spacing w:before="9"/>
              <w:ind w:left="282"/>
              <w:rPr>
                <w:sz w:val="16"/>
              </w:rPr>
            </w:pPr>
            <w:r>
              <w:rPr>
                <w:color w:val="231F20"/>
                <w:sz w:val="16"/>
              </w:rPr>
              <w:t>Operation</w:t>
            </w:r>
            <w:r>
              <w:rPr>
                <w:color w:val="231F20"/>
                <w:spacing w:val="9"/>
                <w:sz w:val="16"/>
              </w:rPr>
              <w:t> </w:t>
            </w:r>
            <w:r>
              <w:rPr>
                <w:color w:val="231F20"/>
                <w:sz w:val="16"/>
              </w:rPr>
              <w:t>and</w:t>
            </w:r>
            <w:r>
              <w:rPr>
                <w:color w:val="231F20"/>
                <w:spacing w:val="9"/>
                <w:sz w:val="16"/>
              </w:rPr>
              <w:t> </w:t>
            </w:r>
            <w:r>
              <w:rPr>
                <w:color w:val="231F20"/>
                <w:sz w:val="16"/>
              </w:rPr>
              <w:t>maintenance</w:t>
            </w:r>
            <w:r>
              <w:rPr>
                <w:color w:val="231F20"/>
                <w:spacing w:val="9"/>
                <w:sz w:val="16"/>
              </w:rPr>
              <w:t> </w:t>
            </w:r>
            <w:r>
              <w:rPr>
                <w:color w:val="231F20"/>
                <w:sz w:val="16"/>
              </w:rPr>
              <w:t>of</w:t>
            </w:r>
            <w:r>
              <w:rPr>
                <w:color w:val="231F20"/>
                <w:spacing w:val="9"/>
                <w:sz w:val="16"/>
              </w:rPr>
              <w:t> </w:t>
            </w:r>
            <w:r>
              <w:rPr>
                <w:color w:val="231F20"/>
                <w:spacing w:val="-2"/>
                <w:sz w:val="16"/>
              </w:rPr>
              <w:t>plant</w:t>
            </w:r>
          </w:p>
        </w:tc>
        <w:tc>
          <w:tcPr>
            <w:tcW w:w="1211" w:type="dxa"/>
          </w:tcPr>
          <w:p>
            <w:pPr>
              <w:pStyle w:val="TableParagraph"/>
              <w:tabs>
                <w:tab w:pos="396" w:val="left" w:leader="none"/>
              </w:tabs>
              <w:spacing w:before="9"/>
              <w:ind w:left="-2"/>
              <w:jc w:val="right"/>
              <w:rPr>
                <w:sz w:val="16"/>
              </w:rPr>
            </w:pPr>
            <w:r>
              <w:rPr>
                <w:color w:val="231F20"/>
                <w:sz w:val="16"/>
                <w:u w:val="single" w:color="231F20"/>
              </w:rPr>
              <w:tab/>
            </w:r>
            <w:r>
              <w:rPr>
                <w:color w:val="231F20"/>
                <w:spacing w:val="-2"/>
                <w:sz w:val="16"/>
                <w:u w:val="single" w:color="231F20"/>
              </w:rPr>
              <w:t>7,732,249</w:t>
            </w:r>
            <w:r>
              <w:rPr>
                <w:color w:val="231F20"/>
                <w:spacing w:val="80"/>
                <w:sz w:val="16"/>
                <w:u w:val="single" w:color="231F20"/>
              </w:rPr>
              <w:t> </w:t>
            </w:r>
          </w:p>
        </w:tc>
        <w:tc>
          <w:tcPr>
            <w:tcW w:w="165" w:type="dxa"/>
          </w:tcPr>
          <w:p>
            <w:pPr>
              <w:pStyle w:val="TableParagraph"/>
              <w:rPr>
                <w:rFonts w:ascii="Times New Roman"/>
                <w:sz w:val="16"/>
              </w:rPr>
            </w:pPr>
          </w:p>
        </w:tc>
        <w:tc>
          <w:tcPr>
            <w:tcW w:w="1213" w:type="dxa"/>
          </w:tcPr>
          <w:p>
            <w:pPr>
              <w:pStyle w:val="TableParagraph"/>
              <w:tabs>
                <w:tab w:pos="397" w:val="left" w:leader="none"/>
              </w:tabs>
              <w:spacing w:before="9"/>
              <w:ind w:left="-1" w:right="1"/>
              <w:jc w:val="right"/>
              <w:rPr>
                <w:sz w:val="16"/>
              </w:rPr>
            </w:pPr>
            <w:r>
              <w:rPr>
                <w:color w:val="231F20"/>
                <w:sz w:val="16"/>
                <w:u w:val="single" w:color="231F20"/>
              </w:rPr>
              <w:tab/>
            </w:r>
            <w:r>
              <w:rPr>
                <w:color w:val="231F20"/>
                <w:spacing w:val="-2"/>
                <w:sz w:val="16"/>
                <w:u w:val="single" w:color="231F20"/>
              </w:rPr>
              <w:t>7,354,740</w:t>
            </w:r>
            <w:r>
              <w:rPr>
                <w:color w:val="231F20"/>
                <w:spacing w:val="80"/>
                <w:sz w:val="16"/>
                <w:u w:val="single" w:color="231F20"/>
              </w:rPr>
              <w:t> </w:t>
            </w:r>
          </w:p>
        </w:tc>
        <w:tc>
          <w:tcPr>
            <w:tcW w:w="165" w:type="dxa"/>
          </w:tcPr>
          <w:p>
            <w:pPr>
              <w:pStyle w:val="TableParagraph"/>
              <w:rPr>
                <w:rFonts w:ascii="Times New Roman"/>
                <w:sz w:val="16"/>
              </w:rPr>
            </w:pPr>
          </w:p>
        </w:tc>
        <w:tc>
          <w:tcPr>
            <w:tcW w:w="1213" w:type="dxa"/>
          </w:tcPr>
          <w:p>
            <w:pPr>
              <w:pStyle w:val="TableParagraph"/>
              <w:tabs>
                <w:tab w:pos="396" w:val="left" w:leader="none"/>
              </w:tabs>
              <w:spacing w:before="9"/>
              <w:ind w:left="-3" w:right="1"/>
              <w:jc w:val="right"/>
              <w:rPr>
                <w:sz w:val="16"/>
              </w:rPr>
            </w:pPr>
            <w:r>
              <w:rPr>
                <w:color w:val="231F20"/>
                <w:sz w:val="16"/>
                <w:u w:val="single" w:color="231F20"/>
              </w:rPr>
              <w:tab/>
            </w:r>
            <w:r>
              <w:rPr>
                <w:color w:val="231F20"/>
                <w:spacing w:val="-2"/>
                <w:sz w:val="16"/>
                <w:u w:val="single" w:color="231F20"/>
              </w:rPr>
              <w:t>6,604,362</w:t>
            </w:r>
            <w:r>
              <w:rPr>
                <w:color w:val="231F20"/>
                <w:spacing w:val="80"/>
                <w:sz w:val="16"/>
                <w:u w:val="single" w:color="231F20"/>
              </w:rPr>
              <w:t> </w:t>
            </w:r>
          </w:p>
        </w:tc>
        <w:tc>
          <w:tcPr>
            <w:tcW w:w="165" w:type="dxa"/>
          </w:tcPr>
          <w:p>
            <w:pPr>
              <w:pStyle w:val="TableParagraph"/>
              <w:rPr>
                <w:rFonts w:ascii="Times New Roman"/>
                <w:sz w:val="16"/>
              </w:rPr>
            </w:pPr>
          </w:p>
        </w:tc>
        <w:tc>
          <w:tcPr>
            <w:tcW w:w="1263" w:type="dxa"/>
          </w:tcPr>
          <w:p>
            <w:pPr>
              <w:pStyle w:val="TableParagraph"/>
              <w:tabs>
                <w:tab w:pos="476" w:val="left" w:leader="none"/>
              </w:tabs>
              <w:spacing w:before="9"/>
              <w:ind w:left="-4" w:right="84"/>
              <w:jc w:val="right"/>
              <w:rPr>
                <w:sz w:val="16"/>
              </w:rPr>
            </w:pPr>
            <w:r>
              <w:rPr>
                <w:color w:val="231F20"/>
                <w:sz w:val="16"/>
                <w:u w:val="single" w:color="231F20"/>
              </w:rPr>
              <w:tab/>
            </w:r>
            <w:r>
              <w:rPr>
                <w:color w:val="231F20"/>
                <w:spacing w:val="-2"/>
                <w:sz w:val="16"/>
                <w:u w:val="single" w:color="231F20"/>
              </w:rPr>
              <w:t>(750,378)</w:t>
            </w:r>
          </w:p>
        </w:tc>
      </w:tr>
      <w:tr>
        <w:trPr>
          <w:trHeight w:val="397" w:hRule="atLeast"/>
        </w:trPr>
        <w:tc>
          <w:tcPr>
            <w:tcW w:w="3962" w:type="dxa"/>
          </w:tcPr>
          <w:p>
            <w:pPr>
              <w:pStyle w:val="TableParagraph"/>
              <w:spacing w:before="99"/>
              <w:ind w:left="512"/>
              <w:rPr>
                <w:sz w:val="16"/>
              </w:rPr>
            </w:pPr>
            <w:r>
              <w:rPr>
                <w:color w:val="231F20"/>
                <w:sz w:val="16"/>
              </w:rPr>
              <w:t>Total</w:t>
            </w:r>
            <w:r>
              <w:rPr>
                <w:color w:val="231F20"/>
                <w:spacing w:val="10"/>
                <w:sz w:val="16"/>
              </w:rPr>
              <w:t> </w:t>
            </w:r>
            <w:r>
              <w:rPr>
                <w:color w:val="231F20"/>
                <w:sz w:val="16"/>
              </w:rPr>
              <w:t>unrestricted</w:t>
            </w:r>
            <w:r>
              <w:rPr>
                <w:color w:val="231F20"/>
                <w:spacing w:val="10"/>
                <w:sz w:val="16"/>
              </w:rPr>
              <w:t> </w:t>
            </w:r>
            <w:r>
              <w:rPr>
                <w:color w:val="231F20"/>
                <w:spacing w:val="-2"/>
                <w:sz w:val="16"/>
              </w:rPr>
              <w:t>expenditures</w:t>
            </w:r>
          </w:p>
        </w:tc>
        <w:tc>
          <w:tcPr>
            <w:tcW w:w="1211" w:type="dxa"/>
          </w:tcPr>
          <w:p>
            <w:pPr>
              <w:pStyle w:val="TableParagraph"/>
              <w:tabs>
                <w:tab w:pos="305" w:val="left" w:leader="none"/>
              </w:tabs>
              <w:spacing w:before="99"/>
              <w:ind w:left="-2"/>
              <w:jc w:val="right"/>
              <w:rPr>
                <w:sz w:val="16"/>
              </w:rPr>
            </w:pPr>
            <w:r>
              <w:rPr>
                <w:color w:val="231F20"/>
                <w:sz w:val="16"/>
                <w:u w:val="single" w:color="231F20"/>
              </w:rPr>
              <w:tab/>
            </w:r>
            <w:r>
              <w:rPr>
                <w:color w:val="231F20"/>
                <w:spacing w:val="-2"/>
                <w:sz w:val="16"/>
                <w:u w:val="single" w:color="231F20"/>
              </w:rPr>
              <w:t>44,663,754</w:t>
            </w:r>
            <w:r>
              <w:rPr>
                <w:color w:val="231F20"/>
                <w:spacing w:val="80"/>
                <w:sz w:val="16"/>
                <w:u w:val="single" w:color="231F20"/>
              </w:rPr>
              <w:t> </w:t>
            </w:r>
          </w:p>
        </w:tc>
        <w:tc>
          <w:tcPr>
            <w:tcW w:w="165" w:type="dxa"/>
          </w:tcPr>
          <w:p>
            <w:pPr>
              <w:pStyle w:val="TableParagraph"/>
              <w:rPr>
                <w:rFonts w:ascii="Times New Roman"/>
                <w:sz w:val="16"/>
              </w:rPr>
            </w:pPr>
          </w:p>
        </w:tc>
        <w:tc>
          <w:tcPr>
            <w:tcW w:w="1213" w:type="dxa"/>
          </w:tcPr>
          <w:p>
            <w:pPr>
              <w:pStyle w:val="TableParagraph"/>
              <w:tabs>
                <w:tab w:pos="306" w:val="left" w:leader="none"/>
              </w:tabs>
              <w:spacing w:before="99"/>
              <w:ind w:left="-1" w:right="1"/>
              <w:jc w:val="right"/>
              <w:rPr>
                <w:sz w:val="16"/>
              </w:rPr>
            </w:pPr>
            <w:r>
              <w:rPr>
                <w:color w:val="231F20"/>
                <w:sz w:val="16"/>
                <w:u w:val="single" w:color="231F20"/>
              </w:rPr>
              <w:tab/>
            </w:r>
            <w:r>
              <w:rPr>
                <w:color w:val="231F20"/>
                <w:spacing w:val="-2"/>
                <w:sz w:val="16"/>
                <w:u w:val="single" w:color="231F20"/>
              </w:rPr>
              <w:t>50,122,135</w:t>
            </w:r>
            <w:r>
              <w:rPr>
                <w:color w:val="231F20"/>
                <w:spacing w:val="80"/>
                <w:sz w:val="16"/>
                <w:u w:val="single" w:color="231F20"/>
              </w:rPr>
              <w:t> </w:t>
            </w:r>
          </w:p>
        </w:tc>
        <w:tc>
          <w:tcPr>
            <w:tcW w:w="165" w:type="dxa"/>
          </w:tcPr>
          <w:p>
            <w:pPr>
              <w:pStyle w:val="TableParagraph"/>
              <w:rPr>
                <w:rFonts w:ascii="Times New Roman"/>
                <w:sz w:val="16"/>
              </w:rPr>
            </w:pPr>
          </w:p>
        </w:tc>
        <w:tc>
          <w:tcPr>
            <w:tcW w:w="1213" w:type="dxa"/>
          </w:tcPr>
          <w:p>
            <w:pPr>
              <w:pStyle w:val="TableParagraph"/>
              <w:tabs>
                <w:tab w:pos="305" w:val="left" w:leader="none"/>
              </w:tabs>
              <w:spacing w:before="99"/>
              <w:ind w:left="-3" w:right="1"/>
              <w:jc w:val="right"/>
              <w:rPr>
                <w:sz w:val="16"/>
              </w:rPr>
            </w:pPr>
            <w:r>
              <w:rPr>
                <w:color w:val="231F20"/>
                <w:sz w:val="16"/>
                <w:u w:val="single" w:color="231F20"/>
              </w:rPr>
              <w:tab/>
            </w:r>
            <w:r>
              <w:rPr>
                <w:color w:val="231F20"/>
                <w:spacing w:val="-2"/>
                <w:sz w:val="16"/>
                <w:u w:val="single" w:color="231F20"/>
              </w:rPr>
              <w:t>41,585,916</w:t>
            </w:r>
            <w:r>
              <w:rPr>
                <w:color w:val="231F20"/>
                <w:spacing w:val="80"/>
                <w:sz w:val="16"/>
                <w:u w:val="single" w:color="231F20"/>
              </w:rPr>
              <w:t> </w:t>
            </w:r>
          </w:p>
        </w:tc>
        <w:tc>
          <w:tcPr>
            <w:tcW w:w="165" w:type="dxa"/>
          </w:tcPr>
          <w:p>
            <w:pPr>
              <w:pStyle w:val="TableParagraph"/>
              <w:rPr>
                <w:rFonts w:ascii="Times New Roman"/>
                <w:sz w:val="16"/>
              </w:rPr>
            </w:pPr>
          </w:p>
        </w:tc>
        <w:tc>
          <w:tcPr>
            <w:tcW w:w="1263" w:type="dxa"/>
          </w:tcPr>
          <w:p>
            <w:pPr>
              <w:pStyle w:val="TableParagraph"/>
              <w:tabs>
                <w:tab w:pos="339" w:val="left" w:leader="none"/>
              </w:tabs>
              <w:spacing w:before="99"/>
              <w:ind w:left="-4" w:right="84"/>
              <w:jc w:val="right"/>
              <w:rPr>
                <w:sz w:val="16"/>
              </w:rPr>
            </w:pPr>
            <w:r>
              <w:rPr>
                <w:color w:val="231F20"/>
                <w:sz w:val="16"/>
                <w:u w:val="single" w:color="231F20"/>
              </w:rPr>
              <w:tab/>
            </w:r>
            <w:r>
              <w:rPr>
                <w:color w:val="231F20"/>
                <w:spacing w:val="-2"/>
                <w:sz w:val="16"/>
                <w:u w:val="single" w:color="231F20"/>
              </w:rPr>
              <w:t>(8,536,219)</w:t>
            </w:r>
          </w:p>
        </w:tc>
      </w:tr>
      <w:tr>
        <w:trPr>
          <w:trHeight w:val="409" w:hRule="atLeast"/>
        </w:trPr>
        <w:tc>
          <w:tcPr>
            <w:tcW w:w="3962" w:type="dxa"/>
          </w:tcPr>
          <w:p>
            <w:pPr>
              <w:pStyle w:val="TableParagraph"/>
              <w:spacing w:before="111"/>
              <w:ind w:left="55"/>
              <w:rPr>
                <w:sz w:val="16"/>
              </w:rPr>
            </w:pPr>
            <w:r>
              <w:rPr>
                <w:color w:val="231F20"/>
                <w:sz w:val="16"/>
              </w:rPr>
              <w:t>Net</w:t>
            </w:r>
            <w:r>
              <w:rPr>
                <w:color w:val="231F20"/>
                <w:spacing w:val="4"/>
                <w:sz w:val="16"/>
              </w:rPr>
              <w:t> </w:t>
            </w:r>
            <w:r>
              <w:rPr>
                <w:color w:val="231F20"/>
                <w:spacing w:val="-2"/>
                <w:sz w:val="16"/>
              </w:rPr>
              <w:t>transfers</w:t>
            </w:r>
          </w:p>
        </w:tc>
        <w:tc>
          <w:tcPr>
            <w:tcW w:w="1211" w:type="dxa"/>
          </w:tcPr>
          <w:p>
            <w:pPr>
              <w:pStyle w:val="TableParagraph"/>
              <w:tabs>
                <w:tab w:pos="343" w:val="left" w:leader="none"/>
              </w:tabs>
              <w:spacing w:before="111"/>
              <w:ind w:left="-2" w:right="31"/>
              <w:jc w:val="right"/>
              <w:rPr>
                <w:sz w:val="16"/>
              </w:rPr>
            </w:pPr>
            <w:r>
              <w:rPr>
                <w:color w:val="231F20"/>
                <w:sz w:val="16"/>
                <w:u w:val="single" w:color="231F20"/>
              </w:rPr>
              <w:tab/>
            </w:r>
            <w:r>
              <w:rPr>
                <w:color w:val="231F20"/>
                <w:spacing w:val="-2"/>
                <w:sz w:val="16"/>
                <w:u w:val="single" w:color="231F20"/>
              </w:rPr>
              <w:t>(4,920,431)</w:t>
            </w:r>
          </w:p>
        </w:tc>
        <w:tc>
          <w:tcPr>
            <w:tcW w:w="165" w:type="dxa"/>
          </w:tcPr>
          <w:p>
            <w:pPr>
              <w:pStyle w:val="TableParagraph"/>
              <w:rPr>
                <w:rFonts w:ascii="Times New Roman"/>
                <w:sz w:val="16"/>
              </w:rPr>
            </w:pPr>
          </w:p>
        </w:tc>
        <w:tc>
          <w:tcPr>
            <w:tcW w:w="1213" w:type="dxa"/>
          </w:tcPr>
          <w:p>
            <w:pPr>
              <w:pStyle w:val="TableParagraph"/>
              <w:tabs>
                <w:tab w:pos="342" w:val="left" w:leader="none"/>
              </w:tabs>
              <w:spacing w:before="111"/>
              <w:ind w:left="-1" w:right="31"/>
              <w:jc w:val="right"/>
              <w:rPr>
                <w:sz w:val="16"/>
              </w:rPr>
            </w:pPr>
            <w:r>
              <w:rPr>
                <w:color w:val="231F20"/>
                <w:sz w:val="16"/>
                <w:u w:val="single" w:color="231F20"/>
              </w:rPr>
              <w:tab/>
            </w:r>
            <w:r>
              <w:rPr>
                <w:color w:val="231F20"/>
                <w:spacing w:val="-2"/>
                <w:sz w:val="16"/>
                <w:u w:val="single" w:color="231F20"/>
              </w:rPr>
              <w:t>(8,852,451)</w:t>
            </w:r>
          </w:p>
        </w:tc>
        <w:tc>
          <w:tcPr>
            <w:tcW w:w="165" w:type="dxa"/>
          </w:tcPr>
          <w:p>
            <w:pPr>
              <w:pStyle w:val="TableParagraph"/>
              <w:rPr>
                <w:rFonts w:ascii="Times New Roman"/>
                <w:sz w:val="16"/>
              </w:rPr>
            </w:pPr>
          </w:p>
        </w:tc>
        <w:tc>
          <w:tcPr>
            <w:tcW w:w="1213" w:type="dxa"/>
          </w:tcPr>
          <w:p>
            <w:pPr>
              <w:pStyle w:val="TableParagraph"/>
              <w:tabs>
                <w:tab w:pos="250" w:val="left" w:leader="none"/>
              </w:tabs>
              <w:spacing w:before="111"/>
              <w:ind w:left="-3" w:right="33"/>
              <w:jc w:val="right"/>
              <w:rPr>
                <w:sz w:val="16"/>
              </w:rPr>
            </w:pPr>
            <w:r>
              <w:rPr>
                <w:color w:val="231F20"/>
                <w:sz w:val="16"/>
                <w:u w:val="single" w:color="231F20"/>
              </w:rPr>
              <w:tab/>
            </w:r>
            <w:r>
              <w:rPr>
                <w:color w:val="231F20"/>
                <w:spacing w:val="-2"/>
                <w:sz w:val="16"/>
                <w:u w:val="single" w:color="231F20"/>
              </w:rPr>
              <w:t>(12,443,763)</w:t>
            </w:r>
          </w:p>
        </w:tc>
        <w:tc>
          <w:tcPr>
            <w:tcW w:w="165" w:type="dxa"/>
          </w:tcPr>
          <w:p>
            <w:pPr>
              <w:pStyle w:val="TableParagraph"/>
              <w:rPr>
                <w:rFonts w:ascii="Times New Roman"/>
                <w:sz w:val="16"/>
              </w:rPr>
            </w:pPr>
          </w:p>
        </w:tc>
        <w:tc>
          <w:tcPr>
            <w:tcW w:w="1263" w:type="dxa"/>
          </w:tcPr>
          <w:p>
            <w:pPr>
              <w:pStyle w:val="TableParagraph"/>
              <w:tabs>
                <w:tab w:pos="339" w:val="left" w:leader="none"/>
              </w:tabs>
              <w:spacing w:before="111"/>
              <w:ind w:left="-4" w:right="84"/>
              <w:jc w:val="right"/>
              <w:rPr>
                <w:sz w:val="16"/>
              </w:rPr>
            </w:pPr>
            <w:r>
              <w:rPr>
                <w:color w:val="231F20"/>
                <w:sz w:val="16"/>
                <w:u w:val="single" w:color="231F20"/>
              </w:rPr>
              <w:tab/>
            </w:r>
            <w:r>
              <w:rPr>
                <w:color w:val="231F20"/>
                <w:spacing w:val="-2"/>
                <w:sz w:val="16"/>
                <w:u w:val="single" w:color="231F20"/>
              </w:rPr>
              <w:t>(3,591,312)</w:t>
            </w:r>
          </w:p>
        </w:tc>
      </w:tr>
      <w:tr>
        <w:trPr>
          <w:trHeight w:val="414" w:hRule="atLeast"/>
        </w:trPr>
        <w:tc>
          <w:tcPr>
            <w:tcW w:w="3962" w:type="dxa"/>
          </w:tcPr>
          <w:p>
            <w:pPr>
              <w:pStyle w:val="TableParagraph"/>
              <w:spacing w:before="111"/>
              <w:ind w:left="55"/>
              <w:rPr>
                <w:sz w:val="16"/>
              </w:rPr>
            </w:pPr>
            <w:r>
              <w:rPr>
                <w:color w:val="231F20"/>
                <w:sz w:val="16"/>
              </w:rPr>
              <w:t>Change</w:t>
            </w:r>
            <w:r>
              <w:rPr>
                <w:color w:val="231F20"/>
                <w:spacing w:val="8"/>
                <w:sz w:val="16"/>
              </w:rPr>
              <w:t> </w:t>
            </w:r>
            <w:r>
              <w:rPr>
                <w:color w:val="231F20"/>
                <w:sz w:val="16"/>
              </w:rPr>
              <w:t>in</w:t>
            </w:r>
            <w:r>
              <w:rPr>
                <w:color w:val="231F20"/>
                <w:spacing w:val="7"/>
                <w:sz w:val="16"/>
              </w:rPr>
              <w:t> </w:t>
            </w:r>
            <w:r>
              <w:rPr>
                <w:color w:val="231F20"/>
                <w:sz w:val="16"/>
              </w:rPr>
              <w:t>net</w:t>
            </w:r>
            <w:r>
              <w:rPr>
                <w:color w:val="231F20"/>
                <w:spacing w:val="8"/>
                <w:sz w:val="16"/>
              </w:rPr>
              <w:t> </w:t>
            </w:r>
            <w:r>
              <w:rPr>
                <w:color w:val="231F20"/>
                <w:sz w:val="16"/>
              </w:rPr>
              <w:t>(deficit)</w:t>
            </w:r>
            <w:r>
              <w:rPr>
                <w:color w:val="231F20"/>
                <w:spacing w:val="8"/>
                <w:sz w:val="16"/>
              </w:rPr>
              <w:t> </w:t>
            </w:r>
            <w:r>
              <w:rPr>
                <w:color w:val="231F20"/>
                <w:sz w:val="16"/>
              </w:rPr>
              <w:t>position</w:t>
            </w:r>
            <w:r>
              <w:rPr>
                <w:color w:val="231F20"/>
                <w:spacing w:val="8"/>
                <w:sz w:val="16"/>
              </w:rPr>
              <w:t> </w:t>
            </w:r>
            <w:r>
              <w:rPr>
                <w:color w:val="231F20"/>
                <w:sz w:val="16"/>
              </w:rPr>
              <w:t>(budgetary</w:t>
            </w:r>
            <w:r>
              <w:rPr>
                <w:color w:val="231F20"/>
                <w:spacing w:val="8"/>
                <w:sz w:val="16"/>
              </w:rPr>
              <w:t> </w:t>
            </w:r>
            <w:r>
              <w:rPr>
                <w:color w:val="231F20"/>
                <w:spacing w:val="-2"/>
                <w:sz w:val="16"/>
              </w:rPr>
              <w:t>basis)</w:t>
            </w:r>
          </w:p>
        </w:tc>
        <w:tc>
          <w:tcPr>
            <w:tcW w:w="1211" w:type="dxa"/>
          </w:tcPr>
          <w:p>
            <w:pPr>
              <w:pStyle w:val="TableParagraph"/>
              <w:tabs>
                <w:tab w:pos="476" w:val="left" w:leader="none"/>
              </w:tabs>
              <w:spacing w:before="111"/>
              <w:ind w:left="-2" w:right="32"/>
              <w:jc w:val="right"/>
              <w:rPr>
                <w:sz w:val="16"/>
              </w:rPr>
            </w:pPr>
            <w:r>
              <w:rPr>
                <w:color w:val="231F20"/>
                <w:sz w:val="16"/>
                <w:u w:val="single" w:color="231F20"/>
              </w:rPr>
              <w:tab/>
            </w:r>
            <w:r>
              <w:rPr>
                <w:color w:val="231F20"/>
                <w:spacing w:val="-2"/>
                <w:sz w:val="16"/>
                <w:u w:val="single" w:color="231F20"/>
              </w:rPr>
              <w:t>(101,241)</w:t>
            </w:r>
          </w:p>
        </w:tc>
        <w:tc>
          <w:tcPr>
            <w:tcW w:w="165" w:type="dxa"/>
          </w:tcPr>
          <w:p>
            <w:pPr>
              <w:pStyle w:val="TableParagraph"/>
              <w:rPr>
                <w:rFonts w:ascii="Times New Roman"/>
                <w:sz w:val="16"/>
              </w:rPr>
            </w:pPr>
          </w:p>
        </w:tc>
        <w:tc>
          <w:tcPr>
            <w:tcW w:w="1213" w:type="dxa"/>
          </w:tcPr>
          <w:p>
            <w:pPr>
              <w:pStyle w:val="TableParagraph"/>
              <w:tabs>
                <w:tab w:pos="343" w:val="left" w:leader="none"/>
              </w:tabs>
              <w:spacing w:before="111"/>
              <w:ind w:left="-1" w:right="31"/>
              <w:jc w:val="right"/>
              <w:rPr>
                <w:sz w:val="16"/>
              </w:rPr>
            </w:pPr>
            <w:r>
              <w:rPr>
                <w:color w:val="231F20"/>
                <w:sz w:val="16"/>
                <w:u w:val="single" w:color="231F20"/>
              </w:rPr>
              <w:tab/>
            </w:r>
            <w:r>
              <w:rPr>
                <w:color w:val="231F20"/>
                <w:spacing w:val="-2"/>
                <w:sz w:val="16"/>
                <w:u w:val="single" w:color="231F20"/>
              </w:rPr>
              <w:t>(9,274,489)</w:t>
            </w:r>
          </w:p>
        </w:tc>
        <w:tc>
          <w:tcPr>
            <w:tcW w:w="165" w:type="dxa"/>
          </w:tcPr>
          <w:p>
            <w:pPr>
              <w:pStyle w:val="TableParagraph"/>
              <w:rPr>
                <w:rFonts w:ascii="Times New Roman"/>
                <w:sz w:val="16"/>
              </w:rPr>
            </w:pPr>
          </w:p>
        </w:tc>
        <w:tc>
          <w:tcPr>
            <w:tcW w:w="1213" w:type="dxa"/>
          </w:tcPr>
          <w:p>
            <w:pPr>
              <w:pStyle w:val="TableParagraph"/>
              <w:tabs>
                <w:tab w:pos="478" w:val="left" w:leader="none"/>
              </w:tabs>
              <w:spacing w:before="111"/>
              <w:ind w:left="-3" w:right="32"/>
              <w:jc w:val="right"/>
              <w:rPr>
                <w:sz w:val="16"/>
              </w:rPr>
            </w:pPr>
            <w:r>
              <w:rPr>
                <w:color w:val="231F20"/>
                <w:sz w:val="16"/>
                <w:u w:val="single" w:color="231F20"/>
              </w:rPr>
              <w:tab/>
            </w:r>
            <w:r>
              <w:rPr>
                <w:color w:val="231F20"/>
                <w:spacing w:val="-2"/>
                <w:sz w:val="16"/>
                <w:u w:val="single" w:color="231F20"/>
              </w:rPr>
              <w:t>(733,336)</w:t>
            </w:r>
          </w:p>
        </w:tc>
        <w:tc>
          <w:tcPr>
            <w:tcW w:w="165" w:type="dxa"/>
          </w:tcPr>
          <w:p>
            <w:pPr>
              <w:pStyle w:val="TableParagraph"/>
              <w:rPr>
                <w:rFonts w:ascii="Times New Roman"/>
                <w:sz w:val="16"/>
              </w:rPr>
            </w:pPr>
          </w:p>
        </w:tc>
        <w:tc>
          <w:tcPr>
            <w:tcW w:w="1263" w:type="dxa"/>
          </w:tcPr>
          <w:p>
            <w:pPr>
              <w:pStyle w:val="TableParagraph"/>
              <w:tabs>
                <w:tab w:pos="395" w:val="left" w:leader="none"/>
              </w:tabs>
              <w:spacing w:before="111"/>
              <w:ind w:left="-4" w:right="52"/>
              <w:jc w:val="right"/>
              <w:rPr>
                <w:sz w:val="16"/>
              </w:rPr>
            </w:pPr>
            <w:r>
              <w:rPr>
                <w:color w:val="231F20"/>
                <w:sz w:val="16"/>
                <w:u w:val="single" w:color="231F20"/>
              </w:rPr>
              <w:tab/>
            </w:r>
            <w:r>
              <w:rPr>
                <w:color w:val="231F20"/>
                <w:spacing w:val="-2"/>
                <w:sz w:val="16"/>
                <w:u w:val="single" w:color="231F20"/>
              </w:rPr>
              <w:t>8,541,153</w:t>
            </w:r>
            <w:r>
              <w:rPr>
                <w:color w:val="231F20"/>
                <w:spacing w:val="80"/>
                <w:sz w:val="16"/>
                <w:u w:val="single" w:color="231F20"/>
              </w:rPr>
              <w:t> </w:t>
            </w:r>
          </w:p>
        </w:tc>
      </w:tr>
      <w:tr>
        <w:trPr>
          <w:trHeight w:val="336" w:hRule="atLeast"/>
        </w:trPr>
        <w:tc>
          <w:tcPr>
            <w:tcW w:w="3962" w:type="dxa"/>
          </w:tcPr>
          <w:p>
            <w:pPr>
              <w:pStyle w:val="TableParagraph"/>
              <w:spacing w:before="116"/>
              <w:ind w:left="55"/>
              <w:rPr>
                <w:sz w:val="16"/>
              </w:rPr>
            </w:pPr>
            <w:r>
              <w:rPr>
                <w:color w:val="231F20"/>
                <w:sz w:val="16"/>
              </w:rPr>
              <w:t>Ending</w:t>
            </w:r>
            <w:r>
              <w:rPr>
                <w:color w:val="231F20"/>
                <w:spacing w:val="6"/>
                <w:sz w:val="16"/>
              </w:rPr>
              <w:t> </w:t>
            </w:r>
            <w:r>
              <w:rPr>
                <w:color w:val="231F20"/>
                <w:sz w:val="16"/>
              </w:rPr>
              <w:t>net</w:t>
            </w:r>
            <w:r>
              <w:rPr>
                <w:color w:val="231F20"/>
                <w:spacing w:val="7"/>
                <w:sz w:val="16"/>
              </w:rPr>
              <w:t> </w:t>
            </w:r>
            <w:r>
              <w:rPr>
                <w:color w:val="231F20"/>
                <w:spacing w:val="-2"/>
                <w:sz w:val="16"/>
              </w:rPr>
              <w:t>position</w:t>
            </w:r>
          </w:p>
        </w:tc>
        <w:tc>
          <w:tcPr>
            <w:tcW w:w="1211" w:type="dxa"/>
            <w:tcBorders>
              <w:bottom w:val="single" w:sz="8" w:space="0" w:color="231F20"/>
            </w:tcBorders>
          </w:tcPr>
          <w:p>
            <w:pPr>
              <w:pStyle w:val="TableParagraph"/>
              <w:tabs>
                <w:tab w:pos="397" w:val="left" w:leader="none"/>
              </w:tabs>
              <w:spacing w:before="116"/>
              <w:ind w:left="-1"/>
              <w:jc w:val="right"/>
              <w:rPr>
                <w:sz w:val="16"/>
              </w:rPr>
            </w:pPr>
            <w:r>
              <w:rPr>
                <w:color w:val="231F20"/>
                <w:spacing w:val="40"/>
                <w:sz w:val="16"/>
                <w:u w:val="single" w:color="231F20"/>
              </w:rPr>
              <w:t> </w:t>
            </w:r>
            <w:r>
              <w:rPr>
                <w:color w:val="231F20"/>
                <w:spacing w:val="-10"/>
                <w:sz w:val="16"/>
                <w:u w:val="single" w:color="231F20"/>
              </w:rPr>
              <w:t>$</w:t>
            </w:r>
            <w:r>
              <w:rPr>
                <w:color w:val="231F20"/>
                <w:sz w:val="16"/>
                <w:u w:val="single" w:color="231F20"/>
              </w:rPr>
              <w:tab/>
            </w:r>
            <w:r>
              <w:rPr>
                <w:color w:val="231F20"/>
                <w:spacing w:val="-2"/>
                <w:sz w:val="16"/>
                <w:u w:val="single" w:color="231F20"/>
              </w:rPr>
              <w:t>1,040,555</w:t>
            </w:r>
            <w:r>
              <w:rPr>
                <w:color w:val="231F20"/>
                <w:spacing w:val="80"/>
                <w:sz w:val="16"/>
                <w:u w:val="single" w:color="231F20"/>
              </w:rPr>
              <w:t> </w:t>
            </w:r>
          </w:p>
        </w:tc>
        <w:tc>
          <w:tcPr>
            <w:tcW w:w="165" w:type="dxa"/>
          </w:tcPr>
          <w:p>
            <w:pPr>
              <w:pStyle w:val="TableParagraph"/>
              <w:rPr>
                <w:rFonts w:ascii="Times New Roman"/>
                <w:sz w:val="16"/>
              </w:rPr>
            </w:pPr>
          </w:p>
        </w:tc>
        <w:tc>
          <w:tcPr>
            <w:tcW w:w="1213" w:type="dxa"/>
            <w:tcBorders>
              <w:bottom w:val="single" w:sz="8" w:space="0" w:color="231F20"/>
            </w:tcBorders>
          </w:tcPr>
          <w:p>
            <w:pPr>
              <w:pStyle w:val="TableParagraph"/>
              <w:tabs>
                <w:tab w:pos="397" w:val="left" w:leader="none"/>
              </w:tabs>
              <w:spacing w:before="116"/>
              <w:ind w:right="1"/>
              <w:jc w:val="right"/>
              <w:rPr>
                <w:sz w:val="16"/>
              </w:rPr>
            </w:pPr>
            <w:r>
              <w:rPr>
                <w:color w:val="231F20"/>
                <w:spacing w:val="42"/>
                <w:sz w:val="16"/>
                <w:u w:val="single" w:color="231F20"/>
              </w:rPr>
              <w:t> </w:t>
            </w:r>
            <w:r>
              <w:rPr>
                <w:color w:val="231F20"/>
                <w:spacing w:val="-10"/>
                <w:sz w:val="16"/>
                <w:u w:val="single" w:color="231F20"/>
              </w:rPr>
              <w:t>$</w:t>
            </w:r>
            <w:r>
              <w:rPr>
                <w:color w:val="231F20"/>
                <w:sz w:val="16"/>
                <w:u w:val="single" w:color="231F20"/>
              </w:rPr>
              <w:tab/>
            </w:r>
            <w:r>
              <w:rPr>
                <w:color w:val="231F20"/>
                <w:spacing w:val="-2"/>
                <w:sz w:val="16"/>
                <w:u w:val="single" w:color="231F20"/>
              </w:rPr>
              <w:t>1,778,708</w:t>
            </w:r>
            <w:r>
              <w:rPr>
                <w:color w:val="231F20"/>
                <w:spacing w:val="80"/>
                <w:sz w:val="16"/>
                <w:u w:val="single" w:color="231F20"/>
              </w:rPr>
              <w:t> </w:t>
            </w:r>
          </w:p>
        </w:tc>
        <w:tc>
          <w:tcPr>
            <w:tcW w:w="165" w:type="dxa"/>
          </w:tcPr>
          <w:p>
            <w:pPr>
              <w:pStyle w:val="TableParagraph"/>
              <w:rPr>
                <w:rFonts w:ascii="Times New Roman"/>
                <w:sz w:val="16"/>
              </w:rPr>
            </w:pPr>
          </w:p>
        </w:tc>
        <w:tc>
          <w:tcPr>
            <w:tcW w:w="1213" w:type="dxa"/>
            <w:tcBorders>
              <w:bottom w:val="single" w:sz="8" w:space="0" w:color="231F20"/>
            </w:tcBorders>
          </w:tcPr>
          <w:p>
            <w:pPr>
              <w:pStyle w:val="TableParagraph"/>
              <w:spacing w:before="116"/>
              <w:ind w:left="-2" w:right="1"/>
              <w:jc w:val="right"/>
              <w:rPr>
                <w:sz w:val="16"/>
              </w:rPr>
            </w:pPr>
            <w:r>
              <w:rPr>
                <w:color w:val="231F20"/>
                <w:spacing w:val="42"/>
                <w:sz w:val="16"/>
                <w:u w:val="single" w:color="231F20"/>
              </w:rPr>
              <w:t> </w:t>
            </w:r>
            <w:r>
              <w:rPr>
                <w:color w:val="231F20"/>
                <w:sz w:val="16"/>
                <w:u w:val="single" w:color="231F20"/>
              </w:rPr>
              <w:t>$</w:t>
            </w:r>
            <w:r>
              <w:rPr>
                <w:color w:val="231F20"/>
                <w:spacing w:val="62"/>
                <w:w w:val="150"/>
                <w:sz w:val="16"/>
                <w:u w:val="single" w:color="231F20"/>
              </w:rPr>
              <w:t> </w:t>
            </w:r>
            <w:r>
              <w:rPr>
                <w:color w:val="231F20"/>
                <w:spacing w:val="-2"/>
                <w:sz w:val="16"/>
                <w:u w:val="single" w:color="231F20"/>
              </w:rPr>
              <w:t>10,319,861</w:t>
            </w:r>
            <w:r>
              <w:rPr>
                <w:color w:val="231F20"/>
                <w:spacing w:val="80"/>
                <w:sz w:val="16"/>
                <w:u w:val="single" w:color="231F20"/>
              </w:rPr>
              <w:t> </w:t>
            </w:r>
          </w:p>
        </w:tc>
        <w:tc>
          <w:tcPr>
            <w:tcW w:w="165" w:type="dxa"/>
          </w:tcPr>
          <w:p>
            <w:pPr>
              <w:pStyle w:val="TableParagraph"/>
              <w:rPr>
                <w:rFonts w:ascii="Times New Roman"/>
                <w:sz w:val="16"/>
              </w:rPr>
            </w:pPr>
          </w:p>
        </w:tc>
        <w:tc>
          <w:tcPr>
            <w:tcW w:w="1263" w:type="dxa"/>
            <w:tcBorders>
              <w:bottom w:val="single" w:sz="8" w:space="0" w:color="231F20"/>
            </w:tcBorders>
          </w:tcPr>
          <w:p>
            <w:pPr>
              <w:pStyle w:val="TableParagraph"/>
              <w:tabs>
                <w:tab w:pos="394" w:val="left" w:leader="none"/>
              </w:tabs>
              <w:spacing w:before="116"/>
              <w:ind w:left="-3" w:right="52"/>
              <w:jc w:val="right"/>
              <w:rPr>
                <w:sz w:val="16"/>
              </w:rPr>
            </w:pPr>
            <w:r>
              <w:rPr>
                <w:color w:val="231F20"/>
                <w:spacing w:val="42"/>
                <w:sz w:val="16"/>
                <w:u w:val="single" w:color="231F20"/>
              </w:rPr>
              <w:t> </w:t>
            </w:r>
            <w:r>
              <w:rPr>
                <w:color w:val="231F20"/>
                <w:spacing w:val="-10"/>
                <w:sz w:val="16"/>
                <w:u w:val="single" w:color="231F20"/>
              </w:rPr>
              <w:t>$</w:t>
            </w:r>
            <w:r>
              <w:rPr>
                <w:color w:val="231F20"/>
                <w:sz w:val="16"/>
                <w:u w:val="single" w:color="231F20"/>
              </w:rPr>
              <w:tab/>
            </w:r>
            <w:r>
              <w:rPr>
                <w:color w:val="231F20"/>
                <w:spacing w:val="-2"/>
                <w:sz w:val="16"/>
                <w:u w:val="single" w:color="231F20"/>
              </w:rPr>
              <w:t>8,541,153</w:t>
            </w:r>
            <w:r>
              <w:rPr>
                <w:color w:val="231F20"/>
                <w:spacing w:val="80"/>
                <w:sz w:val="16"/>
                <w:u w:val="single" w:color="231F20"/>
              </w:rPr>
              <w:t> </w:t>
            </w:r>
          </w:p>
        </w:tc>
      </w:tr>
      <w:tr>
        <w:trPr>
          <w:trHeight w:val="366" w:hRule="atLeast"/>
        </w:trPr>
        <w:tc>
          <w:tcPr>
            <w:tcW w:w="3962" w:type="dxa"/>
          </w:tcPr>
          <w:p>
            <w:pPr>
              <w:pStyle w:val="TableParagraph"/>
              <w:spacing w:before="9"/>
              <w:rPr>
                <w:b/>
                <w:sz w:val="18"/>
              </w:rPr>
            </w:pPr>
          </w:p>
          <w:p>
            <w:pPr>
              <w:pStyle w:val="TableParagraph"/>
              <w:spacing w:line="130" w:lineRule="exact"/>
              <w:ind w:left="50"/>
              <w:rPr>
                <w:sz w:val="13"/>
              </w:rPr>
            </w:pPr>
            <w:r>
              <w:rPr>
                <w:color w:val="231F20"/>
                <w:sz w:val="13"/>
              </w:rPr>
              <w:t>See</w:t>
            </w:r>
            <w:r>
              <w:rPr>
                <w:color w:val="231F20"/>
                <w:spacing w:val="-5"/>
                <w:sz w:val="13"/>
              </w:rPr>
              <w:t> </w:t>
            </w:r>
            <w:r>
              <w:rPr>
                <w:color w:val="231F20"/>
                <w:sz w:val="13"/>
              </w:rPr>
              <w:t>accompanying</w:t>
            </w:r>
            <w:r>
              <w:rPr>
                <w:color w:val="231F20"/>
                <w:spacing w:val="-5"/>
                <w:sz w:val="13"/>
              </w:rPr>
              <w:t> </w:t>
            </w:r>
            <w:r>
              <w:rPr>
                <w:color w:val="231F20"/>
                <w:sz w:val="13"/>
              </w:rPr>
              <w:t>independent</w:t>
            </w:r>
            <w:r>
              <w:rPr>
                <w:color w:val="231F20"/>
                <w:spacing w:val="-6"/>
                <w:sz w:val="13"/>
              </w:rPr>
              <w:t> </w:t>
            </w:r>
            <w:r>
              <w:rPr>
                <w:color w:val="231F20"/>
                <w:sz w:val="13"/>
              </w:rPr>
              <w:t>auditor’s</w:t>
            </w:r>
            <w:r>
              <w:rPr>
                <w:color w:val="231F20"/>
                <w:spacing w:val="-5"/>
                <w:sz w:val="13"/>
              </w:rPr>
              <w:t> </w:t>
            </w:r>
            <w:r>
              <w:rPr>
                <w:color w:val="231F20"/>
                <w:spacing w:val="-2"/>
                <w:sz w:val="13"/>
              </w:rPr>
              <w:t>report.</w:t>
            </w:r>
          </w:p>
        </w:tc>
        <w:tc>
          <w:tcPr>
            <w:tcW w:w="1211" w:type="dxa"/>
            <w:tcBorders>
              <w:top w:val="single" w:sz="8" w:space="0" w:color="231F20"/>
            </w:tcBorders>
          </w:tcPr>
          <w:p>
            <w:pPr>
              <w:pStyle w:val="TableParagraph"/>
              <w:rPr>
                <w:rFonts w:ascii="Times New Roman"/>
                <w:sz w:val="16"/>
              </w:rPr>
            </w:pPr>
          </w:p>
        </w:tc>
        <w:tc>
          <w:tcPr>
            <w:tcW w:w="165" w:type="dxa"/>
          </w:tcPr>
          <w:p>
            <w:pPr>
              <w:pStyle w:val="TableParagraph"/>
              <w:rPr>
                <w:rFonts w:ascii="Times New Roman"/>
                <w:sz w:val="16"/>
              </w:rPr>
            </w:pPr>
          </w:p>
        </w:tc>
        <w:tc>
          <w:tcPr>
            <w:tcW w:w="1213" w:type="dxa"/>
            <w:tcBorders>
              <w:top w:val="single" w:sz="8" w:space="0" w:color="231F20"/>
            </w:tcBorders>
          </w:tcPr>
          <w:p>
            <w:pPr>
              <w:pStyle w:val="TableParagraph"/>
              <w:rPr>
                <w:rFonts w:ascii="Times New Roman"/>
                <w:sz w:val="16"/>
              </w:rPr>
            </w:pPr>
          </w:p>
        </w:tc>
        <w:tc>
          <w:tcPr>
            <w:tcW w:w="165" w:type="dxa"/>
          </w:tcPr>
          <w:p>
            <w:pPr>
              <w:pStyle w:val="TableParagraph"/>
              <w:rPr>
                <w:rFonts w:ascii="Times New Roman"/>
                <w:sz w:val="16"/>
              </w:rPr>
            </w:pPr>
          </w:p>
        </w:tc>
        <w:tc>
          <w:tcPr>
            <w:tcW w:w="1213" w:type="dxa"/>
            <w:tcBorders>
              <w:top w:val="single" w:sz="8" w:space="0" w:color="231F20"/>
            </w:tcBorders>
          </w:tcPr>
          <w:p>
            <w:pPr>
              <w:pStyle w:val="TableParagraph"/>
              <w:rPr>
                <w:rFonts w:ascii="Times New Roman"/>
                <w:sz w:val="16"/>
              </w:rPr>
            </w:pPr>
          </w:p>
        </w:tc>
        <w:tc>
          <w:tcPr>
            <w:tcW w:w="165" w:type="dxa"/>
          </w:tcPr>
          <w:p>
            <w:pPr>
              <w:pStyle w:val="TableParagraph"/>
              <w:rPr>
                <w:rFonts w:ascii="Times New Roman"/>
                <w:sz w:val="16"/>
              </w:rPr>
            </w:pPr>
          </w:p>
        </w:tc>
        <w:tc>
          <w:tcPr>
            <w:tcW w:w="1263" w:type="dxa"/>
            <w:tcBorders>
              <w:top w:val="single" w:sz="8" w:space="0" w:color="231F20"/>
            </w:tcBorders>
          </w:tcPr>
          <w:p>
            <w:pPr>
              <w:pStyle w:val="TableParagraph"/>
              <w:rPr>
                <w:rFonts w:ascii="Times New Roman"/>
                <w:sz w:val="16"/>
              </w:rPr>
            </w:pPr>
          </w:p>
        </w:tc>
      </w:tr>
    </w:tbl>
    <w:p>
      <w:pPr>
        <w:spacing w:after="0"/>
        <w:rPr>
          <w:rFonts w:ascii="Times New Roman"/>
          <w:sz w:val="16"/>
        </w:rPr>
        <w:sectPr>
          <w:pgSz w:w="12240" w:h="15840"/>
          <w:pgMar w:header="994" w:footer="1097" w:top="1300" w:bottom="1280" w:left="1280" w:right="1280"/>
        </w:sectPr>
      </w:pPr>
    </w:p>
    <w:p>
      <w:pPr>
        <w:spacing w:before="1"/>
        <w:ind w:left="4058" w:right="1941" w:hanging="1727"/>
        <w:jc w:val="left"/>
        <w:rPr>
          <w:b/>
          <w:sz w:val="24"/>
        </w:rPr>
      </w:pPr>
      <w:r>
        <w:rPr/>
        <w:pict>
          <v:rect style="position:absolute;margin-left:70.5pt;margin-top:28.525633pt;width:471.001pt;height:1.5pt;mso-position-horizontal-relative:page;mso-position-vertical-relative:paragraph;z-index:-15631872;mso-wrap-distance-left:0;mso-wrap-distance-right:0" id="docshape460" filled="true" fillcolor="#231f20" stroked="false">
            <v:fill type="solid"/>
            <w10:wrap type="topAndBottom"/>
          </v:rect>
        </w:pict>
      </w:r>
      <w:r>
        <w:rPr>
          <w:b/>
          <w:color w:val="231F20"/>
          <w:sz w:val="24"/>
        </w:rPr>
        <w:t>Schedule</w:t>
      </w:r>
      <w:r>
        <w:rPr>
          <w:b/>
          <w:color w:val="231F20"/>
          <w:spacing w:val="-7"/>
          <w:sz w:val="24"/>
        </w:rPr>
        <w:t> </w:t>
      </w:r>
      <w:r>
        <w:rPr>
          <w:b/>
          <w:color w:val="231F20"/>
          <w:sz w:val="24"/>
        </w:rPr>
        <w:t>of</w:t>
      </w:r>
      <w:r>
        <w:rPr>
          <w:b/>
          <w:color w:val="231F20"/>
          <w:spacing w:val="-7"/>
          <w:sz w:val="24"/>
        </w:rPr>
        <w:t> </w:t>
      </w:r>
      <w:r>
        <w:rPr>
          <w:b/>
          <w:color w:val="231F20"/>
          <w:sz w:val="24"/>
        </w:rPr>
        <w:t>Pledged</w:t>
      </w:r>
      <w:r>
        <w:rPr>
          <w:b/>
          <w:color w:val="231F20"/>
          <w:spacing w:val="-7"/>
          <w:sz w:val="24"/>
        </w:rPr>
        <w:t> </w:t>
      </w:r>
      <w:r>
        <w:rPr>
          <w:b/>
          <w:color w:val="231F20"/>
          <w:sz w:val="24"/>
        </w:rPr>
        <w:t>Collateral</w:t>
      </w:r>
      <w:r>
        <w:rPr>
          <w:b/>
          <w:color w:val="231F20"/>
          <w:spacing w:val="-7"/>
          <w:sz w:val="24"/>
        </w:rPr>
        <w:t> </w:t>
      </w:r>
      <w:r>
        <w:rPr>
          <w:b/>
          <w:color w:val="231F20"/>
          <w:sz w:val="24"/>
        </w:rPr>
        <w:t>(Schedule</w:t>
      </w:r>
      <w:r>
        <w:rPr>
          <w:b/>
          <w:color w:val="231F20"/>
          <w:spacing w:val="-7"/>
          <w:sz w:val="24"/>
        </w:rPr>
        <w:t> </w:t>
      </w:r>
      <w:r>
        <w:rPr>
          <w:b/>
          <w:color w:val="231F20"/>
          <w:sz w:val="24"/>
        </w:rPr>
        <w:t>5) June 30, 2022</w:t>
      </w:r>
    </w:p>
    <w:p>
      <w:pPr>
        <w:pStyle w:val="BodyText"/>
        <w:rPr>
          <w:b/>
        </w:rPr>
      </w:pPr>
    </w:p>
    <w:p>
      <w:pPr>
        <w:pStyle w:val="BodyText"/>
        <w:rPr>
          <w:b/>
          <w:sz w:val="14"/>
        </w:rPr>
      </w:pPr>
    </w:p>
    <w:p>
      <w:pPr>
        <w:tabs>
          <w:tab w:pos="5953" w:val="left" w:leader="none"/>
          <w:tab w:pos="7368" w:val="left" w:leader="none"/>
        </w:tabs>
        <w:spacing w:before="93" w:after="4"/>
        <w:ind w:left="2512" w:right="0" w:firstLine="0"/>
        <w:jc w:val="left"/>
        <w:rPr>
          <w:sz w:val="13"/>
        </w:rPr>
      </w:pPr>
      <w:r>
        <w:rPr>
          <w:color w:val="231F20"/>
          <w:sz w:val="13"/>
        </w:rPr>
        <w:t>Pledged</w:t>
      </w:r>
      <w:r>
        <w:rPr>
          <w:color w:val="231F20"/>
          <w:spacing w:val="-7"/>
          <w:sz w:val="13"/>
        </w:rPr>
        <w:t> </w:t>
      </w:r>
      <w:r>
        <w:rPr>
          <w:color w:val="231F20"/>
          <w:spacing w:val="-2"/>
          <w:sz w:val="13"/>
        </w:rPr>
        <w:t>Collateral</w:t>
      </w:r>
      <w:r>
        <w:rPr>
          <w:color w:val="231F20"/>
          <w:sz w:val="13"/>
        </w:rPr>
        <w:tab/>
        <w:t>First</w:t>
      </w:r>
      <w:r>
        <w:rPr>
          <w:color w:val="231F20"/>
          <w:spacing w:val="-4"/>
          <w:sz w:val="13"/>
        </w:rPr>
        <w:t> </w:t>
      </w:r>
      <w:r>
        <w:rPr>
          <w:color w:val="231F20"/>
          <w:sz w:val="13"/>
        </w:rPr>
        <w:t>State</w:t>
      </w:r>
      <w:r>
        <w:rPr>
          <w:color w:val="231F20"/>
          <w:spacing w:val="-4"/>
          <w:sz w:val="13"/>
        </w:rPr>
        <w:t> Bank</w:t>
      </w:r>
      <w:r>
        <w:rPr>
          <w:color w:val="231F20"/>
          <w:sz w:val="13"/>
        </w:rPr>
        <w:tab/>
        <w:t>Wells </w:t>
      </w:r>
      <w:r>
        <w:rPr>
          <w:color w:val="231F20"/>
          <w:spacing w:val="-2"/>
          <w:sz w:val="13"/>
        </w:rPr>
        <w:t>Fargo</w:t>
      </w:r>
    </w:p>
    <w:p>
      <w:pPr>
        <w:pStyle w:val="BodyText"/>
        <w:spacing w:line="20" w:lineRule="exact"/>
        <w:ind w:left="1587"/>
        <w:rPr>
          <w:sz w:val="2"/>
        </w:rPr>
      </w:pPr>
      <w:r>
        <w:rPr>
          <w:sz w:val="2"/>
        </w:rPr>
        <w:pict>
          <v:group style="width:144.85pt;height:1pt;mso-position-horizontal-relative:char;mso-position-vertical-relative:line" id="docshapegroup461" coordorigin="0,0" coordsize="2897,20">
            <v:line style="position:absolute" from="0,1" to="2896,1" stroked="true" strokeweight=".06pt" strokecolor="#231f20">
              <v:stroke dashstyle="solid"/>
            </v:line>
            <v:rect style="position:absolute;left:0;top:0;width:2897;height:20" id="docshape462" filled="true" fillcolor="#231f20" stroked="false">
              <v:fill type="solid"/>
            </v:rect>
          </v:group>
        </w:pict>
      </w:r>
      <w:r>
        <w:rPr>
          <w:sz w:val="2"/>
        </w:rPr>
      </w:r>
    </w:p>
    <w:p>
      <w:pPr>
        <w:tabs>
          <w:tab w:pos="3342" w:val="left" w:leader="none"/>
          <w:tab w:pos="4787" w:val="left" w:leader="none"/>
          <w:tab w:pos="6050" w:val="left" w:leader="none"/>
          <w:tab w:pos="7352" w:val="left" w:leader="none"/>
          <w:tab w:pos="8873" w:val="left" w:leader="none"/>
        </w:tabs>
        <w:spacing w:before="20" w:after="4"/>
        <w:ind w:left="1651" w:right="0" w:firstLine="0"/>
        <w:jc w:val="left"/>
        <w:rPr>
          <w:sz w:val="13"/>
        </w:rPr>
      </w:pPr>
      <w:r>
        <w:rPr>
          <w:color w:val="231F20"/>
          <w:sz w:val="13"/>
        </w:rPr>
        <w:t>Safekeeping</w:t>
      </w:r>
      <w:r>
        <w:rPr>
          <w:color w:val="231F20"/>
          <w:spacing w:val="-8"/>
          <w:sz w:val="13"/>
        </w:rPr>
        <w:t> </w:t>
      </w:r>
      <w:r>
        <w:rPr>
          <w:color w:val="231F20"/>
          <w:spacing w:val="-2"/>
          <w:sz w:val="13"/>
        </w:rPr>
        <w:t>Location</w:t>
      </w:r>
      <w:r>
        <w:rPr>
          <w:color w:val="231F20"/>
          <w:sz w:val="13"/>
        </w:rPr>
        <w:tab/>
        <w:t>Type</w:t>
      </w:r>
      <w:r>
        <w:rPr>
          <w:color w:val="231F20"/>
          <w:spacing w:val="-2"/>
          <w:sz w:val="13"/>
        </w:rPr>
        <w:t> </w:t>
      </w:r>
      <w:r>
        <w:rPr>
          <w:color w:val="231F20"/>
          <w:sz w:val="13"/>
        </w:rPr>
        <w:t>of</w:t>
      </w:r>
      <w:r>
        <w:rPr>
          <w:color w:val="231F20"/>
          <w:spacing w:val="-1"/>
          <w:sz w:val="13"/>
        </w:rPr>
        <w:t> </w:t>
      </w:r>
      <w:r>
        <w:rPr>
          <w:color w:val="231F20"/>
          <w:spacing w:val="-2"/>
          <w:sz w:val="13"/>
        </w:rPr>
        <w:t>Security</w:t>
      </w:r>
      <w:r>
        <w:rPr>
          <w:color w:val="231F20"/>
          <w:sz w:val="13"/>
        </w:rPr>
        <w:tab/>
        <w:t>Maturity</w:t>
      </w:r>
      <w:r>
        <w:rPr>
          <w:color w:val="231F20"/>
          <w:spacing w:val="-9"/>
          <w:sz w:val="13"/>
        </w:rPr>
        <w:t> </w:t>
      </w:r>
      <w:r>
        <w:rPr>
          <w:color w:val="231F20"/>
          <w:spacing w:val="-4"/>
          <w:sz w:val="13"/>
        </w:rPr>
        <w:t>Date</w:t>
      </w:r>
      <w:r>
        <w:rPr>
          <w:color w:val="231F20"/>
          <w:sz w:val="13"/>
        </w:rPr>
        <w:tab/>
        <w:t>Socorro,</w:t>
      </w:r>
      <w:r>
        <w:rPr>
          <w:color w:val="231F20"/>
          <w:spacing w:val="-5"/>
          <w:sz w:val="13"/>
        </w:rPr>
        <w:t> NM</w:t>
      </w:r>
      <w:r>
        <w:rPr>
          <w:color w:val="231F20"/>
          <w:sz w:val="13"/>
        </w:rPr>
        <w:tab/>
        <w:t>Socorro,</w:t>
      </w:r>
      <w:r>
        <w:rPr>
          <w:color w:val="231F20"/>
          <w:spacing w:val="-8"/>
          <w:sz w:val="13"/>
        </w:rPr>
        <w:t> </w:t>
      </w:r>
      <w:r>
        <w:rPr>
          <w:color w:val="231F20"/>
          <w:spacing w:val="-5"/>
          <w:sz w:val="13"/>
        </w:rPr>
        <w:t>NM</w:t>
      </w:r>
      <w:r>
        <w:rPr>
          <w:color w:val="231F20"/>
          <w:sz w:val="13"/>
        </w:rPr>
        <w:tab/>
      </w:r>
      <w:r>
        <w:rPr>
          <w:color w:val="231F20"/>
          <w:spacing w:val="-2"/>
          <w:sz w:val="13"/>
        </w:rPr>
        <w:t>Total</w:t>
      </w:r>
    </w:p>
    <w:p>
      <w:pPr>
        <w:spacing w:line="20" w:lineRule="exact"/>
        <w:ind w:left="1587" w:right="0" w:firstLine="0"/>
        <w:jc w:val="left"/>
        <w:rPr>
          <w:sz w:val="2"/>
        </w:rPr>
      </w:pPr>
      <w:r>
        <w:rPr>
          <w:sz w:val="2"/>
        </w:rPr>
        <w:pict>
          <v:group style="width:68.05pt;height:1pt;mso-position-horizontal-relative:char;mso-position-vertical-relative:line" id="docshapegroup463" coordorigin="0,0" coordsize="1361,20">
            <v:line style="position:absolute" from="0,1" to="1361,1" stroked="true" strokeweight=".06pt" strokecolor="#231f20">
              <v:stroke dashstyle="solid"/>
            </v:line>
            <v:rect style="position:absolute;left:0;top:0;width:1361;height:20" id="docshape464" filled="true" fillcolor="#231f20" stroked="false">
              <v:fill type="solid"/>
            </v:rect>
          </v:group>
        </w:pict>
      </w:r>
      <w:r>
        <w:rPr>
          <w:sz w:val="2"/>
        </w:rPr>
      </w:r>
      <w:r>
        <w:rPr>
          <w:rFonts w:ascii="Times New Roman"/>
          <w:spacing w:val="146"/>
          <w:sz w:val="2"/>
        </w:rPr>
        <w:t> </w:t>
      </w:r>
      <w:r>
        <w:rPr>
          <w:spacing w:val="146"/>
          <w:sz w:val="2"/>
        </w:rPr>
        <w:pict>
          <v:group style="width:68.1pt;height:1pt;mso-position-horizontal-relative:char;mso-position-vertical-relative:line" id="docshapegroup465" coordorigin="0,0" coordsize="1362,20">
            <v:line style="position:absolute" from="0,1" to="1361,1" stroked="true" strokeweight=".06pt" strokecolor="#231f20">
              <v:stroke dashstyle="solid"/>
            </v:line>
            <v:rect style="position:absolute;left:1;top:0;width:1361;height:20" id="docshape466" filled="true" fillcolor="#231f20" stroked="false">
              <v:fill type="solid"/>
            </v:rect>
          </v:group>
        </w:pict>
      </w:r>
      <w:r>
        <w:rPr>
          <w:spacing w:val="146"/>
          <w:sz w:val="2"/>
        </w:rPr>
      </w:r>
      <w:r>
        <w:rPr>
          <w:rFonts w:ascii="Times New Roman"/>
          <w:spacing w:val="147"/>
          <w:sz w:val="2"/>
        </w:rPr>
        <w:t> </w:t>
      </w:r>
      <w:r>
        <w:rPr>
          <w:spacing w:val="147"/>
          <w:sz w:val="2"/>
        </w:rPr>
        <w:pict>
          <v:group style="width:50.55pt;height:1pt;mso-position-horizontal-relative:char;mso-position-vertical-relative:line" id="docshapegroup467" coordorigin="0,0" coordsize="1011,20">
            <v:line style="position:absolute" from="0,1" to="1009,1" stroked="true" strokeweight=".06pt" strokecolor="#231f20">
              <v:stroke dashstyle="solid"/>
            </v:line>
            <v:rect style="position:absolute;left:0;top:0;width:1011;height:20" id="docshape468" filled="true" fillcolor="#231f20" stroked="false">
              <v:fill type="solid"/>
            </v:rect>
          </v:group>
        </w:pict>
      </w:r>
      <w:r>
        <w:rPr>
          <w:spacing w:val="147"/>
          <w:sz w:val="2"/>
        </w:rPr>
      </w:r>
      <w:r>
        <w:rPr>
          <w:rFonts w:ascii="Times New Roman"/>
          <w:spacing w:val="140"/>
          <w:sz w:val="2"/>
        </w:rPr>
        <w:t> </w:t>
      </w:r>
      <w:r>
        <w:rPr>
          <w:spacing w:val="140"/>
          <w:sz w:val="2"/>
        </w:rPr>
        <w:pict>
          <v:group style="width:56.4pt;height:1pt;mso-position-horizontal-relative:char;mso-position-vertical-relative:line" id="docshapegroup469" coordorigin="0,0" coordsize="1128,20">
            <v:line style="position:absolute" from="0,1" to="1127,1" stroked="true" strokeweight=".06pt" strokecolor="#231f20">
              <v:stroke dashstyle="solid"/>
            </v:line>
            <v:rect style="position:absolute;left:0;top:0;width:1128;height:20" id="docshape470" filled="true" fillcolor="#231f20" stroked="false">
              <v:fill type="solid"/>
            </v:rect>
          </v:group>
        </w:pict>
      </w:r>
      <w:r>
        <w:rPr>
          <w:spacing w:val="140"/>
          <w:sz w:val="2"/>
        </w:rPr>
      </w:r>
      <w:r>
        <w:rPr>
          <w:rFonts w:ascii="Times New Roman"/>
          <w:spacing w:val="138"/>
          <w:sz w:val="2"/>
        </w:rPr>
        <w:t> </w:t>
      </w:r>
      <w:r>
        <w:rPr>
          <w:spacing w:val="138"/>
          <w:sz w:val="2"/>
        </w:rPr>
        <w:pict>
          <v:group style="width:56.35pt;height:1pt;mso-position-horizontal-relative:char;mso-position-vertical-relative:line" id="docshapegroup471" coordorigin="0,0" coordsize="1127,20">
            <v:line style="position:absolute" from="0,1" to="1127,1" stroked="true" strokeweight=".06pt" strokecolor="#231f20">
              <v:stroke dashstyle="solid"/>
            </v:line>
            <v:rect style="position:absolute;left:0;top:0;width:1127;height:20" id="docshape472" filled="true" fillcolor="#231f20" stroked="false">
              <v:fill type="solid"/>
            </v:rect>
          </v:group>
        </w:pict>
      </w:r>
      <w:r>
        <w:rPr>
          <w:spacing w:val="138"/>
          <w:sz w:val="2"/>
        </w:rPr>
      </w:r>
      <w:r>
        <w:rPr>
          <w:rFonts w:ascii="Times New Roman"/>
          <w:spacing w:val="137"/>
          <w:sz w:val="2"/>
        </w:rPr>
        <w:t> </w:t>
      </w:r>
      <w:r>
        <w:rPr>
          <w:spacing w:val="137"/>
          <w:sz w:val="2"/>
        </w:rPr>
        <w:pict>
          <v:group style="width:56.4pt;height:1pt;mso-position-horizontal-relative:char;mso-position-vertical-relative:line" id="docshapegroup473" coordorigin="0,0" coordsize="1128,20">
            <v:line style="position:absolute" from="0,1" to="1127,1" stroked="true" strokeweight=".06pt" strokecolor="#231f20">
              <v:stroke dashstyle="solid"/>
            </v:line>
            <v:rect style="position:absolute;left:1;top:0;width:1127;height:20" id="docshape474" filled="true" fillcolor="#231f20" stroked="false">
              <v:fill type="solid"/>
            </v:rect>
          </v:group>
        </w:pict>
      </w:r>
      <w:r>
        <w:rPr>
          <w:spacing w:val="137"/>
          <w:sz w:val="2"/>
        </w:rPr>
      </w:r>
    </w:p>
    <w:p>
      <w:pPr>
        <w:spacing w:before="2"/>
        <w:ind w:left="197" w:right="0" w:firstLine="0"/>
        <w:jc w:val="left"/>
        <w:rPr>
          <w:sz w:val="13"/>
        </w:rPr>
      </w:pPr>
      <w:r>
        <w:rPr>
          <w:color w:val="231F20"/>
          <w:sz w:val="13"/>
        </w:rPr>
        <w:t>Funds</w:t>
      </w:r>
      <w:r>
        <w:rPr>
          <w:color w:val="231F20"/>
          <w:spacing w:val="-5"/>
          <w:sz w:val="13"/>
        </w:rPr>
        <w:t> </w:t>
      </w:r>
      <w:r>
        <w:rPr>
          <w:color w:val="231F20"/>
          <w:sz w:val="13"/>
        </w:rPr>
        <w:t>on</w:t>
      </w:r>
      <w:r>
        <w:rPr>
          <w:color w:val="231F20"/>
          <w:spacing w:val="-2"/>
          <w:sz w:val="13"/>
        </w:rPr>
        <w:t> deposit</w:t>
      </w:r>
    </w:p>
    <w:p>
      <w:pPr>
        <w:spacing w:after="0"/>
        <w:jc w:val="left"/>
        <w:rPr>
          <w:sz w:val="13"/>
        </w:rPr>
        <w:sectPr>
          <w:headerReference w:type="default" r:id="rId64"/>
          <w:footerReference w:type="default" r:id="rId65"/>
          <w:pgSz w:w="12240" w:h="15840"/>
          <w:pgMar w:header="1270" w:footer="1097" w:top="1580" w:bottom="1280" w:left="1280" w:right="1280"/>
        </w:sectPr>
      </w:pPr>
    </w:p>
    <w:p>
      <w:pPr>
        <w:spacing w:line="283" w:lineRule="auto" w:before="27"/>
        <w:ind w:left="197" w:right="31" w:firstLine="141"/>
        <w:jc w:val="left"/>
        <w:rPr>
          <w:sz w:val="13"/>
        </w:rPr>
      </w:pPr>
      <w:r>
        <w:rPr>
          <w:color w:val="231F20"/>
          <w:spacing w:val="-2"/>
          <w:sz w:val="13"/>
        </w:rPr>
        <w:t>Deposits</w:t>
      </w:r>
      <w:r>
        <w:rPr>
          <w:color w:val="231F20"/>
          <w:spacing w:val="40"/>
          <w:sz w:val="13"/>
        </w:rPr>
        <w:t> </w:t>
      </w:r>
      <w:r>
        <w:rPr>
          <w:color w:val="231F20"/>
          <w:sz w:val="13"/>
        </w:rPr>
        <w:t>FDIC</w:t>
      </w:r>
      <w:r>
        <w:rPr>
          <w:color w:val="231F20"/>
          <w:spacing w:val="-10"/>
          <w:sz w:val="13"/>
        </w:rPr>
        <w:t> </w:t>
      </w:r>
      <w:r>
        <w:rPr>
          <w:color w:val="231F20"/>
          <w:sz w:val="13"/>
        </w:rPr>
        <w:t>insurance</w:t>
      </w:r>
    </w:p>
    <w:p>
      <w:pPr>
        <w:tabs>
          <w:tab w:pos="529" w:val="left" w:leader="none"/>
          <w:tab w:pos="1497" w:val="left" w:leader="none"/>
        </w:tabs>
        <w:spacing w:before="27"/>
        <w:ind w:left="197" w:right="0" w:firstLine="0"/>
        <w:jc w:val="left"/>
        <w:rPr>
          <w:sz w:val="13"/>
        </w:rPr>
      </w:pPr>
      <w:r>
        <w:rPr/>
        <w:br w:type="column"/>
      </w:r>
      <w:r>
        <w:rPr>
          <w:color w:val="231F20"/>
          <w:spacing w:val="-10"/>
          <w:sz w:val="13"/>
        </w:rPr>
        <w:t>$</w:t>
      </w:r>
      <w:r>
        <w:rPr>
          <w:color w:val="231F20"/>
          <w:sz w:val="13"/>
        </w:rPr>
        <w:tab/>
      </w:r>
      <w:r>
        <w:rPr>
          <w:color w:val="231F20"/>
          <w:spacing w:val="-2"/>
          <w:sz w:val="13"/>
        </w:rPr>
        <w:t>35,229,430</w:t>
      </w:r>
      <w:r>
        <w:rPr>
          <w:color w:val="231F20"/>
          <w:sz w:val="13"/>
        </w:rPr>
        <w:tab/>
      </w:r>
      <w:r>
        <w:rPr>
          <w:color w:val="231F20"/>
          <w:spacing w:val="-10"/>
          <w:sz w:val="13"/>
        </w:rPr>
        <w:t>$</w:t>
      </w:r>
    </w:p>
    <w:p>
      <w:pPr>
        <w:spacing w:before="27"/>
        <w:ind w:left="197" w:right="0" w:firstLine="0"/>
        <w:jc w:val="left"/>
        <w:rPr>
          <w:sz w:val="13"/>
        </w:rPr>
      </w:pPr>
      <w:r>
        <w:rPr/>
        <w:br w:type="column"/>
      </w:r>
      <w:r>
        <w:rPr>
          <w:color w:val="231F20"/>
          <w:spacing w:val="-2"/>
          <w:sz w:val="13"/>
        </w:rPr>
        <w:t>6,722,184</w:t>
      </w:r>
    </w:p>
    <w:p>
      <w:pPr>
        <w:tabs>
          <w:tab w:pos="529" w:val="left" w:leader="none"/>
        </w:tabs>
        <w:spacing w:before="27"/>
        <w:ind w:left="197" w:right="0" w:firstLine="0"/>
        <w:jc w:val="left"/>
        <w:rPr>
          <w:sz w:val="13"/>
        </w:rPr>
      </w:pPr>
      <w:r>
        <w:rPr/>
        <w:br w:type="column"/>
      </w:r>
      <w:r>
        <w:rPr>
          <w:color w:val="231F20"/>
          <w:spacing w:val="-10"/>
          <w:sz w:val="13"/>
        </w:rPr>
        <w:t>$</w:t>
      </w:r>
      <w:r>
        <w:rPr>
          <w:color w:val="231F20"/>
          <w:sz w:val="13"/>
        </w:rPr>
        <w:tab/>
      </w:r>
      <w:r>
        <w:rPr>
          <w:color w:val="231F20"/>
          <w:spacing w:val="-2"/>
          <w:sz w:val="13"/>
        </w:rPr>
        <w:t>41,951,614</w:t>
      </w:r>
    </w:p>
    <w:p>
      <w:pPr>
        <w:spacing w:after="0"/>
        <w:jc w:val="left"/>
        <w:rPr>
          <w:sz w:val="13"/>
        </w:rPr>
        <w:sectPr>
          <w:type w:val="continuous"/>
          <w:pgSz w:w="12240" w:h="15840"/>
          <w:pgMar w:header="1270" w:footer="1097" w:top="1460" w:bottom="280" w:left="1280" w:right="1280"/>
          <w:cols w:num="4" w:equalWidth="0">
            <w:col w:w="1142" w:space="4577"/>
            <w:col w:w="1611" w:space="95"/>
            <w:col w:w="817" w:space="79"/>
            <w:col w:w="1359"/>
          </w:cols>
        </w:sectPr>
      </w:pPr>
    </w:p>
    <w:p>
      <w:pPr>
        <w:tabs>
          <w:tab w:pos="6384" w:val="left" w:leader="none"/>
          <w:tab w:pos="7578" w:val="left" w:leader="none"/>
          <w:tab w:pos="8879" w:val="left" w:leader="none"/>
        </w:tabs>
        <w:spacing w:before="0" w:after="4"/>
        <w:ind w:left="338" w:right="0" w:firstLine="0"/>
        <w:jc w:val="left"/>
        <w:rPr>
          <w:sz w:val="13"/>
        </w:rPr>
      </w:pPr>
      <w:r>
        <w:rPr/>
        <w:pict>
          <v:shape style="position:absolute;margin-left:356.161011pt;margin-top:25.164257pt;width:56.4pt;height:2.95pt;mso-position-horizontal-relative:page;mso-position-vertical-relative:paragraph;z-index:-28282368" id="docshape475" coordorigin="7123,503" coordsize="1128,59" path="m8251,543l7123,543,7123,562,8251,562,8251,543xm8251,503l7123,503,7123,524,8251,524,8251,503xe" filled="true" fillcolor="#231f20" stroked="false">
            <v:path arrowok="t"/>
            <v:fill type="solid"/>
            <w10:wrap type="none"/>
          </v:shape>
        </w:pict>
      </w:r>
      <w:r>
        <w:rPr/>
        <w:pict>
          <v:shape style="position:absolute;margin-left:421.261017pt;margin-top:25.164257pt;width:56.35pt;height:2.95pt;mso-position-horizontal-relative:page;mso-position-vertical-relative:paragraph;z-index:-28281856" id="docshape476" coordorigin="8425,503" coordsize="1127,59" path="m9552,543l8425,543,8425,562,9552,562,9552,543xm9552,503l8425,503,8425,524,9552,524,9552,503xe" filled="true" fillcolor="#231f20" stroked="false">
            <v:path arrowok="t"/>
            <v:fill type="solid"/>
            <w10:wrap type="none"/>
          </v:shape>
        </w:pict>
      </w:r>
      <w:r>
        <w:rPr/>
        <w:pict>
          <v:shape style="position:absolute;margin-left:356.161011pt;margin-top:568.860962pt;width:56.4pt;height:2.9pt;mso-position-horizontal-relative:page;mso-position-vertical-relative:page;z-index:-28281344" id="docshape477" coordorigin="7123,11377" coordsize="1128,58" path="m8251,11416l7123,11416,7123,11435,8251,11435,8251,11416xm8251,11377l7123,11377,7123,11396,8251,11396,8251,11377xe" filled="true" fillcolor="#231f20" stroked="false">
            <v:path arrowok="t"/>
            <v:fill type="solid"/>
            <w10:wrap type="none"/>
          </v:shape>
        </w:pict>
      </w:r>
      <w:r>
        <w:rPr/>
        <w:pict>
          <v:shape style="position:absolute;margin-left:421.261017pt;margin-top:568.860962pt;width:56.35pt;height:2.9pt;mso-position-horizontal-relative:page;mso-position-vertical-relative:page;z-index:-28280832" id="docshape478" coordorigin="8425,11377" coordsize="1127,58" path="m9552,11416l8425,11416,8425,11435,9552,11435,9552,11416xm9552,11377l8425,11377,8425,11396,9552,11396,9552,11377xe" filled="true" fillcolor="#231f20" stroked="false">
            <v:path arrowok="t"/>
            <v:fill type="solid"/>
            <w10:wrap type="none"/>
          </v:shape>
        </w:pict>
      </w:r>
      <w:r>
        <w:rPr/>
        <w:pict>
          <v:shape style="position:absolute;margin-left:486.361023pt;margin-top:25.164257pt;width:56.35pt;height:2.95pt;mso-position-horizontal-relative:page;mso-position-vertical-relative:paragraph;z-index:-28280320" id="docshape479" coordorigin="9727,503" coordsize="1127,59" path="m10854,543l9727,543,9727,562,10854,562,10854,543xm10854,503l9727,503,9727,524,10854,524,10854,503xe" filled="true" fillcolor="#231f20" stroked="false">
            <v:path arrowok="t"/>
            <v:fill type="solid"/>
            <w10:wrap type="none"/>
          </v:shape>
        </w:pict>
      </w:r>
      <w:r>
        <w:rPr/>
        <w:pict>
          <v:shape style="position:absolute;margin-left:486.361023pt;margin-top:568.860962pt;width:56.35pt;height:2.9pt;mso-position-horizontal-relative:page;mso-position-vertical-relative:page;z-index:-28279808" id="docshape480" coordorigin="9727,11377" coordsize="1127,58" path="m10854,11416l9727,11416,9727,11435,10854,11435,10854,11416xm10854,11377l9727,11377,9727,11396,10854,11396,10854,11377xe" filled="true" fillcolor="#231f20" stroked="false">
            <v:path arrowok="t"/>
            <v:fill type="solid"/>
            <w10:wrap type="none"/>
          </v:shape>
        </w:pict>
      </w:r>
      <w:r>
        <w:rPr>
          <w:color w:val="231F20"/>
          <w:sz w:val="13"/>
        </w:rPr>
        <w:t>Demand</w:t>
      </w:r>
      <w:r>
        <w:rPr>
          <w:color w:val="231F20"/>
          <w:spacing w:val="-4"/>
          <w:sz w:val="13"/>
        </w:rPr>
        <w:t> </w:t>
      </w:r>
      <w:r>
        <w:rPr>
          <w:color w:val="231F20"/>
          <w:spacing w:val="-2"/>
          <w:sz w:val="13"/>
        </w:rPr>
        <w:t>deposits</w:t>
      </w:r>
      <w:r>
        <w:rPr>
          <w:color w:val="231F20"/>
          <w:sz w:val="13"/>
        </w:rPr>
        <w:tab/>
      </w:r>
      <w:r>
        <w:rPr>
          <w:color w:val="231F20"/>
          <w:spacing w:val="-2"/>
          <w:sz w:val="13"/>
        </w:rPr>
        <w:t>(250,000)</w:t>
      </w:r>
      <w:r>
        <w:rPr>
          <w:color w:val="231F20"/>
          <w:sz w:val="13"/>
        </w:rPr>
        <w:tab/>
      </w:r>
      <w:r>
        <w:rPr>
          <w:color w:val="231F20"/>
          <w:spacing w:val="-2"/>
          <w:sz w:val="13"/>
        </w:rPr>
        <w:t>(1,000,000)</w:t>
      </w:r>
      <w:r>
        <w:rPr>
          <w:color w:val="231F20"/>
          <w:sz w:val="13"/>
        </w:rPr>
        <w:tab/>
      </w:r>
      <w:r>
        <w:rPr>
          <w:color w:val="231F20"/>
          <w:spacing w:val="-2"/>
          <w:sz w:val="13"/>
        </w:rPr>
        <w:t>(1,250,000)</w:t>
      </w:r>
    </w:p>
    <w:p>
      <w:pPr>
        <w:spacing w:line="20" w:lineRule="exact"/>
        <w:ind w:left="5842" w:right="0" w:firstLine="0"/>
        <w:jc w:val="left"/>
        <w:rPr>
          <w:sz w:val="2"/>
        </w:rPr>
      </w:pPr>
      <w:r>
        <w:rPr>
          <w:sz w:val="2"/>
        </w:rPr>
        <w:pict>
          <v:group style="width:56.4pt;height:1pt;mso-position-horizontal-relative:char;mso-position-vertical-relative:line" id="docshapegroup481" coordorigin="0,0" coordsize="1128,20">
            <v:line style="position:absolute" from="0,1" to="1127,1" stroked="true" strokeweight=".06pt" strokecolor="#231f20">
              <v:stroke dashstyle="solid"/>
            </v:line>
            <v:rect style="position:absolute;left:0;top:0;width:1128;height:20" id="docshape482" filled="true" fillcolor="#231f20" stroked="false">
              <v:fill type="solid"/>
            </v:rect>
          </v:group>
        </w:pict>
      </w:r>
      <w:r>
        <w:rPr>
          <w:sz w:val="2"/>
        </w:rPr>
      </w:r>
      <w:r>
        <w:rPr>
          <w:rFonts w:ascii="Times New Roman"/>
          <w:spacing w:val="138"/>
          <w:sz w:val="2"/>
        </w:rPr>
        <w:t> </w:t>
      </w:r>
      <w:r>
        <w:rPr>
          <w:spacing w:val="138"/>
          <w:sz w:val="2"/>
        </w:rPr>
        <w:pict>
          <v:group style="width:56.35pt;height:1pt;mso-position-horizontal-relative:char;mso-position-vertical-relative:line" id="docshapegroup483" coordorigin="0,0" coordsize="1127,20">
            <v:line style="position:absolute" from="0,1" to="1127,1" stroked="true" strokeweight=".06pt" strokecolor="#231f20">
              <v:stroke dashstyle="solid"/>
            </v:line>
            <v:rect style="position:absolute;left:0;top:0;width:1127;height:20" id="docshape484" filled="true" fillcolor="#231f20" stroked="false">
              <v:fill type="solid"/>
            </v:rect>
          </v:group>
        </w:pict>
      </w:r>
      <w:r>
        <w:rPr>
          <w:spacing w:val="138"/>
          <w:sz w:val="2"/>
        </w:rPr>
      </w:r>
      <w:r>
        <w:rPr>
          <w:rFonts w:ascii="Times New Roman"/>
          <w:spacing w:val="137"/>
          <w:sz w:val="2"/>
        </w:rPr>
        <w:t> </w:t>
      </w:r>
      <w:r>
        <w:rPr>
          <w:spacing w:val="137"/>
          <w:sz w:val="2"/>
        </w:rPr>
        <w:pict>
          <v:group style="width:56.4pt;height:1pt;mso-position-horizontal-relative:char;mso-position-vertical-relative:line" id="docshapegroup485" coordorigin="0,0" coordsize="1128,20">
            <v:line style="position:absolute" from="0,1" to="1127,1" stroked="true" strokeweight=".06pt" strokecolor="#231f20">
              <v:stroke dashstyle="solid"/>
            </v:line>
            <v:rect style="position:absolute;left:1;top:0;width:1127;height:20" id="docshape486" filled="true" fillcolor="#231f20" stroked="false">
              <v:fill type="solid"/>
            </v:rect>
          </v:group>
        </w:pict>
      </w:r>
      <w:r>
        <w:rPr>
          <w:spacing w:val="137"/>
          <w:sz w:val="2"/>
        </w:rPr>
      </w:r>
    </w:p>
    <w:p>
      <w:pPr>
        <w:pStyle w:val="BodyText"/>
        <w:spacing w:before="5"/>
        <w:rPr>
          <w:sz w:val="15"/>
        </w:rPr>
      </w:pP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1"/>
        <w:gridCol w:w="1607"/>
        <w:gridCol w:w="1623"/>
        <w:gridCol w:w="1192"/>
        <w:gridCol w:w="274"/>
        <w:gridCol w:w="855"/>
        <w:gridCol w:w="175"/>
        <w:gridCol w:w="311"/>
        <w:gridCol w:w="818"/>
        <w:gridCol w:w="175"/>
        <w:gridCol w:w="275"/>
        <w:gridCol w:w="854"/>
      </w:tblGrid>
      <w:tr>
        <w:trPr>
          <w:trHeight w:val="209" w:hRule="atLeast"/>
        </w:trPr>
        <w:tc>
          <w:tcPr>
            <w:tcW w:w="4491" w:type="dxa"/>
            <w:gridSpan w:val="3"/>
          </w:tcPr>
          <w:p>
            <w:pPr>
              <w:pStyle w:val="TableParagraph"/>
              <w:spacing w:line="145" w:lineRule="exact"/>
              <w:ind w:left="458"/>
              <w:rPr>
                <w:sz w:val="13"/>
              </w:rPr>
            </w:pPr>
            <w:r>
              <w:rPr>
                <w:color w:val="231F20"/>
                <w:sz w:val="13"/>
              </w:rPr>
              <w:t>Total</w:t>
            </w:r>
            <w:r>
              <w:rPr>
                <w:color w:val="231F20"/>
                <w:spacing w:val="-5"/>
                <w:sz w:val="13"/>
              </w:rPr>
              <w:t> </w:t>
            </w:r>
            <w:r>
              <w:rPr>
                <w:color w:val="231F20"/>
                <w:sz w:val="13"/>
              </w:rPr>
              <w:t>uninsured</w:t>
            </w:r>
            <w:r>
              <w:rPr>
                <w:color w:val="231F20"/>
                <w:spacing w:val="-5"/>
                <w:sz w:val="13"/>
              </w:rPr>
              <w:t> </w:t>
            </w:r>
            <w:r>
              <w:rPr>
                <w:color w:val="231F20"/>
                <w:sz w:val="13"/>
              </w:rPr>
              <w:t>public</w:t>
            </w:r>
            <w:r>
              <w:rPr>
                <w:color w:val="231F20"/>
                <w:spacing w:val="-5"/>
                <w:sz w:val="13"/>
              </w:rPr>
              <w:t> </w:t>
            </w:r>
            <w:r>
              <w:rPr>
                <w:color w:val="231F20"/>
                <w:spacing w:val="-4"/>
                <w:sz w:val="13"/>
              </w:rPr>
              <w:t>funds</w:t>
            </w:r>
          </w:p>
        </w:tc>
        <w:tc>
          <w:tcPr>
            <w:tcW w:w="1466" w:type="dxa"/>
            <w:gridSpan w:val="2"/>
          </w:tcPr>
          <w:p>
            <w:pPr>
              <w:pStyle w:val="TableParagraph"/>
              <w:spacing w:line="145" w:lineRule="exact"/>
              <w:ind w:right="129"/>
              <w:jc w:val="right"/>
              <w:rPr>
                <w:sz w:val="13"/>
              </w:rPr>
            </w:pPr>
            <w:r>
              <w:rPr>
                <w:color w:val="231F20"/>
                <w:w w:val="100"/>
                <w:sz w:val="13"/>
              </w:rPr>
              <w:t>$</w:t>
            </w:r>
          </w:p>
        </w:tc>
        <w:tc>
          <w:tcPr>
            <w:tcW w:w="855" w:type="dxa"/>
          </w:tcPr>
          <w:p>
            <w:pPr>
              <w:pStyle w:val="TableParagraph"/>
              <w:spacing w:line="145" w:lineRule="exact"/>
              <w:ind w:right="74"/>
              <w:jc w:val="right"/>
              <w:rPr>
                <w:sz w:val="13"/>
              </w:rPr>
            </w:pPr>
            <w:r>
              <w:rPr>
                <w:color w:val="231F20"/>
                <w:spacing w:val="-2"/>
                <w:sz w:val="13"/>
              </w:rPr>
              <w:t>34,979,430</w:t>
            </w:r>
          </w:p>
        </w:tc>
        <w:tc>
          <w:tcPr>
            <w:tcW w:w="486" w:type="dxa"/>
            <w:gridSpan w:val="2"/>
          </w:tcPr>
          <w:p>
            <w:pPr>
              <w:pStyle w:val="TableParagraph"/>
              <w:spacing w:line="145" w:lineRule="exact"/>
              <w:ind w:left="70"/>
              <w:jc w:val="center"/>
              <w:rPr>
                <w:sz w:val="13"/>
              </w:rPr>
            </w:pPr>
            <w:r>
              <w:rPr>
                <w:color w:val="231F20"/>
                <w:w w:val="100"/>
                <w:sz w:val="13"/>
              </w:rPr>
              <w:t>$</w:t>
            </w:r>
          </w:p>
        </w:tc>
        <w:tc>
          <w:tcPr>
            <w:tcW w:w="818" w:type="dxa"/>
          </w:tcPr>
          <w:p>
            <w:pPr>
              <w:pStyle w:val="TableParagraph"/>
              <w:spacing w:line="145" w:lineRule="exact"/>
              <w:ind w:right="74"/>
              <w:jc w:val="right"/>
              <w:rPr>
                <w:sz w:val="13"/>
              </w:rPr>
            </w:pPr>
            <w:r>
              <w:rPr>
                <w:color w:val="231F20"/>
                <w:spacing w:val="-2"/>
                <w:sz w:val="13"/>
              </w:rPr>
              <w:t>5,722,184</w:t>
            </w:r>
          </w:p>
        </w:tc>
        <w:tc>
          <w:tcPr>
            <w:tcW w:w="450" w:type="dxa"/>
            <w:gridSpan w:val="2"/>
          </w:tcPr>
          <w:p>
            <w:pPr>
              <w:pStyle w:val="TableParagraph"/>
              <w:spacing w:line="145" w:lineRule="exact"/>
              <w:ind w:left="239"/>
              <w:rPr>
                <w:sz w:val="13"/>
              </w:rPr>
            </w:pPr>
            <w:r>
              <w:rPr>
                <w:color w:val="231F20"/>
                <w:w w:val="100"/>
                <w:sz w:val="13"/>
              </w:rPr>
              <w:t>$</w:t>
            </w:r>
          </w:p>
        </w:tc>
        <w:tc>
          <w:tcPr>
            <w:tcW w:w="854" w:type="dxa"/>
          </w:tcPr>
          <w:p>
            <w:pPr>
              <w:pStyle w:val="TableParagraph"/>
              <w:spacing w:line="145" w:lineRule="exact"/>
              <w:ind w:right="77"/>
              <w:jc w:val="right"/>
              <w:rPr>
                <w:sz w:val="13"/>
              </w:rPr>
            </w:pPr>
            <w:r>
              <w:rPr>
                <w:color w:val="231F20"/>
                <w:spacing w:val="-2"/>
                <w:sz w:val="13"/>
              </w:rPr>
              <w:t>40,701,614</w:t>
            </w:r>
          </w:p>
        </w:tc>
      </w:tr>
      <w:tr>
        <w:trPr>
          <w:trHeight w:val="322" w:hRule="atLeast"/>
        </w:trPr>
        <w:tc>
          <w:tcPr>
            <w:tcW w:w="4491" w:type="dxa"/>
            <w:gridSpan w:val="3"/>
          </w:tcPr>
          <w:p>
            <w:pPr>
              <w:pStyle w:val="TableParagraph"/>
              <w:spacing w:before="1"/>
              <w:rPr>
                <w:sz w:val="15"/>
              </w:rPr>
            </w:pPr>
          </w:p>
          <w:p>
            <w:pPr>
              <w:pStyle w:val="TableParagraph"/>
              <w:spacing w:line="129" w:lineRule="exact"/>
              <w:ind w:left="34"/>
              <w:rPr>
                <w:sz w:val="13"/>
              </w:rPr>
            </w:pPr>
            <w:r>
              <w:rPr>
                <w:color w:val="231F20"/>
                <w:sz w:val="13"/>
              </w:rPr>
              <w:t>Fifty</w:t>
            </w:r>
            <w:r>
              <w:rPr>
                <w:color w:val="231F20"/>
                <w:spacing w:val="-8"/>
                <w:sz w:val="13"/>
              </w:rPr>
              <w:t> </w:t>
            </w:r>
            <w:r>
              <w:rPr>
                <w:color w:val="231F20"/>
                <w:sz w:val="13"/>
              </w:rPr>
              <w:t>percent</w:t>
            </w:r>
            <w:r>
              <w:rPr>
                <w:color w:val="231F20"/>
                <w:spacing w:val="-6"/>
                <w:sz w:val="13"/>
              </w:rPr>
              <w:t> </w:t>
            </w:r>
            <w:r>
              <w:rPr>
                <w:color w:val="231F20"/>
                <w:sz w:val="13"/>
              </w:rPr>
              <w:t>collateral</w:t>
            </w:r>
            <w:r>
              <w:rPr>
                <w:color w:val="231F20"/>
                <w:spacing w:val="-5"/>
                <w:sz w:val="13"/>
              </w:rPr>
              <w:t> </w:t>
            </w:r>
            <w:r>
              <w:rPr>
                <w:color w:val="231F20"/>
                <w:sz w:val="13"/>
              </w:rPr>
              <w:t>requirement</w:t>
            </w:r>
            <w:r>
              <w:rPr>
                <w:color w:val="231F20"/>
                <w:spacing w:val="-5"/>
                <w:sz w:val="13"/>
              </w:rPr>
              <w:t> </w:t>
            </w:r>
            <w:r>
              <w:rPr>
                <w:color w:val="231F20"/>
                <w:sz w:val="13"/>
              </w:rPr>
              <w:t>per</w:t>
            </w:r>
            <w:r>
              <w:rPr>
                <w:color w:val="231F20"/>
                <w:spacing w:val="-5"/>
                <w:sz w:val="13"/>
              </w:rPr>
              <w:t> </w:t>
            </w:r>
            <w:r>
              <w:rPr>
                <w:color w:val="231F20"/>
                <w:sz w:val="13"/>
              </w:rPr>
              <w:t>Section</w:t>
            </w:r>
            <w:r>
              <w:rPr>
                <w:color w:val="231F20"/>
                <w:spacing w:val="-5"/>
                <w:sz w:val="13"/>
              </w:rPr>
              <w:t> </w:t>
            </w:r>
            <w:r>
              <w:rPr>
                <w:color w:val="231F20"/>
                <w:sz w:val="13"/>
              </w:rPr>
              <w:t>6-10-17</w:t>
            </w:r>
            <w:r>
              <w:rPr>
                <w:color w:val="231F20"/>
                <w:spacing w:val="-4"/>
                <w:sz w:val="13"/>
              </w:rPr>
              <w:t> </w:t>
            </w:r>
            <w:r>
              <w:rPr>
                <w:color w:val="231F20"/>
                <w:sz w:val="13"/>
              </w:rPr>
              <w:t>NMSA</w:t>
            </w:r>
            <w:r>
              <w:rPr>
                <w:color w:val="231F20"/>
                <w:spacing w:val="-5"/>
                <w:sz w:val="13"/>
              </w:rPr>
              <w:t> </w:t>
            </w:r>
            <w:r>
              <w:rPr>
                <w:color w:val="231F20"/>
                <w:spacing w:val="-4"/>
                <w:sz w:val="13"/>
              </w:rPr>
              <w:t>1978</w:t>
            </w:r>
          </w:p>
        </w:tc>
        <w:tc>
          <w:tcPr>
            <w:tcW w:w="1466" w:type="dxa"/>
            <w:gridSpan w:val="2"/>
          </w:tcPr>
          <w:p>
            <w:pPr>
              <w:pStyle w:val="TableParagraph"/>
              <w:spacing w:before="1"/>
              <w:rPr>
                <w:sz w:val="15"/>
              </w:rPr>
            </w:pPr>
          </w:p>
          <w:p>
            <w:pPr>
              <w:pStyle w:val="TableParagraph"/>
              <w:spacing w:line="129" w:lineRule="exact"/>
              <w:ind w:right="129"/>
              <w:jc w:val="right"/>
              <w:rPr>
                <w:sz w:val="13"/>
              </w:rPr>
            </w:pPr>
            <w:r>
              <w:rPr>
                <w:color w:val="231F20"/>
                <w:w w:val="100"/>
                <w:sz w:val="13"/>
              </w:rPr>
              <w:t>$</w:t>
            </w:r>
          </w:p>
        </w:tc>
        <w:tc>
          <w:tcPr>
            <w:tcW w:w="855" w:type="dxa"/>
          </w:tcPr>
          <w:p>
            <w:pPr>
              <w:pStyle w:val="TableParagraph"/>
              <w:spacing w:before="1"/>
              <w:rPr>
                <w:sz w:val="15"/>
              </w:rPr>
            </w:pPr>
          </w:p>
          <w:p>
            <w:pPr>
              <w:pStyle w:val="TableParagraph"/>
              <w:spacing w:line="129" w:lineRule="exact"/>
              <w:ind w:right="74"/>
              <w:jc w:val="right"/>
              <w:rPr>
                <w:sz w:val="13"/>
              </w:rPr>
            </w:pPr>
            <w:r>
              <w:rPr>
                <w:color w:val="231F20"/>
                <w:spacing w:val="-2"/>
                <w:sz w:val="13"/>
              </w:rPr>
              <w:t>17,489,715</w:t>
            </w:r>
          </w:p>
        </w:tc>
        <w:tc>
          <w:tcPr>
            <w:tcW w:w="486" w:type="dxa"/>
            <w:gridSpan w:val="2"/>
          </w:tcPr>
          <w:p>
            <w:pPr>
              <w:pStyle w:val="TableParagraph"/>
              <w:spacing w:before="1"/>
              <w:rPr>
                <w:sz w:val="15"/>
              </w:rPr>
            </w:pPr>
          </w:p>
          <w:p>
            <w:pPr>
              <w:pStyle w:val="TableParagraph"/>
              <w:spacing w:line="129" w:lineRule="exact"/>
              <w:ind w:left="69"/>
              <w:jc w:val="center"/>
              <w:rPr>
                <w:sz w:val="13"/>
              </w:rPr>
            </w:pPr>
            <w:r>
              <w:rPr>
                <w:color w:val="231F20"/>
                <w:w w:val="100"/>
                <w:sz w:val="13"/>
              </w:rPr>
              <w:t>$</w:t>
            </w:r>
          </w:p>
        </w:tc>
        <w:tc>
          <w:tcPr>
            <w:tcW w:w="818" w:type="dxa"/>
          </w:tcPr>
          <w:p>
            <w:pPr>
              <w:pStyle w:val="TableParagraph"/>
              <w:spacing w:before="1"/>
              <w:rPr>
                <w:sz w:val="15"/>
              </w:rPr>
            </w:pPr>
          </w:p>
          <w:p>
            <w:pPr>
              <w:pStyle w:val="TableParagraph"/>
              <w:spacing w:line="129" w:lineRule="exact"/>
              <w:ind w:right="75"/>
              <w:jc w:val="right"/>
              <w:rPr>
                <w:sz w:val="13"/>
              </w:rPr>
            </w:pPr>
            <w:r>
              <w:rPr>
                <w:color w:val="231F20"/>
                <w:spacing w:val="-2"/>
                <w:sz w:val="13"/>
              </w:rPr>
              <w:t>2,861,092</w:t>
            </w:r>
          </w:p>
        </w:tc>
        <w:tc>
          <w:tcPr>
            <w:tcW w:w="450" w:type="dxa"/>
            <w:gridSpan w:val="2"/>
          </w:tcPr>
          <w:p>
            <w:pPr>
              <w:pStyle w:val="TableParagraph"/>
              <w:spacing w:before="1"/>
              <w:rPr>
                <w:sz w:val="15"/>
              </w:rPr>
            </w:pPr>
          </w:p>
          <w:p>
            <w:pPr>
              <w:pStyle w:val="TableParagraph"/>
              <w:spacing w:line="129" w:lineRule="exact"/>
              <w:ind w:left="239"/>
              <w:rPr>
                <w:sz w:val="13"/>
              </w:rPr>
            </w:pPr>
            <w:r>
              <w:rPr>
                <w:color w:val="231F20"/>
                <w:w w:val="100"/>
                <w:sz w:val="13"/>
              </w:rPr>
              <w:t>$</w:t>
            </w:r>
          </w:p>
        </w:tc>
        <w:tc>
          <w:tcPr>
            <w:tcW w:w="854" w:type="dxa"/>
          </w:tcPr>
          <w:p>
            <w:pPr>
              <w:pStyle w:val="TableParagraph"/>
              <w:spacing w:before="1"/>
              <w:rPr>
                <w:sz w:val="15"/>
              </w:rPr>
            </w:pPr>
          </w:p>
          <w:p>
            <w:pPr>
              <w:pStyle w:val="TableParagraph"/>
              <w:spacing w:line="129" w:lineRule="exact"/>
              <w:ind w:right="78"/>
              <w:jc w:val="right"/>
              <w:rPr>
                <w:sz w:val="13"/>
              </w:rPr>
            </w:pPr>
            <w:r>
              <w:rPr>
                <w:color w:val="231F20"/>
                <w:spacing w:val="-2"/>
                <w:sz w:val="13"/>
              </w:rPr>
              <w:t>20,350,807</w:t>
            </w:r>
          </w:p>
        </w:tc>
      </w:tr>
      <w:tr>
        <w:trPr>
          <w:trHeight w:val="603" w:hRule="atLeast"/>
        </w:trPr>
        <w:tc>
          <w:tcPr>
            <w:tcW w:w="1261" w:type="dxa"/>
          </w:tcPr>
          <w:p>
            <w:pPr>
              <w:pStyle w:val="TableParagraph"/>
              <w:spacing w:before="7"/>
              <w:rPr>
                <w:sz w:val="17"/>
              </w:rPr>
            </w:pPr>
          </w:p>
          <w:p>
            <w:pPr>
              <w:pStyle w:val="TableParagraph"/>
              <w:spacing w:before="1"/>
              <w:ind w:left="34"/>
              <w:rPr>
                <w:sz w:val="13"/>
              </w:rPr>
            </w:pPr>
            <w:r>
              <w:rPr>
                <w:color w:val="231F20"/>
                <w:sz w:val="13"/>
              </w:rPr>
              <w:t>Pledged</w:t>
            </w:r>
            <w:r>
              <w:rPr>
                <w:color w:val="231F20"/>
                <w:spacing w:val="-4"/>
                <w:sz w:val="13"/>
              </w:rPr>
              <w:t> </w:t>
            </w:r>
            <w:r>
              <w:rPr>
                <w:color w:val="231F20"/>
                <w:spacing w:val="-2"/>
                <w:sz w:val="13"/>
              </w:rPr>
              <w:t>collateral</w:t>
            </w:r>
          </w:p>
        </w:tc>
        <w:tc>
          <w:tcPr>
            <w:tcW w:w="1607" w:type="dxa"/>
          </w:tcPr>
          <w:p>
            <w:pPr>
              <w:pStyle w:val="TableParagraph"/>
              <w:spacing w:before="7"/>
              <w:rPr>
                <w:sz w:val="17"/>
              </w:rPr>
            </w:pPr>
          </w:p>
          <w:p>
            <w:pPr>
              <w:pStyle w:val="TableParagraph"/>
              <w:spacing w:before="1"/>
              <w:ind w:left="191"/>
              <w:rPr>
                <w:sz w:val="13"/>
              </w:rPr>
            </w:pPr>
            <w:r>
              <w:rPr>
                <w:color w:val="231F20"/>
                <w:sz w:val="13"/>
              </w:rPr>
              <w:t>Federal</w:t>
            </w:r>
            <w:r>
              <w:rPr>
                <w:color w:val="231F20"/>
                <w:spacing w:val="-6"/>
                <w:sz w:val="13"/>
              </w:rPr>
              <w:t> </w:t>
            </w:r>
            <w:r>
              <w:rPr>
                <w:color w:val="231F20"/>
                <w:sz w:val="13"/>
              </w:rPr>
              <w:t>Reserve</w:t>
            </w:r>
            <w:r>
              <w:rPr>
                <w:color w:val="231F20"/>
                <w:spacing w:val="-4"/>
                <w:sz w:val="13"/>
              </w:rPr>
              <w:t> Bank</w:t>
            </w:r>
          </w:p>
        </w:tc>
        <w:tc>
          <w:tcPr>
            <w:tcW w:w="1623" w:type="dxa"/>
          </w:tcPr>
          <w:p>
            <w:pPr>
              <w:pStyle w:val="TableParagraph"/>
              <w:spacing w:before="7"/>
              <w:rPr>
                <w:sz w:val="17"/>
              </w:rPr>
            </w:pPr>
          </w:p>
          <w:p>
            <w:pPr>
              <w:pStyle w:val="TableParagraph"/>
              <w:spacing w:line="283" w:lineRule="auto" w:before="1"/>
              <w:ind w:left="121" w:right="284" w:hanging="1"/>
              <w:rPr>
                <w:sz w:val="13"/>
              </w:rPr>
            </w:pPr>
            <w:r>
              <w:rPr>
                <w:color w:val="231F20"/>
                <w:sz w:val="13"/>
              </w:rPr>
              <w:t>FFCB</w:t>
            </w:r>
            <w:r>
              <w:rPr>
                <w:color w:val="231F20"/>
                <w:spacing w:val="-7"/>
                <w:sz w:val="13"/>
              </w:rPr>
              <w:t> </w:t>
            </w:r>
            <w:r>
              <w:rPr>
                <w:color w:val="231F20"/>
                <w:sz w:val="13"/>
              </w:rPr>
              <w:t>3.620%</w:t>
            </w:r>
            <w:r>
              <w:rPr>
                <w:color w:val="231F20"/>
                <w:spacing w:val="40"/>
                <w:sz w:val="13"/>
              </w:rPr>
              <w:t> </w:t>
            </w:r>
            <w:r>
              <w:rPr>
                <w:color w:val="231F20"/>
                <w:sz w:val="13"/>
              </w:rPr>
              <w:t>CUSIP</w:t>
            </w:r>
            <w:r>
              <w:rPr>
                <w:color w:val="231F20"/>
                <w:spacing w:val="-10"/>
                <w:sz w:val="13"/>
              </w:rPr>
              <w:t> </w:t>
            </w:r>
            <w:r>
              <w:rPr>
                <w:color w:val="231F20"/>
                <w:sz w:val="13"/>
              </w:rPr>
              <w:t>#31131KUD0</w:t>
            </w:r>
          </w:p>
        </w:tc>
        <w:tc>
          <w:tcPr>
            <w:tcW w:w="1192" w:type="dxa"/>
          </w:tcPr>
          <w:p>
            <w:pPr>
              <w:pStyle w:val="TableParagraph"/>
              <w:rPr>
                <w:sz w:val="14"/>
              </w:rPr>
            </w:pPr>
          </w:p>
          <w:p>
            <w:pPr>
              <w:pStyle w:val="TableParagraph"/>
              <w:rPr>
                <w:sz w:val="19"/>
              </w:rPr>
            </w:pPr>
          </w:p>
          <w:p>
            <w:pPr>
              <w:pStyle w:val="TableParagraph"/>
              <w:ind w:left="229"/>
              <w:rPr>
                <w:sz w:val="13"/>
              </w:rPr>
            </w:pPr>
            <w:r>
              <w:rPr>
                <w:color w:val="231F20"/>
                <w:spacing w:val="-2"/>
                <w:sz w:val="13"/>
              </w:rPr>
              <w:t>2/11/2025</w:t>
            </w:r>
          </w:p>
        </w:tc>
        <w:tc>
          <w:tcPr>
            <w:tcW w:w="1129" w:type="dxa"/>
            <w:gridSpan w:val="2"/>
          </w:tcPr>
          <w:p>
            <w:pPr>
              <w:pStyle w:val="TableParagraph"/>
              <w:rPr>
                <w:sz w:val="14"/>
              </w:rPr>
            </w:pPr>
          </w:p>
          <w:p>
            <w:pPr>
              <w:pStyle w:val="TableParagraph"/>
              <w:rPr>
                <w:sz w:val="19"/>
              </w:rPr>
            </w:pPr>
          </w:p>
          <w:p>
            <w:pPr>
              <w:pStyle w:val="TableParagraph"/>
              <w:ind w:left="474"/>
              <w:rPr>
                <w:sz w:val="13"/>
              </w:rPr>
            </w:pPr>
            <w:r>
              <w:rPr>
                <w:color w:val="231F20"/>
                <w:spacing w:val="-2"/>
                <w:sz w:val="13"/>
              </w:rPr>
              <w:t>3,642,000</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rPr>
                <w:sz w:val="19"/>
              </w:rPr>
            </w:pPr>
          </w:p>
          <w:p>
            <w:pPr>
              <w:pStyle w:val="TableParagraph"/>
              <w:ind w:right="75"/>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rPr>
                <w:sz w:val="19"/>
              </w:rPr>
            </w:pPr>
          </w:p>
          <w:p>
            <w:pPr>
              <w:pStyle w:val="TableParagraph"/>
              <w:ind w:left="471"/>
              <w:rPr>
                <w:sz w:val="13"/>
              </w:rPr>
            </w:pPr>
            <w:r>
              <w:rPr>
                <w:color w:val="231F20"/>
                <w:spacing w:val="-2"/>
                <w:sz w:val="13"/>
              </w:rPr>
              <w:t>3,642,000</w:t>
            </w:r>
          </w:p>
        </w:tc>
      </w:tr>
      <w:tr>
        <w:trPr>
          <w:trHeight w:val="470"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line="283" w:lineRule="auto" w:before="70"/>
              <w:ind w:left="121" w:right="285"/>
              <w:rPr>
                <w:sz w:val="13"/>
              </w:rPr>
            </w:pPr>
            <w:r>
              <w:rPr>
                <w:color w:val="231F20"/>
                <w:sz w:val="13"/>
              </w:rPr>
              <w:t>FFCB Non CBL</w:t>
            </w:r>
            <w:r>
              <w:rPr>
                <w:color w:val="231F20"/>
                <w:spacing w:val="40"/>
                <w:sz w:val="13"/>
              </w:rPr>
              <w:t> </w:t>
            </w:r>
            <w:r>
              <w:rPr>
                <w:color w:val="231F20"/>
                <w:sz w:val="13"/>
              </w:rPr>
              <w:t>CUSIP</w:t>
            </w:r>
            <w:r>
              <w:rPr>
                <w:color w:val="231F20"/>
                <w:spacing w:val="-10"/>
                <w:sz w:val="13"/>
              </w:rPr>
              <w:t> </w:t>
            </w:r>
            <w:r>
              <w:rPr>
                <w:color w:val="231F20"/>
                <w:sz w:val="13"/>
              </w:rPr>
              <w:t>#31331VKU9</w:t>
            </w:r>
          </w:p>
        </w:tc>
        <w:tc>
          <w:tcPr>
            <w:tcW w:w="1192" w:type="dxa"/>
          </w:tcPr>
          <w:p>
            <w:pPr>
              <w:pStyle w:val="TableParagraph"/>
              <w:rPr>
                <w:sz w:val="14"/>
              </w:rPr>
            </w:pPr>
          </w:p>
          <w:p>
            <w:pPr>
              <w:pStyle w:val="TableParagraph"/>
              <w:spacing w:before="85"/>
              <w:ind w:left="229"/>
              <w:rPr>
                <w:sz w:val="13"/>
              </w:rPr>
            </w:pPr>
            <w:r>
              <w:rPr>
                <w:color w:val="231F20"/>
                <w:spacing w:val="-2"/>
                <w:sz w:val="13"/>
              </w:rPr>
              <w:t>4/16/2025</w:t>
            </w:r>
          </w:p>
        </w:tc>
        <w:tc>
          <w:tcPr>
            <w:tcW w:w="1129" w:type="dxa"/>
            <w:gridSpan w:val="2"/>
          </w:tcPr>
          <w:p>
            <w:pPr>
              <w:pStyle w:val="TableParagraph"/>
              <w:rPr>
                <w:sz w:val="14"/>
              </w:rPr>
            </w:pPr>
          </w:p>
          <w:p>
            <w:pPr>
              <w:pStyle w:val="TableParagraph"/>
              <w:spacing w:before="85"/>
              <w:ind w:left="474"/>
              <w:rPr>
                <w:sz w:val="13"/>
              </w:rPr>
            </w:pPr>
            <w:r>
              <w:rPr>
                <w:color w:val="231F20"/>
                <w:spacing w:val="-2"/>
                <w:sz w:val="13"/>
              </w:rPr>
              <w:t>3,029,445</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right="75"/>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471"/>
              <w:rPr>
                <w:sz w:val="13"/>
              </w:rPr>
            </w:pPr>
            <w:r>
              <w:rPr>
                <w:color w:val="231F20"/>
                <w:spacing w:val="-2"/>
                <w:sz w:val="13"/>
              </w:rPr>
              <w:t>3,029,445</w:t>
            </w:r>
          </w:p>
        </w:tc>
      </w:tr>
      <w:tr>
        <w:trPr>
          <w:trHeight w:val="470"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before="70"/>
              <w:ind w:left="121"/>
              <w:rPr>
                <w:sz w:val="13"/>
              </w:rPr>
            </w:pPr>
            <w:r>
              <w:rPr>
                <w:color w:val="231F20"/>
                <w:sz w:val="13"/>
              </w:rPr>
              <w:t>FCCB</w:t>
            </w:r>
            <w:r>
              <w:rPr>
                <w:color w:val="231F20"/>
                <w:spacing w:val="-5"/>
                <w:sz w:val="13"/>
              </w:rPr>
              <w:t> </w:t>
            </w:r>
            <w:r>
              <w:rPr>
                <w:color w:val="231F20"/>
                <w:spacing w:val="-2"/>
                <w:sz w:val="13"/>
              </w:rPr>
              <w:t>2.63%</w:t>
            </w:r>
          </w:p>
          <w:p>
            <w:pPr>
              <w:pStyle w:val="TableParagraph"/>
              <w:spacing w:before="27"/>
              <w:ind w:left="121"/>
              <w:rPr>
                <w:sz w:val="13"/>
              </w:rPr>
            </w:pPr>
            <w:r>
              <w:rPr>
                <w:color w:val="231F20"/>
                <w:sz w:val="13"/>
              </w:rPr>
              <w:t>CUSIP</w:t>
            </w:r>
            <w:r>
              <w:rPr>
                <w:color w:val="231F20"/>
                <w:spacing w:val="-4"/>
                <w:sz w:val="13"/>
              </w:rPr>
              <w:t> </w:t>
            </w:r>
            <w:r>
              <w:rPr>
                <w:color w:val="231F20"/>
                <w:spacing w:val="-2"/>
                <w:sz w:val="13"/>
              </w:rPr>
              <w:t>#3133EAG44</w:t>
            </w:r>
          </w:p>
        </w:tc>
        <w:tc>
          <w:tcPr>
            <w:tcW w:w="1192" w:type="dxa"/>
          </w:tcPr>
          <w:p>
            <w:pPr>
              <w:pStyle w:val="TableParagraph"/>
              <w:rPr>
                <w:sz w:val="14"/>
              </w:rPr>
            </w:pPr>
          </w:p>
          <w:p>
            <w:pPr>
              <w:pStyle w:val="TableParagraph"/>
              <w:spacing w:before="85"/>
              <w:ind w:left="266"/>
              <w:rPr>
                <w:sz w:val="13"/>
              </w:rPr>
            </w:pPr>
            <w:r>
              <w:rPr>
                <w:color w:val="231F20"/>
                <w:spacing w:val="-2"/>
                <w:sz w:val="13"/>
              </w:rPr>
              <w:t>8/3/2026</w:t>
            </w:r>
          </w:p>
        </w:tc>
        <w:tc>
          <w:tcPr>
            <w:tcW w:w="1129" w:type="dxa"/>
            <w:gridSpan w:val="2"/>
          </w:tcPr>
          <w:p>
            <w:pPr>
              <w:pStyle w:val="TableParagraph"/>
              <w:rPr>
                <w:sz w:val="14"/>
              </w:rPr>
            </w:pPr>
          </w:p>
          <w:p>
            <w:pPr>
              <w:pStyle w:val="TableParagraph"/>
              <w:spacing w:before="85"/>
              <w:ind w:left="474"/>
              <w:rPr>
                <w:sz w:val="13"/>
              </w:rPr>
            </w:pPr>
            <w:r>
              <w:rPr>
                <w:color w:val="231F20"/>
                <w:spacing w:val="-2"/>
                <w:sz w:val="13"/>
              </w:rPr>
              <w:t>1,965,965</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right="75"/>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471"/>
              <w:rPr>
                <w:sz w:val="13"/>
              </w:rPr>
            </w:pPr>
            <w:r>
              <w:rPr>
                <w:color w:val="231F20"/>
                <w:spacing w:val="-2"/>
                <w:sz w:val="13"/>
              </w:rPr>
              <w:t>1,965,965</w:t>
            </w:r>
          </w:p>
        </w:tc>
      </w:tr>
      <w:tr>
        <w:trPr>
          <w:trHeight w:val="470"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before="70"/>
              <w:ind w:left="121"/>
              <w:rPr>
                <w:sz w:val="13"/>
              </w:rPr>
            </w:pPr>
            <w:r>
              <w:rPr>
                <w:color w:val="231F20"/>
                <w:sz w:val="13"/>
              </w:rPr>
              <w:t>FHLB</w:t>
            </w:r>
            <w:r>
              <w:rPr>
                <w:color w:val="231F20"/>
                <w:spacing w:val="-5"/>
                <w:sz w:val="13"/>
              </w:rPr>
              <w:t> </w:t>
            </w:r>
            <w:r>
              <w:rPr>
                <w:color w:val="231F20"/>
                <w:spacing w:val="-2"/>
                <w:sz w:val="13"/>
              </w:rPr>
              <w:t>3.00%</w:t>
            </w:r>
          </w:p>
          <w:p>
            <w:pPr>
              <w:pStyle w:val="TableParagraph"/>
              <w:spacing w:before="27"/>
              <w:ind w:left="121"/>
              <w:rPr>
                <w:sz w:val="13"/>
              </w:rPr>
            </w:pPr>
            <w:r>
              <w:rPr>
                <w:color w:val="231F20"/>
                <w:sz w:val="13"/>
              </w:rPr>
              <w:t>CUSIP</w:t>
            </w:r>
            <w:r>
              <w:rPr>
                <w:color w:val="231F20"/>
                <w:spacing w:val="-4"/>
                <w:sz w:val="13"/>
              </w:rPr>
              <w:t> </w:t>
            </w:r>
            <w:r>
              <w:rPr>
                <w:color w:val="231F20"/>
                <w:spacing w:val="-2"/>
                <w:sz w:val="13"/>
              </w:rPr>
              <w:t>#3130A2VE3</w:t>
            </w:r>
          </w:p>
        </w:tc>
        <w:tc>
          <w:tcPr>
            <w:tcW w:w="1192" w:type="dxa"/>
          </w:tcPr>
          <w:p>
            <w:pPr>
              <w:pStyle w:val="TableParagraph"/>
              <w:rPr>
                <w:sz w:val="14"/>
              </w:rPr>
            </w:pPr>
          </w:p>
          <w:p>
            <w:pPr>
              <w:pStyle w:val="TableParagraph"/>
              <w:spacing w:before="85"/>
              <w:ind w:left="230"/>
              <w:rPr>
                <w:sz w:val="13"/>
              </w:rPr>
            </w:pPr>
            <w:r>
              <w:rPr>
                <w:color w:val="231F20"/>
                <w:spacing w:val="-2"/>
                <w:sz w:val="13"/>
              </w:rPr>
              <w:t>9/11/2026</w:t>
            </w:r>
          </w:p>
        </w:tc>
        <w:tc>
          <w:tcPr>
            <w:tcW w:w="1129" w:type="dxa"/>
            <w:gridSpan w:val="2"/>
          </w:tcPr>
          <w:p>
            <w:pPr>
              <w:pStyle w:val="TableParagraph"/>
              <w:rPr>
                <w:sz w:val="14"/>
              </w:rPr>
            </w:pPr>
          </w:p>
          <w:p>
            <w:pPr>
              <w:pStyle w:val="TableParagraph"/>
              <w:spacing w:before="85"/>
              <w:ind w:left="474"/>
              <w:rPr>
                <w:sz w:val="13"/>
              </w:rPr>
            </w:pPr>
            <w:r>
              <w:rPr>
                <w:color w:val="231F20"/>
                <w:spacing w:val="-2"/>
                <w:sz w:val="13"/>
              </w:rPr>
              <w:t>5,951,250</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right="75"/>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471"/>
              <w:rPr>
                <w:sz w:val="13"/>
              </w:rPr>
            </w:pPr>
            <w:r>
              <w:rPr>
                <w:color w:val="231F20"/>
                <w:spacing w:val="-2"/>
                <w:sz w:val="13"/>
              </w:rPr>
              <w:t>5,951,250</w:t>
            </w:r>
          </w:p>
        </w:tc>
      </w:tr>
      <w:tr>
        <w:trPr>
          <w:trHeight w:val="470"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before="70"/>
              <w:ind w:left="121"/>
              <w:rPr>
                <w:sz w:val="13"/>
              </w:rPr>
            </w:pPr>
            <w:r>
              <w:rPr>
                <w:color w:val="231F20"/>
                <w:sz w:val="13"/>
              </w:rPr>
              <w:t>FFCB</w:t>
            </w:r>
            <w:r>
              <w:rPr>
                <w:color w:val="231F20"/>
                <w:spacing w:val="-5"/>
                <w:sz w:val="13"/>
              </w:rPr>
              <w:t> </w:t>
            </w:r>
            <w:r>
              <w:rPr>
                <w:color w:val="231F20"/>
                <w:spacing w:val="-2"/>
                <w:sz w:val="13"/>
              </w:rPr>
              <w:t>3.06%</w:t>
            </w:r>
          </w:p>
          <w:p>
            <w:pPr>
              <w:pStyle w:val="TableParagraph"/>
              <w:spacing w:before="27"/>
              <w:ind w:left="121"/>
              <w:rPr>
                <w:sz w:val="13"/>
              </w:rPr>
            </w:pPr>
            <w:r>
              <w:rPr>
                <w:color w:val="231F20"/>
                <w:sz w:val="13"/>
              </w:rPr>
              <w:t>CUSIP</w:t>
            </w:r>
            <w:r>
              <w:rPr>
                <w:color w:val="231F20"/>
                <w:spacing w:val="-4"/>
                <w:sz w:val="13"/>
              </w:rPr>
              <w:t> </w:t>
            </w:r>
            <w:r>
              <w:rPr>
                <w:color w:val="231F20"/>
                <w:spacing w:val="-2"/>
                <w:sz w:val="13"/>
              </w:rPr>
              <w:t>#3133EJDF3</w:t>
            </w:r>
          </w:p>
        </w:tc>
        <w:tc>
          <w:tcPr>
            <w:tcW w:w="1192" w:type="dxa"/>
          </w:tcPr>
          <w:p>
            <w:pPr>
              <w:pStyle w:val="TableParagraph"/>
              <w:rPr>
                <w:sz w:val="14"/>
              </w:rPr>
            </w:pPr>
          </w:p>
          <w:p>
            <w:pPr>
              <w:pStyle w:val="TableParagraph"/>
              <w:spacing w:before="85"/>
              <w:ind w:left="229"/>
              <w:rPr>
                <w:sz w:val="13"/>
              </w:rPr>
            </w:pPr>
            <w:r>
              <w:rPr>
                <w:color w:val="231F20"/>
                <w:spacing w:val="-2"/>
                <w:sz w:val="13"/>
              </w:rPr>
              <w:t>2/16/2027</w:t>
            </w:r>
          </w:p>
        </w:tc>
        <w:tc>
          <w:tcPr>
            <w:tcW w:w="1129" w:type="dxa"/>
            <w:gridSpan w:val="2"/>
          </w:tcPr>
          <w:p>
            <w:pPr>
              <w:pStyle w:val="TableParagraph"/>
              <w:rPr>
                <w:sz w:val="14"/>
              </w:rPr>
            </w:pPr>
          </w:p>
          <w:p>
            <w:pPr>
              <w:pStyle w:val="TableParagraph"/>
              <w:spacing w:before="85"/>
              <w:ind w:left="474"/>
              <w:rPr>
                <w:sz w:val="13"/>
              </w:rPr>
            </w:pPr>
            <w:r>
              <w:rPr>
                <w:color w:val="231F20"/>
                <w:spacing w:val="-2"/>
                <w:sz w:val="13"/>
              </w:rPr>
              <w:t>8,979,889</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right="75"/>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471"/>
              <w:rPr>
                <w:sz w:val="13"/>
              </w:rPr>
            </w:pPr>
            <w:r>
              <w:rPr>
                <w:color w:val="231F20"/>
                <w:spacing w:val="-2"/>
                <w:sz w:val="13"/>
              </w:rPr>
              <w:t>8,979,889</w:t>
            </w:r>
          </w:p>
        </w:tc>
      </w:tr>
      <w:tr>
        <w:trPr>
          <w:trHeight w:val="471"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before="70"/>
              <w:ind w:left="121"/>
              <w:rPr>
                <w:sz w:val="13"/>
              </w:rPr>
            </w:pPr>
            <w:r>
              <w:rPr>
                <w:color w:val="231F20"/>
                <w:sz w:val="13"/>
              </w:rPr>
              <w:t>FFCB</w:t>
            </w:r>
            <w:r>
              <w:rPr>
                <w:color w:val="231F20"/>
                <w:spacing w:val="-5"/>
                <w:sz w:val="13"/>
              </w:rPr>
              <w:t> </w:t>
            </w:r>
            <w:r>
              <w:rPr>
                <w:color w:val="231F20"/>
                <w:spacing w:val="-2"/>
                <w:sz w:val="13"/>
              </w:rPr>
              <w:t>4.23%</w:t>
            </w:r>
          </w:p>
          <w:p>
            <w:pPr>
              <w:pStyle w:val="TableParagraph"/>
              <w:spacing w:before="28"/>
              <w:ind w:left="121"/>
              <w:rPr>
                <w:sz w:val="13"/>
              </w:rPr>
            </w:pPr>
            <w:r>
              <w:rPr>
                <w:color w:val="231F20"/>
                <w:sz w:val="13"/>
              </w:rPr>
              <w:t>CUSIP</w:t>
            </w:r>
            <w:r>
              <w:rPr>
                <w:color w:val="231F20"/>
                <w:spacing w:val="-4"/>
                <w:sz w:val="13"/>
              </w:rPr>
              <w:t> </w:t>
            </w:r>
            <w:r>
              <w:rPr>
                <w:color w:val="231F20"/>
                <w:spacing w:val="-2"/>
                <w:sz w:val="13"/>
              </w:rPr>
              <w:t>#31331KNC0</w:t>
            </w:r>
          </w:p>
        </w:tc>
        <w:tc>
          <w:tcPr>
            <w:tcW w:w="1192" w:type="dxa"/>
          </w:tcPr>
          <w:p>
            <w:pPr>
              <w:pStyle w:val="TableParagraph"/>
              <w:rPr>
                <w:sz w:val="14"/>
              </w:rPr>
            </w:pPr>
          </w:p>
          <w:p>
            <w:pPr>
              <w:pStyle w:val="TableParagraph"/>
              <w:spacing w:before="86"/>
              <w:ind w:left="265"/>
              <w:rPr>
                <w:sz w:val="13"/>
              </w:rPr>
            </w:pPr>
            <w:r>
              <w:rPr>
                <w:color w:val="231F20"/>
                <w:spacing w:val="-2"/>
                <w:sz w:val="13"/>
              </w:rPr>
              <w:t>6/8/2028</w:t>
            </w:r>
          </w:p>
        </w:tc>
        <w:tc>
          <w:tcPr>
            <w:tcW w:w="1129" w:type="dxa"/>
            <w:gridSpan w:val="2"/>
          </w:tcPr>
          <w:p>
            <w:pPr>
              <w:pStyle w:val="TableParagraph"/>
              <w:rPr>
                <w:sz w:val="14"/>
              </w:rPr>
            </w:pPr>
          </w:p>
          <w:p>
            <w:pPr>
              <w:pStyle w:val="TableParagraph"/>
              <w:spacing w:before="86"/>
              <w:ind w:left="473"/>
              <w:rPr>
                <w:sz w:val="13"/>
              </w:rPr>
            </w:pPr>
            <w:r>
              <w:rPr>
                <w:color w:val="231F20"/>
                <w:spacing w:val="-2"/>
                <w:sz w:val="13"/>
              </w:rPr>
              <w:t>1,344,804</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6"/>
              <w:ind w:right="75"/>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6"/>
              <w:ind w:left="471"/>
              <w:rPr>
                <w:sz w:val="13"/>
              </w:rPr>
            </w:pPr>
            <w:r>
              <w:rPr>
                <w:color w:val="231F20"/>
                <w:spacing w:val="-2"/>
                <w:sz w:val="13"/>
              </w:rPr>
              <w:t>1,344,804</w:t>
            </w:r>
          </w:p>
        </w:tc>
      </w:tr>
      <w:tr>
        <w:trPr>
          <w:trHeight w:val="470"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before="70"/>
              <w:ind w:left="121"/>
              <w:rPr>
                <w:sz w:val="13"/>
              </w:rPr>
            </w:pPr>
            <w:r>
              <w:rPr>
                <w:color w:val="231F20"/>
                <w:sz w:val="13"/>
              </w:rPr>
              <w:t>FFCB</w:t>
            </w:r>
            <w:r>
              <w:rPr>
                <w:color w:val="231F20"/>
                <w:spacing w:val="-5"/>
                <w:sz w:val="13"/>
              </w:rPr>
              <w:t> </w:t>
            </w:r>
            <w:r>
              <w:rPr>
                <w:color w:val="231F20"/>
                <w:spacing w:val="-2"/>
                <w:sz w:val="13"/>
              </w:rPr>
              <w:t>2.96%</w:t>
            </w:r>
          </w:p>
          <w:p>
            <w:pPr>
              <w:pStyle w:val="TableParagraph"/>
              <w:spacing w:before="27"/>
              <w:ind w:left="121"/>
              <w:rPr>
                <w:sz w:val="13"/>
              </w:rPr>
            </w:pPr>
            <w:r>
              <w:rPr>
                <w:color w:val="231F20"/>
                <w:sz w:val="13"/>
              </w:rPr>
              <w:t>CUSIP</w:t>
            </w:r>
            <w:r>
              <w:rPr>
                <w:color w:val="231F20"/>
                <w:spacing w:val="-4"/>
                <w:sz w:val="13"/>
              </w:rPr>
              <w:t> </w:t>
            </w:r>
            <w:r>
              <w:rPr>
                <w:color w:val="231F20"/>
                <w:spacing w:val="-2"/>
                <w:sz w:val="13"/>
              </w:rPr>
              <w:t>#3133EHQV8</w:t>
            </w:r>
          </w:p>
        </w:tc>
        <w:tc>
          <w:tcPr>
            <w:tcW w:w="1192" w:type="dxa"/>
          </w:tcPr>
          <w:p>
            <w:pPr>
              <w:pStyle w:val="TableParagraph"/>
              <w:rPr>
                <w:sz w:val="14"/>
              </w:rPr>
            </w:pPr>
          </w:p>
          <w:p>
            <w:pPr>
              <w:pStyle w:val="TableParagraph"/>
              <w:spacing w:before="85"/>
              <w:ind w:left="265"/>
              <w:rPr>
                <w:sz w:val="13"/>
              </w:rPr>
            </w:pPr>
            <w:r>
              <w:rPr>
                <w:color w:val="231F20"/>
                <w:spacing w:val="-2"/>
                <w:sz w:val="13"/>
              </w:rPr>
              <w:t>7/7/2031</w:t>
            </w:r>
          </w:p>
        </w:tc>
        <w:tc>
          <w:tcPr>
            <w:tcW w:w="1129" w:type="dxa"/>
            <w:gridSpan w:val="2"/>
          </w:tcPr>
          <w:p>
            <w:pPr>
              <w:pStyle w:val="TableParagraph"/>
              <w:rPr>
                <w:sz w:val="14"/>
              </w:rPr>
            </w:pPr>
          </w:p>
          <w:p>
            <w:pPr>
              <w:pStyle w:val="TableParagraph"/>
              <w:spacing w:before="85"/>
              <w:ind w:left="474"/>
              <w:rPr>
                <w:sz w:val="13"/>
              </w:rPr>
            </w:pPr>
            <w:r>
              <w:rPr>
                <w:color w:val="231F20"/>
                <w:spacing w:val="-2"/>
                <w:sz w:val="13"/>
              </w:rPr>
              <w:t>4,209,230</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right="75"/>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471"/>
              <w:rPr>
                <w:sz w:val="13"/>
              </w:rPr>
            </w:pPr>
            <w:r>
              <w:rPr>
                <w:color w:val="231F20"/>
                <w:spacing w:val="-2"/>
                <w:sz w:val="13"/>
              </w:rPr>
              <w:t>4,209,230</w:t>
            </w:r>
          </w:p>
        </w:tc>
      </w:tr>
      <w:tr>
        <w:trPr>
          <w:trHeight w:val="470"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before="70"/>
              <w:ind w:left="121"/>
              <w:rPr>
                <w:sz w:val="13"/>
              </w:rPr>
            </w:pPr>
            <w:r>
              <w:rPr>
                <w:color w:val="231F20"/>
                <w:sz w:val="13"/>
              </w:rPr>
              <w:t>FFCB</w:t>
            </w:r>
            <w:r>
              <w:rPr>
                <w:color w:val="231F20"/>
                <w:spacing w:val="-5"/>
                <w:sz w:val="13"/>
              </w:rPr>
              <w:t> </w:t>
            </w:r>
            <w:r>
              <w:rPr>
                <w:color w:val="231F20"/>
                <w:spacing w:val="-2"/>
                <w:sz w:val="13"/>
              </w:rPr>
              <w:t>3.62%</w:t>
            </w:r>
          </w:p>
          <w:p>
            <w:pPr>
              <w:pStyle w:val="TableParagraph"/>
              <w:spacing w:before="27"/>
              <w:ind w:left="121"/>
              <w:rPr>
                <w:sz w:val="13"/>
              </w:rPr>
            </w:pPr>
            <w:r>
              <w:rPr>
                <w:color w:val="231F20"/>
                <w:sz w:val="13"/>
              </w:rPr>
              <w:t>CUSIP</w:t>
            </w:r>
            <w:r>
              <w:rPr>
                <w:color w:val="231F20"/>
                <w:spacing w:val="-4"/>
                <w:sz w:val="13"/>
              </w:rPr>
              <w:t> </w:t>
            </w:r>
            <w:r>
              <w:rPr>
                <w:color w:val="231F20"/>
                <w:spacing w:val="-2"/>
                <w:sz w:val="13"/>
              </w:rPr>
              <w:t>#3133EAGW2</w:t>
            </w:r>
          </w:p>
        </w:tc>
        <w:tc>
          <w:tcPr>
            <w:tcW w:w="1192" w:type="dxa"/>
          </w:tcPr>
          <w:p>
            <w:pPr>
              <w:pStyle w:val="TableParagraph"/>
              <w:rPr>
                <w:sz w:val="14"/>
              </w:rPr>
            </w:pPr>
          </w:p>
          <w:p>
            <w:pPr>
              <w:pStyle w:val="TableParagraph"/>
              <w:spacing w:before="85"/>
              <w:ind w:left="265"/>
              <w:rPr>
                <w:sz w:val="13"/>
              </w:rPr>
            </w:pPr>
            <w:r>
              <w:rPr>
                <w:color w:val="231F20"/>
                <w:spacing w:val="-2"/>
                <w:sz w:val="13"/>
              </w:rPr>
              <w:t>3/9/2034</w:t>
            </w:r>
          </w:p>
        </w:tc>
        <w:tc>
          <w:tcPr>
            <w:tcW w:w="1129" w:type="dxa"/>
            <w:gridSpan w:val="2"/>
          </w:tcPr>
          <w:p>
            <w:pPr>
              <w:pStyle w:val="TableParagraph"/>
              <w:rPr>
                <w:sz w:val="14"/>
              </w:rPr>
            </w:pPr>
          </w:p>
          <w:p>
            <w:pPr>
              <w:pStyle w:val="TableParagraph"/>
              <w:spacing w:before="85"/>
              <w:ind w:left="583"/>
              <w:rPr>
                <w:sz w:val="13"/>
              </w:rPr>
            </w:pPr>
            <w:r>
              <w:rPr>
                <w:color w:val="231F20"/>
                <w:spacing w:val="-2"/>
                <w:sz w:val="13"/>
              </w:rPr>
              <w:t>843,680</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right="75"/>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579"/>
              <w:rPr>
                <w:sz w:val="13"/>
              </w:rPr>
            </w:pPr>
            <w:r>
              <w:rPr>
                <w:color w:val="231F20"/>
                <w:spacing w:val="-2"/>
                <w:sz w:val="13"/>
              </w:rPr>
              <w:t>843,680</w:t>
            </w:r>
          </w:p>
        </w:tc>
      </w:tr>
      <w:tr>
        <w:trPr>
          <w:trHeight w:val="470" w:hRule="atLeast"/>
        </w:trPr>
        <w:tc>
          <w:tcPr>
            <w:tcW w:w="1261" w:type="dxa"/>
          </w:tcPr>
          <w:p>
            <w:pPr>
              <w:pStyle w:val="TableParagraph"/>
              <w:rPr>
                <w:rFonts w:ascii="Times New Roman"/>
                <w:sz w:val="12"/>
              </w:rPr>
            </w:pPr>
          </w:p>
        </w:tc>
        <w:tc>
          <w:tcPr>
            <w:tcW w:w="1607" w:type="dxa"/>
          </w:tcPr>
          <w:p>
            <w:pPr>
              <w:pStyle w:val="TableParagraph"/>
              <w:spacing w:before="70"/>
              <w:ind w:left="192"/>
              <w:rPr>
                <w:sz w:val="13"/>
              </w:rPr>
            </w:pPr>
            <w:r>
              <w:rPr>
                <w:color w:val="231F20"/>
                <w:sz w:val="13"/>
              </w:rPr>
              <w:t>BNY</w:t>
            </w:r>
            <w:r>
              <w:rPr>
                <w:color w:val="231F20"/>
                <w:spacing w:val="-3"/>
                <w:sz w:val="13"/>
              </w:rPr>
              <w:t> </w:t>
            </w:r>
            <w:r>
              <w:rPr>
                <w:color w:val="231F20"/>
                <w:spacing w:val="-2"/>
                <w:sz w:val="13"/>
              </w:rPr>
              <w:t>Mellon</w:t>
            </w:r>
          </w:p>
        </w:tc>
        <w:tc>
          <w:tcPr>
            <w:tcW w:w="1623" w:type="dxa"/>
          </w:tcPr>
          <w:p>
            <w:pPr>
              <w:pStyle w:val="TableParagraph"/>
              <w:spacing w:line="283" w:lineRule="auto" w:before="70"/>
              <w:ind w:left="121" w:right="263" w:hanging="1"/>
              <w:rPr>
                <w:sz w:val="13"/>
              </w:rPr>
            </w:pPr>
            <w:r>
              <w:rPr>
                <w:color w:val="231F20"/>
                <w:sz w:val="13"/>
              </w:rPr>
              <w:t>FMAC FEPC 2.50%</w:t>
            </w:r>
            <w:r>
              <w:rPr>
                <w:color w:val="231F20"/>
                <w:spacing w:val="40"/>
                <w:sz w:val="13"/>
              </w:rPr>
              <w:t> </w:t>
            </w:r>
            <w:r>
              <w:rPr>
                <w:color w:val="231F20"/>
                <w:sz w:val="13"/>
              </w:rPr>
              <w:t>CUSIP</w:t>
            </w:r>
            <w:r>
              <w:rPr>
                <w:color w:val="231F20"/>
                <w:spacing w:val="-10"/>
                <w:sz w:val="13"/>
              </w:rPr>
              <w:t> </w:t>
            </w:r>
            <w:r>
              <w:rPr>
                <w:color w:val="231F20"/>
                <w:sz w:val="13"/>
              </w:rPr>
              <w:t>#3133ARVD4</w:t>
            </w:r>
          </w:p>
        </w:tc>
        <w:tc>
          <w:tcPr>
            <w:tcW w:w="1192" w:type="dxa"/>
          </w:tcPr>
          <w:p>
            <w:pPr>
              <w:pStyle w:val="TableParagraph"/>
              <w:rPr>
                <w:sz w:val="14"/>
              </w:rPr>
            </w:pPr>
          </w:p>
          <w:p>
            <w:pPr>
              <w:pStyle w:val="TableParagraph"/>
              <w:spacing w:before="85"/>
              <w:ind w:left="265"/>
              <w:rPr>
                <w:sz w:val="13"/>
              </w:rPr>
            </w:pPr>
            <w:r>
              <w:rPr>
                <w:color w:val="231F20"/>
                <w:spacing w:val="-2"/>
                <w:sz w:val="13"/>
              </w:rPr>
              <w:t>9/1/2051</w:t>
            </w:r>
          </w:p>
        </w:tc>
        <w:tc>
          <w:tcPr>
            <w:tcW w:w="1129" w:type="dxa"/>
            <w:gridSpan w:val="2"/>
          </w:tcPr>
          <w:p>
            <w:pPr>
              <w:pStyle w:val="TableParagraph"/>
              <w:rPr>
                <w:sz w:val="14"/>
              </w:rPr>
            </w:pPr>
          </w:p>
          <w:p>
            <w:pPr>
              <w:pStyle w:val="TableParagraph"/>
              <w:spacing w:before="85"/>
              <w:ind w:right="74"/>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581"/>
              <w:rPr>
                <w:sz w:val="13"/>
              </w:rPr>
            </w:pPr>
            <w:r>
              <w:rPr>
                <w:color w:val="231F20"/>
                <w:spacing w:val="-2"/>
                <w:sz w:val="13"/>
              </w:rPr>
              <w:t>676,827</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579"/>
              <w:rPr>
                <w:sz w:val="13"/>
              </w:rPr>
            </w:pPr>
            <w:r>
              <w:rPr>
                <w:color w:val="231F20"/>
                <w:spacing w:val="-2"/>
                <w:sz w:val="13"/>
              </w:rPr>
              <w:t>676,827</w:t>
            </w:r>
          </w:p>
        </w:tc>
      </w:tr>
      <w:tr>
        <w:trPr>
          <w:trHeight w:val="477"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line="283" w:lineRule="auto" w:before="70"/>
              <w:ind w:left="121"/>
              <w:rPr>
                <w:sz w:val="13"/>
              </w:rPr>
            </w:pPr>
            <w:r>
              <w:rPr>
                <w:color w:val="231F20"/>
                <w:sz w:val="13"/>
              </w:rPr>
              <w:t>FNMA</w:t>
            </w:r>
            <w:r>
              <w:rPr>
                <w:color w:val="231F20"/>
                <w:spacing w:val="-9"/>
                <w:sz w:val="13"/>
              </w:rPr>
              <w:t> </w:t>
            </w:r>
            <w:r>
              <w:rPr>
                <w:color w:val="231F20"/>
                <w:sz w:val="13"/>
              </w:rPr>
              <w:t>FNMS</w:t>
            </w:r>
            <w:r>
              <w:rPr>
                <w:color w:val="231F20"/>
                <w:spacing w:val="-8"/>
                <w:sz w:val="13"/>
              </w:rPr>
              <w:t> </w:t>
            </w:r>
            <w:r>
              <w:rPr>
                <w:color w:val="231F20"/>
                <w:sz w:val="13"/>
              </w:rPr>
              <w:t>2.50%</w:t>
            </w:r>
            <w:r>
              <w:rPr>
                <w:color w:val="231F20"/>
                <w:spacing w:val="40"/>
                <w:sz w:val="13"/>
              </w:rPr>
              <w:t> </w:t>
            </w:r>
            <w:r>
              <w:rPr>
                <w:color w:val="231F20"/>
                <w:sz w:val="13"/>
              </w:rPr>
              <w:t>CUSIP</w:t>
            </w:r>
            <w:r>
              <w:rPr>
                <w:color w:val="231F20"/>
                <w:spacing w:val="-6"/>
                <w:sz w:val="13"/>
              </w:rPr>
              <w:t> </w:t>
            </w:r>
            <w:r>
              <w:rPr>
                <w:color w:val="231F20"/>
                <w:spacing w:val="-2"/>
                <w:sz w:val="13"/>
              </w:rPr>
              <w:t>#3140F2HY9</w:t>
            </w:r>
          </w:p>
        </w:tc>
        <w:tc>
          <w:tcPr>
            <w:tcW w:w="1192" w:type="dxa"/>
          </w:tcPr>
          <w:p>
            <w:pPr>
              <w:pStyle w:val="TableParagraph"/>
              <w:rPr>
                <w:sz w:val="14"/>
              </w:rPr>
            </w:pPr>
          </w:p>
          <w:p>
            <w:pPr>
              <w:pStyle w:val="TableParagraph"/>
              <w:spacing w:before="85"/>
              <w:ind w:left="266"/>
              <w:rPr>
                <w:sz w:val="13"/>
              </w:rPr>
            </w:pPr>
            <w:r>
              <w:rPr>
                <w:color w:val="231F20"/>
                <w:spacing w:val="-2"/>
                <w:sz w:val="13"/>
              </w:rPr>
              <w:t>6/1/2031</w:t>
            </w:r>
          </w:p>
        </w:tc>
        <w:tc>
          <w:tcPr>
            <w:tcW w:w="1129" w:type="dxa"/>
            <w:gridSpan w:val="2"/>
          </w:tcPr>
          <w:p>
            <w:pPr>
              <w:pStyle w:val="TableParagraph"/>
              <w:rPr>
                <w:sz w:val="14"/>
              </w:rPr>
            </w:pPr>
          </w:p>
          <w:p>
            <w:pPr>
              <w:pStyle w:val="TableParagraph"/>
              <w:spacing w:before="85"/>
              <w:ind w:right="73"/>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581"/>
              <w:rPr>
                <w:sz w:val="13"/>
              </w:rPr>
            </w:pPr>
            <w:r>
              <w:rPr>
                <w:color w:val="231F20"/>
                <w:spacing w:val="-2"/>
                <w:sz w:val="13"/>
              </w:rPr>
              <w:t>303,819</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85"/>
              <w:ind w:left="579"/>
              <w:rPr>
                <w:sz w:val="13"/>
              </w:rPr>
            </w:pPr>
            <w:r>
              <w:rPr>
                <w:color w:val="231F20"/>
                <w:spacing w:val="-2"/>
                <w:sz w:val="13"/>
              </w:rPr>
              <w:t>303,819</w:t>
            </w:r>
          </w:p>
        </w:tc>
      </w:tr>
      <w:tr>
        <w:trPr>
          <w:trHeight w:val="484"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line="283" w:lineRule="auto" w:before="77"/>
              <w:ind w:left="121" w:right="270"/>
              <w:rPr>
                <w:sz w:val="13"/>
              </w:rPr>
            </w:pPr>
            <w:r>
              <w:rPr>
                <w:color w:val="231F20"/>
                <w:sz w:val="13"/>
              </w:rPr>
              <w:t>FNMA FNMS 2.50%</w:t>
            </w:r>
            <w:r>
              <w:rPr>
                <w:color w:val="231F20"/>
                <w:spacing w:val="40"/>
                <w:sz w:val="13"/>
              </w:rPr>
              <w:t> </w:t>
            </w:r>
            <w:r>
              <w:rPr>
                <w:color w:val="231F20"/>
                <w:sz w:val="13"/>
              </w:rPr>
              <w:t>CUSIP</w:t>
            </w:r>
            <w:r>
              <w:rPr>
                <w:color w:val="231F20"/>
                <w:spacing w:val="-10"/>
                <w:sz w:val="13"/>
              </w:rPr>
              <w:t> </w:t>
            </w:r>
            <w:r>
              <w:rPr>
                <w:color w:val="231F20"/>
                <w:sz w:val="13"/>
              </w:rPr>
              <w:t>#3140K0W46</w:t>
            </w:r>
          </w:p>
        </w:tc>
        <w:tc>
          <w:tcPr>
            <w:tcW w:w="1192" w:type="dxa"/>
          </w:tcPr>
          <w:p>
            <w:pPr>
              <w:pStyle w:val="TableParagraph"/>
              <w:rPr>
                <w:sz w:val="14"/>
              </w:rPr>
            </w:pPr>
          </w:p>
          <w:p>
            <w:pPr>
              <w:pStyle w:val="TableParagraph"/>
              <w:spacing w:before="92"/>
              <w:ind w:left="229"/>
              <w:rPr>
                <w:sz w:val="13"/>
              </w:rPr>
            </w:pPr>
            <w:r>
              <w:rPr>
                <w:color w:val="231F20"/>
                <w:spacing w:val="-2"/>
                <w:sz w:val="13"/>
              </w:rPr>
              <w:t>11/1/2049</w:t>
            </w:r>
          </w:p>
        </w:tc>
        <w:tc>
          <w:tcPr>
            <w:tcW w:w="1129" w:type="dxa"/>
            <w:gridSpan w:val="2"/>
          </w:tcPr>
          <w:p>
            <w:pPr>
              <w:pStyle w:val="TableParagraph"/>
              <w:rPr>
                <w:sz w:val="14"/>
              </w:rPr>
            </w:pPr>
          </w:p>
          <w:p>
            <w:pPr>
              <w:pStyle w:val="TableParagraph"/>
              <w:spacing w:before="92"/>
              <w:ind w:right="74"/>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92"/>
              <w:ind w:left="581"/>
              <w:rPr>
                <w:sz w:val="13"/>
              </w:rPr>
            </w:pPr>
            <w:r>
              <w:rPr>
                <w:color w:val="231F20"/>
                <w:spacing w:val="-2"/>
                <w:sz w:val="13"/>
              </w:rPr>
              <w:t>342,498</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92"/>
              <w:ind w:left="579"/>
              <w:rPr>
                <w:sz w:val="13"/>
              </w:rPr>
            </w:pPr>
            <w:r>
              <w:rPr>
                <w:color w:val="231F20"/>
                <w:spacing w:val="-2"/>
                <w:sz w:val="13"/>
              </w:rPr>
              <w:t>342,498</w:t>
            </w:r>
          </w:p>
        </w:tc>
      </w:tr>
      <w:tr>
        <w:trPr>
          <w:trHeight w:val="485"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line="283" w:lineRule="auto" w:before="77"/>
              <w:ind w:left="121"/>
              <w:rPr>
                <w:sz w:val="13"/>
              </w:rPr>
            </w:pPr>
            <w:r>
              <w:rPr>
                <w:color w:val="231F20"/>
                <w:sz w:val="13"/>
              </w:rPr>
              <w:t>GNMA</w:t>
            </w:r>
            <w:r>
              <w:rPr>
                <w:color w:val="231F20"/>
                <w:spacing w:val="-10"/>
                <w:sz w:val="13"/>
              </w:rPr>
              <w:t> </w:t>
            </w:r>
            <w:r>
              <w:rPr>
                <w:color w:val="231F20"/>
                <w:sz w:val="13"/>
              </w:rPr>
              <w:t>G2SF</w:t>
            </w:r>
            <w:r>
              <w:rPr>
                <w:color w:val="231F20"/>
                <w:spacing w:val="-9"/>
                <w:sz w:val="13"/>
              </w:rPr>
              <w:t> </w:t>
            </w:r>
            <w:r>
              <w:rPr>
                <w:color w:val="231F20"/>
                <w:sz w:val="13"/>
              </w:rPr>
              <w:t>4.50%</w:t>
            </w:r>
            <w:r>
              <w:rPr>
                <w:color w:val="231F20"/>
                <w:spacing w:val="40"/>
                <w:sz w:val="13"/>
              </w:rPr>
              <w:t> </w:t>
            </w:r>
            <w:r>
              <w:rPr>
                <w:color w:val="231F20"/>
                <w:sz w:val="13"/>
              </w:rPr>
              <w:t>CUSIP</w:t>
            </w:r>
            <w:r>
              <w:rPr>
                <w:color w:val="231F20"/>
                <w:spacing w:val="-6"/>
                <w:sz w:val="13"/>
              </w:rPr>
              <w:t> </w:t>
            </w:r>
            <w:r>
              <w:rPr>
                <w:color w:val="231F20"/>
                <w:spacing w:val="-2"/>
                <w:sz w:val="13"/>
              </w:rPr>
              <w:t>#36179T7L3</w:t>
            </w:r>
          </w:p>
        </w:tc>
        <w:tc>
          <w:tcPr>
            <w:tcW w:w="1192" w:type="dxa"/>
          </w:tcPr>
          <w:p>
            <w:pPr>
              <w:pStyle w:val="TableParagraph"/>
              <w:rPr>
                <w:sz w:val="14"/>
              </w:rPr>
            </w:pPr>
          </w:p>
          <w:p>
            <w:pPr>
              <w:pStyle w:val="TableParagraph"/>
              <w:spacing w:before="92"/>
              <w:ind w:left="230"/>
              <w:rPr>
                <w:sz w:val="13"/>
              </w:rPr>
            </w:pPr>
            <w:r>
              <w:rPr>
                <w:color w:val="231F20"/>
                <w:spacing w:val="-2"/>
                <w:sz w:val="13"/>
              </w:rPr>
              <w:t>8/20/2048</w:t>
            </w:r>
          </w:p>
        </w:tc>
        <w:tc>
          <w:tcPr>
            <w:tcW w:w="1129" w:type="dxa"/>
            <w:gridSpan w:val="2"/>
          </w:tcPr>
          <w:p>
            <w:pPr>
              <w:pStyle w:val="TableParagraph"/>
              <w:rPr>
                <w:sz w:val="14"/>
              </w:rPr>
            </w:pPr>
          </w:p>
          <w:p>
            <w:pPr>
              <w:pStyle w:val="TableParagraph"/>
              <w:spacing w:before="92"/>
              <w:ind w:right="74"/>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92"/>
              <w:ind w:left="473"/>
              <w:rPr>
                <w:sz w:val="13"/>
              </w:rPr>
            </w:pPr>
            <w:r>
              <w:rPr>
                <w:color w:val="231F20"/>
                <w:spacing w:val="-2"/>
                <w:sz w:val="13"/>
              </w:rPr>
              <w:t>1,385,191</w:t>
            </w:r>
          </w:p>
        </w:tc>
        <w:tc>
          <w:tcPr>
            <w:tcW w:w="175" w:type="dxa"/>
          </w:tcPr>
          <w:p>
            <w:pPr>
              <w:pStyle w:val="TableParagraph"/>
              <w:rPr>
                <w:rFonts w:ascii="Times New Roman"/>
                <w:sz w:val="12"/>
              </w:rPr>
            </w:pPr>
          </w:p>
        </w:tc>
        <w:tc>
          <w:tcPr>
            <w:tcW w:w="1129" w:type="dxa"/>
            <w:gridSpan w:val="2"/>
          </w:tcPr>
          <w:p>
            <w:pPr>
              <w:pStyle w:val="TableParagraph"/>
              <w:rPr>
                <w:sz w:val="14"/>
              </w:rPr>
            </w:pPr>
          </w:p>
          <w:p>
            <w:pPr>
              <w:pStyle w:val="TableParagraph"/>
              <w:spacing w:before="92"/>
              <w:ind w:left="471"/>
              <w:rPr>
                <w:sz w:val="13"/>
              </w:rPr>
            </w:pPr>
            <w:r>
              <w:rPr>
                <w:color w:val="231F20"/>
                <w:spacing w:val="-2"/>
                <w:sz w:val="13"/>
              </w:rPr>
              <w:t>1,385,191</w:t>
            </w:r>
          </w:p>
        </w:tc>
      </w:tr>
      <w:tr>
        <w:trPr>
          <w:trHeight w:val="402" w:hRule="atLeast"/>
        </w:trPr>
        <w:tc>
          <w:tcPr>
            <w:tcW w:w="1261" w:type="dxa"/>
          </w:tcPr>
          <w:p>
            <w:pPr>
              <w:pStyle w:val="TableParagraph"/>
              <w:rPr>
                <w:rFonts w:ascii="Times New Roman"/>
                <w:sz w:val="12"/>
              </w:rPr>
            </w:pPr>
          </w:p>
        </w:tc>
        <w:tc>
          <w:tcPr>
            <w:tcW w:w="1607" w:type="dxa"/>
          </w:tcPr>
          <w:p>
            <w:pPr>
              <w:pStyle w:val="TableParagraph"/>
              <w:rPr>
                <w:rFonts w:ascii="Times New Roman"/>
                <w:sz w:val="12"/>
              </w:rPr>
            </w:pPr>
          </w:p>
        </w:tc>
        <w:tc>
          <w:tcPr>
            <w:tcW w:w="1623" w:type="dxa"/>
          </w:tcPr>
          <w:p>
            <w:pPr>
              <w:pStyle w:val="TableParagraph"/>
              <w:spacing w:line="170" w:lineRule="atLeast" w:before="42"/>
              <w:ind w:left="121"/>
              <w:rPr>
                <w:sz w:val="13"/>
              </w:rPr>
            </w:pPr>
            <w:r>
              <w:rPr>
                <w:color w:val="231F20"/>
                <w:sz w:val="13"/>
              </w:rPr>
              <w:t>GNMA</w:t>
            </w:r>
            <w:r>
              <w:rPr>
                <w:color w:val="231F20"/>
                <w:spacing w:val="-1"/>
                <w:sz w:val="13"/>
              </w:rPr>
              <w:t> </w:t>
            </w:r>
            <w:r>
              <w:rPr>
                <w:color w:val="231F20"/>
                <w:sz w:val="13"/>
              </w:rPr>
              <w:t>G2SF 2.00%</w:t>
            </w:r>
            <w:r>
              <w:rPr>
                <w:color w:val="231F20"/>
                <w:spacing w:val="40"/>
                <w:sz w:val="13"/>
              </w:rPr>
              <w:t> </w:t>
            </w:r>
            <w:r>
              <w:rPr>
                <w:color w:val="231F20"/>
                <w:sz w:val="13"/>
              </w:rPr>
              <w:t>CUSIP</w:t>
            </w:r>
            <w:r>
              <w:rPr>
                <w:color w:val="231F20"/>
                <w:spacing w:val="-4"/>
                <w:sz w:val="13"/>
              </w:rPr>
              <w:t> </w:t>
            </w:r>
            <w:r>
              <w:rPr>
                <w:color w:val="231F20"/>
                <w:spacing w:val="-2"/>
                <w:sz w:val="13"/>
              </w:rPr>
              <w:t>#3617UCJE9</w:t>
            </w:r>
          </w:p>
        </w:tc>
        <w:tc>
          <w:tcPr>
            <w:tcW w:w="1192" w:type="dxa"/>
          </w:tcPr>
          <w:p>
            <w:pPr>
              <w:pStyle w:val="TableParagraph"/>
              <w:rPr>
                <w:sz w:val="14"/>
              </w:rPr>
            </w:pPr>
          </w:p>
          <w:p>
            <w:pPr>
              <w:pStyle w:val="TableParagraph"/>
              <w:spacing w:line="128" w:lineRule="exact" w:before="93"/>
              <w:ind w:left="229"/>
              <w:rPr>
                <w:sz w:val="13"/>
              </w:rPr>
            </w:pPr>
            <w:r>
              <w:rPr>
                <w:color w:val="231F20"/>
                <w:spacing w:val="-2"/>
                <w:sz w:val="13"/>
              </w:rPr>
              <w:t>2/20/2051</w:t>
            </w:r>
          </w:p>
        </w:tc>
        <w:tc>
          <w:tcPr>
            <w:tcW w:w="1129" w:type="dxa"/>
            <w:gridSpan w:val="2"/>
            <w:tcBorders>
              <w:bottom w:val="single" w:sz="12" w:space="0" w:color="231F20"/>
            </w:tcBorders>
          </w:tcPr>
          <w:p>
            <w:pPr>
              <w:pStyle w:val="TableParagraph"/>
              <w:rPr>
                <w:sz w:val="14"/>
              </w:rPr>
            </w:pPr>
          </w:p>
          <w:p>
            <w:pPr>
              <w:pStyle w:val="TableParagraph"/>
              <w:spacing w:line="128" w:lineRule="exact" w:before="93"/>
              <w:ind w:right="74"/>
              <w:jc w:val="right"/>
              <w:rPr>
                <w:sz w:val="13"/>
              </w:rPr>
            </w:pPr>
            <w:r>
              <w:rPr>
                <w:color w:val="231F20"/>
                <w:w w:val="100"/>
                <w:sz w:val="13"/>
              </w:rPr>
              <w:t>-</w:t>
            </w:r>
          </w:p>
        </w:tc>
        <w:tc>
          <w:tcPr>
            <w:tcW w:w="175" w:type="dxa"/>
          </w:tcPr>
          <w:p>
            <w:pPr>
              <w:pStyle w:val="TableParagraph"/>
              <w:rPr>
                <w:rFonts w:ascii="Times New Roman"/>
                <w:sz w:val="12"/>
              </w:rPr>
            </w:pPr>
          </w:p>
        </w:tc>
        <w:tc>
          <w:tcPr>
            <w:tcW w:w="1129" w:type="dxa"/>
            <w:gridSpan w:val="2"/>
            <w:tcBorders>
              <w:bottom w:val="single" w:sz="12" w:space="0" w:color="231F20"/>
            </w:tcBorders>
          </w:tcPr>
          <w:p>
            <w:pPr>
              <w:pStyle w:val="TableParagraph"/>
              <w:rPr>
                <w:sz w:val="14"/>
              </w:rPr>
            </w:pPr>
          </w:p>
          <w:p>
            <w:pPr>
              <w:pStyle w:val="TableParagraph"/>
              <w:spacing w:line="128" w:lineRule="exact" w:before="93"/>
              <w:ind w:left="581"/>
              <w:rPr>
                <w:sz w:val="13"/>
              </w:rPr>
            </w:pPr>
            <w:r>
              <w:rPr>
                <w:color w:val="231F20"/>
                <w:spacing w:val="-2"/>
                <w:sz w:val="13"/>
              </w:rPr>
              <w:t>152,757</w:t>
            </w:r>
          </w:p>
        </w:tc>
        <w:tc>
          <w:tcPr>
            <w:tcW w:w="175" w:type="dxa"/>
          </w:tcPr>
          <w:p>
            <w:pPr>
              <w:pStyle w:val="TableParagraph"/>
              <w:rPr>
                <w:rFonts w:ascii="Times New Roman"/>
                <w:sz w:val="12"/>
              </w:rPr>
            </w:pPr>
          </w:p>
        </w:tc>
        <w:tc>
          <w:tcPr>
            <w:tcW w:w="1129" w:type="dxa"/>
            <w:gridSpan w:val="2"/>
            <w:tcBorders>
              <w:bottom w:val="single" w:sz="12" w:space="0" w:color="231F20"/>
            </w:tcBorders>
          </w:tcPr>
          <w:p>
            <w:pPr>
              <w:pStyle w:val="TableParagraph"/>
              <w:rPr>
                <w:sz w:val="14"/>
              </w:rPr>
            </w:pPr>
          </w:p>
          <w:p>
            <w:pPr>
              <w:pStyle w:val="TableParagraph"/>
              <w:spacing w:line="128" w:lineRule="exact" w:before="93"/>
              <w:ind w:left="579"/>
              <w:rPr>
                <w:sz w:val="13"/>
              </w:rPr>
            </w:pPr>
            <w:r>
              <w:rPr>
                <w:color w:val="231F20"/>
                <w:spacing w:val="-2"/>
                <w:sz w:val="13"/>
              </w:rPr>
              <w:t>152,757</w:t>
            </w:r>
          </w:p>
        </w:tc>
      </w:tr>
      <w:tr>
        <w:trPr>
          <w:trHeight w:val="322" w:hRule="atLeast"/>
        </w:trPr>
        <w:tc>
          <w:tcPr>
            <w:tcW w:w="1261" w:type="dxa"/>
          </w:tcPr>
          <w:p>
            <w:pPr>
              <w:pStyle w:val="TableParagraph"/>
              <w:spacing w:before="2"/>
              <w:rPr>
                <w:sz w:val="15"/>
              </w:rPr>
            </w:pPr>
          </w:p>
          <w:p>
            <w:pPr>
              <w:pStyle w:val="TableParagraph"/>
              <w:spacing w:line="128" w:lineRule="exact"/>
              <w:ind w:left="34"/>
              <w:rPr>
                <w:sz w:val="13"/>
              </w:rPr>
            </w:pPr>
            <w:r>
              <w:rPr>
                <w:color w:val="231F20"/>
                <w:sz w:val="13"/>
              </w:rPr>
              <w:t>Total</w:t>
            </w:r>
            <w:r>
              <w:rPr>
                <w:color w:val="231F20"/>
                <w:spacing w:val="-3"/>
                <w:sz w:val="13"/>
              </w:rPr>
              <w:t> </w:t>
            </w:r>
            <w:r>
              <w:rPr>
                <w:color w:val="231F20"/>
                <w:spacing w:val="-2"/>
                <w:sz w:val="13"/>
              </w:rPr>
              <w:t>collateral</w:t>
            </w:r>
          </w:p>
        </w:tc>
        <w:tc>
          <w:tcPr>
            <w:tcW w:w="1607" w:type="dxa"/>
          </w:tcPr>
          <w:p>
            <w:pPr>
              <w:pStyle w:val="TableParagraph"/>
              <w:rPr>
                <w:rFonts w:ascii="Times New Roman"/>
                <w:sz w:val="12"/>
              </w:rPr>
            </w:pPr>
          </w:p>
        </w:tc>
        <w:tc>
          <w:tcPr>
            <w:tcW w:w="1623" w:type="dxa"/>
          </w:tcPr>
          <w:p>
            <w:pPr>
              <w:pStyle w:val="TableParagraph"/>
              <w:rPr>
                <w:rFonts w:ascii="Times New Roman"/>
                <w:sz w:val="12"/>
              </w:rPr>
            </w:pPr>
          </w:p>
        </w:tc>
        <w:tc>
          <w:tcPr>
            <w:tcW w:w="1192" w:type="dxa"/>
          </w:tcPr>
          <w:p>
            <w:pPr>
              <w:pStyle w:val="TableParagraph"/>
              <w:rPr>
                <w:rFonts w:ascii="Times New Roman"/>
                <w:sz w:val="12"/>
              </w:rPr>
            </w:pPr>
          </w:p>
        </w:tc>
        <w:tc>
          <w:tcPr>
            <w:tcW w:w="1129" w:type="dxa"/>
            <w:gridSpan w:val="2"/>
            <w:tcBorders>
              <w:top w:val="single" w:sz="12" w:space="0" w:color="231F20"/>
              <w:bottom w:val="single" w:sz="12" w:space="0" w:color="231F20"/>
            </w:tcBorders>
          </w:tcPr>
          <w:p>
            <w:pPr>
              <w:pStyle w:val="TableParagraph"/>
              <w:spacing w:before="2"/>
              <w:rPr>
                <w:sz w:val="15"/>
              </w:rPr>
            </w:pPr>
          </w:p>
          <w:p>
            <w:pPr>
              <w:pStyle w:val="TableParagraph"/>
              <w:spacing w:line="128" w:lineRule="exact"/>
              <w:ind w:left="402"/>
              <w:rPr>
                <w:sz w:val="13"/>
              </w:rPr>
            </w:pPr>
            <w:r>
              <w:rPr>
                <w:color w:val="231F20"/>
                <w:spacing w:val="-2"/>
                <w:sz w:val="13"/>
              </w:rPr>
              <w:t>29,966,263</w:t>
            </w:r>
          </w:p>
        </w:tc>
        <w:tc>
          <w:tcPr>
            <w:tcW w:w="175" w:type="dxa"/>
          </w:tcPr>
          <w:p>
            <w:pPr>
              <w:pStyle w:val="TableParagraph"/>
              <w:rPr>
                <w:rFonts w:ascii="Times New Roman"/>
                <w:sz w:val="12"/>
              </w:rPr>
            </w:pPr>
          </w:p>
        </w:tc>
        <w:tc>
          <w:tcPr>
            <w:tcW w:w="1129" w:type="dxa"/>
            <w:gridSpan w:val="2"/>
            <w:tcBorders>
              <w:top w:val="single" w:sz="12" w:space="0" w:color="231F20"/>
              <w:bottom w:val="single" w:sz="12" w:space="0" w:color="231F20"/>
            </w:tcBorders>
          </w:tcPr>
          <w:p>
            <w:pPr>
              <w:pStyle w:val="TableParagraph"/>
              <w:spacing w:before="2"/>
              <w:rPr>
                <w:sz w:val="15"/>
              </w:rPr>
            </w:pPr>
          </w:p>
          <w:p>
            <w:pPr>
              <w:pStyle w:val="TableParagraph"/>
              <w:spacing w:line="128" w:lineRule="exact"/>
              <w:ind w:left="472"/>
              <w:rPr>
                <w:sz w:val="13"/>
              </w:rPr>
            </w:pPr>
            <w:r>
              <w:rPr>
                <w:color w:val="231F20"/>
                <w:spacing w:val="-2"/>
                <w:sz w:val="13"/>
              </w:rPr>
              <w:t>2,861,092</w:t>
            </w:r>
          </w:p>
        </w:tc>
        <w:tc>
          <w:tcPr>
            <w:tcW w:w="175" w:type="dxa"/>
          </w:tcPr>
          <w:p>
            <w:pPr>
              <w:pStyle w:val="TableParagraph"/>
              <w:rPr>
                <w:rFonts w:ascii="Times New Roman"/>
                <w:sz w:val="12"/>
              </w:rPr>
            </w:pPr>
          </w:p>
        </w:tc>
        <w:tc>
          <w:tcPr>
            <w:tcW w:w="1129" w:type="dxa"/>
            <w:gridSpan w:val="2"/>
            <w:tcBorders>
              <w:top w:val="single" w:sz="12" w:space="0" w:color="231F20"/>
              <w:bottom w:val="single" w:sz="12" w:space="0" w:color="231F20"/>
            </w:tcBorders>
          </w:tcPr>
          <w:p>
            <w:pPr>
              <w:pStyle w:val="TableParagraph"/>
              <w:spacing w:before="2"/>
              <w:rPr>
                <w:sz w:val="15"/>
              </w:rPr>
            </w:pPr>
          </w:p>
          <w:p>
            <w:pPr>
              <w:pStyle w:val="TableParagraph"/>
              <w:spacing w:line="128" w:lineRule="exact"/>
              <w:ind w:left="397"/>
              <w:rPr>
                <w:sz w:val="13"/>
              </w:rPr>
            </w:pPr>
            <w:r>
              <w:rPr>
                <w:color w:val="231F20"/>
                <w:spacing w:val="-2"/>
                <w:sz w:val="13"/>
              </w:rPr>
              <w:t>32,827,355</w:t>
            </w:r>
          </w:p>
        </w:tc>
      </w:tr>
      <w:tr>
        <w:trPr>
          <w:trHeight w:val="381" w:hRule="atLeast"/>
        </w:trPr>
        <w:tc>
          <w:tcPr>
            <w:tcW w:w="4491" w:type="dxa"/>
            <w:gridSpan w:val="3"/>
          </w:tcPr>
          <w:p>
            <w:pPr>
              <w:pStyle w:val="TableParagraph"/>
              <w:spacing w:before="8"/>
              <w:rPr>
                <w:sz w:val="14"/>
              </w:rPr>
            </w:pPr>
          </w:p>
          <w:p>
            <w:pPr>
              <w:pStyle w:val="TableParagraph"/>
              <w:spacing w:before="1"/>
              <w:ind w:left="34"/>
              <w:rPr>
                <w:sz w:val="13"/>
              </w:rPr>
            </w:pPr>
            <w:r>
              <w:rPr>
                <w:color w:val="231F20"/>
                <w:sz w:val="13"/>
              </w:rPr>
              <w:t>Excess</w:t>
            </w:r>
            <w:r>
              <w:rPr>
                <w:color w:val="231F20"/>
                <w:spacing w:val="-4"/>
                <w:sz w:val="13"/>
              </w:rPr>
              <w:t> </w:t>
            </w:r>
            <w:r>
              <w:rPr>
                <w:color w:val="231F20"/>
                <w:sz w:val="13"/>
              </w:rPr>
              <w:t>of</w:t>
            </w:r>
            <w:r>
              <w:rPr>
                <w:color w:val="231F20"/>
                <w:spacing w:val="-5"/>
                <w:sz w:val="13"/>
              </w:rPr>
              <w:t> </w:t>
            </w:r>
            <w:r>
              <w:rPr>
                <w:color w:val="231F20"/>
                <w:sz w:val="13"/>
              </w:rPr>
              <w:t>pledged</w:t>
            </w:r>
            <w:r>
              <w:rPr>
                <w:color w:val="231F20"/>
                <w:spacing w:val="-5"/>
                <w:sz w:val="13"/>
              </w:rPr>
              <w:t> </w:t>
            </w:r>
            <w:r>
              <w:rPr>
                <w:color w:val="231F20"/>
                <w:sz w:val="13"/>
              </w:rPr>
              <w:t>collateral</w:t>
            </w:r>
            <w:r>
              <w:rPr>
                <w:color w:val="231F20"/>
                <w:spacing w:val="-4"/>
                <w:sz w:val="13"/>
              </w:rPr>
              <w:t> </w:t>
            </w:r>
            <w:r>
              <w:rPr>
                <w:color w:val="231F20"/>
                <w:sz w:val="13"/>
              </w:rPr>
              <w:t>over</w:t>
            </w:r>
            <w:r>
              <w:rPr>
                <w:color w:val="231F20"/>
                <w:spacing w:val="-5"/>
                <w:sz w:val="13"/>
              </w:rPr>
              <w:t> </w:t>
            </w:r>
            <w:r>
              <w:rPr>
                <w:color w:val="231F20"/>
                <w:sz w:val="13"/>
              </w:rPr>
              <w:t>the</w:t>
            </w:r>
            <w:r>
              <w:rPr>
                <w:color w:val="231F20"/>
                <w:spacing w:val="-5"/>
                <w:sz w:val="13"/>
              </w:rPr>
              <w:t> </w:t>
            </w:r>
            <w:r>
              <w:rPr>
                <w:color w:val="231F20"/>
                <w:sz w:val="13"/>
              </w:rPr>
              <w:t>required</w:t>
            </w:r>
            <w:r>
              <w:rPr>
                <w:color w:val="231F20"/>
                <w:spacing w:val="-3"/>
                <w:sz w:val="13"/>
              </w:rPr>
              <w:t> </w:t>
            </w:r>
            <w:r>
              <w:rPr>
                <w:color w:val="231F20"/>
                <w:spacing w:val="-2"/>
                <w:sz w:val="13"/>
              </w:rPr>
              <w:t>amount</w:t>
            </w:r>
          </w:p>
        </w:tc>
        <w:tc>
          <w:tcPr>
            <w:tcW w:w="1466" w:type="dxa"/>
            <w:gridSpan w:val="2"/>
          </w:tcPr>
          <w:p>
            <w:pPr>
              <w:pStyle w:val="TableParagraph"/>
              <w:spacing w:before="8"/>
              <w:rPr>
                <w:sz w:val="14"/>
              </w:rPr>
            </w:pPr>
          </w:p>
          <w:p>
            <w:pPr>
              <w:pStyle w:val="TableParagraph"/>
              <w:spacing w:before="1"/>
              <w:ind w:right="129"/>
              <w:jc w:val="right"/>
              <w:rPr>
                <w:sz w:val="13"/>
              </w:rPr>
            </w:pPr>
            <w:r>
              <w:rPr>
                <w:color w:val="231F20"/>
                <w:w w:val="100"/>
                <w:sz w:val="13"/>
              </w:rPr>
              <w:t>$</w:t>
            </w:r>
          </w:p>
        </w:tc>
        <w:tc>
          <w:tcPr>
            <w:tcW w:w="855" w:type="dxa"/>
          </w:tcPr>
          <w:p>
            <w:pPr>
              <w:pStyle w:val="TableParagraph"/>
              <w:spacing w:before="8"/>
              <w:rPr>
                <w:sz w:val="14"/>
              </w:rPr>
            </w:pPr>
          </w:p>
          <w:p>
            <w:pPr>
              <w:pStyle w:val="TableParagraph"/>
              <w:spacing w:before="1"/>
              <w:ind w:right="75"/>
              <w:jc w:val="right"/>
              <w:rPr>
                <w:sz w:val="13"/>
              </w:rPr>
            </w:pPr>
            <w:r>
              <w:rPr>
                <w:color w:val="231F20"/>
                <w:spacing w:val="-2"/>
                <w:sz w:val="13"/>
              </w:rPr>
              <w:t>12,476,548</w:t>
            </w:r>
          </w:p>
        </w:tc>
        <w:tc>
          <w:tcPr>
            <w:tcW w:w="486" w:type="dxa"/>
            <w:gridSpan w:val="2"/>
          </w:tcPr>
          <w:p>
            <w:pPr>
              <w:pStyle w:val="TableParagraph"/>
              <w:spacing w:before="8"/>
              <w:rPr>
                <w:sz w:val="14"/>
              </w:rPr>
            </w:pPr>
          </w:p>
          <w:p>
            <w:pPr>
              <w:pStyle w:val="TableParagraph"/>
              <w:spacing w:before="1"/>
              <w:ind w:left="69"/>
              <w:jc w:val="center"/>
              <w:rPr>
                <w:sz w:val="13"/>
              </w:rPr>
            </w:pPr>
            <w:r>
              <w:rPr>
                <w:color w:val="231F20"/>
                <w:w w:val="100"/>
                <w:sz w:val="13"/>
              </w:rPr>
              <w:t>$</w:t>
            </w:r>
          </w:p>
        </w:tc>
        <w:tc>
          <w:tcPr>
            <w:tcW w:w="818" w:type="dxa"/>
          </w:tcPr>
          <w:p>
            <w:pPr>
              <w:pStyle w:val="TableParagraph"/>
              <w:spacing w:before="8"/>
              <w:rPr>
                <w:sz w:val="14"/>
              </w:rPr>
            </w:pPr>
          </w:p>
          <w:p>
            <w:pPr>
              <w:pStyle w:val="TableParagraph"/>
              <w:spacing w:before="1"/>
              <w:ind w:right="75"/>
              <w:jc w:val="right"/>
              <w:rPr>
                <w:sz w:val="13"/>
              </w:rPr>
            </w:pPr>
            <w:r>
              <w:rPr>
                <w:color w:val="231F20"/>
                <w:w w:val="100"/>
                <w:sz w:val="13"/>
              </w:rPr>
              <w:t>-</w:t>
            </w:r>
          </w:p>
        </w:tc>
        <w:tc>
          <w:tcPr>
            <w:tcW w:w="450" w:type="dxa"/>
            <w:gridSpan w:val="2"/>
          </w:tcPr>
          <w:p>
            <w:pPr>
              <w:pStyle w:val="TableParagraph"/>
              <w:spacing w:before="8"/>
              <w:rPr>
                <w:sz w:val="14"/>
              </w:rPr>
            </w:pPr>
          </w:p>
          <w:p>
            <w:pPr>
              <w:pStyle w:val="TableParagraph"/>
              <w:spacing w:before="1"/>
              <w:ind w:left="239"/>
              <w:rPr>
                <w:sz w:val="13"/>
              </w:rPr>
            </w:pPr>
            <w:r>
              <w:rPr>
                <w:color w:val="231F20"/>
                <w:w w:val="100"/>
                <w:sz w:val="13"/>
              </w:rPr>
              <w:t>$</w:t>
            </w:r>
          </w:p>
        </w:tc>
        <w:tc>
          <w:tcPr>
            <w:tcW w:w="854" w:type="dxa"/>
          </w:tcPr>
          <w:p>
            <w:pPr>
              <w:pStyle w:val="TableParagraph"/>
              <w:spacing w:before="8"/>
              <w:rPr>
                <w:sz w:val="14"/>
              </w:rPr>
            </w:pPr>
          </w:p>
          <w:p>
            <w:pPr>
              <w:pStyle w:val="TableParagraph"/>
              <w:spacing w:before="1"/>
              <w:ind w:right="77"/>
              <w:jc w:val="right"/>
              <w:rPr>
                <w:sz w:val="13"/>
              </w:rPr>
            </w:pPr>
            <w:r>
              <w:rPr>
                <w:color w:val="231F20"/>
                <w:spacing w:val="-2"/>
                <w:sz w:val="13"/>
              </w:rPr>
              <w:t>12,476,548</w:t>
            </w:r>
          </w:p>
        </w:tc>
      </w:tr>
    </w:tbl>
    <w:p>
      <w:pPr>
        <w:spacing w:after="0"/>
        <w:jc w:val="right"/>
        <w:rPr>
          <w:sz w:val="13"/>
        </w:rPr>
        <w:sectPr>
          <w:type w:val="continuous"/>
          <w:pgSz w:w="12240" w:h="15840"/>
          <w:pgMar w:header="1270" w:footer="1097" w:top="1460" w:bottom="280" w:left="1280" w:right="1280"/>
        </w:sectPr>
      </w:pPr>
    </w:p>
    <w:p>
      <w:pPr>
        <w:pStyle w:val="Heading3"/>
        <w:ind w:left="4058" w:hanging="3807"/>
        <w:jc w:val="left"/>
      </w:pPr>
      <w:r>
        <w:rPr/>
        <w:pict>
          <v:rect style="position:absolute;margin-left:70.5pt;margin-top:28.525633pt;width:471.001pt;height:1.5pt;mso-position-horizontal-relative:page;mso-position-vertical-relative:paragraph;z-index:-15623168;mso-wrap-distance-left:0;mso-wrap-distance-right:0" id="docshape487" filled="true" fillcolor="#231f20" stroked="false">
            <v:fill type="solid"/>
            <w10:wrap type="topAndBottom"/>
          </v:rect>
        </w:pict>
      </w:r>
      <w:r>
        <w:rPr>
          <w:color w:val="231F20"/>
        </w:rPr>
        <w:t>Schedule</w:t>
      </w:r>
      <w:r>
        <w:rPr>
          <w:color w:val="231F20"/>
          <w:spacing w:val="-4"/>
        </w:rPr>
        <w:t> </w:t>
      </w:r>
      <w:r>
        <w:rPr>
          <w:color w:val="231F20"/>
        </w:rPr>
        <w:t>of</w:t>
      </w:r>
      <w:r>
        <w:rPr>
          <w:color w:val="231F20"/>
          <w:spacing w:val="-4"/>
        </w:rPr>
        <w:t> </w:t>
      </w:r>
      <w:r>
        <w:rPr>
          <w:color w:val="231F20"/>
        </w:rPr>
        <w:t>Individual</w:t>
      </w:r>
      <w:r>
        <w:rPr>
          <w:color w:val="231F20"/>
          <w:spacing w:val="-4"/>
        </w:rPr>
        <w:t> </w:t>
      </w:r>
      <w:r>
        <w:rPr>
          <w:color w:val="231F20"/>
        </w:rPr>
        <w:t>Deposit</w:t>
      </w:r>
      <w:r>
        <w:rPr>
          <w:color w:val="231F20"/>
          <w:spacing w:val="-4"/>
        </w:rPr>
        <w:t> </w:t>
      </w:r>
      <w:r>
        <w:rPr>
          <w:color w:val="231F20"/>
        </w:rPr>
        <w:t>and</w:t>
      </w:r>
      <w:r>
        <w:rPr>
          <w:color w:val="231F20"/>
          <w:spacing w:val="-4"/>
        </w:rPr>
        <w:t> </w:t>
      </w:r>
      <w:r>
        <w:rPr>
          <w:color w:val="231F20"/>
        </w:rPr>
        <w:t>Investment</w:t>
      </w:r>
      <w:r>
        <w:rPr>
          <w:color w:val="231F20"/>
          <w:spacing w:val="-4"/>
        </w:rPr>
        <w:t> </w:t>
      </w:r>
      <w:r>
        <w:rPr>
          <w:color w:val="231F20"/>
        </w:rPr>
        <w:t>Accounts</w:t>
      </w:r>
      <w:r>
        <w:rPr>
          <w:color w:val="231F20"/>
          <w:spacing w:val="-4"/>
        </w:rPr>
        <w:t> </w:t>
      </w:r>
      <w:r>
        <w:rPr>
          <w:color w:val="231F20"/>
        </w:rPr>
        <w:t>–</w:t>
      </w:r>
      <w:r>
        <w:rPr>
          <w:color w:val="231F20"/>
          <w:spacing w:val="-4"/>
        </w:rPr>
        <w:t> </w:t>
      </w:r>
      <w:r>
        <w:rPr>
          <w:color w:val="231F20"/>
        </w:rPr>
        <w:t>Institute</w:t>
      </w:r>
      <w:r>
        <w:rPr>
          <w:color w:val="231F20"/>
          <w:spacing w:val="-4"/>
        </w:rPr>
        <w:t> </w:t>
      </w:r>
      <w:r>
        <w:rPr>
          <w:color w:val="231F20"/>
        </w:rPr>
        <w:t>(Schedule</w:t>
      </w:r>
      <w:r>
        <w:rPr>
          <w:color w:val="231F20"/>
          <w:spacing w:val="-4"/>
        </w:rPr>
        <w:t> </w:t>
      </w:r>
      <w:r>
        <w:rPr>
          <w:color w:val="231F20"/>
        </w:rPr>
        <w:t>6) June 30, 2022</w:t>
      </w:r>
    </w:p>
    <w:p>
      <w:pPr>
        <w:pStyle w:val="BodyText"/>
        <w:rPr>
          <w:b/>
        </w:rPr>
      </w:pPr>
    </w:p>
    <w:p>
      <w:pPr>
        <w:pStyle w:val="BodyText"/>
        <w:spacing w:before="8"/>
        <w:rPr>
          <w:b/>
          <w:sz w:val="22"/>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4"/>
        <w:gridCol w:w="191"/>
        <w:gridCol w:w="900"/>
        <w:gridCol w:w="191"/>
        <w:gridCol w:w="1323"/>
        <w:gridCol w:w="191"/>
        <w:gridCol w:w="1323"/>
        <w:gridCol w:w="191"/>
        <w:gridCol w:w="1271"/>
      </w:tblGrid>
      <w:tr>
        <w:trPr>
          <w:trHeight w:val="355" w:hRule="atLeast"/>
        </w:trPr>
        <w:tc>
          <w:tcPr>
            <w:tcW w:w="3784" w:type="dxa"/>
            <w:tcBorders>
              <w:bottom w:val="single" w:sz="8" w:space="0" w:color="231F20"/>
            </w:tcBorders>
          </w:tcPr>
          <w:p>
            <w:pPr>
              <w:pStyle w:val="TableParagraph"/>
              <w:spacing w:line="156" w:lineRule="exact"/>
              <w:ind w:left="28"/>
              <w:rPr>
                <w:sz w:val="14"/>
              </w:rPr>
            </w:pPr>
            <w:r>
              <w:rPr>
                <w:color w:val="231F20"/>
                <w:sz w:val="14"/>
              </w:rPr>
              <w:t>Financial</w:t>
            </w:r>
            <w:r>
              <w:rPr>
                <w:color w:val="231F20"/>
                <w:spacing w:val="-6"/>
                <w:sz w:val="14"/>
              </w:rPr>
              <w:t> </w:t>
            </w:r>
            <w:r>
              <w:rPr>
                <w:color w:val="231F20"/>
                <w:spacing w:val="-2"/>
                <w:sz w:val="14"/>
              </w:rPr>
              <w:t>Institution:</w:t>
            </w:r>
          </w:p>
          <w:p>
            <w:pPr>
              <w:pStyle w:val="TableParagraph"/>
              <w:spacing w:before="16"/>
              <w:ind w:left="106"/>
              <w:rPr>
                <w:sz w:val="14"/>
              </w:rPr>
            </w:pPr>
            <w:r>
              <w:rPr>
                <w:color w:val="231F20"/>
                <w:sz w:val="14"/>
              </w:rPr>
              <w:t>Account </w:t>
            </w:r>
            <w:r>
              <w:rPr>
                <w:color w:val="231F20"/>
                <w:spacing w:val="-4"/>
                <w:sz w:val="14"/>
              </w:rPr>
              <w:t>name</w:t>
            </w:r>
          </w:p>
        </w:tc>
        <w:tc>
          <w:tcPr>
            <w:tcW w:w="191" w:type="dxa"/>
          </w:tcPr>
          <w:p>
            <w:pPr>
              <w:pStyle w:val="TableParagraph"/>
              <w:rPr>
                <w:rFonts w:ascii="Times New Roman"/>
                <w:sz w:val="14"/>
              </w:rPr>
            </w:pPr>
          </w:p>
        </w:tc>
        <w:tc>
          <w:tcPr>
            <w:tcW w:w="900" w:type="dxa"/>
            <w:tcBorders>
              <w:bottom w:val="single" w:sz="8" w:space="0" w:color="231F20"/>
            </w:tcBorders>
          </w:tcPr>
          <w:p>
            <w:pPr>
              <w:pStyle w:val="TableParagraph"/>
              <w:spacing w:line="156" w:lineRule="exact"/>
              <w:ind w:left="196"/>
              <w:rPr>
                <w:sz w:val="14"/>
              </w:rPr>
            </w:pPr>
            <w:r>
              <w:rPr>
                <w:color w:val="231F20"/>
                <w:spacing w:val="-2"/>
                <w:sz w:val="14"/>
              </w:rPr>
              <w:t>Account</w:t>
            </w:r>
          </w:p>
          <w:p>
            <w:pPr>
              <w:pStyle w:val="TableParagraph"/>
              <w:spacing w:before="16"/>
              <w:ind w:left="295"/>
              <w:rPr>
                <w:sz w:val="14"/>
              </w:rPr>
            </w:pPr>
            <w:r>
              <w:rPr>
                <w:color w:val="231F20"/>
                <w:spacing w:val="-4"/>
                <w:sz w:val="14"/>
              </w:rPr>
              <w:t>Type</w:t>
            </w:r>
          </w:p>
        </w:tc>
        <w:tc>
          <w:tcPr>
            <w:tcW w:w="191" w:type="dxa"/>
          </w:tcPr>
          <w:p>
            <w:pPr>
              <w:pStyle w:val="TableParagraph"/>
              <w:rPr>
                <w:rFonts w:ascii="Times New Roman"/>
                <w:sz w:val="14"/>
              </w:rPr>
            </w:pPr>
          </w:p>
        </w:tc>
        <w:tc>
          <w:tcPr>
            <w:tcW w:w="1323" w:type="dxa"/>
            <w:tcBorders>
              <w:bottom w:val="single" w:sz="8" w:space="0" w:color="231F20"/>
            </w:tcBorders>
          </w:tcPr>
          <w:p>
            <w:pPr>
              <w:pStyle w:val="TableParagraph"/>
              <w:spacing w:before="11"/>
              <w:rPr>
                <w:b/>
                <w:sz w:val="15"/>
              </w:rPr>
            </w:pPr>
          </w:p>
          <w:p>
            <w:pPr>
              <w:pStyle w:val="TableParagraph"/>
              <w:spacing w:line="152" w:lineRule="exact"/>
              <w:ind w:left="233"/>
              <w:rPr>
                <w:sz w:val="14"/>
              </w:rPr>
            </w:pPr>
            <w:r>
              <w:rPr>
                <w:color w:val="231F20"/>
                <w:sz w:val="14"/>
              </w:rPr>
              <w:t>Bank</w:t>
            </w:r>
            <w:r>
              <w:rPr>
                <w:color w:val="231F20"/>
                <w:spacing w:val="-4"/>
                <w:sz w:val="14"/>
              </w:rPr>
              <w:t> </w:t>
            </w:r>
            <w:r>
              <w:rPr>
                <w:color w:val="231F20"/>
                <w:spacing w:val="-2"/>
                <w:sz w:val="14"/>
              </w:rPr>
              <w:t>Balance</w:t>
            </w:r>
          </w:p>
        </w:tc>
        <w:tc>
          <w:tcPr>
            <w:tcW w:w="191" w:type="dxa"/>
          </w:tcPr>
          <w:p>
            <w:pPr>
              <w:pStyle w:val="TableParagraph"/>
              <w:rPr>
                <w:rFonts w:ascii="Times New Roman"/>
                <w:sz w:val="14"/>
              </w:rPr>
            </w:pPr>
          </w:p>
        </w:tc>
        <w:tc>
          <w:tcPr>
            <w:tcW w:w="1323" w:type="dxa"/>
            <w:tcBorders>
              <w:bottom w:val="single" w:sz="8" w:space="0" w:color="231F20"/>
            </w:tcBorders>
          </w:tcPr>
          <w:p>
            <w:pPr>
              <w:pStyle w:val="TableParagraph"/>
              <w:spacing w:line="156" w:lineRule="exact"/>
              <w:ind w:left="77" w:right="78"/>
              <w:jc w:val="center"/>
              <w:rPr>
                <w:sz w:val="14"/>
              </w:rPr>
            </w:pPr>
            <w:r>
              <w:rPr>
                <w:color w:val="231F20"/>
                <w:spacing w:val="-2"/>
                <w:sz w:val="14"/>
              </w:rPr>
              <w:t>Outstanding</w:t>
            </w:r>
          </w:p>
          <w:p>
            <w:pPr>
              <w:pStyle w:val="TableParagraph"/>
              <w:spacing w:before="16"/>
              <w:ind w:left="78" w:right="78"/>
              <w:jc w:val="center"/>
              <w:rPr>
                <w:sz w:val="14"/>
              </w:rPr>
            </w:pPr>
            <w:r>
              <w:rPr>
                <w:color w:val="231F20"/>
                <w:sz w:val="14"/>
              </w:rPr>
              <w:t>(Checks)</w:t>
            </w:r>
            <w:r>
              <w:rPr>
                <w:color w:val="231F20"/>
                <w:spacing w:val="-2"/>
                <w:sz w:val="14"/>
              </w:rPr>
              <w:t> Deposits</w:t>
            </w:r>
          </w:p>
        </w:tc>
        <w:tc>
          <w:tcPr>
            <w:tcW w:w="191" w:type="dxa"/>
          </w:tcPr>
          <w:p>
            <w:pPr>
              <w:pStyle w:val="TableParagraph"/>
              <w:rPr>
                <w:rFonts w:ascii="Times New Roman"/>
                <w:sz w:val="14"/>
              </w:rPr>
            </w:pPr>
          </w:p>
        </w:tc>
        <w:tc>
          <w:tcPr>
            <w:tcW w:w="1271" w:type="dxa"/>
            <w:tcBorders>
              <w:bottom w:val="single" w:sz="8" w:space="0" w:color="231F20"/>
            </w:tcBorders>
          </w:tcPr>
          <w:p>
            <w:pPr>
              <w:pStyle w:val="TableParagraph"/>
              <w:rPr>
                <w:b/>
                <w:sz w:val="15"/>
              </w:rPr>
            </w:pPr>
          </w:p>
          <w:p>
            <w:pPr>
              <w:pStyle w:val="TableParagraph"/>
              <w:ind w:left="198"/>
              <w:rPr>
                <w:sz w:val="14"/>
              </w:rPr>
            </w:pPr>
            <w:r>
              <w:rPr>
                <w:color w:val="231F20"/>
                <w:sz w:val="14"/>
              </w:rPr>
              <w:t>Book </w:t>
            </w:r>
            <w:r>
              <w:rPr>
                <w:color w:val="231F20"/>
                <w:spacing w:val="-2"/>
                <w:sz w:val="14"/>
              </w:rPr>
              <w:t>Balance</w:t>
            </w:r>
          </w:p>
        </w:tc>
      </w:tr>
      <w:tr>
        <w:trPr>
          <w:trHeight w:val="762" w:hRule="atLeast"/>
        </w:trPr>
        <w:tc>
          <w:tcPr>
            <w:tcW w:w="3784" w:type="dxa"/>
            <w:tcBorders>
              <w:top w:val="single" w:sz="8" w:space="0" w:color="231F20"/>
            </w:tcBorders>
          </w:tcPr>
          <w:p>
            <w:pPr>
              <w:pStyle w:val="TableParagraph"/>
              <w:spacing w:before="10"/>
              <w:rPr>
                <w:b/>
                <w:sz w:val="16"/>
              </w:rPr>
            </w:pPr>
          </w:p>
          <w:p>
            <w:pPr>
              <w:pStyle w:val="TableParagraph"/>
              <w:ind w:left="28"/>
              <w:rPr>
                <w:b/>
                <w:sz w:val="14"/>
              </w:rPr>
            </w:pPr>
            <w:r>
              <w:rPr>
                <w:b/>
                <w:color w:val="231F20"/>
                <w:spacing w:val="-2"/>
                <w:sz w:val="14"/>
              </w:rPr>
              <w:t>Deposits:</w:t>
            </w:r>
          </w:p>
          <w:p>
            <w:pPr>
              <w:pStyle w:val="TableParagraph"/>
              <w:spacing w:before="33"/>
              <w:ind w:left="28"/>
              <w:rPr>
                <w:sz w:val="14"/>
              </w:rPr>
            </w:pPr>
            <w:r>
              <w:rPr>
                <w:color w:val="231F20"/>
                <w:sz w:val="14"/>
              </w:rPr>
              <w:t>First</w:t>
            </w:r>
            <w:r>
              <w:rPr>
                <w:color w:val="231F20"/>
                <w:spacing w:val="-5"/>
                <w:sz w:val="14"/>
              </w:rPr>
              <w:t> </w:t>
            </w:r>
            <w:r>
              <w:rPr>
                <w:color w:val="231F20"/>
                <w:sz w:val="14"/>
              </w:rPr>
              <w:t>State</w:t>
            </w:r>
            <w:r>
              <w:rPr>
                <w:color w:val="231F20"/>
                <w:spacing w:val="-2"/>
                <w:sz w:val="14"/>
              </w:rPr>
              <w:t> </w:t>
            </w:r>
            <w:r>
              <w:rPr>
                <w:color w:val="231F20"/>
                <w:spacing w:val="-4"/>
                <w:sz w:val="14"/>
              </w:rPr>
              <w:t>Bank</w:t>
            </w:r>
          </w:p>
          <w:p>
            <w:pPr>
              <w:pStyle w:val="TableParagraph"/>
              <w:spacing w:line="159" w:lineRule="exact" w:before="34"/>
              <w:ind w:left="152"/>
              <w:rPr>
                <w:sz w:val="14"/>
              </w:rPr>
            </w:pPr>
            <w:r>
              <w:rPr>
                <w:color w:val="231F20"/>
                <w:sz w:val="14"/>
              </w:rPr>
              <w:t>Comptroller</w:t>
            </w:r>
            <w:r>
              <w:rPr>
                <w:color w:val="231F20"/>
                <w:spacing w:val="-5"/>
                <w:sz w:val="14"/>
              </w:rPr>
              <w:t> </w:t>
            </w:r>
            <w:r>
              <w:rPr>
                <w:color w:val="231F20"/>
                <w:sz w:val="14"/>
              </w:rPr>
              <w:t>cash</w:t>
            </w:r>
            <w:r>
              <w:rPr>
                <w:color w:val="231F20"/>
                <w:spacing w:val="-4"/>
                <w:sz w:val="14"/>
              </w:rPr>
              <w:t> </w:t>
            </w:r>
            <w:r>
              <w:rPr>
                <w:color w:val="231F20"/>
                <w:sz w:val="14"/>
              </w:rPr>
              <w:t>on</w:t>
            </w:r>
            <w:r>
              <w:rPr>
                <w:color w:val="231F20"/>
                <w:spacing w:val="-3"/>
                <w:sz w:val="14"/>
              </w:rPr>
              <w:t> </w:t>
            </w:r>
            <w:r>
              <w:rPr>
                <w:color w:val="231F20"/>
                <w:spacing w:val="-2"/>
                <w:sz w:val="14"/>
              </w:rPr>
              <w:t>deposit</w:t>
            </w:r>
          </w:p>
        </w:tc>
        <w:tc>
          <w:tcPr>
            <w:tcW w:w="191" w:type="dxa"/>
          </w:tcPr>
          <w:p>
            <w:pPr>
              <w:pStyle w:val="TableParagraph"/>
              <w:rPr>
                <w:rFonts w:ascii="Times New Roman"/>
                <w:sz w:val="14"/>
              </w:rPr>
            </w:pPr>
          </w:p>
        </w:tc>
        <w:tc>
          <w:tcPr>
            <w:tcW w:w="900" w:type="dxa"/>
            <w:tcBorders>
              <w:top w:val="single" w:sz="8" w:space="0" w:color="231F20"/>
            </w:tcBorders>
          </w:tcPr>
          <w:p>
            <w:pPr>
              <w:pStyle w:val="TableParagraph"/>
              <w:rPr>
                <w:b/>
                <w:sz w:val="16"/>
              </w:rPr>
            </w:pPr>
          </w:p>
          <w:p>
            <w:pPr>
              <w:pStyle w:val="TableParagraph"/>
              <w:rPr>
                <w:b/>
                <w:sz w:val="16"/>
              </w:rPr>
            </w:pPr>
          </w:p>
          <w:p>
            <w:pPr>
              <w:pStyle w:val="TableParagraph"/>
              <w:spacing w:before="8"/>
              <w:rPr>
                <w:b/>
                <w:sz w:val="18"/>
              </w:rPr>
            </w:pPr>
          </w:p>
          <w:p>
            <w:pPr>
              <w:pStyle w:val="TableParagraph"/>
              <w:spacing w:line="159" w:lineRule="exact"/>
              <w:ind w:left="28"/>
              <w:rPr>
                <w:sz w:val="14"/>
              </w:rPr>
            </w:pPr>
            <w:r>
              <w:rPr>
                <w:color w:val="231F20"/>
                <w:spacing w:val="-2"/>
                <w:sz w:val="14"/>
              </w:rPr>
              <w:t>Checking</w:t>
            </w:r>
          </w:p>
        </w:tc>
        <w:tc>
          <w:tcPr>
            <w:tcW w:w="191" w:type="dxa"/>
          </w:tcPr>
          <w:p>
            <w:pPr>
              <w:pStyle w:val="TableParagraph"/>
              <w:rPr>
                <w:rFonts w:ascii="Times New Roman"/>
                <w:sz w:val="14"/>
              </w:rPr>
            </w:pPr>
          </w:p>
        </w:tc>
        <w:tc>
          <w:tcPr>
            <w:tcW w:w="1323" w:type="dxa"/>
            <w:tcBorders>
              <w:top w:val="single" w:sz="8" w:space="0" w:color="231F20"/>
            </w:tcBorders>
          </w:tcPr>
          <w:p>
            <w:pPr>
              <w:pStyle w:val="TableParagraph"/>
              <w:rPr>
                <w:b/>
                <w:sz w:val="16"/>
              </w:rPr>
            </w:pPr>
          </w:p>
          <w:p>
            <w:pPr>
              <w:pStyle w:val="TableParagraph"/>
              <w:rPr>
                <w:b/>
                <w:sz w:val="16"/>
              </w:rPr>
            </w:pPr>
          </w:p>
          <w:p>
            <w:pPr>
              <w:pStyle w:val="TableParagraph"/>
              <w:spacing w:before="8"/>
              <w:rPr>
                <w:b/>
                <w:sz w:val="18"/>
              </w:rPr>
            </w:pPr>
          </w:p>
          <w:p>
            <w:pPr>
              <w:pStyle w:val="TableParagraph"/>
              <w:tabs>
                <w:tab w:pos="465" w:val="left" w:leader="none"/>
              </w:tabs>
              <w:spacing w:line="159" w:lineRule="exact"/>
              <w:ind w:right="77"/>
              <w:jc w:val="right"/>
              <w:rPr>
                <w:sz w:val="14"/>
              </w:rPr>
            </w:pPr>
            <w:r>
              <w:rPr>
                <w:color w:val="231F20"/>
                <w:spacing w:val="-10"/>
                <w:sz w:val="14"/>
              </w:rPr>
              <w:t>$</w:t>
            </w:r>
            <w:r>
              <w:rPr>
                <w:color w:val="231F20"/>
                <w:sz w:val="14"/>
              </w:rPr>
              <w:tab/>
            </w:r>
            <w:r>
              <w:rPr>
                <w:color w:val="231F20"/>
                <w:spacing w:val="-2"/>
                <w:sz w:val="14"/>
              </w:rPr>
              <w:t>34,685,834</w:t>
            </w:r>
          </w:p>
        </w:tc>
        <w:tc>
          <w:tcPr>
            <w:tcW w:w="191" w:type="dxa"/>
          </w:tcPr>
          <w:p>
            <w:pPr>
              <w:pStyle w:val="TableParagraph"/>
              <w:rPr>
                <w:rFonts w:ascii="Times New Roman"/>
                <w:sz w:val="14"/>
              </w:rPr>
            </w:pPr>
          </w:p>
        </w:tc>
        <w:tc>
          <w:tcPr>
            <w:tcW w:w="1323" w:type="dxa"/>
            <w:tcBorders>
              <w:top w:val="single" w:sz="8" w:space="0" w:color="231F20"/>
            </w:tcBorders>
          </w:tcPr>
          <w:p>
            <w:pPr>
              <w:pStyle w:val="TableParagraph"/>
              <w:rPr>
                <w:b/>
                <w:sz w:val="16"/>
              </w:rPr>
            </w:pPr>
          </w:p>
          <w:p>
            <w:pPr>
              <w:pStyle w:val="TableParagraph"/>
              <w:rPr>
                <w:b/>
                <w:sz w:val="16"/>
              </w:rPr>
            </w:pPr>
          </w:p>
          <w:p>
            <w:pPr>
              <w:pStyle w:val="TableParagraph"/>
              <w:spacing w:before="8"/>
              <w:rPr>
                <w:b/>
                <w:sz w:val="18"/>
              </w:rPr>
            </w:pPr>
          </w:p>
          <w:p>
            <w:pPr>
              <w:pStyle w:val="TableParagraph"/>
              <w:tabs>
                <w:tab w:pos="615" w:val="left" w:leader="none"/>
              </w:tabs>
              <w:spacing w:line="159" w:lineRule="exact"/>
              <w:ind w:right="29"/>
              <w:jc w:val="right"/>
              <w:rPr>
                <w:sz w:val="14"/>
              </w:rPr>
            </w:pPr>
            <w:r>
              <w:rPr>
                <w:color w:val="231F20"/>
                <w:spacing w:val="-10"/>
                <w:sz w:val="14"/>
              </w:rPr>
              <w:t>$</w:t>
            </w:r>
            <w:r>
              <w:rPr>
                <w:color w:val="231F20"/>
                <w:sz w:val="14"/>
              </w:rPr>
              <w:tab/>
            </w:r>
            <w:r>
              <w:rPr>
                <w:color w:val="231F20"/>
                <w:spacing w:val="-2"/>
                <w:sz w:val="14"/>
              </w:rPr>
              <w:t>(217,764)</w:t>
            </w:r>
          </w:p>
        </w:tc>
        <w:tc>
          <w:tcPr>
            <w:tcW w:w="191" w:type="dxa"/>
          </w:tcPr>
          <w:p>
            <w:pPr>
              <w:pStyle w:val="TableParagraph"/>
              <w:rPr>
                <w:rFonts w:ascii="Times New Roman"/>
                <w:sz w:val="14"/>
              </w:rPr>
            </w:pPr>
          </w:p>
        </w:tc>
        <w:tc>
          <w:tcPr>
            <w:tcW w:w="1271" w:type="dxa"/>
            <w:tcBorders>
              <w:top w:val="single" w:sz="8" w:space="0" w:color="231F20"/>
            </w:tcBorders>
          </w:tcPr>
          <w:p>
            <w:pPr>
              <w:pStyle w:val="TableParagraph"/>
              <w:rPr>
                <w:b/>
                <w:sz w:val="16"/>
              </w:rPr>
            </w:pPr>
          </w:p>
          <w:p>
            <w:pPr>
              <w:pStyle w:val="TableParagraph"/>
              <w:rPr>
                <w:b/>
                <w:sz w:val="16"/>
              </w:rPr>
            </w:pPr>
          </w:p>
          <w:p>
            <w:pPr>
              <w:pStyle w:val="TableParagraph"/>
              <w:spacing w:before="8"/>
              <w:rPr>
                <w:b/>
                <w:sz w:val="18"/>
              </w:rPr>
            </w:pPr>
          </w:p>
          <w:p>
            <w:pPr>
              <w:pStyle w:val="TableParagraph"/>
              <w:tabs>
                <w:tab w:pos="415" w:val="left" w:leader="none"/>
              </w:tabs>
              <w:spacing w:line="159" w:lineRule="exact"/>
              <w:ind w:right="78"/>
              <w:jc w:val="right"/>
              <w:rPr>
                <w:sz w:val="14"/>
              </w:rPr>
            </w:pPr>
            <w:r>
              <w:rPr>
                <w:color w:val="231F20"/>
                <w:spacing w:val="-10"/>
                <w:sz w:val="14"/>
              </w:rPr>
              <w:t>$</w:t>
            </w:r>
            <w:r>
              <w:rPr>
                <w:color w:val="231F20"/>
                <w:sz w:val="14"/>
              </w:rPr>
              <w:tab/>
            </w:r>
            <w:r>
              <w:rPr>
                <w:color w:val="231F20"/>
                <w:spacing w:val="-2"/>
                <w:sz w:val="14"/>
              </w:rPr>
              <w:t>34,468,070</w:t>
            </w:r>
          </w:p>
        </w:tc>
      </w:tr>
      <w:tr>
        <w:trPr>
          <w:trHeight w:val="193" w:hRule="atLeast"/>
        </w:trPr>
        <w:tc>
          <w:tcPr>
            <w:tcW w:w="3784" w:type="dxa"/>
          </w:tcPr>
          <w:p>
            <w:pPr>
              <w:pStyle w:val="TableParagraph"/>
              <w:spacing w:line="159" w:lineRule="exact" w:before="14"/>
              <w:ind w:left="152"/>
              <w:rPr>
                <w:sz w:val="14"/>
              </w:rPr>
            </w:pPr>
            <w:r>
              <w:rPr>
                <w:color w:val="231F20"/>
                <w:sz w:val="14"/>
              </w:rPr>
              <w:t>Payroll</w:t>
            </w:r>
            <w:r>
              <w:rPr>
                <w:color w:val="231F20"/>
                <w:spacing w:val="-3"/>
                <w:sz w:val="14"/>
              </w:rPr>
              <w:t> </w:t>
            </w:r>
            <w:r>
              <w:rPr>
                <w:color w:val="231F20"/>
                <w:sz w:val="14"/>
              </w:rPr>
              <w:t>cash</w:t>
            </w:r>
            <w:r>
              <w:rPr>
                <w:color w:val="231F20"/>
                <w:spacing w:val="-4"/>
                <w:sz w:val="14"/>
              </w:rPr>
              <w:t> </w:t>
            </w:r>
            <w:r>
              <w:rPr>
                <w:color w:val="231F20"/>
                <w:sz w:val="14"/>
              </w:rPr>
              <w:t>on</w:t>
            </w:r>
            <w:r>
              <w:rPr>
                <w:color w:val="231F20"/>
                <w:spacing w:val="-2"/>
                <w:sz w:val="14"/>
              </w:rPr>
              <w:t> deposit</w:t>
            </w:r>
          </w:p>
        </w:tc>
        <w:tc>
          <w:tcPr>
            <w:tcW w:w="191" w:type="dxa"/>
          </w:tcPr>
          <w:p>
            <w:pPr>
              <w:pStyle w:val="TableParagraph"/>
              <w:rPr>
                <w:rFonts w:ascii="Times New Roman"/>
                <w:sz w:val="12"/>
              </w:rPr>
            </w:pPr>
          </w:p>
        </w:tc>
        <w:tc>
          <w:tcPr>
            <w:tcW w:w="900" w:type="dxa"/>
          </w:tcPr>
          <w:p>
            <w:pPr>
              <w:pStyle w:val="TableParagraph"/>
              <w:spacing w:line="159" w:lineRule="exact" w:before="14"/>
              <w:ind w:left="28"/>
              <w:rPr>
                <w:sz w:val="14"/>
              </w:rPr>
            </w:pPr>
            <w:r>
              <w:rPr>
                <w:color w:val="231F20"/>
                <w:spacing w:val="-2"/>
                <w:sz w:val="14"/>
              </w:rPr>
              <w:t>Checking</w:t>
            </w:r>
          </w:p>
        </w:tc>
        <w:tc>
          <w:tcPr>
            <w:tcW w:w="191" w:type="dxa"/>
          </w:tcPr>
          <w:p>
            <w:pPr>
              <w:pStyle w:val="TableParagraph"/>
              <w:rPr>
                <w:rFonts w:ascii="Times New Roman"/>
                <w:sz w:val="12"/>
              </w:rPr>
            </w:pPr>
          </w:p>
        </w:tc>
        <w:tc>
          <w:tcPr>
            <w:tcW w:w="1323" w:type="dxa"/>
          </w:tcPr>
          <w:p>
            <w:pPr>
              <w:pStyle w:val="TableParagraph"/>
              <w:spacing w:line="159" w:lineRule="exact" w:before="14"/>
              <w:ind w:right="78"/>
              <w:jc w:val="right"/>
              <w:rPr>
                <w:sz w:val="14"/>
              </w:rPr>
            </w:pPr>
            <w:r>
              <w:rPr>
                <w:color w:val="231F20"/>
                <w:spacing w:val="-2"/>
                <w:sz w:val="14"/>
              </w:rPr>
              <w:t>179,781</w:t>
            </w:r>
          </w:p>
        </w:tc>
        <w:tc>
          <w:tcPr>
            <w:tcW w:w="191" w:type="dxa"/>
          </w:tcPr>
          <w:p>
            <w:pPr>
              <w:pStyle w:val="TableParagraph"/>
              <w:rPr>
                <w:rFonts w:ascii="Times New Roman"/>
                <w:sz w:val="12"/>
              </w:rPr>
            </w:pPr>
          </w:p>
        </w:tc>
        <w:tc>
          <w:tcPr>
            <w:tcW w:w="1323" w:type="dxa"/>
          </w:tcPr>
          <w:p>
            <w:pPr>
              <w:pStyle w:val="TableParagraph"/>
              <w:spacing w:line="159" w:lineRule="exact" w:before="14"/>
              <w:ind w:right="30"/>
              <w:jc w:val="right"/>
              <w:rPr>
                <w:sz w:val="14"/>
              </w:rPr>
            </w:pPr>
            <w:r>
              <w:rPr>
                <w:color w:val="231F20"/>
                <w:spacing w:val="-2"/>
                <w:sz w:val="14"/>
              </w:rPr>
              <w:t>(169,792)</w:t>
            </w:r>
          </w:p>
        </w:tc>
        <w:tc>
          <w:tcPr>
            <w:tcW w:w="191" w:type="dxa"/>
          </w:tcPr>
          <w:p>
            <w:pPr>
              <w:pStyle w:val="TableParagraph"/>
              <w:rPr>
                <w:rFonts w:ascii="Times New Roman"/>
                <w:sz w:val="12"/>
              </w:rPr>
            </w:pPr>
          </w:p>
        </w:tc>
        <w:tc>
          <w:tcPr>
            <w:tcW w:w="1271" w:type="dxa"/>
          </w:tcPr>
          <w:p>
            <w:pPr>
              <w:pStyle w:val="TableParagraph"/>
              <w:spacing w:line="159" w:lineRule="exact" w:before="14"/>
              <w:ind w:right="76"/>
              <w:jc w:val="right"/>
              <w:rPr>
                <w:sz w:val="14"/>
              </w:rPr>
            </w:pPr>
            <w:r>
              <w:rPr>
                <w:color w:val="231F20"/>
                <w:spacing w:val="-2"/>
                <w:sz w:val="14"/>
              </w:rPr>
              <w:t>9,989</w:t>
            </w:r>
          </w:p>
        </w:tc>
      </w:tr>
      <w:tr>
        <w:trPr>
          <w:trHeight w:val="193" w:hRule="atLeast"/>
        </w:trPr>
        <w:tc>
          <w:tcPr>
            <w:tcW w:w="3784" w:type="dxa"/>
          </w:tcPr>
          <w:p>
            <w:pPr>
              <w:pStyle w:val="TableParagraph"/>
              <w:spacing w:line="160" w:lineRule="exact" w:before="14"/>
              <w:ind w:left="152"/>
              <w:rPr>
                <w:sz w:val="14"/>
              </w:rPr>
            </w:pPr>
            <w:r>
              <w:rPr>
                <w:color w:val="231F20"/>
                <w:sz w:val="14"/>
              </w:rPr>
              <w:t>NMEAF</w:t>
            </w:r>
            <w:r>
              <w:rPr>
                <w:color w:val="231F20"/>
                <w:spacing w:val="-3"/>
                <w:sz w:val="14"/>
              </w:rPr>
              <w:t> </w:t>
            </w:r>
            <w:r>
              <w:rPr>
                <w:color w:val="231F20"/>
                <w:sz w:val="14"/>
              </w:rPr>
              <w:t>cash</w:t>
            </w:r>
            <w:r>
              <w:rPr>
                <w:color w:val="231F20"/>
                <w:spacing w:val="-3"/>
                <w:sz w:val="14"/>
              </w:rPr>
              <w:t> </w:t>
            </w:r>
            <w:r>
              <w:rPr>
                <w:color w:val="231F20"/>
                <w:sz w:val="14"/>
              </w:rPr>
              <w:t>on</w:t>
            </w:r>
            <w:r>
              <w:rPr>
                <w:color w:val="231F20"/>
                <w:spacing w:val="-2"/>
                <w:sz w:val="14"/>
              </w:rPr>
              <w:t> deposit</w:t>
            </w:r>
          </w:p>
        </w:tc>
        <w:tc>
          <w:tcPr>
            <w:tcW w:w="191" w:type="dxa"/>
          </w:tcPr>
          <w:p>
            <w:pPr>
              <w:pStyle w:val="TableParagraph"/>
              <w:rPr>
                <w:rFonts w:ascii="Times New Roman"/>
                <w:sz w:val="12"/>
              </w:rPr>
            </w:pPr>
          </w:p>
        </w:tc>
        <w:tc>
          <w:tcPr>
            <w:tcW w:w="900" w:type="dxa"/>
          </w:tcPr>
          <w:p>
            <w:pPr>
              <w:pStyle w:val="TableParagraph"/>
              <w:spacing w:line="160" w:lineRule="exact" w:before="14"/>
              <w:ind w:left="27"/>
              <w:rPr>
                <w:sz w:val="14"/>
              </w:rPr>
            </w:pPr>
            <w:r>
              <w:rPr>
                <w:color w:val="231F20"/>
                <w:spacing w:val="-2"/>
                <w:sz w:val="14"/>
              </w:rPr>
              <w:t>Checking</w:t>
            </w:r>
          </w:p>
        </w:tc>
        <w:tc>
          <w:tcPr>
            <w:tcW w:w="191" w:type="dxa"/>
          </w:tcPr>
          <w:p>
            <w:pPr>
              <w:pStyle w:val="TableParagraph"/>
              <w:rPr>
                <w:rFonts w:ascii="Times New Roman"/>
                <w:sz w:val="12"/>
              </w:rPr>
            </w:pPr>
          </w:p>
        </w:tc>
        <w:tc>
          <w:tcPr>
            <w:tcW w:w="1323" w:type="dxa"/>
          </w:tcPr>
          <w:p>
            <w:pPr>
              <w:pStyle w:val="TableParagraph"/>
              <w:spacing w:line="160" w:lineRule="exact" w:before="14"/>
              <w:ind w:right="78"/>
              <w:jc w:val="right"/>
              <w:rPr>
                <w:sz w:val="14"/>
              </w:rPr>
            </w:pPr>
            <w:r>
              <w:rPr>
                <w:color w:val="231F20"/>
                <w:spacing w:val="-2"/>
                <w:sz w:val="14"/>
              </w:rPr>
              <w:t>95,837</w:t>
            </w:r>
          </w:p>
        </w:tc>
        <w:tc>
          <w:tcPr>
            <w:tcW w:w="191" w:type="dxa"/>
          </w:tcPr>
          <w:p>
            <w:pPr>
              <w:pStyle w:val="TableParagraph"/>
              <w:rPr>
                <w:rFonts w:ascii="Times New Roman"/>
                <w:sz w:val="12"/>
              </w:rPr>
            </w:pPr>
          </w:p>
        </w:tc>
        <w:tc>
          <w:tcPr>
            <w:tcW w:w="1323" w:type="dxa"/>
          </w:tcPr>
          <w:p>
            <w:pPr>
              <w:pStyle w:val="TableParagraph"/>
              <w:spacing w:line="160" w:lineRule="exact" w:before="14"/>
              <w:ind w:right="28"/>
              <w:jc w:val="right"/>
              <w:rPr>
                <w:sz w:val="14"/>
              </w:rPr>
            </w:pPr>
            <w:r>
              <w:rPr>
                <w:color w:val="231F20"/>
                <w:spacing w:val="-2"/>
                <w:sz w:val="14"/>
              </w:rPr>
              <w:t>(6,665)</w:t>
            </w:r>
          </w:p>
        </w:tc>
        <w:tc>
          <w:tcPr>
            <w:tcW w:w="191" w:type="dxa"/>
          </w:tcPr>
          <w:p>
            <w:pPr>
              <w:pStyle w:val="TableParagraph"/>
              <w:rPr>
                <w:rFonts w:ascii="Times New Roman"/>
                <w:sz w:val="12"/>
              </w:rPr>
            </w:pPr>
          </w:p>
        </w:tc>
        <w:tc>
          <w:tcPr>
            <w:tcW w:w="1271" w:type="dxa"/>
          </w:tcPr>
          <w:p>
            <w:pPr>
              <w:pStyle w:val="TableParagraph"/>
              <w:spacing w:line="160" w:lineRule="exact" w:before="14"/>
              <w:ind w:right="76"/>
              <w:jc w:val="right"/>
              <w:rPr>
                <w:sz w:val="14"/>
              </w:rPr>
            </w:pPr>
            <w:r>
              <w:rPr>
                <w:color w:val="231F20"/>
                <w:spacing w:val="-2"/>
                <w:sz w:val="14"/>
              </w:rPr>
              <w:t>89,172</w:t>
            </w:r>
          </w:p>
        </w:tc>
      </w:tr>
      <w:tr>
        <w:trPr>
          <w:trHeight w:val="185" w:hRule="atLeast"/>
        </w:trPr>
        <w:tc>
          <w:tcPr>
            <w:tcW w:w="3784" w:type="dxa"/>
          </w:tcPr>
          <w:p>
            <w:pPr>
              <w:pStyle w:val="TableParagraph"/>
              <w:spacing w:line="151" w:lineRule="exact" w:before="14"/>
              <w:ind w:left="152"/>
              <w:rPr>
                <w:sz w:val="14"/>
              </w:rPr>
            </w:pPr>
            <w:r>
              <w:rPr>
                <w:color w:val="231F20"/>
                <w:sz w:val="14"/>
              </w:rPr>
              <w:t>Research</w:t>
            </w:r>
            <w:r>
              <w:rPr>
                <w:color w:val="231F20"/>
                <w:spacing w:val="-5"/>
                <w:sz w:val="14"/>
              </w:rPr>
              <w:t> </w:t>
            </w:r>
            <w:r>
              <w:rPr>
                <w:color w:val="231F20"/>
                <w:sz w:val="14"/>
              </w:rPr>
              <w:t>park</w:t>
            </w:r>
            <w:r>
              <w:rPr>
                <w:color w:val="231F20"/>
                <w:spacing w:val="-5"/>
                <w:sz w:val="14"/>
              </w:rPr>
              <w:t> </w:t>
            </w:r>
            <w:r>
              <w:rPr>
                <w:color w:val="231F20"/>
                <w:spacing w:val="-2"/>
                <w:sz w:val="14"/>
              </w:rPr>
              <w:t>corporation</w:t>
            </w:r>
          </w:p>
        </w:tc>
        <w:tc>
          <w:tcPr>
            <w:tcW w:w="191" w:type="dxa"/>
          </w:tcPr>
          <w:p>
            <w:pPr>
              <w:pStyle w:val="TableParagraph"/>
              <w:rPr>
                <w:rFonts w:ascii="Times New Roman"/>
                <w:sz w:val="12"/>
              </w:rPr>
            </w:pPr>
          </w:p>
        </w:tc>
        <w:tc>
          <w:tcPr>
            <w:tcW w:w="900" w:type="dxa"/>
          </w:tcPr>
          <w:p>
            <w:pPr>
              <w:pStyle w:val="TableParagraph"/>
              <w:spacing w:line="151" w:lineRule="exact" w:before="14"/>
              <w:ind w:left="28"/>
              <w:rPr>
                <w:sz w:val="14"/>
              </w:rPr>
            </w:pPr>
            <w:r>
              <w:rPr>
                <w:color w:val="231F20"/>
                <w:spacing w:val="-2"/>
                <w:sz w:val="14"/>
              </w:rPr>
              <w:t>Checking</w:t>
            </w:r>
          </w:p>
        </w:tc>
        <w:tc>
          <w:tcPr>
            <w:tcW w:w="191" w:type="dxa"/>
          </w:tcPr>
          <w:p>
            <w:pPr>
              <w:pStyle w:val="TableParagraph"/>
              <w:rPr>
                <w:rFonts w:ascii="Times New Roman"/>
                <w:sz w:val="12"/>
              </w:rPr>
            </w:pPr>
          </w:p>
        </w:tc>
        <w:tc>
          <w:tcPr>
            <w:tcW w:w="1323" w:type="dxa"/>
            <w:tcBorders>
              <w:bottom w:val="single" w:sz="8" w:space="0" w:color="231F20"/>
            </w:tcBorders>
          </w:tcPr>
          <w:p>
            <w:pPr>
              <w:pStyle w:val="TableParagraph"/>
              <w:spacing w:line="151" w:lineRule="exact" w:before="14"/>
              <w:ind w:right="77"/>
              <w:jc w:val="right"/>
              <w:rPr>
                <w:sz w:val="14"/>
              </w:rPr>
            </w:pPr>
            <w:r>
              <w:rPr>
                <w:color w:val="231F20"/>
                <w:spacing w:val="-2"/>
                <w:sz w:val="14"/>
              </w:rPr>
              <w:t>267,978</w:t>
            </w:r>
          </w:p>
        </w:tc>
        <w:tc>
          <w:tcPr>
            <w:tcW w:w="191" w:type="dxa"/>
          </w:tcPr>
          <w:p>
            <w:pPr>
              <w:pStyle w:val="TableParagraph"/>
              <w:rPr>
                <w:rFonts w:ascii="Times New Roman"/>
                <w:sz w:val="12"/>
              </w:rPr>
            </w:pPr>
          </w:p>
        </w:tc>
        <w:tc>
          <w:tcPr>
            <w:tcW w:w="1323" w:type="dxa"/>
            <w:tcBorders>
              <w:bottom w:val="single" w:sz="8" w:space="0" w:color="231F20"/>
            </w:tcBorders>
          </w:tcPr>
          <w:p>
            <w:pPr>
              <w:pStyle w:val="TableParagraph"/>
              <w:spacing w:line="151" w:lineRule="exact" w:before="14"/>
              <w:ind w:right="75"/>
              <w:jc w:val="right"/>
              <w:rPr>
                <w:sz w:val="14"/>
              </w:rPr>
            </w:pPr>
            <w:r>
              <w:rPr>
                <w:color w:val="231F20"/>
                <w:w w:val="100"/>
                <w:sz w:val="14"/>
              </w:rPr>
              <w:t>-</w:t>
            </w:r>
          </w:p>
        </w:tc>
        <w:tc>
          <w:tcPr>
            <w:tcW w:w="191" w:type="dxa"/>
          </w:tcPr>
          <w:p>
            <w:pPr>
              <w:pStyle w:val="TableParagraph"/>
              <w:rPr>
                <w:rFonts w:ascii="Times New Roman"/>
                <w:sz w:val="12"/>
              </w:rPr>
            </w:pPr>
          </w:p>
        </w:tc>
        <w:tc>
          <w:tcPr>
            <w:tcW w:w="1271" w:type="dxa"/>
            <w:tcBorders>
              <w:bottom w:val="single" w:sz="8" w:space="0" w:color="231F20"/>
            </w:tcBorders>
          </w:tcPr>
          <w:p>
            <w:pPr>
              <w:pStyle w:val="TableParagraph"/>
              <w:spacing w:line="151" w:lineRule="exact" w:before="14"/>
              <w:ind w:right="78"/>
              <w:jc w:val="right"/>
              <w:rPr>
                <w:sz w:val="14"/>
              </w:rPr>
            </w:pPr>
            <w:r>
              <w:rPr>
                <w:color w:val="231F20"/>
                <w:spacing w:val="-2"/>
                <w:sz w:val="14"/>
              </w:rPr>
              <w:t>267,978</w:t>
            </w:r>
          </w:p>
        </w:tc>
      </w:tr>
      <w:tr>
        <w:trPr>
          <w:trHeight w:val="472" w:hRule="atLeast"/>
        </w:trPr>
        <w:tc>
          <w:tcPr>
            <w:tcW w:w="3784" w:type="dxa"/>
          </w:tcPr>
          <w:p>
            <w:pPr>
              <w:pStyle w:val="TableParagraph"/>
              <w:rPr>
                <w:rFonts w:ascii="Times New Roman"/>
                <w:sz w:val="14"/>
              </w:rPr>
            </w:pPr>
          </w:p>
        </w:tc>
        <w:tc>
          <w:tcPr>
            <w:tcW w:w="191" w:type="dxa"/>
          </w:tcPr>
          <w:p>
            <w:pPr>
              <w:pStyle w:val="TableParagraph"/>
              <w:rPr>
                <w:rFonts w:ascii="Times New Roman"/>
                <w:sz w:val="14"/>
              </w:rPr>
            </w:pPr>
          </w:p>
        </w:tc>
        <w:tc>
          <w:tcPr>
            <w:tcW w:w="900" w:type="dxa"/>
          </w:tcPr>
          <w:p>
            <w:pPr>
              <w:pStyle w:val="TableParagraph"/>
              <w:rPr>
                <w:rFonts w:ascii="Times New Roman"/>
                <w:sz w:val="14"/>
              </w:rPr>
            </w:pPr>
          </w:p>
        </w:tc>
        <w:tc>
          <w:tcPr>
            <w:tcW w:w="191" w:type="dxa"/>
          </w:tcPr>
          <w:p>
            <w:pPr>
              <w:pStyle w:val="TableParagraph"/>
              <w:rPr>
                <w:rFonts w:ascii="Times New Roman"/>
                <w:sz w:val="14"/>
              </w:rPr>
            </w:pPr>
          </w:p>
        </w:tc>
        <w:tc>
          <w:tcPr>
            <w:tcW w:w="1323" w:type="dxa"/>
            <w:tcBorders>
              <w:top w:val="single" w:sz="8" w:space="0" w:color="231F20"/>
            </w:tcBorders>
          </w:tcPr>
          <w:p>
            <w:pPr>
              <w:pStyle w:val="TableParagraph"/>
              <w:rPr>
                <w:b/>
                <w:sz w:val="17"/>
              </w:rPr>
            </w:pPr>
          </w:p>
          <w:p>
            <w:pPr>
              <w:pStyle w:val="TableParagraph"/>
              <w:ind w:right="76"/>
              <w:jc w:val="right"/>
              <w:rPr>
                <w:sz w:val="14"/>
              </w:rPr>
            </w:pPr>
            <w:r>
              <w:rPr>
                <w:color w:val="231F20"/>
                <w:spacing w:val="-2"/>
                <w:sz w:val="14"/>
              </w:rPr>
              <w:t>35,229,430</w:t>
            </w:r>
          </w:p>
        </w:tc>
        <w:tc>
          <w:tcPr>
            <w:tcW w:w="191" w:type="dxa"/>
          </w:tcPr>
          <w:p>
            <w:pPr>
              <w:pStyle w:val="TableParagraph"/>
              <w:rPr>
                <w:rFonts w:ascii="Times New Roman"/>
                <w:sz w:val="14"/>
              </w:rPr>
            </w:pPr>
          </w:p>
        </w:tc>
        <w:tc>
          <w:tcPr>
            <w:tcW w:w="1323" w:type="dxa"/>
            <w:tcBorders>
              <w:top w:val="single" w:sz="8" w:space="0" w:color="231F20"/>
            </w:tcBorders>
          </w:tcPr>
          <w:p>
            <w:pPr>
              <w:pStyle w:val="TableParagraph"/>
              <w:rPr>
                <w:b/>
                <w:sz w:val="17"/>
              </w:rPr>
            </w:pPr>
          </w:p>
          <w:p>
            <w:pPr>
              <w:pStyle w:val="TableParagraph"/>
              <w:ind w:right="30"/>
              <w:jc w:val="right"/>
              <w:rPr>
                <w:sz w:val="14"/>
              </w:rPr>
            </w:pPr>
            <w:r>
              <w:rPr>
                <w:color w:val="231F20"/>
                <w:spacing w:val="-2"/>
                <w:sz w:val="14"/>
              </w:rPr>
              <w:t>(394,221)</w:t>
            </w:r>
          </w:p>
        </w:tc>
        <w:tc>
          <w:tcPr>
            <w:tcW w:w="191" w:type="dxa"/>
          </w:tcPr>
          <w:p>
            <w:pPr>
              <w:pStyle w:val="TableParagraph"/>
              <w:rPr>
                <w:rFonts w:ascii="Times New Roman"/>
                <w:sz w:val="14"/>
              </w:rPr>
            </w:pPr>
          </w:p>
        </w:tc>
        <w:tc>
          <w:tcPr>
            <w:tcW w:w="1271" w:type="dxa"/>
            <w:tcBorders>
              <w:top w:val="single" w:sz="8" w:space="0" w:color="231F20"/>
            </w:tcBorders>
          </w:tcPr>
          <w:p>
            <w:pPr>
              <w:pStyle w:val="TableParagraph"/>
              <w:rPr>
                <w:b/>
                <w:sz w:val="17"/>
              </w:rPr>
            </w:pPr>
          </w:p>
          <w:p>
            <w:pPr>
              <w:pStyle w:val="TableParagraph"/>
              <w:ind w:right="78"/>
              <w:jc w:val="right"/>
              <w:rPr>
                <w:sz w:val="14"/>
              </w:rPr>
            </w:pPr>
            <w:r>
              <w:rPr>
                <w:color w:val="231F20"/>
                <w:spacing w:val="-2"/>
                <w:sz w:val="14"/>
              </w:rPr>
              <w:t>34,835,209</w:t>
            </w:r>
          </w:p>
        </w:tc>
      </w:tr>
      <w:tr>
        <w:trPr>
          <w:trHeight w:val="483" w:hRule="atLeast"/>
        </w:trPr>
        <w:tc>
          <w:tcPr>
            <w:tcW w:w="3784" w:type="dxa"/>
          </w:tcPr>
          <w:p>
            <w:pPr>
              <w:pStyle w:val="TableParagraph"/>
              <w:spacing w:before="111"/>
              <w:ind w:left="28"/>
              <w:rPr>
                <w:sz w:val="14"/>
              </w:rPr>
            </w:pPr>
            <w:r>
              <w:rPr>
                <w:color w:val="231F20"/>
                <w:sz w:val="14"/>
              </w:rPr>
              <w:t>Wells</w:t>
            </w:r>
            <w:r>
              <w:rPr>
                <w:color w:val="231F20"/>
                <w:spacing w:val="1"/>
                <w:sz w:val="14"/>
              </w:rPr>
              <w:t> </w:t>
            </w:r>
            <w:r>
              <w:rPr>
                <w:color w:val="231F20"/>
                <w:spacing w:val="-2"/>
                <w:sz w:val="14"/>
              </w:rPr>
              <w:t>Fargo</w:t>
            </w:r>
          </w:p>
          <w:p>
            <w:pPr>
              <w:pStyle w:val="TableParagraph"/>
              <w:spacing w:line="159" w:lineRule="exact" w:before="32"/>
              <w:ind w:left="152"/>
              <w:rPr>
                <w:sz w:val="14"/>
              </w:rPr>
            </w:pPr>
            <w:r>
              <w:rPr>
                <w:color w:val="231F20"/>
                <w:sz w:val="14"/>
              </w:rPr>
              <w:t>Vendor</w:t>
            </w:r>
            <w:r>
              <w:rPr>
                <w:color w:val="231F20"/>
                <w:spacing w:val="-3"/>
                <w:sz w:val="14"/>
              </w:rPr>
              <w:t> </w:t>
            </w:r>
            <w:r>
              <w:rPr>
                <w:color w:val="231F20"/>
                <w:sz w:val="14"/>
              </w:rPr>
              <w:t>cash</w:t>
            </w:r>
            <w:r>
              <w:rPr>
                <w:color w:val="231F20"/>
                <w:spacing w:val="-3"/>
                <w:sz w:val="14"/>
              </w:rPr>
              <w:t> </w:t>
            </w:r>
            <w:r>
              <w:rPr>
                <w:color w:val="231F20"/>
                <w:sz w:val="14"/>
              </w:rPr>
              <w:t>on</w:t>
            </w:r>
            <w:r>
              <w:rPr>
                <w:color w:val="231F20"/>
                <w:spacing w:val="-2"/>
                <w:sz w:val="14"/>
              </w:rPr>
              <w:t> deposit</w:t>
            </w:r>
          </w:p>
        </w:tc>
        <w:tc>
          <w:tcPr>
            <w:tcW w:w="191" w:type="dxa"/>
          </w:tcPr>
          <w:p>
            <w:pPr>
              <w:pStyle w:val="TableParagraph"/>
              <w:rPr>
                <w:rFonts w:ascii="Times New Roman"/>
                <w:sz w:val="14"/>
              </w:rPr>
            </w:pPr>
          </w:p>
        </w:tc>
        <w:tc>
          <w:tcPr>
            <w:tcW w:w="900" w:type="dxa"/>
          </w:tcPr>
          <w:p>
            <w:pPr>
              <w:pStyle w:val="TableParagraph"/>
              <w:rPr>
                <w:b/>
                <w:sz w:val="16"/>
              </w:rPr>
            </w:pPr>
          </w:p>
          <w:p>
            <w:pPr>
              <w:pStyle w:val="TableParagraph"/>
              <w:spacing w:line="159" w:lineRule="exact" w:before="120"/>
              <w:ind w:left="29"/>
              <w:rPr>
                <w:sz w:val="14"/>
              </w:rPr>
            </w:pPr>
            <w:r>
              <w:rPr>
                <w:color w:val="231F20"/>
                <w:spacing w:val="-2"/>
                <w:sz w:val="14"/>
              </w:rPr>
              <w:t>Checking</w:t>
            </w:r>
          </w:p>
        </w:tc>
        <w:tc>
          <w:tcPr>
            <w:tcW w:w="191" w:type="dxa"/>
          </w:tcPr>
          <w:p>
            <w:pPr>
              <w:pStyle w:val="TableParagraph"/>
              <w:rPr>
                <w:rFonts w:ascii="Times New Roman"/>
                <w:sz w:val="14"/>
              </w:rPr>
            </w:pPr>
          </w:p>
        </w:tc>
        <w:tc>
          <w:tcPr>
            <w:tcW w:w="1323" w:type="dxa"/>
          </w:tcPr>
          <w:p>
            <w:pPr>
              <w:pStyle w:val="TableParagraph"/>
              <w:rPr>
                <w:b/>
                <w:sz w:val="16"/>
              </w:rPr>
            </w:pPr>
          </w:p>
          <w:p>
            <w:pPr>
              <w:pStyle w:val="TableParagraph"/>
              <w:spacing w:line="159" w:lineRule="exact" w:before="120"/>
              <w:ind w:right="77"/>
              <w:jc w:val="right"/>
              <w:rPr>
                <w:sz w:val="14"/>
              </w:rPr>
            </w:pPr>
            <w:r>
              <w:rPr>
                <w:color w:val="231F20"/>
                <w:spacing w:val="-2"/>
                <w:sz w:val="14"/>
              </w:rPr>
              <w:t>5,524,731</w:t>
            </w:r>
          </w:p>
        </w:tc>
        <w:tc>
          <w:tcPr>
            <w:tcW w:w="191" w:type="dxa"/>
          </w:tcPr>
          <w:p>
            <w:pPr>
              <w:pStyle w:val="TableParagraph"/>
              <w:rPr>
                <w:rFonts w:ascii="Times New Roman"/>
                <w:sz w:val="14"/>
              </w:rPr>
            </w:pPr>
          </w:p>
        </w:tc>
        <w:tc>
          <w:tcPr>
            <w:tcW w:w="1323" w:type="dxa"/>
          </w:tcPr>
          <w:p>
            <w:pPr>
              <w:pStyle w:val="TableParagraph"/>
              <w:rPr>
                <w:b/>
                <w:sz w:val="16"/>
              </w:rPr>
            </w:pPr>
          </w:p>
          <w:p>
            <w:pPr>
              <w:pStyle w:val="TableParagraph"/>
              <w:spacing w:line="159" w:lineRule="exact" w:before="120"/>
              <w:ind w:right="30"/>
              <w:jc w:val="right"/>
              <w:rPr>
                <w:sz w:val="14"/>
              </w:rPr>
            </w:pPr>
            <w:r>
              <w:rPr>
                <w:color w:val="231F20"/>
                <w:spacing w:val="-2"/>
                <w:sz w:val="14"/>
              </w:rPr>
              <w:t>(5,232,987)</w:t>
            </w:r>
          </w:p>
        </w:tc>
        <w:tc>
          <w:tcPr>
            <w:tcW w:w="191" w:type="dxa"/>
          </w:tcPr>
          <w:p>
            <w:pPr>
              <w:pStyle w:val="TableParagraph"/>
              <w:rPr>
                <w:rFonts w:ascii="Times New Roman"/>
                <w:sz w:val="14"/>
              </w:rPr>
            </w:pPr>
          </w:p>
        </w:tc>
        <w:tc>
          <w:tcPr>
            <w:tcW w:w="1271" w:type="dxa"/>
          </w:tcPr>
          <w:p>
            <w:pPr>
              <w:pStyle w:val="TableParagraph"/>
              <w:rPr>
                <w:b/>
                <w:sz w:val="16"/>
              </w:rPr>
            </w:pPr>
          </w:p>
          <w:p>
            <w:pPr>
              <w:pStyle w:val="TableParagraph"/>
              <w:spacing w:line="159" w:lineRule="exact" w:before="120"/>
              <w:ind w:right="79"/>
              <w:jc w:val="right"/>
              <w:rPr>
                <w:sz w:val="14"/>
              </w:rPr>
            </w:pPr>
            <w:r>
              <w:rPr>
                <w:color w:val="231F20"/>
                <w:spacing w:val="-2"/>
                <w:sz w:val="14"/>
              </w:rPr>
              <w:t>291,744</w:t>
            </w:r>
          </w:p>
        </w:tc>
      </w:tr>
      <w:tr>
        <w:trPr>
          <w:trHeight w:val="193" w:hRule="atLeast"/>
        </w:trPr>
        <w:tc>
          <w:tcPr>
            <w:tcW w:w="3784" w:type="dxa"/>
          </w:tcPr>
          <w:p>
            <w:pPr>
              <w:pStyle w:val="TableParagraph"/>
              <w:spacing w:line="160" w:lineRule="exact" w:before="14"/>
              <w:ind w:left="152"/>
              <w:rPr>
                <w:sz w:val="14"/>
              </w:rPr>
            </w:pPr>
            <w:r>
              <w:rPr>
                <w:color w:val="231F20"/>
                <w:sz w:val="14"/>
              </w:rPr>
              <w:t>Benefit</w:t>
            </w:r>
            <w:r>
              <w:rPr>
                <w:color w:val="231F20"/>
                <w:spacing w:val="-4"/>
                <w:sz w:val="14"/>
              </w:rPr>
              <w:t> </w:t>
            </w:r>
            <w:r>
              <w:rPr>
                <w:color w:val="231F20"/>
                <w:sz w:val="14"/>
              </w:rPr>
              <w:t>trust</w:t>
            </w:r>
            <w:r>
              <w:rPr>
                <w:color w:val="231F20"/>
                <w:spacing w:val="-3"/>
                <w:sz w:val="14"/>
              </w:rPr>
              <w:t> </w:t>
            </w:r>
            <w:r>
              <w:rPr>
                <w:color w:val="231F20"/>
                <w:spacing w:val="-2"/>
                <w:sz w:val="14"/>
              </w:rPr>
              <w:t>operating</w:t>
            </w:r>
          </w:p>
        </w:tc>
        <w:tc>
          <w:tcPr>
            <w:tcW w:w="191" w:type="dxa"/>
          </w:tcPr>
          <w:p>
            <w:pPr>
              <w:pStyle w:val="TableParagraph"/>
              <w:rPr>
                <w:rFonts w:ascii="Times New Roman"/>
                <w:sz w:val="12"/>
              </w:rPr>
            </w:pPr>
          </w:p>
        </w:tc>
        <w:tc>
          <w:tcPr>
            <w:tcW w:w="900" w:type="dxa"/>
          </w:tcPr>
          <w:p>
            <w:pPr>
              <w:pStyle w:val="TableParagraph"/>
              <w:spacing w:line="160" w:lineRule="exact" w:before="14"/>
              <w:ind w:left="28"/>
              <w:rPr>
                <w:sz w:val="14"/>
              </w:rPr>
            </w:pPr>
            <w:r>
              <w:rPr>
                <w:color w:val="231F20"/>
                <w:spacing w:val="-2"/>
                <w:sz w:val="14"/>
              </w:rPr>
              <w:t>Checking</w:t>
            </w:r>
          </w:p>
        </w:tc>
        <w:tc>
          <w:tcPr>
            <w:tcW w:w="191" w:type="dxa"/>
          </w:tcPr>
          <w:p>
            <w:pPr>
              <w:pStyle w:val="TableParagraph"/>
              <w:rPr>
                <w:rFonts w:ascii="Times New Roman"/>
                <w:sz w:val="12"/>
              </w:rPr>
            </w:pPr>
          </w:p>
        </w:tc>
        <w:tc>
          <w:tcPr>
            <w:tcW w:w="1323" w:type="dxa"/>
          </w:tcPr>
          <w:p>
            <w:pPr>
              <w:pStyle w:val="TableParagraph"/>
              <w:spacing w:line="160" w:lineRule="exact" w:before="14"/>
              <w:ind w:right="78"/>
              <w:jc w:val="right"/>
              <w:rPr>
                <w:sz w:val="14"/>
              </w:rPr>
            </w:pPr>
            <w:r>
              <w:rPr>
                <w:color w:val="231F20"/>
                <w:spacing w:val="-2"/>
                <w:sz w:val="14"/>
              </w:rPr>
              <w:t>920,420</w:t>
            </w:r>
          </w:p>
        </w:tc>
        <w:tc>
          <w:tcPr>
            <w:tcW w:w="191" w:type="dxa"/>
          </w:tcPr>
          <w:p>
            <w:pPr>
              <w:pStyle w:val="TableParagraph"/>
              <w:rPr>
                <w:rFonts w:ascii="Times New Roman"/>
                <w:sz w:val="12"/>
              </w:rPr>
            </w:pPr>
          </w:p>
        </w:tc>
        <w:tc>
          <w:tcPr>
            <w:tcW w:w="1323" w:type="dxa"/>
          </w:tcPr>
          <w:p>
            <w:pPr>
              <w:pStyle w:val="TableParagraph"/>
              <w:spacing w:line="160" w:lineRule="exact" w:before="14"/>
              <w:ind w:right="28"/>
              <w:jc w:val="right"/>
              <w:rPr>
                <w:sz w:val="14"/>
              </w:rPr>
            </w:pPr>
            <w:r>
              <w:rPr>
                <w:color w:val="231F20"/>
                <w:spacing w:val="-2"/>
                <w:sz w:val="14"/>
              </w:rPr>
              <w:t>(2,415)</w:t>
            </w:r>
          </w:p>
        </w:tc>
        <w:tc>
          <w:tcPr>
            <w:tcW w:w="191" w:type="dxa"/>
          </w:tcPr>
          <w:p>
            <w:pPr>
              <w:pStyle w:val="TableParagraph"/>
              <w:rPr>
                <w:rFonts w:ascii="Times New Roman"/>
                <w:sz w:val="12"/>
              </w:rPr>
            </w:pPr>
          </w:p>
        </w:tc>
        <w:tc>
          <w:tcPr>
            <w:tcW w:w="1271" w:type="dxa"/>
          </w:tcPr>
          <w:p>
            <w:pPr>
              <w:pStyle w:val="TableParagraph"/>
              <w:spacing w:line="160" w:lineRule="exact" w:before="14"/>
              <w:ind w:right="78"/>
              <w:jc w:val="right"/>
              <w:rPr>
                <w:sz w:val="14"/>
              </w:rPr>
            </w:pPr>
            <w:r>
              <w:rPr>
                <w:color w:val="231F20"/>
                <w:spacing w:val="-2"/>
                <w:sz w:val="14"/>
              </w:rPr>
              <w:t>918,005</w:t>
            </w:r>
          </w:p>
        </w:tc>
      </w:tr>
      <w:tr>
        <w:trPr>
          <w:trHeight w:val="185" w:hRule="atLeast"/>
        </w:trPr>
        <w:tc>
          <w:tcPr>
            <w:tcW w:w="3784" w:type="dxa"/>
          </w:tcPr>
          <w:p>
            <w:pPr>
              <w:pStyle w:val="TableParagraph"/>
              <w:spacing w:line="151" w:lineRule="exact" w:before="14"/>
              <w:ind w:left="152"/>
              <w:rPr>
                <w:sz w:val="14"/>
              </w:rPr>
            </w:pPr>
            <w:r>
              <w:rPr>
                <w:color w:val="231F20"/>
                <w:sz w:val="14"/>
              </w:rPr>
              <w:t>Benefit</w:t>
            </w:r>
            <w:r>
              <w:rPr>
                <w:color w:val="231F20"/>
                <w:spacing w:val="-3"/>
                <w:sz w:val="14"/>
              </w:rPr>
              <w:t> </w:t>
            </w:r>
            <w:r>
              <w:rPr>
                <w:color w:val="231F20"/>
                <w:sz w:val="14"/>
              </w:rPr>
              <w:t>trust</w:t>
            </w:r>
            <w:r>
              <w:rPr>
                <w:color w:val="231F20"/>
                <w:spacing w:val="-3"/>
                <w:sz w:val="14"/>
              </w:rPr>
              <w:t> </w:t>
            </w:r>
            <w:r>
              <w:rPr>
                <w:color w:val="231F20"/>
                <w:spacing w:val="-2"/>
                <w:sz w:val="14"/>
              </w:rPr>
              <w:t>claims</w:t>
            </w:r>
          </w:p>
        </w:tc>
        <w:tc>
          <w:tcPr>
            <w:tcW w:w="191" w:type="dxa"/>
          </w:tcPr>
          <w:p>
            <w:pPr>
              <w:pStyle w:val="TableParagraph"/>
              <w:rPr>
                <w:rFonts w:ascii="Times New Roman"/>
                <w:sz w:val="12"/>
              </w:rPr>
            </w:pPr>
          </w:p>
        </w:tc>
        <w:tc>
          <w:tcPr>
            <w:tcW w:w="900" w:type="dxa"/>
          </w:tcPr>
          <w:p>
            <w:pPr>
              <w:pStyle w:val="TableParagraph"/>
              <w:spacing w:line="151" w:lineRule="exact" w:before="14"/>
              <w:ind w:left="27"/>
              <w:rPr>
                <w:sz w:val="14"/>
              </w:rPr>
            </w:pPr>
            <w:r>
              <w:rPr>
                <w:color w:val="231F20"/>
                <w:spacing w:val="-2"/>
                <w:sz w:val="14"/>
              </w:rPr>
              <w:t>Checking</w:t>
            </w:r>
          </w:p>
        </w:tc>
        <w:tc>
          <w:tcPr>
            <w:tcW w:w="191" w:type="dxa"/>
          </w:tcPr>
          <w:p>
            <w:pPr>
              <w:pStyle w:val="TableParagraph"/>
              <w:rPr>
                <w:rFonts w:ascii="Times New Roman"/>
                <w:sz w:val="12"/>
              </w:rPr>
            </w:pPr>
          </w:p>
        </w:tc>
        <w:tc>
          <w:tcPr>
            <w:tcW w:w="1323" w:type="dxa"/>
            <w:tcBorders>
              <w:bottom w:val="single" w:sz="8" w:space="0" w:color="231F20"/>
            </w:tcBorders>
          </w:tcPr>
          <w:p>
            <w:pPr>
              <w:pStyle w:val="TableParagraph"/>
              <w:spacing w:line="151" w:lineRule="exact" w:before="14"/>
              <w:ind w:right="77"/>
              <w:jc w:val="right"/>
              <w:rPr>
                <w:sz w:val="14"/>
              </w:rPr>
            </w:pPr>
            <w:r>
              <w:rPr>
                <w:color w:val="231F20"/>
                <w:spacing w:val="-2"/>
                <w:sz w:val="14"/>
              </w:rPr>
              <w:t>277,033</w:t>
            </w:r>
          </w:p>
        </w:tc>
        <w:tc>
          <w:tcPr>
            <w:tcW w:w="191" w:type="dxa"/>
          </w:tcPr>
          <w:p>
            <w:pPr>
              <w:pStyle w:val="TableParagraph"/>
              <w:rPr>
                <w:rFonts w:ascii="Times New Roman"/>
                <w:sz w:val="12"/>
              </w:rPr>
            </w:pPr>
          </w:p>
        </w:tc>
        <w:tc>
          <w:tcPr>
            <w:tcW w:w="1323" w:type="dxa"/>
            <w:tcBorders>
              <w:bottom w:val="single" w:sz="8" w:space="0" w:color="231F20"/>
            </w:tcBorders>
          </w:tcPr>
          <w:p>
            <w:pPr>
              <w:pStyle w:val="TableParagraph"/>
              <w:spacing w:line="151" w:lineRule="exact" w:before="14"/>
              <w:ind w:right="75"/>
              <w:jc w:val="right"/>
              <w:rPr>
                <w:sz w:val="14"/>
              </w:rPr>
            </w:pPr>
            <w:r>
              <w:rPr>
                <w:color w:val="231F20"/>
                <w:w w:val="100"/>
                <w:sz w:val="14"/>
              </w:rPr>
              <w:t>-</w:t>
            </w:r>
          </w:p>
        </w:tc>
        <w:tc>
          <w:tcPr>
            <w:tcW w:w="191" w:type="dxa"/>
          </w:tcPr>
          <w:p>
            <w:pPr>
              <w:pStyle w:val="TableParagraph"/>
              <w:rPr>
                <w:rFonts w:ascii="Times New Roman"/>
                <w:sz w:val="12"/>
              </w:rPr>
            </w:pPr>
          </w:p>
        </w:tc>
        <w:tc>
          <w:tcPr>
            <w:tcW w:w="1271" w:type="dxa"/>
            <w:tcBorders>
              <w:bottom w:val="single" w:sz="8" w:space="0" w:color="231F20"/>
            </w:tcBorders>
          </w:tcPr>
          <w:p>
            <w:pPr>
              <w:pStyle w:val="TableParagraph"/>
              <w:spacing w:line="151" w:lineRule="exact" w:before="14"/>
              <w:ind w:right="78"/>
              <w:jc w:val="right"/>
              <w:rPr>
                <w:sz w:val="14"/>
              </w:rPr>
            </w:pPr>
            <w:r>
              <w:rPr>
                <w:color w:val="231F20"/>
                <w:spacing w:val="-2"/>
                <w:sz w:val="14"/>
              </w:rPr>
              <w:t>277,033</w:t>
            </w:r>
          </w:p>
        </w:tc>
      </w:tr>
      <w:tr>
        <w:trPr>
          <w:trHeight w:val="367" w:hRule="atLeast"/>
        </w:trPr>
        <w:tc>
          <w:tcPr>
            <w:tcW w:w="3784" w:type="dxa"/>
          </w:tcPr>
          <w:p>
            <w:pPr>
              <w:pStyle w:val="TableParagraph"/>
              <w:rPr>
                <w:rFonts w:ascii="Times New Roman"/>
                <w:sz w:val="14"/>
              </w:rPr>
            </w:pPr>
          </w:p>
        </w:tc>
        <w:tc>
          <w:tcPr>
            <w:tcW w:w="191" w:type="dxa"/>
          </w:tcPr>
          <w:p>
            <w:pPr>
              <w:pStyle w:val="TableParagraph"/>
              <w:rPr>
                <w:rFonts w:ascii="Times New Roman"/>
                <w:sz w:val="14"/>
              </w:rPr>
            </w:pPr>
          </w:p>
        </w:tc>
        <w:tc>
          <w:tcPr>
            <w:tcW w:w="900" w:type="dxa"/>
          </w:tcPr>
          <w:p>
            <w:pPr>
              <w:pStyle w:val="TableParagraph"/>
              <w:rPr>
                <w:rFonts w:ascii="Times New Roman"/>
                <w:sz w:val="14"/>
              </w:rPr>
            </w:pPr>
          </w:p>
        </w:tc>
        <w:tc>
          <w:tcPr>
            <w:tcW w:w="191" w:type="dxa"/>
          </w:tcPr>
          <w:p>
            <w:pPr>
              <w:pStyle w:val="TableParagraph"/>
              <w:rPr>
                <w:rFonts w:ascii="Times New Roman"/>
                <w:sz w:val="14"/>
              </w:rPr>
            </w:pPr>
          </w:p>
        </w:tc>
        <w:tc>
          <w:tcPr>
            <w:tcW w:w="1323" w:type="dxa"/>
            <w:tcBorders>
              <w:top w:val="single" w:sz="8" w:space="0" w:color="231F20"/>
              <w:bottom w:val="single" w:sz="8" w:space="0" w:color="231F20"/>
            </w:tcBorders>
          </w:tcPr>
          <w:p>
            <w:pPr>
              <w:pStyle w:val="TableParagraph"/>
              <w:rPr>
                <w:b/>
                <w:sz w:val="17"/>
              </w:rPr>
            </w:pPr>
          </w:p>
          <w:p>
            <w:pPr>
              <w:pStyle w:val="TableParagraph"/>
              <w:spacing w:line="152" w:lineRule="exact"/>
              <w:ind w:right="76"/>
              <w:jc w:val="right"/>
              <w:rPr>
                <w:sz w:val="14"/>
              </w:rPr>
            </w:pPr>
            <w:r>
              <w:rPr>
                <w:color w:val="231F20"/>
                <w:spacing w:val="-2"/>
                <w:sz w:val="14"/>
              </w:rPr>
              <w:t>6,722,184</w:t>
            </w:r>
          </w:p>
        </w:tc>
        <w:tc>
          <w:tcPr>
            <w:tcW w:w="191" w:type="dxa"/>
          </w:tcPr>
          <w:p>
            <w:pPr>
              <w:pStyle w:val="TableParagraph"/>
              <w:rPr>
                <w:rFonts w:ascii="Times New Roman"/>
                <w:sz w:val="14"/>
              </w:rPr>
            </w:pPr>
          </w:p>
        </w:tc>
        <w:tc>
          <w:tcPr>
            <w:tcW w:w="1323" w:type="dxa"/>
            <w:tcBorders>
              <w:top w:val="single" w:sz="8" w:space="0" w:color="231F20"/>
              <w:bottom w:val="single" w:sz="8" w:space="0" w:color="231F20"/>
            </w:tcBorders>
          </w:tcPr>
          <w:p>
            <w:pPr>
              <w:pStyle w:val="TableParagraph"/>
              <w:rPr>
                <w:b/>
                <w:sz w:val="17"/>
              </w:rPr>
            </w:pPr>
          </w:p>
          <w:p>
            <w:pPr>
              <w:pStyle w:val="TableParagraph"/>
              <w:spacing w:line="152" w:lineRule="exact"/>
              <w:ind w:right="30"/>
              <w:jc w:val="right"/>
              <w:rPr>
                <w:sz w:val="14"/>
              </w:rPr>
            </w:pPr>
            <w:r>
              <w:rPr>
                <w:color w:val="231F20"/>
                <w:spacing w:val="-2"/>
                <w:sz w:val="14"/>
              </w:rPr>
              <w:t>(5,235,402)</w:t>
            </w:r>
          </w:p>
        </w:tc>
        <w:tc>
          <w:tcPr>
            <w:tcW w:w="191" w:type="dxa"/>
          </w:tcPr>
          <w:p>
            <w:pPr>
              <w:pStyle w:val="TableParagraph"/>
              <w:rPr>
                <w:rFonts w:ascii="Times New Roman"/>
                <w:sz w:val="14"/>
              </w:rPr>
            </w:pPr>
          </w:p>
        </w:tc>
        <w:tc>
          <w:tcPr>
            <w:tcW w:w="1271" w:type="dxa"/>
            <w:tcBorders>
              <w:top w:val="single" w:sz="8" w:space="0" w:color="231F20"/>
              <w:bottom w:val="single" w:sz="8" w:space="0" w:color="231F20"/>
            </w:tcBorders>
          </w:tcPr>
          <w:p>
            <w:pPr>
              <w:pStyle w:val="TableParagraph"/>
              <w:rPr>
                <w:b/>
                <w:sz w:val="17"/>
              </w:rPr>
            </w:pPr>
          </w:p>
          <w:p>
            <w:pPr>
              <w:pStyle w:val="TableParagraph"/>
              <w:spacing w:line="152" w:lineRule="exact"/>
              <w:ind w:right="79"/>
              <w:jc w:val="right"/>
              <w:rPr>
                <w:sz w:val="14"/>
              </w:rPr>
            </w:pPr>
            <w:r>
              <w:rPr>
                <w:color w:val="231F20"/>
                <w:spacing w:val="-2"/>
                <w:sz w:val="14"/>
              </w:rPr>
              <w:t>1,486,782</w:t>
            </w:r>
          </w:p>
        </w:tc>
      </w:tr>
      <w:tr>
        <w:trPr>
          <w:trHeight w:val="367" w:hRule="atLeast"/>
        </w:trPr>
        <w:tc>
          <w:tcPr>
            <w:tcW w:w="3784" w:type="dxa"/>
          </w:tcPr>
          <w:p>
            <w:pPr>
              <w:pStyle w:val="TableParagraph"/>
              <w:rPr>
                <w:b/>
                <w:sz w:val="17"/>
              </w:rPr>
            </w:pPr>
          </w:p>
          <w:p>
            <w:pPr>
              <w:pStyle w:val="TableParagraph"/>
              <w:spacing w:line="151" w:lineRule="exact"/>
              <w:ind w:left="28"/>
              <w:rPr>
                <w:sz w:val="14"/>
              </w:rPr>
            </w:pPr>
            <w:r>
              <w:rPr>
                <w:color w:val="231F20"/>
                <w:sz w:val="14"/>
              </w:rPr>
              <w:t>Total</w:t>
            </w:r>
            <w:r>
              <w:rPr>
                <w:color w:val="231F20"/>
                <w:spacing w:val="-3"/>
                <w:sz w:val="14"/>
              </w:rPr>
              <w:t> </w:t>
            </w:r>
            <w:r>
              <w:rPr>
                <w:color w:val="231F20"/>
                <w:sz w:val="14"/>
              </w:rPr>
              <w:t>deposit</w:t>
            </w:r>
            <w:r>
              <w:rPr>
                <w:color w:val="231F20"/>
                <w:spacing w:val="-3"/>
                <w:sz w:val="14"/>
              </w:rPr>
              <w:t> </w:t>
            </w:r>
            <w:r>
              <w:rPr>
                <w:color w:val="231F20"/>
                <w:spacing w:val="-2"/>
                <w:sz w:val="14"/>
              </w:rPr>
              <w:t>accounts</w:t>
            </w:r>
          </w:p>
        </w:tc>
        <w:tc>
          <w:tcPr>
            <w:tcW w:w="191" w:type="dxa"/>
          </w:tcPr>
          <w:p>
            <w:pPr>
              <w:pStyle w:val="TableParagraph"/>
              <w:rPr>
                <w:rFonts w:ascii="Times New Roman"/>
                <w:sz w:val="14"/>
              </w:rPr>
            </w:pPr>
          </w:p>
        </w:tc>
        <w:tc>
          <w:tcPr>
            <w:tcW w:w="900" w:type="dxa"/>
          </w:tcPr>
          <w:p>
            <w:pPr>
              <w:pStyle w:val="TableParagraph"/>
              <w:rPr>
                <w:rFonts w:ascii="Times New Roman"/>
                <w:sz w:val="14"/>
              </w:rPr>
            </w:pPr>
          </w:p>
        </w:tc>
        <w:tc>
          <w:tcPr>
            <w:tcW w:w="191" w:type="dxa"/>
          </w:tcPr>
          <w:p>
            <w:pPr>
              <w:pStyle w:val="TableParagraph"/>
              <w:rPr>
                <w:rFonts w:ascii="Times New Roman"/>
                <w:sz w:val="14"/>
              </w:rPr>
            </w:pPr>
          </w:p>
        </w:tc>
        <w:tc>
          <w:tcPr>
            <w:tcW w:w="1323" w:type="dxa"/>
            <w:tcBorders>
              <w:top w:val="single" w:sz="8" w:space="0" w:color="231F20"/>
              <w:bottom w:val="single" w:sz="8" w:space="0" w:color="231F20"/>
            </w:tcBorders>
          </w:tcPr>
          <w:p>
            <w:pPr>
              <w:pStyle w:val="TableParagraph"/>
              <w:rPr>
                <w:b/>
                <w:sz w:val="17"/>
              </w:rPr>
            </w:pPr>
          </w:p>
          <w:p>
            <w:pPr>
              <w:pStyle w:val="TableParagraph"/>
              <w:spacing w:line="151" w:lineRule="exact"/>
              <w:ind w:right="77"/>
              <w:jc w:val="right"/>
              <w:rPr>
                <w:sz w:val="14"/>
              </w:rPr>
            </w:pPr>
            <w:r>
              <w:rPr>
                <w:color w:val="231F20"/>
                <w:spacing w:val="-2"/>
                <w:sz w:val="14"/>
              </w:rPr>
              <w:t>41,951,614</w:t>
            </w:r>
          </w:p>
        </w:tc>
        <w:tc>
          <w:tcPr>
            <w:tcW w:w="191" w:type="dxa"/>
          </w:tcPr>
          <w:p>
            <w:pPr>
              <w:pStyle w:val="TableParagraph"/>
              <w:rPr>
                <w:rFonts w:ascii="Times New Roman"/>
                <w:sz w:val="14"/>
              </w:rPr>
            </w:pPr>
          </w:p>
        </w:tc>
        <w:tc>
          <w:tcPr>
            <w:tcW w:w="1323" w:type="dxa"/>
            <w:tcBorders>
              <w:top w:val="single" w:sz="8" w:space="0" w:color="231F20"/>
              <w:bottom w:val="single" w:sz="8" w:space="0" w:color="231F20"/>
            </w:tcBorders>
          </w:tcPr>
          <w:p>
            <w:pPr>
              <w:pStyle w:val="TableParagraph"/>
              <w:rPr>
                <w:b/>
                <w:sz w:val="17"/>
              </w:rPr>
            </w:pPr>
          </w:p>
          <w:p>
            <w:pPr>
              <w:pStyle w:val="TableParagraph"/>
              <w:spacing w:line="151" w:lineRule="exact"/>
              <w:ind w:right="30"/>
              <w:jc w:val="right"/>
              <w:rPr>
                <w:sz w:val="14"/>
              </w:rPr>
            </w:pPr>
            <w:r>
              <w:rPr>
                <w:color w:val="231F20"/>
                <w:spacing w:val="-2"/>
                <w:sz w:val="14"/>
              </w:rPr>
              <w:t>(5,629,623)</w:t>
            </w:r>
          </w:p>
        </w:tc>
        <w:tc>
          <w:tcPr>
            <w:tcW w:w="191" w:type="dxa"/>
          </w:tcPr>
          <w:p>
            <w:pPr>
              <w:pStyle w:val="TableParagraph"/>
              <w:rPr>
                <w:rFonts w:ascii="Times New Roman"/>
                <w:sz w:val="14"/>
              </w:rPr>
            </w:pPr>
          </w:p>
        </w:tc>
        <w:tc>
          <w:tcPr>
            <w:tcW w:w="1271" w:type="dxa"/>
            <w:tcBorders>
              <w:top w:val="single" w:sz="8" w:space="0" w:color="231F20"/>
              <w:bottom w:val="single" w:sz="8" w:space="0" w:color="231F20"/>
            </w:tcBorders>
          </w:tcPr>
          <w:p>
            <w:pPr>
              <w:pStyle w:val="TableParagraph"/>
              <w:rPr>
                <w:b/>
                <w:sz w:val="17"/>
              </w:rPr>
            </w:pPr>
          </w:p>
          <w:p>
            <w:pPr>
              <w:pStyle w:val="TableParagraph"/>
              <w:spacing w:line="151" w:lineRule="exact"/>
              <w:ind w:right="79"/>
              <w:jc w:val="right"/>
              <w:rPr>
                <w:sz w:val="14"/>
              </w:rPr>
            </w:pPr>
            <w:r>
              <w:rPr>
                <w:color w:val="231F20"/>
                <w:spacing w:val="-2"/>
                <w:sz w:val="14"/>
              </w:rPr>
              <w:t>36,321,991</w:t>
            </w:r>
          </w:p>
        </w:tc>
      </w:tr>
      <w:tr>
        <w:trPr>
          <w:trHeight w:val="560" w:hRule="atLeast"/>
        </w:trPr>
        <w:tc>
          <w:tcPr>
            <w:tcW w:w="3784" w:type="dxa"/>
          </w:tcPr>
          <w:p>
            <w:pPr>
              <w:pStyle w:val="TableParagraph"/>
              <w:spacing w:before="10"/>
              <w:rPr>
                <w:b/>
                <w:sz w:val="16"/>
              </w:rPr>
            </w:pPr>
          </w:p>
          <w:p>
            <w:pPr>
              <w:pStyle w:val="TableParagraph"/>
              <w:spacing w:before="1"/>
              <w:ind w:left="28"/>
              <w:rPr>
                <w:b/>
                <w:sz w:val="14"/>
              </w:rPr>
            </w:pPr>
            <w:r>
              <w:rPr>
                <w:b/>
                <w:color w:val="231F20"/>
                <w:spacing w:val="-2"/>
                <w:sz w:val="14"/>
              </w:rPr>
              <w:t>Other:</w:t>
            </w:r>
          </w:p>
          <w:p>
            <w:pPr>
              <w:pStyle w:val="TableParagraph"/>
              <w:spacing w:line="151" w:lineRule="exact" w:before="33"/>
              <w:ind w:left="152"/>
              <w:rPr>
                <w:sz w:val="14"/>
              </w:rPr>
            </w:pPr>
            <w:r>
              <w:rPr>
                <w:color w:val="231F20"/>
                <w:sz w:val="14"/>
              </w:rPr>
              <w:t>Petty</w:t>
            </w:r>
            <w:r>
              <w:rPr>
                <w:color w:val="231F20"/>
                <w:spacing w:val="-5"/>
                <w:sz w:val="14"/>
              </w:rPr>
              <w:t> </w:t>
            </w:r>
            <w:r>
              <w:rPr>
                <w:color w:val="231F20"/>
                <w:spacing w:val="-4"/>
                <w:sz w:val="14"/>
              </w:rPr>
              <w:t>cash</w:t>
            </w:r>
          </w:p>
        </w:tc>
        <w:tc>
          <w:tcPr>
            <w:tcW w:w="191" w:type="dxa"/>
          </w:tcPr>
          <w:p>
            <w:pPr>
              <w:pStyle w:val="TableParagraph"/>
              <w:rPr>
                <w:rFonts w:ascii="Times New Roman"/>
                <w:sz w:val="14"/>
              </w:rPr>
            </w:pPr>
          </w:p>
        </w:tc>
        <w:tc>
          <w:tcPr>
            <w:tcW w:w="900" w:type="dxa"/>
          </w:tcPr>
          <w:p>
            <w:pPr>
              <w:pStyle w:val="TableParagraph"/>
              <w:rPr>
                <w:rFonts w:ascii="Times New Roman"/>
                <w:sz w:val="14"/>
              </w:rPr>
            </w:pPr>
          </w:p>
        </w:tc>
        <w:tc>
          <w:tcPr>
            <w:tcW w:w="191" w:type="dxa"/>
          </w:tcPr>
          <w:p>
            <w:pPr>
              <w:pStyle w:val="TableParagraph"/>
              <w:rPr>
                <w:rFonts w:ascii="Times New Roman"/>
                <w:sz w:val="14"/>
              </w:rPr>
            </w:pPr>
          </w:p>
        </w:tc>
        <w:tc>
          <w:tcPr>
            <w:tcW w:w="1323" w:type="dxa"/>
            <w:tcBorders>
              <w:top w:val="single" w:sz="8" w:space="0" w:color="231F20"/>
              <w:bottom w:val="single" w:sz="8" w:space="0" w:color="231F20"/>
            </w:tcBorders>
          </w:tcPr>
          <w:p>
            <w:pPr>
              <w:pStyle w:val="TableParagraph"/>
              <w:rPr>
                <w:b/>
                <w:sz w:val="16"/>
              </w:rPr>
            </w:pPr>
          </w:p>
          <w:p>
            <w:pPr>
              <w:pStyle w:val="TableParagraph"/>
              <w:spacing w:before="9"/>
              <w:rPr>
                <w:b/>
                <w:sz w:val="17"/>
              </w:rPr>
            </w:pPr>
          </w:p>
          <w:p>
            <w:pPr>
              <w:pStyle w:val="TableParagraph"/>
              <w:spacing w:line="151" w:lineRule="exact" w:before="1"/>
              <w:ind w:right="76"/>
              <w:jc w:val="right"/>
              <w:rPr>
                <w:sz w:val="14"/>
              </w:rPr>
            </w:pPr>
            <w:r>
              <w:rPr>
                <w:color w:val="231F20"/>
                <w:spacing w:val="-2"/>
                <w:sz w:val="14"/>
              </w:rPr>
              <w:t>26,229</w:t>
            </w:r>
          </w:p>
        </w:tc>
        <w:tc>
          <w:tcPr>
            <w:tcW w:w="191" w:type="dxa"/>
          </w:tcPr>
          <w:p>
            <w:pPr>
              <w:pStyle w:val="TableParagraph"/>
              <w:rPr>
                <w:rFonts w:ascii="Times New Roman"/>
                <w:sz w:val="14"/>
              </w:rPr>
            </w:pPr>
          </w:p>
        </w:tc>
        <w:tc>
          <w:tcPr>
            <w:tcW w:w="1323" w:type="dxa"/>
            <w:tcBorders>
              <w:top w:val="single" w:sz="8" w:space="0" w:color="231F20"/>
              <w:bottom w:val="single" w:sz="8" w:space="0" w:color="231F20"/>
            </w:tcBorders>
          </w:tcPr>
          <w:p>
            <w:pPr>
              <w:pStyle w:val="TableParagraph"/>
              <w:rPr>
                <w:b/>
                <w:sz w:val="16"/>
              </w:rPr>
            </w:pPr>
          </w:p>
          <w:p>
            <w:pPr>
              <w:pStyle w:val="TableParagraph"/>
              <w:spacing w:before="9"/>
              <w:rPr>
                <w:b/>
                <w:sz w:val="17"/>
              </w:rPr>
            </w:pPr>
          </w:p>
          <w:p>
            <w:pPr>
              <w:pStyle w:val="TableParagraph"/>
              <w:spacing w:line="151" w:lineRule="exact" w:before="1"/>
              <w:ind w:right="75"/>
              <w:jc w:val="right"/>
              <w:rPr>
                <w:sz w:val="14"/>
              </w:rPr>
            </w:pPr>
            <w:r>
              <w:rPr>
                <w:color w:val="231F20"/>
                <w:w w:val="100"/>
                <w:sz w:val="14"/>
              </w:rPr>
              <w:t>-</w:t>
            </w:r>
          </w:p>
        </w:tc>
        <w:tc>
          <w:tcPr>
            <w:tcW w:w="191" w:type="dxa"/>
          </w:tcPr>
          <w:p>
            <w:pPr>
              <w:pStyle w:val="TableParagraph"/>
              <w:rPr>
                <w:rFonts w:ascii="Times New Roman"/>
                <w:sz w:val="14"/>
              </w:rPr>
            </w:pPr>
          </w:p>
        </w:tc>
        <w:tc>
          <w:tcPr>
            <w:tcW w:w="1271" w:type="dxa"/>
            <w:tcBorders>
              <w:top w:val="single" w:sz="8" w:space="0" w:color="231F20"/>
              <w:bottom w:val="single" w:sz="8" w:space="0" w:color="231F20"/>
            </w:tcBorders>
          </w:tcPr>
          <w:p>
            <w:pPr>
              <w:pStyle w:val="TableParagraph"/>
              <w:rPr>
                <w:b/>
                <w:sz w:val="16"/>
              </w:rPr>
            </w:pPr>
          </w:p>
          <w:p>
            <w:pPr>
              <w:pStyle w:val="TableParagraph"/>
              <w:spacing w:before="9"/>
              <w:rPr>
                <w:b/>
                <w:sz w:val="17"/>
              </w:rPr>
            </w:pPr>
          </w:p>
          <w:p>
            <w:pPr>
              <w:pStyle w:val="TableParagraph"/>
              <w:spacing w:line="151" w:lineRule="exact" w:before="1"/>
              <w:ind w:right="77"/>
              <w:jc w:val="right"/>
              <w:rPr>
                <w:sz w:val="14"/>
              </w:rPr>
            </w:pPr>
            <w:r>
              <w:rPr>
                <w:color w:val="231F20"/>
                <w:spacing w:val="-2"/>
                <w:sz w:val="14"/>
              </w:rPr>
              <w:t>26,229</w:t>
            </w:r>
          </w:p>
        </w:tc>
      </w:tr>
      <w:tr>
        <w:trPr>
          <w:trHeight w:val="367" w:hRule="atLeast"/>
        </w:trPr>
        <w:tc>
          <w:tcPr>
            <w:tcW w:w="3784" w:type="dxa"/>
          </w:tcPr>
          <w:p>
            <w:pPr>
              <w:pStyle w:val="TableParagraph"/>
              <w:spacing w:before="10"/>
              <w:rPr>
                <w:b/>
                <w:sz w:val="16"/>
              </w:rPr>
            </w:pPr>
          </w:p>
          <w:p>
            <w:pPr>
              <w:pStyle w:val="TableParagraph"/>
              <w:spacing w:line="152" w:lineRule="exact" w:before="1"/>
              <w:ind w:left="28"/>
              <w:rPr>
                <w:sz w:val="14"/>
              </w:rPr>
            </w:pPr>
            <w:r>
              <w:rPr>
                <w:color w:val="231F20"/>
                <w:sz w:val="14"/>
              </w:rPr>
              <w:t>Total</w:t>
            </w:r>
            <w:r>
              <w:rPr>
                <w:color w:val="231F20"/>
                <w:spacing w:val="-3"/>
                <w:sz w:val="14"/>
              </w:rPr>
              <w:t> </w:t>
            </w:r>
            <w:r>
              <w:rPr>
                <w:color w:val="231F20"/>
                <w:spacing w:val="-4"/>
                <w:sz w:val="14"/>
              </w:rPr>
              <w:t>cash</w:t>
            </w:r>
          </w:p>
        </w:tc>
        <w:tc>
          <w:tcPr>
            <w:tcW w:w="191" w:type="dxa"/>
          </w:tcPr>
          <w:p>
            <w:pPr>
              <w:pStyle w:val="TableParagraph"/>
              <w:rPr>
                <w:rFonts w:ascii="Times New Roman"/>
                <w:sz w:val="14"/>
              </w:rPr>
            </w:pPr>
          </w:p>
        </w:tc>
        <w:tc>
          <w:tcPr>
            <w:tcW w:w="900" w:type="dxa"/>
          </w:tcPr>
          <w:p>
            <w:pPr>
              <w:pStyle w:val="TableParagraph"/>
              <w:rPr>
                <w:rFonts w:ascii="Times New Roman"/>
                <w:sz w:val="14"/>
              </w:rPr>
            </w:pPr>
          </w:p>
        </w:tc>
        <w:tc>
          <w:tcPr>
            <w:tcW w:w="191" w:type="dxa"/>
          </w:tcPr>
          <w:p>
            <w:pPr>
              <w:pStyle w:val="TableParagraph"/>
              <w:rPr>
                <w:rFonts w:ascii="Times New Roman"/>
                <w:sz w:val="14"/>
              </w:rPr>
            </w:pPr>
          </w:p>
        </w:tc>
        <w:tc>
          <w:tcPr>
            <w:tcW w:w="1323" w:type="dxa"/>
            <w:tcBorders>
              <w:top w:val="single" w:sz="8" w:space="0" w:color="231F20"/>
              <w:bottom w:val="single" w:sz="8" w:space="0" w:color="231F20"/>
            </w:tcBorders>
          </w:tcPr>
          <w:p>
            <w:pPr>
              <w:pStyle w:val="TableParagraph"/>
              <w:spacing w:before="10"/>
              <w:rPr>
                <w:b/>
                <w:sz w:val="16"/>
              </w:rPr>
            </w:pPr>
          </w:p>
          <w:p>
            <w:pPr>
              <w:pStyle w:val="TableParagraph"/>
              <w:spacing w:line="152" w:lineRule="exact" w:before="1"/>
              <w:ind w:right="76"/>
              <w:jc w:val="right"/>
              <w:rPr>
                <w:sz w:val="14"/>
              </w:rPr>
            </w:pPr>
            <w:r>
              <w:rPr>
                <w:color w:val="231F20"/>
                <w:spacing w:val="-2"/>
                <w:sz w:val="14"/>
              </w:rPr>
              <w:t>41,977,843</w:t>
            </w:r>
          </w:p>
        </w:tc>
        <w:tc>
          <w:tcPr>
            <w:tcW w:w="191" w:type="dxa"/>
          </w:tcPr>
          <w:p>
            <w:pPr>
              <w:pStyle w:val="TableParagraph"/>
              <w:rPr>
                <w:rFonts w:ascii="Times New Roman"/>
                <w:sz w:val="14"/>
              </w:rPr>
            </w:pPr>
          </w:p>
        </w:tc>
        <w:tc>
          <w:tcPr>
            <w:tcW w:w="1323" w:type="dxa"/>
            <w:tcBorders>
              <w:top w:val="single" w:sz="8" w:space="0" w:color="231F20"/>
              <w:bottom w:val="single" w:sz="8" w:space="0" w:color="231F20"/>
            </w:tcBorders>
          </w:tcPr>
          <w:p>
            <w:pPr>
              <w:pStyle w:val="TableParagraph"/>
              <w:spacing w:before="10"/>
              <w:rPr>
                <w:b/>
                <w:sz w:val="16"/>
              </w:rPr>
            </w:pPr>
          </w:p>
          <w:p>
            <w:pPr>
              <w:pStyle w:val="TableParagraph"/>
              <w:spacing w:line="152" w:lineRule="exact" w:before="1"/>
              <w:ind w:right="30"/>
              <w:jc w:val="right"/>
              <w:rPr>
                <w:sz w:val="14"/>
              </w:rPr>
            </w:pPr>
            <w:r>
              <w:rPr>
                <w:color w:val="231F20"/>
                <w:spacing w:val="-2"/>
                <w:sz w:val="14"/>
              </w:rPr>
              <w:t>(5,629,623)</w:t>
            </w:r>
          </w:p>
        </w:tc>
        <w:tc>
          <w:tcPr>
            <w:tcW w:w="191" w:type="dxa"/>
          </w:tcPr>
          <w:p>
            <w:pPr>
              <w:pStyle w:val="TableParagraph"/>
              <w:rPr>
                <w:rFonts w:ascii="Times New Roman"/>
                <w:sz w:val="14"/>
              </w:rPr>
            </w:pPr>
          </w:p>
        </w:tc>
        <w:tc>
          <w:tcPr>
            <w:tcW w:w="1271" w:type="dxa"/>
            <w:tcBorders>
              <w:top w:val="single" w:sz="8" w:space="0" w:color="231F20"/>
              <w:bottom w:val="single" w:sz="8" w:space="0" w:color="231F20"/>
            </w:tcBorders>
          </w:tcPr>
          <w:p>
            <w:pPr>
              <w:pStyle w:val="TableParagraph"/>
              <w:spacing w:before="10"/>
              <w:rPr>
                <w:b/>
                <w:sz w:val="16"/>
              </w:rPr>
            </w:pPr>
          </w:p>
          <w:p>
            <w:pPr>
              <w:pStyle w:val="TableParagraph"/>
              <w:spacing w:line="152" w:lineRule="exact" w:before="1"/>
              <w:ind w:right="79"/>
              <w:jc w:val="right"/>
              <w:rPr>
                <w:sz w:val="14"/>
              </w:rPr>
            </w:pPr>
            <w:r>
              <w:rPr>
                <w:color w:val="231F20"/>
                <w:spacing w:val="-2"/>
                <w:sz w:val="14"/>
              </w:rPr>
              <w:t>36,348,220</w:t>
            </w:r>
          </w:p>
        </w:tc>
      </w:tr>
      <w:tr>
        <w:trPr>
          <w:trHeight w:val="762" w:hRule="atLeast"/>
        </w:trPr>
        <w:tc>
          <w:tcPr>
            <w:tcW w:w="3784" w:type="dxa"/>
          </w:tcPr>
          <w:p>
            <w:pPr>
              <w:pStyle w:val="TableParagraph"/>
              <w:rPr>
                <w:b/>
                <w:sz w:val="17"/>
              </w:rPr>
            </w:pPr>
          </w:p>
          <w:p>
            <w:pPr>
              <w:pStyle w:val="TableParagraph"/>
              <w:ind w:left="28"/>
              <w:rPr>
                <w:b/>
                <w:sz w:val="14"/>
              </w:rPr>
            </w:pPr>
            <w:r>
              <w:rPr>
                <w:b/>
                <w:color w:val="231F20"/>
                <w:spacing w:val="-2"/>
                <w:sz w:val="14"/>
              </w:rPr>
              <w:t>Investments:</w:t>
            </w:r>
          </w:p>
          <w:p>
            <w:pPr>
              <w:pStyle w:val="TableParagraph"/>
              <w:spacing w:line="194" w:lineRule="exact"/>
              <w:ind w:left="152" w:right="2275" w:hanging="124"/>
              <w:rPr>
                <w:sz w:val="14"/>
              </w:rPr>
            </w:pPr>
            <w:r>
              <w:rPr>
                <w:color w:val="231F20"/>
                <w:sz w:val="14"/>
              </w:rPr>
              <w:t>Morgan</w:t>
            </w:r>
            <w:r>
              <w:rPr>
                <w:color w:val="231F20"/>
                <w:spacing w:val="-2"/>
                <w:sz w:val="14"/>
              </w:rPr>
              <w:t> </w:t>
            </w:r>
            <w:r>
              <w:rPr>
                <w:color w:val="231F20"/>
                <w:sz w:val="14"/>
              </w:rPr>
              <w:t>Stanley</w:t>
            </w:r>
            <w:r>
              <w:rPr>
                <w:color w:val="231F20"/>
                <w:spacing w:val="40"/>
                <w:sz w:val="14"/>
              </w:rPr>
              <w:t> </w:t>
            </w:r>
            <w:r>
              <w:rPr>
                <w:color w:val="231F20"/>
                <w:sz w:val="14"/>
              </w:rPr>
              <w:t>Langmuir</w:t>
            </w:r>
            <w:r>
              <w:rPr>
                <w:color w:val="231F20"/>
                <w:spacing w:val="-10"/>
                <w:sz w:val="14"/>
              </w:rPr>
              <w:t> </w:t>
            </w:r>
            <w:r>
              <w:rPr>
                <w:color w:val="231F20"/>
                <w:sz w:val="14"/>
              </w:rPr>
              <w:t>endowment</w:t>
            </w:r>
          </w:p>
        </w:tc>
        <w:tc>
          <w:tcPr>
            <w:tcW w:w="191" w:type="dxa"/>
          </w:tcPr>
          <w:p>
            <w:pPr>
              <w:pStyle w:val="TableParagraph"/>
              <w:rPr>
                <w:rFonts w:ascii="Times New Roman"/>
                <w:sz w:val="14"/>
              </w:rPr>
            </w:pPr>
          </w:p>
        </w:tc>
        <w:tc>
          <w:tcPr>
            <w:tcW w:w="900" w:type="dxa"/>
          </w:tcPr>
          <w:p>
            <w:pPr>
              <w:pStyle w:val="TableParagraph"/>
              <w:rPr>
                <w:b/>
                <w:sz w:val="16"/>
              </w:rPr>
            </w:pPr>
          </w:p>
          <w:p>
            <w:pPr>
              <w:pStyle w:val="TableParagraph"/>
              <w:rPr>
                <w:b/>
                <w:sz w:val="16"/>
              </w:rPr>
            </w:pPr>
          </w:p>
          <w:p>
            <w:pPr>
              <w:pStyle w:val="TableParagraph"/>
              <w:spacing w:before="8"/>
              <w:rPr>
                <w:b/>
                <w:sz w:val="18"/>
              </w:rPr>
            </w:pPr>
          </w:p>
          <w:p>
            <w:pPr>
              <w:pStyle w:val="TableParagraph"/>
              <w:spacing w:line="159" w:lineRule="exact"/>
              <w:ind w:left="28"/>
              <w:rPr>
                <w:sz w:val="14"/>
              </w:rPr>
            </w:pPr>
            <w:r>
              <w:rPr>
                <w:color w:val="231F20"/>
                <w:spacing w:val="-2"/>
                <w:sz w:val="14"/>
              </w:rPr>
              <w:t>Investment</w:t>
            </w:r>
          </w:p>
        </w:tc>
        <w:tc>
          <w:tcPr>
            <w:tcW w:w="191" w:type="dxa"/>
          </w:tcPr>
          <w:p>
            <w:pPr>
              <w:pStyle w:val="TableParagraph"/>
              <w:rPr>
                <w:rFonts w:ascii="Times New Roman"/>
                <w:sz w:val="14"/>
              </w:rPr>
            </w:pPr>
          </w:p>
        </w:tc>
        <w:tc>
          <w:tcPr>
            <w:tcW w:w="1323" w:type="dxa"/>
            <w:tcBorders>
              <w:top w:val="single" w:sz="8" w:space="0" w:color="231F20"/>
            </w:tcBorders>
          </w:tcPr>
          <w:p>
            <w:pPr>
              <w:pStyle w:val="TableParagraph"/>
              <w:rPr>
                <w:b/>
                <w:sz w:val="16"/>
              </w:rPr>
            </w:pPr>
          </w:p>
          <w:p>
            <w:pPr>
              <w:pStyle w:val="TableParagraph"/>
              <w:rPr>
                <w:b/>
                <w:sz w:val="16"/>
              </w:rPr>
            </w:pPr>
          </w:p>
          <w:p>
            <w:pPr>
              <w:pStyle w:val="TableParagraph"/>
              <w:spacing w:before="8"/>
              <w:rPr>
                <w:b/>
                <w:sz w:val="18"/>
              </w:rPr>
            </w:pPr>
          </w:p>
          <w:p>
            <w:pPr>
              <w:pStyle w:val="TableParagraph"/>
              <w:spacing w:line="159" w:lineRule="exact"/>
              <w:ind w:right="78"/>
              <w:jc w:val="right"/>
              <w:rPr>
                <w:sz w:val="14"/>
              </w:rPr>
            </w:pPr>
            <w:r>
              <w:rPr>
                <w:color w:val="231F20"/>
                <w:spacing w:val="-2"/>
                <w:sz w:val="14"/>
              </w:rPr>
              <w:t>3,062,618</w:t>
            </w:r>
          </w:p>
        </w:tc>
        <w:tc>
          <w:tcPr>
            <w:tcW w:w="191" w:type="dxa"/>
          </w:tcPr>
          <w:p>
            <w:pPr>
              <w:pStyle w:val="TableParagraph"/>
              <w:rPr>
                <w:rFonts w:ascii="Times New Roman"/>
                <w:sz w:val="14"/>
              </w:rPr>
            </w:pPr>
          </w:p>
        </w:tc>
        <w:tc>
          <w:tcPr>
            <w:tcW w:w="1323" w:type="dxa"/>
            <w:tcBorders>
              <w:top w:val="single" w:sz="8" w:space="0" w:color="231F20"/>
            </w:tcBorders>
          </w:tcPr>
          <w:p>
            <w:pPr>
              <w:pStyle w:val="TableParagraph"/>
              <w:rPr>
                <w:b/>
                <w:sz w:val="16"/>
              </w:rPr>
            </w:pPr>
          </w:p>
          <w:p>
            <w:pPr>
              <w:pStyle w:val="TableParagraph"/>
              <w:rPr>
                <w:b/>
                <w:sz w:val="16"/>
              </w:rPr>
            </w:pPr>
          </w:p>
          <w:p>
            <w:pPr>
              <w:pStyle w:val="TableParagraph"/>
              <w:spacing w:before="8"/>
              <w:rPr>
                <w:b/>
                <w:sz w:val="18"/>
              </w:rPr>
            </w:pPr>
          </w:p>
          <w:p>
            <w:pPr>
              <w:pStyle w:val="TableParagraph"/>
              <w:spacing w:line="159" w:lineRule="exact"/>
              <w:ind w:right="75"/>
              <w:jc w:val="right"/>
              <w:rPr>
                <w:sz w:val="14"/>
              </w:rPr>
            </w:pPr>
            <w:r>
              <w:rPr>
                <w:color w:val="231F20"/>
                <w:w w:val="100"/>
                <w:sz w:val="14"/>
              </w:rPr>
              <w:t>-</w:t>
            </w:r>
          </w:p>
        </w:tc>
        <w:tc>
          <w:tcPr>
            <w:tcW w:w="191" w:type="dxa"/>
          </w:tcPr>
          <w:p>
            <w:pPr>
              <w:pStyle w:val="TableParagraph"/>
              <w:rPr>
                <w:rFonts w:ascii="Times New Roman"/>
                <w:sz w:val="14"/>
              </w:rPr>
            </w:pPr>
          </w:p>
        </w:tc>
        <w:tc>
          <w:tcPr>
            <w:tcW w:w="1271" w:type="dxa"/>
            <w:tcBorders>
              <w:top w:val="single" w:sz="8" w:space="0" w:color="231F20"/>
            </w:tcBorders>
          </w:tcPr>
          <w:p>
            <w:pPr>
              <w:pStyle w:val="TableParagraph"/>
              <w:rPr>
                <w:b/>
                <w:sz w:val="16"/>
              </w:rPr>
            </w:pPr>
          </w:p>
          <w:p>
            <w:pPr>
              <w:pStyle w:val="TableParagraph"/>
              <w:rPr>
                <w:b/>
                <w:sz w:val="16"/>
              </w:rPr>
            </w:pPr>
          </w:p>
          <w:p>
            <w:pPr>
              <w:pStyle w:val="TableParagraph"/>
              <w:spacing w:before="8"/>
              <w:rPr>
                <w:b/>
                <w:sz w:val="18"/>
              </w:rPr>
            </w:pPr>
          </w:p>
          <w:p>
            <w:pPr>
              <w:pStyle w:val="TableParagraph"/>
              <w:spacing w:line="159" w:lineRule="exact"/>
              <w:ind w:right="78"/>
              <w:jc w:val="right"/>
              <w:rPr>
                <w:sz w:val="14"/>
              </w:rPr>
            </w:pPr>
            <w:r>
              <w:rPr>
                <w:color w:val="231F20"/>
                <w:spacing w:val="-2"/>
                <w:sz w:val="14"/>
              </w:rPr>
              <w:t>3,062,618</w:t>
            </w:r>
          </w:p>
        </w:tc>
      </w:tr>
      <w:tr>
        <w:trPr>
          <w:trHeight w:val="185" w:hRule="atLeast"/>
        </w:trPr>
        <w:tc>
          <w:tcPr>
            <w:tcW w:w="3784" w:type="dxa"/>
          </w:tcPr>
          <w:p>
            <w:pPr>
              <w:pStyle w:val="TableParagraph"/>
              <w:spacing w:line="151" w:lineRule="exact" w:before="14"/>
              <w:ind w:left="152"/>
              <w:rPr>
                <w:sz w:val="14"/>
              </w:rPr>
            </w:pPr>
            <w:r>
              <w:rPr>
                <w:color w:val="231F20"/>
                <w:sz w:val="14"/>
              </w:rPr>
              <w:t>NMT</w:t>
            </w:r>
            <w:r>
              <w:rPr>
                <w:color w:val="231F20"/>
                <w:spacing w:val="-7"/>
                <w:sz w:val="14"/>
              </w:rPr>
              <w:t> </w:t>
            </w:r>
            <w:r>
              <w:rPr>
                <w:color w:val="231F20"/>
                <w:sz w:val="14"/>
              </w:rPr>
              <w:t>capital</w:t>
            </w:r>
            <w:r>
              <w:rPr>
                <w:color w:val="231F20"/>
                <w:spacing w:val="-3"/>
                <w:sz w:val="14"/>
              </w:rPr>
              <w:t> </w:t>
            </w:r>
            <w:r>
              <w:rPr>
                <w:color w:val="231F20"/>
                <w:spacing w:val="-2"/>
                <w:sz w:val="14"/>
              </w:rPr>
              <w:t>campaign</w:t>
            </w:r>
          </w:p>
        </w:tc>
        <w:tc>
          <w:tcPr>
            <w:tcW w:w="191" w:type="dxa"/>
          </w:tcPr>
          <w:p>
            <w:pPr>
              <w:pStyle w:val="TableParagraph"/>
              <w:rPr>
                <w:rFonts w:ascii="Times New Roman"/>
                <w:sz w:val="12"/>
              </w:rPr>
            </w:pPr>
          </w:p>
        </w:tc>
        <w:tc>
          <w:tcPr>
            <w:tcW w:w="900" w:type="dxa"/>
          </w:tcPr>
          <w:p>
            <w:pPr>
              <w:pStyle w:val="TableParagraph"/>
              <w:spacing w:line="151" w:lineRule="exact" w:before="14"/>
              <w:ind w:left="27"/>
              <w:rPr>
                <w:sz w:val="14"/>
              </w:rPr>
            </w:pPr>
            <w:r>
              <w:rPr>
                <w:color w:val="231F20"/>
                <w:spacing w:val="-2"/>
                <w:sz w:val="14"/>
              </w:rPr>
              <w:t>Investment</w:t>
            </w:r>
          </w:p>
        </w:tc>
        <w:tc>
          <w:tcPr>
            <w:tcW w:w="191" w:type="dxa"/>
          </w:tcPr>
          <w:p>
            <w:pPr>
              <w:pStyle w:val="TableParagraph"/>
              <w:rPr>
                <w:rFonts w:ascii="Times New Roman"/>
                <w:sz w:val="12"/>
              </w:rPr>
            </w:pPr>
          </w:p>
        </w:tc>
        <w:tc>
          <w:tcPr>
            <w:tcW w:w="1323" w:type="dxa"/>
            <w:tcBorders>
              <w:bottom w:val="single" w:sz="8" w:space="0" w:color="231F20"/>
            </w:tcBorders>
          </w:tcPr>
          <w:p>
            <w:pPr>
              <w:pStyle w:val="TableParagraph"/>
              <w:spacing w:line="151" w:lineRule="exact" w:before="14"/>
              <w:ind w:right="77"/>
              <w:jc w:val="right"/>
              <w:rPr>
                <w:sz w:val="14"/>
              </w:rPr>
            </w:pPr>
            <w:r>
              <w:rPr>
                <w:color w:val="231F20"/>
                <w:spacing w:val="-2"/>
                <w:sz w:val="14"/>
              </w:rPr>
              <w:t>817,232</w:t>
            </w:r>
          </w:p>
        </w:tc>
        <w:tc>
          <w:tcPr>
            <w:tcW w:w="191" w:type="dxa"/>
          </w:tcPr>
          <w:p>
            <w:pPr>
              <w:pStyle w:val="TableParagraph"/>
              <w:rPr>
                <w:rFonts w:ascii="Times New Roman"/>
                <w:sz w:val="12"/>
              </w:rPr>
            </w:pPr>
          </w:p>
        </w:tc>
        <w:tc>
          <w:tcPr>
            <w:tcW w:w="1323" w:type="dxa"/>
            <w:tcBorders>
              <w:bottom w:val="single" w:sz="8" w:space="0" w:color="231F20"/>
            </w:tcBorders>
          </w:tcPr>
          <w:p>
            <w:pPr>
              <w:pStyle w:val="TableParagraph"/>
              <w:spacing w:line="151" w:lineRule="exact" w:before="14"/>
              <w:ind w:right="75"/>
              <w:jc w:val="right"/>
              <w:rPr>
                <w:sz w:val="14"/>
              </w:rPr>
            </w:pPr>
            <w:r>
              <w:rPr>
                <w:color w:val="231F20"/>
                <w:w w:val="100"/>
                <w:sz w:val="14"/>
              </w:rPr>
              <w:t>-</w:t>
            </w:r>
          </w:p>
        </w:tc>
        <w:tc>
          <w:tcPr>
            <w:tcW w:w="191" w:type="dxa"/>
          </w:tcPr>
          <w:p>
            <w:pPr>
              <w:pStyle w:val="TableParagraph"/>
              <w:rPr>
                <w:rFonts w:ascii="Times New Roman"/>
                <w:sz w:val="12"/>
              </w:rPr>
            </w:pPr>
          </w:p>
        </w:tc>
        <w:tc>
          <w:tcPr>
            <w:tcW w:w="1271" w:type="dxa"/>
            <w:tcBorders>
              <w:bottom w:val="single" w:sz="8" w:space="0" w:color="231F20"/>
            </w:tcBorders>
          </w:tcPr>
          <w:p>
            <w:pPr>
              <w:pStyle w:val="TableParagraph"/>
              <w:spacing w:line="151" w:lineRule="exact" w:before="14"/>
              <w:ind w:right="79"/>
              <w:jc w:val="right"/>
              <w:rPr>
                <w:sz w:val="14"/>
              </w:rPr>
            </w:pPr>
            <w:r>
              <w:rPr>
                <w:color w:val="231F20"/>
                <w:spacing w:val="-2"/>
                <w:sz w:val="14"/>
              </w:rPr>
              <w:t>817,232</w:t>
            </w:r>
          </w:p>
        </w:tc>
      </w:tr>
      <w:tr>
        <w:trPr>
          <w:trHeight w:val="472" w:hRule="atLeast"/>
        </w:trPr>
        <w:tc>
          <w:tcPr>
            <w:tcW w:w="3784" w:type="dxa"/>
          </w:tcPr>
          <w:p>
            <w:pPr>
              <w:pStyle w:val="TableParagraph"/>
              <w:rPr>
                <w:rFonts w:ascii="Times New Roman"/>
                <w:sz w:val="14"/>
              </w:rPr>
            </w:pPr>
          </w:p>
        </w:tc>
        <w:tc>
          <w:tcPr>
            <w:tcW w:w="191" w:type="dxa"/>
          </w:tcPr>
          <w:p>
            <w:pPr>
              <w:pStyle w:val="TableParagraph"/>
              <w:rPr>
                <w:rFonts w:ascii="Times New Roman"/>
                <w:sz w:val="14"/>
              </w:rPr>
            </w:pPr>
          </w:p>
        </w:tc>
        <w:tc>
          <w:tcPr>
            <w:tcW w:w="900" w:type="dxa"/>
          </w:tcPr>
          <w:p>
            <w:pPr>
              <w:pStyle w:val="TableParagraph"/>
              <w:rPr>
                <w:rFonts w:ascii="Times New Roman"/>
                <w:sz w:val="14"/>
              </w:rPr>
            </w:pPr>
          </w:p>
        </w:tc>
        <w:tc>
          <w:tcPr>
            <w:tcW w:w="191" w:type="dxa"/>
          </w:tcPr>
          <w:p>
            <w:pPr>
              <w:pStyle w:val="TableParagraph"/>
              <w:rPr>
                <w:rFonts w:ascii="Times New Roman"/>
                <w:sz w:val="14"/>
              </w:rPr>
            </w:pPr>
          </w:p>
        </w:tc>
        <w:tc>
          <w:tcPr>
            <w:tcW w:w="1323" w:type="dxa"/>
            <w:tcBorders>
              <w:top w:val="single" w:sz="8" w:space="0" w:color="231F20"/>
            </w:tcBorders>
          </w:tcPr>
          <w:p>
            <w:pPr>
              <w:pStyle w:val="TableParagraph"/>
              <w:rPr>
                <w:b/>
                <w:sz w:val="17"/>
              </w:rPr>
            </w:pPr>
          </w:p>
          <w:p>
            <w:pPr>
              <w:pStyle w:val="TableParagraph"/>
              <w:ind w:right="77"/>
              <w:jc w:val="right"/>
              <w:rPr>
                <w:sz w:val="14"/>
              </w:rPr>
            </w:pPr>
            <w:r>
              <w:rPr>
                <w:color w:val="231F20"/>
                <w:spacing w:val="-2"/>
                <w:sz w:val="14"/>
              </w:rPr>
              <w:t>3,879,850</w:t>
            </w:r>
          </w:p>
        </w:tc>
        <w:tc>
          <w:tcPr>
            <w:tcW w:w="191" w:type="dxa"/>
          </w:tcPr>
          <w:p>
            <w:pPr>
              <w:pStyle w:val="TableParagraph"/>
              <w:rPr>
                <w:rFonts w:ascii="Times New Roman"/>
                <w:sz w:val="14"/>
              </w:rPr>
            </w:pPr>
          </w:p>
        </w:tc>
        <w:tc>
          <w:tcPr>
            <w:tcW w:w="1323" w:type="dxa"/>
            <w:tcBorders>
              <w:top w:val="single" w:sz="8" w:space="0" w:color="231F20"/>
            </w:tcBorders>
          </w:tcPr>
          <w:p>
            <w:pPr>
              <w:pStyle w:val="TableParagraph"/>
              <w:rPr>
                <w:b/>
                <w:sz w:val="17"/>
              </w:rPr>
            </w:pPr>
          </w:p>
          <w:p>
            <w:pPr>
              <w:pStyle w:val="TableParagraph"/>
              <w:ind w:right="75"/>
              <w:jc w:val="right"/>
              <w:rPr>
                <w:sz w:val="14"/>
              </w:rPr>
            </w:pPr>
            <w:r>
              <w:rPr>
                <w:color w:val="231F20"/>
                <w:w w:val="100"/>
                <w:sz w:val="14"/>
              </w:rPr>
              <w:t>-</w:t>
            </w:r>
          </w:p>
        </w:tc>
        <w:tc>
          <w:tcPr>
            <w:tcW w:w="191" w:type="dxa"/>
          </w:tcPr>
          <w:p>
            <w:pPr>
              <w:pStyle w:val="TableParagraph"/>
              <w:rPr>
                <w:rFonts w:ascii="Times New Roman"/>
                <w:sz w:val="14"/>
              </w:rPr>
            </w:pPr>
          </w:p>
        </w:tc>
        <w:tc>
          <w:tcPr>
            <w:tcW w:w="1271" w:type="dxa"/>
            <w:tcBorders>
              <w:top w:val="single" w:sz="8" w:space="0" w:color="231F20"/>
            </w:tcBorders>
          </w:tcPr>
          <w:p>
            <w:pPr>
              <w:pStyle w:val="TableParagraph"/>
              <w:rPr>
                <w:b/>
                <w:sz w:val="17"/>
              </w:rPr>
            </w:pPr>
          </w:p>
          <w:p>
            <w:pPr>
              <w:pStyle w:val="TableParagraph"/>
              <w:ind w:right="79"/>
              <w:jc w:val="right"/>
              <w:rPr>
                <w:sz w:val="14"/>
              </w:rPr>
            </w:pPr>
            <w:r>
              <w:rPr>
                <w:color w:val="231F20"/>
                <w:spacing w:val="-2"/>
                <w:sz w:val="14"/>
              </w:rPr>
              <w:t>3,879,850</w:t>
            </w:r>
          </w:p>
        </w:tc>
      </w:tr>
      <w:tr>
        <w:trPr>
          <w:trHeight w:val="465" w:hRule="atLeast"/>
        </w:trPr>
        <w:tc>
          <w:tcPr>
            <w:tcW w:w="3784" w:type="dxa"/>
          </w:tcPr>
          <w:p>
            <w:pPr>
              <w:pStyle w:val="TableParagraph"/>
              <w:spacing w:before="110"/>
              <w:ind w:left="28"/>
              <w:rPr>
                <w:sz w:val="14"/>
              </w:rPr>
            </w:pPr>
            <w:r>
              <w:rPr>
                <w:color w:val="231F20"/>
                <w:sz w:val="14"/>
              </w:rPr>
              <w:t>TD</w:t>
            </w:r>
            <w:r>
              <w:rPr>
                <w:color w:val="231F20"/>
                <w:spacing w:val="-2"/>
                <w:sz w:val="14"/>
              </w:rPr>
              <w:t> Ameritrade</w:t>
            </w:r>
          </w:p>
          <w:p>
            <w:pPr>
              <w:pStyle w:val="TableParagraph"/>
              <w:spacing w:line="141" w:lineRule="exact" w:before="33"/>
              <w:ind w:left="152"/>
              <w:rPr>
                <w:sz w:val="14"/>
              </w:rPr>
            </w:pPr>
            <w:r>
              <w:rPr>
                <w:color w:val="231F20"/>
                <w:sz w:val="14"/>
              </w:rPr>
              <w:t>New</w:t>
            </w:r>
            <w:r>
              <w:rPr>
                <w:color w:val="231F20"/>
                <w:spacing w:val="-4"/>
                <w:sz w:val="14"/>
              </w:rPr>
              <w:t> </w:t>
            </w:r>
            <w:r>
              <w:rPr>
                <w:color w:val="231F20"/>
                <w:sz w:val="14"/>
              </w:rPr>
              <w:t>Mexico</w:t>
            </w:r>
            <w:r>
              <w:rPr>
                <w:color w:val="231F20"/>
                <w:spacing w:val="-2"/>
                <w:sz w:val="14"/>
              </w:rPr>
              <w:t> </w:t>
            </w:r>
            <w:r>
              <w:rPr>
                <w:color w:val="231F20"/>
                <w:sz w:val="14"/>
              </w:rPr>
              <w:t>Institute</w:t>
            </w:r>
            <w:r>
              <w:rPr>
                <w:color w:val="231F20"/>
                <w:spacing w:val="-3"/>
                <w:sz w:val="14"/>
              </w:rPr>
              <w:t> </w:t>
            </w:r>
            <w:r>
              <w:rPr>
                <w:color w:val="231F20"/>
                <w:sz w:val="14"/>
              </w:rPr>
              <w:t>of</w:t>
            </w:r>
            <w:r>
              <w:rPr>
                <w:color w:val="231F20"/>
                <w:spacing w:val="-3"/>
                <w:sz w:val="14"/>
              </w:rPr>
              <w:t> </w:t>
            </w:r>
            <w:r>
              <w:rPr>
                <w:color w:val="231F20"/>
                <w:sz w:val="14"/>
              </w:rPr>
              <w:t>Mining</w:t>
            </w:r>
            <w:r>
              <w:rPr>
                <w:color w:val="231F20"/>
                <w:spacing w:val="-2"/>
                <w:sz w:val="14"/>
              </w:rPr>
              <w:t> </w:t>
            </w:r>
            <w:r>
              <w:rPr>
                <w:color w:val="231F20"/>
                <w:sz w:val="14"/>
              </w:rPr>
              <w:t>and</w:t>
            </w:r>
            <w:r>
              <w:rPr>
                <w:color w:val="231F20"/>
                <w:spacing w:val="-3"/>
                <w:sz w:val="14"/>
              </w:rPr>
              <w:t> </w:t>
            </w:r>
            <w:r>
              <w:rPr>
                <w:color w:val="231F20"/>
                <w:spacing w:val="-2"/>
                <w:sz w:val="14"/>
              </w:rPr>
              <w:t>Technology</w:t>
            </w:r>
          </w:p>
        </w:tc>
        <w:tc>
          <w:tcPr>
            <w:tcW w:w="191" w:type="dxa"/>
          </w:tcPr>
          <w:p>
            <w:pPr>
              <w:pStyle w:val="TableParagraph"/>
              <w:rPr>
                <w:rFonts w:ascii="Times New Roman"/>
                <w:sz w:val="14"/>
              </w:rPr>
            </w:pPr>
          </w:p>
        </w:tc>
        <w:tc>
          <w:tcPr>
            <w:tcW w:w="900" w:type="dxa"/>
          </w:tcPr>
          <w:p>
            <w:pPr>
              <w:pStyle w:val="TableParagraph"/>
              <w:rPr>
                <w:b/>
                <w:sz w:val="16"/>
              </w:rPr>
            </w:pPr>
          </w:p>
          <w:p>
            <w:pPr>
              <w:pStyle w:val="TableParagraph"/>
              <w:spacing w:line="141" w:lineRule="exact" w:before="120"/>
              <w:ind w:left="27"/>
              <w:rPr>
                <w:sz w:val="14"/>
              </w:rPr>
            </w:pPr>
            <w:r>
              <w:rPr>
                <w:color w:val="231F20"/>
                <w:spacing w:val="-2"/>
                <w:sz w:val="14"/>
              </w:rPr>
              <w:t>Investment</w:t>
            </w:r>
          </w:p>
        </w:tc>
        <w:tc>
          <w:tcPr>
            <w:tcW w:w="191" w:type="dxa"/>
          </w:tcPr>
          <w:p>
            <w:pPr>
              <w:pStyle w:val="TableParagraph"/>
              <w:rPr>
                <w:rFonts w:ascii="Times New Roman"/>
                <w:sz w:val="14"/>
              </w:rPr>
            </w:pPr>
          </w:p>
        </w:tc>
        <w:tc>
          <w:tcPr>
            <w:tcW w:w="1323" w:type="dxa"/>
          </w:tcPr>
          <w:p>
            <w:pPr>
              <w:pStyle w:val="TableParagraph"/>
              <w:rPr>
                <w:b/>
                <w:sz w:val="16"/>
              </w:rPr>
            </w:pPr>
          </w:p>
          <w:p>
            <w:pPr>
              <w:pStyle w:val="TableParagraph"/>
              <w:spacing w:line="141" w:lineRule="exact" w:before="120"/>
              <w:ind w:right="78"/>
              <w:jc w:val="right"/>
              <w:rPr>
                <w:sz w:val="14"/>
              </w:rPr>
            </w:pPr>
            <w:r>
              <w:rPr>
                <w:color w:val="231F20"/>
                <w:spacing w:val="-2"/>
                <w:sz w:val="14"/>
              </w:rPr>
              <w:t>259,666</w:t>
            </w:r>
          </w:p>
        </w:tc>
        <w:tc>
          <w:tcPr>
            <w:tcW w:w="191" w:type="dxa"/>
          </w:tcPr>
          <w:p>
            <w:pPr>
              <w:pStyle w:val="TableParagraph"/>
              <w:rPr>
                <w:rFonts w:ascii="Times New Roman"/>
                <w:sz w:val="14"/>
              </w:rPr>
            </w:pPr>
          </w:p>
        </w:tc>
        <w:tc>
          <w:tcPr>
            <w:tcW w:w="1323" w:type="dxa"/>
          </w:tcPr>
          <w:p>
            <w:pPr>
              <w:pStyle w:val="TableParagraph"/>
              <w:rPr>
                <w:b/>
                <w:sz w:val="16"/>
              </w:rPr>
            </w:pPr>
          </w:p>
          <w:p>
            <w:pPr>
              <w:pStyle w:val="TableParagraph"/>
              <w:spacing w:line="141" w:lineRule="exact" w:before="120"/>
              <w:ind w:right="75"/>
              <w:jc w:val="right"/>
              <w:rPr>
                <w:sz w:val="14"/>
              </w:rPr>
            </w:pPr>
            <w:r>
              <w:rPr>
                <w:color w:val="231F20"/>
                <w:w w:val="100"/>
                <w:sz w:val="14"/>
              </w:rPr>
              <w:t>-</w:t>
            </w:r>
          </w:p>
        </w:tc>
        <w:tc>
          <w:tcPr>
            <w:tcW w:w="191" w:type="dxa"/>
          </w:tcPr>
          <w:p>
            <w:pPr>
              <w:pStyle w:val="TableParagraph"/>
              <w:rPr>
                <w:rFonts w:ascii="Times New Roman"/>
                <w:sz w:val="14"/>
              </w:rPr>
            </w:pPr>
          </w:p>
        </w:tc>
        <w:tc>
          <w:tcPr>
            <w:tcW w:w="1271" w:type="dxa"/>
          </w:tcPr>
          <w:p>
            <w:pPr>
              <w:pStyle w:val="TableParagraph"/>
              <w:rPr>
                <w:b/>
                <w:sz w:val="16"/>
              </w:rPr>
            </w:pPr>
          </w:p>
          <w:p>
            <w:pPr>
              <w:pStyle w:val="TableParagraph"/>
              <w:spacing w:line="141" w:lineRule="exact" w:before="120"/>
              <w:ind w:right="78"/>
              <w:jc w:val="right"/>
              <w:rPr>
                <w:sz w:val="14"/>
              </w:rPr>
            </w:pPr>
            <w:r>
              <w:rPr>
                <w:color w:val="231F20"/>
                <w:spacing w:val="-2"/>
                <w:sz w:val="14"/>
              </w:rPr>
              <w:t>259,666</w:t>
            </w:r>
          </w:p>
        </w:tc>
      </w:tr>
    </w:tbl>
    <w:p>
      <w:pPr>
        <w:pStyle w:val="BodyText"/>
        <w:spacing w:before="11"/>
        <w:rPr>
          <w:b/>
          <w:sz w:val="11"/>
        </w:rPr>
      </w:pPr>
    </w:p>
    <w:p>
      <w:pPr>
        <w:spacing w:before="95"/>
        <w:ind w:left="196" w:right="0" w:firstLine="0"/>
        <w:jc w:val="left"/>
        <w:rPr>
          <w:sz w:val="14"/>
        </w:rPr>
      </w:pPr>
      <w:r>
        <w:rPr>
          <w:color w:val="231F20"/>
          <w:sz w:val="14"/>
        </w:rPr>
        <w:t>New</w:t>
      </w:r>
      <w:r>
        <w:rPr>
          <w:color w:val="231F20"/>
          <w:spacing w:val="-2"/>
          <w:sz w:val="14"/>
        </w:rPr>
        <w:t> </w:t>
      </w:r>
      <w:r>
        <w:rPr>
          <w:color w:val="231F20"/>
          <w:sz w:val="14"/>
        </w:rPr>
        <w:t>Mexico State Investment </w:t>
      </w:r>
      <w:r>
        <w:rPr>
          <w:color w:val="231F20"/>
          <w:spacing w:val="-2"/>
          <w:sz w:val="14"/>
        </w:rPr>
        <w:t>Council</w:t>
      </w:r>
    </w:p>
    <w:p>
      <w:pPr>
        <w:tabs>
          <w:tab w:pos="4169" w:val="left" w:leader="none"/>
          <w:tab w:pos="5772" w:val="left" w:leader="none"/>
          <w:tab w:pos="7562" w:val="left" w:leader="none"/>
          <w:tab w:pos="8751" w:val="left" w:leader="none"/>
        </w:tabs>
        <w:spacing w:line="578" w:lineRule="auto" w:before="32"/>
        <w:ind w:left="197" w:right="225" w:firstLine="123"/>
        <w:jc w:val="left"/>
        <w:rPr>
          <w:sz w:val="14"/>
        </w:rPr>
      </w:pPr>
      <w:r>
        <w:rPr/>
        <w:pict>
          <v:shape style="position:absolute;margin-left:71.346039pt;margin-top:30.872692pt;width:469.2pt;height:99.2pt;mso-position-horizontal-relative:page;mso-position-vertical-relative:paragraph;z-index:15836160" type="#_x0000_t202" id="docshape4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9"/>
                    <w:gridCol w:w="1467"/>
                    <w:gridCol w:w="1322"/>
                    <w:gridCol w:w="190"/>
                    <w:gridCol w:w="1322"/>
                    <w:gridCol w:w="191"/>
                    <w:gridCol w:w="1270"/>
                  </w:tblGrid>
                  <w:tr>
                    <w:trPr>
                      <w:trHeight w:val="175" w:hRule="atLeast"/>
                    </w:trPr>
                    <w:tc>
                      <w:tcPr>
                        <w:tcW w:w="3619" w:type="dxa"/>
                      </w:tcPr>
                      <w:p>
                        <w:pPr>
                          <w:pStyle w:val="TableParagraph"/>
                          <w:spacing w:line="155" w:lineRule="exact"/>
                          <w:ind w:left="173"/>
                          <w:rPr>
                            <w:sz w:val="14"/>
                          </w:rPr>
                        </w:pPr>
                        <w:r>
                          <w:rPr>
                            <w:color w:val="231F20"/>
                            <w:sz w:val="14"/>
                          </w:rPr>
                          <w:t>New</w:t>
                        </w:r>
                        <w:r>
                          <w:rPr>
                            <w:color w:val="231F20"/>
                            <w:spacing w:val="-4"/>
                            <w:sz w:val="14"/>
                          </w:rPr>
                          <w:t> </w:t>
                        </w:r>
                        <w:r>
                          <w:rPr>
                            <w:color w:val="231F20"/>
                            <w:sz w:val="14"/>
                          </w:rPr>
                          <w:t>Mexico</w:t>
                        </w:r>
                        <w:r>
                          <w:rPr>
                            <w:color w:val="231F20"/>
                            <w:spacing w:val="-2"/>
                            <w:sz w:val="14"/>
                          </w:rPr>
                          <w:t> </w:t>
                        </w:r>
                        <w:r>
                          <w:rPr>
                            <w:color w:val="231F20"/>
                            <w:sz w:val="14"/>
                          </w:rPr>
                          <w:t>Institute</w:t>
                        </w:r>
                        <w:r>
                          <w:rPr>
                            <w:color w:val="231F20"/>
                            <w:spacing w:val="-3"/>
                            <w:sz w:val="14"/>
                          </w:rPr>
                          <w:t> </w:t>
                        </w:r>
                        <w:r>
                          <w:rPr>
                            <w:color w:val="231F20"/>
                            <w:sz w:val="14"/>
                          </w:rPr>
                          <w:t>of</w:t>
                        </w:r>
                        <w:r>
                          <w:rPr>
                            <w:color w:val="231F20"/>
                            <w:spacing w:val="-3"/>
                            <w:sz w:val="14"/>
                          </w:rPr>
                          <w:t> </w:t>
                        </w:r>
                        <w:r>
                          <w:rPr>
                            <w:color w:val="231F20"/>
                            <w:sz w:val="14"/>
                          </w:rPr>
                          <w:t>Mining</w:t>
                        </w:r>
                        <w:r>
                          <w:rPr>
                            <w:color w:val="231F20"/>
                            <w:spacing w:val="-2"/>
                            <w:sz w:val="14"/>
                          </w:rPr>
                          <w:t> </w:t>
                        </w:r>
                        <w:r>
                          <w:rPr>
                            <w:color w:val="231F20"/>
                            <w:sz w:val="14"/>
                          </w:rPr>
                          <w:t>and</w:t>
                        </w:r>
                        <w:r>
                          <w:rPr>
                            <w:color w:val="231F20"/>
                            <w:spacing w:val="-3"/>
                            <w:sz w:val="14"/>
                          </w:rPr>
                          <w:t> </w:t>
                        </w:r>
                        <w:r>
                          <w:rPr>
                            <w:color w:val="231F20"/>
                            <w:spacing w:val="-2"/>
                            <w:sz w:val="14"/>
                          </w:rPr>
                          <w:t>Technology</w:t>
                        </w:r>
                      </w:p>
                    </w:tc>
                    <w:tc>
                      <w:tcPr>
                        <w:tcW w:w="1467" w:type="dxa"/>
                      </w:tcPr>
                      <w:p>
                        <w:pPr>
                          <w:pStyle w:val="TableParagraph"/>
                          <w:spacing w:line="155" w:lineRule="exact"/>
                          <w:ind w:right="372"/>
                          <w:jc w:val="right"/>
                          <w:rPr>
                            <w:sz w:val="14"/>
                          </w:rPr>
                        </w:pPr>
                        <w:r>
                          <w:rPr>
                            <w:color w:val="231F20"/>
                            <w:spacing w:val="-2"/>
                            <w:sz w:val="14"/>
                          </w:rPr>
                          <w:t>Investment</w:t>
                        </w:r>
                      </w:p>
                    </w:tc>
                    <w:tc>
                      <w:tcPr>
                        <w:tcW w:w="1322" w:type="dxa"/>
                      </w:tcPr>
                      <w:p>
                        <w:pPr>
                          <w:pStyle w:val="TableParagraph"/>
                          <w:spacing w:line="155" w:lineRule="exact"/>
                          <w:ind w:right="76"/>
                          <w:jc w:val="right"/>
                          <w:rPr>
                            <w:sz w:val="14"/>
                          </w:rPr>
                        </w:pPr>
                        <w:r>
                          <w:rPr>
                            <w:color w:val="231F20"/>
                            <w:spacing w:val="-2"/>
                            <w:sz w:val="14"/>
                          </w:rPr>
                          <w:t>18,612,903</w:t>
                        </w:r>
                      </w:p>
                    </w:tc>
                    <w:tc>
                      <w:tcPr>
                        <w:tcW w:w="190" w:type="dxa"/>
                      </w:tcPr>
                      <w:p>
                        <w:pPr>
                          <w:pStyle w:val="TableParagraph"/>
                          <w:rPr>
                            <w:rFonts w:ascii="Times New Roman"/>
                            <w:sz w:val="10"/>
                          </w:rPr>
                        </w:pPr>
                      </w:p>
                    </w:tc>
                    <w:tc>
                      <w:tcPr>
                        <w:tcW w:w="1322" w:type="dxa"/>
                      </w:tcPr>
                      <w:p>
                        <w:pPr>
                          <w:pStyle w:val="TableParagraph"/>
                          <w:spacing w:line="155" w:lineRule="exact"/>
                          <w:ind w:right="24"/>
                          <w:jc w:val="right"/>
                          <w:rPr>
                            <w:sz w:val="14"/>
                          </w:rPr>
                        </w:pPr>
                        <w:r>
                          <w:rPr>
                            <w:color w:val="231F20"/>
                            <w:spacing w:val="-2"/>
                            <w:sz w:val="14"/>
                          </w:rPr>
                          <w:t>(30,181)</w:t>
                        </w:r>
                      </w:p>
                    </w:tc>
                    <w:tc>
                      <w:tcPr>
                        <w:tcW w:w="191" w:type="dxa"/>
                      </w:tcPr>
                      <w:p>
                        <w:pPr>
                          <w:pStyle w:val="TableParagraph"/>
                          <w:rPr>
                            <w:rFonts w:ascii="Times New Roman"/>
                            <w:sz w:val="10"/>
                          </w:rPr>
                        </w:pPr>
                      </w:p>
                    </w:tc>
                    <w:tc>
                      <w:tcPr>
                        <w:tcW w:w="1270" w:type="dxa"/>
                      </w:tcPr>
                      <w:p>
                        <w:pPr>
                          <w:pStyle w:val="TableParagraph"/>
                          <w:spacing w:line="155" w:lineRule="exact"/>
                          <w:ind w:right="73"/>
                          <w:jc w:val="right"/>
                          <w:rPr>
                            <w:sz w:val="14"/>
                          </w:rPr>
                        </w:pPr>
                        <w:r>
                          <w:rPr>
                            <w:color w:val="231F20"/>
                            <w:spacing w:val="-2"/>
                            <w:sz w:val="14"/>
                          </w:rPr>
                          <w:t>18,582,722</w:t>
                        </w:r>
                      </w:p>
                    </w:tc>
                  </w:tr>
                  <w:tr>
                    <w:trPr>
                      <w:trHeight w:val="185" w:hRule="atLeast"/>
                    </w:trPr>
                    <w:tc>
                      <w:tcPr>
                        <w:tcW w:w="3619" w:type="dxa"/>
                      </w:tcPr>
                      <w:p>
                        <w:pPr>
                          <w:pStyle w:val="TableParagraph"/>
                          <w:spacing w:line="151" w:lineRule="exact" w:before="14"/>
                          <w:ind w:left="173"/>
                          <w:rPr>
                            <w:sz w:val="14"/>
                          </w:rPr>
                        </w:pPr>
                        <w:r>
                          <w:rPr>
                            <w:color w:val="231F20"/>
                            <w:sz w:val="14"/>
                          </w:rPr>
                          <w:t>New</w:t>
                        </w:r>
                        <w:r>
                          <w:rPr>
                            <w:color w:val="231F20"/>
                            <w:spacing w:val="-4"/>
                            <w:sz w:val="14"/>
                          </w:rPr>
                          <w:t> </w:t>
                        </w:r>
                        <w:r>
                          <w:rPr>
                            <w:color w:val="231F20"/>
                            <w:sz w:val="14"/>
                          </w:rPr>
                          <w:t>Mexico</w:t>
                        </w:r>
                        <w:r>
                          <w:rPr>
                            <w:color w:val="231F20"/>
                            <w:spacing w:val="-3"/>
                            <w:sz w:val="14"/>
                          </w:rPr>
                          <w:t> </w:t>
                        </w:r>
                        <w:r>
                          <w:rPr>
                            <w:color w:val="231F20"/>
                            <w:sz w:val="14"/>
                          </w:rPr>
                          <w:t>Benefit</w:t>
                        </w:r>
                        <w:r>
                          <w:rPr>
                            <w:color w:val="231F20"/>
                            <w:spacing w:val="-2"/>
                            <w:sz w:val="14"/>
                          </w:rPr>
                          <w:t> Trust</w:t>
                        </w:r>
                      </w:p>
                    </w:tc>
                    <w:tc>
                      <w:tcPr>
                        <w:tcW w:w="1467" w:type="dxa"/>
                      </w:tcPr>
                      <w:p>
                        <w:pPr>
                          <w:pStyle w:val="TableParagraph"/>
                          <w:spacing w:line="151" w:lineRule="exact" w:before="14"/>
                          <w:ind w:right="370"/>
                          <w:jc w:val="right"/>
                          <w:rPr>
                            <w:sz w:val="14"/>
                          </w:rPr>
                        </w:pPr>
                        <w:r>
                          <w:rPr>
                            <w:color w:val="231F20"/>
                            <w:spacing w:val="-2"/>
                            <w:sz w:val="14"/>
                          </w:rPr>
                          <w:t>Investment</w:t>
                        </w:r>
                      </w:p>
                    </w:tc>
                    <w:tc>
                      <w:tcPr>
                        <w:tcW w:w="1322" w:type="dxa"/>
                        <w:tcBorders>
                          <w:bottom w:val="single" w:sz="8" w:space="0" w:color="231F20"/>
                        </w:tcBorders>
                      </w:tcPr>
                      <w:p>
                        <w:pPr>
                          <w:pStyle w:val="TableParagraph"/>
                          <w:spacing w:line="151" w:lineRule="exact" w:before="14"/>
                          <w:ind w:right="75"/>
                          <w:jc w:val="right"/>
                          <w:rPr>
                            <w:sz w:val="14"/>
                          </w:rPr>
                        </w:pPr>
                        <w:r>
                          <w:rPr>
                            <w:color w:val="231F20"/>
                            <w:spacing w:val="-2"/>
                            <w:sz w:val="14"/>
                          </w:rPr>
                          <w:t>970,598</w:t>
                        </w:r>
                      </w:p>
                    </w:tc>
                    <w:tc>
                      <w:tcPr>
                        <w:tcW w:w="190" w:type="dxa"/>
                      </w:tcPr>
                      <w:p>
                        <w:pPr>
                          <w:pStyle w:val="TableParagraph"/>
                          <w:rPr>
                            <w:rFonts w:ascii="Times New Roman"/>
                            <w:sz w:val="12"/>
                          </w:rPr>
                        </w:pPr>
                      </w:p>
                    </w:tc>
                    <w:tc>
                      <w:tcPr>
                        <w:tcW w:w="1322" w:type="dxa"/>
                        <w:tcBorders>
                          <w:bottom w:val="single" w:sz="8" w:space="0" w:color="231F20"/>
                        </w:tcBorders>
                      </w:tcPr>
                      <w:p>
                        <w:pPr>
                          <w:pStyle w:val="TableParagraph"/>
                          <w:spacing w:line="151" w:lineRule="exact" w:before="14"/>
                          <w:ind w:right="24"/>
                          <w:jc w:val="right"/>
                          <w:rPr>
                            <w:sz w:val="14"/>
                          </w:rPr>
                        </w:pPr>
                        <w:r>
                          <w:rPr>
                            <w:color w:val="231F20"/>
                            <w:spacing w:val="-2"/>
                            <w:sz w:val="14"/>
                          </w:rPr>
                          <w:t>(1,298)</w:t>
                        </w:r>
                      </w:p>
                    </w:tc>
                    <w:tc>
                      <w:tcPr>
                        <w:tcW w:w="191" w:type="dxa"/>
                      </w:tcPr>
                      <w:p>
                        <w:pPr>
                          <w:pStyle w:val="TableParagraph"/>
                          <w:rPr>
                            <w:rFonts w:ascii="Times New Roman"/>
                            <w:sz w:val="12"/>
                          </w:rPr>
                        </w:pPr>
                      </w:p>
                    </w:tc>
                    <w:tc>
                      <w:tcPr>
                        <w:tcW w:w="1270" w:type="dxa"/>
                        <w:tcBorders>
                          <w:bottom w:val="single" w:sz="8" w:space="0" w:color="231F20"/>
                        </w:tcBorders>
                      </w:tcPr>
                      <w:p>
                        <w:pPr>
                          <w:pStyle w:val="TableParagraph"/>
                          <w:spacing w:line="151" w:lineRule="exact" w:before="14"/>
                          <w:ind w:right="73"/>
                          <w:jc w:val="right"/>
                          <w:rPr>
                            <w:sz w:val="14"/>
                          </w:rPr>
                        </w:pPr>
                        <w:r>
                          <w:rPr>
                            <w:color w:val="231F20"/>
                            <w:spacing w:val="-2"/>
                            <w:sz w:val="14"/>
                          </w:rPr>
                          <w:t>969,300</w:t>
                        </w:r>
                      </w:p>
                    </w:tc>
                  </w:tr>
                  <w:tr>
                    <w:trPr>
                      <w:trHeight w:val="367" w:hRule="atLeast"/>
                    </w:trPr>
                    <w:tc>
                      <w:tcPr>
                        <w:tcW w:w="3619" w:type="dxa"/>
                      </w:tcPr>
                      <w:p>
                        <w:pPr>
                          <w:pStyle w:val="TableParagraph"/>
                          <w:rPr>
                            <w:rFonts w:ascii="Times New Roman"/>
                            <w:sz w:val="14"/>
                          </w:rPr>
                        </w:pPr>
                      </w:p>
                    </w:tc>
                    <w:tc>
                      <w:tcPr>
                        <w:tcW w:w="1467" w:type="dxa"/>
                      </w:tcPr>
                      <w:p>
                        <w:pPr>
                          <w:pStyle w:val="TableParagraph"/>
                          <w:rPr>
                            <w:rFonts w:ascii="Times New Roman"/>
                            <w:sz w:val="14"/>
                          </w:rPr>
                        </w:pPr>
                      </w:p>
                    </w:tc>
                    <w:tc>
                      <w:tcPr>
                        <w:tcW w:w="1322" w:type="dxa"/>
                        <w:tcBorders>
                          <w:top w:val="single" w:sz="8" w:space="0" w:color="231F20"/>
                          <w:bottom w:val="single" w:sz="8" w:space="0" w:color="231F20"/>
                        </w:tcBorders>
                      </w:tcPr>
                      <w:p>
                        <w:pPr>
                          <w:pStyle w:val="TableParagraph"/>
                          <w:rPr>
                            <w:sz w:val="17"/>
                          </w:rPr>
                        </w:pPr>
                      </w:p>
                      <w:p>
                        <w:pPr>
                          <w:pStyle w:val="TableParagraph"/>
                          <w:spacing w:line="152" w:lineRule="exact"/>
                          <w:ind w:right="74"/>
                          <w:jc w:val="right"/>
                          <w:rPr>
                            <w:sz w:val="14"/>
                          </w:rPr>
                        </w:pPr>
                        <w:r>
                          <w:rPr>
                            <w:color w:val="231F20"/>
                            <w:spacing w:val="-2"/>
                            <w:sz w:val="14"/>
                          </w:rPr>
                          <w:t>19,583,501</w:t>
                        </w:r>
                      </w:p>
                    </w:tc>
                    <w:tc>
                      <w:tcPr>
                        <w:tcW w:w="190" w:type="dxa"/>
                      </w:tcPr>
                      <w:p>
                        <w:pPr>
                          <w:pStyle w:val="TableParagraph"/>
                          <w:rPr>
                            <w:rFonts w:ascii="Times New Roman"/>
                            <w:sz w:val="14"/>
                          </w:rPr>
                        </w:pPr>
                      </w:p>
                    </w:tc>
                    <w:tc>
                      <w:tcPr>
                        <w:tcW w:w="1322" w:type="dxa"/>
                        <w:tcBorders>
                          <w:top w:val="single" w:sz="8" w:space="0" w:color="231F20"/>
                          <w:bottom w:val="single" w:sz="8" w:space="0" w:color="231F20"/>
                        </w:tcBorders>
                      </w:tcPr>
                      <w:p>
                        <w:pPr>
                          <w:pStyle w:val="TableParagraph"/>
                          <w:rPr>
                            <w:sz w:val="17"/>
                          </w:rPr>
                        </w:pPr>
                      </w:p>
                      <w:p>
                        <w:pPr>
                          <w:pStyle w:val="TableParagraph"/>
                          <w:spacing w:line="152" w:lineRule="exact"/>
                          <w:ind w:right="24"/>
                          <w:jc w:val="right"/>
                          <w:rPr>
                            <w:sz w:val="14"/>
                          </w:rPr>
                        </w:pPr>
                        <w:r>
                          <w:rPr>
                            <w:color w:val="231F20"/>
                            <w:spacing w:val="-2"/>
                            <w:sz w:val="14"/>
                          </w:rPr>
                          <w:t>(31,479)</w:t>
                        </w:r>
                      </w:p>
                    </w:tc>
                    <w:tc>
                      <w:tcPr>
                        <w:tcW w:w="191" w:type="dxa"/>
                      </w:tcPr>
                      <w:p>
                        <w:pPr>
                          <w:pStyle w:val="TableParagraph"/>
                          <w:rPr>
                            <w:rFonts w:ascii="Times New Roman"/>
                            <w:sz w:val="14"/>
                          </w:rPr>
                        </w:pPr>
                      </w:p>
                    </w:tc>
                    <w:tc>
                      <w:tcPr>
                        <w:tcW w:w="1270" w:type="dxa"/>
                        <w:tcBorders>
                          <w:top w:val="single" w:sz="8" w:space="0" w:color="231F20"/>
                          <w:bottom w:val="single" w:sz="8" w:space="0" w:color="231F20"/>
                        </w:tcBorders>
                      </w:tcPr>
                      <w:p>
                        <w:pPr>
                          <w:pStyle w:val="TableParagraph"/>
                          <w:rPr>
                            <w:sz w:val="17"/>
                          </w:rPr>
                        </w:pPr>
                      </w:p>
                      <w:p>
                        <w:pPr>
                          <w:pStyle w:val="TableParagraph"/>
                          <w:spacing w:line="152" w:lineRule="exact"/>
                          <w:ind w:right="73"/>
                          <w:jc w:val="right"/>
                          <w:rPr>
                            <w:sz w:val="14"/>
                          </w:rPr>
                        </w:pPr>
                        <w:r>
                          <w:rPr>
                            <w:color w:val="231F20"/>
                            <w:spacing w:val="-2"/>
                            <w:sz w:val="14"/>
                          </w:rPr>
                          <w:t>19,552,022</w:t>
                        </w:r>
                      </w:p>
                    </w:tc>
                  </w:tr>
                  <w:tr>
                    <w:trPr>
                      <w:trHeight w:val="366" w:hRule="atLeast"/>
                    </w:trPr>
                    <w:tc>
                      <w:tcPr>
                        <w:tcW w:w="3619" w:type="dxa"/>
                      </w:tcPr>
                      <w:p>
                        <w:pPr>
                          <w:pStyle w:val="TableParagraph"/>
                          <w:rPr>
                            <w:sz w:val="17"/>
                          </w:rPr>
                        </w:pPr>
                      </w:p>
                      <w:p>
                        <w:pPr>
                          <w:pStyle w:val="TableParagraph"/>
                          <w:spacing w:line="151" w:lineRule="exact"/>
                          <w:ind w:left="50"/>
                          <w:rPr>
                            <w:sz w:val="14"/>
                          </w:rPr>
                        </w:pPr>
                        <w:r>
                          <w:rPr>
                            <w:color w:val="231F20"/>
                            <w:sz w:val="14"/>
                          </w:rPr>
                          <w:t>Total</w:t>
                        </w:r>
                        <w:r>
                          <w:rPr>
                            <w:color w:val="231F20"/>
                            <w:spacing w:val="-3"/>
                            <w:sz w:val="14"/>
                          </w:rPr>
                          <w:t> </w:t>
                        </w:r>
                        <w:r>
                          <w:rPr>
                            <w:color w:val="231F20"/>
                            <w:spacing w:val="-2"/>
                            <w:sz w:val="14"/>
                          </w:rPr>
                          <w:t>investments</w:t>
                        </w:r>
                      </w:p>
                    </w:tc>
                    <w:tc>
                      <w:tcPr>
                        <w:tcW w:w="1467" w:type="dxa"/>
                      </w:tcPr>
                      <w:p>
                        <w:pPr>
                          <w:pStyle w:val="TableParagraph"/>
                          <w:rPr>
                            <w:rFonts w:ascii="Times New Roman"/>
                            <w:sz w:val="14"/>
                          </w:rPr>
                        </w:pPr>
                      </w:p>
                    </w:tc>
                    <w:tc>
                      <w:tcPr>
                        <w:tcW w:w="1322" w:type="dxa"/>
                        <w:tcBorders>
                          <w:top w:val="single" w:sz="8" w:space="0" w:color="231F20"/>
                          <w:bottom w:val="single" w:sz="8" w:space="0" w:color="231F20"/>
                        </w:tcBorders>
                      </w:tcPr>
                      <w:p>
                        <w:pPr>
                          <w:pStyle w:val="TableParagraph"/>
                          <w:rPr>
                            <w:sz w:val="17"/>
                          </w:rPr>
                        </w:pPr>
                      </w:p>
                      <w:p>
                        <w:pPr>
                          <w:pStyle w:val="TableParagraph"/>
                          <w:spacing w:line="151" w:lineRule="exact"/>
                          <w:ind w:right="74"/>
                          <w:jc w:val="right"/>
                          <w:rPr>
                            <w:sz w:val="14"/>
                          </w:rPr>
                        </w:pPr>
                        <w:r>
                          <w:rPr>
                            <w:color w:val="231F20"/>
                            <w:spacing w:val="-2"/>
                            <w:sz w:val="14"/>
                          </w:rPr>
                          <w:t>100,186,109</w:t>
                        </w:r>
                      </w:p>
                    </w:tc>
                    <w:tc>
                      <w:tcPr>
                        <w:tcW w:w="190" w:type="dxa"/>
                      </w:tcPr>
                      <w:p>
                        <w:pPr>
                          <w:pStyle w:val="TableParagraph"/>
                          <w:rPr>
                            <w:rFonts w:ascii="Times New Roman"/>
                            <w:sz w:val="14"/>
                          </w:rPr>
                        </w:pPr>
                      </w:p>
                    </w:tc>
                    <w:tc>
                      <w:tcPr>
                        <w:tcW w:w="1322" w:type="dxa"/>
                        <w:tcBorders>
                          <w:top w:val="single" w:sz="8" w:space="0" w:color="231F20"/>
                          <w:bottom w:val="single" w:sz="8" w:space="0" w:color="231F20"/>
                        </w:tcBorders>
                      </w:tcPr>
                      <w:p>
                        <w:pPr>
                          <w:pStyle w:val="TableParagraph"/>
                          <w:rPr>
                            <w:sz w:val="17"/>
                          </w:rPr>
                        </w:pPr>
                      </w:p>
                      <w:p>
                        <w:pPr>
                          <w:pStyle w:val="TableParagraph"/>
                          <w:spacing w:line="151" w:lineRule="exact"/>
                          <w:ind w:right="71"/>
                          <w:jc w:val="right"/>
                          <w:rPr>
                            <w:sz w:val="14"/>
                          </w:rPr>
                        </w:pPr>
                        <w:r>
                          <w:rPr>
                            <w:color w:val="231F20"/>
                            <w:w w:val="100"/>
                            <w:sz w:val="14"/>
                          </w:rPr>
                          <w:t>-</w:t>
                        </w:r>
                      </w:p>
                    </w:tc>
                    <w:tc>
                      <w:tcPr>
                        <w:tcW w:w="191" w:type="dxa"/>
                      </w:tcPr>
                      <w:p>
                        <w:pPr>
                          <w:pStyle w:val="TableParagraph"/>
                          <w:rPr>
                            <w:rFonts w:ascii="Times New Roman"/>
                            <w:sz w:val="14"/>
                          </w:rPr>
                        </w:pPr>
                      </w:p>
                    </w:tc>
                    <w:tc>
                      <w:tcPr>
                        <w:tcW w:w="1270" w:type="dxa"/>
                        <w:tcBorders>
                          <w:top w:val="single" w:sz="8" w:space="0" w:color="231F20"/>
                          <w:bottom w:val="single" w:sz="8" w:space="0" w:color="231F20"/>
                        </w:tcBorders>
                      </w:tcPr>
                      <w:p>
                        <w:pPr>
                          <w:pStyle w:val="TableParagraph"/>
                          <w:rPr>
                            <w:sz w:val="17"/>
                          </w:rPr>
                        </w:pPr>
                      </w:p>
                      <w:p>
                        <w:pPr>
                          <w:pStyle w:val="TableParagraph"/>
                          <w:spacing w:line="151" w:lineRule="exact"/>
                          <w:ind w:right="73"/>
                          <w:jc w:val="right"/>
                          <w:rPr>
                            <w:sz w:val="14"/>
                          </w:rPr>
                        </w:pPr>
                        <w:r>
                          <w:rPr>
                            <w:color w:val="231F20"/>
                            <w:spacing w:val="-2"/>
                            <w:sz w:val="14"/>
                          </w:rPr>
                          <w:t>100,186,109</w:t>
                        </w:r>
                      </w:p>
                    </w:tc>
                  </w:tr>
                  <w:tr>
                    <w:trPr>
                      <w:trHeight w:val="396" w:hRule="atLeast"/>
                    </w:trPr>
                    <w:tc>
                      <w:tcPr>
                        <w:tcW w:w="3619" w:type="dxa"/>
                      </w:tcPr>
                      <w:p>
                        <w:pPr>
                          <w:pStyle w:val="TableParagraph"/>
                          <w:spacing w:before="7"/>
                          <w:rPr>
                            <w:sz w:val="16"/>
                          </w:rPr>
                        </w:pPr>
                      </w:p>
                      <w:p>
                        <w:pPr>
                          <w:pStyle w:val="TableParagraph"/>
                          <w:ind w:left="50"/>
                          <w:rPr>
                            <w:sz w:val="14"/>
                          </w:rPr>
                        </w:pPr>
                        <w:r>
                          <w:rPr>
                            <w:color w:val="231F20"/>
                            <w:sz w:val="14"/>
                          </w:rPr>
                          <w:t>Total</w:t>
                        </w:r>
                        <w:r>
                          <w:rPr>
                            <w:color w:val="231F20"/>
                            <w:spacing w:val="-2"/>
                            <w:sz w:val="14"/>
                          </w:rPr>
                          <w:t> </w:t>
                        </w:r>
                        <w:r>
                          <w:rPr>
                            <w:color w:val="231F20"/>
                            <w:sz w:val="14"/>
                          </w:rPr>
                          <w:t>cash</w:t>
                        </w:r>
                        <w:r>
                          <w:rPr>
                            <w:color w:val="231F20"/>
                            <w:spacing w:val="-3"/>
                            <w:sz w:val="14"/>
                          </w:rPr>
                          <w:t> </w:t>
                        </w:r>
                        <w:r>
                          <w:rPr>
                            <w:color w:val="231F20"/>
                            <w:sz w:val="14"/>
                          </w:rPr>
                          <w:t>and</w:t>
                        </w:r>
                        <w:r>
                          <w:rPr>
                            <w:color w:val="231F20"/>
                            <w:spacing w:val="-1"/>
                            <w:sz w:val="14"/>
                          </w:rPr>
                          <w:t> </w:t>
                        </w:r>
                        <w:r>
                          <w:rPr>
                            <w:color w:val="231F20"/>
                            <w:spacing w:val="-2"/>
                            <w:sz w:val="14"/>
                          </w:rPr>
                          <w:t>investments</w:t>
                        </w:r>
                      </w:p>
                    </w:tc>
                    <w:tc>
                      <w:tcPr>
                        <w:tcW w:w="1467" w:type="dxa"/>
                      </w:tcPr>
                      <w:p>
                        <w:pPr>
                          <w:pStyle w:val="TableParagraph"/>
                          <w:rPr>
                            <w:rFonts w:ascii="Times New Roman"/>
                            <w:sz w:val="14"/>
                          </w:rPr>
                        </w:pPr>
                      </w:p>
                    </w:tc>
                    <w:tc>
                      <w:tcPr>
                        <w:tcW w:w="1322" w:type="dxa"/>
                        <w:tcBorders>
                          <w:top w:val="single" w:sz="8" w:space="0" w:color="231F20"/>
                          <w:bottom w:val="single" w:sz="8" w:space="0" w:color="231F20"/>
                        </w:tcBorders>
                      </w:tcPr>
                      <w:p>
                        <w:pPr>
                          <w:pStyle w:val="TableParagraph"/>
                          <w:spacing w:before="7"/>
                          <w:rPr>
                            <w:sz w:val="16"/>
                          </w:rPr>
                        </w:pPr>
                      </w:p>
                      <w:p>
                        <w:pPr>
                          <w:pStyle w:val="TableParagraph"/>
                          <w:tabs>
                            <w:tab w:pos="386" w:val="left" w:leader="none"/>
                          </w:tabs>
                          <w:ind w:right="74"/>
                          <w:jc w:val="right"/>
                          <w:rPr>
                            <w:sz w:val="14"/>
                          </w:rPr>
                        </w:pPr>
                        <w:r>
                          <w:rPr>
                            <w:color w:val="231F20"/>
                            <w:spacing w:val="-10"/>
                            <w:sz w:val="14"/>
                          </w:rPr>
                          <w:t>$</w:t>
                        </w:r>
                        <w:r>
                          <w:rPr>
                            <w:color w:val="231F20"/>
                            <w:sz w:val="14"/>
                          </w:rPr>
                          <w:tab/>
                        </w:r>
                        <w:r>
                          <w:rPr>
                            <w:color w:val="231F20"/>
                            <w:spacing w:val="-2"/>
                            <w:sz w:val="14"/>
                          </w:rPr>
                          <w:t>142,163,952</w:t>
                        </w:r>
                      </w:p>
                    </w:tc>
                    <w:tc>
                      <w:tcPr>
                        <w:tcW w:w="190" w:type="dxa"/>
                      </w:tcPr>
                      <w:p>
                        <w:pPr>
                          <w:pStyle w:val="TableParagraph"/>
                          <w:rPr>
                            <w:rFonts w:ascii="Times New Roman"/>
                            <w:sz w:val="14"/>
                          </w:rPr>
                        </w:pPr>
                      </w:p>
                    </w:tc>
                    <w:tc>
                      <w:tcPr>
                        <w:tcW w:w="1322" w:type="dxa"/>
                        <w:tcBorders>
                          <w:top w:val="single" w:sz="8" w:space="0" w:color="231F20"/>
                          <w:bottom w:val="single" w:sz="8" w:space="0" w:color="231F20"/>
                        </w:tcBorders>
                      </w:tcPr>
                      <w:p>
                        <w:pPr>
                          <w:pStyle w:val="TableParagraph"/>
                          <w:spacing w:before="7"/>
                          <w:rPr>
                            <w:sz w:val="16"/>
                          </w:rPr>
                        </w:pPr>
                      </w:p>
                      <w:p>
                        <w:pPr>
                          <w:pStyle w:val="TableParagraph"/>
                          <w:tabs>
                            <w:tab w:pos="498" w:val="left" w:leader="none"/>
                          </w:tabs>
                          <w:ind w:right="24"/>
                          <w:jc w:val="right"/>
                          <w:rPr>
                            <w:sz w:val="14"/>
                          </w:rPr>
                        </w:pPr>
                        <w:r>
                          <w:rPr>
                            <w:color w:val="231F20"/>
                            <w:spacing w:val="-10"/>
                            <w:sz w:val="14"/>
                          </w:rPr>
                          <w:t>$</w:t>
                        </w:r>
                        <w:r>
                          <w:rPr>
                            <w:color w:val="231F20"/>
                            <w:sz w:val="14"/>
                          </w:rPr>
                          <w:tab/>
                        </w:r>
                        <w:r>
                          <w:rPr>
                            <w:color w:val="231F20"/>
                            <w:spacing w:val="-2"/>
                            <w:sz w:val="14"/>
                          </w:rPr>
                          <w:t>(5,629,623)</w:t>
                        </w:r>
                      </w:p>
                    </w:tc>
                    <w:tc>
                      <w:tcPr>
                        <w:tcW w:w="191" w:type="dxa"/>
                      </w:tcPr>
                      <w:p>
                        <w:pPr>
                          <w:pStyle w:val="TableParagraph"/>
                          <w:rPr>
                            <w:rFonts w:ascii="Times New Roman"/>
                            <w:sz w:val="14"/>
                          </w:rPr>
                        </w:pPr>
                      </w:p>
                    </w:tc>
                    <w:tc>
                      <w:tcPr>
                        <w:tcW w:w="1270" w:type="dxa"/>
                        <w:tcBorders>
                          <w:top w:val="single" w:sz="8" w:space="0" w:color="231F20"/>
                          <w:bottom w:val="single" w:sz="8" w:space="0" w:color="231F20"/>
                        </w:tcBorders>
                      </w:tcPr>
                      <w:p>
                        <w:pPr>
                          <w:pStyle w:val="TableParagraph"/>
                          <w:spacing w:before="7"/>
                          <w:rPr>
                            <w:sz w:val="16"/>
                          </w:rPr>
                        </w:pPr>
                      </w:p>
                      <w:p>
                        <w:pPr>
                          <w:pStyle w:val="TableParagraph"/>
                          <w:tabs>
                            <w:tab w:pos="336" w:val="left" w:leader="none"/>
                          </w:tabs>
                          <w:ind w:right="73"/>
                          <w:jc w:val="right"/>
                          <w:rPr>
                            <w:sz w:val="14"/>
                          </w:rPr>
                        </w:pPr>
                        <w:r>
                          <w:rPr>
                            <w:color w:val="231F20"/>
                            <w:spacing w:val="-10"/>
                            <w:sz w:val="14"/>
                          </w:rPr>
                          <w:t>$</w:t>
                        </w:r>
                        <w:r>
                          <w:rPr>
                            <w:color w:val="231F20"/>
                            <w:sz w:val="14"/>
                          </w:rPr>
                          <w:tab/>
                        </w:r>
                        <w:r>
                          <w:rPr>
                            <w:color w:val="231F20"/>
                            <w:spacing w:val="-2"/>
                            <w:sz w:val="14"/>
                          </w:rPr>
                          <w:t>136,534,329</w:t>
                        </w:r>
                      </w:p>
                    </w:tc>
                  </w:tr>
                  <w:tr>
                    <w:trPr>
                      <w:trHeight w:val="355" w:hRule="atLeast"/>
                    </w:trPr>
                    <w:tc>
                      <w:tcPr>
                        <w:tcW w:w="3619" w:type="dxa"/>
                      </w:tcPr>
                      <w:p>
                        <w:pPr>
                          <w:pStyle w:val="TableParagraph"/>
                          <w:spacing w:before="3"/>
                          <w:rPr>
                            <w:sz w:val="16"/>
                          </w:rPr>
                        </w:pPr>
                      </w:p>
                      <w:p>
                        <w:pPr>
                          <w:pStyle w:val="TableParagraph"/>
                          <w:spacing w:line="149" w:lineRule="exact"/>
                          <w:ind w:left="50"/>
                          <w:rPr>
                            <w:sz w:val="14"/>
                          </w:rPr>
                        </w:pPr>
                        <w:r>
                          <w:rPr>
                            <w:color w:val="231F20"/>
                            <w:sz w:val="14"/>
                          </w:rPr>
                          <w:t>Cash</w:t>
                        </w:r>
                        <w:r>
                          <w:rPr>
                            <w:color w:val="231F20"/>
                            <w:spacing w:val="-4"/>
                            <w:sz w:val="14"/>
                          </w:rPr>
                          <w:t> </w:t>
                        </w:r>
                        <w:r>
                          <w:rPr>
                            <w:color w:val="231F20"/>
                            <w:sz w:val="14"/>
                          </w:rPr>
                          <w:t>and</w:t>
                        </w:r>
                        <w:r>
                          <w:rPr>
                            <w:color w:val="231F20"/>
                            <w:spacing w:val="-3"/>
                            <w:sz w:val="14"/>
                          </w:rPr>
                          <w:t> </w:t>
                        </w:r>
                        <w:r>
                          <w:rPr>
                            <w:color w:val="231F20"/>
                            <w:sz w:val="14"/>
                          </w:rPr>
                          <w:t>investments</w:t>
                        </w:r>
                        <w:r>
                          <w:rPr>
                            <w:color w:val="231F20"/>
                            <w:spacing w:val="-3"/>
                            <w:sz w:val="14"/>
                          </w:rPr>
                          <w:t> </w:t>
                        </w:r>
                        <w:r>
                          <w:rPr>
                            <w:color w:val="231F20"/>
                            <w:sz w:val="14"/>
                          </w:rPr>
                          <w:t>on</w:t>
                        </w:r>
                        <w:r>
                          <w:rPr>
                            <w:color w:val="231F20"/>
                            <w:spacing w:val="-3"/>
                            <w:sz w:val="14"/>
                          </w:rPr>
                          <w:t> </w:t>
                        </w:r>
                        <w:r>
                          <w:rPr>
                            <w:color w:val="231F20"/>
                            <w:sz w:val="14"/>
                          </w:rPr>
                          <w:t>statement</w:t>
                        </w:r>
                        <w:r>
                          <w:rPr>
                            <w:color w:val="231F20"/>
                            <w:spacing w:val="-3"/>
                            <w:sz w:val="14"/>
                          </w:rPr>
                          <w:t> </w:t>
                        </w:r>
                        <w:r>
                          <w:rPr>
                            <w:color w:val="231F20"/>
                            <w:sz w:val="14"/>
                          </w:rPr>
                          <w:t>of</w:t>
                        </w:r>
                        <w:r>
                          <w:rPr>
                            <w:color w:val="231F20"/>
                            <w:spacing w:val="-3"/>
                            <w:sz w:val="14"/>
                          </w:rPr>
                          <w:t> </w:t>
                        </w:r>
                        <w:r>
                          <w:rPr>
                            <w:color w:val="231F20"/>
                            <w:sz w:val="14"/>
                          </w:rPr>
                          <w:t>net</w:t>
                        </w:r>
                        <w:r>
                          <w:rPr>
                            <w:color w:val="231F20"/>
                            <w:spacing w:val="-3"/>
                            <w:sz w:val="14"/>
                          </w:rPr>
                          <w:t> </w:t>
                        </w:r>
                        <w:r>
                          <w:rPr>
                            <w:color w:val="231F20"/>
                            <w:spacing w:val="-2"/>
                            <w:sz w:val="14"/>
                          </w:rPr>
                          <w:t>position</w:t>
                        </w:r>
                      </w:p>
                    </w:tc>
                    <w:tc>
                      <w:tcPr>
                        <w:tcW w:w="1467" w:type="dxa"/>
                      </w:tcPr>
                      <w:p>
                        <w:pPr>
                          <w:pStyle w:val="TableParagraph"/>
                          <w:rPr>
                            <w:rFonts w:ascii="Times New Roman"/>
                            <w:sz w:val="14"/>
                          </w:rPr>
                        </w:pPr>
                      </w:p>
                    </w:tc>
                    <w:tc>
                      <w:tcPr>
                        <w:tcW w:w="1322" w:type="dxa"/>
                        <w:tcBorders>
                          <w:top w:val="single" w:sz="8" w:space="0" w:color="231F20"/>
                        </w:tcBorders>
                      </w:tcPr>
                      <w:p>
                        <w:pPr>
                          <w:pStyle w:val="TableParagraph"/>
                          <w:rPr>
                            <w:rFonts w:ascii="Times New Roman"/>
                            <w:sz w:val="14"/>
                          </w:rPr>
                        </w:pPr>
                      </w:p>
                    </w:tc>
                    <w:tc>
                      <w:tcPr>
                        <w:tcW w:w="190" w:type="dxa"/>
                      </w:tcPr>
                      <w:p>
                        <w:pPr>
                          <w:pStyle w:val="TableParagraph"/>
                          <w:rPr>
                            <w:rFonts w:ascii="Times New Roman"/>
                            <w:sz w:val="14"/>
                          </w:rPr>
                        </w:pPr>
                      </w:p>
                    </w:tc>
                    <w:tc>
                      <w:tcPr>
                        <w:tcW w:w="1322" w:type="dxa"/>
                        <w:tcBorders>
                          <w:top w:val="single" w:sz="8" w:space="0" w:color="231F20"/>
                        </w:tcBorders>
                      </w:tcPr>
                      <w:p>
                        <w:pPr>
                          <w:pStyle w:val="TableParagraph"/>
                          <w:rPr>
                            <w:rFonts w:ascii="Times New Roman"/>
                            <w:sz w:val="14"/>
                          </w:rPr>
                        </w:pPr>
                      </w:p>
                    </w:tc>
                    <w:tc>
                      <w:tcPr>
                        <w:tcW w:w="191" w:type="dxa"/>
                      </w:tcPr>
                      <w:p>
                        <w:pPr>
                          <w:pStyle w:val="TableParagraph"/>
                          <w:rPr>
                            <w:rFonts w:ascii="Times New Roman"/>
                            <w:sz w:val="14"/>
                          </w:rPr>
                        </w:pPr>
                      </w:p>
                    </w:tc>
                    <w:tc>
                      <w:tcPr>
                        <w:tcW w:w="1270" w:type="dxa"/>
                        <w:tcBorders>
                          <w:top w:val="single" w:sz="8" w:space="0" w:color="231F20"/>
                          <w:bottom w:val="double" w:sz="8" w:space="0" w:color="231F20"/>
                        </w:tcBorders>
                      </w:tcPr>
                      <w:p>
                        <w:pPr>
                          <w:pStyle w:val="TableParagraph"/>
                          <w:spacing w:before="3"/>
                          <w:rPr>
                            <w:sz w:val="16"/>
                          </w:rPr>
                        </w:pPr>
                      </w:p>
                      <w:p>
                        <w:pPr>
                          <w:pStyle w:val="TableParagraph"/>
                          <w:tabs>
                            <w:tab w:pos="335" w:val="left" w:leader="none"/>
                          </w:tabs>
                          <w:spacing w:line="149" w:lineRule="exact"/>
                          <w:ind w:right="72"/>
                          <w:jc w:val="right"/>
                          <w:rPr>
                            <w:sz w:val="14"/>
                          </w:rPr>
                        </w:pPr>
                        <w:r>
                          <w:rPr>
                            <w:color w:val="231F20"/>
                            <w:spacing w:val="-10"/>
                            <w:sz w:val="14"/>
                          </w:rPr>
                          <w:t>$</w:t>
                        </w:r>
                        <w:r>
                          <w:rPr>
                            <w:color w:val="231F20"/>
                            <w:sz w:val="14"/>
                          </w:rPr>
                          <w:tab/>
                        </w:r>
                        <w:r>
                          <w:rPr>
                            <w:color w:val="231F20"/>
                            <w:spacing w:val="-2"/>
                            <w:sz w:val="14"/>
                          </w:rPr>
                          <w:t>136,534,329</w:t>
                        </w:r>
                      </w:p>
                    </w:tc>
                  </w:tr>
                </w:tbl>
                <w:p>
                  <w:pPr>
                    <w:pStyle w:val="BodyText"/>
                  </w:pPr>
                </w:p>
              </w:txbxContent>
            </v:textbox>
            <w10:wrap type="none"/>
          </v:shape>
        </w:pict>
      </w:r>
      <w:r>
        <w:rPr>
          <w:color w:val="231F20"/>
          <w:sz w:val="14"/>
        </w:rPr>
        <w:t>New Mexico Institute of Mining and Technology</w:t>
        <w:tab/>
      </w:r>
      <w:r>
        <w:rPr>
          <w:color w:val="231F20"/>
          <w:spacing w:val="-2"/>
          <w:sz w:val="14"/>
        </w:rPr>
        <w:t>Investment</w:t>
      </w:r>
      <w:r>
        <w:rPr>
          <w:color w:val="231F20"/>
          <w:sz w:val="14"/>
        </w:rPr>
        <w:tab/>
      </w:r>
      <w:r>
        <w:rPr>
          <w:color w:val="231F20"/>
          <w:spacing w:val="-2"/>
          <w:sz w:val="14"/>
        </w:rPr>
        <w:t>76,463,092</w:t>
      </w:r>
      <w:r>
        <w:rPr>
          <w:color w:val="231F20"/>
          <w:sz w:val="14"/>
        </w:rPr>
        <w:tab/>
      </w:r>
      <w:r>
        <w:rPr>
          <w:color w:val="231F20"/>
          <w:spacing w:val="-2"/>
          <w:sz w:val="14"/>
        </w:rPr>
        <w:t>31,479</w:t>
      </w:r>
      <w:r>
        <w:rPr>
          <w:color w:val="231F20"/>
          <w:sz w:val="14"/>
        </w:rPr>
        <w:tab/>
      </w:r>
      <w:r>
        <w:rPr>
          <w:color w:val="231F20"/>
          <w:spacing w:val="-2"/>
          <w:sz w:val="14"/>
        </w:rPr>
        <w:t>76,494,571</w:t>
      </w:r>
      <w:r>
        <w:rPr>
          <w:color w:val="231F20"/>
          <w:spacing w:val="40"/>
          <w:sz w:val="14"/>
        </w:rPr>
        <w:t> </w:t>
      </w:r>
      <w:r>
        <w:rPr>
          <w:color w:val="231F20"/>
          <w:sz w:val="14"/>
        </w:rPr>
        <w:t>New Mexico State Treasurer - LGIP</w:t>
      </w:r>
    </w:p>
    <w:p>
      <w:pPr>
        <w:pStyle w:val="BodyText"/>
      </w:pPr>
    </w:p>
    <w:p>
      <w:pPr>
        <w:pStyle w:val="BodyText"/>
      </w:pPr>
    </w:p>
    <w:p>
      <w:pPr>
        <w:pStyle w:val="BodyText"/>
      </w:pPr>
    </w:p>
    <w:p>
      <w:pPr>
        <w:pStyle w:val="BodyText"/>
      </w:pPr>
    </w:p>
    <w:p>
      <w:pPr>
        <w:pStyle w:val="BodyText"/>
      </w:pPr>
    </w:p>
    <w:p>
      <w:pPr>
        <w:pStyle w:val="BodyText"/>
        <w:spacing w:before="6"/>
        <w:rPr>
          <w:sz w:val="13"/>
        </w:rPr>
      </w:pPr>
      <w:r>
        <w:rPr/>
        <w:pict>
          <v:rect style="position:absolute;margin-left:325.681pt;margin-top:8.974365pt;width:66.12pt;height:.83995pt;mso-position-horizontal-relative:page;mso-position-vertical-relative:paragraph;z-index:-15622656;mso-wrap-distance-left:0;mso-wrap-distance-right:0" id="docshape489" filled="true" fillcolor="#231f20" stroked="false">
            <v:fill type="solid"/>
            <w10:wrap type="topAndBottom"/>
          </v:rect>
        </w:pict>
      </w:r>
      <w:r>
        <w:rPr/>
        <w:pict>
          <v:rect style="position:absolute;margin-left:401.341003pt;margin-top:8.974365pt;width:66.12pt;height:.83995pt;mso-position-horizontal-relative:page;mso-position-vertical-relative:paragraph;z-index:-15622144;mso-wrap-distance-left:0;mso-wrap-distance-right:0" id="docshape490" filled="true" fillcolor="#231f20" stroked="false">
            <v:fill type="solid"/>
            <w10:wrap type="topAndBottom"/>
          </v:rect>
        </w:pict>
      </w:r>
      <w:r>
        <w:rPr/>
        <w:pict>
          <v:rect style="position:absolute;margin-left:477.061005pt;margin-top:8.974365pt;width:63.48pt;height:.83995pt;mso-position-horizontal-relative:page;mso-position-vertical-relative:paragraph;z-index:-15621632;mso-wrap-distance-left:0;mso-wrap-distance-right:0" id="docshape491" filled="true" fillcolor="#231f20" stroked="false">
            <v:fill type="solid"/>
            <w10:wrap type="topAndBottom"/>
          </v:rect>
        </w:pict>
      </w:r>
    </w:p>
    <w:p>
      <w:pPr>
        <w:spacing w:after="0"/>
        <w:rPr>
          <w:sz w:val="13"/>
        </w:rPr>
        <w:sectPr>
          <w:pgSz w:w="12240" w:h="15840"/>
          <w:pgMar w:header="1270" w:footer="1097" w:top="1580" w:bottom="1280" w:left="1280" w:right="1280"/>
        </w:sectPr>
      </w:pPr>
    </w:p>
    <w:p>
      <w:pPr>
        <w:pStyle w:val="Heading3"/>
        <w:spacing w:before="0"/>
        <w:ind w:left="4058" w:right="1441" w:hanging="2121"/>
        <w:jc w:val="left"/>
      </w:pPr>
      <w:r>
        <w:rPr/>
        <w:pict>
          <v:rect style="position:absolute;margin-left:70.5pt;margin-top:28.475632pt;width:471.001pt;height:1.5pt;mso-position-horizontal-relative:page;mso-position-vertical-relative:paragraph;z-index:-15620608;mso-wrap-distance-left:0;mso-wrap-distance-right:0" id="docshape495" filled="true" fillcolor="#231f20" stroked="false">
            <v:fill type="solid"/>
            <w10:wrap type="topAndBottom"/>
          </v:rect>
        </w:pict>
      </w:r>
      <w:r>
        <w:rPr>
          <w:color w:val="231F20"/>
        </w:rPr>
        <w:t>Discretely</w:t>
      </w:r>
      <w:r>
        <w:rPr>
          <w:color w:val="231F20"/>
          <w:spacing w:val="-8"/>
        </w:rPr>
        <w:t> </w:t>
      </w:r>
      <w:r>
        <w:rPr>
          <w:color w:val="231F20"/>
        </w:rPr>
        <w:t>Presented</w:t>
      </w:r>
      <w:r>
        <w:rPr>
          <w:color w:val="231F20"/>
          <w:spacing w:val="-8"/>
        </w:rPr>
        <w:t> </w:t>
      </w:r>
      <w:r>
        <w:rPr>
          <w:color w:val="231F20"/>
        </w:rPr>
        <w:t>Component</w:t>
      </w:r>
      <w:r>
        <w:rPr>
          <w:color w:val="231F20"/>
          <w:spacing w:val="-8"/>
        </w:rPr>
        <w:t> </w:t>
      </w:r>
      <w:r>
        <w:rPr>
          <w:color w:val="231F20"/>
        </w:rPr>
        <w:t>Unit</w:t>
      </w:r>
      <w:r>
        <w:rPr>
          <w:color w:val="231F20"/>
          <w:spacing w:val="-8"/>
        </w:rPr>
        <w:t> </w:t>
      </w:r>
      <w:r>
        <w:rPr>
          <w:color w:val="231F20"/>
        </w:rPr>
        <w:t>(Schedule</w:t>
      </w:r>
      <w:r>
        <w:rPr>
          <w:color w:val="231F20"/>
          <w:spacing w:val="-8"/>
        </w:rPr>
        <w:t> </w:t>
      </w:r>
      <w:r>
        <w:rPr>
          <w:color w:val="231F20"/>
        </w:rPr>
        <w:t>7) June 30, 2022</w:t>
      </w:r>
    </w:p>
    <w:p>
      <w:pPr>
        <w:pStyle w:val="BodyText"/>
        <w:rPr>
          <w:b/>
        </w:rPr>
      </w:pPr>
    </w:p>
    <w:p>
      <w:pPr>
        <w:pStyle w:val="BodyText"/>
        <w:spacing w:before="1"/>
        <w:rPr>
          <w:b/>
          <w:sz w:val="27"/>
        </w:rPr>
      </w:pPr>
    </w:p>
    <w:p>
      <w:pPr>
        <w:spacing w:after="0"/>
        <w:rPr>
          <w:sz w:val="27"/>
        </w:rPr>
        <w:sectPr>
          <w:headerReference w:type="default" r:id="rId66"/>
          <w:footerReference w:type="default" r:id="rId67"/>
          <w:pgSz w:w="12240" w:h="15840"/>
          <w:pgMar w:header="994" w:footer="1097" w:top="1580" w:bottom="1280" w:left="1280" w:right="1280"/>
        </w:sectPr>
      </w:pPr>
    </w:p>
    <w:p>
      <w:pPr>
        <w:pStyle w:val="BodyText"/>
        <w:rPr>
          <w:b/>
          <w:sz w:val="18"/>
        </w:rPr>
      </w:pPr>
    </w:p>
    <w:p>
      <w:pPr>
        <w:spacing w:line="266" w:lineRule="auto" w:before="107"/>
        <w:ind w:left="298" w:right="0" w:hanging="97"/>
        <w:jc w:val="left"/>
        <w:rPr>
          <w:sz w:val="17"/>
        </w:rPr>
      </w:pPr>
      <w:r>
        <w:rPr>
          <w:color w:val="231F20"/>
          <w:sz w:val="17"/>
        </w:rPr>
        <w:t>Financial</w:t>
      </w:r>
      <w:r>
        <w:rPr>
          <w:color w:val="231F20"/>
          <w:spacing w:val="-4"/>
          <w:sz w:val="17"/>
        </w:rPr>
        <w:t> </w:t>
      </w:r>
      <w:r>
        <w:rPr>
          <w:color w:val="231F20"/>
          <w:sz w:val="17"/>
        </w:rPr>
        <w:t>Institution: Account name</w:t>
      </w:r>
    </w:p>
    <w:p>
      <w:pPr>
        <w:spacing w:line="240" w:lineRule="auto" w:before="0"/>
        <w:rPr>
          <w:sz w:val="18"/>
        </w:rPr>
      </w:pPr>
      <w:r>
        <w:rPr/>
        <w:br w:type="column"/>
      </w:r>
      <w:r>
        <w:rPr>
          <w:sz w:val="18"/>
        </w:rPr>
      </w:r>
    </w:p>
    <w:p>
      <w:pPr>
        <w:spacing w:before="107"/>
        <w:ind w:left="202" w:right="0" w:firstLine="0"/>
        <w:jc w:val="left"/>
        <w:rPr>
          <w:sz w:val="17"/>
        </w:rPr>
      </w:pPr>
      <w:r>
        <w:rPr>
          <w:color w:val="231F20"/>
          <w:spacing w:val="-2"/>
          <w:sz w:val="17"/>
        </w:rPr>
        <w:t>Account</w:t>
      </w:r>
    </w:p>
    <w:p>
      <w:pPr>
        <w:tabs>
          <w:tab w:pos="1280" w:val="left" w:leader="none"/>
        </w:tabs>
        <w:spacing w:before="25"/>
        <w:ind w:left="324" w:right="0" w:firstLine="0"/>
        <w:jc w:val="left"/>
        <w:rPr>
          <w:sz w:val="17"/>
        </w:rPr>
      </w:pPr>
      <w:r>
        <w:rPr>
          <w:color w:val="231F20"/>
          <w:spacing w:val="-4"/>
          <w:sz w:val="17"/>
        </w:rPr>
        <w:t>Type</w:t>
      </w:r>
      <w:r>
        <w:rPr>
          <w:color w:val="231F20"/>
          <w:sz w:val="17"/>
        </w:rPr>
        <w:tab/>
        <w:t>Bank</w:t>
      </w:r>
      <w:r>
        <w:rPr>
          <w:color w:val="231F20"/>
          <w:spacing w:val="6"/>
          <w:sz w:val="17"/>
        </w:rPr>
        <w:t> </w:t>
      </w:r>
      <w:r>
        <w:rPr>
          <w:color w:val="231F20"/>
          <w:spacing w:val="-2"/>
          <w:sz w:val="17"/>
        </w:rPr>
        <w:t>Balance</w:t>
      </w:r>
    </w:p>
    <w:p>
      <w:pPr>
        <w:spacing w:line="264" w:lineRule="auto" w:before="98"/>
        <w:ind w:left="320" w:right="1278" w:hanging="119"/>
        <w:jc w:val="left"/>
        <w:rPr>
          <w:sz w:val="17"/>
        </w:rPr>
      </w:pPr>
      <w:r>
        <w:rPr/>
        <w:br w:type="column"/>
      </w:r>
      <w:r>
        <w:rPr>
          <w:color w:val="231F20"/>
          <w:spacing w:val="-2"/>
          <w:sz w:val="17"/>
        </w:rPr>
        <w:t>Outstanding (Checks)</w:t>
      </w:r>
    </w:p>
    <w:p>
      <w:pPr>
        <w:tabs>
          <w:tab w:pos="1610" w:val="left" w:leader="none"/>
        </w:tabs>
        <w:spacing w:before="3"/>
        <w:ind w:left="331" w:right="0" w:firstLine="0"/>
        <w:jc w:val="left"/>
        <w:rPr>
          <w:sz w:val="17"/>
        </w:rPr>
      </w:pPr>
      <w:r>
        <w:rPr>
          <w:color w:val="231F20"/>
          <w:spacing w:val="-2"/>
          <w:sz w:val="17"/>
        </w:rPr>
        <w:t>Deposits</w:t>
      </w:r>
      <w:r>
        <w:rPr>
          <w:color w:val="231F20"/>
          <w:sz w:val="17"/>
        </w:rPr>
        <w:tab/>
        <w:t>Book</w:t>
      </w:r>
      <w:r>
        <w:rPr>
          <w:color w:val="231F20"/>
          <w:spacing w:val="6"/>
          <w:sz w:val="17"/>
        </w:rPr>
        <w:t> </w:t>
      </w:r>
      <w:r>
        <w:rPr>
          <w:color w:val="231F20"/>
          <w:spacing w:val="-2"/>
          <w:sz w:val="17"/>
        </w:rPr>
        <w:t>Balance</w:t>
      </w:r>
    </w:p>
    <w:p>
      <w:pPr>
        <w:spacing w:after="0"/>
        <w:jc w:val="left"/>
        <w:rPr>
          <w:sz w:val="17"/>
        </w:rPr>
        <w:sectPr>
          <w:type w:val="continuous"/>
          <w:pgSz w:w="12240" w:h="15840"/>
          <w:pgMar w:header="994" w:footer="1097" w:top="1460" w:bottom="280" w:left="1280" w:right="1280"/>
          <w:cols w:num="3" w:equalWidth="0">
            <w:col w:w="1778" w:space="2242"/>
            <w:col w:w="2394" w:space="248"/>
            <w:col w:w="3018"/>
          </w:cols>
        </w:sectPr>
      </w:pPr>
    </w:p>
    <w:p>
      <w:pPr>
        <w:spacing w:line="20" w:lineRule="exact"/>
        <w:ind w:left="166" w:right="0" w:firstLine="0"/>
        <w:jc w:val="left"/>
        <w:rPr>
          <w:sz w:val="2"/>
        </w:rPr>
      </w:pPr>
      <w:r>
        <w:rPr>
          <w:sz w:val="2"/>
        </w:rPr>
        <w:pict>
          <v:group style="width:186.25pt;height:.9pt;mso-position-horizontal-relative:char;mso-position-vertical-relative:line" id="docshapegroup496" coordorigin="0,0" coordsize="3725,18">
            <v:line style="position:absolute" from="0,1" to="3725,1" stroked="true" strokeweight=".06pt" strokecolor="#231f20">
              <v:stroke dashstyle="solid"/>
            </v:line>
            <v:rect style="position:absolute;left:1;top:0;width:3724;height:17" id="docshape497" filled="true" fillcolor="#231f20" stroked="false">
              <v:fill type="solid"/>
            </v:rect>
          </v:group>
        </w:pict>
      </w:r>
      <w:r>
        <w:rPr>
          <w:sz w:val="2"/>
        </w:rPr>
      </w:r>
      <w:r>
        <w:rPr>
          <w:rFonts w:ascii="Times New Roman"/>
          <w:spacing w:val="168"/>
          <w:sz w:val="2"/>
        </w:rPr>
        <w:t> </w:t>
      </w:r>
      <w:r>
        <w:rPr>
          <w:spacing w:val="168"/>
          <w:sz w:val="2"/>
        </w:rPr>
        <w:pict>
          <v:group style="width:44.3pt;height:.9pt;mso-position-horizontal-relative:char;mso-position-vertical-relative:line" id="docshapegroup498" coordorigin="0,0" coordsize="886,18">
            <v:line style="position:absolute" from="0,1" to="884,1" stroked="true" strokeweight=".06pt" strokecolor="#231f20">
              <v:stroke dashstyle="solid"/>
            </v:line>
            <v:rect style="position:absolute;left:1;top:0;width:885;height:17" id="docshape499" filled="true" fillcolor="#231f20" stroked="false">
              <v:fill type="solid"/>
            </v:rect>
          </v:group>
        </w:pict>
      </w:r>
      <w:r>
        <w:rPr>
          <w:spacing w:val="168"/>
          <w:sz w:val="2"/>
        </w:rPr>
      </w:r>
      <w:r>
        <w:rPr>
          <w:rFonts w:ascii="Times New Roman"/>
          <w:spacing w:val="164"/>
          <w:sz w:val="2"/>
        </w:rPr>
        <w:t> </w:t>
      </w:r>
      <w:r>
        <w:rPr>
          <w:spacing w:val="164"/>
          <w:sz w:val="2"/>
        </w:rPr>
        <w:pict>
          <v:group style="width:65.05pt;height:.9pt;mso-position-horizontal-relative:char;mso-position-vertical-relative:line" id="docshapegroup500" coordorigin="0,0" coordsize="1301,18">
            <v:line style="position:absolute" from="0,1" to="1301,1" stroked="true" strokeweight=".06pt" strokecolor="#231f20">
              <v:stroke dashstyle="solid"/>
            </v:line>
            <v:rect style="position:absolute;left:0;top:0;width:1301;height:17" id="docshape501" filled="true" fillcolor="#231f20" stroked="false">
              <v:fill type="solid"/>
            </v:rect>
          </v:group>
        </w:pict>
      </w:r>
      <w:r>
        <w:rPr>
          <w:spacing w:val="164"/>
          <w:sz w:val="2"/>
        </w:rPr>
      </w:r>
      <w:r>
        <w:rPr>
          <w:rFonts w:ascii="Times New Roman"/>
          <w:spacing w:val="174"/>
          <w:sz w:val="2"/>
        </w:rPr>
        <w:t> </w:t>
      </w:r>
      <w:r>
        <w:rPr>
          <w:spacing w:val="174"/>
          <w:sz w:val="2"/>
        </w:rPr>
        <w:pict>
          <v:group style="width:65.1pt;height:.9pt;mso-position-horizontal-relative:char;mso-position-vertical-relative:line" id="docshapegroup502" coordorigin="0,0" coordsize="1302,18">
            <v:line style="position:absolute" from="0,1" to="1301,1" stroked="true" strokeweight=".06pt" strokecolor="#231f20">
              <v:stroke dashstyle="solid"/>
            </v:line>
            <v:rect style="position:absolute;left:1;top:0;width:1301;height:17" id="docshape503" filled="true" fillcolor="#231f20" stroked="false">
              <v:fill type="solid"/>
            </v:rect>
          </v:group>
        </w:pict>
      </w:r>
      <w:r>
        <w:rPr>
          <w:spacing w:val="174"/>
          <w:sz w:val="2"/>
        </w:rPr>
      </w:r>
      <w:r>
        <w:rPr>
          <w:rFonts w:ascii="Times New Roman"/>
          <w:spacing w:val="176"/>
          <w:sz w:val="2"/>
        </w:rPr>
        <w:t> </w:t>
      </w:r>
      <w:r>
        <w:rPr>
          <w:spacing w:val="176"/>
          <w:sz w:val="2"/>
        </w:rPr>
        <w:pict>
          <v:group style="width:62.55pt;height:.9pt;mso-position-horizontal-relative:char;mso-position-vertical-relative:line" id="docshapegroup504" coordorigin="0,0" coordsize="1251,18">
            <v:line style="position:absolute" from="0,1" to="1249,1" stroked="true" strokeweight=".06pt" strokecolor="#231f20">
              <v:stroke dashstyle="solid"/>
            </v:line>
            <v:rect style="position:absolute;left:0;top:0;width:1251;height:17" id="docshape505" filled="true" fillcolor="#231f20" stroked="false">
              <v:fill type="solid"/>
            </v:rect>
          </v:group>
        </w:pict>
      </w:r>
      <w:r>
        <w:rPr>
          <w:spacing w:val="176"/>
          <w:sz w:val="2"/>
        </w:rPr>
      </w:r>
    </w:p>
    <w:p>
      <w:pPr>
        <w:pStyle w:val="BodyText"/>
        <w:spacing w:before="11"/>
        <w:rPr>
          <w:sz w:val="8"/>
        </w:rPr>
      </w:pPr>
    </w:p>
    <w:p>
      <w:pPr>
        <w:spacing w:before="98"/>
        <w:ind w:left="201" w:right="0" w:firstLine="0"/>
        <w:jc w:val="left"/>
        <w:rPr>
          <w:b/>
          <w:sz w:val="17"/>
        </w:rPr>
      </w:pPr>
      <w:r>
        <w:rPr>
          <w:b/>
          <w:color w:val="231F20"/>
          <w:spacing w:val="-2"/>
          <w:sz w:val="17"/>
        </w:rPr>
        <w:t>Deposits:</w:t>
      </w:r>
    </w:p>
    <w:p>
      <w:pPr>
        <w:spacing w:before="21" w:after="22"/>
        <w:ind w:left="201" w:right="0" w:firstLine="0"/>
        <w:jc w:val="left"/>
        <w:rPr>
          <w:sz w:val="17"/>
        </w:rPr>
      </w:pPr>
      <w:r>
        <w:rPr>
          <w:color w:val="231F20"/>
          <w:sz w:val="17"/>
        </w:rPr>
        <w:t>First</w:t>
      </w:r>
      <w:r>
        <w:rPr>
          <w:color w:val="231F20"/>
          <w:spacing w:val="3"/>
          <w:sz w:val="17"/>
        </w:rPr>
        <w:t> </w:t>
      </w:r>
      <w:r>
        <w:rPr>
          <w:color w:val="231F20"/>
          <w:sz w:val="17"/>
        </w:rPr>
        <w:t>State</w:t>
      </w:r>
      <w:r>
        <w:rPr>
          <w:color w:val="231F20"/>
          <w:spacing w:val="6"/>
          <w:sz w:val="17"/>
        </w:rPr>
        <w:t> </w:t>
      </w:r>
      <w:r>
        <w:rPr>
          <w:color w:val="231F20"/>
          <w:spacing w:val="-4"/>
          <w:sz w:val="17"/>
        </w:rPr>
        <w:t>Bank</w:t>
      </w: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1"/>
        <w:gridCol w:w="1066"/>
        <w:gridCol w:w="1301"/>
        <w:gridCol w:w="201"/>
        <w:gridCol w:w="1303"/>
        <w:gridCol w:w="201"/>
        <w:gridCol w:w="1301"/>
      </w:tblGrid>
      <w:tr>
        <w:trPr>
          <w:trHeight w:val="206" w:hRule="atLeast"/>
        </w:trPr>
        <w:tc>
          <w:tcPr>
            <w:tcW w:w="3961" w:type="dxa"/>
          </w:tcPr>
          <w:p>
            <w:pPr>
              <w:pStyle w:val="TableParagraph"/>
              <w:spacing w:line="186" w:lineRule="exact"/>
              <w:ind w:left="171"/>
              <w:rPr>
                <w:sz w:val="17"/>
              </w:rPr>
            </w:pPr>
            <w:r>
              <w:rPr>
                <w:color w:val="231F20"/>
                <w:spacing w:val="-2"/>
                <w:sz w:val="17"/>
              </w:rPr>
              <w:t>Checking</w:t>
            </w:r>
          </w:p>
        </w:tc>
        <w:tc>
          <w:tcPr>
            <w:tcW w:w="1066" w:type="dxa"/>
          </w:tcPr>
          <w:p>
            <w:pPr>
              <w:pStyle w:val="TableParagraph"/>
              <w:spacing w:line="186" w:lineRule="exact"/>
              <w:ind w:left="12"/>
              <w:rPr>
                <w:sz w:val="17"/>
              </w:rPr>
            </w:pPr>
            <w:r>
              <w:rPr>
                <w:color w:val="231F20"/>
                <w:spacing w:val="-2"/>
                <w:sz w:val="17"/>
              </w:rPr>
              <w:t>Checking</w:t>
            </w:r>
          </w:p>
        </w:tc>
        <w:tc>
          <w:tcPr>
            <w:tcW w:w="1301" w:type="dxa"/>
          </w:tcPr>
          <w:p>
            <w:pPr>
              <w:pStyle w:val="TableParagraph"/>
              <w:tabs>
                <w:tab w:pos="434" w:val="left" w:leader="none"/>
              </w:tabs>
              <w:spacing w:line="186" w:lineRule="exact"/>
              <w:ind w:left="91"/>
              <w:rPr>
                <w:sz w:val="17"/>
              </w:rPr>
            </w:pPr>
            <w:r>
              <w:rPr>
                <w:color w:val="231F20"/>
                <w:spacing w:val="-10"/>
                <w:sz w:val="17"/>
              </w:rPr>
              <w:t>$</w:t>
            </w:r>
            <w:r>
              <w:rPr>
                <w:color w:val="231F20"/>
                <w:sz w:val="17"/>
              </w:rPr>
              <w:tab/>
            </w:r>
            <w:r>
              <w:rPr>
                <w:color w:val="231F20"/>
                <w:spacing w:val="-2"/>
                <w:sz w:val="17"/>
              </w:rPr>
              <w:t>1,643,985</w:t>
            </w:r>
          </w:p>
        </w:tc>
        <w:tc>
          <w:tcPr>
            <w:tcW w:w="1504" w:type="dxa"/>
            <w:gridSpan w:val="2"/>
          </w:tcPr>
          <w:p>
            <w:pPr>
              <w:pStyle w:val="TableParagraph"/>
              <w:tabs>
                <w:tab w:pos="1060" w:val="left" w:leader="none"/>
              </w:tabs>
              <w:spacing w:line="186" w:lineRule="exact"/>
              <w:ind w:left="291"/>
              <w:rPr>
                <w:sz w:val="17"/>
              </w:rPr>
            </w:pPr>
            <w:r>
              <w:rPr>
                <w:color w:val="231F20"/>
                <w:spacing w:val="-10"/>
                <w:sz w:val="17"/>
              </w:rPr>
              <w:t>$</w:t>
            </w:r>
            <w:r>
              <w:rPr>
                <w:color w:val="231F20"/>
                <w:sz w:val="17"/>
              </w:rPr>
              <w:tab/>
            </w:r>
            <w:r>
              <w:rPr>
                <w:color w:val="231F20"/>
                <w:spacing w:val="-2"/>
                <w:sz w:val="17"/>
              </w:rPr>
              <w:t>(566)</w:t>
            </w:r>
          </w:p>
        </w:tc>
        <w:tc>
          <w:tcPr>
            <w:tcW w:w="1502" w:type="dxa"/>
            <w:gridSpan w:val="2"/>
          </w:tcPr>
          <w:p>
            <w:pPr>
              <w:pStyle w:val="TableParagraph"/>
              <w:spacing w:line="186" w:lineRule="exact"/>
              <w:ind w:left="290"/>
              <w:rPr>
                <w:sz w:val="17"/>
              </w:rPr>
            </w:pPr>
            <w:r>
              <w:rPr>
                <w:color w:val="231F20"/>
                <w:sz w:val="17"/>
              </w:rPr>
              <w:t>$</w:t>
            </w:r>
            <w:r>
              <w:rPr>
                <w:color w:val="231F20"/>
                <w:spacing w:val="50"/>
                <w:sz w:val="17"/>
              </w:rPr>
              <w:t>  </w:t>
            </w:r>
            <w:r>
              <w:rPr>
                <w:color w:val="231F20"/>
                <w:spacing w:val="-2"/>
                <w:sz w:val="17"/>
              </w:rPr>
              <w:t>1,643,419</w:t>
            </w:r>
          </w:p>
        </w:tc>
      </w:tr>
      <w:tr>
        <w:trPr>
          <w:trHeight w:val="324" w:hRule="atLeast"/>
        </w:trPr>
        <w:tc>
          <w:tcPr>
            <w:tcW w:w="3961" w:type="dxa"/>
          </w:tcPr>
          <w:p>
            <w:pPr>
              <w:pStyle w:val="TableParagraph"/>
              <w:spacing w:before="9"/>
              <w:ind w:left="171"/>
              <w:rPr>
                <w:sz w:val="17"/>
              </w:rPr>
            </w:pPr>
            <w:r>
              <w:rPr>
                <w:color w:val="231F20"/>
                <w:spacing w:val="-2"/>
                <w:sz w:val="17"/>
              </w:rPr>
              <w:t>Saving</w:t>
            </w:r>
          </w:p>
        </w:tc>
        <w:tc>
          <w:tcPr>
            <w:tcW w:w="1066" w:type="dxa"/>
          </w:tcPr>
          <w:p>
            <w:pPr>
              <w:pStyle w:val="TableParagraph"/>
              <w:spacing w:before="9"/>
              <w:ind w:left="12"/>
              <w:rPr>
                <w:sz w:val="17"/>
              </w:rPr>
            </w:pPr>
            <w:r>
              <w:rPr>
                <w:color w:val="231F20"/>
                <w:spacing w:val="-2"/>
                <w:sz w:val="17"/>
              </w:rPr>
              <w:t>Saving</w:t>
            </w:r>
          </w:p>
        </w:tc>
        <w:tc>
          <w:tcPr>
            <w:tcW w:w="1301" w:type="dxa"/>
          </w:tcPr>
          <w:p>
            <w:pPr>
              <w:pStyle w:val="TableParagraph"/>
              <w:tabs>
                <w:tab w:pos="675" w:val="left" w:leader="none"/>
              </w:tabs>
              <w:spacing w:before="9"/>
              <w:ind w:left="-1"/>
              <w:jc w:val="right"/>
              <w:rPr>
                <w:sz w:val="17"/>
              </w:rPr>
            </w:pPr>
            <w:r>
              <w:rPr>
                <w:color w:val="231F20"/>
                <w:sz w:val="17"/>
                <w:u w:val="single" w:color="231F20"/>
              </w:rPr>
              <w:tab/>
            </w:r>
            <w:r>
              <w:rPr>
                <w:color w:val="231F20"/>
                <w:spacing w:val="-2"/>
                <w:sz w:val="17"/>
                <w:u w:val="single" w:color="231F20"/>
              </w:rPr>
              <w:t>43,089</w:t>
            </w:r>
            <w:r>
              <w:rPr>
                <w:color w:val="231F20"/>
                <w:spacing w:val="80"/>
                <w:sz w:val="17"/>
                <w:u w:val="single" w:color="231F20"/>
              </w:rPr>
              <w:t> </w:t>
            </w:r>
          </w:p>
        </w:tc>
        <w:tc>
          <w:tcPr>
            <w:tcW w:w="1504" w:type="dxa"/>
            <w:gridSpan w:val="2"/>
          </w:tcPr>
          <w:p>
            <w:pPr>
              <w:pStyle w:val="TableParagraph"/>
              <w:tabs>
                <w:tab w:pos="1350" w:val="left" w:leader="none"/>
              </w:tabs>
              <w:spacing w:before="9"/>
              <w:ind w:left="199"/>
              <w:rPr>
                <w:sz w:val="17"/>
              </w:rPr>
            </w:pPr>
            <w:r>
              <w:rPr>
                <w:color w:val="231F20"/>
                <w:sz w:val="17"/>
                <w:u w:val="single" w:color="231F20"/>
              </w:rPr>
              <w:tab/>
            </w:r>
            <w:r>
              <w:rPr>
                <w:color w:val="231F20"/>
                <w:spacing w:val="-10"/>
                <w:sz w:val="17"/>
                <w:u w:val="single" w:color="231F20"/>
              </w:rPr>
              <w:t>-</w:t>
            </w:r>
            <w:r>
              <w:rPr>
                <w:color w:val="231F20"/>
                <w:spacing w:val="80"/>
                <w:sz w:val="17"/>
                <w:u w:val="single" w:color="231F20"/>
              </w:rPr>
              <w:t> </w:t>
            </w:r>
          </w:p>
        </w:tc>
        <w:tc>
          <w:tcPr>
            <w:tcW w:w="1502" w:type="dxa"/>
            <w:gridSpan w:val="2"/>
          </w:tcPr>
          <w:p>
            <w:pPr>
              <w:pStyle w:val="TableParagraph"/>
              <w:tabs>
                <w:tab w:pos="825" w:val="left" w:leader="none"/>
              </w:tabs>
              <w:spacing w:before="9"/>
              <w:ind w:left="198"/>
              <w:rPr>
                <w:sz w:val="17"/>
              </w:rPr>
            </w:pPr>
            <w:r>
              <w:rPr>
                <w:color w:val="231F20"/>
                <w:sz w:val="17"/>
                <w:u w:val="single" w:color="231F20"/>
              </w:rPr>
              <w:tab/>
            </w:r>
            <w:r>
              <w:rPr>
                <w:color w:val="231F20"/>
                <w:spacing w:val="-2"/>
                <w:sz w:val="17"/>
                <w:u w:val="single" w:color="231F20"/>
              </w:rPr>
              <w:t>43,089</w:t>
            </w:r>
            <w:r>
              <w:rPr>
                <w:color w:val="231F20"/>
                <w:spacing w:val="80"/>
                <w:sz w:val="17"/>
                <w:u w:val="single" w:color="231F20"/>
              </w:rPr>
              <w:t> </w:t>
            </w:r>
          </w:p>
        </w:tc>
      </w:tr>
      <w:tr>
        <w:trPr>
          <w:trHeight w:val="432" w:hRule="atLeast"/>
        </w:trPr>
        <w:tc>
          <w:tcPr>
            <w:tcW w:w="3961" w:type="dxa"/>
          </w:tcPr>
          <w:p>
            <w:pPr>
              <w:pStyle w:val="TableParagraph"/>
              <w:rPr>
                <w:rFonts w:ascii="Times New Roman"/>
                <w:sz w:val="18"/>
              </w:rPr>
            </w:pPr>
          </w:p>
        </w:tc>
        <w:tc>
          <w:tcPr>
            <w:tcW w:w="1066" w:type="dxa"/>
          </w:tcPr>
          <w:p>
            <w:pPr>
              <w:pStyle w:val="TableParagraph"/>
              <w:rPr>
                <w:rFonts w:ascii="Times New Roman"/>
                <w:sz w:val="18"/>
              </w:rPr>
            </w:pPr>
          </w:p>
        </w:tc>
        <w:tc>
          <w:tcPr>
            <w:tcW w:w="1301" w:type="dxa"/>
          </w:tcPr>
          <w:p>
            <w:pPr>
              <w:pStyle w:val="TableParagraph"/>
              <w:spacing w:before="117"/>
              <w:ind w:left="-1" w:right="90"/>
              <w:jc w:val="right"/>
              <w:rPr>
                <w:sz w:val="17"/>
              </w:rPr>
            </w:pPr>
            <w:r>
              <w:rPr>
                <w:color w:val="231F20"/>
                <w:spacing w:val="-2"/>
                <w:sz w:val="17"/>
              </w:rPr>
              <w:t>1,687,074</w:t>
            </w:r>
          </w:p>
        </w:tc>
        <w:tc>
          <w:tcPr>
            <w:tcW w:w="1504" w:type="dxa"/>
            <w:gridSpan w:val="2"/>
          </w:tcPr>
          <w:p>
            <w:pPr>
              <w:pStyle w:val="TableParagraph"/>
              <w:spacing w:before="117"/>
              <w:ind w:right="36"/>
              <w:jc w:val="right"/>
              <w:rPr>
                <w:sz w:val="17"/>
              </w:rPr>
            </w:pPr>
            <w:r>
              <w:rPr>
                <w:color w:val="231F20"/>
                <w:spacing w:val="-2"/>
                <w:sz w:val="17"/>
              </w:rPr>
              <w:t>(566)</w:t>
            </w:r>
          </w:p>
        </w:tc>
        <w:tc>
          <w:tcPr>
            <w:tcW w:w="1502" w:type="dxa"/>
            <w:gridSpan w:val="2"/>
          </w:tcPr>
          <w:p>
            <w:pPr>
              <w:pStyle w:val="TableParagraph"/>
              <w:spacing w:before="117"/>
              <w:ind w:left="582"/>
              <w:rPr>
                <w:sz w:val="17"/>
              </w:rPr>
            </w:pPr>
            <w:r>
              <w:rPr>
                <w:color w:val="231F20"/>
                <w:spacing w:val="-2"/>
                <w:sz w:val="17"/>
              </w:rPr>
              <w:t>1,686,508</w:t>
            </w:r>
          </w:p>
        </w:tc>
      </w:tr>
      <w:tr>
        <w:trPr>
          <w:trHeight w:val="313" w:hRule="atLeast"/>
        </w:trPr>
        <w:tc>
          <w:tcPr>
            <w:tcW w:w="3961" w:type="dxa"/>
          </w:tcPr>
          <w:p>
            <w:pPr>
              <w:pStyle w:val="TableParagraph"/>
              <w:spacing w:line="176" w:lineRule="exact" w:before="117"/>
              <w:ind w:left="50"/>
              <w:rPr>
                <w:sz w:val="17"/>
              </w:rPr>
            </w:pPr>
            <w:r>
              <w:rPr>
                <w:color w:val="231F20"/>
                <w:sz w:val="17"/>
              </w:rPr>
              <w:t>Wells</w:t>
            </w:r>
            <w:r>
              <w:rPr>
                <w:color w:val="231F20"/>
                <w:spacing w:val="8"/>
                <w:sz w:val="17"/>
              </w:rPr>
              <w:t> </w:t>
            </w:r>
            <w:r>
              <w:rPr>
                <w:color w:val="231F20"/>
                <w:spacing w:val="-2"/>
                <w:sz w:val="17"/>
              </w:rPr>
              <w:t>Fargo</w:t>
            </w:r>
          </w:p>
        </w:tc>
        <w:tc>
          <w:tcPr>
            <w:tcW w:w="1066" w:type="dxa"/>
          </w:tcPr>
          <w:p>
            <w:pPr>
              <w:pStyle w:val="TableParagraph"/>
              <w:rPr>
                <w:rFonts w:ascii="Times New Roman"/>
                <w:sz w:val="18"/>
              </w:rPr>
            </w:pPr>
          </w:p>
        </w:tc>
        <w:tc>
          <w:tcPr>
            <w:tcW w:w="1301" w:type="dxa"/>
          </w:tcPr>
          <w:p>
            <w:pPr>
              <w:pStyle w:val="TableParagraph"/>
              <w:rPr>
                <w:rFonts w:ascii="Times New Roman"/>
                <w:sz w:val="18"/>
              </w:rPr>
            </w:pPr>
          </w:p>
        </w:tc>
        <w:tc>
          <w:tcPr>
            <w:tcW w:w="1504" w:type="dxa"/>
            <w:gridSpan w:val="2"/>
          </w:tcPr>
          <w:p>
            <w:pPr>
              <w:pStyle w:val="TableParagraph"/>
              <w:rPr>
                <w:rFonts w:ascii="Times New Roman"/>
                <w:sz w:val="18"/>
              </w:rPr>
            </w:pPr>
          </w:p>
        </w:tc>
        <w:tc>
          <w:tcPr>
            <w:tcW w:w="1502" w:type="dxa"/>
            <w:gridSpan w:val="2"/>
          </w:tcPr>
          <w:p>
            <w:pPr>
              <w:pStyle w:val="TableParagraph"/>
              <w:rPr>
                <w:rFonts w:ascii="Times New Roman"/>
                <w:sz w:val="18"/>
              </w:rPr>
            </w:pPr>
          </w:p>
        </w:tc>
      </w:tr>
      <w:tr>
        <w:trPr>
          <w:trHeight w:val="336" w:hRule="atLeast"/>
        </w:trPr>
        <w:tc>
          <w:tcPr>
            <w:tcW w:w="5027" w:type="dxa"/>
            <w:gridSpan w:val="2"/>
          </w:tcPr>
          <w:p>
            <w:pPr>
              <w:pStyle w:val="TableParagraph"/>
              <w:tabs>
                <w:tab w:pos="3973" w:val="left" w:leader="none"/>
              </w:tabs>
              <w:spacing w:before="21"/>
              <w:ind w:left="171"/>
              <w:rPr>
                <w:sz w:val="17"/>
              </w:rPr>
            </w:pPr>
            <w:r>
              <w:rPr>
                <w:color w:val="231F20"/>
                <w:spacing w:val="-2"/>
                <w:sz w:val="17"/>
              </w:rPr>
              <w:t>Checking</w:t>
            </w:r>
            <w:r>
              <w:rPr>
                <w:color w:val="231F20"/>
                <w:sz w:val="17"/>
              </w:rPr>
              <w:tab/>
            </w:r>
            <w:r>
              <w:rPr>
                <w:color w:val="231F20"/>
                <w:spacing w:val="-2"/>
                <w:sz w:val="17"/>
              </w:rPr>
              <w:t>Checking</w:t>
            </w:r>
          </w:p>
        </w:tc>
        <w:tc>
          <w:tcPr>
            <w:tcW w:w="1301" w:type="dxa"/>
          </w:tcPr>
          <w:p>
            <w:pPr>
              <w:pStyle w:val="TableParagraph"/>
              <w:tabs>
                <w:tab w:pos="675" w:val="left" w:leader="none"/>
              </w:tabs>
              <w:spacing w:before="21"/>
              <w:ind w:left="-1"/>
              <w:jc w:val="right"/>
              <w:rPr>
                <w:sz w:val="17"/>
              </w:rPr>
            </w:pPr>
            <w:r>
              <w:rPr>
                <w:color w:val="231F20"/>
                <w:sz w:val="17"/>
                <w:u w:val="single" w:color="231F20"/>
              </w:rPr>
              <w:tab/>
            </w:r>
            <w:r>
              <w:rPr>
                <w:color w:val="231F20"/>
                <w:spacing w:val="-2"/>
                <w:sz w:val="17"/>
                <w:u w:val="single" w:color="231F20"/>
              </w:rPr>
              <w:t>68,533</w:t>
            </w:r>
            <w:r>
              <w:rPr>
                <w:color w:val="231F20"/>
                <w:spacing w:val="80"/>
                <w:sz w:val="17"/>
                <w:u w:val="single" w:color="231F20"/>
              </w:rPr>
              <w:t> </w:t>
            </w:r>
          </w:p>
        </w:tc>
        <w:tc>
          <w:tcPr>
            <w:tcW w:w="1504" w:type="dxa"/>
            <w:gridSpan w:val="2"/>
          </w:tcPr>
          <w:p>
            <w:pPr>
              <w:pStyle w:val="TableParagraph"/>
              <w:tabs>
                <w:tab w:pos="1350" w:val="left" w:leader="none"/>
              </w:tabs>
              <w:spacing w:before="21"/>
              <w:ind w:left="199"/>
              <w:rPr>
                <w:sz w:val="17"/>
              </w:rPr>
            </w:pPr>
            <w:r>
              <w:rPr>
                <w:color w:val="231F20"/>
                <w:sz w:val="17"/>
                <w:u w:val="single" w:color="231F20"/>
              </w:rPr>
              <w:tab/>
            </w:r>
            <w:r>
              <w:rPr>
                <w:color w:val="231F20"/>
                <w:spacing w:val="-10"/>
                <w:sz w:val="17"/>
                <w:u w:val="single" w:color="231F20"/>
              </w:rPr>
              <w:t>-</w:t>
            </w:r>
            <w:r>
              <w:rPr>
                <w:color w:val="231F20"/>
                <w:spacing w:val="80"/>
                <w:sz w:val="17"/>
                <w:u w:val="single" w:color="231F20"/>
              </w:rPr>
              <w:t> </w:t>
            </w:r>
          </w:p>
        </w:tc>
        <w:tc>
          <w:tcPr>
            <w:tcW w:w="1502" w:type="dxa"/>
            <w:gridSpan w:val="2"/>
          </w:tcPr>
          <w:p>
            <w:pPr>
              <w:pStyle w:val="TableParagraph"/>
              <w:tabs>
                <w:tab w:pos="825" w:val="left" w:leader="none"/>
              </w:tabs>
              <w:spacing w:before="21"/>
              <w:ind w:left="198"/>
              <w:rPr>
                <w:sz w:val="17"/>
              </w:rPr>
            </w:pPr>
            <w:r>
              <w:rPr>
                <w:color w:val="231F20"/>
                <w:sz w:val="17"/>
                <w:u w:val="single" w:color="231F20"/>
              </w:rPr>
              <w:tab/>
            </w:r>
            <w:r>
              <w:rPr>
                <w:color w:val="231F20"/>
                <w:spacing w:val="-2"/>
                <w:sz w:val="17"/>
                <w:u w:val="single" w:color="231F20"/>
              </w:rPr>
              <w:t>68,533</w:t>
            </w:r>
            <w:r>
              <w:rPr>
                <w:color w:val="231F20"/>
                <w:spacing w:val="80"/>
                <w:sz w:val="17"/>
                <w:u w:val="single" w:color="231F20"/>
              </w:rPr>
              <w:t> </w:t>
            </w:r>
          </w:p>
        </w:tc>
      </w:tr>
      <w:tr>
        <w:trPr>
          <w:trHeight w:val="432" w:hRule="atLeast"/>
        </w:trPr>
        <w:tc>
          <w:tcPr>
            <w:tcW w:w="5027" w:type="dxa"/>
            <w:gridSpan w:val="2"/>
          </w:tcPr>
          <w:p>
            <w:pPr>
              <w:pStyle w:val="TableParagraph"/>
              <w:spacing w:before="117"/>
              <w:ind w:left="50"/>
              <w:rPr>
                <w:sz w:val="17"/>
              </w:rPr>
            </w:pPr>
            <w:r>
              <w:rPr>
                <w:color w:val="231F20"/>
                <w:sz w:val="17"/>
              </w:rPr>
              <w:t>Total</w:t>
            </w:r>
            <w:r>
              <w:rPr>
                <w:color w:val="231F20"/>
                <w:spacing w:val="8"/>
                <w:sz w:val="17"/>
              </w:rPr>
              <w:t> </w:t>
            </w:r>
            <w:r>
              <w:rPr>
                <w:color w:val="231F20"/>
                <w:sz w:val="17"/>
              </w:rPr>
              <w:t>deposit</w:t>
            </w:r>
            <w:r>
              <w:rPr>
                <w:color w:val="231F20"/>
                <w:spacing w:val="8"/>
                <w:sz w:val="17"/>
              </w:rPr>
              <w:t> </w:t>
            </w:r>
            <w:r>
              <w:rPr>
                <w:color w:val="231F20"/>
                <w:spacing w:val="-2"/>
                <w:sz w:val="17"/>
              </w:rPr>
              <w:t>accounts</w:t>
            </w:r>
          </w:p>
        </w:tc>
        <w:tc>
          <w:tcPr>
            <w:tcW w:w="1301" w:type="dxa"/>
          </w:tcPr>
          <w:p>
            <w:pPr>
              <w:pStyle w:val="TableParagraph"/>
              <w:tabs>
                <w:tab w:pos="434" w:val="left" w:leader="none"/>
              </w:tabs>
              <w:spacing w:before="117"/>
              <w:ind w:left="-1"/>
              <w:jc w:val="right"/>
              <w:rPr>
                <w:sz w:val="17"/>
              </w:rPr>
            </w:pPr>
            <w:r>
              <w:rPr>
                <w:color w:val="231F20"/>
                <w:sz w:val="17"/>
                <w:u w:val="single" w:color="231F20"/>
              </w:rPr>
              <w:tab/>
            </w:r>
            <w:r>
              <w:rPr>
                <w:color w:val="231F20"/>
                <w:spacing w:val="-2"/>
                <w:sz w:val="17"/>
                <w:u w:val="single" w:color="231F20"/>
              </w:rPr>
              <w:t>1,755,607</w:t>
            </w:r>
            <w:r>
              <w:rPr>
                <w:color w:val="231F20"/>
                <w:spacing w:val="80"/>
                <w:sz w:val="17"/>
                <w:u w:val="single" w:color="231F20"/>
              </w:rPr>
              <w:t> </w:t>
            </w:r>
          </w:p>
        </w:tc>
        <w:tc>
          <w:tcPr>
            <w:tcW w:w="1504" w:type="dxa"/>
            <w:gridSpan w:val="2"/>
          </w:tcPr>
          <w:p>
            <w:pPr>
              <w:pStyle w:val="TableParagraph"/>
              <w:tabs>
                <w:tab w:pos="1060" w:val="left" w:leader="none"/>
              </w:tabs>
              <w:spacing w:before="117"/>
              <w:ind w:left="199"/>
              <w:rPr>
                <w:sz w:val="17"/>
              </w:rPr>
            </w:pPr>
            <w:r>
              <w:rPr>
                <w:color w:val="231F20"/>
                <w:sz w:val="17"/>
                <w:u w:val="single" w:color="231F20"/>
              </w:rPr>
              <w:tab/>
            </w:r>
            <w:r>
              <w:rPr>
                <w:color w:val="231F20"/>
                <w:spacing w:val="-2"/>
                <w:sz w:val="17"/>
                <w:u w:val="single" w:color="231F20"/>
              </w:rPr>
              <w:t>(566)</w:t>
            </w:r>
          </w:p>
        </w:tc>
        <w:tc>
          <w:tcPr>
            <w:tcW w:w="1502" w:type="dxa"/>
            <w:gridSpan w:val="2"/>
          </w:tcPr>
          <w:p>
            <w:pPr>
              <w:pStyle w:val="TableParagraph"/>
              <w:tabs>
                <w:tab w:pos="582" w:val="left" w:leader="none"/>
              </w:tabs>
              <w:spacing w:before="117"/>
              <w:ind w:left="198"/>
              <w:rPr>
                <w:sz w:val="17"/>
              </w:rPr>
            </w:pPr>
            <w:r>
              <w:rPr>
                <w:color w:val="231F20"/>
                <w:sz w:val="17"/>
                <w:u w:val="single" w:color="231F20"/>
              </w:rPr>
              <w:tab/>
            </w:r>
            <w:r>
              <w:rPr>
                <w:color w:val="231F20"/>
                <w:spacing w:val="-2"/>
                <w:sz w:val="17"/>
                <w:u w:val="single" w:color="231F20"/>
              </w:rPr>
              <w:t>1,755,041</w:t>
            </w:r>
            <w:r>
              <w:rPr>
                <w:color w:val="231F20"/>
                <w:spacing w:val="80"/>
                <w:sz w:val="17"/>
                <w:u w:val="single" w:color="231F20"/>
              </w:rPr>
              <w:t> </w:t>
            </w:r>
          </w:p>
        </w:tc>
      </w:tr>
      <w:tr>
        <w:trPr>
          <w:trHeight w:val="312" w:hRule="atLeast"/>
        </w:trPr>
        <w:tc>
          <w:tcPr>
            <w:tcW w:w="5027" w:type="dxa"/>
            <w:gridSpan w:val="2"/>
          </w:tcPr>
          <w:p>
            <w:pPr>
              <w:pStyle w:val="TableParagraph"/>
              <w:spacing w:line="176" w:lineRule="exact" w:before="117"/>
              <w:ind w:left="50"/>
              <w:rPr>
                <w:sz w:val="17"/>
              </w:rPr>
            </w:pPr>
            <w:r>
              <w:rPr>
                <w:color w:val="231F20"/>
                <w:sz w:val="17"/>
              </w:rPr>
              <w:t>Total</w:t>
            </w:r>
            <w:r>
              <w:rPr>
                <w:color w:val="231F20"/>
                <w:spacing w:val="6"/>
                <w:sz w:val="17"/>
              </w:rPr>
              <w:t> </w:t>
            </w:r>
            <w:r>
              <w:rPr>
                <w:color w:val="231F20"/>
                <w:spacing w:val="-4"/>
                <w:sz w:val="17"/>
              </w:rPr>
              <w:t>cash</w:t>
            </w:r>
          </w:p>
        </w:tc>
        <w:tc>
          <w:tcPr>
            <w:tcW w:w="1301" w:type="dxa"/>
          </w:tcPr>
          <w:p>
            <w:pPr>
              <w:pStyle w:val="TableParagraph"/>
              <w:tabs>
                <w:tab w:pos="434" w:val="left" w:leader="none"/>
              </w:tabs>
              <w:spacing w:line="176" w:lineRule="exact" w:before="116"/>
              <w:ind w:left="-1"/>
              <w:jc w:val="right"/>
              <w:rPr>
                <w:sz w:val="17"/>
              </w:rPr>
            </w:pPr>
            <w:r>
              <w:rPr>
                <w:color w:val="231F20"/>
                <w:sz w:val="17"/>
                <w:u w:val="single" w:color="231F20"/>
              </w:rPr>
              <w:tab/>
            </w:r>
            <w:r>
              <w:rPr>
                <w:color w:val="231F20"/>
                <w:spacing w:val="-2"/>
                <w:sz w:val="17"/>
                <w:u w:val="single" w:color="231F20"/>
              </w:rPr>
              <w:t>1,755,607</w:t>
            </w:r>
            <w:r>
              <w:rPr>
                <w:color w:val="231F20"/>
                <w:spacing w:val="80"/>
                <w:sz w:val="17"/>
                <w:u w:val="single" w:color="231F20"/>
              </w:rPr>
              <w:t> </w:t>
            </w:r>
          </w:p>
        </w:tc>
        <w:tc>
          <w:tcPr>
            <w:tcW w:w="1504" w:type="dxa"/>
            <w:gridSpan w:val="2"/>
          </w:tcPr>
          <w:p>
            <w:pPr>
              <w:pStyle w:val="TableParagraph"/>
              <w:tabs>
                <w:tab w:pos="1060" w:val="left" w:leader="none"/>
              </w:tabs>
              <w:spacing w:line="176" w:lineRule="exact" w:before="116"/>
              <w:ind w:left="199"/>
              <w:rPr>
                <w:sz w:val="17"/>
              </w:rPr>
            </w:pPr>
            <w:r>
              <w:rPr>
                <w:color w:val="231F20"/>
                <w:sz w:val="17"/>
                <w:u w:val="single" w:color="231F20"/>
              </w:rPr>
              <w:tab/>
            </w:r>
            <w:r>
              <w:rPr>
                <w:color w:val="231F20"/>
                <w:spacing w:val="-2"/>
                <w:sz w:val="17"/>
                <w:u w:val="single" w:color="231F20"/>
              </w:rPr>
              <w:t>(566)</w:t>
            </w:r>
          </w:p>
        </w:tc>
        <w:tc>
          <w:tcPr>
            <w:tcW w:w="1502" w:type="dxa"/>
            <w:gridSpan w:val="2"/>
          </w:tcPr>
          <w:p>
            <w:pPr>
              <w:pStyle w:val="TableParagraph"/>
              <w:tabs>
                <w:tab w:pos="582" w:val="left" w:leader="none"/>
              </w:tabs>
              <w:spacing w:line="176" w:lineRule="exact" w:before="116"/>
              <w:ind w:left="198"/>
              <w:rPr>
                <w:sz w:val="17"/>
              </w:rPr>
            </w:pPr>
            <w:r>
              <w:rPr>
                <w:color w:val="231F20"/>
                <w:sz w:val="17"/>
                <w:u w:val="single" w:color="231F20"/>
              </w:rPr>
              <w:tab/>
            </w:r>
            <w:r>
              <w:rPr>
                <w:color w:val="231F20"/>
                <w:spacing w:val="-2"/>
                <w:sz w:val="17"/>
                <w:u w:val="single" w:color="231F20"/>
              </w:rPr>
              <w:t>1,755,041</w:t>
            </w:r>
            <w:r>
              <w:rPr>
                <w:color w:val="231F20"/>
                <w:spacing w:val="80"/>
                <w:sz w:val="17"/>
                <w:u w:val="single" w:color="231F20"/>
              </w:rPr>
              <w:t> </w:t>
            </w:r>
          </w:p>
        </w:tc>
      </w:tr>
      <w:tr>
        <w:trPr>
          <w:trHeight w:val="986" w:hRule="atLeast"/>
        </w:trPr>
        <w:tc>
          <w:tcPr>
            <w:tcW w:w="3961" w:type="dxa"/>
          </w:tcPr>
          <w:p>
            <w:pPr>
              <w:pStyle w:val="TableParagraph"/>
              <w:spacing w:before="8"/>
              <w:rPr>
                <w:sz w:val="20"/>
              </w:rPr>
            </w:pPr>
          </w:p>
          <w:p>
            <w:pPr>
              <w:pStyle w:val="TableParagraph"/>
              <w:ind w:left="50"/>
              <w:rPr>
                <w:b/>
                <w:sz w:val="17"/>
              </w:rPr>
            </w:pPr>
            <w:r>
              <w:rPr>
                <w:b/>
                <w:color w:val="231F20"/>
                <w:spacing w:val="-2"/>
                <w:sz w:val="17"/>
              </w:rPr>
              <w:t>Investments:</w:t>
            </w:r>
          </w:p>
          <w:p>
            <w:pPr>
              <w:pStyle w:val="TableParagraph"/>
              <w:spacing w:line="264" w:lineRule="auto" w:before="20"/>
              <w:ind w:left="171" w:right="709" w:hanging="122"/>
              <w:rPr>
                <w:sz w:val="17"/>
              </w:rPr>
            </w:pPr>
            <w:r>
              <w:rPr>
                <w:color w:val="231F20"/>
                <w:sz w:val="17"/>
              </w:rPr>
              <w:t>New Mexico State Investment Council</w:t>
            </w:r>
            <w:r>
              <w:rPr>
                <w:color w:val="231F20"/>
                <w:spacing w:val="40"/>
                <w:sz w:val="17"/>
              </w:rPr>
              <w:t> </w:t>
            </w:r>
            <w:r>
              <w:rPr>
                <w:color w:val="231F20"/>
                <w:sz w:val="17"/>
              </w:rPr>
              <w:t>New Mexico Tech Research </w:t>
            </w:r>
            <w:r>
              <w:rPr>
                <w:color w:val="231F20"/>
                <w:sz w:val="17"/>
              </w:rPr>
              <w:t>Foundation</w:t>
            </w:r>
          </w:p>
        </w:tc>
        <w:tc>
          <w:tcPr>
            <w:tcW w:w="1066" w:type="dxa"/>
          </w:tcPr>
          <w:p>
            <w:pPr>
              <w:pStyle w:val="TableParagraph"/>
              <w:rPr>
                <w:sz w:val="18"/>
              </w:rPr>
            </w:pPr>
          </w:p>
          <w:p>
            <w:pPr>
              <w:pStyle w:val="TableParagraph"/>
              <w:rPr>
                <w:sz w:val="18"/>
              </w:rPr>
            </w:pPr>
          </w:p>
          <w:p>
            <w:pPr>
              <w:pStyle w:val="TableParagraph"/>
              <w:spacing w:before="3"/>
              <w:rPr>
                <w:sz w:val="22"/>
              </w:rPr>
            </w:pPr>
          </w:p>
          <w:p>
            <w:pPr>
              <w:pStyle w:val="TableParagraph"/>
              <w:ind w:left="10"/>
              <w:rPr>
                <w:sz w:val="17"/>
              </w:rPr>
            </w:pPr>
            <w:r>
              <w:rPr>
                <w:color w:val="231F20"/>
                <w:spacing w:val="-2"/>
                <w:sz w:val="17"/>
              </w:rPr>
              <w:t>Investment</w:t>
            </w:r>
          </w:p>
        </w:tc>
        <w:tc>
          <w:tcPr>
            <w:tcW w:w="1301" w:type="dxa"/>
          </w:tcPr>
          <w:p>
            <w:pPr>
              <w:pStyle w:val="TableParagraph"/>
              <w:rPr>
                <w:sz w:val="18"/>
              </w:rPr>
            </w:pPr>
          </w:p>
          <w:p>
            <w:pPr>
              <w:pStyle w:val="TableParagraph"/>
              <w:rPr>
                <w:sz w:val="18"/>
              </w:rPr>
            </w:pPr>
          </w:p>
          <w:p>
            <w:pPr>
              <w:pStyle w:val="TableParagraph"/>
              <w:spacing w:before="3"/>
              <w:rPr>
                <w:sz w:val="22"/>
              </w:rPr>
            </w:pPr>
          </w:p>
          <w:p>
            <w:pPr>
              <w:pStyle w:val="TableParagraph"/>
              <w:tabs>
                <w:tab w:pos="336" w:val="left" w:leader="none"/>
              </w:tabs>
              <w:ind w:left="-1"/>
              <w:jc w:val="right"/>
              <w:rPr>
                <w:sz w:val="17"/>
              </w:rPr>
            </w:pPr>
            <w:r>
              <w:rPr>
                <w:color w:val="231F20"/>
                <w:sz w:val="17"/>
                <w:u w:val="single" w:color="231F20"/>
              </w:rPr>
              <w:tab/>
            </w:r>
            <w:r>
              <w:rPr>
                <w:color w:val="231F20"/>
                <w:spacing w:val="-2"/>
                <w:sz w:val="17"/>
                <w:u w:val="single" w:color="231F20"/>
              </w:rPr>
              <w:t>31,831,496</w:t>
            </w:r>
            <w:r>
              <w:rPr>
                <w:color w:val="231F20"/>
                <w:spacing w:val="80"/>
                <w:sz w:val="17"/>
                <w:u w:val="single" w:color="231F20"/>
              </w:rPr>
              <w:t> </w:t>
            </w:r>
          </w:p>
        </w:tc>
        <w:tc>
          <w:tcPr>
            <w:tcW w:w="201" w:type="dxa"/>
          </w:tcPr>
          <w:p>
            <w:pPr>
              <w:pStyle w:val="TableParagraph"/>
              <w:rPr>
                <w:rFonts w:ascii="Times New Roman"/>
                <w:sz w:val="18"/>
              </w:rPr>
            </w:pPr>
          </w:p>
        </w:tc>
        <w:tc>
          <w:tcPr>
            <w:tcW w:w="1303" w:type="dxa"/>
          </w:tcPr>
          <w:p>
            <w:pPr>
              <w:pStyle w:val="TableParagraph"/>
              <w:rPr>
                <w:sz w:val="18"/>
              </w:rPr>
            </w:pPr>
          </w:p>
          <w:p>
            <w:pPr>
              <w:pStyle w:val="TableParagraph"/>
              <w:rPr>
                <w:sz w:val="18"/>
              </w:rPr>
            </w:pPr>
          </w:p>
          <w:p>
            <w:pPr>
              <w:pStyle w:val="TableParagraph"/>
              <w:spacing w:before="3"/>
              <w:rPr>
                <w:sz w:val="22"/>
              </w:rPr>
            </w:pPr>
          </w:p>
          <w:p>
            <w:pPr>
              <w:pStyle w:val="TableParagraph"/>
              <w:tabs>
                <w:tab w:pos="1149" w:val="left" w:leader="none"/>
              </w:tabs>
              <w:ind w:left="-2"/>
              <w:rPr>
                <w:sz w:val="17"/>
              </w:rPr>
            </w:pPr>
            <w:r>
              <w:rPr>
                <w:color w:val="231F20"/>
                <w:sz w:val="17"/>
                <w:u w:val="single" w:color="231F20"/>
              </w:rPr>
              <w:tab/>
            </w:r>
            <w:r>
              <w:rPr>
                <w:color w:val="231F20"/>
                <w:spacing w:val="-10"/>
                <w:sz w:val="17"/>
                <w:u w:val="single" w:color="231F20"/>
              </w:rPr>
              <w:t>-</w:t>
            </w:r>
            <w:r>
              <w:rPr>
                <w:color w:val="231F20"/>
                <w:spacing w:val="80"/>
                <w:sz w:val="17"/>
                <w:u w:val="single" w:color="231F20"/>
              </w:rPr>
              <w:t> </w:t>
            </w:r>
          </w:p>
        </w:tc>
        <w:tc>
          <w:tcPr>
            <w:tcW w:w="201" w:type="dxa"/>
          </w:tcPr>
          <w:p>
            <w:pPr>
              <w:pStyle w:val="TableParagraph"/>
              <w:rPr>
                <w:rFonts w:ascii="Times New Roman"/>
                <w:sz w:val="18"/>
              </w:rPr>
            </w:pPr>
          </w:p>
        </w:tc>
        <w:tc>
          <w:tcPr>
            <w:tcW w:w="1301" w:type="dxa"/>
          </w:tcPr>
          <w:p>
            <w:pPr>
              <w:pStyle w:val="TableParagraph"/>
              <w:rPr>
                <w:sz w:val="18"/>
              </w:rPr>
            </w:pPr>
          </w:p>
          <w:p>
            <w:pPr>
              <w:pStyle w:val="TableParagraph"/>
              <w:rPr>
                <w:sz w:val="18"/>
              </w:rPr>
            </w:pPr>
          </w:p>
          <w:p>
            <w:pPr>
              <w:pStyle w:val="TableParagraph"/>
              <w:spacing w:before="3"/>
              <w:rPr>
                <w:sz w:val="22"/>
              </w:rPr>
            </w:pPr>
          </w:p>
          <w:p>
            <w:pPr>
              <w:pStyle w:val="TableParagraph"/>
              <w:tabs>
                <w:tab w:pos="285" w:val="left" w:leader="none"/>
              </w:tabs>
              <w:ind w:left="-3"/>
              <w:rPr>
                <w:sz w:val="17"/>
              </w:rPr>
            </w:pPr>
            <w:r>
              <w:rPr>
                <w:color w:val="231F20"/>
                <w:sz w:val="17"/>
                <w:u w:val="single" w:color="231F20"/>
              </w:rPr>
              <w:tab/>
            </w:r>
            <w:r>
              <w:rPr>
                <w:color w:val="231F20"/>
                <w:spacing w:val="-2"/>
                <w:sz w:val="17"/>
                <w:u w:val="single" w:color="231F20"/>
              </w:rPr>
              <w:t>31,831,496</w:t>
            </w:r>
            <w:r>
              <w:rPr>
                <w:color w:val="231F20"/>
                <w:spacing w:val="80"/>
                <w:sz w:val="17"/>
                <w:u w:val="single" w:color="231F20"/>
              </w:rPr>
              <w:t> </w:t>
            </w:r>
          </w:p>
        </w:tc>
      </w:tr>
      <w:tr>
        <w:trPr>
          <w:trHeight w:val="431" w:hRule="atLeast"/>
        </w:trPr>
        <w:tc>
          <w:tcPr>
            <w:tcW w:w="3961" w:type="dxa"/>
          </w:tcPr>
          <w:p>
            <w:pPr>
              <w:pStyle w:val="TableParagraph"/>
              <w:spacing w:before="117"/>
              <w:ind w:left="50"/>
              <w:rPr>
                <w:sz w:val="17"/>
              </w:rPr>
            </w:pPr>
            <w:r>
              <w:rPr>
                <w:color w:val="231F20"/>
                <w:sz w:val="17"/>
              </w:rPr>
              <w:t>Total</w:t>
            </w:r>
            <w:r>
              <w:rPr>
                <w:color w:val="231F20"/>
                <w:spacing w:val="7"/>
                <w:sz w:val="17"/>
              </w:rPr>
              <w:t> </w:t>
            </w:r>
            <w:r>
              <w:rPr>
                <w:color w:val="231F20"/>
                <w:spacing w:val="-2"/>
                <w:sz w:val="17"/>
              </w:rPr>
              <w:t>investments</w:t>
            </w:r>
          </w:p>
        </w:tc>
        <w:tc>
          <w:tcPr>
            <w:tcW w:w="1066" w:type="dxa"/>
          </w:tcPr>
          <w:p>
            <w:pPr>
              <w:pStyle w:val="TableParagraph"/>
              <w:rPr>
                <w:rFonts w:ascii="Times New Roman"/>
                <w:sz w:val="18"/>
              </w:rPr>
            </w:pPr>
          </w:p>
        </w:tc>
        <w:tc>
          <w:tcPr>
            <w:tcW w:w="1301" w:type="dxa"/>
          </w:tcPr>
          <w:p>
            <w:pPr>
              <w:pStyle w:val="TableParagraph"/>
              <w:tabs>
                <w:tab w:pos="338" w:val="left" w:leader="none"/>
              </w:tabs>
              <w:spacing w:before="117"/>
              <w:ind w:left="-1"/>
              <w:jc w:val="right"/>
              <w:rPr>
                <w:sz w:val="17"/>
              </w:rPr>
            </w:pPr>
            <w:r>
              <w:rPr>
                <w:color w:val="231F20"/>
                <w:sz w:val="17"/>
                <w:u w:val="single" w:color="231F20"/>
              </w:rPr>
              <w:tab/>
            </w:r>
            <w:r>
              <w:rPr>
                <w:color w:val="231F20"/>
                <w:spacing w:val="-2"/>
                <w:sz w:val="17"/>
                <w:u w:val="single" w:color="231F20"/>
              </w:rPr>
              <w:t>31,831,496</w:t>
            </w:r>
            <w:r>
              <w:rPr>
                <w:color w:val="231F20"/>
                <w:spacing w:val="80"/>
                <w:sz w:val="17"/>
                <w:u w:val="single" w:color="231F20"/>
              </w:rPr>
              <w:t> </w:t>
            </w:r>
          </w:p>
        </w:tc>
        <w:tc>
          <w:tcPr>
            <w:tcW w:w="201" w:type="dxa"/>
          </w:tcPr>
          <w:p>
            <w:pPr>
              <w:pStyle w:val="TableParagraph"/>
              <w:rPr>
                <w:rFonts w:ascii="Times New Roman"/>
                <w:sz w:val="18"/>
              </w:rPr>
            </w:pPr>
          </w:p>
        </w:tc>
        <w:tc>
          <w:tcPr>
            <w:tcW w:w="1303" w:type="dxa"/>
          </w:tcPr>
          <w:p>
            <w:pPr>
              <w:pStyle w:val="TableParagraph"/>
              <w:tabs>
                <w:tab w:pos="1149" w:val="left" w:leader="none"/>
              </w:tabs>
              <w:spacing w:before="117"/>
              <w:ind w:left="-2"/>
              <w:rPr>
                <w:sz w:val="17"/>
              </w:rPr>
            </w:pPr>
            <w:r>
              <w:rPr>
                <w:color w:val="231F20"/>
                <w:sz w:val="17"/>
                <w:u w:val="single" w:color="231F20"/>
              </w:rPr>
              <w:tab/>
            </w:r>
            <w:r>
              <w:rPr>
                <w:color w:val="231F20"/>
                <w:spacing w:val="-10"/>
                <w:sz w:val="17"/>
                <w:u w:val="single" w:color="231F20"/>
              </w:rPr>
              <w:t>-</w:t>
            </w:r>
            <w:r>
              <w:rPr>
                <w:color w:val="231F20"/>
                <w:spacing w:val="80"/>
                <w:sz w:val="17"/>
                <w:u w:val="single" w:color="231F20"/>
              </w:rPr>
              <w:t> </w:t>
            </w:r>
          </w:p>
        </w:tc>
        <w:tc>
          <w:tcPr>
            <w:tcW w:w="201" w:type="dxa"/>
          </w:tcPr>
          <w:p>
            <w:pPr>
              <w:pStyle w:val="TableParagraph"/>
              <w:rPr>
                <w:rFonts w:ascii="Times New Roman"/>
                <w:sz w:val="18"/>
              </w:rPr>
            </w:pPr>
          </w:p>
        </w:tc>
        <w:tc>
          <w:tcPr>
            <w:tcW w:w="1301" w:type="dxa"/>
          </w:tcPr>
          <w:p>
            <w:pPr>
              <w:pStyle w:val="TableParagraph"/>
              <w:tabs>
                <w:tab w:pos="285" w:val="left" w:leader="none"/>
              </w:tabs>
              <w:spacing w:before="117"/>
              <w:ind w:left="-3"/>
              <w:rPr>
                <w:sz w:val="17"/>
              </w:rPr>
            </w:pPr>
            <w:r>
              <w:rPr>
                <w:color w:val="231F20"/>
                <w:sz w:val="17"/>
                <w:u w:val="single" w:color="231F20"/>
              </w:rPr>
              <w:tab/>
            </w:r>
            <w:r>
              <w:rPr>
                <w:color w:val="231F20"/>
                <w:spacing w:val="-2"/>
                <w:sz w:val="17"/>
                <w:u w:val="single" w:color="231F20"/>
              </w:rPr>
              <w:t>31,831,496</w:t>
            </w:r>
            <w:r>
              <w:rPr>
                <w:color w:val="231F20"/>
                <w:spacing w:val="80"/>
                <w:sz w:val="17"/>
                <w:u w:val="single" w:color="231F20"/>
              </w:rPr>
              <w:t> </w:t>
            </w:r>
          </w:p>
        </w:tc>
      </w:tr>
      <w:tr>
        <w:trPr>
          <w:trHeight w:val="350" w:hRule="atLeast"/>
        </w:trPr>
        <w:tc>
          <w:tcPr>
            <w:tcW w:w="3961" w:type="dxa"/>
          </w:tcPr>
          <w:p>
            <w:pPr>
              <w:pStyle w:val="TableParagraph"/>
              <w:spacing w:before="115"/>
              <w:ind w:left="50"/>
              <w:rPr>
                <w:sz w:val="17"/>
              </w:rPr>
            </w:pPr>
            <w:r>
              <w:rPr>
                <w:color w:val="231F20"/>
                <w:sz w:val="17"/>
              </w:rPr>
              <w:t>Total</w:t>
            </w:r>
            <w:r>
              <w:rPr>
                <w:color w:val="231F20"/>
                <w:spacing w:val="6"/>
                <w:sz w:val="17"/>
              </w:rPr>
              <w:t> </w:t>
            </w:r>
            <w:r>
              <w:rPr>
                <w:color w:val="231F20"/>
                <w:sz w:val="17"/>
              </w:rPr>
              <w:t>cash</w:t>
            </w:r>
            <w:r>
              <w:rPr>
                <w:color w:val="231F20"/>
                <w:spacing w:val="6"/>
                <w:sz w:val="17"/>
              </w:rPr>
              <w:t> </w:t>
            </w:r>
            <w:r>
              <w:rPr>
                <w:color w:val="231F20"/>
                <w:sz w:val="17"/>
              </w:rPr>
              <w:t>and</w:t>
            </w:r>
            <w:r>
              <w:rPr>
                <w:color w:val="231F20"/>
                <w:spacing w:val="7"/>
                <w:sz w:val="17"/>
              </w:rPr>
              <w:t> </w:t>
            </w:r>
            <w:r>
              <w:rPr>
                <w:color w:val="231F20"/>
                <w:spacing w:val="-2"/>
                <w:sz w:val="17"/>
              </w:rPr>
              <w:t>investments</w:t>
            </w:r>
          </w:p>
        </w:tc>
        <w:tc>
          <w:tcPr>
            <w:tcW w:w="1066" w:type="dxa"/>
          </w:tcPr>
          <w:p>
            <w:pPr>
              <w:pStyle w:val="TableParagraph"/>
              <w:rPr>
                <w:rFonts w:ascii="Times New Roman"/>
                <w:sz w:val="18"/>
              </w:rPr>
            </w:pPr>
          </w:p>
        </w:tc>
        <w:tc>
          <w:tcPr>
            <w:tcW w:w="1301" w:type="dxa"/>
            <w:tcBorders>
              <w:bottom w:val="single" w:sz="8" w:space="0" w:color="231F20"/>
            </w:tcBorders>
          </w:tcPr>
          <w:p>
            <w:pPr>
              <w:pStyle w:val="TableParagraph"/>
              <w:spacing w:before="115"/>
              <w:ind w:left="-1"/>
              <w:jc w:val="right"/>
              <w:rPr>
                <w:sz w:val="17"/>
              </w:rPr>
            </w:pPr>
            <w:r>
              <w:rPr>
                <w:color w:val="231F20"/>
                <w:spacing w:val="44"/>
                <w:sz w:val="17"/>
                <w:u w:val="single" w:color="231F20"/>
              </w:rPr>
              <w:t> </w:t>
            </w:r>
            <w:r>
              <w:rPr>
                <w:color w:val="231F20"/>
                <w:sz w:val="17"/>
                <w:u w:val="single" w:color="231F20"/>
              </w:rPr>
              <w:t>$</w:t>
            </w:r>
            <w:r>
              <w:rPr>
                <w:color w:val="231F20"/>
                <w:spacing w:val="79"/>
                <w:w w:val="150"/>
                <w:sz w:val="17"/>
                <w:u w:val="single" w:color="231F20"/>
              </w:rPr>
              <w:t> </w:t>
            </w:r>
            <w:r>
              <w:rPr>
                <w:color w:val="231F20"/>
                <w:spacing w:val="-2"/>
                <w:sz w:val="17"/>
                <w:u w:val="single" w:color="231F20"/>
              </w:rPr>
              <w:t>33,587,103</w:t>
            </w:r>
            <w:r>
              <w:rPr>
                <w:color w:val="231F20"/>
                <w:spacing w:val="80"/>
                <w:sz w:val="17"/>
                <w:u w:val="single" w:color="231F20"/>
              </w:rPr>
              <w:t> </w:t>
            </w:r>
          </w:p>
        </w:tc>
        <w:tc>
          <w:tcPr>
            <w:tcW w:w="201" w:type="dxa"/>
          </w:tcPr>
          <w:p>
            <w:pPr>
              <w:pStyle w:val="TableParagraph"/>
              <w:rPr>
                <w:rFonts w:ascii="Times New Roman"/>
                <w:sz w:val="18"/>
              </w:rPr>
            </w:pPr>
          </w:p>
        </w:tc>
        <w:tc>
          <w:tcPr>
            <w:tcW w:w="1303" w:type="dxa"/>
            <w:tcBorders>
              <w:bottom w:val="single" w:sz="8" w:space="0" w:color="231F20"/>
            </w:tcBorders>
          </w:tcPr>
          <w:p>
            <w:pPr>
              <w:pStyle w:val="TableParagraph"/>
              <w:tabs>
                <w:tab w:pos="859" w:val="left" w:leader="none"/>
              </w:tabs>
              <w:spacing w:before="115"/>
              <w:ind w:left="-1"/>
              <w:rPr>
                <w:sz w:val="17"/>
              </w:rPr>
            </w:pPr>
            <w:r>
              <w:rPr>
                <w:color w:val="231F20"/>
                <w:spacing w:val="43"/>
                <w:sz w:val="17"/>
                <w:u w:val="single" w:color="231F20"/>
              </w:rPr>
              <w:t> </w:t>
            </w:r>
            <w:r>
              <w:rPr>
                <w:color w:val="231F20"/>
                <w:spacing w:val="-10"/>
                <w:sz w:val="17"/>
                <w:u w:val="single" w:color="231F20"/>
              </w:rPr>
              <w:t>$</w:t>
            </w:r>
            <w:r>
              <w:rPr>
                <w:color w:val="231F20"/>
                <w:sz w:val="17"/>
                <w:u w:val="single" w:color="231F20"/>
              </w:rPr>
              <w:tab/>
            </w:r>
            <w:r>
              <w:rPr>
                <w:color w:val="231F20"/>
                <w:spacing w:val="-2"/>
                <w:sz w:val="17"/>
                <w:u w:val="single" w:color="231F20"/>
              </w:rPr>
              <w:t>(566)</w:t>
            </w:r>
          </w:p>
        </w:tc>
        <w:tc>
          <w:tcPr>
            <w:tcW w:w="201" w:type="dxa"/>
          </w:tcPr>
          <w:p>
            <w:pPr>
              <w:pStyle w:val="TableParagraph"/>
              <w:rPr>
                <w:rFonts w:ascii="Times New Roman"/>
                <w:sz w:val="18"/>
              </w:rPr>
            </w:pPr>
          </w:p>
        </w:tc>
        <w:tc>
          <w:tcPr>
            <w:tcW w:w="1301" w:type="dxa"/>
            <w:tcBorders>
              <w:bottom w:val="single" w:sz="8" w:space="0" w:color="231F20"/>
            </w:tcBorders>
          </w:tcPr>
          <w:p>
            <w:pPr>
              <w:pStyle w:val="TableParagraph"/>
              <w:spacing w:before="115"/>
              <w:ind w:left="-3"/>
              <w:rPr>
                <w:sz w:val="17"/>
              </w:rPr>
            </w:pPr>
            <w:r>
              <w:rPr>
                <w:color w:val="231F20"/>
                <w:spacing w:val="44"/>
                <w:sz w:val="17"/>
                <w:u w:val="single" w:color="231F20"/>
              </w:rPr>
              <w:t> </w:t>
            </w:r>
            <w:r>
              <w:rPr>
                <w:color w:val="231F20"/>
                <w:sz w:val="17"/>
                <w:u w:val="single" w:color="231F20"/>
              </w:rPr>
              <w:t>$</w:t>
            </w:r>
            <w:r>
              <w:rPr>
                <w:color w:val="231F20"/>
                <w:spacing w:val="52"/>
                <w:sz w:val="17"/>
                <w:u w:val="single" w:color="231F20"/>
              </w:rPr>
              <w:t> </w:t>
            </w:r>
            <w:r>
              <w:rPr>
                <w:color w:val="231F20"/>
                <w:spacing w:val="-2"/>
                <w:sz w:val="17"/>
                <w:u w:val="single" w:color="231F20"/>
              </w:rPr>
              <w:t>33,586,537</w:t>
            </w:r>
            <w:r>
              <w:rPr>
                <w:color w:val="231F20"/>
                <w:spacing w:val="80"/>
                <w:sz w:val="17"/>
                <w:u w:val="single" w:color="231F20"/>
              </w:rPr>
              <w:t> </w:t>
            </w:r>
          </w:p>
        </w:tc>
      </w:tr>
      <w:tr>
        <w:trPr>
          <w:trHeight w:val="439" w:hRule="atLeast"/>
        </w:trPr>
        <w:tc>
          <w:tcPr>
            <w:tcW w:w="3961" w:type="dxa"/>
          </w:tcPr>
          <w:p>
            <w:pPr>
              <w:pStyle w:val="TableParagraph"/>
              <w:spacing w:before="10"/>
              <w:rPr>
                <w:sz w:val="17"/>
              </w:rPr>
            </w:pPr>
          </w:p>
          <w:p>
            <w:pPr>
              <w:pStyle w:val="TableParagraph"/>
              <w:ind w:left="50"/>
              <w:rPr>
                <w:sz w:val="17"/>
              </w:rPr>
            </w:pPr>
            <w:r>
              <w:rPr>
                <w:color w:val="231F20"/>
                <w:sz w:val="17"/>
              </w:rPr>
              <w:t>Cash</w:t>
            </w:r>
            <w:r>
              <w:rPr>
                <w:color w:val="231F20"/>
                <w:spacing w:val="4"/>
                <w:sz w:val="17"/>
              </w:rPr>
              <w:t> </w:t>
            </w:r>
            <w:r>
              <w:rPr>
                <w:color w:val="231F20"/>
                <w:sz w:val="17"/>
              </w:rPr>
              <w:t>and</w:t>
            </w:r>
            <w:r>
              <w:rPr>
                <w:color w:val="231F20"/>
                <w:spacing w:val="5"/>
                <w:sz w:val="17"/>
              </w:rPr>
              <w:t> </w:t>
            </w:r>
            <w:r>
              <w:rPr>
                <w:color w:val="231F20"/>
                <w:sz w:val="17"/>
              </w:rPr>
              <w:t>investments</w:t>
            </w:r>
            <w:r>
              <w:rPr>
                <w:color w:val="231F20"/>
                <w:spacing w:val="5"/>
                <w:sz w:val="17"/>
              </w:rPr>
              <w:t> </w:t>
            </w:r>
            <w:r>
              <w:rPr>
                <w:color w:val="231F20"/>
                <w:sz w:val="17"/>
              </w:rPr>
              <w:t>on</w:t>
            </w:r>
            <w:r>
              <w:rPr>
                <w:color w:val="231F20"/>
                <w:spacing w:val="5"/>
                <w:sz w:val="17"/>
              </w:rPr>
              <w:t> </w:t>
            </w:r>
            <w:r>
              <w:rPr>
                <w:color w:val="231F20"/>
                <w:sz w:val="17"/>
              </w:rPr>
              <w:t>statement</w:t>
            </w:r>
            <w:r>
              <w:rPr>
                <w:color w:val="231F20"/>
                <w:spacing w:val="6"/>
                <w:sz w:val="17"/>
              </w:rPr>
              <w:t> </w:t>
            </w:r>
            <w:r>
              <w:rPr>
                <w:color w:val="231F20"/>
                <w:sz w:val="17"/>
              </w:rPr>
              <w:t>of</w:t>
            </w:r>
            <w:r>
              <w:rPr>
                <w:color w:val="231F20"/>
                <w:spacing w:val="5"/>
                <w:sz w:val="17"/>
              </w:rPr>
              <w:t> </w:t>
            </w:r>
            <w:r>
              <w:rPr>
                <w:color w:val="231F20"/>
                <w:sz w:val="17"/>
              </w:rPr>
              <w:t>net</w:t>
            </w:r>
            <w:r>
              <w:rPr>
                <w:color w:val="231F20"/>
                <w:spacing w:val="6"/>
                <w:sz w:val="17"/>
              </w:rPr>
              <w:t> </w:t>
            </w:r>
            <w:r>
              <w:rPr>
                <w:color w:val="231F20"/>
                <w:spacing w:val="-2"/>
                <w:sz w:val="17"/>
              </w:rPr>
              <w:t>position</w:t>
            </w:r>
          </w:p>
        </w:tc>
        <w:tc>
          <w:tcPr>
            <w:tcW w:w="1066" w:type="dxa"/>
          </w:tcPr>
          <w:p>
            <w:pPr>
              <w:pStyle w:val="TableParagraph"/>
              <w:rPr>
                <w:rFonts w:ascii="Times New Roman"/>
                <w:sz w:val="18"/>
              </w:rPr>
            </w:pPr>
          </w:p>
        </w:tc>
        <w:tc>
          <w:tcPr>
            <w:tcW w:w="1301" w:type="dxa"/>
            <w:tcBorders>
              <w:top w:val="single" w:sz="8" w:space="0" w:color="231F20"/>
            </w:tcBorders>
          </w:tcPr>
          <w:p>
            <w:pPr>
              <w:pStyle w:val="TableParagraph"/>
              <w:rPr>
                <w:rFonts w:ascii="Times New Roman"/>
                <w:sz w:val="18"/>
              </w:rPr>
            </w:pPr>
          </w:p>
        </w:tc>
        <w:tc>
          <w:tcPr>
            <w:tcW w:w="201" w:type="dxa"/>
          </w:tcPr>
          <w:p>
            <w:pPr>
              <w:pStyle w:val="TableParagraph"/>
              <w:rPr>
                <w:rFonts w:ascii="Times New Roman"/>
                <w:sz w:val="18"/>
              </w:rPr>
            </w:pPr>
          </w:p>
        </w:tc>
        <w:tc>
          <w:tcPr>
            <w:tcW w:w="1303" w:type="dxa"/>
            <w:tcBorders>
              <w:top w:val="single" w:sz="8" w:space="0" w:color="231F20"/>
            </w:tcBorders>
          </w:tcPr>
          <w:p>
            <w:pPr>
              <w:pStyle w:val="TableParagraph"/>
              <w:rPr>
                <w:rFonts w:ascii="Times New Roman"/>
                <w:sz w:val="18"/>
              </w:rPr>
            </w:pPr>
          </w:p>
        </w:tc>
        <w:tc>
          <w:tcPr>
            <w:tcW w:w="201" w:type="dxa"/>
          </w:tcPr>
          <w:p>
            <w:pPr>
              <w:pStyle w:val="TableParagraph"/>
              <w:rPr>
                <w:rFonts w:ascii="Times New Roman"/>
                <w:sz w:val="18"/>
              </w:rPr>
            </w:pPr>
          </w:p>
        </w:tc>
        <w:tc>
          <w:tcPr>
            <w:tcW w:w="1301" w:type="dxa"/>
            <w:tcBorders>
              <w:top w:val="single" w:sz="8" w:space="0" w:color="231F20"/>
              <w:bottom w:val="single" w:sz="8" w:space="0" w:color="231F20"/>
            </w:tcBorders>
          </w:tcPr>
          <w:p>
            <w:pPr>
              <w:pStyle w:val="TableParagraph"/>
              <w:spacing w:before="10"/>
              <w:rPr>
                <w:sz w:val="17"/>
              </w:rPr>
            </w:pPr>
          </w:p>
          <w:p>
            <w:pPr>
              <w:pStyle w:val="TableParagraph"/>
              <w:ind w:left="-3"/>
              <w:rPr>
                <w:sz w:val="17"/>
              </w:rPr>
            </w:pPr>
            <w:r>
              <w:rPr>
                <w:color w:val="231F20"/>
                <w:spacing w:val="44"/>
                <w:sz w:val="17"/>
                <w:u w:val="single" w:color="231F20"/>
              </w:rPr>
              <w:t> </w:t>
            </w:r>
            <w:r>
              <w:rPr>
                <w:color w:val="231F20"/>
                <w:sz w:val="17"/>
                <w:u w:val="single" w:color="231F20"/>
              </w:rPr>
              <w:t>$</w:t>
            </w:r>
            <w:r>
              <w:rPr>
                <w:color w:val="231F20"/>
                <w:spacing w:val="51"/>
                <w:sz w:val="17"/>
                <w:u w:val="single" w:color="231F20"/>
              </w:rPr>
              <w:t> </w:t>
            </w:r>
            <w:r>
              <w:rPr>
                <w:color w:val="231F20"/>
                <w:spacing w:val="-2"/>
                <w:sz w:val="17"/>
                <w:u w:val="single" w:color="231F20"/>
              </w:rPr>
              <w:t>33,586,537</w:t>
            </w:r>
            <w:r>
              <w:rPr>
                <w:color w:val="231F20"/>
                <w:spacing w:val="80"/>
                <w:sz w:val="17"/>
                <w:u w:val="single" w:color="231F20"/>
              </w:rPr>
              <w:t> </w:t>
            </w:r>
          </w:p>
        </w:tc>
      </w:tr>
    </w:tbl>
    <w:p>
      <w:pPr>
        <w:spacing w:after="0"/>
        <w:rPr>
          <w:sz w:val="17"/>
        </w:rPr>
        <w:sectPr>
          <w:type w:val="continuous"/>
          <w:pgSz w:w="12240" w:h="15840"/>
          <w:pgMar w:header="994" w:footer="1097" w:top="1460" w:bottom="280" w:left="1280" w:right="1280"/>
        </w:sectPr>
      </w:pPr>
    </w:p>
    <w:p>
      <w:pPr>
        <w:pStyle w:val="Heading3"/>
        <w:ind w:left="876" w:right="869"/>
      </w:pPr>
      <w:r>
        <w:rPr>
          <w:color w:val="231F20"/>
        </w:rPr>
        <w:t>Schedule</w:t>
      </w:r>
      <w:r>
        <w:rPr>
          <w:color w:val="231F20"/>
          <w:spacing w:val="-3"/>
        </w:rPr>
        <w:t> </w:t>
      </w:r>
      <w:r>
        <w:rPr>
          <w:color w:val="231F20"/>
        </w:rPr>
        <w:t>of</w:t>
      </w:r>
      <w:r>
        <w:rPr>
          <w:color w:val="231F20"/>
          <w:spacing w:val="-3"/>
        </w:rPr>
        <w:t> </w:t>
      </w:r>
      <w:r>
        <w:rPr>
          <w:color w:val="231F20"/>
        </w:rPr>
        <w:t>Multiple-Year</w:t>
      </w:r>
      <w:r>
        <w:rPr>
          <w:color w:val="231F20"/>
          <w:spacing w:val="-3"/>
        </w:rPr>
        <w:t> </w:t>
      </w:r>
      <w:r>
        <w:rPr>
          <w:color w:val="231F20"/>
        </w:rPr>
        <w:t>Capital</w:t>
      </w:r>
      <w:r>
        <w:rPr>
          <w:color w:val="231F20"/>
          <w:spacing w:val="-3"/>
        </w:rPr>
        <w:t> </w:t>
      </w:r>
      <w:r>
        <w:rPr>
          <w:color w:val="231F20"/>
        </w:rPr>
        <w:t>Projects</w:t>
      </w:r>
      <w:r>
        <w:rPr>
          <w:color w:val="231F20"/>
          <w:spacing w:val="-3"/>
        </w:rPr>
        <w:t> </w:t>
      </w:r>
      <w:r>
        <w:rPr>
          <w:color w:val="231F20"/>
        </w:rPr>
        <w:t>Funded</w:t>
      </w:r>
      <w:r>
        <w:rPr>
          <w:color w:val="231F20"/>
          <w:spacing w:val="-3"/>
        </w:rPr>
        <w:t> </w:t>
      </w:r>
      <w:r>
        <w:rPr>
          <w:color w:val="231F20"/>
        </w:rPr>
        <w:t>by</w:t>
      </w:r>
      <w:r>
        <w:rPr>
          <w:color w:val="231F20"/>
          <w:spacing w:val="-3"/>
        </w:rPr>
        <w:t> </w:t>
      </w:r>
      <w:r>
        <w:rPr>
          <w:color w:val="231F20"/>
        </w:rPr>
        <w:t>General</w:t>
      </w:r>
      <w:r>
        <w:rPr>
          <w:color w:val="231F20"/>
          <w:spacing w:val="-3"/>
        </w:rPr>
        <w:t> </w:t>
      </w:r>
      <w:r>
        <w:rPr>
          <w:color w:val="231F20"/>
        </w:rPr>
        <w:t>Obligation</w:t>
      </w:r>
      <w:r>
        <w:rPr>
          <w:color w:val="231F20"/>
          <w:spacing w:val="-3"/>
        </w:rPr>
        <w:t> </w:t>
      </w:r>
      <w:r>
        <w:rPr>
          <w:color w:val="231F20"/>
        </w:rPr>
        <w:t>Revenue</w:t>
      </w:r>
      <w:r>
        <w:rPr>
          <w:color w:val="231F20"/>
          <w:spacing w:val="-3"/>
        </w:rPr>
        <w:t> </w:t>
      </w:r>
      <w:r>
        <w:rPr>
          <w:color w:val="231F20"/>
        </w:rPr>
        <w:t>Bond</w:t>
      </w:r>
      <w:r>
        <w:rPr>
          <w:color w:val="231F20"/>
          <w:spacing w:val="-3"/>
        </w:rPr>
        <w:t> </w:t>
      </w:r>
      <w:r>
        <w:rPr>
          <w:color w:val="231F20"/>
        </w:rPr>
        <w:t>and</w:t>
      </w:r>
      <w:r>
        <w:rPr>
          <w:color w:val="231F20"/>
          <w:spacing w:val="-3"/>
        </w:rPr>
        <w:t> </w:t>
      </w:r>
      <w:r>
        <w:rPr>
          <w:color w:val="231F20"/>
        </w:rPr>
        <w:t>Severance</w:t>
      </w:r>
      <w:r>
        <w:rPr>
          <w:color w:val="231F20"/>
          <w:spacing w:val="-3"/>
        </w:rPr>
        <w:t> </w:t>
      </w:r>
      <w:r>
        <w:rPr>
          <w:color w:val="231F20"/>
        </w:rPr>
        <w:t>Tax</w:t>
      </w:r>
      <w:r>
        <w:rPr>
          <w:color w:val="231F20"/>
          <w:spacing w:val="-3"/>
        </w:rPr>
        <w:t> </w:t>
      </w:r>
      <w:r>
        <w:rPr>
          <w:color w:val="231F20"/>
        </w:rPr>
        <w:t>Bond Capital Outlay Appropriations from the State (Schedule 8)</w:t>
      </w:r>
    </w:p>
    <w:p>
      <w:pPr>
        <w:spacing w:before="0"/>
        <w:ind w:left="872" w:right="869" w:firstLine="0"/>
        <w:jc w:val="center"/>
        <w:rPr>
          <w:b/>
          <w:sz w:val="24"/>
        </w:rPr>
      </w:pPr>
      <w:r>
        <w:rPr/>
        <w:pict>
          <v:rect style="position:absolute;margin-left:34.499001pt;margin-top:14.675778pt;width:723.001pt;height:1.5pt;mso-position-horizontal-relative:page;mso-position-vertical-relative:paragraph;z-index:-15617536;mso-wrap-distance-left:0;mso-wrap-distance-right:0" id="docshape509" filled="true" fillcolor="#231f20" stroked="false">
            <v:fill type="solid"/>
            <w10:wrap type="topAndBottom"/>
          </v:rect>
        </w:pict>
      </w:r>
      <w:r>
        <w:rPr/>
        <w:pict>
          <v:shape style="position:absolute;margin-left:35.347046pt;margin-top:29.035671pt;width:719.6pt;height:224.9pt;mso-position-horizontal-relative:page;mso-position-vertical-relative:paragraph;z-index:15854592" type="#_x0000_t202" id="docshape51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6"/>
                    <w:gridCol w:w="100"/>
                    <w:gridCol w:w="1008"/>
                    <w:gridCol w:w="101"/>
                    <w:gridCol w:w="541"/>
                    <w:gridCol w:w="99"/>
                    <w:gridCol w:w="782"/>
                    <w:gridCol w:w="92"/>
                    <w:gridCol w:w="775"/>
                    <w:gridCol w:w="99"/>
                    <w:gridCol w:w="861"/>
                    <w:gridCol w:w="100"/>
                    <w:gridCol w:w="860"/>
                    <w:gridCol w:w="100"/>
                    <w:gridCol w:w="443"/>
                    <w:gridCol w:w="416"/>
                    <w:gridCol w:w="100"/>
                    <w:gridCol w:w="860"/>
                    <w:gridCol w:w="100"/>
                    <w:gridCol w:w="231"/>
                    <w:gridCol w:w="627"/>
                    <w:gridCol w:w="99"/>
                    <w:gridCol w:w="860"/>
                    <w:gridCol w:w="98"/>
                    <w:gridCol w:w="230"/>
                    <w:gridCol w:w="628"/>
                    <w:gridCol w:w="98"/>
                    <w:gridCol w:w="860"/>
                    <w:gridCol w:w="99"/>
                    <w:gridCol w:w="903"/>
                  </w:tblGrid>
                  <w:tr>
                    <w:trPr>
                      <w:trHeight w:val="340" w:hRule="atLeast"/>
                    </w:trPr>
                    <w:tc>
                      <w:tcPr>
                        <w:tcW w:w="2296" w:type="dxa"/>
                        <w:gridSpan w:val="2"/>
                      </w:tcPr>
                      <w:p>
                        <w:pPr>
                          <w:pStyle w:val="TableParagraph"/>
                          <w:rPr>
                            <w:rFonts w:ascii="Times New Roman"/>
                            <w:sz w:val="14"/>
                          </w:rPr>
                        </w:pPr>
                      </w:p>
                    </w:tc>
                    <w:tc>
                      <w:tcPr>
                        <w:tcW w:w="1008" w:type="dxa"/>
                      </w:tcPr>
                      <w:p>
                        <w:pPr>
                          <w:pStyle w:val="TableParagraph"/>
                          <w:spacing w:before="2"/>
                          <w:rPr>
                            <w:sz w:val="15"/>
                          </w:rPr>
                        </w:pPr>
                      </w:p>
                      <w:p>
                        <w:pPr>
                          <w:pStyle w:val="TableParagraph"/>
                          <w:spacing w:line="145" w:lineRule="exact"/>
                          <w:ind w:left="6" w:right="21"/>
                          <w:jc w:val="center"/>
                          <w:rPr>
                            <w:sz w:val="13"/>
                          </w:rPr>
                        </w:pPr>
                        <w:r>
                          <w:rPr>
                            <w:color w:val="231F20"/>
                            <w:spacing w:val="-2"/>
                            <w:sz w:val="13"/>
                          </w:rPr>
                          <w:t>Authority/</w:t>
                        </w:r>
                      </w:p>
                    </w:tc>
                    <w:tc>
                      <w:tcPr>
                        <w:tcW w:w="101" w:type="dxa"/>
                      </w:tcPr>
                      <w:p>
                        <w:pPr>
                          <w:pStyle w:val="TableParagraph"/>
                          <w:rPr>
                            <w:rFonts w:ascii="Times New Roman"/>
                            <w:sz w:val="14"/>
                          </w:rPr>
                        </w:pPr>
                      </w:p>
                    </w:tc>
                    <w:tc>
                      <w:tcPr>
                        <w:tcW w:w="541" w:type="dxa"/>
                      </w:tcPr>
                      <w:p>
                        <w:pPr>
                          <w:pStyle w:val="TableParagraph"/>
                          <w:rPr>
                            <w:rFonts w:ascii="Times New Roman"/>
                            <w:sz w:val="14"/>
                          </w:rPr>
                        </w:pPr>
                      </w:p>
                    </w:tc>
                    <w:tc>
                      <w:tcPr>
                        <w:tcW w:w="99" w:type="dxa"/>
                      </w:tcPr>
                      <w:p>
                        <w:pPr>
                          <w:pStyle w:val="TableParagraph"/>
                          <w:rPr>
                            <w:rFonts w:ascii="Times New Roman"/>
                            <w:sz w:val="14"/>
                          </w:rPr>
                        </w:pPr>
                      </w:p>
                    </w:tc>
                    <w:tc>
                      <w:tcPr>
                        <w:tcW w:w="782" w:type="dxa"/>
                      </w:tcPr>
                      <w:p>
                        <w:pPr>
                          <w:pStyle w:val="TableParagraph"/>
                          <w:spacing w:before="2"/>
                          <w:rPr>
                            <w:sz w:val="15"/>
                          </w:rPr>
                        </w:pPr>
                      </w:p>
                      <w:p>
                        <w:pPr>
                          <w:pStyle w:val="TableParagraph"/>
                          <w:spacing w:line="145" w:lineRule="exact"/>
                          <w:ind w:left="10" w:right="-15"/>
                          <w:jc w:val="center"/>
                          <w:rPr>
                            <w:sz w:val="13"/>
                          </w:rPr>
                        </w:pPr>
                        <w:r>
                          <w:rPr>
                            <w:color w:val="231F20"/>
                            <w:spacing w:val="-2"/>
                            <w:sz w:val="13"/>
                          </w:rPr>
                          <w:t>Appropriation</w:t>
                        </w:r>
                      </w:p>
                    </w:tc>
                    <w:tc>
                      <w:tcPr>
                        <w:tcW w:w="92" w:type="dxa"/>
                      </w:tcPr>
                      <w:p>
                        <w:pPr>
                          <w:pStyle w:val="TableParagraph"/>
                          <w:rPr>
                            <w:rFonts w:ascii="Times New Roman"/>
                            <w:sz w:val="14"/>
                          </w:rPr>
                        </w:pPr>
                      </w:p>
                    </w:tc>
                    <w:tc>
                      <w:tcPr>
                        <w:tcW w:w="775" w:type="dxa"/>
                      </w:tcPr>
                      <w:p>
                        <w:pPr>
                          <w:pStyle w:val="TableParagraph"/>
                          <w:rPr>
                            <w:rFonts w:ascii="Times New Roman"/>
                            <w:sz w:val="14"/>
                          </w:rPr>
                        </w:pPr>
                      </w:p>
                    </w:tc>
                    <w:tc>
                      <w:tcPr>
                        <w:tcW w:w="99" w:type="dxa"/>
                      </w:tcPr>
                      <w:p>
                        <w:pPr>
                          <w:pStyle w:val="TableParagraph"/>
                          <w:rPr>
                            <w:rFonts w:ascii="Times New Roman"/>
                            <w:sz w:val="14"/>
                          </w:rPr>
                        </w:pPr>
                      </w:p>
                    </w:tc>
                    <w:tc>
                      <w:tcPr>
                        <w:tcW w:w="861" w:type="dxa"/>
                      </w:tcPr>
                      <w:p>
                        <w:pPr>
                          <w:pStyle w:val="TableParagraph"/>
                          <w:spacing w:before="2"/>
                          <w:rPr>
                            <w:sz w:val="15"/>
                          </w:rPr>
                        </w:pPr>
                      </w:p>
                      <w:p>
                        <w:pPr>
                          <w:pStyle w:val="TableParagraph"/>
                          <w:spacing w:line="145" w:lineRule="exact"/>
                          <w:ind w:left="296"/>
                          <w:rPr>
                            <w:sz w:val="13"/>
                          </w:rPr>
                        </w:pPr>
                        <w:r>
                          <w:rPr>
                            <w:color w:val="231F20"/>
                            <w:spacing w:val="-2"/>
                            <w:sz w:val="13"/>
                          </w:rPr>
                          <w:t>Total</w:t>
                        </w:r>
                      </w:p>
                    </w:tc>
                    <w:tc>
                      <w:tcPr>
                        <w:tcW w:w="100" w:type="dxa"/>
                      </w:tcPr>
                      <w:p>
                        <w:pPr>
                          <w:pStyle w:val="TableParagraph"/>
                          <w:rPr>
                            <w:rFonts w:ascii="Times New Roman"/>
                            <w:sz w:val="14"/>
                          </w:rPr>
                        </w:pPr>
                      </w:p>
                    </w:tc>
                    <w:tc>
                      <w:tcPr>
                        <w:tcW w:w="860" w:type="dxa"/>
                      </w:tcPr>
                      <w:p>
                        <w:pPr>
                          <w:pStyle w:val="TableParagraph"/>
                          <w:spacing w:before="2"/>
                          <w:rPr>
                            <w:sz w:val="15"/>
                          </w:rPr>
                        </w:pPr>
                      </w:p>
                      <w:p>
                        <w:pPr>
                          <w:pStyle w:val="TableParagraph"/>
                          <w:spacing w:line="145" w:lineRule="exact"/>
                          <w:ind w:right="84"/>
                          <w:jc w:val="right"/>
                          <w:rPr>
                            <w:sz w:val="13"/>
                          </w:rPr>
                        </w:pPr>
                        <w:r>
                          <w:rPr>
                            <w:color w:val="231F20"/>
                            <w:sz w:val="13"/>
                          </w:rPr>
                          <w:t>Bonds</w:t>
                        </w:r>
                        <w:r>
                          <w:rPr>
                            <w:color w:val="231F20"/>
                            <w:spacing w:val="-8"/>
                            <w:sz w:val="13"/>
                          </w:rPr>
                          <w:t> </w:t>
                        </w:r>
                        <w:r>
                          <w:rPr>
                            <w:color w:val="231F20"/>
                            <w:spacing w:val="-4"/>
                            <w:sz w:val="13"/>
                          </w:rPr>
                          <w:t>Sold</w:t>
                        </w:r>
                      </w:p>
                    </w:tc>
                    <w:tc>
                      <w:tcPr>
                        <w:tcW w:w="100" w:type="dxa"/>
                      </w:tcPr>
                      <w:p>
                        <w:pPr>
                          <w:pStyle w:val="TableParagraph"/>
                          <w:rPr>
                            <w:rFonts w:ascii="Times New Roman"/>
                            <w:sz w:val="14"/>
                          </w:rPr>
                        </w:pPr>
                      </w:p>
                    </w:tc>
                    <w:tc>
                      <w:tcPr>
                        <w:tcW w:w="859" w:type="dxa"/>
                        <w:gridSpan w:val="2"/>
                      </w:tcPr>
                      <w:p>
                        <w:pPr>
                          <w:pStyle w:val="TableParagraph"/>
                          <w:rPr>
                            <w:rFonts w:ascii="Times New Roman"/>
                            <w:sz w:val="14"/>
                          </w:rPr>
                        </w:pPr>
                      </w:p>
                    </w:tc>
                    <w:tc>
                      <w:tcPr>
                        <w:tcW w:w="100" w:type="dxa"/>
                      </w:tcPr>
                      <w:p>
                        <w:pPr>
                          <w:pStyle w:val="TableParagraph"/>
                          <w:rPr>
                            <w:rFonts w:ascii="Times New Roman"/>
                            <w:sz w:val="14"/>
                          </w:rPr>
                        </w:pPr>
                      </w:p>
                    </w:tc>
                    <w:tc>
                      <w:tcPr>
                        <w:tcW w:w="860" w:type="dxa"/>
                      </w:tcPr>
                      <w:p>
                        <w:pPr>
                          <w:pStyle w:val="TableParagraph"/>
                          <w:spacing w:before="2"/>
                          <w:rPr>
                            <w:sz w:val="15"/>
                          </w:rPr>
                        </w:pPr>
                      </w:p>
                      <w:p>
                        <w:pPr>
                          <w:pStyle w:val="TableParagraph"/>
                          <w:spacing w:line="145" w:lineRule="exact"/>
                          <w:ind w:left="204"/>
                          <w:rPr>
                            <w:sz w:val="13"/>
                          </w:rPr>
                        </w:pPr>
                        <w:r>
                          <w:rPr>
                            <w:color w:val="231F20"/>
                            <w:spacing w:val="-2"/>
                            <w:sz w:val="13"/>
                          </w:rPr>
                          <w:t>Amount</w:t>
                        </w:r>
                      </w:p>
                    </w:tc>
                    <w:tc>
                      <w:tcPr>
                        <w:tcW w:w="100" w:type="dxa"/>
                      </w:tcPr>
                      <w:p>
                        <w:pPr>
                          <w:pStyle w:val="TableParagraph"/>
                          <w:rPr>
                            <w:rFonts w:ascii="Times New Roman"/>
                            <w:sz w:val="14"/>
                          </w:rPr>
                        </w:pPr>
                      </w:p>
                    </w:tc>
                    <w:tc>
                      <w:tcPr>
                        <w:tcW w:w="858" w:type="dxa"/>
                        <w:gridSpan w:val="2"/>
                      </w:tcPr>
                      <w:p>
                        <w:pPr>
                          <w:pStyle w:val="TableParagraph"/>
                          <w:spacing w:before="2"/>
                          <w:rPr>
                            <w:sz w:val="15"/>
                          </w:rPr>
                        </w:pPr>
                      </w:p>
                      <w:p>
                        <w:pPr>
                          <w:pStyle w:val="TableParagraph"/>
                          <w:spacing w:line="145" w:lineRule="exact"/>
                          <w:ind w:left="156"/>
                          <w:rPr>
                            <w:sz w:val="13"/>
                          </w:rPr>
                        </w:pPr>
                        <w:r>
                          <w:rPr>
                            <w:color w:val="231F20"/>
                            <w:sz w:val="13"/>
                          </w:rPr>
                          <w:t>Prior</w:t>
                        </w:r>
                        <w:r>
                          <w:rPr>
                            <w:color w:val="231F20"/>
                            <w:spacing w:val="-8"/>
                            <w:sz w:val="13"/>
                          </w:rPr>
                          <w:t> </w:t>
                        </w:r>
                        <w:r>
                          <w:rPr>
                            <w:color w:val="231F20"/>
                            <w:spacing w:val="-4"/>
                            <w:sz w:val="13"/>
                          </w:rPr>
                          <w:t>Year</w:t>
                        </w:r>
                      </w:p>
                    </w:tc>
                    <w:tc>
                      <w:tcPr>
                        <w:tcW w:w="99" w:type="dxa"/>
                      </w:tcPr>
                      <w:p>
                        <w:pPr>
                          <w:pStyle w:val="TableParagraph"/>
                          <w:rPr>
                            <w:rFonts w:ascii="Times New Roman"/>
                            <w:sz w:val="14"/>
                          </w:rPr>
                        </w:pPr>
                      </w:p>
                    </w:tc>
                    <w:tc>
                      <w:tcPr>
                        <w:tcW w:w="860" w:type="dxa"/>
                      </w:tcPr>
                      <w:p>
                        <w:pPr>
                          <w:pStyle w:val="TableParagraph"/>
                          <w:spacing w:before="2"/>
                          <w:rPr>
                            <w:sz w:val="15"/>
                          </w:rPr>
                        </w:pPr>
                      </w:p>
                      <w:p>
                        <w:pPr>
                          <w:pStyle w:val="TableParagraph"/>
                          <w:spacing w:line="145" w:lineRule="exact"/>
                          <w:ind w:right="36"/>
                          <w:jc w:val="right"/>
                          <w:rPr>
                            <w:sz w:val="13"/>
                          </w:rPr>
                        </w:pPr>
                        <w:r>
                          <w:rPr>
                            <w:color w:val="231F20"/>
                            <w:spacing w:val="-2"/>
                            <w:sz w:val="13"/>
                          </w:rPr>
                          <w:t>Current</w:t>
                        </w:r>
                        <w:r>
                          <w:rPr>
                            <w:color w:val="231F20"/>
                            <w:spacing w:val="2"/>
                            <w:sz w:val="13"/>
                          </w:rPr>
                          <w:t> </w:t>
                        </w:r>
                        <w:r>
                          <w:rPr>
                            <w:color w:val="231F20"/>
                            <w:spacing w:val="-4"/>
                            <w:sz w:val="13"/>
                          </w:rPr>
                          <w:t>Year</w:t>
                        </w:r>
                      </w:p>
                    </w:tc>
                    <w:tc>
                      <w:tcPr>
                        <w:tcW w:w="98" w:type="dxa"/>
                      </w:tcPr>
                      <w:p>
                        <w:pPr>
                          <w:pStyle w:val="TableParagraph"/>
                          <w:rPr>
                            <w:rFonts w:ascii="Times New Roman"/>
                            <w:sz w:val="14"/>
                          </w:rPr>
                        </w:pPr>
                      </w:p>
                    </w:tc>
                    <w:tc>
                      <w:tcPr>
                        <w:tcW w:w="858" w:type="dxa"/>
                        <w:gridSpan w:val="2"/>
                      </w:tcPr>
                      <w:p>
                        <w:pPr>
                          <w:pStyle w:val="TableParagraph"/>
                          <w:spacing w:before="2"/>
                          <w:rPr>
                            <w:sz w:val="15"/>
                          </w:rPr>
                        </w:pPr>
                      </w:p>
                      <w:p>
                        <w:pPr>
                          <w:pStyle w:val="TableParagraph"/>
                          <w:spacing w:line="145" w:lineRule="exact"/>
                          <w:ind w:left="108"/>
                          <w:rPr>
                            <w:sz w:val="13"/>
                          </w:rPr>
                        </w:pPr>
                        <w:r>
                          <w:rPr>
                            <w:color w:val="231F20"/>
                            <w:sz w:val="13"/>
                          </w:rPr>
                          <w:t>Art</w:t>
                        </w:r>
                        <w:r>
                          <w:rPr>
                            <w:color w:val="231F20"/>
                            <w:spacing w:val="-4"/>
                            <w:sz w:val="13"/>
                          </w:rPr>
                          <w:t> </w:t>
                        </w:r>
                        <w:r>
                          <w:rPr>
                            <w:color w:val="231F20"/>
                            <w:sz w:val="13"/>
                          </w:rPr>
                          <w:t>in</w:t>
                        </w:r>
                        <w:r>
                          <w:rPr>
                            <w:color w:val="231F20"/>
                            <w:spacing w:val="-4"/>
                            <w:sz w:val="13"/>
                          </w:rPr>
                          <w:t> </w:t>
                        </w:r>
                        <w:r>
                          <w:rPr>
                            <w:color w:val="231F20"/>
                            <w:spacing w:val="-2"/>
                            <w:sz w:val="13"/>
                          </w:rPr>
                          <w:t>Public</w:t>
                        </w:r>
                      </w:p>
                    </w:tc>
                    <w:tc>
                      <w:tcPr>
                        <w:tcW w:w="98" w:type="dxa"/>
                      </w:tcPr>
                      <w:p>
                        <w:pPr>
                          <w:pStyle w:val="TableParagraph"/>
                          <w:rPr>
                            <w:rFonts w:ascii="Times New Roman"/>
                            <w:sz w:val="14"/>
                          </w:rPr>
                        </w:pPr>
                      </w:p>
                    </w:tc>
                    <w:tc>
                      <w:tcPr>
                        <w:tcW w:w="860" w:type="dxa"/>
                      </w:tcPr>
                      <w:p>
                        <w:pPr>
                          <w:pStyle w:val="TableParagraph"/>
                          <w:spacing w:line="146" w:lineRule="exact"/>
                          <w:ind w:right="67"/>
                          <w:jc w:val="right"/>
                          <w:rPr>
                            <w:sz w:val="13"/>
                          </w:rPr>
                        </w:pPr>
                        <w:r>
                          <w:rPr>
                            <w:color w:val="231F20"/>
                            <w:spacing w:val="-2"/>
                            <w:sz w:val="13"/>
                          </w:rPr>
                          <w:t>Current</w:t>
                        </w:r>
                        <w:r>
                          <w:rPr>
                            <w:color w:val="231F20"/>
                            <w:spacing w:val="2"/>
                            <w:sz w:val="13"/>
                          </w:rPr>
                          <w:t> </w:t>
                        </w:r>
                        <w:r>
                          <w:rPr>
                            <w:color w:val="231F20"/>
                            <w:spacing w:val="-4"/>
                            <w:sz w:val="13"/>
                          </w:rPr>
                          <w:t>Year</w:t>
                        </w:r>
                      </w:p>
                      <w:p>
                        <w:pPr>
                          <w:pStyle w:val="TableParagraph"/>
                          <w:spacing w:line="145" w:lineRule="exact" w:before="29"/>
                          <w:ind w:right="106"/>
                          <w:jc w:val="right"/>
                          <w:rPr>
                            <w:sz w:val="13"/>
                          </w:rPr>
                        </w:pPr>
                        <w:r>
                          <w:rPr>
                            <w:color w:val="231F20"/>
                            <w:spacing w:val="-2"/>
                            <w:sz w:val="13"/>
                          </w:rPr>
                          <w:t>Reversion</w:t>
                        </w:r>
                      </w:p>
                    </w:tc>
                    <w:tc>
                      <w:tcPr>
                        <w:tcW w:w="99" w:type="dxa"/>
                      </w:tcPr>
                      <w:p>
                        <w:pPr>
                          <w:pStyle w:val="TableParagraph"/>
                          <w:rPr>
                            <w:rFonts w:ascii="Times New Roman"/>
                            <w:sz w:val="14"/>
                          </w:rPr>
                        </w:pPr>
                      </w:p>
                    </w:tc>
                    <w:tc>
                      <w:tcPr>
                        <w:tcW w:w="903" w:type="dxa"/>
                      </w:tcPr>
                      <w:p>
                        <w:pPr>
                          <w:pStyle w:val="TableParagraph"/>
                          <w:spacing w:before="2"/>
                          <w:rPr>
                            <w:sz w:val="15"/>
                          </w:rPr>
                        </w:pPr>
                      </w:p>
                      <w:p>
                        <w:pPr>
                          <w:pStyle w:val="TableParagraph"/>
                          <w:spacing w:line="145" w:lineRule="exact"/>
                          <w:ind w:right="-29"/>
                          <w:jc w:val="right"/>
                          <w:rPr>
                            <w:sz w:val="13"/>
                          </w:rPr>
                        </w:pPr>
                        <w:r>
                          <w:rPr>
                            <w:color w:val="231F20"/>
                            <w:spacing w:val="-2"/>
                            <w:sz w:val="13"/>
                          </w:rPr>
                          <w:t>Unencumbered</w:t>
                        </w:r>
                      </w:p>
                    </w:tc>
                  </w:tr>
                  <w:tr>
                    <w:trPr>
                      <w:trHeight w:val="167" w:hRule="atLeast"/>
                    </w:trPr>
                    <w:tc>
                      <w:tcPr>
                        <w:tcW w:w="2196" w:type="dxa"/>
                        <w:tcBorders>
                          <w:bottom w:val="single" w:sz="8" w:space="0" w:color="231F20"/>
                        </w:tcBorders>
                      </w:tcPr>
                      <w:p>
                        <w:pPr>
                          <w:pStyle w:val="TableParagraph"/>
                          <w:spacing w:line="135" w:lineRule="exact" w:before="12"/>
                          <w:ind w:left="50"/>
                          <w:rPr>
                            <w:sz w:val="13"/>
                          </w:rPr>
                        </w:pPr>
                        <w:r>
                          <w:rPr>
                            <w:color w:val="231F20"/>
                            <w:spacing w:val="-2"/>
                            <w:sz w:val="13"/>
                          </w:rPr>
                          <w:t>Project</w:t>
                        </w:r>
                        <w:r>
                          <w:rPr>
                            <w:color w:val="231F20"/>
                            <w:spacing w:val="4"/>
                            <w:sz w:val="13"/>
                          </w:rPr>
                          <w:t> </w:t>
                        </w:r>
                        <w:r>
                          <w:rPr>
                            <w:color w:val="231F20"/>
                            <w:spacing w:val="-2"/>
                            <w:sz w:val="13"/>
                          </w:rPr>
                          <w:t>Description</w:t>
                        </w:r>
                      </w:p>
                    </w:tc>
                    <w:tc>
                      <w:tcPr>
                        <w:tcW w:w="100" w:type="dxa"/>
                      </w:tcPr>
                      <w:p>
                        <w:pPr>
                          <w:pStyle w:val="TableParagraph"/>
                          <w:rPr>
                            <w:rFonts w:ascii="Times New Roman"/>
                            <w:sz w:val="10"/>
                          </w:rPr>
                        </w:pPr>
                      </w:p>
                    </w:tc>
                    <w:tc>
                      <w:tcPr>
                        <w:tcW w:w="1008" w:type="dxa"/>
                        <w:tcBorders>
                          <w:bottom w:val="single" w:sz="8" w:space="0" w:color="231F20"/>
                        </w:tcBorders>
                      </w:tcPr>
                      <w:p>
                        <w:pPr>
                          <w:pStyle w:val="TableParagraph"/>
                          <w:spacing w:line="135" w:lineRule="exact" w:before="12"/>
                          <w:ind w:left="19" w:right="4"/>
                          <w:jc w:val="center"/>
                          <w:rPr>
                            <w:sz w:val="13"/>
                          </w:rPr>
                        </w:pPr>
                        <w:r>
                          <w:rPr>
                            <w:color w:val="231F20"/>
                            <w:spacing w:val="-2"/>
                            <w:sz w:val="13"/>
                          </w:rPr>
                          <w:t>Chapter</w:t>
                        </w:r>
                      </w:p>
                    </w:tc>
                    <w:tc>
                      <w:tcPr>
                        <w:tcW w:w="101" w:type="dxa"/>
                      </w:tcPr>
                      <w:p>
                        <w:pPr>
                          <w:pStyle w:val="TableParagraph"/>
                          <w:rPr>
                            <w:rFonts w:ascii="Times New Roman"/>
                            <w:sz w:val="10"/>
                          </w:rPr>
                        </w:pPr>
                      </w:p>
                    </w:tc>
                    <w:tc>
                      <w:tcPr>
                        <w:tcW w:w="541" w:type="dxa"/>
                        <w:tcBorders>
                          <w:bottom w:val="single" w:sz="8" w:space="0" w:color="231F20"/>
                        </w:tcBorders>
                      </w:tcPr>
                      <w:p>
                        <w:pPr>
                          <w:pStyle w:val="TableParagraph"/>
                          <w:spacing w:line="135" w:lineRule="exact" w:before="12"/>
                          <w:ind w:right="110"/>
                          <w:jc w:val="right"/>
                          <w:rPr>
                            <w:sz w:val="13"/>
                          </w:rPr>
                        </w:pPr>
                        <w:r>
                          <w:rPr>
                            <w:color w:val="231F20"/>
                            <w:spacing w:val="-4"/>
                            <w:sz w:val="13"/>
                          </w:rPr>
                          <w:t>Laws</w:t>
                        </w:r>
                      </w:p>
                    </w:tc>
                    <w:tc>
                      <w:tcPr>
                        <w:tcW w:w="99" w:type="dxa"/>
                      </w:tcPr>
                      <w:p>
                        <w:pPr>
                          <w:pStyle w:val="TableParagraph"/>
                          <w:rPr>
                            <w:rFonts w:ascii="Times New Roman"/>
                            <w:sz w:val="10"/>
                          </w:rPr>
                        </w:pPr>
                      </w:p>
                    </w:tc>
                    <w:tc>
                      <w:tcPr>
                        <w:tcW w:w="782" w:type="dxa"/>
                        <w:tcBorders>
                          <w:bottom w:val="single" w:sz="8" w:space="0" w:color="231F20"/>
                        </w:tcBorders>
                      </w:tcPr>
                      <w:p>
                        <w:pPr>
                          <w:pStyle w:val="TableParagraph"/>
                          <w:spacing w:line="135" w:lineRule="exact" w:before="12"/>
                          <w:ind w:left="10" w:right="1"/>
                          <w:jc w:val="center"/>
                          <w:rPr>
                            <w:sz w:val="13"/>
                          </w:rPr>
                        </w:pPr>
                        <w:r>
                          <w:rPr>
                            <w:color w:val="231F20"/>
                            <w:spacing w:val="-2"/>
                            <w:sz w:val="13"/>
                          </w:rPr>
                          <w:t>Period</w:t>
                        </w:r>
                      </w:p>
                    </w:tc>
                    <w:tc>
                      <w:tcPr>
                        <w:tcW w:w="92" w:type="dxa"/>
                      </w:tcPr>
                      <w:p>
                        <w:pPr>
                          <w:pStyle w:val="TableParagraph"/>
                          <w:rPr>
                            <w:rFonts w:ascii="Times New Roman"/>
                            <w:sz w:val="10"/>
                          </w:rPr>
                        </w:pPr>
                      </w:p>
                    </w:tc>
                    <w:tc>
                      <w:tcPr>
                        <w:tcW w:w="775" w:type="dxa"/>
                        <w:tcBorders>
                          <w:bottom w:val="single" w:sz="8" w:space="0" w:color="231F20"/>
                        </w:tcBorders>
                      </w:tcPr>
                      <w:p>
                        <w:pPr>
                          <w:pStyle w:val="TableParagraph"/>
                          <w:spacing w:line="135" w:lineRule="exact" w:before="12"/>
                          <w:ind w:right="87"/>
                          <w:jc w:val="right"/>
                          <w:rPr>
                            <w:sz w:val="13"/>
                          </w:rPr>
                        </w:pPr>
                        <w:r>
                          <w:rPr>
                            <w:color w:val="231F20"/>
                            <w:spacing w:val="-2"/>
                            <w:sz w:val="13"/>
                          </w:rPr>
                          <w:t>Expiration</w:t>
                        </w:r>
                      </w:p>
                    </w:tc>
                    <w:tc>
                      <w:tcPr>
                        <w:tcW w:w="99" w:type="dxa"/>
                      </w:tcPr>
                      <w:p>
                        <w:pPr>
                          <w:pStyle w:val="TableParagraph"/>
                          <w:rPr>
                            <w:rFonts w:ascii="Times New Roman"/>
                            <w:sz w:val="10"/>
                          </w:rPr>
                        </w:pPr>
                      </w:p>
                    </w:tc>
                    <w:tc>
                      <w:tcPr>
                        <w:tcW w:w="861" w:type="dxa"/>
                        <w:tcBorders>
                          <w:bottom w:val="single" w:sz="8" w:space="0" w:color="231F20"/>
                        </w:tcBorders>
                      </w:tcPr>
                      <w:p>
                        <w:pPr>
                          <w:pStyle w:val="TableParagraph"/>
                          <w:spacing w:line="135" w:lineRule="exact" w:before="12"/>
                          <w:ind w:right="32"/>
                          <w:jc w:val="right"/>
                          <w:rPr>
                            <w:sz w:val="13"/>
                          </w:rPr>
                        </w:pPr>
                        <w:r>
                          <w:rPr>
                            <w:color w:val="231F20"/>
                            <w:spacing w:val="-2"/>
                            <w:sz w:val="13"/>
                          </w:rPr>
                          <w:t>Appropriation</w:t>
                        </w:r>
                      </w:p>
                    </w:tc>
                    <w:tc>
                      <w:tcPr>
                        <w:tcW w:w="100" w:type="dxa"/>
                      </w:tcPr>
                      <w:p>
                        <w:pPr>
                          <w:pStyle w:val="TableParagraph"/>
                          <w:rPr>
                            <w:rFonts w:ascii="Times New Roman"/>
                            <w:sz w:val="10"/>
                          </w:rPr>
                        </w:pPr>
                      </w:p>
                    </w:tc>
                    <w:tc>
                      <w:tcPr>
                        <w:tcW w:w="860" w:type="dxa"/>
                        <w:tcBorders>
                          <w:bottom w:val="single" w:sz="8" w:space="0" w:color="231F20"/>
                        </w:tcBorders>
                      </w:tcPr>
                      <w:p>
                        <w:pPr>
                          <w:pStyle w:val="TableParagraph"/>
                          <w:spacing w:line="135" w:lineRule="exact" w:before="12"/>
                          <w:ind w:left="231"/>
                          <w:rPr>
                            <w:sz w:val="13"/>
                          </w:rPr>
                        </w:pPr>
                        <w:r>
                          <w:rPr>
                            <w:color w:val="231F20"/>
                            <w:sz w:val="13"/>
                          </w:rPr>
                          <w:t>to</w:t>
                        </w:r>
                        <w:r>
                          <w:rPr>
                            <w:color w:val="231F20"/>
                            <w:spacing w:val="-4"/>
                            <w:sz w:val="13"/>
                          </w:rPr>
                          <w:t> Date</w:t>
                        </w:r>
                      </w:p>
                    </w:tc>
                    <w:tc>
                      <w:tcPr>
                        <w:tcW w:w="100" w:type="dxa"/>
                      </w:tcPr>
                      <w:p>
                        <w:pPr>
                          <w:pStyle w:val="TableParagraph"/>
                          <w:rPr>
                            <w:rFonts w:ascii="Times New Roman"/>
                            <w:sz w:val="10"/>
                          </w:rPr>
                        </w:pPr>
                      </w:p>
                    </w:tc>
                    <w:tc>
                      <w:tcPr>
                        <w:tcW w:w="859" w:type="dxa"/>
                        <w:gridSpan w:val="2"/>
                        <w:tcBorders>
                          <w:bottom w:val="single" w:sz="8" w:space="0" w:color="231F20"/>
                        </w:tcBorders>
                      </w:tcPr>
                      <w:p>
                        <w:pPr>
                          <w:pStyle w:val="TableParagraph"/>
                          <w:spacing w:line="135" w:lineRule="exact" w:before="12"/>
                          <w:ind w:left="37"/>
                          <w:rPr>
                            <w:sz w:val="13"/>
                          </w:rPr>
                        </w:pPr>
                        <w:r>
                          <w:rPr>
                            <w:color w:val="231F20"/>
                            <w:sz w:val="13"/>
                          </w:rPr>
                          <w:t>Bonds</w:t>
                        </w:r>
                        <w:r>
                          <w:rPr>
                            <w:color w:val="231F20"/>
                            <w:spacing w:val="-7"/>
                            <w:sz w:val="13"/>
                          </w:rPr>
                          <w:t> </w:t>
                        </w:r>
                        <w:r>
                          <w:rPr>
                            <w:color w:val="231F20"/>
                            <w:spacing w:val="-2"/>
                            <w:sz w:val="13"/>
                          </w:rPr>
                          <w:t>Unsold</w:t>
                        </w:r>
                      </w:p>
                    </w:tc>
                    <w:tc>
                      <w:tcPr>
                        <w:tcW w:w="100" w:type="dxa"/>
                      </w:tcPr>
                      <w:p>
                        <w:pPr>
                          <w:pStyle w:val="TableParagraph"/>
                          <w:rPr>
                            <w:rFonts w:ascii="Times New Roman"/>
                            <w:sz w:val="10"/>
                          </w:rPr>
                        </w:pPr>
                      </w:p>
                    </w:tc>
                    <w:tc>
                      <w:tcPr>
                        <w:tcW w:w="860" w:type="dxa"/>
                        <w:tcBorders>
                          <w:bottom w:val="single" w:sz="8" w:space="0" w:color="231F20"/>
                        </w:tcBorders>
                      </w:tcPr>
                      <w:p>
                        <w:pPr>
                          <w:pStyle w:val="TableParagraph"/>
                          <w:spacing w:line="135" w:lineRule="exact" w:before="12"/>
                          <w:ind w:left="182"/>
                          <w:rPr>
                            <w:sz w:val="13"/>
                          </w:rPr>
                        </w:pPr>
                        <w:r>
                          <w:rPr>
                            <w:color w:val="231F20"/>
                            <w:spacing w:val="-2"/>
                            <w:sz w:val="13"/>
                          </w:rPr>
                          <w:t>Available</w:t>
                        </w:r>
                      </w:p>
                    </w:tc>
                    <w:tc>
                      <w:tcPr>
                        <w:tcW w:w="100" w:type="dxa"/>
                      </w:tcPr>
                      <w:p>
                        <w:pPr>
                          <w:pStyle w:val="TableParagraph"/>
                          <w:rPr>
                            <w:rFonts w:ascii="Times New Roman"/>
                            <w:sz w:val="10"/>
                          </w:rPr>
                        </w:pPr>
                      </w:p>
                    </w:tc>
                    <w:tc>
                      <w:tcPr>
                        <w:tcW w:w="858" w:type="dxa"/>
                        <w:gridSpan w:val="2"/>
                        <w:tcBorders>
                          <w:bottom w:val="single" w:sz="8" w:space="0" w:color="231F20"/>
                        </w:tcBorders>
                      </w:tcPr>
                      <w:p>
                        <w:pPr>
                          <w:pStyle w:val="TableParagraph"/>
                          <w:spacing w:line="135" w:lineRule="exact" w:before="12"/>
                          <w:ind w:left="68"/>
                          <w:rPr>
                            <w:sz w:val="13"/>
                          </w:rPr>
                        </w:pPr>
                        <w:r>
                          <w:rPr>
                            <w:color w:val="231F20"/>
                            <w:spacing w:val="-2"/>
                            <w:sz w:val="13"/>
                          </w:rPr>
                          <w:t>Expenditures</w:t>
                        </w:r>
                      </w:p>
                    </w:tc>
                    <w:tc>
                      <w:tcPr>
                        <w:tcW w:w="99" w:type="dxa"/>
                      </w:tcPr>
                      <w:p>
                        <w:pPr>
                          <w:pStyle w:val="TableParagraph"/>
                          <w:rPr>
                            <w:rFonts w:ascii="Times New Roman"/>
                            <w:sz w:val="10"/>
                          </w:rPr>
                        </w:pPr>
                      </w:p>
                    </w:tc>
                    <w:tc>
                      <w:tcPr>
                        <w:tcW w:w="860" w:type="dxa"/>
                        <w:tcBorders>
                          <w:bottom w:val="single" w:sz="8" w:space="0" w:color="231F20"/>
                        </w:tcBorders>
                      </w:tcPr>
                      <w:p>
                        <w:pPr>
                          <w:pStyle w:val="TableParagraph"/>
                          <w:spacing w:line="135" w:lineRule="exact" w:before="12"/>
                          <w:ind w:right="30"/>
                          <w:jc w:val="right"/>
                          <w:rPr>
                            <w:sz w:val="13"/>
                          </w:rPr>
                        </w:pPr>
                        <w:r>
                          <w:rPr>
                            <w:color w:val="231F20"/>
                            <w:spacing w:val="-2"/>
                            <w:sz w:val="13"/>
                          </w:rPr>
                          <w:t>Expenditures</w:t>
                        </w:r>
                      </w:p>
                    </w:tc>
                    <w:tc>
                      <w:tcPr>
                        <w:tcW w:w="98" w:type="dxa"/>
                      </w:tcPr>
                      <w:p>
                        <w:pPr>
                          <w:pStyle w:val="TableParagraph"/>
                          <w:rPr>
                            <w:rFonts w:ascii="Times New Roman"/>
                            <w:sz w:val="10"/>
                          </w:rPr>
                        </w:pPr>
                      </w:p>
                    </w:tc>
                    <w:tc>
                      <w:tcPr>
                        <w:tcW w:w="858" w:type="dxa"/>
                        <w:gridSpan w:val="2"/>
                        <w:tcBorders>
                          <w:bottom w:val="single" w:sz="8" w:space="0" w:color="231F20"/>
                        </w:tcBorders>
                      </w:tcPr>
                      <w:p>
                        <w:pPr>
                          <w:pStyle w:val="TableParagraph"/>
                          <w:spacing w:line="135" w:lineRule="exact" w:before="12"/>
                          <w:ind w:left="258"/>
                          <w:rPr>
                            <w:sz w:val="13"/>
                          </w:rPr>
                        </w:pPr>
                        <w:r>
                          <w:rPr>
                            <w:color w:val="231F20"/>
                            <w:spacing w:val="-2"/>
                            <w:sz w:val="13"/>
                          </w:rPr>
                          <w:t>Places</w:t>
                        </w:r>
                      </w:p>
                    </w:tc>
                    <w:tc>
                      <w:tcPr>
                        <w:tcW w:w="98" w:type="dxa"/>
                      </w:tcPr>
                      <w:p>
                        <w:pPr>
                          <w:pStyle w:val="TableParagraph"/>
                          <w:rPr>
                            <w:rFonts w:ascii="Times New Roman"/>
                            <w:sz w:val="10"/>
                          </w:rPr>
                        </w:pPr>
                      </w:p>
                    </w:tc>
                    <w:tc>
                      <w:tcPr>
                        <w:tcW w:w="860" w:type="dxa"/>
                        <w:tcBorders>
                          <w:bottom w:val="single" w:sz="8" w:space="0" w:color="231F20"/>
                        </w:tcBorders>
                      </w:tcPr>
                      <w:p>
                        <w:pPr>
                          <w:pStyle w:val="TableParagraph"/>
                          <w:spacing w:line="135" w:lineRule="exact" w:before="12"/>
                          <w:ind w:left="234"/>
                          <w:rPr>
                            <w:sz w:val="13"/>
                          </w:rPr>
                        </w:pPr>
                        <w:r>
                          <w:rPr>
                            <w:color w:val="231F20"/>
                            <w:spacing w:val="-2"/>
                            <w:sz w:val="13"/>
                          </w:rPr>
                          <w:t>Amount</w:t>
                        </w:r>
                      </w:p>
                    </w:tc>
                    <w:tc>
                      <w:tcPr>
                        <w:tcW w:w="99" w:type="dxa"/>
                      </w:tcPr>
                      <w:p>
                        <w:pPr>
                          <w:pStyle w:val="TableParagraph"/>
                          <w:rPr>
                            <w:rFonts w:ascii="Times New Roman"/>
                            <w:sz w:val="10"/>
                          </w:rPr>
                        </w:pPr>
                      </w:p>
                    </w:tc>
                    <w:tc>
                      <w:tcPr>
                        <w:tcW w:w="903" w:type="dxa"/>
                        <w:tcBorders>
                          <w:bottom w:val="single" w:sz="8" w:space="0" w:color="231F20"/>
                        </w:tcBorders>
                      </w:tcPr>
                      <w:p>
                        <w:pPr>
                          <w:pStyle w:val="TableParagraph"/>
                          <w:spacing w:line="135" w:lineRule="exact" w:before="12"/>
                          <w:ind w:left="241"/>
                          <w:rPr>
                            <w:sz w:val="13"/>
                          </w:rPr>
                        </w:pPr>
                        <w:r>
                          <w:rPr>
                            <w:color w:val="231F20"/>
                            <w:spacing w:val="-2"/>
                            <w:sz w:val="13"/>
                          </w:rPr>
                          <w:t>Balance</w:t>
                        </w:r>
                      </w:p>
                    </w:tc>
                  </w:tr>
                  <w:tr>
                    <w:trPr>
                      <w:trHeight w:val="870" w:hRule="atLeast"/>
                    </w:trPr>
                    <w:tc>
                      <w:tcPr>
                        <w:tcW w:w="2196" w:type="dxa"/>
                        <w:tcBorders>
                          <w:top w:val="single" w:sz="8" w:space="0" w:color="231F20"/>
                        </w:tcBorders>
                      </w:tcPr>
                      <w:p>
                        <w:pPr>
                          <w:pStyle w:val="TableParagraph"/>
                          <w:spacing w:before="9"/>
                          <w:rPr>
                            <w:sz w:val="14"/>
                          </w:rPr>
                        </w:pPr>
                      </w:p>
                      <w:p>
                        <w:pPr>
                          <w:pStyle w:val="TableParagraph"/>
                          <w:ind w:left="50"/>
                          <w:rPr>
                            <w:b/>
                            <w:sz w:val="13"/>
                          </w:rPr>
                        </w:pPr>
                        <w:r>
                          <w:rPr>
                            <w:b/>
                            <w:color w:val="231F20"/>
                            <w:spacing w:val="-2"/>
                            <w:sz w:val="13"/>
                          </w:rPr>
                          <w:t>General</w:t>
                        </w:r>
                        <w:r>
                          <w:rPr>
                            <w:b/>
                            <w:color w:val="231F20"/>
                            <w:spacing w:val="2"/>
                            <w:sz w:val="13"/>
                          </w:rPr>
                          <w:t> </w:t>
                        </w:r>
                        <w:r>
                          <w:rPr>
                            <w:b/>
                            <w:color w:val="231F20"/>
                            <w:spacing w:val="-2"/>
                            <w:sz w:val="13"/>
                          </w:rPr>
                          <w:t>Obligation</w:t>
                        </w:r>
                        <w:r>
                          <w:rPr>
                            <w:b/>
                            <w:color w:val="231F20"/>
                            <w:spacing w:val="4"/>
                            <w:sz w:val="13"/>
                          </w:rPr>
                          <w:t> </w:t>
                        </w:r>
                        <w:r>
                          <w:rPr>
                            <w:b/>
                            <w:color w:val="231F20"/>
                            <w:spacing w:val="-2"/>
                            <w:sz w:val="13"/>
                          </w:rPr>
                          <w:t>Revenue</w:t>
                        </w:r>
                        <w:r>
                          <w:rPr>
                            <w:b/>
                            <w:color w:val="231F20"/>
                            <w:spacing w:val="3"/>
                            <w:sz w:val="13"/>
                          </w:rPr>
                          <w:t> </w:t>
                        </w:r>
                        <w:r>
                          <w:rPr>
                            <w:b/>
                            <w:color w:val="231F20"/>
                            <w:spacing w:val="-4"/>
                            <w:sz w:val="13"/>
                          </w:rPr>
                          <w:t>Bond</w:t>
                        </w:r>
                      </w:p>
                      <w:p>
                        <w:pPr>
                          <w:pStyle w:val="TableParagraph"/>
                          <w:spacing w:before="29"/>
                          <w:ind w:left="50"/>
                          <w:rPr>
                            <w:sz w:val="13"/>
                          </w:rPr>
                        </w:pPr>
                        <w:r>
                          <w:rPr>
                            <w:color w:val="231F20"/>
                            <w:spacing w:val="-2"/>
                            <w:sz w:val="13"/>
                          </w:rPr>
                          <w:t>General</w:t>
                        </w:r>
                        <w:r>
                          <w:rPr>
                            <w:color w:val="231F20"/>
                            <w:spacing w:val="4"/>
                            <w:sz w:val="13"/>
                          </w:rPr>
                          <w:t> </w:t>
                        </w:r>
                        <w:r>
                          <w:rPr>
                            <w:color w:val="231F20"/>
                            <w:spacing w:val="-4"/>
                            <w:sz w:val="13"/>
                          </w:rPr>
                          <w:t>Fund</w:t>
                        </w:r>
                      </w:p>
                      <w:p>
                        <w:pPr>
                          <w:pStyle w:val="TableParagraph"/>
                          <w:spacing w:line="178" w:lineRule="exact"/>
                          <w:ind w:left="472" w:hanging="283"/>
                          <w:rPr>
                            <w:sz w:val="13"/>
                          </w:rPr>
                        </w:pPr>
                        <w:r>
                          <w:rPr>
                            <w:color w:val="231F20"/>
                            <w:sz w:val="13"/>
                          </w:rPr>
                          <w:t>NMIMT</w:t>
                        </w:r>
                        <w:r>
                          <w:rPr>
                            <w:color w:val="231F20"/>
                            <w:spacing w:val="-10"/>
                            <w:sz w:val="13"/>
                          </w:rPr>
                          <w:t> </w:t>
                        </w:r>
                        <w:r>
                          <w:rPr>
                            <w:color w:val="231F20"/>
                            <w:sz w:val="13"/>
                          </w:rPr>
                          <w:t>Brown</w:t>
                        </w:r>
                        <w:r>
                          <w:rPr>
                            <w:color w:val="231F20"/>
                            <w:spacing w:val="-9"/>
                            <w:sz w:val="13"/>
                          </w:rPr>
                          <w:t> </w:t>
                        </w:r>
                        <w:r>
                          <w:rPr>
                            <w:color w:val="231F20"/>
                            <w:sz w:val="13"/>
                          </w:rPr>
                          <w:t>Hall</w:t>
                        </w:r>
                        <w:r>
                          <w:rPr>
                            <w:color w:val="231F20"/>
                            <w:spacing w:val="-9"/>
                            <w:sz w:val="13"/>
                          </w:rPr>
                          <w:t> </w:t>
                        </w:r>
                        <w:r>
                          <w:rPr>
                            <w:color w:val="231F20"/>
                            <w:sz w:val="13"/>
                          </w:rPr>
                          <w:t>Renovation</w:t>
                        </w:r>
                        <w:r>
                          <w:rPr>
                            <w:color w:val="231F20"/>
                            <w:spacing w:val="40"/>
                            <w:sz w:val="13"/>
                          </w:rPr>
                          <w:t> </w:t>
                        </w:r>
                        <w:r>
                          <w:rPr>
                            <w:color w:val="231F20"/>
                            <w:sz w:val="13"/>
                          </w:rPr>
                          <w:t>Parking &amp; Safety Lights</w:t>
                        </w:r>
                      </w:p>
                    </w:tc>
                    <w:tc>
                      <w:tcPr>
                        <w:tcW w:w="100" w:type="dxa"/>
                      </w:tcPr>
                      <w:p>
                        <w:pPr>
                          <w:pStyle w:val="TableParagraph"/>
                          <w:rPr>
                            <w:rFonts w:ascii="Times New Roman"/>
                            <w:sz w:val="14"/>
                          </w:rPr>
                        </w:pPr>
                      </w:p>
                    </w:tc>
                    <w:tc>
                      <w:tcPr>
                        <w:tcW w:w="1008"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left="19" w:right="19"/>
                          <w:jc w:val="center"/>
                          <w:rPr>
                            <w:sz w:val="13"/>
                          </w:rPr>
                        </w:pPr>
                        <w:r>
                          <w:rPr>
                            <w:color w:val="231F20"/>
                            <w:sz w:val="13"/>
                          </w:rPr>
                          <w:t>Ch</w:t>
                        </w:r>
                        <w:r>
                          <w:rPr>
                            <w:color w:val="231F20"/>
                            <w:spacing w:val="-5"/>
                            <w:sz w:val="13"/>
                          </w:rPr>
                          <w:t> </w:t>
                        </w:r>
                        <w:r>
                          <w:rPr>
                            <w:color w:val="231F20"/>
                            <w:sz w:val="13"/>
                          </w:rPr>
                          <w:t>67,</w:t>
                        </w:r>
                        <w:r>
                          <w:rPr>
                            <w:color w:val="231F20"/>
                            <w:spacing w:val="-4"/>
                            <w:sz w:val="13"/>
                          </w:rPr>
                          <w:t> </w:t>
                        </w:r>
                        <w:r>
                          <w:rPr>
                            <w:color w:val="231F20"/>
                            <w:sz w:val="13"/>
                          </w:rPr>
                          <w:t>Sect</w:t>
                        </w:r>
                        <w:r>
                          <w:rPr>
                            <w:color w:val="231F20"/>
                            <w:spacing w:val="-5"/>
                            <w:sz w:val="13"/>
                          </w:rPr>
                          <w:t> 10D</w:t>
                        </w:r>
                      </w:p>
                    </w:tc>
                    <w:tc>
                      <w:tcPr>
                        <w:tcW w:w="101" w:type="dxa"/>
                      </w:tcPr>
                      <w:p>
                        <w:pPr>
                          <w:pStyle w:val="TableParagraph"/>
                          <w:rPr>
                            <w:rFonts w:ascii="Times New Roman"/>
                            <w:sz w:val="14"/>
                          </w:rPr>
                        </w:pPr>
                      </w:p>
                    </w:tc>
                    <w:tc>
                      <w:tcPr>
                        <w:tcW w:w="541"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right="117"/>
                          <w:jc w:val="right"/>
                          <w:rPr>
                            <w:sz w:val="13"/>
                          </w:rPr>
                        </w:pPr>
                        <w:r>
                          <w:rPr>
                            <w:color w:val="231F20"/>
                            <w:spacing w:val="-4"/>
                            <w:sz w:val="13"/>
                          </w:rPr>
                          <w:t>2018</w:t>
                        </w:r>
                      </w:p>
                    </w:tc>
                    <w:tc>
                      <w:tcPr>
                        <w:tcW w:w="99" w:type="dxa"/>
                      </w:tcPr>
                      <w:p>
                        <w:pPr>
                          <w:pStyle w:val="TableParagraph"/>
                          <w:rPr>
                            <w:rFonts w:ascii="Times New Roman"/>
                            <w:sz w:val="14"/>
                          </w:rPr>
                        </w:pPr>
                      </w:p>
                    </w:tc>
                    <w:tc>
                      <w:tcPr>
                        <w:tcW w:w="782"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left="10"/>
                          <w:jc w:val="center"/>
                          <w:rPr>
                            <w:sz w:val="13"/>
                          </w:rPr>
                        </w:pPr>
                        <w:r>
                          <w:rPr>
                            <w:color w:val="231F20"/>
                            <w:spacing w:val="-4"/>
                            <w:sz w:val="13"/>
                          </w:rPr>
                          <w:t>2019</w:t>
                        </w:r>
                      </w:p>
                    </w:tc>
                    <w:tc>
                      <w:tcPr>
                        <w:tcW w:w="92" w:type="dxa"/>
                      </w:tcPr>
                      <w:p>
                        <w:pPr>
                          <w:pStyle w:val="TableParagraph"/>
                          <w:rPr>
                            <w:rFonts w:ascii="Times New Roman"/>
                            <w:sz w:val="14"/>
                          </w:rPr>
                        </w:pPr>
                      </w:p>
                    </w:tc>
                    <w:tc>
                      <w:tcPr>
                        <w:tcW w:w="775"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right="86"/>
                          <w:jc w:val="right"/>
                          <w:rPr>
                            <w:sz w:val="13"/>
                          </w:rPr>
                        </w:pPr>
                        <w:r>
                          <w:rPr>
                            <w:color w:val="231F20"/>
                            <w:spacing w:val="-2"/>
                            <w:sz w:val="13"/>
                          </w:rPr>
                          <w:t>6/30/2023</w:t>
                        </w:r>
                      </w:p>
                    </w:tc>
                    <w:tc>
                      <w:tcPr>
                        <w:tcW w:w="99" w:type="dxa"/>
                      </w:tcPr>
                      <w:p>
                        <w:pPr>
                          <w:pStyle w:val="TableParagraph"/>
                          <w:rPr>
                            <w:rFonts w:ascii="Times New Roman"/>
                            <w:sz w:val="14"/>
                          </w:rPr>
                        </w:pPr>
                      </w:p>
                    </w:tc>
                    <w:tc>
                      <w:tcPr>
                        <w:tcW w:w="861"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right="67"/>
                          <w:jc w:val="right"/>
                          <w:rPr>
                            <w:sz w:val="13"/>
                          </w:rPr>
                        </w:pPr>
                        <w:r>
                          <w:rPr>
                            <w:color w:val="231F20"/>
                            <w:sz w:val="13"/>
                          </w:rPr>
                          <w:t>$</w:t>
                        </w:r>
                        <w:r>
                          <w:rPr>
                            <w:color w:val="231F20"/>
                            <w:spacing w:val="30"/>
                            <w:sz w:val="13"/>
                          </w:rPr>
                          <w:t> </w:t>
                        </w:r>
                        <w:r>
                          <w:rPr>
                            <w:color w:val="231F20"/>
                            <w:spacing w:val="-2"/>
                            <w:sz w:val="13"/>
                          </w:rPr>
                          <w:t>7,100,000</w:t>
                        </w:r>
                      </w:p>
                    </w:tc>
                    <w:tc>
                      <w:tcPr>
                        <w:tcW w:w="100" w:type="dxa"/>
                      </w:tcPr>
                      <w:p>
                        <w:pPr>
                          <w:pStyle w:val="TableParagraph"/>
                          <w:rPr>
                            <w:rFonts w:ascii="Times New Roman"/>
                            <w:sz w:val="14"/>
                          </w:rPr>
                        </w:pPr>
                      </w:p>
                    </w:tc>
                    <w:tc>
                      <w:tcPr>
                        <w:tcW w:w="860"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right="66"/>
                          <w:jc w:val="right"/>
                          <w:rPr>
                            <w:sz w:val="13"/>
                          </w:rPr>
                        </w:pPr>
                        <w:r>
                          <w:rPr>
                            <w:color w:val="231F20"/>
                            <w:sz w:val="13"/>
                          </w:rPr>
                          <w:t>$</w:t>
                        </w:r>
                        <w:r>
                          <w:rPr>
                            <w:color w:val="231F20"/>
                            <w:spacing w:val="31"/>
                            <w:sz w:val="13"/>
                          </w:rPr>
                          <w:t> </w:t>
                        </w:r>
                        <w:r>
                          <w:rPr>
                            <w:color w:val="231F20"/>
                            <w:spacing w:val="-2"/>
                            <w:sz w:val="13"/>
                          </w:rPr>
                          <w:t>7,100,000</w:t>
                        </w:r>
                      </w:p>
                    </w:tc>
                    <w:tc>
                      <w:tcPr>
                        <w:tcW w:w="100" w:type="dxa"/>
                      </w:tcPr>
                      <w:p>
                        <w:pPr>
                          <w:pStyle w:val="TableParagraph"/>
                          <w:rPr>
                            <w:rFonts w:ascii="Times New Roman"/>
                            <w:sz w:val="14"/>
                          </w:rPr>
                        </w:pPr>
                      </w:p>
                    </w:tc>
                    <w:tc>
                      <w:tcPr>
                        <w:tcW w:w="859" w:type="dxa"/>
                        <w:gridSpan w:val="2"/>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tabs>
                            <w:tab w:pos="749" w:val="left" w:leader="none"/>
                          </w:tabs>
                          <w:spacing w:line="145" w:lineRule="exact"/>
                          <w:ind w:left="75"/>
                          <w:rPr>
                            <w:sz w:val="13"/>
                          </w:rPr>
                        </w:pPr>
                        <w:r>
                          <w:rPr>
                            <w:color w:val="231F20"/>
                            <w:spacing w:val="-10"/>
                            <w:sz w:val="13"/>
                          </w:rPr>
                          <w:t>$</w:t>
                        </w:r>
                        <w:r>
                          <w:rPr>
                            <w:color w:val="231F20"/>
                            <w:sz w:val="13"/>
                          </w:rPr>
                          <w:tab/>
                        </w:r>
                        <w:r>
                          <w:rPr>
                            <w:color w:val="231F20"/>
                            <w:spacing w:val="-10"/>
                            <w:sz w:val="13"/>
                          </w:rPr>
                          <w:t>-</w:t>
                        </w:r>
                      </w:p>
                    </w:tc>
                    <w:tc>
                      <w:tcPr>
                        <w:tcW w:w="100" w:type="dxa"/>
                      </w:tcPr>
                      <w:p>
                        <w:pPr>
                          <w:pStyle w:val="TableParagraph"/>
                          <w:rPr>
                            <w:rFonts w:ascii="Times New Roman"/>
                            <w:sz w:val="14"/>
                          </w:rPr>
                        </w:pPr>
                      </w:p>
                    </w:tc>
                    <w:tc>
                      <w:tcPr>
                        <w:tcW w:w="860"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right="62"/>
                          <w:jc w:val="right"/>
                          <w:rPr>
                            <w:sz w:val="13"/>
                          </w:rPr>
                        </w:pPr>
                        <w:r>
                          <w:rPr>
                            <w:color w:val="231F20"/>
                            <w:sz w:val="13"/>
                          </w:rPr>
                          <w:t>$</w:t>
                        </w:r>
                        <w:r>
                          <w:rPr>
                            <w:color w:val="231F20"/>
                            <w:spacing w:val="32"/>
                            <w:sz w:val="13"/>
                          </w:rPr>
                          <w:t> </w:t>
                        </w:r>
                        <w:r>
                          <w:rPr>
                            <w:color w:val="231F20"/>
                            <w:spacing w:val="-2"/>
                            <w:sz w:val="13"/>
                          </w:rPr>
                          <w:t>7,100,000</w:t>
                        </w:r>
                      </w:p>
                    </w:tc>
                    <w:tc>
                      <w:tcPr>
                        <w:tcW w:w="100" w:type="dxa"/>
                      </w:tcPr>
                      <w:p>
                        <w:pPr>
                          <w:pStyle w:val="TableParagraph"/>
                          <w:rPr>
                            <w:rFonts w:ascii="Times New Roman"/>
                            <w:sz w:val="14"/>
                          </w:rPr>
                        </w:pPr>
                      </w:p>
                    </w:tc>
                    <w:tc>
                      <w:tcPr>
                        <w:tcW w:w="858" w:type="dxa"/>
                        <w:gridSpan w:val="2"/>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left="79"/>
                          <w:rPr>
                            <w:sz w:val="13"/>
                          </w:rPr>
                        </w:pPr>
                        <w:r>
                          <w:rPr>
                            <w:color w:val="231F20"/>
                            <w:sz w:val="13"/>
                          </w:rPr>
                          <w:t>$</w:t>
                        </w:r>
                        <w:r>
                          <w:rPr>
                            <w:color w:val="231F20"/>
                            <w:spacing w:val="51"/>
                            <w:sz w:val="13"/>
                          </w:rPr>
                          <w:t>  </w:t>
                        </w:r>
                        <w:r>
                          <w:rPr>
                            <w:color w:val="231F20"/>
                            <w:spacing w:val="-2"/>
                            <w:sz w:val="13"/>
                          </w:rPr>
                          <w:t>826,978</w:t>
                        </w:r>
                      </w:p>
                    </w:tc>
                    <w:tc>
                      <w:tcPr>
                        <w:tcW w:w="99" w:type="dxa"/>
                      </w:tcPr>
                      <w:p>
                        <w:pPr>
                          <w:pStyle w:val="TableParagraph"/>
                          <w:rPr>
                            <w:rFonts w:ascii="Times New Roman"/>
                            <w:sz w:val="14"/>
                          </w:rPr>
                        </w:pPr>
                      </w:p>
                    </w:tc>
                    <w:tc>
                      <w:tcPr>
                        <w:tcW w:w="860"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right="57"/>
                          <w:jc w:val="right"/>
                          <w:rPr>
                            <w:sz w:val="13"/>
                          </w:rPr>
                        </w:pPr>
                        <w:r>
                          <w:rPr>
                            <w:color w:val="231F20"/>
                            <w:sz w:val="13"/>
                          </w:rPr>
                          <w:t>$</w:t>
                        </w:r>
                        <w:r>
                          <w:rPr>
                            <w:color w:val="231F20"/>
                            <w:spacing w:val="31"/>
                            <w:sz w:val="13"/>
                          </w:rPr>
                          <w:t> </w:t>
                        </w:r>
                        <w:r>
                          <w:rPr>
                            <w:color w:val="231F20"/>
                            <w:spacing w:val="-2"/>
                            <w:sz w:val="13"/>
                          </w:rPr>
                          <w:t>3,525,817</w:t>
                        </w:r>
                      </w:p>
                    </w:tc>
                    <w:tc>
                      <w:tcPr>
                        <w:tcW w:w="98" w:type="dxa"/>
                      </w:tcPr>
                      <w:p>
                        <w:pPr>
                          <w:pStyle w:val="TableParagraph"/>
                          <w:rPr>
                            <w:rFonts w:ascii="Times New Roman"/>
                            <w:sz w:val="14"/>
                          </w:rPr>
                        </w:pPr>
                      </w:p>
                    </w:tc>
                    <w:tc>
                      <w:tcPr>
                        <w:tcW w:w="858" w:type="dxa"/>
                        <w:gridSpan w:val="2"/>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tabs>
                            <w:tab w:pos="407" w:val="left" w:leader="none"/>
                          </w:tabs>
                          <w:spacing w:line="145" w:lineRule="exact"/>
                          <w:ind w:left="86"/>
                          <w:rPr>
                            <w:sz w:val="13"/>
                          </w:rPr>
                        </w:pPr>
                        <w:r>
                          <w:rPr>
                            <w:color w:val="231F20"/>
                            <w:spacing w:val="-10"/>
                            <w:sz w:val="13"/>
                          </w:rPr>
                          <w:t>$</w:t>
                        </w:r>
                        <w:r>
                          <w:rPr>
                            <w:color w:val="231F20"/>
                            <w:sz w:val="13"/>
                          </w:rPr>
                          <w:tab/>
                        </w:r>
                        <w:r>
                          <w:rPr>
                            <w:color w:val="231F20"/>
                            <w:spacing w:val="-2"/>
                            <w:sz w:val="13"/>
                          </w:rPr>
                          <w:t>71,000</w:t>
                        </w:r>
                      </w:p>
                    </w:tc>
                    <w:tc>
                      <w:tcPr>
                        <w:tcW w:w="98" w:type="dxa"/>
                      </w:tcPr>
                      <w:p>
                        <w:pPr>
                          <w:pStyle w:val="TableParagraph"/>
                          <w:rPr>
                            <w:rFonts w:ascii="Times New Roman"/>
                            <w:sz w:val="14"/>
                          </w:rPr>
                        </w:pPr>
                      </w:p>
                    </w:tc>
                    <w:tc>
                      <w:tcPr>
                        <w:tcW w:w="860"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tabs>
                            <w:tab w:pos="674" w:val="left" w:leader="none"/>
                          </w:tabs>
                          <w:spacing w:line="145" w:lineRule="exact"/>
                          <w:ind w:right="47"/>
                          <w:jc w:val="right"/>
                          <w:rPr>
                            <w:sz w:val="13"/>
                          </w:rPr>
                        </w:pPr>
                        <w:r>
                          <w:rPr>
                            <w:color w:val="231F20"/>
                            <w:spacing w:val="-10"/>
                            <w:sz w:val="13"/>
                          </w:rPr>
                          <w:t>$</w:t>
                        </w:r>
                        <w:r>
                          <w:rPr>
                            <w:color w:val="231F20"/>
                            <w:sz w:val="13"/>
                          </w:rPr>
                          <w:tab/>
                        </w:r>
                        <w:r>
                          <w:rPr>
                            <w:color w:val="231F20"/>
                            <w:spacing w:val="-10"/>
                            <w:sz w:val="13"/>
                          </w:rPr>
                          <w:t>-</w:t>
                        </w:r>
                      </w:p>
                    </w:tc>
                    <w:tc>
                      <w:tcPr>
                        <w:tcW w:w="99" w:type="dxa"/>
                      </w:tcPr>
                      <w:p>
                        <w:pPr>
                          <w:pStyle w:val="TableParagraph"/>
                          <w:rPr>
                            <w:rFonts w:ascii="Times New Roman"/>
                            <w:sz w:val="14"/>
                          </w:rPr>
                        </w:pPr>
                      </w:p>
                    </w:tc>
                    <w:tc>
                      <w:tcPr>
                        <w:tcW w:w="903" w:type="dxa"/>
                        <w:tcBorders>
                          <w:top w:val="single" w:sz="8" w:space="0" w:color="231F20"/>
                        </w:tcBorders>
                      </w:tcPr>
                      <w:p>
                        <w:pPr>
                          <w:pStyle w:val="TableParagraph"/>
                          <w:rPr>
                            <w:sz w:val="14"/>
                          </w:rPr>
                        </w:pPr>
                      </w:p>
                      <w:p>
                        <w:pPr>
                          <w:pStyle w:val="TableParagraph"/>
                          <w:rPr>
                            <w:sz w:val="14"/>
                          </w:rPr>
                        </w:pPr>
                      </w:p>
                      <w:p>
                        <w:pPr>
                          <w:pStyle w:val="TableParagraph"/>
                          <w:rPr>
                            <w:sz w:val="14"/>
                          </w:rPr>
                        </w:pPr>
                      </w:p>
                      <w:p>
                        <w:pPr>
                          <w:pStyle w:val="TableParagraph"/>
                          <w:spacing w:before="3"/>
                          <w:rPr>
                            <w:sz w:val="19"/>
                          </w:rPr>
                        </w:pPr>
                      </w:p>
                      <w:p>
                        <w:pPr>
                          <w:pStyle w:val="TableParagraph"/>
                          <w:spacing w:line="145" w:lineRule="exact"/>
                          <w:ind w:left="94"/>
                          <w:rPr>
                            <w:sz w:val="13"/>
                          </w:rPr>
                        </w:pPr>
                        <w:r>
                          <w:rPr>
                            <w:color w:val="231F20"/>
                            <w:sz w:val="13"/>
                          </w:rPr>
                          <w:t>$</w:t>
                        </w:r>
                        <w:r>
                          <w:rPr>
                            <w:color w:val="231F20"/>
                            <w:spacing w:val="61"/>
                            <w:sz w:val="13"/>
                          </w:rPr>
                          <w:t> </w:t>
                        </w:r>
                        <w:r>
                          <w:rPr>
                            <w:color w:val="231F20"/>
                            <w:spacing w:val="-2"/>
                            <w:sz w:val="13"/>
                          </w:rPr>
                          <w:t>2,676,205</w:t>
                        </w:r>
                      </w:p>
                    </w:tc>
                  </w:tr>
                  <w:tr>
                    <w:trPr>
                      <w:trHeight w:val="177" w:hRule="atLeast"/>
                    </w:trPr>
                    <w:tc>
                      <w:tcPr>
                        <w:tcW w:w="2196" w:type="dxa"/>
                      </w:tcPr>
                      <w:p>
                        <w:pPr>
                          <w:pStyle w:val="TableParagraph"/>
                          <w:spacing w:line="145" w:lineRule="exact" w:before="12"/>
                          <w:ind w:right="275"/>
                          <w:jc w:val="right"/>
                          <w:rPr>
                            <w:sz w:val="13"/>
                          </w:rPr>
                        </w:pPr>
                        <w:r>
                          <w:rPr>
                            <w:color w:val="231F20"/>
                            <w:spacing w:val="-2"/>
                            <w:sz w:val="13"/>
                          </w:rPr>
                          <w:t>Academic</w:t>
                        </w:r>
                        <w:r>
                          <w:rPr>
                            <w:color w:val="231F20"/>
                            <w:spacing w:val="3"/>
                            <w:sz w:val="13"/>
                          </w:rPr>
                          <w:t> </w:t>
                        </w:r>
                        <w:r>
                          <w:rPr>
                            <w:color w:val="231F20"/>
                            <w:spacing w:val="-2"/>
                            <w:sz w:val="13"/>
                          </w:rPr>
                          <w:t>Library</w:t>
                        </w:r>
                        <w:r>
                          <w:rPr>
                            <w:color w:val="231F20"/>
                            <w:spacing w:val="3"/>
                            <w:sz w:val="13"/>
                          </w:rPr>
                          <w:t> </w:t>
                        </w:r>
                        <w:r>
                          <w:rPr>
                            <w:color w:val="231F20"/>
                            <w:spacing w:val="-2"/>
                            <w:sz w:val="13"/>
                          </w:rPr>
                          <w:t>Acquisitions</w:t>
                        </w:r>
                      </w:p>
                    </w:tc>
                    <w:tc>
                      <w:tcPr>
                        <w:tcW w:w="100" w:type="dxa"/>
                      </w:tcPr>
                      <w:p>
                        <w:pPr>
                          <w:pStyle w:val="TableParagraph"/>
                          <w:rPr>
                            <w:rFonts w:ascii="Times New Roman"/>
                            <w:sz w:val="10"/>
                          </w:rPr>
                        </w:pPr>
                      </w:p>
                    </w:tc>
                    <w:tc>
                      <w:tcPr>
                        <w:tcW w:w="1008" w:type="dxa"/>
                      </w:tcPr>
                      <w:p>
                        <w:pPr>
                          <w:pStyle w:val="TableParagraph"/>
                          <w:spacing w:line="145" w:lineRule="exact" w:before="12"/>
                          <w:ind w:left="14" w:right="21"/>
                          <w:jc w:val="center"/>
                          <w:rPr>
                            <w:sz w:val="13"/>
                          </w:rPr>
                        </w:pPr>
                        <w:r>
                          <w:rPr>
                            <w:color w:val="231F20"/>
                            <w:sz w:val="13"/>
                          </w:rPr>
                          <w:t>Ch</w:t>
                        </w:r>
                        <w:r>
                          <w:rPr>
                            <w:color w:val="231F20"/>
                            <w:spacing w:val="-5"/>
                            <w:sz w:val="13"/>
                          </w:rPr>
                          <w:t> </w:t>
                        </w:r>
                        <w:r>
                          <w:rPr>
                            <w:color w:val="231F20"/>
                            <w:sz w:val="13"/>
                          </w:rPr>
                          <w:t>67,</w:t>
                        </w:r>
                        <w:r>
                          <w:rPr>
                            <w:color w:val="231F20"/>
                            <w:spacing w:val="-4"/>
                            <w:sz w:val="13"/>
                          </w:rPr>
                          <w:t> </w:t>
                        </w:r>
                        <w:r>
                          <w:rPr>
                            <w:color w:val="231F20"/>
                            <w:sz w:val="13"/>
                          </w:rPr>
                          <w:t>Sect</w:t>
                        </w:r>
                        <w:r>
                          <w:rPr>
                            <w:color w:val="231F20"/>
                            <w:spacing w:val="-5"/>
                            <w:sz w:val="13"/>
                          </w:rPr>
                          <w:t> 10B</w:t>
                        </w:r>
                      </w:p>
                    </w:tc>
                    <w:tc>
                      <w:tcPr>
                        <w:tcW w:w="101" w:type="dxa"/>
                      </w:tcPr>
                      <w:p>
                        <w:pPr>
                          <w:pStyle w:val="TableParagraph"/>
                          <w:rPr>
                            <w:rFonts w:ascii="Times New Roman"/>
                            <w:sz w:val="10"/>
                          </w:rPr>
                        </w:pPr>
                      </w:p>
                    </w:tc>
                    <w:tc>
                      <w:tcPr>
                        <w:tcW w:w="541" w:type="dxa"/>
                      </w:tcPr>
                      <w:p>
                        <w:pPr>
                          <w:pStyle w:val="TableParagraph"/>
                          <w:spacing w:line="145" w:lineRule="exact" w:before="12"/>
                          <w:ind w:right="118"/>
                          <w:jc w:val="right"/>
                          <w:rPr>
                            <w:sz w:val="13"/>
                          </w:rPr>
                        </w:pPr>
                        <w:r>
                          <w:rPr>
                            <w:color w:val="231F20"/>
                            <w:spacing w:val="-4"/>
                            <w:sz w:val="13"/>
                          </w:rPr>
                          <w:t>2018</w:t>
                        </w:r>
                      </w:p>
                    </w:tc>
                    <w:tc>
                      <w:tcPr>
                        <w:tcW w:w="99" w:type="dxa"/>
                      </w:tcPr>
                      <w:p>
                        <w:pPr>
                          <w:pStyle w:val="TableParagraph"/>
                          <w:rPr>
                            <w:rFonts w:ascii="Times New Roman"/>
                            <w:sz w:val="10"/>
                          </w:rPr>
                        </w:pPr>
                      </w:p>
                    </w:tc>
                    <w:tc>
                      <w:tcPr>
                        <w:tcW w:w="782" w:type="dxa"/>
                      </w:tcPr>
                      <w:p>
                        <w:pPr>
                          <w:pStyle w:val="TableParagraph"/>
                          <w:spacing w:line="145" w:lineRule="exact" w:before="12"/>
                          <w:ind w:left="10" w:right="3"/>
                          <w:jc w:val="center"/>
                          <w:rPr>
                            <w:sz w:val="13"/>
                          </w:rPr>
                        </w:pPr>
                        <w:r>
                          <w:rPr>
                            <w:color w:val="231F20"/>
                            <w:spacing w:val="-4"/>
                            <w:sz w:val="13"/>
                          </w:rPr>
                          <w:t>2019</w:t>
                        </w:r>
                      </w:p>
                    </w:tc>
                    <w:tc>
                      <w:tcPr>
                        <w:tcW w:w="92" w:type="dxa"/>
                      </w:tcPr>
                      <w:p>
                        <w:pPr>
                          <w:pStyle w:val="TableParagraph"/>
                          <w:rPr>
                            <w:rFonts w:ascii="Times New Roman"/>
                            <w:sz w:val="10"/>
                          </w:rPr>
                        </w:pPr>
                      </w:p>
                    </w:tc>
                    <w:tc>
                      <w:tcPr>
                        <w:tcW w:w="775" w:type="dxa"/>
                      </w:tcPr>
                      <w:p>
                        <w:pPr>
                          <w:pStyle w:val="TableParagraph"/>
                          <w:spacing w:line="145" w:lineRule="exact" w:before="12"/>
                          <w:ind w:right="88"/>
                          <w:jc w:val="right"/>
                          <w:rPr>
                            <w:sz w:val="13"/>
                          </w:rPr>
                        </w:pPr>
                        <w:r>
                          <w:rPr>
                            <w:color w:val="231F20"/>
                            <w:spacing w:val="-2"/>
                            <w:sz w:val="13"/>
                          </w:rPr>
                          <w:t>6/30/2023</w:t>
                        </w:r>
                      </w:p>
                    </w:tc>
                    <w:tc>
                      <w:tcPr>
                        <w:tcW w:w="99" w:type="dxa"/>
                      </w:tcPr>
                      <w:p>
                        <w:pPr>
                          <w:pStyle w:val="TableParagraph"/>
                          <w:rPr>
                            <w:rFonts w:ascii="Times New Roman"/>
                            <w:sz w:val="10"/>
                          </w:rPr>
                        </w:pPr>
                      </w:p>
                    </w:tc>
                    <w:tc>
                      <w:tcPr>
                        <w:tcW w:w="861" w:type="dxa"/>
                      </w:tcPr>
                      <w:p>
                        <w:pPr>
                          <w:pStyle w:val="TableParagraph"/>
                          <w:spacing w:line="145" w:lineRule="exact" w:before="12"/>
                          <w:ind w:right="69"/>
                          <w:jc w:val="right"/>
                          <w:rPr>
                            <w:sz w:val="13"/>
                          </w:rPr>
                        </w:pPr>
                        <w:r>
                          <w:rPr>
                            <w:color w:val="231F20"/>
                            <w:spacing w:val="-2"/>
                            <w:sz w:val="13"/>
                          </w:rPr>
                          <w:t>71,492</w:t>
                        </w:r>
                      </w:p>
                    </w:tc>
                    <w:tc>
                      <w:tcPr>
                        <w:tcW w:w="100" w:type="dxa"/>
                      </w:tcPr>
                      <w:p>
                        <w:pPr>
                          <w:pStyle w:val="TableParagraph"/>
                          <w:rPr>
                            <w:rFonts w:ascii="Times New Roman"/>
                            <w:sz w:val="10"/>
                          </w:rPr>
                        </w:pPr>
                      </w:p>
                    </w:tc>
                    <w:tc>
                      <w:tcPr>
                        <w:tcW w:w="860" w:type="dxa"/>
                      </w:tcPr>
                      <w:p>
                        <w:pPr>
                          <w:pStyle w:val="TableParagraph"/>
                          <w:spacing w:line="145" w:lineRule="exact" w:before="12"/>
                          <w:ind w:right="65"/>
                          <w:jc w:val="right"/>
                          <w:rPr>
                            <w:sz w:val="13"/>
                          </w:rPr>
                        </w:pPr>
                        <w:r>
                          <w:rPr>
                            <w:color w:val="231F20"/>
                            <w:spacing w:val="-2"/>
                            <w:sz w:val="13"/>
                          </w:rPr>
                          <w:t>71,492</w:t>
                        </w:r>
                      </w:p>
                    </w:tc>
                    <w:tc>
                      <w:tcPr>
                        <w:tcW w:w="100" w:type="dxa"/>
                      </w:tcPr>
                      <w:p>
                        <w:pPr>
                          <w:pStyle w:val="TableParagraph"/>
                          <w:rPr>
                            <w:rFonts w:ascii="Times New Roman"/>
                            <w:sz w:val="10"/>
                          </w:rPr>
                        </w:pPr>
                      </w:p>
                    </w:tc>
                    <w:tc>
                      <w:tcPr>
                        <w:tcW w:w="859" w:type="dxa"/>
                        <w:gridSpan w:val="2"/>
                      </w:tcPr>
                      <w:p>
                        <w:pPr>
                          <w:pStyle w:val="TableParagraph"/>
                          <w:spacing w:line="145" w:lineRule="exact" w:before="12"/>
                          <w:ind w:right="64"/>
                          <w:jc w:val="right"/>
                          <w:rPr>
                            <w:sz w:val="13"/>
                          </w:rPr>
                        </w:pPr>
                        <w:r>
                          <w:rPr>
                            <w:color w:val="231F20"/>
                            <w:w w:val="99"/>
                            <w:sz w:val="13"/>
                          </w:rPr>
                          <w:t>-</w:t>
                        </w:r>
                      </w:p>
                    </w:tc>
                    <w:tc>
                      <w:tcPr>
                        <w:tcW w:w="100" w:type="dxa"/>
                      </w:tcPr>
                      <w:p>
                        <w:pPr>
                          <w:pStyle w:val="TableParagraph"/>
                          <w:rPr>
                            <w:rFonts w:ascii="Times New Roman"/>
                            <w:sz w:val="10"/>
                          </w:rPr>
                        </w:pPr>
                      </w:p>
                    </w:tc>
                    <w:tc>
                      <w:tcPr>
                        <w:tcW w:w="860" w:type="dxa"/>
                      </w:tcPr>
                      <w:p>
                        <w:pPr>
                          <w:pStyle w:val="TableParagraph"/>
                          <w:spacing w:line="145" w:lineRule="exact" w:before="12"/>
                          <w:ind w:right="62"/>
                          <w:jc w:val="right"/>
                          <w:rPr>
                            <w:sz w:val="13"/>
                          </w:rPr>
                        </w:pPr>
                        <w:r>
                          <w:rPr>
                            <w:color w:val="231F20"/>
                            <w:spacing w:val="-2"/>
                            <w:sz w:val="13"/>
                          </w:rPr>
                          <w:t>71,492</w:t>
                        </w:r>
                      </w:p>
                    </w:tc>
                    <w:tc>
                      <w:tcPr>
                        <w:tcW w:w="100" w:type="dxa"/>
                      </w:tcPr>
                      <w:p>
                        <w:pPr>
                          <w:pStyle w:val="TableParagraph"/>
                          <w:rPr>
                            <w:rFonts w:ascii="Times New Roman"/>
                            <w:sz w:val="10"/>
                          </w:rPr>
                        </w:pPr>
                      </w:p>
                    </w:tc>
                    <w:tc>
                      <w:tcPr>
                        <w:tcW w:w="858" w:type="dxa"/>
                        <w:gridSpan w:val="2"/>
                      </w:tcPr>
                      <w:p>
                        <w:pPr>
                          <w:pStyle w:val="TableParagraph"/>
                          <w:spacing w:line="145" w:lineRule="exact" w:before="12"/>
                          <w:ind w:left="400"/>
                          <w:rPr>
                            <w:sz w:val="13"/>
                          </w:rPr>
                        </w:pPr>
                        <w:r>
                          <w:rPr>
                            <w:color w:val="231F20"/>
                            <w:spacing w:val="-2"/>
                            <w:sz w:val="13"/>
                          </w:rPr>
                          <w:t>39,705</w:t>
                        </w:r>
                      </w:p>
                    </w:tc>
                    <w:tc>
                      <w:tcPr>
                        <w:tcW w:w="99" w:type="dxa"/>
                      </w:tcPr>
                      <w:p>
                        <w:pPr>
                          <w:pStyle w:val="TableParagraph"/>
                          <w:rPr>
                            <w:rFonts w:ascii="Times New Roman"/>
                            <w:sz w:val="10"/>
                          </w:rPr>
                        </w:pPr>
                      </w:p>
                    </w:tc>
                    <w:tc>
                      <w:tcPr>
                        <w:tcW w:w="860" w:type="dxa"/>
                      </w:tcPr>
                      <w:p>
                        <w:pPr>
                          <w:pStyle w:val="TableParagraph"/>
                          <w:spacing w:line="145" w:lineRule="exact" w:before="12"/>
                          <w:ind w:right="57"/>
                          <w:jc w:val="right"/>
                          <w:rPr>
                            <w:sz w:val="13"/>
                          </w:rPr>
                        </w:pPr>
                        <w:r>
                          <w:rPr>
                            <w:color w:val="231F20"/>
                            <w:w w:val="99"/>
                            <w:sz w:val="13"/>
                          </w:rPr>
                          <w:t>-</w:t>
                        </w:r>
                      </w:p>
                    </w:tc>
                    <w:tc>
                      <w:tcPr>
                        <w:tcW w:w="98" w:type="dxa"/>
                      </w:tcPr>
                      <w:p>
                        <w:pPr>
                          <w:pStyle w:val="TableParagraph"/>
                          <w:rPr>
                            <w:rFonts w:ascii="Times New Roman"/>
                            <w:sz w:val="10"/>
                          </w:rPr>
                        </w:pPr>
                      </w:p>
                    </w:tc>
                    <w:tc>
                      <w:tcPr>
                        <w:tcW w:w="858" w:type="dxa"/>
                        <w:gridSpan w:val="2"/>
                      </w:tcPr>
                      <w:p>
                        <w:pPr>
                          <w:pStyle w:val="TableParagraph"/>
                          <w:spacing w:line="145" w:lineRule="exact" w:before="12"/>
                          <w:ind w:right="50"/>
                          <w:jc w:val="right"/>
                          <w:rPr>
                            <w:sz w:val="13"/>
                          </w:rPr>
                        </w:pPr>
                        <w:r>
                          <w:rPr>
                            <w:color w:val="231F20"/>
                            <w:w w:val="99"/>
                            <w:sz w:val="13"/>
                          </w:rPr>
                          <w:t>-</w:t>
                        </w:r>
                      </w:p>
                    </w:tc>
                    <w:tc>
                      <w:tcPr>
                        <w:tcW w:w="98" w:type="dxa"/>
                      </w:tcPr>
                      <w:p>
                        <w:pPr>
                          <w:pStyle w:val="TableParagraph"/>
                          <w:rPr>
                            <w:rFonts w:ascii="Times New Roman"/>
                            <w:sz w:val="10"/>
                          </w:rPr>
                        </w:pPr>
                      </w:p>
                    </w:tc>
                    <w:tc>
                      <w:tcPr>
                        <w:tcW w:w="860" w:type="dxa"/>
                      </w:tcPr>
                      <w:p>
                        <w:pPr>
                          <w:pStyle w:val="TableParagraph"/>
                          <w:spacing w:line="145" w:lineRule="exact" w:before="12"/>
                          <w:ind w:right="47"/>
                          <w:jc w:val="right"/>
                          <w:rPr>
                            <w:sz w:val="13"/>
                          </w:rPr>
                        </w:pPr>
                        <w:r>
                          <w:rPr>
                            <w:color w:val="231F20"/>
                            <w:w w:val="99"/>
                            <w:sz w:val="13"/>
                          </w:rPr>
                          <w:t>-</w:t>
                        </w:r>
                      </w:p>
                    </w:tc>
                    <w:tc>
                      <w:tcPr>
                        <w:tcW w:w="99" w:type="dxa"/>
                      </w:tcPr>
                      <w:p>
                        <w:pPr>
                          <w:pStyle w:val="TableParagraph"/>
                          <w:rPr>
                            <w:rFonts w:ascii="Times New Roman"/>
                            <w:sz w:val="10"/>
                          </w:rPr>
                        </w:pPr>
                      </w:p>
                    </w:tc>
                    <w:tc>
                      <w:tcPr>
                        <w:tcW w:w="903" w:type="dxa"/>
                      </w:tcPr>
                      <w:p>
                        <w:pPr>
                          <w:pStyle w:val="TableParagraph"/>
                          <w:spacing w:line="145" w:lineRule="exact" w:before="12"/>
                          <w:ind w:right="58"/>
                          <w:jc w:val="right"/>
                          <w:rPr>
                            <w:sz w:val="13"/>
                          </w:rPr>
                        </w:pPr>
                        <w:r>
                          <w:rPr>
                            <w:color w:val="231F20"/>
                            <w:spacing w:val="-2"/>
                            <w:sz w:val="13"/>
                          </w:rPr>
                          <w:t>31,787</w:t>
                        </w:r>
                      </w:p>
                    </w:tc>
                  </w:tr>
                  <w:tr>
                    <w:trPr>
                      <w:trHeight w:val="162" w:hRule="atLeast"/>
                    </w:trPr>
                    <w:tc>
                      <w:tcPr>
                        <w:tcW w:w="2196" w:type="dxa"/>
                      </w:tcPr>
                      <w:p>
                        <w:pPr>
                          <w:pStyle w:val="TableParagraph"/>
                          <w:spacing w:line="130" w:lineRule="exact" w:before="12"/>
                          <w:ind w:right="240"/>
                          <w:jc w:val="right"/>
                          <w:rPr>
                            <w:sz w:val="13"/>
                          </w:rPr>
                        </w:pPr>
                        <w:r>
                          <w:rPr>
                            <w:color w:val="231F20"/>
                            <w:sz w:val="13"/>
                          </w:rPr>
                          <w:t>NMIMT</w:t>
                        </w:r>
                        <w:r>
                          <w:rPr>
                            <w:color w:val="231F20"/>
                            <w:spacing w:val="-7"/>
                            <w:sz w:val="13"/>
                          </w:rPr>
                          <w:t> </w:t>
                        </w:r>
                        <w:r>
                          <w:rPr>
                            <w:color w:val="231F20"/>
                            <w:sz w:val="13"/>
                          </w:rPr>
                          <w:t>Kelly</w:t>
                        </w:r>
                        <w:r>
                          <w:rPr>
                            <w:color w:val="231F20"/>
                            <w:spacing w:val="-9"/>
                            <w:sz w:val="13"/>
                          </w:rPr>
                          <w:t> </w:t>
                        </w:r>
                        <w:r>
                          <w:rPr>
                            <w:color w:val="231F20"/>
                            <w:sz w:val="13"/>
                          </w:rPr>
                          <w:t>Hall</w:t>
                        </w:r>
                        <w:r>
                          <w:rPr>
                            <w:color w:val="231F20"/>
                            <w:spacing w:val="-8"/>
                            <w:sz w:val="13"/>
                          </w:rPr>
                          <w:t> </w:t>
                        </w:r>
                        <w:r>
                          <w:rPr>
                            <w:color w:val="231F20"/>
                            <w:spacing w:val="-2"/>
                            <w:sz w:val="13"/>
                          </w:rPr>
                          <w:t>Construction</w:t>
                        </w:r>
                      </w:p>
                    </w:tc>
                    <w:tc>
                      <w:tcPr>
                        <w:tcW w:w="100" w:type="dxa"/>
                      </w:tcPr>
                      <w:p>
                        <w:pPr>
                          <w:pStyle w:val="TableParagraph"/>
                          <w:rPr>
                            <w:rFonts w:ascii="Times New Roman"/>
                            <w:sz w:val="10"/>
                          </w:rPr>
                        </w:pPr>
                      </w:p>
                    </w:tc>
                    <w:tc>
                      <w:tcPr>
                        <w:tcW w:w="1008" w:type="dxa"/>
                      </w:tcPr>
                      <w:p>
                        <w:pPr>
                          <w:pStyle w:val="TableParagraph"/>
                          <w:spacing w:line="130" w:lineRule="exact" w:before="12"/>
                          <w:ind w:left="19" w:right="112"/>
                          <w:jc w:val="center"/>
                          <w:rPr>
                            <w:sz w:val="13"/>
                          </w:rPr>
                        </w:pPr>
                        <w:r>
                          <w:rPr>
                            <w:color w:val="231F20"/>
                            <w:sz w:val="13"/>
                          </w:rPr>
                          <w:t>Ch</w:t>
                        </w:r>
                        <w:r>
                          <w:rPr>
                            <w:color w:val="231F20"/>
                            <w:spacing w:val="-5"/>
                            <w:sz w:val="13"/>
                          </w:rPr>
                          <w:t> </w:t>
                        </w:r>
                        <w:r>
                          <w:rPr>
                            <w:color w:val="231F20"/>
                            <w:sz w:val="13"/>
                          </w:rPr>
                          <w:t>84,</w:t>
                        </w:r>
                        <w:r>
                          <w:rPr>
                            <w:color w:val="231F20"/>
                            <w:spacing w:val="-4"/>
                            <w:sz w:val="13"/>
                          </w:rPr>
                          <w:t> </w:t>
                        </w:r>
                        <w:r>
                          <w:rPr>
                            <w:color w:val="231F20"/>
                            <w:sz w:val="13"/>
                          </w:rPr>
                          <w:t>Sect</w:t>
                        </w:r>
                        <w:r>
                          <w:rPr>
                            <w:color w:val="231F20"/>
                            <w:spacing w:val="-5"/>
                            <w:sz w:val="13"/>
                          </w:rPr>
                          <w:t> 10</w:t>
                        </w:r>
                      </w:p>
                    </w:tc>
                    <w:tc>
                      <w:tcPr>
                        <w:tcW w:w="101" w:type="dxa"/>
                      </w:tcPr>
                      <w:p>
                        <w:pPr>
                          <w:pStyle w:val="TableParagraph"/>
                          <w:rPr>
                            <w:rFonts w:ascii="Times New Roman"/>
                            <w:sz w:val="10"/>
                          </w:rPr>
                        </w:pPr>
                      </w:p>
                    </w:tc>
                    <w:tc>
                      <w:tcPr>
                        <w:tcW w:w="541" w:type="dxa"/>
                      </w:tcPr>
                      <w:p>
                        <w:pPr>
                          <w:pStyle w:val="TableParagraph"/>
                          <w:spacing w:line="130" w:lineRule="exact" w:before="12"/>
                          <w:ind w:right="118"/>
                          <w:jc w:val="right"/>
                          <w:rPr>
                            <w:sz w:val="13"/>
                          </w:rPr>
                        </w:pPr>
                        <w:r>
                          <w:rPr>
                            <w:color w:val="231F20"/>
                            <w:spacing w:val="-4"/>
                            <w:sz w:val="13"/>
                          </w:rPr>
                          <w:t>2020</w:t>
                        </w:r>
                      </w:p>
                    </w:tc>
                    <w:tc>
                      <w:tcPr>
                        <w:tcW w:w="99" w:type="dxa"/>
                      </w:tcPr>
                      <w:p>
                        <w:pPr>
                          <w:pStyle w:val="TableParagraph"/>
                          <w:rPr>
                            <w:rFonts w:ascii="Times New Roman"/>
                            <w:sz w:val="10"/>
                          </w:rPr>
                        </w:pPr>
                      </w:p>
                    </w:tc>
                    <w:tc>
                      <w:tcPr>
                        <w:tcW w:w="782" w:type="dxa"/>
                      </w:tcPr>
                      <w:p>
                        <w:pPr>
                          <w:pStyle w:val="TableParagraph"/>
                          <w:spacing w:line="130" w:lineRule="exact" w:before="12"/>
                          <w:ind w:left="10" w:right="2"/>
                          <w:jc w:val="center"/>
                          <w:rPr>
                            <w:sz w:val="13"/>
                          </w:rPr>
                        </w:pPr>
                        <w:r>
                          <w:rPr>
                            <w:color w:val="231F20"/>
                            <w:spacing w:val="-4"/>
                            <w:sz w:val="13"/>
                          </w:rPr>
                          <w:t>2021</w:t>
                        </w:r>
                      </w:p>
                    </w:tc>
                    <w:tc>
                      <w:tcPr>
                        <w:tcW w:w="92" w:type="dxa"/>
                      </w:tcPr>
                      <w:p>
                        <w:pPr>
                          <w:pStyle w:val="TableParagraph"/>
                          <w:rPr>
                            <w:rFonts w:ascii="Times New Roman"/>
                            <w:sz w:val="10"/>
                          </w:rPr>
                        </w:pPr>
                      </w:p>
                    </w:tc>
                    <w:tc>
                      <w:tcPr>
                        <w:tcW w:w="775" w:type="dxa"/>
                      </w:tcPr>
                      <w:p>
                        <w:pPr>
                          <w:pStyle w:val="TableParagraph"/>
                          <w:spacing w:line="130" w:lineRule="exact" w:before="12"/>
                          <w:ind w:right="87"/>
                          <w:jc w:val="right"/>
                          <w:rPr>
                            <w:sz w:val="13"/>
                          </w:rPr>
                        </w:pPr>
                        <w:r>
                          <w:rPr>
                            <w:color w:val="231F20"/>
                            <w:spacing w:val="-2"/>
                            <w:sz w:val="13"/>
                          </w:rPr>
                          <w:t>6/30/2024</w:t>
                        </w:r>
                      </w:p>
                    </w:tc>
                    <w:tc>
                      <w:tcPr>
                        <w:tcW w:w="99" w:type="dxa"/>
                      </w:tcPr>
                      <w:p>
                        <w:pPr>
                          <w:pStyle w:val="TableParagraph"/>
                          <w:rPr>
                            <w:rFonts w:ascii="Times New Roman"/>
                            <w:sz w:val="10"/>
                          </w:rPr>
                        </w:pPr>
                      </w:p>
                    </w:tc>
                    <w:tc>
                      <w:tcPr>
                        <w:tcW w:w="861" w:type="dxa"/>
                        <w:tcBorders>
                          <w:bottom w:val="single" w:sz="12" w:space="0" w:color="231F20"/>
                        </w:tcBorders>
                      </w:tcPr>
                      <w:p>
                        <w:pPr>
                          <w:pStyle w:val="TableParagraph"/>
                          <w:spacing w:line="130" w:lineRule="exact" w:before="12"/>
                          <w:ind w:right="68"/>
                          <w:jc w:val="right"/>
                          <w:rPr>
                            <w:sz w:val="13"/>
                          </w:rPr>
                        </w:pPr>
                        <w:r>
                          <w:rPr>
                            <w:color w:val="231F20"/>
                            <w:spacing w:val="-2"/>
                            <w:sz w:val="13"/>
                          </w:rPr>
                          <w:t>10,000,000</w:t>
                        </w:r>
                      </w:p>
                    </w:tc>
                    <w:tc>
                      <w:tcPr>
                        <w:tcW w:w="100" w:type="dxa"/>
                      </w:tcPr>
                      <w:p>
                        <w:pPr>
                          <w:pStyle w:val="TableParagraph"/>
                          <w:rPr>
                            <w:rFonts w:ascii="Times New Roman"/>
                            <w:sz w:val="10"/>
                          </w:rPr>
                        </w:pPr>
                      </w:p>
                    </w:tc>
                    <w:tc>
                      <w:tcPr>
                        <w:tcW w:w="860" w:type="dxa"/>
                        <w:tcBorders>
                          <w:bottom w:val="single" w:sz="12" w:space="0" w:color="231F20"/>
                        </w:tcBorders>
                      </w:tcPr>
                      <w:p>
                        <w:pPr>
                          <w:pStyle w:val="TableParagraph"/>
                          <w:spacing w:line="130" w:lineRule="exact" w:before="12"/>
                          <w:ind w:right="66"/>
                          <w:jc w:val="right"/>
                          <w:rPr>
                            <w:sz w:val="13"/>
                          </w:rPr>
                        </w:pPr>
                        <w:r>
                          <w:rPr>
                            <w:color w:val="231F20"/>
                            <w:spacing w:val="-2"/>
                            <w:sz w:val="13"/>
                          </w:rPr>
                          <w:t>10,000,000</w:t>
                        </w:r>
                      </w:p>
                    </w:tc>
                    <w:tc>
                      <w:tcPr>
                        <w:tcW w:w="100" w:type="dxa"/>
                      </w:tcPr>
                      <w:p>
                        <w:pPr>
                          <w:pStyle w:val="TableParagraph"/>
                          <w:rPr>
                            <w:rFonts w:ascii="Times New Roman"/>
                            <w:sz w:val="10"/>
                          </w:rPr>
                        </w:pPr>
                      </w:p>
                    </w:tc>
                    <w:tc>
                      <w:tcPr>
                        <w:tcW w:w="859" w:type="dxa"/>
                        <w:gridSpan w:val="2"/>
                        <w:tcBorders>
                          <w:bottom w:val="single" w:sz="12" w:space="0" w:color="231F20"/>
                        </w:tcBorders>
                      </w:tcPr>
                      <w:p>
                        <w:pPr>
                          <w:pStyle w:val="TableParagraph"/>
                          <w:spacing w:line="130" w:lineRule="exact" w:before="12"/>
                          <w:ind w:right="64"/>
                          <w:jc w:val="right"/>
                          <w:rPr>
                            <w:sz w:val="13"/>
                          </w:rPr>
                        </w:pPr>
                        <w:r>
                          <w:rPr>
                            <w:color w:val="231F20"/>
                            <w:w w:val="99"/>
                            <w:sz w:val="13"/>
                          </w:rPr>
                          <w:t>-</w:t>
                        </w:r>
                      </w:p>
                    </w:tc>
                    <w:tc>
                      <w:tcPr>
                        <w:tcW w:w="100" w:type="dxa"/>
                      </w:tcPr>
                      <w:p>
                        <w:pPr>
                          <w:pStyle w:val="TableParagraph"/>
                          <w:rPr>
                            <w:rFonts w:ascii="Times New Roman"/>
                            <w:sz w:val="10"/>
                          </w:rPr>
                        </w:pPr>
                      </w:p>
                    </w:tc>
                    <w:tc>
                      <w:tcPr>
                        <w:tcW w:w="860" w:type="dxa"/>
                        <w:tcBorders>
                          <w:bottom w:val="single" w:sz="12" w:space="0" w:color="231F20"/>
                        </w:tcBorders>
                      </w:tcPr>
                      <w:p>
                        <w:pPr>
                          <w:pStyle w:val="TableParagraph"/>
                          <w:spacing w:line="130" w:lineRule="exact" w:before="12"/>
                          <w:ind w:right="62"/>
                          <w:jc w:val="right"/>
                          <w:rPr>
                            <w:sz w:val="13"/>
                          </w:rPr>
                        </w:pPr>
                        <w:r>
                          <w:rPr>
                            <w:color w:val="231F20"/>
                            <w:spacing w:val="-2"/>
                            <w:sz w:val="13"/>
                          </w:rPr>
                          <w:t>10,000,000</w:t>
                        </w:r>
                      </w:p>
                    </w:tc>
                    <w:tc>
                      <w:tcPr>
                        <w:tcW w:w="100" w:type="dxa"/>
                      </w:tcPr>
                      <w:p>
                        <w:pPr>
                          <w:pStyle w:val="TableParagraph"/>
                          <w:rPr>
                            <w:rFonts w:ascii="Times New Roman"/>
                            <w:sz w:val="10"/>
                          </w:rPr>
                        </w:pPr>
                      </w:p>
                    </w:tc>
                    <w:tc>
                      <w:tcPr>
                        <w:tcW w:w="858" w:type="dxa"/>
                        <w:gridSpan w:val="2"/>
                        <w:tcBorders>
                          <w:bottom w:val="single" w:sz="12" w:space="0" w:color="231F20"/>
                        </w:tcBorders>
                      </w:tcPr>
                      <w:p>
                        <w:pPr>
                          <w:pStyle w:val="TableParagraph"/>
                          <w:spacing w:line="130" w:lineRule="exact" w:before="12"/>
                          <w:ind w:right="59"/>
                          <w:jc w:val="right"/>
                          <w:rPr>
                            <w:sz w:val="13"/>
                          </w:rPr>
                        </w:pPr>
                        <w:r>
                          <w:rPr>
                            <w:color w:val="231F20"/>
                            <w:w w:val="99"/>
                            <w:sz w:val="13"/>
                          </w:rPr>
                          <w:t>-</w:t>
                        </w:r>
                      </w:p>
                    </w:tc>
                    <w:tc>
                      <w:tcPr>
                        <w:tcW w:w="99" w:type="dxa"/>
                      </w:tcPr>
                      <w:p>
                        <w:pPr>
                          <w:pStyle w:val="TableParagraph"/>
                          <w:rPr>
                            <w:rFonts w:ascii="Times New Roman"/>
                            <w:sz w:val="10"/>
                          </w:rPr>
                        </w:pPr>
                      </w:p>
                    </w:tc>
                    <w:tc>
                      <w:tcPr>
                        <w:tcW w:w="860" w:type="dxa"/>
                        <w:tcBorders>
                          <w:bottom w:val="single" w:sz="12" w:space="0" w:color="231F20"/>
                        </w:tcBorders>
                      </w:tcPr>
                      <w:p>
                        <w:pPr>
                          <w:pStyle w:val="TableParagraph"/>
                          <w:spacing w:line="130" w:lineRule="exact" w:before="12"/>
                          <w:ind w:right="57"/>
                          <w:jc w:val="right"/>
                          <w:rPr>
                            <w:sz w:val="13"/>
                          </w:rPr>
                        </w:pPr>
                        <w:r>
                          <w:rPr>
                            <w:color w:val="231F20"/>
                            <w:w w:val="99"/>
                            <w:sz w:val="13"/>
                          </w:rPr>
                          <w:t>-</w:t>
                        </w:r>
                      </w:p>
                    </w:tc>
                    <w:tc>
                      <w:tcPr>
                        <w:tcW w:w="98" w:type="dxa"/>
                      </w:tcPr>
                      <w:p>
                        <w:pPr>
                          <w:pStyle w:val="TableParagraph"/>
                          <w:rPr>
                            <w:rFonts w:ascii="Times New Roman"/>
                            <w:sz w:val="10"/>
                          </w:rPr>
                        </w:pPr>
                      </w:p>
                    </w:tc>
                    <w:tc>
                      <w:tcPr>
                        <w:tcW w:w="858" w:type="dxa"/>
                        <w:gridSpan w:val="2"/>
                        <w:tcBorders>
                          <w:bottom w:val="single" w:sz="12" w:space="0" w:color="231F20"/>
                        </w:tcBorders>
                      </w:tcPr>
                      <w:p>
                        <w:pPr>
                          <w:pStyle w:val="TableParagraph"/>
                          <w:spacing w:line="130" w:lineRule="exact" w:before="12"/>
                          <w:ind w:left="335"/>
                          <w:rPr>
                            <w:sz w:val="13"/>
                          </w:rPr>
                        </w:pPr>
                        <w:r>
                          <w:rPr>
                            <w:color w:val="231F20"/>
                            <w:spacing w:val="-2"/>
                            <w:sz w:val="13"/>
                          </w:rPr>
                          <w:t>100,000</w:t>
                        </w:r>
                      </w:p>
                    </w:tc>
                    <w:tc>
                      <w:tcPr>
                        <w:tcW w:w="98" w:type="dxa"/>
                      </w:tcPr>
                      <w:p>
                        <w:pPr>
                          <w:pStyle w:val="TableParagraph"/>
                          <w:rPr>
                            <w:rFonts w:ascii="Times New Roman"/>
                            <w:sz w:val="10"/>
                          </w:rPr>
                        </w:pPr>
                      </w:p>
                    </w:tc>
                    <w:tc>
                      <w:tcPr>
                        <w:tcW w:w="860" w:type="dxa"/>
                        <w:tcBorders>
                          <w:bottom w:val="single" w:sz="12" w:space="0" w:color="231F20"/>
                        </w:tcBorders>
                      </w:tcPr>
                      <w:p>
                        <w:pPr>
                          <w:pStyle w:val="TableParagraph"/>
                          <w:spacing w:line="130" w:lineRule="exact" w:before="12"/>
                          <w:ind w:right="47"/>
                          <w:jc w:val="right"/>
                          <w:rPr>
                            <w:sz w:val="13"/>
                          </w:rPr>
                        </w:pPr>
                        <w:r>
                          <w:rPr>
                            <w:color w:val="231F20"/>
                            <w:w w:val="99"/>
                            <w:sz w:val="13"/>
                          </w:rPr>
                          <w:t>-</w:t>
                        </w:r>
                      </w:p>
                    </w:tc>
                    <w:tc>
                      <w:tcPr>
                        <w:tcW w:w="99" w:type="dxa"/>
                      </w:tcPr>
                      <w:p>
                        <w:pPr>
                          <w:pStyle w:val="TableParagraph"/>
                          <w:rPr>
                            <w:rFonts w:ascii="Times New Roman"/>
                            <w:sz w:val="10"/>
                          </w:rPr>
                        </w:pPr>
                      </w:p>
                    </w:tc>
                    <w:tc>
                      <w:tcPr>
                        <w:tcW w:w="903" w:type="dxa"/>
                        <w:tcBorders>
                          <w:bottom w:val="single" w:sz="12" w:space="0" w:color="231F20"/>
                        </w:tcBorders>
                      </w:tcPr>
                      <w:p>
                        <w:pPr>
                          <w:pStyle w:val="TableParagraph"/>
                          <w:spacing w:line="130" w:lineRule="exact" w:before="12"/>
                          <w:ind w:left="265"/>
                          <w:rPr>
                            <w:sz w:val="13"/>
                          </w:rPr>
                        </w:pPr>
                        <w:r>
                          <w:rPr>
                            <w:color w:val="231F20"/>
                            <w:spacing w:val="-2"/>
                            <w:sz w:val="13"/>
                          </w:rPr>
                          <w:t>9,900,000</w:t>
                        </w:r>
                      </w:p>
                    </w:tc>
                  </w:tr>
                  <w:tr>
                    <w:trPr>
                      <w:trHeight w:val="563" w:hRule="atLeast"/>
                    </w:trPr>
                    <w:tc>
                      <w:tcPr>
                        <w:tcW w:w="2196" w:type="dxa"/>
                      </w:tcPr>
                      <w:p>
                        <w:pPr>
                          <w:pStyle w:val="TableParagraph"/>
                          <w:spacing w:before="4"/>
                          <w:rPr>
                            <w:sz w:val="14"/>
                          </w:rPr>
                        </w:pPr>
                      </w:p>
                      <w:p>
                        <w:pPr>
                          <w:pStyle w:val="TableParagraph"/>
                          <w:spacing w:line="278" w:lineRule="auto"/>
                          <w:ind w:left="190" w:right="256" w:hanging="141"/>
                          <w:rPr>
                            <w:sz w:val="13"/>
                          </w:rPr>
                        </w:pPr>
                        <w:r>
                          <w:rPr>
                            <w:color w:val="231F20"/>
                            <w:sz w:val="13"/>
                          </w:rPr>
                          <w:t>Total</w:t>
                        </w:r>
                        <w:r>
                          <w:rPr>
                            <w:color w:val="231F20"/>
                            <w:spacing w:val="-10"/>
                            <w:sz w:val="13"/>
                          </w:rPr>
                          <w:t> </w:t>
                        </w:r>
                        <w:r>
                          <w:rPr>
                            <w:color w:val="231F20"/>
                            <w:sz w:val="13"/>
                          </w:rPr>
                          <w:t>General</w:t>
                        </w:r>
                        <w:r>
                          <w:rPr>
                            <w:color w:val="231F20"/>
                            <w:spacing w:val="-9"/>
                            <w:sz w:val="13"/>
                          </w:rPr>
                          <w:t> </w:t>
                        </w:r>
                        <w:r>
                          <w:rPr>
                            <w:color w:val="231F20"/>
                            <w:sz w:val="13"/>
                          </w:rPr>
                          <w:t>Obligation</w:t>
                        </w:r>
                        <w:r>
                          <w:rPr>
                            <w:color w:val="231F20"/>
                            <w:spacing w:val="40"/>
                            <w:sz w:val="13"/>
                          </w:rPr>
                          <w:t> </w:t>
                        </w:r>
                        <w:r>
                          <w:rPr>
                            <w:color w:val="231F20"/>
                            <w:sz w:val="13"/>
                          </w:rPr>
                          <w:t>Revenue</w:t>
                        </w:r>
                        <w:r>
                          <w:rPr>
                            <w:color w:val="231F20"/>
                            <w:spacing w:val="-7"/>
                            <w:sz w:val="13"/>
                          </w:rPr>
                          <w:t> </w:t>
                        </w:r>
                        <w:r>
                          <w:rPr>
                            <w:color w:val="231F20"/>
                            <w:sz w:val="13"/>
                          </w:rPr>
                          <w:t>Bonds</w:t>
                        </w:r>
                      </w:p>
                    </w:tc>
                    <w:tc>
                      <w:tcPr>
                        <w:tcW w:w="4458" w:type="dxa"/>
                        <w:gridSpan w:val="10"/>
                      </w:tcPr>
                      <w:p>
                        <w:pPr>
                          <w:pStyle w:val="TableParagraph"/>
                          <w:rPr>
                            <w:sz w:val="14"/>
                          </w:rPr>
                        </w:pPr>
                      </w:p>
                      <w:p>
                        <w:pPr>
                          <w:pStyle w:val="TableParagraph"/>
                          <w:spacing w:before="4"/>
                          <w:rPr>
                            <w:sz w:val="15"/>
                          </w:rPr>
                        </w:pPr>
                      </w:p>
                      <w:p>
                        <w:pPr>
                          <w:pStyle w:val="TableParagraph"/>
                          <w:spacing w:before="1"/>
                          <w:ind w:right="68"/>
                          <w:jc w:val="right"/>
                          <w:rPr>
                            <w:sz w:val="13"/>
                          </w:rPr>
                        </w:pPr>
                        <w:r>
                          <w:rPr>
                            <w:color w:val="231F20"/>
                            <w:spacing w:val="-2"/>
                            <w:sz w:val="13"/>
                          </w:rPr>
                          <w:t>$17,171,492</w:t>
                        </w:r>
                      </w:p>
                    </w:tc>
                    <w:tc>
                      <w:tcPr>
                        <w:tcW w:w="960" w:type="dxa"/>
                        <w:gridSpan w:val="2"/>
                      </w:tcPr>
                      <w:p>
                        <w:pPr>
                          <w:pStyle w:val="TableParagraph"/>
                          <w:rPr>
                            <w:sz w:val="14"/>
                          </w:rPr>
                        </w:pPr>
                      </w:p>
                      <w:p>
                        <w:pPr>
                          <w:pStyle w:val="TableParagraph"/>
                          <w:spacing w:before="4"/>
                          <w:rPr>
                            <w:sz w:val="15"/>
                          </w:rPr>
                        </w:pPr>
                      </w:p>
                      <w:p>
                        <w:pPr>
                          <w:pStyle w:val="TableParagraph"/>
                          <w:spacing w:before="1"/>
                          <w:ind w:left="173"/>
                          <w:rPr>
                            <w:sz w:val="13"/>
                          </w:rPr>
                        </w:pPr>
                        <w:r>
                          <w:rPr>
                            <w:color w:val="231F20"/>
                            <w:spacing w:val="-2"/>
                            <w:sz w:val="13"/>
                          </w:rPr>
                          <w:t>$17,171,492</w:t>
                        </w:r>
                      </w:p>
                    </w:tc>
                    <w:tc>
                      <w:tcPr>
                        <w:tcW w:w="543" w:type="dxa"/>
                        <w:gridSpan w:val="2"/>
                      </w:tcPr>
                      <w:p>
                        <w:pPr>
                          <w:pStyle w:val="TableParagraph"/>
                          <w:rPr>
                            <w:sz w:val="14"/>
                          </w:rPr>
                        </w:pPr>
                      </w:p>
                      <w:p>
                        <w:pPr>
                          <w:pStyle w:val="TableParagraph"/>
                          <w:spacing w:before="4"/>
                          <w:rPr>
                            <w:sz w:val="15"/>
                          </w:rPr>
                        </w:pPr>
                      </w:p>
                      <w:p>
                        <w:pPr>
                          <w:pStyle w:val="TableParagraph"/>
                          <w:spacing w:before="1"/>
                          <w:ind w:left="174"/>
                          <w:rPr>
                            <w:sz w:val="13"/>
                          </w:rPr>
                        </w:pPr>
                        <w:r>
                          <w:rPr>
                            <w:color w:val="231F20"/>
                            <w:w w:val="99"/>
                            <w:sz w:val="13"/>
                          </w:rPr>
                          <w:t>$</w:t>
                        </w:r>
                      </w:p>
                    </w:tc>
                    <w:tc>
                      <w:tcPr>
                        <w:tcW w:w="416" w:type="dxa"/>
                      </w:tcPr>
                      <w:p>
                        <w:pPr>
                          <w:pStyle w:val="TableParagraph"/>
                          <w:rPr>
                            <w:sz w:val="14"/>
                          </w:rPr>
                        </w:pPr>
                      </w:p>
                      <w:p>
                        <w:pPr>
                          <w:pStyle w:val="TableParagraph"/>
                          <w:spacing w:before="4"/>
                          <w:rPr>
                            <w:sz w:val="15"/>
                          </w:rPr>
                        </w:pPr>
                      </w:p>
                      <w:p>
                        <w:pPr>
                          <w:pStyle w:val="TableParagraph"/>
                          <w:spacing w:before="1"/>
                          <w:ind w:right="64"/>
                          <w:jc w:val="right"/>
                          <w:rPr>
                            <w:sz w:val="13"/>
                          </w:rPr>
                        </w:pPr>
                        <w:r>
                          <w:rPr>
                            <w:color w:val="231F20"/>
                            <w:w w:val="99"/>
                            <w:sz w:val="13"/>
                          </w:rPr>
                          <w:t>-</w:t>
                        </w:r>
                      </w:p>
                    </w:tc>
                    <w:tc>
                      <w:tcPr>
                        <w:tcW w:w="960" w:type="dxa"/>
                        <w:gridSpan w:val="2"/>
                      </w:tcPr>
                      <w:p>
                        <w:pPr>
                          <w:pStyle w:val="TableParagraph"/>
                          <w:rPr>
                            <w:sz w:val="14"/>
                          </w:rPr>
                        </w:pPr>
                      </w:p>
                      <w:p>
                        <w:pPr>
                          <w:pStyle w:val="TableParagraph"/>
                          <w:spacing w:before="4"/>
                          <w:rPr>
                            <w:sz w:val="15"/>
                          </w:rPr>
                        </w:pPr>
                      </w:p>
                      <w:p>
                        <w:pPr>
                          <w:pStyle w:val="TableParagraph"/>
                          <w:spacing w:before="1"/>
                          <w:ind w:left="176"/>
                          <w:rPr>
                            <w:sz w:val="13"/>
                          </w:rPr>
                        </w:pPr>
                        <w:r>
                          <w:rPr>
                            <w:color w:val="231F20"/>
                            <w:spacing w:val="-2"/>
                            <w:sz w:val="13"/>
                          </w:rPr>
                          <w:t>$17,171,492</w:t>
                        </w:r>
                      </w:p>
                    </w:tc>
                    <w:tc>
                      <w:tcPr>
                        <w:tcW w:w="331" w:type="dxa"/>
                        <w:gridSpan w:val="2"/>
                      </w:tcPr>
                      <w:p>
                        <w:pPr>
                          <w:pStyle w:val="TableParagraph"/>
                          <w:rPr>
                            <w:sz w:val="14"/>
                          </w:rPr>
                        </w:pPr>
                      </w:p>
                      <w:p>
                        <w:pPr>
                          <w:pStyle w:val="TableParagraph"/>
                          <w:spacing w:before="4"/>
                          <w:rPr>
                            <w:sz w:val="15"/>
                          </w:rPr>
                        </w:pPr>
                      </w:p>
                      <w:p>
                        <w:pPr>
                          <w:pStyle w:val="TableParagraph"/>
                          <w:spacing w:before="1"/>
                          <w:ind w:left="179"/>
                          <w:rPr>
                            <w:sz w:val="13"/>
                          </w:rPr>
                        </w:pPr>
                        <w:r>
                          <w:rPr>
                            <w:color w:val="231F20"/>
                            <w:w w:val="99"/>
                            <w:sz w:val="13"/>
                          </w:rPr>
                          <w:t>$</w:t>
                        </w:r>
                      </w:p>
                    </w:tc>
                    <w:tc>
                      <w:tcPr>
                        <w:tcW w:w="627" w:type="dxa"/>
                      </w:tcPr>
                      <w:p>
                        <w:pPr>
                          <w:pStyle w:val="TableParagraph"/>
                          <w:rPr>
                            <w:sz w:val="14"/>
                          </w:rPr>
                        </w:pPr>
                      </w:p>
                      <w:p>
                        <w:pPr>
                          <w:pStyle w:val="TableParagraph"/>
                          <w:spacing w:before="4"/>
                          <w:rPr>
                            <w:sz w:val="15"/>
                          </w:rPr>
                        </w:pPr>
                      </w:p>
                      <w:p>
                        <w:pPr>
                          <w:pStyle w:val="TableParagraph"/>
                          <w:spacing w:before="1"/>
                          <w:ind w:left="96"/>
                          <w:rPr>
                            <w:sz w:val="13"/>
                          </w:rPr>
                        </w:pPr>
                        <w:r>
                          <w:rPr>
                            <w:color w:val="231F20"/>
                            <w:spacing w:val="-2"/>
                            <w:sz w:val="13"/>
                          </w:rPr>
                          <w:t>866,683</w:t>
                        </w:r>
                      </w:p>
                    </w:tc>
                    <w:tc>
                      <w:tcPr>
                        <w:tcW w:w="959" w:type="dxa"/>
                        <w:gridSpan w:val="2"/>
                      </w:tcPr>
                      <w:p>
                        <w:pPr>
                          <w:pStyle w:val="TableParagraph"/>
                          <w:rPr>
                            <w:sz w:val="14"/>
                          </w:rPr>
                        </w:pPr>
                      </w:p>
                      <w:p>
                        <w:pPr>
                          <w:pStyle w:val="TableParagraph"/>
                          <w:spacing w:before="4"/>
                          <w:rPr>
                            <w:sz w:val="15"/>
                          </w:rPr>
                        </w:pPr>
                      </w:p>
                      <w:p>
                        <w:pPr>
                          <w:pStyle w:val="TableParagraph"/>
                          <w:spacing w:before="1"/>
                          <w:ind w:left="182"/>
                          <w:rPr>
                            <w:sz w:val="13"/>
                          </w:rPr>
                        </w:pPr>
                        <w:r>
                          <w:rPr>
                            <w:color w:val="231F20"/>
                            <w:sz w:val="13"/>
                          </w:rPr>
                          <w:t>$</w:t>
                        </w:r>
                        <w:r>
                          <w:rPr>
                            <w:color w:val="231F20"/>
                            <w:spacing w:val="31"/>
                            <w:sz w:val="13"/>
                          </w:rPr>
                          <w:t> </w:t>
                        </w:r>
                        <w:r>
                          <w:rPr>
                            <w:color w:val="231F20"/>
                            <w:spacing w:val="-2"/>
                            <w:sz w:val="13"/>
                          </w:rPr>
                          <w:t>3,525,817</w:t>
                        </w:r>
                      </w:p>
                    </w:tc>
                    <w:tc>
                      <w:tcPr>
                        <w:tcW w:w="328" w:type="dxa"/>
                        <w:gridSpan w:val="2"/>
                      </w:tcPr>
                      <w:p>
                        <w:pPr>
                          <w:pStyle w:val="TableParagraph"/>
                          <w:rPr>
                            <w:sz w:val="14"/>
                          </w:rPr>
                        </w:pPr>
                      </w:p>
                      <w:p>
                        <w:pPr>
                          <w:pStyle w:val="TableParagraph"/>
                          <w:spacing w:before="4"/>
                          <w:rPr>
                            <w:sz w:val="15"/>
                          </w:rPr>
                        </w:pPr>
                      </w:p>
                      <w:p>
                        <w:pPr>
                          <w:pStyle w:val="TableParagraph"/>
                          <w:spacing w:before="1"/>
                          <w:ind w:left="184"/>
                          <w:rPr>
                            <w:sz w:val="13"/>
                          </w:rPr>
                        </w:pPr>
                        <w:r>
                          <w:rPr>
                            <w:color w:val="231F20"/>
                            <w:w w:val="99"/>
                            <w:sz w:val="13"/>
                          </w:rPr>
                          <w:t>$</w:t>
                        </w:r>
                      </w:p>
                    </w:tc>
                    <w:tc>
                      <w:tcPr>
                        <w:tcW w:w="628" w:type="dxa"/>
                      </w:tcPr>
                      <w:p>
                        <w:pPr>
                          <w:pStyle w:val="TableParagraph"/>
                          <w:rPr>
                            <w:sz w:val="14"/>
                          </w:rPr>
                        </w:pPr>
                      </w:p>
                      <w:p>
                        <w:pPr>
                          <w:pStyle w:val="TableParagraph"/>
                          <w:spacing w:before="4"/>
                          <w:rPr>
                            <w:sz w:val="15"/>
                          </w:rPr>
                        </w:pPr>
                      </w:p>
                      <w:p>
                        <w:pPr>
                          <w:pStyle w:val="TableParagraph"/>
                          <w:spacing w:before="1"/>
                          <w:ind w:left="105"/>
                          <w:rPr>
                            <w:sz w:val="13"/>
                          </w:rPr>
                        </w:pPr>
                        <w:r>
                          <w:rPr>
                            <w:color w:val="231F20"/>
                            <w:spacing w:val="-2"/>
                            <w:sz w:val="13"/>
                          </w:rPr>
                          <w:t>171,000</w:t>
                        </w:r>
                      </w:p>
                    </w:tc>
                    <w:tc>
                      <w:tcPr>
                        <w:tcW w:w="958" w:type="dxa"/>
                        <w:gridSpan w:val="2"/>
                      </w:tcPr>
                      <w:p>
                        <w:pPr>
                          <w:pStyle w:val="TableParagraph"/>
                          <w:rPr>
                            <w:sz w:val="14"/>
                          </w:rPr>
                        </w:pPr>
                      </w:p>
                      <w:p>
                        <w:pPr>
                          <w:pStyle w:val="TableParagraph"/>
                          <w:spacing w:before="4"/>
                          <w:rPr>
                            <w:sz w:val="15"/>
                          </w:rPr>
                        </w:pPr>
                      </w:p>
                      <w:p>
                        <w:pPr>
                          <w:pStyle w:val="TableParagraph"/>
                          <w:tabs>
                            <w:tab w:pos="864" w:val="left" w:leader="none"/>
                          </w:tabs>
                          <w:spacing w:before="1"/>
                          <w:ind w:left="189"/>
                          <w:rPr>
                            <w:sz w:val="13"/>
                          </w:rPr>
                        </w:pPr>
                        <w:r>
                          <w:rPr>
                            <w:color w:val="231F20"/>
                            <w:spacing w:val="-10"/>
                            <w:sz w:val="13"/>
                          </w:rPr>
                          <w:t>$</w:t>
                        </w:r>
                        <w:r>
                          <w:rPr>
                            <w:color w:val="231F20"/>
                            <w:sz w:val="13"/>
                          </w:rPr>
                          <w:tab/>
                        </w:r>
                        <w:r>
                          <w:rPr>
                            <w:color w:val="231F20"/>
                            <w:spacing w:val="-10"/>
                            <w:sz w:val="13"/>
                          </w:rPr>
                          <w:t>-</w:t>
                        </w:r>
                      </w:p>
                    </w:tc>
                    <w:tc>
                      <w:tcPr>
                        <w:tcW w:w="1002" w:type="dxa"/>
                        <w:gridSpan w:val="2"/>
                      </w:tcPr>
                      <w:p>
                        <w:pPr>
                          <w:pStyle w:val="TableParagraph"/>
                          <w:rPr>
                            <w:sz w:val="14"/>
                          </w:rPr>
                        </w:pPr>
                      </w:p>
                      <w:p>
                        <w:pPr>
                          <w:pStyle w:val="TableParagraph"/>
                          <w:spacing w:before="4"/>
                          <w:rPr>
                            <w:sz w:val="15"/>
                          </w:rPr>
                        </w:pPr>
                      </w:p>
                      <w:p>
                        <w:pPr>
                          <w:pStyle w:val="TableParagraph"/>
                          <w:spacing w:before="1"/>
                          <w:ind w:left="192"/>
                          <w:rPr>
                            <w:sz w:val="13"/>
                          </w:rPr>
                        </w:pPr>
                        <w:r>
                          <w:rPr>
                            <w:color w:val="231F20"/>
                            <w:w w:val="95"/>
                            <w:sz w:val="13"/>
                          </w:rPr>
                          <w:t>$</w:t>
                        </w:r>
                        <w:r>
                          <w:rPr>
                            <w:color w:val="231F20"/>
                            <w:spacing w:val="-6"/>
                            <w:w w:val="95"/>
                            <w:sz w:val="13"/>
                          </w:rPr>
                          <w:t> </w:t>
                        </w:r>
                        <w:r>
                          <w:rPr>
                            <w:color w:val="231F20"/>
                            <w:spacing w:val="-2"/>
                            <w:w w:val="95"/>
                            <w:sz w:val="13"/>
                          </w:rPr>
                          <w:t>12,607,992</w:t>
                        </w:r>
                      </w:p>
                    </w:tc>
                  </w:tr>
                  <w:tr>
                    <w:trPr>
                      <w:trHeight w:val="504" w:hRule="atLeast"/>
                    </w:trPr>
                    <w:tc>
                      <w:tcPr>
                        <w:tcW w:w="2196" w:type="dxa"/>
                      </w:tcPr>
                      <w:p>
                        <w:pPr>
                          <w:pStyle w:val="TableParagraph"/>
                          <w:spacing w:before="3"/>
                          <w:rPr>
                            <w:sz w:val="15"/>
                          </w:rPr>
                        </w:pPr>
                      </w:p>
                      <w:p>
                        <w:pPr>
                          <w:pStyle w:val="TableParagraph"/>
                          <w:ind w:left="49"/>
                          <w:rPr>
                            <w:b/>
                            <w:sz w:val="13"/>
                          </w:rPr>
                        </w:pPr>
                        <w:r>
                          <w:rPr>
                            <w:b/>
                            <w:color w:val="231F20"/>
                            <w:spacing w:val="-2"/>
                            <w:sz w:val="13"/>
                          </w:rPr>
                          <w:t>Severance</w:t>
                        </w:r>
                        <w:r>
                          <w:rPr>
                            <w:b/>
                            <w:color w:val="231F20"/>
                            <w:spacing w:val="1"/>
                            <w:sz w:val="13"/>
                          </w:rPr>
                          <w:t> </w:t>
                        </w:r>
                        <w:r>
                          <w:rPr>
                            <w:b/>
                            <w:color w:val="231F20"/>
                            <w:spacing w:val="-2"/>
                            <w:sz w:val="13"/>
                          </w:rPr>
                          <w:t>Tax</w:t>
                        </w:r>
                        <w:r>
                          <w:rPr>
                            <w:b/>
                            <w:color w:val="231F20"/>
                            <w:spacing w:val="2"/>
                            <w:sz w:val="13"/>
                          </w:rPr>
                          <w:t> </w:t>
                        </w:r>
                        <w:r>
                          <w:rPr>
                            <w:b/>
                            <w:color w:val="231F20"/>
                            <w:spacing w:val="-4"/>
                            <w:sz w:val="13"/>
                          </w:rPr>
                          <w:t>Bond</w:t>
                        </w:r>
                      </w:p>
                      <w:p>
                        <w:pPr>
                          <w:pStyle w:val="TableParagraph"/>
                          <w:spacing w:line="130" w:lineRule="exact" w:before="29"/>
                          <w:ind w:left="49"/>
                          <w:rPr>
                            <w:sz w:val="13"/>
                          </w:rPr>
                        </w:pPr>
                        <w:r>
                          <w:rPr>
                            <w:color w:val="231F20"/>
                            <w:spacing w:val="-2"/>
                            <w:sz w:val="13"/>
                          </w:rPr>
                          <w:t>NMIMT</w:t>
                        </w:r>
                        <w:r>
                          <w:rPr>
                            <w:color w:val="231F20"/>
                            <w:spacing w:val="4"/>
                            <w:sz w:val="13"/>
                          </w:rPr>
                          <w:t> </w:t>
                        </w:r>
                        <w:r>
                          <w:rPr>
                            <w:color w:val="231F20"/>
                            <w:spacing w:val="-2"/>
                            <w:sz w:val="13"/>
                          </w:rPr>
                          <w:t>Electronic</w:t>
                        </w:r>
                        <w:r>
                          <w:rPr>
                            <w:color w:val="231F20"/>
                            <w:spacing w:val="2"/>
                            <w:sz w:val="13"/>
                          </w:rPr>
                          <w:t> </w:t>
                        </w:r>
                        <w:r>
                          <w:rPr>
                            <w:color w:val="231F20"/>
                            <w:spacing w:val="-2"/>
                            <w:sz w:val="13"/>
                          </w:rPr>
                          <w:t>Door</w:t>
                        </w:r>
                        <w:r>
                          <w:rPr>
                            <w:color w:val="231F20"/>
                            <w:spacing w:val="3"/>
                            <w:sz w:val="13"/>
                          </w:rPr>
                          <w:t> </w:t>
                        </w:r>
                        <w:r>
                          <w:rPr>
                            <w:color w:val="231F20"/>
                            <w:spacing w:val="-4"/>
                            <w:sz w:val="13"/>
                          </w:rPr>
                          <w:t>Lock</w:t>
                        </w:r>
                      </w:p>
                    </w:tc>
                    <w:tc>
                      <w:tcPr>
                        <w:tcW w:w="100" w:type="dxa"/>
                      </w:tcPr>
                      <w:p>
                        <w:pPr>
                          <w:pStyle w:val="TableParagraph"/>
                          <w:rPr>
                            <w:rFonts w:ascii="Times New Roman"/>
                            <w:sz w:val="14"/>
                          </w:rPr>
                        </w:pPr>
                      </w:p>
                    </w:tc>
                    <w:tc>
                      <w:tcPr>
                        <w:tcW w:w="1008" w:type="dxa"/>
                      </w:tcPr>
                      <w:p>
                        <w:pPr>
                          <w:pStyle w:val="TableParagraph"/>
                          <w:rPr>
                            <w:rFonts w:ascii="Times New Roman"/>
                            <w:sz w:val="14"/>
                          </w:rPr>
                        </w:pPr>
                      </w:p>
                    </w:tc>
                    <w:tc>
                      <w:tcPr>
                        <w:tcW w:w="101" w:type="dxa"/>
                      </w:tcPr>
                      <w:p>
                        <w:pPr>
                          <w:pStyle w:val="TableParagraph"/>
                          <w:rPr>
                            <w:rFonts w:ascii="Times New Roman"/>
                            <w:sz w:val="14"/>
                          </w:rPr>
                        </w:pPr>
                      </w:p>
                    </w:tc>
                    <w:tc>
                      <w:tcPr>
                        <w:tcW w:w="541" w:type="dxa"/>
                      </w:tcPr>
                      <w:p>
                        <w:pPr>
                          <w:pStyle w:val="TableParagraph"/>
                          <w:rPr>
                            <w:rFonts w:ascii="Times New Roman"/>
                            <w:sz w:val="14"/>
                          </w:rPr>
                        </w:pPr>
                      </w:p>
                    </w:tc>
                    <w:tc>
                      <w:tcPr>
                        <w:tcW w:w="99" w:type="dxa"/>
                      </w:tcPr>
                      <w:p>
                        <w:pPr>
                          <w:pStyle w:val="TableParagraph"/>
                          <w:rPr>
                            <w:rFonts w:ascii="Times New Roman"/>
                            <w:sz w:val="14"/>
                          </w:rPr>
                        </w:pPr>
                      </w:p>
                    </w:tc>
                    <w:tc>
                      <w:tcPr>
                        <w:tcW w:w="782" w:type="dxa"/>
                      </w:tcPr>
                      <w:p>
                        <w:pPr>
                          <w:pStyle w:val="TableParagraph"/>
                          <w:rPr>
                            <w:rFonts w:ascii="Times New Roman"/>
                            <w:sz w:val="14"/>
                          </w:rPr>
                        </w:pPr>
                      </w:p>
                    </w:tc>
                    <w:tc>
                      <w:tcPr>
                        <w:tcW w:w="92" w:type="dxa"/>
                      </w:tcPr>
                      <w:p>
                        <w:pPr>
                          <w:pStyle w:val="TableParagraph"/>
                          <w:rPr>
                            <w:rFonts w:ascii="Times New Roman"/>
                            <w:sz w:val="14"/>
                          </w:rPr>
                        </w:pPr>
                      </w:p>
                    </w:tc>
                    <w:tc>
                      <w:tcPr>
                        <w:tcW w:w="775" w:type="dxa"/>
                      </w:tcPr>
                      <w:p>
                        <w:pPr>
                          <w:pStyle w:val="TableParagraph"/>
                          <w:rPr>
                            <w:rFonts w:ascii="Times New Roman"/>
                            <w:sz w:val="14"/>
                          </w:rPr>
                        </w:pPr>
                      </w:p>
                    </w:tc>
                    <w:tc>
                      <w:tcPr>
                        <w:tcW w:w="99" w:type="dxa"/>
                      </w:tcPr>
                      <w:p>
                        <w:pPr>
                          <w:pStyle w:val="TableParagraph"/>
                          <w:rPr>
                            <w:rFonts w:ascii="Times New Roman"/>
                            <w:sz w:val="14"/>
                          </w:rPr>
                        </w:pPr>
                      </w:p>
                    </w:tc>
                    <w:tc>
                      <w:tcPr>
                        <w:tcW w:w="861" w:type="dxa"/>
                      </w:tcPr>
                      <w:p>
                        <w:pPr>
                          <w:pStyle w:val="TableParagraph"/>
                          <w:rPr>
                            <w:rFonts w:ascii="Times New Roman"/>
                            <w:sz w:val="14"/>
                          </w:rPr>
                        </w:pPr>
                      </w:p>
                    </w:tc>
                    <w:tc>
                      <w:tcPr>
                        <w:tcW w:w="100" w:type="dxa"/>
                      </w:tcPr>
                      <w:p>
                        <w:pPr>
                          <w:pStyle w:val="TableParagraph"/>
                          <w:rPr>
                            <w:rFonts w:ascii="Times New Roman"/>
                            <w:sz w:val="14"/>
                          </w:rPr>
                        </w:pPr>
                      </w:p>
                    </w:tc>
                    <w:tc>
                      <w:tcPr>
                        <w:tcW w:w="860" w:type="dxa"/>
                      </w:tcPr>
                      <w:p>
                        <w:pPr>
                          <w:pStyle w:val="TableParagraph"/>
                          <w:rPr>
                            <w:rFonts w:ascii="Times New Roman"/>
                            <w:sz w:val="14"/>
                          </w:rPr>
                        </w:pPr>
                      </w:p>
                    </w:tc>
                    <w:tc>
                      <w:tcPr>
                        <w:tcW w:w="100" w:type="dxa"/>
                      </w:tcPr>
                      <w:p>
                        <w:pPr>
                          <w:pStyle w:val="TableParagraph"/>
                          <w:rPr>
                            <w:rFonts w:ascii="Times New Roman"/>
                            <w:sz w:val="14"/>
                          </w:rPr>
                        </w:pPr>
                      </w:p>
                    </w:tc>
                    <w:tc>
                      <w:tcPr>
                        <w:tcW w:w="443" w:type="dxa"/>
                      </w:tcPr>
                      <w:p>
                        <w:pPr>
                          <w:pStyle w:val="TableParagraph"/>
                          <w:rPr>
                            <w:rFonts w:ascii="Times New Roman"/>
                            <w:sz w:val="14"/>
                          </w:rPr>
                        </w:pPr>
                      </w:p>
                    </w:tc>
                    <w:tc>
                      <w:tcPr>
                        <w:tcW w:w="416" w:type="dxa"/>
                      </w:tcPr>
                      <w:p>
                        <w:pPr>
                          <w:pStyle w:val="TableParagraph"/>
                          <w:rPr>
                            <w:rFonts w:ascii="Times New Roman"/>
                            <w:sz w:val="14"/>
                          </w:rPr>
                        </w:pPr>
                      </w:p>
                    </w:tc>
                    <w:tc>
                      <w:tcPr>
                        <w:tcW w:w="100" w:type="dxa"/>
                      </w:tcPr>
                      <w:p>
                        <w:pPr>
                          <w:pStyle w:val="TableParagraph"/>
                          <w:rPr>
                            <w:rFonts w:ascii="Times New Roman"/>
                            <w:sz w:val="14"/>
                          </w:rPr>
                        </w:pPr>
                      </w:p>
                    </w:tc>
                    <w:tc>
                      <w:tcPr>
                        <w:tcW w:w="860" w:type="dxa"/>
                      </w:tcPr>
                      <w:p>
                        <w:pPr>
                          <w:pStyle w:val="TableParagraph"/>
                          <w:rPr>
                            <w:rFonts w:ascii="Times New Roman"/>
                            <w:sz w:val="14"/>
                          </w:rPr>
                        </w:pPr>
                      </w:p>
                    </w:tc>
                    <w:tc>
                      <w:tcPr>
                        <w:tcW w:w="100" w:type="dxa"/>
                      </w:tcPr>
                      <w:p>
                        <w:pPr>
                          <w:pStyle w:val="TableParagraph"/>
                          <w:rPr>
                            <w:rFonts w:ascii="Times New Roman"/>
                            <w:sz w:val="14"/>
                          </w:rPr>
                        </w:pPr>
                      </w:p>
                    </w:tc>
                    <w:tc>
                      <w:tcPr>
                        <w:tcW w:w="231" w:type="dxa"/>
                      </w:tcPr>
                      <w:p>
                        <w:pPr>
                          <w:pStyle w:val="TableParagraph"/>
                          <w:rPr>
                            <w:rFonts w:ascii="Times New Roman"/>
                            <w:sz w:val="14"/>
                          </w:rPr>
                        </w:pPr>
                      </w:p>
                    </w:tc>
                    <w:tc>
                      <w:tcPr>
                        <w:tcW w:w="627" w:type="dxa"/>
                      </w:tcPr>
                      <w:p>
                        <w:pPr>
                          <w:pStyle w:val="TableParagraph"/>
                          <w:rPr>
                            <w:rFonts w:ascii="Times New Roman"/>
                            <w:sz w:val="14"/>
                          </w:rPr>
                        </w:pPr>
                      </w:p>
                    </w:tc>
                    <w:tc>
                      <w:tcPr>
                        <w:tcW w:w="99" w:type="dxa"/>
                      </w:tcPr>
                      <w:p>
                        <w:pPr>
                          <w:pStyle w:val="TableParagraph"/>
                          <w:rPr>
                            <w:rFonts w:ascii="Times New Roman"/>
                            <w:sz w:val="14"/>
                          </w:rPr>
                        </w:pPr>
                      </w:p>
                    </w:tc>
                    <w:tc>
                      <w:tcPr>
                        <w:tcW w:w="860" w:type="dxa"/>
                      </w:tcPr>
                      <w:p>
                        <w:pPr>
                          <w:pStyle w:val="TableParagraph"/>
                          <w:rPr>
                            <w:rFonts w:ascii="Times New Roman"/>
                            <w:sz w:val="14"/>
                          </w:rPr>
                        </w:pPr>
                      </w:p>
                    </w:tc>
                    <w:tc>
                      <w:tcPr>
                        <w:tcW w:w="98" w:type="dxa"/>
                      </w:tcPr>
                      <w:p>
                        <w:pPr>
                          <w:pStyle w:val="TableParagraph"/>
                          <w:rPr>
                            <w:rFonts w:ascii="Times New Roman"/>
                            <w:sz w:val="14"/>
                          </w:rPr>
                        </w:pPr>
                      </w:p>
                    </w:tc>
                    <w:tc>
                      <w:tcPr>
                        <w:tcW w:w="230" w:type="dxa"/>
                      </w:tcPr>
                      <w:p>
                        <w:pPr>
                          <w:pStyle w:val="TableParagraph"/>
                          <w:rPr>
                            <w:rFonts w:ascii="Times New Roman"/>
                            <w:sz w:val="14"/>
                          </w:rPr>
                        </w:pPr>
                      </w:p>
                    </w:tc>
                    <w:tc>
                      <w:tcPr>
                        <w:tcW w:w="628" w:type="dxa"/>
                      </w:tcPr>
                      <w:p>
                        <w:pPr>
                          <w:pStyle w:val="TableParagraph"/>
                          <w:rPr>
                            <w:rFonts w:ascii="Times New Roman"/>
                            <w:sz w:val="14"/>
                          </w:rPr>
                        </w:pPr>
                      </w:p>
                    </w:tc>
                    <w:tc>
                      <w:tcPr>
                        <w:tcW w:w="98" w:type="dxa"/>
                      </w:tcPr>
                      <w:p>
                        <w:pPr>
                          <w:pStyle w:val="TableParagraph"/>
                          <w:rPr>
                            <w:rFonts w:ascii="Times New Roman"/>
                            <w:sz w:val="14"/>
                          </w:rPr>
                        </w:pPr>
                      </w:p>
                    </w:tc>
                    <w:tc>
                      <w:tcPr>
                        <w:tcW w:w="860" w:type="dxa"/>
                      </w:tcPr>
                      <w:p>
                        <w:pPr>
                          <w:pStyle w:val="TableParagraph"/>
                          <w:rPr>
                            <w:rFonts w:ascii="Times New Roman"/>
                            <w:sz w:val="14"/>
                          </w:rPr>
                        </w:pPr>
                      </w:p>
                    </w:tc>
                    <w:tc>
                      <w:tcPr>
                        <w:tcW w:w="99" w:type="dxa"/>
                      </w:tcPr>
                      <w:p>
                        <w:pPr>
                          <w:pStyle w:val="TableParagraph"/>
                          <w:rPr>
                            <w:rFonts w:ascii="Times New Roman"/>
                            <w:sz w:val="14"/>
                          </w:rPr>
                        </w:pPr>
                      </w:p>
                    </w:tc>
                    <w:tc>
                      <w:tcPr>
                        <w:tcW w:w="903" w:type="dxa"/>
                      </w:tcPr>
                      <w:p>
                        <w:pPr>
                          <w:pStyle w:val="TableParagraph"/>
                          <w:rPr>
                            <w:rFonts w:ascii="Times New Roman"/>
                            <w:sz w:val="14"/>
                          </w:rPr>
                        </w:pPr>
                      </w:p>
                    </w:tc>
                  </w:tr>
                  <w:tr>
                    <w:trPr>
                      <w:trHeight w:val="282" w:hRule="atLeast"/>
                    </w:trPr>
                    <w:tc>
                      <w:tcPr>
                        <w:tcW w:w="3304" w:type="dxa"/>
                        <w:gridSpan w:val="3"/>
                      </w:tcPr>
                      <w:p>
                        <w:pPr>
                          <w:pStyle w:val="TableParagraph"/>
                          <w:tabs>
                            <w:tab w:pos="2323" w:val="left" w:leader="none"/>
                          </w:tabs>
                          <w:spacing w:before="28"/>
                          <w:ind w:left="330"/>
                          <w:rPr>
                            <w:sz w:val="13"/>
                          </w:rPr>
                        </w:pPr>
                        <w:r>
                          <w:rPr>
                            <w:color w:val="231F20"/>
                            <w:spacing w:val="-2"/>
                            <w:sz w:val="13"/>
                          </w:rPr>
                          <w:t>System</w:t>
                        </w:r>
                        <w:r>
                          <w:rPr>
                            <w:color w:val="231F20"/>
                            <w:spacing w:val="2"/>
                            <w:sz w:val="13"/>
                          </w:rPr>
                          <w:t> </w:t>
                        </w:r>
                        <w:r>
                          <w:rPr>
                            <w:color w:val="231F20"/>
                            <w:spacing w:val="-2"/>
                            <w:sz w:val="13"/>
                          </w:rPr>
                          <w:t>Upgrade</w:t>
                        </w:r>
                        <w:r>
                          <w:rPr>
                            <w:color w:val="231F20"/>
                            <w:spacing w:val="3"/>
                            <w:sz w:val="13"/>
                          </w:rPr>
                          <w:t> </w:t>
                        </w:r>
                        <w:r>
                          <w:rPr>
                            <w:color w:val="231F20"/>
                            <w:spacing w:val="-2"/>
                            <w:sz w:val="13"/>
                          </w:rPr>
                          <w:t>Campuswide</w:t>
                        </w:r>
                        <w:r>
                          <w:rPr>
                            <w:color w:val="231F20"/>
                            <w:sz w:val="13"/>
                          </w:rPr>
                          <w:tab/>
                          <w:t>Ch</w:t>
                        </w:r>
                        <w:r>
                          <w:rPr>
                            <w:color w:val="231F20"/>
                            <w:spacing w:val="-5"/>
                            <w:sz w:val="13"/>
                          </w:rPr>
                          <w:t> </w:t>
                        </w:r>
                        <w:r>
                          <w:rPr>
                            <w:color w:val="231F20"/>
                            <w:sz w:val="13"/>
                          </w:rPr>
                          <w:t>81,</w:t>
                        </w:r>
                        <w:r>
                          <w:rPr>
                            <w:color w:val="231F20"/>
                            <w:spacing w:val="-4"/>
                            <w:sz w:val="13"/>
                          </w:rPr>
                          <w:t> </w:t>
                        </w:r>
                        <w:r>
                          <w:rPr>
                            <w:color w:val="231F20"/>
                            <w:sz w:val="13"/>
                          </w:rPr>
                          <w:t>Sect</w:t>
                        </w:r>
                        <w:r>
                          <w:rPr>
                            <w:color w:val="231F20"/>
                            <w:spacing w:val="-5"/>
                            <w:sz w:val="13"/>
                          </w:rPr>
                          <w:t> 42</w:t>
                        </w:r>
                      </w:p>
                    </w:tc>
                    <w:tc>
                      <w:tcPr>
                        <w:tcW w:w="642" w:type="dxa"/>
                        <w:gridSpan w:val="2"/>
                      </w:tcPr>
                      <w:p>
                        <w:pPr>
                          <w:pStyle w:val="TableParagraph"/>
                          <w:spacing w:before="28"/>
                          <w:ind w:left="233"/>
                          <w:rPr>
                            <w:sz w:val="13"/>
                          </w:rPr>
                        </w:pPr>
                        <w:r>
                          <w:rPr>
                            <w:color w:val="231F20"/>
                            <w:spacing w:val="-4"/>
                            <w:sz w:val="13"/>
                          </w:rPr>
                          <w:t>2020</w:t>
                        </w:r>
                      </w:p>
                    </w:tc>
                    <w:tc>
                      <w:tcPr>
                        <w:tcW w:w="881" w:type="dxa"/>
                        <w:gridSpan w:val="2"/>
                      </w:tcPr>
                      <w:p>
                        <w:pPr>
                          <w:pStyle w:val="TableParagraph"/>
                          <w:spacing w:before="28"/>
                          <w:ind w:left="350"/>
                          <w:rPr>
                            <w:sz w:val="13"/>
                          </w:rPr>
                        </w:pPr>
                        <w:r>
                          <w:rPr>
                            <w:color w:val="231F20"/>
                            <w:spacing w:val="-4"/>
                            <w:sz w:val="13"/>
                          </w:rPr>
                          <w:t>2021</w:t>
                        </w:r>
                      </w:p>
                    </w:tc>
                    <w:tc>
                      <w:tcPr>
                        <w:tcW w:w="966" w:type="dxa"/>
                        <w:gridSpan w:val="3"/>
                      </w:tcPr>
                      <w:p>
                        <w:pPr>
                          <w:pStyle w:val="TableParagraph"/>
                          <w:spacing w:before="28"/>
                          <w:ind w:left="199"/>
                          <w:rPr>
                            <w:sz w:val="13"/>
                          </w:rPr>
                        </w:pPr>
                        <w:r>
                          <w:rPr>
                            <w:color w:val="231F20"/>
                            <w:spacing w:val="-2"/>
                            <w:sz w:val="13"/>
                          </w:rPr>
                          <w:t>6/30/2024</w:t>
                        </w:r>
                      </w:p>
                    </w:tc>
                    <w:tc>
                      <w:tcPr>
                        <w:tcW w:w="861" w:type="dxa"/>
                      </w:tcPr>
                      <w:p>
                        <w:pPr>
                          <w:pStyle w:val="TableParagraph"/>
                          <w:spacing w:before="28"/>
                          <w:ind w:right="68"/>
                          <w:jc w:val="right"/>
                          <w:rPr>
                            <w:sz w:val="13"/>
                          </w:rPr>
                        </w:pPr>
                        <w:r>
                          <w:rPr>
                            <w:color w:val="231F20"/>
                            <w:sz w:val="13"/>
                          </w:rPr>
                          <w:t>$</w:t>
                        </w:r>
                        <w:r>
                          <w:rPr>
                            <w:color w:val="231F20"/>
                            <w:spacing w:val="50"/>
                            <w:sz w:val="13"/>
                          </w:rPr>
                          <w:t>  </w:t>
                        </w:r>
                        <w:r>
                          <w:rPr>
                            <w:color w:val="231F20"/>
                            <w:spacing w:val="-2"/>
                            <w:sz w:val="13"/>
                          </w:rPr>
                          <w:t>300,000</w:t>
                        </w:r>
                      </w:p>
                    </w:tc>
                    <w:tc>
                      <w:tcPr>
                        <w:tcW w:w="100" w:type="dxa"/>
                      </w:tcPr>
                      <w:p>
                        <w:pPr>
                          <w:pStyle w:val="TableParagraph"/>
                          <w:rPr>
                            <w:rFonts w:ascii="Times New Roman"/>
                            <w:sz w:val="14"/>
                          </w:rPr>
                        </w:pPr>
                      </w:p>
                    </w:tc>
                    <w:tc>
                      <w:tcPr>
                        <w:tcW w:w="860" w:type="dxa"/>
                      </w:tcPr>
                      <w:p>
                        <w:pPr>
                          <w:pStyle w:val="TableParagraph"/>
                          <w:spacing w:before="28"/>
                          <w:ind w:right="66"/>
                          <w:jc w:val="right"/>
                          <w:rPr>
                            <w:sz w:val="13"/>
                          </w:rPr>
                        </w:pPr>
                        <w:r>
                          <w:rPr>
                            <w:color w:val="231F20"/>
                            <w:sz w:val="13"/>
                          </w:rPr>
                          <w:t>$</w:t>
                        </w:r>
                        <w:r>
                          <w:rPr>
                            <w:color w:val="231F20"/>
                            <w:spacing w:val="51"/>
                            <w:sz w:val="13"/>
                          </w:rPr>
                          <w:t>  </w:t>
                        </w:r>
                        <w:r>
                          <w:rPr>
                            <w:color w:val="231F20"/>
                            <w:spacing w:val="-2"/>
                            <w:sz w:val="13"/>
                          </w:rPr>
                          <w:t>300,000</w:t>
                        </w:r>
                      </w:p>
                    </w:tc>
                    <w:tc>
                      <w:tcPr>
                        <w:tcW w:w="100" w:type="dxa"/>
                      </w:tcPr>
                      <w:p>
                        <w:pPr>
                          <w:pStyle w:val="TableParagraph"/>
                          <w:rPr>
                            <w:rFonts w:ascii="Times New Roman"/>
                            <w:sz w:val="14"/>
                          </w:rPr>
                        </w:pPr>
                      </w:p>
                    </w:tc>
                    <w:tc>
                      <w:tcPr>
                        <w:tcW w:w="859" w:type="dxa"/>
                        <w:gridSpan w:val="2"/>
                      </w:tcPr>
                      <w:p>
                        <w:pPr>
                          <w:pStyle w:val="TableParagraph"/>
                          <w:tabs>
                            <w:tab w:pos="749" w:val="left" w:leader="none"/>
                          </w:tabs>
                          <w:spacing w:before="28"/>
                          <w:ind w:left="74"/>
                          <w:rPr>
                            <w:sz w:val="13"/>
                          </w:rPr>
                        </w:pPr>
                        <w:r>
                          <w:rPr>
                            <w:color w:val="231F20"/>
                            <w:spacing w:val="-10"/>
                            <w:sz w:val="13"/>
                          </w:rPr>
                          <w:t>$</w:t>
                        </w:r>
                        <w:r>
                          <w:rPr>
                            <w:color w:val="231F20"/>
                            <w:sz w:val="13"/>
                          </w:rPr>
                          <w:tab/>
                        </w:r>
                        <w:r>
                          <w:rPr>
                            <w:color w:val="231F20"/>
                            <w:spacing w:val="-10"/>
                            <w:sz w:val="13"/>
                          </w:rPr>
                          <w:t>-</w:t>
                        </w:r>
                      </w:p>
                    </w:tc>
                    <w:tc>
                      <w:tcPr>
                        <w:tcW w:w="100" w:type="dxa"/>
                      </w:tcPr>
                      <w:p>
                        <w:pPr>
                          <w:pStyle w:val="TableParagraph"/>
                          <w:rPr>
                            <w:rFonts w:ascii="Times New Roman"/>
                            <w:sz w:val="14"/>
                          </w:rPr>
                        </w:pPr>
                      </w:p>
                    </w:tc>
                    <w:tc>
                      <w:tcPr>
                        <w:tcW w:w="860" w:type="dxa"/>
                      </w:tcPr>
                      <w:p>
                        <w:pPr>
                          <w:pStyle w:val="TableParagraph"/>
                          <w:spacing w:before="28"/>
                          <w:ind w:right="62"/>
                          <w:jc w:val="right"/>
                          <w:rPr>
                            <w:sz w:val="13"/>
                          </w:rPr>
                        </w:pPr>
                        <w:r>
                          <w:rPr>
                            <w:color w:val="231F20"/>
                            <w:sz w:val="13"/>
                          </w:rPr>
                          <w:t>$</w:t>
                        </w:r>
                        <w:r>
                          <w:rPr>
                            <w:color w:val="231F20"/>
                            <w:spacing w:val="52"/>
                            <w:sz w:val="13"/>
                          </w:rPr>
                          <w:t>  </w:t>
                        </w:r>
                        <w:r>
                          <w:rPr>
                            <w:color w:val="231F20"/>
                            <w:spacing w:val="-2"/>
                            <w:sz w:val="13"/>
                          </w:rPr>
                          <w:t>300,000</w:t>
                        </w:r>
                      </w:p>
                    </w:tc>
                    <w:tc>
                      <w:tcPr>
                        <w:tcW w:w="100" w:type="dxa"/>
                      </w:tcPr>
                      <w:p>
                        <w:pPr>
                          <w:pStyle w:val="TableParagraph"/>
                          <w:rPr>
                            <w:rFonts w:ascii="Times New Roman"/>
                            <w:sz w:val="14"/>
                          </w:rPr>
                        </w:pPr>
                      </w:p>
                    </w:tc>
                    <w:tc>
                      <w:tcPr>
                        <w:tcW w:w="1817" w:type="dxa"/>
                        <w:gridSpan w:val="4"/>
                      </w:tcPr>
                      <w:p>
                        <w:pPr>
                          <w:pStyle w:val="TableParagraph"/>
                          <w:tabs>
                            <w:tab w:pos="752" w:val="left" w:leader="none"/>
                            <w:tab w:pos="1040" w:val="left" w:leader="none"/>
                            <w:tab w:pos="1714" w:val="left" w:leader="none"/>
                          </w:tabs>
                          <w:spacing w:before="28"/>
                          <w:ind w:left="79"/>
                          <w:rPr>
                            <w:sz w:val="13"/>
                          </w:rPr>
                        </w:pPr>
                        <w:r>
                          <w:rPr>
                            <w:color w:val="231F20"/>
                            <w:spacing w:val="-10"/>
                            <w:sz w:val="13"/>
                          </w:rPr>
                          <w:t>$</w:t>
                        </w:r>
                        <w:r>
                          <w:rPr>
                            <w:color w:val="231F20"/>
                            <w:sz w:val="13"/>
                          </w:rPr>
                          <w:tab/>
                        </w:r>
                        <w:r>
                          <w:rPr>
                            <w:color w:val="231F20"/>
                            <w:spacing w:val="-10"/>
                            <w:sz w:val="13"/>
                          </w:rPr>
                          <w:t>-</w:t>
                        </w:r>
                        <w:r>
                          <w:rPr>
                            <w:color w:val="231F20"/>
                            <w:sz w:val="13"/>
                          </w:rPr>
                          <w:tab/>
                        </w:r>
                        <w:r>
                          <w:rPr>
                            <w:color w:val="231F20"/>
                            <w:spacing w:val="-10"/>
                            <w:sz w:val="13"/>
                          </w:rPr>
                          <w:t>$</w:t>
                        </w:r>
                        <w:r>
                          <w:rPr>
                            <w:color w:val="231F20"/>
                            <w:sz w:val="13"/>
                          </w:rPr>
                          <w:tab/>
                        </w:r>
                        <w:r>
                          <w:rPr>
                            <w:color w:val="231F20"/>
                            <w:spacing w:val="-10"/>
                            <w:sz w:val="13"/>
                          </w:rPr>
                          <w:t>-</w:t>
                        </w:r>
                      </w:p>
                    </w:tc>
                    <w:tc>
                      <w:tcPr>
                        <w:tcW w:w="98" w:type="dxa"/>
                      </w:tcPr>
                      <w:p>
                        <w:pPr>
                          <w:pStyle w:val="TableParagraph"/>
                          <w:rPr>
                            <w:rFonts w:ascii="Times New Roman"/>
                            <w:sz w:val="14"/>
                          </w:rPr>
                        </w:pPr>
                      </w:p>
                    </w:tc>
                    <w:tc>
                      <w:tcPr>
                        <w:tcW w:w="858" w:type="dxa"/>
                        <w:gridSpan w:val="2"/>
                      </w:tcPr>
                      <w:p>
                        <w:pPr>
                          <w:pStyle w:val="TableParagraph"/>
                          <w:tabs>
                            <w:tab w:pos="761" w:val="left" w:leader="none"/>
                          </w:tabs>
                          <w:spacing w:before="28"/>
                          <w:ind w:left="86"/>
                          <w:rPr>
                            <w:sz w:val="13"/>
                          </w:rPr>
                        </w:pPr>
                        <w:r>
                          <w:rPr>
                            <w:color w:val="231F20"/>
                            <w:spacing w:val="-10"/>
                            <w:sz w:val="13"/>
                          </w:rPr>
                          <w:t>$</w:t>
                        </w:r>
                        <w:r>
                          <w:rPr>
                            <w:color w:val="231F20"/>
                            <w:sz w:val="13"/>
                          </w:rPr>
                          <w:tab/>
                        </w:r>
                        <w:r>
                          <w:rPr>
                            <w:color w:val="231F20"/>
                            <w:spacing w:val="-10"/>
                            <w:sz w:val="13"/>
                          </w:rPr>
                          <w:t>-</w:t>
                        </w:r>
                      </w:p>
                    </w:tc>
                    <w:tc>
                      <w:tcPr>
                        <w:tcW w:w="98" w:type="dxa"/>
                      </w:tcPr>
                      <w:p>
                        <w:pPr>
                          <w:pStyle w:val="TableParagraph"/>
                          <w:rPr>
                            <w:rFonts w:ascii="Times New Roman"/>
                            <w:sz w:val="14"/>
                          </w:rPr>
                        </w:pPr>
                      </w:p>
                    </w:tc>
                    <w:tc>
                      <w:tcPr>
                        <w:tcW w:w="860" w:type="dxa"/>
                      </w:tcPr>
                      <w:p>
                        <w:pPr>
                          <w:pStyle w:val="TableParagraph"/>
                          <w:tabs>
                            <w:tab w:pos="674" w:val="left" w:leader="none"/>
                          </w:tabs>
                          <w:spacing w:before="28"/>
                          <w:ind w:right="47"/>
                          <w:jc w:val="right"/>
                          <w:rPr>
                            <w:sz w:val="13"/>
                          </w:rPr>
                        </w:pPr>
                        <w:r>
                          <w:rPr>
                            <w:color w:val="231F20"/>
                            <w:spacing w:val="-10"/>
                            <w:sz w:val="13"/>
                          </w:rPr>
                          <w:t>$</w:t>
                        </w:r>
                        <w:r>
                          <w:rPr>
                            <w:color w:val="231F20"/>
                            <w:sz w:val="13"/>
                          </w:rPr>
                          <w:tab/>
                        </w:r>
                        <w:r>
                          <w:rPr>
                            <w:color w:val="231F20"/>
                            <w:spacing w:val="-10"/>
                            <w:sz w:val="13"/>
                          </w:rPr>
                          <w:t>-</w:t>
                        </w:r>
                      </w:p>
                    </w:tc>
                    <w:tc>
                      <w:tcPr>
                        <w:tcW w:w="99" w:type="dxa"/>
                      </w:tcPr>
                      <w:p>
                        <w:pPr>
                          <w:pStyle w:val="TableParagraph"/>
                          <w:rPr>
                            <w:rFonts w:ascii="Times New Roman"/>
                            <w:sz w:val="14"/>
                          </w:rPr>
                        </w:pPr>
                      </w:p>
                    </w:tc>
                    <w:tc>
                      <w:tcPr>
                        <w:tcW w:w="903" w:type="dxa"/>
                      </w:tcPr>
                      <w:p>
                        <w:pPr>
                          <w:pStyle w:val="TableParagraph"/>
                          <w:tabs>
                            <w:tab w:pos="372" w:val="left" w:leader="none"/>
                          </w:tabs>
                          <w:spacing w:before="28"/>
                          <w:ind w:left="94"/>
                          <w:rPr>
                            <w:sz w:val="13"/>
                          </w:rPr>
                        </w:pPr>
                        <w:r>
                          <w:rPr>
                            <w:color w:val="231F20"/>
                            <w:spacing w:val="-10"/>
                            <w:sz w:val="13"/>
                          </w:rPr>
                          <w:t>$</w:t>
                        </w:r>
                        <w:r>
                          <w:rPr>
                            <w:color w:val="231F20"/>
                            <w:sz w:val="13"/>
                          </w:rPr>
                          <w:tab/>
                        </w:r>
                        <w:r>
                          <w:rPr>
                            <w:color w:val="231F20"/>
                            <w:spacing w:val="-2"/>
                            <w:sz w:val="13"/>
                          </w:rPr>
                          <w:t>300,000</w:t>
                        </w:r>
                      </w:p>
                    </w:tc>
                  </w:tr>
                  <w:tr>
                    <w:trPr>
                      <w:trHeight w:val="267" w:hRule="atLeast"/>
                    </w:trPr>
                    <w:tc>
                      <w:tcPr>
                        <w:tcW w:w="3304" w:type="dxa"/>
                        <w:gridSpan w:val="3"/>
                      </w:tcPr>
                      <w:p>
                        <w:pPr>
                          <w:pStyle w:val="TableParagraph"/>
                          <w:tabs>
                            <w:tab w:pos="2323" w:val="left" w:leader="none"/>
                          </w:tabs>
                          <w:spacing w:line="145" w:lineRule="exact" w:before="101"/>
                          <w:ind w:left="330"/>
                          <w:rPr>
                            <w:sz w:val="13"/>
                          </w:rPr>
                        </w:pPr>
                        <w:r>
                          <w:rPr>
                            <w:color w:val="231F20"/>
                            <w:sz w:val="13"/>
                          </w:rPr>
                          <w:t>Purchases</w:t>
                        </w:r>
                        <w:r>
                          <w:rPr>
                            <w:color w:val="231F20"/>
                            <w:spacing w:val="-10"/>
                            <w:sz w:val="13"/>
                          </w:rPr>
                          <w:t> </w:t>
                        </w:r>
                        <w:r>
                          <w:rPr>
                            <w:color w:val="231F20"/>
                            <w:sz w:val="13"/>
                          </w:rPr>
                          <w:t>&amp;</w:t>
                        </w:r>
                        <w:r>
                          <w:rPr>
                            <w:color w:val="231F20"/>
                            <w:spacing w:val="-7"/>
                            <w:sz w:val="13"/>
                          </w:rPr>
                          <w:t> </w:t>
                        </w:r>
                        <w:r>
                          <w:rPr>
                            <w:color w:val="231F20"/>
                            <w:spacing w:val="-2"/>
                            <w:sz w:val="13"/>
                          </w:rPr>
                          <w:t>Equipment</w:t>
                        </w:r>
                        <w:r>
                          <w:rPr>
                            <w:color w:val="231F20"/>
                            <w:sz w:val="13"/>
                          </w:rPr>
                          <w:tab/>
                          <w:t>Ch</w:t>
                        </w:r>
                        <w:r>
                          <w:rPr>
                            <w:color w:val="231F20"/>
                            <w:spacing w:val="-5"/>
                            <w:sz w:val="13"/>
                          </w:rPr>
                          <w:t> </w:t>
                        </w:r>
                        <w:r>
                          <w:rPr>
                            <w:color w:val="231F20"/>
                            <w:sz w:val="13"/>
                          </w:rPr>
                          <w:t>81,</w:t>
                        </w:r>
                        <w:r>
                          <w:rPr>
                            <w:color w:val="231F20"/>
                            <w:spacing w:val="-4"/>
                            <w:sz w:val="13"/>
                          </w:rPr>
                          <w:t> </w:t>
                        </w:r>
                        <w:r>
                          <w:rPr>
                            <w:color w:val="231F20"/>
                            <w:sz w:val="13"/>
                          </w:rPr>
                          <w:t>Sect</w:t>
                        </w:r>
                        <w:r>
                          <w:rPr>
                            <w:color w:val="231F20"/>
                            <w:spacing w:val="-5"/>
                            <w:sz w:val="13"/>
                          </w:rPr>
                          <w:t> 42</w:t>
                        </w:r>
                      </w:p>
                    </w:tc>
                    <w:tc>
                      <w:tcPr>
                        <w:tcW w:w="642" w:type="dxa"/>
                        <w:gridSpan w:val="2"/>
                      </w:tcPr>
                      <w:p>
                        <w:pPr>
                          <w:pStyle w:val="TableParagraph"/>
                          <w:spacing w:line="145" w:lineRule="exact" w:before="101"/>
                          <w:ind w:left="233"/>
                          <w:rPr>
                            <w:sz w:val="13"/>
                          </w:rPr>
                        </w:pPr>
                        <w:r>
                          <w:rPr>
                            <w:color w:val="231F20"/>
                            <w:spacing w:val="-4"/>
                            <w:sz w:val="13"/>
                          </w:rPr>
                          <w:t>2020</w:t>
                        </w:r>
                      </w:p>
                    </w:tc>
                    <w:tc>
                      <w:tcPr>
                        <w:tcW w:w="881" w:type="dxa"/>
                        <w:gridSpan w:val="2"/>
                      </w:tcPr>
                      <w:p>
                        <w:pPr>
                          <w:pStyle w:val="TableParagraph"/>
                          <w:spacing w:line="145" w:lineRule="exact" w:before="101"/>
                          <w:ind w:left="350"/>
                          <w:rPr>
                            <w:sz w:val="13"/>
                          </w:rPr>
                        </w:pPr>
                        <w:r>
                          <w:rPr>
                            <w:color w:val="231F20"/>
                            <w:spacing w:val="-4"/>
                            <w:sz w:val="13"/>
                          </w:rPr>
                          <w:t>2021</w:t>
                        </w:r>
                      </w:p>
                    </w:tc>
                    <w:tc>
                      <w:tcPr>
                        <w:tcW w:w="966" w:type="dxa"/>
                        <w:gridSpan w:val="3"/>
                      </w:tcPr>
                      <w:p>
                        <w:pPr>
                          <w:pStyle w:val="TableParagraph"/>
                          <w:spacing w:line="145" w:lineRule="exact" w:before="101"/>
                          <w:ind w:left="200"/>
                          <w:rPr>
                            <w:sz w:val="13"/>
                          </w:rPr>
                        </w:pPr>
                        <w:r>
                          <w:rPr>
                            <w:color w:val="231F20"/>
                            <w:spacing w:val="-2"/>
                            <w:sz w:val="13"/>
                          </w:rPr>
                          <w:t>6/30/2022</w:t>
                        </w:r>
                      </w:p>
                    </w:tc>
                    <w:tc>
                      <w:tcPr>
                        <w:tcW w:w="861" w:type="dxa"/>
                      </w:tcPr>
                      <w:p>
                        <w:pPr>
                          <w:pStyle w:val="TableParagraph"/>
                          <w:spacing w:line="145" w:lineRule="exact" w:before="101"/>
                          <w:ind w:right="68"/>
                          <w:jc w:val="right"/>
                          <w:rPr>
                            <w:sz w:val="13"/>
                          </w:rPr>
                        </w:pPr>
                        <w:r>
                          <w:rPr>
                            <w:color w:val="231F20"/>
                            <w:spacing w:val="-2"/>
                            <w:sz w:val="13"/>
                          </w:rPr>
                          <w:t>100,000</w:t>
                        </w:r>
                      </w:p>
                    </w:tc>
                    <w:tc>
                      <w:tcPr>
                        <w:tcW w:w="100" w:type="dxa"/>
                      </w:tcPr>
                      <w:p>
                        <w:pPr>
                          <w:pStyle w:val="TableParagraph"/>
                          <w:rPr>
                            <w:rFonts w:ascii="Times New Roman"/>
                            <w:sz w:val="14"/>
                          </w:rPr>
                        </w:pPr>
                      </w:p>
                    </w:tc>
                    <w:tc>
                      <w:tcPr>
                        <w:tcW w:w="860" w:type="dxa"/>
                      </w:tcPr>
                      <w:p>
                        <w:pPr>
                          <w:pStyle w:val="TableParagraph"/>
                          <w:spacing w:line="145" w:lineRule="exact" w:before="101"/>
                          <w:ind w:right="66"/>
                          <w:jc w:val="right"/>
                          <w:rPr>
                            <w:sz w:val="13"/>
                          </w:rPr>
                        </w:pPr>
                        <w:r>
                          <w:rPr>
                            <w:color w:val="231F20"/>
                            <w:spacing w:val="-2"/>
                            <w:sz w:val="13"/>
                          </w:rPr>
                          <w:t>100,000</w:t>
                        </w:r>
                      </w:p>
                    </w:tc>
                    <w:tc>
                      <w:tcPr>
                        <w:tcW w:w="100" w:type="dxa"/>
                      </w:tcPr>
                      <w:p>
                        <w:pPr>
                          <w:pStyle w:val="TableParagraph"/>
                          <w:rPr>
                            <w:rFonts w:ascii="Times New Roman"/>
                            <w:sz w:val="14"/>
                          </w:rPr>
                        </w:pPr>
                      </w:p>
                    </w:tc>
                    <w:tc>
                      <w:tcPr>
                        <w:tcW w:w="859" w:type="dxa"/>
                        <w:gridSpan w:val="2"/>
                      </w:tcPr>
                      <w:p>
                        <w:pPr>
                          <w:pStyle w:val="TableParagraph"/>
                          <w:spacing w:line="145" w:lineRule="exact" w:before="101"/>
                          <w:ind w:right="64"/>
                          <w:jc w:val="right"/>
                          <w:rPr>
                            <w:sz w:val="13"/>
                          </w:rPr>
                        </w:pPr>
                        <w:r>
                          <w:rPr>
                            <w:color w:val="231F20"/>
                            <w:w w:val="99"/>
                            <w:sz w:val="13"/>
                          </w:rPr>
                          <w:t>-</w:t>
                        </w:r>
                      </w:p>
                    </w:tc>
                    <w:tc>
                      <w:tcPr>
                        <w:tcW w:w="100" w:type="dxa"/>
                      </w:tcPr>
                      <w:p>
                        <w:pPr>
                          <w:pStyle w:val="TableParagraph"/>
                          <w:rPr>
                            <w:rFonts w:ascii="Times New Roman"/>
                            <w:sz w:val="14"/>
                          </w:rPr>
                        </w:pPr>
                      </w:p>
                    </w:tc>
                    <w:tc>
                      <w:tcPr>
                        <w:tcW w:w="860" w:type="dxa"/>
                      </w:tcPr>
                      <w:p>
                        <w:pPr>
                          <w:pStyle w:val="TableParagraph"/>
                          <w:spacing w:line="145" w:lineRule="exact" w:before="101"/>
                          <w:ind w:right="62"/>
                          <w:jc w:val="right"/>
                          <w:rPr>
                            <w:sz w:val="13"/>
                          </w:rPr>
                        </w:pPr>
                        <w:r>
                          <w:rPr>
                            <w:color w:val="231F20"/>
                            <w:spacing w:val="-2"/>
                            <w:sz w:val="13"/>
                          </w:rPr>
                          <w:t>100,000</w:t>
                        </w:r>
                      </w:p>
                    </w:tc>
                    <w:tc>
                      <w:tcPr>
                        <w:tcW w:w="100" w:type="dxa"/>
                      </w:tcPr>
                      <w:p>
                        <w:pPr>
                          <w:pStyle w:val="TableParagraph"/>
                          <w:rPr>
                            <w:rFonts w:ascii="Times New Roman"/>
                            <w:sz w:val="14"/>
                          </w:rPr>
                        </w:pPr>
                      </w:p>
                    </w:tc>
                    <w:tc>
                      <w:tcPr>
                        <w:tcW w:w="1817" w:type="dxa"/>
                        <w:gridSpan w:val="4"/>
                      </w:tcPr>
                      <w:p>
                        <w:pPr>
                          <w:pStyle w:val="TableParagraph"/>
                          <w:tabs>
                            <w:tab w:pos="1361" w:val="left" w:leader="none"/>
                          </w:tabs>
                          <w:spacing w:line="145" w:lineRule="exact" w:before="101"/>
                          <w:ind w:left="752"/>
                          <w:rPr>
                            <w:sz w:val="13"/>
                          </w:rPr>
                        </w:pPr>
                        <w:r>
                          <w:rPr>
                            <w:color w:val="231F20"/>
                            <w:spacing w:val="-10"/>
                            <w:sz w:val="13"/>
                          </w:rPr>
                          <w:t>-</w:t>
                        </w:r>
                        <w:r>
                          <w:rPr>
                            <w:color w:val="231F20"/>
                            <w:sz w:val="13"/>
                          </w:rPr>
                          <w:tab/>
                        </w:r>
                        <w:r>
                          <w:rPr>
                            <w:color w:val="231F20"/>
                            <w:spacing w:val="-2"/>
                            <w:sz w:val="13"/>
                          </w:rPr>
                          <w:t>99,989</w:t>
                        </w:r>
                      </w:p>
                    </w:tc>
                    <w:tc>
                      <w:tcPr>
                        <w:tcW w:w="98" w:type="dxa"/>
                      </w:tcPr>
                      <w:p>
                        <w:pPr>
                          <w:pStyle w:val="TableParagraph"/>
                          <w:rPr>
                            <w:rFonts w:ascii="Times New Roman"/>
                            <w:sz w:val="14"/>
                          </w:rPr>
                        </w:pPr>
                      </w:p>
                    </w:tc>
                    <w:tc>
                      <w:tcPr>
                        <w:tcW w:w="858" w:type="dxa"/>
                        <w:gridSpan w:val="2"/>
                      </w:tcPr>
                      <w:p>
                        <w:pPr>
                          <w:pStyle w:val="TableParagraph"/>
                          <w:spacing w:line="145" w:lineRule="exact" w:before="101"/>
                          <w:ind w:right="51"/>
                          <w:jc w:val="right"/>
                          <w:rPr>
                            <w:sz w:val="13"/>
                          </w:rPr>
                        </w:pPr>
                        <w:r>
                          <w:rPr>
                            <w:color w:val="231F20"/>
                            <w:w w:val="99"/>
                            <w:sz w:val="13"/>
                          </w:rPr>
                          <w:t>-</w:t>
                        </w:r>
                      </w:p>
                    </w:tc>
                    <w:tc>
                      <w:tcPr>
                        <w:tcW w:w="98" w:type="dxa"/>
                      </w:tcPr>
                      <w:p>
                        <w:pPr>
                          <w:pStyle w:val="TableParagraph"/>
                          <w:rPr>
                            <w:rFonts w:ascii="Times New Roman"/>
                            <w:sz w:val="14"/>
                          </w:rPr>
                        </w:pPr>
                      </w:p>
                    </w:tc>
                    <w:tc>
                      <w:tcPr>
                        <w:tcW w:w="860" w:type="dxa"/>
                      </w:tcPr>
                      <w:p>
                        <w:pPr>
                          <w:pStyle w:val="TableParagraph"/>
                          <w:spacing w:line="145" w:lineRule="exact" w:before="101"/>
                          <w:ind w:right="48"/>
                          <w:jc w:val="right"/>
                          <w:rPr>
                            <w:sz w:val="13"/>
                          </w:rPr>
                        </w:pPr>
                        <w:r>
                          <w:rPr>
                            <w:color w:val="231F20"/>
                            <w:w w:val="99"/>
                            <w:sz w:val="13"/>
                          </w:rPr>
                          <w:t>-</w:t>
                        </w:r>
                      </w:p>
                    </w:tc>
                    <w:tc>
                      <w:tcPr>
                        <w:tcW w:w="99" w:type="dxa"/>
                      </w:tcPr>
                      <w:p>
                        <w:pPr>
                          <w:pStyle w:val="TableParagraph"/>
                          <w:rPr>
                            <w:rFonts w:ascii="Times New Roman"/>
                            <w:sz w:val="14"/>
                          </w:rPr>
                        </w:pPr>
                      </w:p>
                    </w:tc>
                    <w:tc>
                      <w:tcPr>
                        <w:tcW w:w="903" w:type="dxa"/>
                      </w:tcPr>
                      <w:p>
                        <w:pPr>
                          <w:pStyle w:val="TableParagraph"/>
                          <w:spacing w:line="145" w:lineRule="exact" w:before="101"/>
                          <w:ind w:right="58"/>
                          <w:jc w:val="right"/>
                          <w:rPr>
                            <w:sz w:val="13"/>
                          </w:rPr>
                        </w:pPr>
                        <w:r>
                          <w:rPr>
                            <w:color w:val="231F20"/>
                            <w:spacing w:val="-5"/>
                            <w:sz w:val="13"/>
                          </w:rPr>
                          <w:t>11</w:t>
                        </w:r>
                      </w:p>
                    </w:tc>
                  </w:tr>
                  <w:tr>
                    <w:trPr>
                      <w:trHeight w:val="178" w:hRule="atLeast"/>
                    </w:trPr>
                    <w:tc>
                      <w:tcPr>
                        <w:tcW w:w="3304" w:type="dxa"/>
                        <w:gridSpan w:val="3"/>
                      </w:tcPr>
                      <w:p>
                        <w:pPr>
                          <w:pStyle w:val="TableParagraph"/>
                          <w:tabs>
                            <w:tab w:pos="2323" w:val="left" w:leader="none"/>
                          </w:tabs>
                          <w:spacing w:line="146" w:lineRule="exact" w:before="12"/>
                          <w:ind w:left="49"/>
                          <w:rPr>
                            <w:sz w:val="13"/>
                          </w:rPr>
                        </w:pPr>
                        <w:r>
                          <w:rPr>
                            <w:color w:val="231F20"/>
                            <w:spacing w:val="-2"/>
                            <w:sz w:val="13"/>
                          </w:rPr>
                          <w:t>NMIMT</w:t>
                        </w:r>
                        <w:r>
                          <w:rPr>
                            <w:color w:val="231F20"/>
                            <w:spacing w:val="5"/>
                            <w:sz w:val="13"/>
                          </w:rPr>
                          <w:t> </w:t>
                        </w:r>
                        <w:r>
                          <w:rPr>
                            <w:color w:val="231F20"/>
                            <w:spacing w:val="-2"/>
                            <w:sz w:val="13"/>
                          </w:rPr>
                          <w:t>Infrastructure</w:t>
                        </w:r>
                        <w:r>
                          <w:rPr>
                            <w:color w:val="231F20"/>
                            <w:spacing w:val="4"/>
                            <w:sz w:val="13"/>
                          </w:rPr>
                          <w:t> </w:t>
                        </w:r>
                        <w:r>
                          <w:rPr>
                            <w:color w:val="231F20"/>
                            <w:spacing w:val="-2"/>
                            <w:sz w:val="13"/>
                          </w:rPr>
                          <w:t>Upgrades</w:t>
                        </w:r>
                        <w:r>
                          <w:rPr>
                            <w:color w:val="231F20"/>
                            <w:sz w:val="13"/>
                          </w:rPr>
                          <w:tab/>
                          <w:t>Ch</w:t>
                        </w:r>
                        <w:r>
                          <w:rPr>
                            <w:color w:val="231F20"/>
                            <w:spacing w:val="-5"/>
                            <w:sz w:val="13"/>
                          </w:rPr>
                          <w:t> </w:t>
                        </w:r>
                        <w:r>
                          <w:rPr>
                            <w:color w:val="231F20"/>
                            <w:sz w:val="13"/>
                          </w:rPr>
                          <w:t>138,</w:t>
                        </w:r>
                        <w:r>
                          <w:rPr>
                            <w:color w:val="231F20"/>
                            <w:spacing w:val="-5"/>
                            <w:sz w:val="13"/>
                          </w:rPr>
                          <w:t> </w:t>
                        </w:r>
                        <w:r>
                          <w:rPr>
                            <w:color w:val="231F20"/>
                            <w:sz w:val="13"/>
                          </w:rPr>
                          <w:t>Sect</w:t>
                        </w:r>
                        <w:r>
                          <w:rPr>
                            <w:color w:val="231F20"/>
                            <w:spacing w:val="-5"/>
                            <w:sz w:val="13"/>
                          </w:rPr>
                          <w:t> 38</w:t>
                        </w:r>
                      </w:p>
                    </w:tc>
                    <w:tc>
                      <w:tcPr>
                        <w:tcW w:w="642" w:type="dxa"/>
                        <w:gridSpan w:val="2"/>
                      </w:tcPr>
                      <w:p>
                        <w:pPr>
                          <w:pStyle w:val="TableParagraph"/>
                          <w:spacing w:line="146" w:lineRule="exact" w:before="12"/>
                          <w:ind w:left="233"/>
                          <w:rPr>
                            <w:sz w:val="13"/>
                          </w:rPr>
                        </w:pPr>
                        <w:r>
                          <w:rPr>
                            <w:color w:val="231F20"/>
                            <w:spacing w:val="-4"/>
                            <w:sz w:val="13"/>
                          </w:rPr>
                          <w:t>2021</w:t>
                        </w:r>
                      </w:p>
                    </w:tc>
                    <w:tc>
                      <w:tcPr>
                        <w:tcW w:w="881" w:type="dxa"/>
                        <w:gridSpan w:val="2"/>
                      </w:tcPr>
                      <w:p>
                        <w:pPr>
                          <w:pStyle w:val="TableParagraph"/>
                          <w:spacing w:line="146" w:lineRule="exact" w:before="12"/>
                          <w:ind w:left="349"/>
                          <w:rPr>
                            <w:sz w:val="13"/>
                          </w:rPr>
                        </w:pPr>
                        <w:r>
                          <w:rPr>
                            <w:color w:val="231F20"/>
                            <w:spacing w:val="-4"/>
                            <w:sz w:val="13"/>
                          </w:rPr>
                          <w:t>2022</w:t>
                        </w:r>
                      </w:p>
                    </w:tc>
                    <w:tc>
                      <w:tcPr>
                        <w:tcW w:w="966" w:type="dxa"/>
                        <w:gridSpan w:val="3"/>
                      </w:tcPr>
                      <w:p>
                        <w:pPr>
                          <w:pStyle w:val="TableParagraph"/>
                          <w:spacing w:line="146" w:lineRule="exact" w:before="12"/>
                          <w:ind w:left="199"/>
                          <w:rPr>
                            <w:sz w:val="13"/>
                          </w:rPr>
                        </w:pPr>
                        <w:r>
                          <w:rPr>
                            <w:color w:val="231F20"/>
                            <w:spacing w:val="-2"/>
                            <w:sz w:val="13"/>
                          </w:rPr>
                          <w:t>6/30/2025</w:t>
                        </w:r>
                      </w:p>
                    </w:tc>
                    <w:tc>
                      <w:tcPr>
                        <w:tcW w:w="861" w:type="dxa"/>
                      </w:tcPr>
                      <w:p>
                        <w:pPr>
                          <w:pStyle w:val="TableParagraph"/>
                          <w:spacing w:line="146" w:lineRule="exact" w:before="12"/>
                          <w:ind w:right="68"/>
                          <w:jc w:val="right"/>
                          <w:rPr>
                            <w:sz w:val="13"/>
                          </w:rPr>
                        </w:pPr>
                        <w:r>
                          <w:rPr>
                            <w:color w:val="231F20"/>
                            <w:spacing w:val="-2"/>
                            <w:sz w:val="13"/>
                          </w:rPr>
                          <w:t>2,520,000</w:t>
                        </w:r>
                      </w:p>
                    </w:tc>
                    <w:tc>
                      <w:tcPr>
                        <w:tcW w:w="100" w:type="dxa"/>
                      </w:tcPr>
                      <w:p>
                        <w:pPr>
                          <w:pStyle w:val="TableParagraph"/>
                          <w:rPr>
                            <w:rFonts w:ascii="Times New Roman"/>
                            <w:sz w:val="12"/>
                          </w:rPr>
                        </w:pPr>
                      </w:p>
                    </w:tc>
                    <w:tc>
                      <w:tcPr>
                        <w:tcW w:w="860" w:type="dxa"/>
                      </w:tcPr>
                      <w:p>
                        <w:pPr>
                          <w:pStyle w:val="TableParagraph"/>
                          <w:spacing w:line="146" w:lineRule="exact" w:before="12"/>
                          <w:ind w:right="66"/>
                          <w:jc w:val="right"/>
                          <w:rPr>
                            <w:sz w:val="13"/>
                          </w:rPr>
                        </w:pPr>
                        <w:r>
                          <w:rPr>
                            <w:color w:val="231F20"/>
                            <w:spacing w:val="-2"/>
                            <w:sz w:val="13"/>
                          </w:rPr>
                          <w:t>2,520,000</w:t>
                        </w:r>
                      </w:p>
                    </w:tc>
                    <w:tc>
                      <w:tcPr>
                        <w:tcW w:w="100" w:type="dxa"/>
                      </w:tcPr>
                      <w:p>
                        <w:pPr>
                          <w:pStyle w:val="TableParagraph"/>
                          <w:rPr>
                            <w:rFonts w:ascii="Times New Roman"/>
                            <w:sz w:val="12"/>
                          </w:rPr>
                        </w:pPr>
                      </w:p>
                    </w:tc>
                    <w:tc>
                      <w:tcPr>
                        <w:tcW w:w="859" w:type="dxa"/>
                        <w:gridSpan w:val="2"/>
                      </w:tcPr>
                      <w:p>
                        <w:pPr>
                          <w:pStyle w:val="TableParagraph"/>
                          <w:spacing w:line="146" w:lineRule="exact" w:before="12"/>
                          <w:ind w:right="64"/>
                          <w:jc w:val="right"/>
                          <w:rPr>
                            <w:sz w:val="13"/>
                          </w:rPr>
                        </w:pPr>
                        <w:r>
                          <w:rPr>
                            <w:color w:val="231F20"/>
                            <w:w w:val="99"/>
                            <w:sz w:val="13"/>
                          </w:rPr>
                          <w:t>-</w:t>
                        </w:r>
                      </w:p>
                    </w:tc>
                    <w:tc>
                      <w:tcPr>
                        <w:tcW w:w="100" w:type="dxa"/>
                      </w:tcPr>
                      <w:p>
                        <w:pPr>
                          <w:pStyle w:val="TableParagraph"/>
                          <w:rPr>
                            <w:rFonts w:ascii="Times New Roman"/>
                            <w:sz w:val="12"/>
                          </w:rPr>
                        </w:pPr>
                      </w:p>
                    </w:tc>
                    <w:tc>
                      <w:tcPr>
                        <w:tcW w:w="860" w:type="dxa"/>
                      </w:tcPr>
                      <w:p>
                        <w:pPr>
                          <w:pStyle w:val="TableParagraph"/>
                          <w:spacing w:line="146" w:lineRule="exact" w:before="12"/>
                          <w:ind w:right="62"/>
                          <w:jc w:val="right"/>
                          <w:rPr>
                            <w:sz w:val="13"/>
                          </w:rPr>
                        </w:pPr>
                        <w:r>
                          <w:rPr>
                            <w:color w:val="231F20"/>
                            <w:spacing w:val="-2"/>
                            <w:sz w:val="13"/>
                          </w:rPr>
                          <w:t>2,520,000</w:t>
                        </w:r>
                      </w:p>
                    </w:tc>
                    <w:tc>
                      <w:tcPr>
                        <w:tcW w:w="100" w:type="dxa"/>
                      </w:tcPr>
                      <w:p>
                        <w:pPr>
                          <w:pStyle w:val="TableParagraph"/>
                          <w:rPr>
                            <w:rFonts w:ascii="Times New Roman"/>
                            <w:sz w:val="12"/>
                          </w:rPr>
                        </w:pPr>
                      </w:p>
                    </w:tc>
                    <w:tc>
                      <w:tcPr>
                        <w:tcW w:w="1817" w:type="dxa"/>
                        <w:gridSpan w:val="4"/>
                      </w:tcPr>
                      <w:p>
                        <w:pPr>
                          <w:pStyle w:val="TableParagraph"/>
                          <w:tabs>
                            <w:tab w:pos="1714" w:val="left" w:leader="none"/>
                          </w:tabs>
                          <w:spacing w:line="146" w:lineRule="exact" w:before="12"/>
                          <w:ind w:left="752"/>
                          <w:rPr>
                            <w:sz w:val="13"/>
                          </w:rPr>
                        </w:pPr>
                        <w:r>
                          <w:rPr>
                            <w:color w:val="231F20"/>
                            <w:spacing w:val="-10"/>
                            <w:sz w:val="13"/>
                          </w:rPr>
                          <w:t>-</w:t>
                        </w:r>
                        <w:r>
                          <w:rPr>
                            <w:color w:val="231F20"/>
                            <w:sz w:val="13"/>
                          </w:rPr>
                          <w:tab/>
                        </w:r>
                        <w:r>
                          <w:rPr>
                            <w:color w:val="231F20"/>
                            <w:spacing w:val="-10"/>
                            <w:sz w:val="13"/>
                          </w:rPr>
                          <w:t>-</w:t>
                        </w:r>
                      </w:p>
                    </w:tc>
                    <w:tc>
                      <w:tcPr>
                        <w:tcW w:w="98" w:type="dxa"/>
                      </w:tcPr>
                      <w:p>
                        <w:pPr>
                          <w:pStyle w:val="TableParagraph"/>
                          <w:rPr>
                            <w:rFonts w:ascii="Times New Roman"/>
                            <w:sz w:val="12"/>
                          </w:rPr>
                        </w:pPr>
                      </w:p>
                    </w:tc>
                    <w:tc>
                      <w:tcPr>
                        <w:tcW w:w="858" w:type="dxa"/>
                        <w:gridSpan w:val="2"/>
                      </w:tcPr>
                      <w:p>
                        <w:pPr>
                          <w:pStyle w:val="TableParagraph"/>
                          <w:spacing w:line="146" w:lineRule="exact" w:before="12"/>
                          <w:ind w:right="51"/>
                          <w:jc w:val="right"/>
                          <w:rPr>
                            <w:sz w:val="13"/>
                          </w:rPr>
                        </w:pPr>
                        <w:r>
                          <w:rPr>
                            <w:color w:val="231F20"/>
                            <w:w w:val="99"/>
                            <w:sz w:val="13"/>
                          </w:rPr>
                          <w:t>-</w:t>
                        </w:r>
                      </w:p>
                    </w:tc>
                    <w:tc>
                      <w:tcPr>
                        <w:tcW w:w="98" w:type="dxa"/>
                      </w:tcPr>
                      <w:p>
                        <w:pPr>
                          <w:pStyle w:val="TableParagraph"/>
                          <w:rPr>
                            <w:rFonts w:ascii="Times New Roman"/>
                            <w:sz w:val="12"/>
                          </w:rPr>
                        </w:pPr>
                      </w:p>
                    </w:tc>
                    <w:tc>
                      <w:tcPr>
                        <w:tcW w:w="860" w:type="dxa"/>
                      </w:tcPr>
                      <w:p>
                        <w:pPr>
                          <w:pStyle w:val="TableParagraph"/>
                          <w:spacing w:line="146" w:lineRule="exact" w:before="12"/>
                          <w:ind w:right="47"/>
                          <w:jc w:val="right"/>
                          <w:rPr>
                            <w:sz w:val="13"/>
                          </w:rPr>
                        </w:pPr>
                        <w:r>
                          <w:rPr>
                            <w:color w:val="231F20"/>
                            <w:w w:val="99"/>
                            <w:sz w:val="13"/>
                          </w:rPr>
                          <w:t>-</w:t>
                        </w:r>
                      </w:p>
                    </w:tc>
                    <w:tc>
                      <w:tcPr>
                        <w:tcW w:w="99" w:type="dxa"/>
                      </w:tcPr>
                      <w:p>
                        <w:pPr>
                          <w:pStyle w:val="TableParagraph"/>
                          <w:rPr>
                            <w:rFonts w:ascii="Times New Roman"/>
                            <w:sz w:val="12"/>
                          </w:rPr>
                        </w:pPr>
                      </w:p>
                    </w:tc>
                    <w:tc>
                      <w:tcPr>
                        <w:tcW w:w="903" w:type="dxa"/>
                      </w:tcPr>
                      <w:p>
                        <w:pPr>
                          <w:pStyle w:val="TableParagraph"/>
                          <w:spacing w:line="146" w:lineRule="exact" w:before="12"/>
                          <w:ind w:left="265"/>
                          <w:rPr>
                            <w:sz w:val="13"/>
                          </w:rPr>
                        </w:pPr>
                        <w:r>
                          <w:rPr>
                            <w:color w:val="231F20"/>
                            <w:spacing w:val="-2"/>
                            <w:sz w:val="13"/>
                          </w:rPr>
                          <w:t>2,520,000</w:t>
                        </w:r>
                      </w:p>
                    </w:tc>
                  </w:tr>
                  <w:tr>
                    <w:trPr>
                      <w:trHeight w:val="267" w:hRule="atLeast"/>
                    </w:trPr>
                    <w:tc>
                      <w:tcPr>
                        <w:tcW w:w="3304" w:type="dxa"/>
                        <w:gridSpan w:val="3"/>
                      </w:tcPr>
                      <w:p>
                        <w:pPr>
                          <w:pStyle w:val="TableParagraph"/>
                          <w:tabs>
                            <w:tab w:pos="2322" w:val="left" w:leader="none"/>
                          </w:tabs>
                          <w:spacing w:before="13"/>
                          <w:ind w:left="49"/>
                          <w:rPr>
                            <w:sz w:val="13"/>
                          </w:rPr>
                        </w:pPr>
                        <w:r>
                          <w:rPr>
                            <w:color w:val="231F20"/>
                            <w:sz w:val="13"/>
                          </w:rPr>
                          <w:t>NMIMT</w:t>
                        </w:r>
                        <w:r>
                          <w:rPr>
                            <w:color w:val="231F20"/>
                            <w:spacing w:val="-7"/>
                            <w:sz w:val="13"/>
                          </w:rPr>
                          <w:t> </w:t>
                        </w:r>
                        <w:r>
                          <w:rPr>
                            <w:color w:val="231F20"/>
                            <w:sz w:val="13"/>
                          </w:rPr>
                          <w:t>Kelly</w:t>
                        </w:r>
                        <w:r>
                          <w:rPr>
                            <w:color w:val="231F20"/>
                            <w:spacing w:val="-9"/>
                            <w:sz w:val="13"/>
                          </w:rPr>
                          <w:t> </w:t>
                        </w:r>
                        <w:r>
                          <w:rPr>
                            <w:color w:val="231F20"/>
                            <w:sz w:val="13"/>
                          </w:rPr>
                          <w:t>Hall</w:t>
                        </w:r>
                        <w:r>
                          <w:rPr>
                            <w:color w:val="231F20"/>
                            <w:spacing w:val="-8"/>
                            <w:sz w:val="13"/>
                          </w:rPr>
                          <w:t> </w:t>
                        </w:r>
                        <w:r>
                          <w:rPr>
                            <w:color w:val="231F20"/>
                            <w:spacing w:val="-2"/>
                            <w:sz w:val="13"/>
                          </w:rPr>
                          <w:t>Construction</w:t>
                        </w:r>
                        <w:r>
                          <w:rPr>
                            <w:color w:val="231F20"/>
                            <w:sz w:val="13"/>
                          </w:rPr>
                          <w:tab/>
                          <w:t>Ch</w:t>
                        </w:r>
                        <w:r>
                          <w:rPr>
                            <w:color w:val="231F20"/>
                            <w:spacing w:val="-5"/>
                            <w:sz w:val="13"/>
                          </w:rPr>
                          <w:t> </w:t>
                        </w:r>
                        <w:r>
                          <w:rPr>
                            <w:color w:val="231F20"/>
                            <w:sz w:val="13"/>
                          </w:rPr>
                          <w:t>138,</w:t>
                        </w:r>
                        <w:r>
                          <w:rPr>
                            <w:color w:val="231F20"/>
                            <w:spacing w:val="-5"/>
                            <w:sz w:val="13"/>
                          </w:rPr>
                          <w:t> </w:t>
                        </w:r>
                        <w:r>
                          <w:rPr>
                            <w:color w:val="231F20"/>
                            <w:sz w:val="13"/>
                          </w:rPr>
                          <w:t>Sect</w:t>
                        </w:r>
                        <w:r>
                          <w:rPr>
                            <w:color w:val="231F20"/>
                            <w:spacing w:val="-5"/>
                            <w:sz w:val="13"/>
                          </w:rPr>
                          <w:t> 38</w:t>
                        </w:r>
                      </w:p>
                    </w:tc>
                    <w:tc>
                      <w:tcPr>
                        <w:tcW w:w="642" w:type="dxa"/>
                        <w:gridSpan w:val="2"/>
                      </w:tcPr>
                      <w:p>
                        <w:pPr>
                          <w:pStyle w:val="TableParagraph"/>
                          <w:spacing w:before="13"/>
                          <w:ind w:left="232"/>
                          <w:rPr>
                            <w:sz w:val="13"/>
                          </w:rPr>
                        </w:pPr>
                        <w:r>
                          <w:rPr>
                            <w:color w:val="231F20"/>
                            <w:spacing w:val="-4"/>
                            <w:sz w:val="13"/>
                          </w:rPr>
                          <w:t>2021</w:t>
                        </w:r>
                      </w:p>
                    </w:tc>
                    <w:tc>
                      <w:tcPr>
                        <w:tcW w:w="881" w:type="dxa"/>
                        <w:gridSpan w:val="2"/>
                      </w:tcPr>
                      <w:p>
                        <w:pPr>
                          <w:pStyle w:val="TableParagraph"/>
                          <w:spacing w:before="13"/>
                          <w:ind w:left="349"/>
                          <w:rPr>
                            <w:sz w:val="13"/>
                          </w:rPr>
                        </w:pPr>
                        <w:r>
                          <w:rPr>
                            <w:color w:val="231F20"/>
                            <w:spacing w:val="-4"/>
                            <w:sz w:val="13"/>
                          </w:rPr>
                          <w:t>2022</w:t>
                        </w:r>
                      </w:p>
                    </w:tc>
                    <w:tc>
                      <w:tcPr>
                        <w:tcW w:w="966" w:type="dxa"/>
                        <w:gridSpan w:val="3"/>
                      </w:tcPr>
                      <w:p>
                        <w:pPr>
                          <w:pStyle w:val="TableParagraph"/>
                          <w:spacing w:before="13"/>
                          <w:ind w:left="199"/>
                          <w:rPr>
                            <w:sz w:val="13"/>
                          </w:rPr>
                        </w:pPr>
                        <w:r>
                          <w:rPr>
                            <w:color w:val="231F20"/>
                            <w:spacing w:val="-2"/>
                            <w:sz w:val="13"/>
                          </w:rPr>
                          <w:t>6/30/2025</w:t>
                        </w:r>
                      </w:p>
                    </w:tc>
                    <w:tc>
                      <w:tcPr>
                        <w:tcW w:w="861" w:type="dxa"/>
                      </w:tcPr>
                      <w:p>
                        <w:pPr>
                          <w:pStyle w:val="TableParagraph"/>
                          <w:spacing w:before="13"/>
                          <w:ind w:right="69"/>
                          <w:jc w:val="right"/>
                          <w:rPr>
                            <w:sz w:val="13"/>
                          </w:rPr>
                        </w:pPr>
                        <w:r>
                          <w:rPr>
                            <w:color w:val="231F20"/>
                            <w:spacing w:val="-2"/>
                            <w:sz w:val="13"/>
                          </w:rPr>
                          <w:t>351,000</w:t>
                        </w:r>
                      </w:p>
                    </w:tc>
                    <w:tc>
                      <w:tcPr>
                        <w:tcW w:w="100" w:type="dxa"/>
                      </w:tcPr>
                      <w:p>
                        <w:pPr>
                          <w:pStyle w:val="TableParagraph"/>
                          <w:rPr>
                            <w:rFonts w:ascii="Times New Roman"/>
                            <w:sz w:val="14"/>
                          </w:rPr>
                        </w:pPr>
                      </w:p>
                    </w:tc>
                    <w:tc>
                      <w:tcPr>
                        <w:tcW w:w="860" w:type="dxa"/>
                      </w:tcPr>
                      <w:p>
                        <w:pPr>
                          <w:pStyle w:val="TableParagraph"/>
                          <w:spacing w:before="13"/>
                          <w:ind w:right="65"/>
                          <w:jc w:val="right"/>
                          <w:rPr>
                            <w:sz w:val="13"/>
                          </w:rPr>
                        </w:pPr>
                        <w:r>
                          <w:rPr>
                            <w:color w:val="231F20"/>
                            <w:spacing w:val="-2"/>
                            <w:sz w:val="13"/>
                          </w:rPr>
                          <w:t>351,000</w:t>
                        </w:r>
                      </w:p>
                    </w:tc>
                    <w:tc>
                      <w:tcPr>
                        <w:tcW w:w="100" w:type="dxa"/>
                      </w:tcPr>
                      <w:p>
                        <w:pPr>
                          <w:pStyle w:val="TableParagraph"/>
                          <w:rPr>
                            <w:rFonts w:ascii="Times New Roman"/>
                            <w:sz w:val="14"/>
                          </w:rPr>
                        </w:pPr>
                      </w:p>
                    </w:tc>
                    <w:tc>
                      <w:tcPr>
                        <w:tcW w:w="859" w:type="dxa"/>
                        <w:gridSpan w:val="2"/>
                      </w:tcPr>
                      <w:p>
                        <w:pPr>
                          <w:pStyle w:val="TableParagraph"/>
                          <w:spacing w:before="13"/>
                          <w:ind w:right="64"/>
                          <w:jc w:val="right"/>
                          <w:rPr>
                            <w:sz w:val="13"/>
                          </w:rPr>
                        </w:pPr>
                        <w:r>
                          <w:rPr>
                            <w:color w:val="231F20"/>
                            <w:w w:val="99"/>
                            <w:sz w:val="13"/>
                          </w:rPr>
                          <w:t>-</w:t>
                        </w:r>
                      </w:p>
                    </w:tc>
                    <w:tc>
                      <w:tcPr>
                        <w:tcW w:w="100" w:type="dxa"/>
                      </w:tcPr>
                      <w:p>
                        <w:pPr>
                          <w:pStyle w:val="TableParagraph"/>
                          <w:rPr>
                            <w:rFonts w:ascii="Times New Roman"/>
                            <w:sz w:val="14"/>
                          </w:rPr>
                        </w:pPr>
                      </w:p>
                    </w:tc>
                    <w:tc>
                      <w:tcPr>
                        <w:tcW w:w="860" w:type="dxa"/>
                      </w:tcPr>
                      <w:p>
                        <w:pPr>
                          <w:pStyle w:val="TableParagraph"/>
                          <w:spacing w:before="13"/>
                          <w:ind w:right="62"/>
                          <w:jc w:val="right"/>
                          <w:rPr>
                            <w:sz w:val="13"/>
                          </w:rPr>
                        </w:pPr>
                        <w:r>
                          <w:rPr>
                            <w:color w:val="231F20"/>
                            <w:spacing w:val="-2"/>
                            <w:sz w:val="13"/>
                          </w:rPr>
                          <w:t>351,000</w:t>
                        </w:r>
                      </w:p>
                    </w:tc>
                    <w:tc>
                      <w:tcPr>
                        <w:tcW w:w="100" w:type="dxa"/>
                      </w:tcPr>
                      <w:p>
                        <w:pPr>
                          <w:pStyle w:val="TableParagraph"/>
                          <w:rPr>
                            <w:rFonts w:ascii="Times New Roman"/>
                            <w:sz w:val="14"/>
                          </w:rPr>
                        </w:pPr>
                      </w:p>
                    </w:tc>
                    <w:tc>
                      <w:tcPr>
                        <w:tcW w:w="1817" w:type="dxa"/>
                        <w:gridSpan w:val="4"/>
                      </w:tcPr>
                      <w:p>
                        <w:pPr>
                          <w:pStyle w:val="TableParagraph"/>
                          <w:tabs>
                            <w:tab w:pos="1713" w:val="left" w:leader="none"/>
                          </w:tabs>
                          <w:spacing w:before="13"/>
                          <w:ind w:left="752"/>
                          <w:rPr>
                            <w:sz w:val="13"/>
                          </w:rPr>
                        </w:pPr>
                        <w:r>
                          <w:rPr>
                            <w:color w:val="231F20"/>
                            <w:spacing w:val="-10"/>
                            <w:sz w:val="13"/>
                          </w:rPr>
                          <w:t>-</w:t>
                        </w:r>
                        <w:r>
                          <w:rPr>
                            <w:color w:val="231F20"/>
                            <w:sz w:val="13"/>
                          </w:rPr>
                          <w:tab/>
                        </w:r>
                        <w:r>
                          <w:rPr>
                            <w:color w:val="231F20"/>
                            <w:spacing w:val="-10"/>
                            <w:sz w:val="13"/>
                          </w:rPr>
                          <w:t>-</w:t>
                        </w:r>
                      </w:p>
                    </w:tc>
                    <w:tc>
                      <w:tcPr>
                        <w:tcW w:w="98" w:type="dxa"/>
                      </w:tcPr>
                      <w:p>
                        <w:pPr>
                          <w:pStyle w:val="TableParagraph"/>
                          <w:rPr>
                            <w:rFonts w:ascii="Times New Roman"/>
                            <w:sz w:val="14"/>
                          </w:rPr>
                        </w:pPr>
                      </w:p>
                    </w:tc>
                    <w:tc>
                      <w:tcPr>
                        <w:tcW w:w="858" w:type="dxa"/>
                        <w:gridSpan w:val="2"/>
                      </w:tcPr>
                      <w:p>
                        <w:pPr>
                          <w:pStyle w:val="TableParagraph"/>
                          <w:spacing w:before="13"/>
                          <w:ind w:left="479"/>
                          <w:rPr>
                            <w:sz w:val="13"/>
                          </w:rPr>
                        </w:pPr>
                        <w:r>
                          <w:rPr>
                            <w:color w:val="231F20"/>
                            <w:spacing w:val="-2"/>
                            <w:sz w:val="13"/>
                          </w:rPr>
                          <w:t>3,510</w:t>
                        </w:r>
                      </w:p>
                    </w:tc>
                    <w:tc>
                      <w:tcPr>
                        <w:tcW w:w="98" w:type="dxa"/>
                      </w:tcPr>
                      <w:p>
                        <w:pPr>
                          <w:pStyle w:val="TableParagraph"/>
                          <w:rPr>
                            <w:rFonts w:ascii="Times New Roman"/>
                            <w:sz w:val="14"/>
                          </w:rPr>
                        </w:pPr>
                      </w:p>
                    </w:tc>
                    <w:tc>
                      <w:tcPr>
                        <w:tcW w:w="860" w:type="dxa"/>
                      </w:tcPr>
                      <w:p>
                        <w:pPr>
                          <w:pStyle w:val="TableParagraph"/>
                          <w:spacing w:before="13"/>
                          <w:ind w:right="48"/>
                          <w:jc w:val="right"/>
                          <w:rPr>
                            <w:sz w:val="13"/>
                          </w:rPr>
                        </w:pPr>
                        <w:r>
                          <w:rPr>
                            <w:color w:val="231F20"/>
                            <w:w w:val="99"/>
                            <w:sz w:val="13"/>
                          </w:rPr>
                          <w:t>-</w:t>
                        </w:r>
                      </w:p>
                    </w:tc>
                    <w:tc>
                      <w:tcPr>
                        <w:tcW w:w="99" w:type="dxa"/>
                      </w:tcPr>
                      <w:p>
                        <w:pPr>
                          <w:pStyle w:val="TableParagraph"/>
                          <w:rPr>
                            <w:rFonts w:ascii="Times New Roman"/>
                            <w:sz w:val="14"/>
                          </w:rPr>
                        </w:pPr>
                      </w:p>
                    </w:tc>
                    <w:tc>
                      <w:tcPr>
                        <w:tcW w:w="903" w:type="dxa"/>
                      </w:tcPr>
                      <w:p>
                        <w:pPr>
                          <w:pStyle w:val="TableParagraph"/>
                          <w:spacing w:before="13"/>
                          <w:ind w:right="58"/>
                          <w:jc w:val="right"/>
                          <w:rPr>
                            <w:sz w:val="13"/>
                          </w:rPr>
                        </w:pPr>
                        <w:r>
                          <w:rPr>
                            <w:color w:val="231F20"/>
                            <w:spacing w:val="-2"/>
                            <w:sz w:val="13"/>
                          </w:rPr>
                          <w:t>347,490</w:t>
                        </w:r>
                      </w:p>
                    </w:tc>
                  </w:tr>
                  <w:tr>
                    <w:trPr>
                      <w:trHeight w:val="251" w:hRule="atLeast"/>
                    </w:trPr>
                    <w:tc>
                      <w:tcPr>
                        <w:tcW w:w="3304" w:type="dxa"/>
                        <w:gridSpan w:val="3"/>
                      </w:tcPr>
                      <w:p>
                        <w:pPr>
                          <w:pStyle w:val="TableParagraph"/>
                          <w:tabs>
                            <w:tab w:pos="2323" w:val="left" w:leader="none"/>
                          </w:tabs>
                          <w:spacing w:line="130" w:lineRule="exact" w:before="101"/>
                          <w:ind w:left="330"/>
                          <w:rPr>
                            <w:sz w:val="13"/>
                          </w:rPr>
                        </w:pPr>
                        <w:r>
                          <w:rPr>
                            <w:color w:val="231F20"/>
                            <w:sz w:val="13"/>
                          </w:rPr>
                          <w:t>&amp;</w:t>
                        </w:r>
                        <w:r>
                          <w:rPr>
                            <w:color w:val="231F20"/>
                            <w:spacing w:val="-1"/>
                            <w:sz w:val="13"/>
                          </w:rPr>
                          <w:t> </w:t>
                        </w:r>
                        <w:r>
                          <w:rPr>
                            <w:color w:val="231F20"/>
                            <w:spacing w:val="-2"/>
                            <w:sz w:val="13"/>
                          </w:rPr>
                          <w:t>Equipment</w:t>
                        </w:r>
                        <w:r>
                          <w:rPr>
                            <w:color w:val="231F20"/>
                            <w:sz w:val="13"/>
                          </w:rPr>
                          <w:tab/>
                          <w:t>Ch</w:t>
                        </w:r>
                        <w:r>
                          <w:rPr>
                            <w:color w:val="231F20"/>
                            <w:spacing w:val="-5"/>
                            <w:sz w:val="13"/>
                          </w:rPr>
                          <w:t> </w:t>
                        </w:r>
                        <w:r>
                          <w:rPr>
                            <w:color w:val="231F20"/>
                            <w:sz w:val="13"/>
                          </w:rPr>
                          <w:t>138,</w:t>
                        </w:r>
                        <w:r>
                          <w:rPr>
                            <w:color w:val="231F20"/>
                            <w:spacing w:val="-5"/>
                            <w:sz w:val="13"/>
                          </w:rPr>
                          <w:t> </w:t>
                        </w:r>
                        <w:r>
                          <w:rPr>
                            <w:color w:val="231F20"/>
                            <w:sz w:val="13"/>
                          </w:rPr>
                          <w:t>Sect</w:t>
                        </w:r>
                        <w:r>
                          <w:rPr>
                            <w:color w:val="231F20"/>
                            <w:spacing w:val="-5"/>
                            <w:sz w:val="13"/>
                          </w:rPr>
                          <w:t> 38</w:t>
                        </w:r>
                      </w:p>
                    </w:tc>
                    <w:tc>
                      <w:tcPr>
                        <w:tcW w:w="642" w:type="dxa"/>
                        <w:gridSpan w:val="2"/>
                      </w:tcPr>
                      <w:p>
                        <w:pPr>
                          <w:pStyle w:val="TableParagraph"/>
                          <w:spacing w:line="130" w:lineRule="exact" w:before="101"/>
                          <w:ind w:left="233"/>
                          <w:rPr>
                            <w:sz w:val="13"/>
                          </w:rPr>
                        </w:pPr>
                        <w:r>
                          <w:rPr>
                            <w:color w:val="231F20"/>
                            <w:spacing w:val="-4"/>
                            <w:sz w:val="13"/>
                          </w:rPr>
                          <w:t>2021</w:t>
                        </w:r>
                      </w:p>
                    </w:tc>
                    <w:tc>
                      <w:tcPr>
                        <w:tcW w:w="881" w:type="dxa"/>
                        <w:gridSpan w:val="2"/>
                      </w:tcPr>
                      <w:p>
                        <w:pPr>
                          <w:pStyle w:val="TableParagraph"/>
                          <w:spacing w:line="130" w:lineRule="exact" w:before="101"/>
                          <w:ind w:left="349"/>
                          <w:rPr>
                            <w:sz w:val="13"/>
                          </w:rPr>
                        </w:pPr>
                        <w:r>
                          <w:rPr>
                            <w:color w:val="231F20"/>
                            <w:spacing w:val="-4"/>
                            <w:sz w:val="13"/>
                          </w:rPr>
                          <w:t>2022</w:t>
                        </w:r>
                      </w:p>
                    </w:tc>
                    <w:tc>
                      <w:tcPr>
                        <w:tcW w:w="966" w:type="dxa"/>
                        <w:gridSpan w:val="3"/>
                      </w:tcPr>
                      <w:p>
                        <w:pPr>
                          <w:pStyle w:val="TableParagraph"/>
                          <w:spacing w:line="130" w:lineRule="exact" w:before="101"/>
                          <w:ind w:left="199"/>
                          <w:rPr>
                            <w:sz w:val="13"/>
                          </w:rPr>
                        </w:pPr>
                        <w:r>
                          <w:rPr>
                            <w:color w:val="231F20"/>
                            <w:spacing w:val="-2"/>
                            <w:sz w:val="13"/>
                          </w:rPr>
                          <w:t>6/30/2023</w:t>
                        </w:r>
                      </w:p>
                    </w:tc>
                    <w:tc>
                      <w:tcPr>
                        <w:tcW w:w="861" w:type="dxa"/>
                        <w:tcBorders>
                          <w:bottom w:val="single" w:sz="12" w:space="0" w:color="231F20"/>
                        </w:tcBorders>
                      </w:tcPr>
                      <w:p>
                        <w:pPr>
                          <w:pStyle w:val="TableParagraph"/>
                          <w:spacing w:line="130" w:lineRule="exact" w:before="101"/>
                          <w:ind w:right="69"/>
                          <w:jc w:val="right"/>
                          <w:rPr>
                            <w:sz w:val="13"/>
                          </w:rPr>
                        </w:pPr>
                        <w:r>
                          <w:rPr>
                            <w:color w:val="231F20"/>
                            <w:spacing w:val="-2"/>
                            <w:sz w:val="13"/>
                          </w:rPr>
                          <w:t>150,000</w:t>
                        </w:r>
                      </w:p>
                    </w:tc>
                    <w:tc>
                      <w:tcPr>
                        <w:tcW w:w="100" w:type="dxa"/>
                      </w:tcPr>
                      <w:p>
                        <w:pPr>
                          <w:pStyle w:val="TableParagraph"/>
                          <w:rPr>
                            <w:rFonts w:ascii="Times New Roman"/>
                            <w:sz w:val="14"/>
                          </w:rPr>
                        </w:pPr>
                      </w:p>
                    </w:tc>
                    <w:tc>
                      <w:tcPr>
                        <w:tcW w:w="860" w:type="dxa"/>
                        <w:tcBorders>
                          <w:bottom w:val="single" w:sz="12" w:space="0" w:color="231F20"/>
                        </w:tcBorders>
                      </w:tcPr>
                      <w:p>
                        <w:pPr>
                          <w:pStyle w:val="TableParagraph"/>
                          <w:spacing w:line="130" w:lineRule="exact" w:before="101"/>
                          <w:ind w:right="66"/>
                          <w:jc w:val="right"/>
                          <w:rPr>
                            <w:sz w:val="13"/>
                          </w:rPr>
                        </w:pPr>
                        <w:r>
                          <w:rPr>
                            <w:color w:val="231F20"/>
                            <w:spacing w:val="-2"/>
                            <w:sz w:val="13"/>
                          </w:rPr>
                          <w:t>150,000</w:t>
                        </w:r>
                      </w:p>
                    </w:tc>
                    <w:tc>
                      <w:tcPr>
                        <w:tcW w:w="100" w:type="dxa"/>
                      </w:tcPr>
                      <w:p>
                        <w:pPr>
                          <w:pStyle w:val="TableParagraph"/>
                          <w:rPr>
                            <w:rFonts w:ascii="Times New Roman"/>
                            <w:sz w:val="14"/>
                          </w:rPr>
                        </w:pPr>
                      </w:p>
                    </w:tc>
                    <w:tc>
                      <w:tcPr>
                        <w:tcW w:w="859" w:type="dxa"/>
                        <w:gridSpan w:val="2"/>
                        <w:tcBorders>
                          <w:bottom w:val="single" w:sz="12" w:space="0" w:color="231F20"/>
                        </w:tcBorders>
                      </w:tcPr>
                      <w:p>
                        <w:pPr>
                          <w:pStyle w:val="TableParagraph"/>
                          <w:spacing w:line="130" w:lineRule="exact" w:before="101"/>
                          <w:ind w:right="64"/>
                          <w:jc w:val="right"/>
                          <w:rPr>
                            <w:sz w:val="13"/>
                          </w:rPr>
                        </w:pPr>
                        <w:r>
                          <w:rPr>
                            <w:color w:val="231F20"/>
                            <w:w w:val="99"/>
                            <w:sz w:val="13"/>
                          </w:rPr>
                          <w:t>-</w:t>
                        </w:r>
                      </w:p>
                    </w:tc>
                    <w:tc>
                      <w:tcPr>
                        <w:tcW w:w="100" w:type="dxa"/>
                      </w:tcPr>
                      <w:p>
                        <w:pPr>
                          <w:pStyle w:val="TableParagraph"/>
                          <w:rPr>
                            <w:rFonts w:ascii="Times New Roman"/>
                            <w:sz w:val="14"/>
                          </w:rPr>
                        </w:pPr>
                      </w:p>
                    </w:tc>
                    <w:tc>
                      <w:tcPr>
                        <w:tcW w:w="860" w:type="dxa"/>
                        <w:tcBorders>
                          <w:bottom w:val="single" w:sz="12" w:space="0" w:color="231F20"/>
                        </w:tcBorders>
                      </w:tcPr>
                      <w:p>
                        <w:pPr>
                          <w:pStyle w:val="TableParagraph"/>
                          <w:spacing w:line="130" w:lineRule="exact" w:before="101"/>
                          <w:ind w:right="62"/>
                          <w:jc w:val="right"/>
                          <w:rPr>
                            <w:sz w:val="13"/>
                          </w:rPr>
                        </w:pPr>
                        <w:r>
                          <w:rPr>
                            <w:color w:val="231F20"/>
                            <w:spacing w:val="-2"/>
                            <w:sz w:val="13"/>
                          </w:rPr>
                          <w:t>150,000</w:t>
                        </w:r>
                      </w:p>
                    </w:tc>
                    <w:tc>
                      <w:tcPr>
                        <w:tcW w:w="100" w:type="dxa"/>
                      </w:tcPr>
                      <w:p>
                        <w:pPr>
                          <w:pStyle w:val="TableParagraph"/>
                          <w:rPr>
                            <w:rFonts w:ascii="Times New Roman"/>
                            <w:sz w:val="14"/>
                          </w:rPr>
                        </w:pPr>
                      </w:p>
                    </w:tc>
                    <w:tc>
                      <w:tcPr>
                        <w:tcW w:w="1817" w:type="dxa"/>
                        <w:gridSpan w:val="4"/>
                      </w:tcPr>
                      <w:p>
                        <w:pPr>
                          <w:pStyle w:val="TableParagraph"/>
                          <w:tabs>
                            <w:tab w:pos="1713" w:val="left" w:leader="none"/>
                          </w:tabs>
                          <w:spacing w:line="130" w:lineRule="exact" w:before="101"/>
                          <w:ind w:left="752"/>
                          <w:rPr>
                            <w:sz w:val="13"/>
                          </w:rPr>
                        </w:pPr>
                        <w:r>
                          <w:rPr>
                            <w:color w:val="231F20"/>
                            <w:spacing w:val="-10"/>
                            <w:sz w:val="13"/>
                          </w:rPr>
                          <w:t>-</w:t>
                        </w:r>
                        <w:r>
                          <w:rPr>
                            <w:color w:val="231F20"/>
                            <w:sz w:val="13"/>
                          </w:rPr>
                          <w:tab/>
                        </w:r>
                        <w:r>
                          <w:rPr>
                            <w:color w:val="231F20"/>
                            <w:spacing w:val="-10"/>
                            <w:sz w:val="13"/>
                          </w:rPr>
                          <w:t>-</w:t>
                        </w:r>
                      </w:p>
                    </w:tc>
                    <w:tc>
                      <w:tcPr>
                        <w:tcW w:w="98" w:type="dxa"/>
                      </w:tcPr>
                      <w:p>
                        <w:pPr>
                          <w:pStyle w:val="TableParagraph"/>
                          <w:rPr>
                            <w:rFonts w:ascii="Times New Roman"/>
                            <w:sz w:val="14"/>
                          </w:rPr>
                        </w:pPr>
                      </w:p>
                    </w:tc>
                    <w:tc>
                      <w:tcPr>
                        <w:tcW w:w="858" w:type="dxa"/>
                        <w:gridSpan w:val="2"/>
                        <w:tcBorders>
                          <w:bottom w:val="single" w:sz="12" w:space="0" w:color="231F20"/>
                        </w:tcBorders>
                      </w:tcPr>
                      <w:p>
                        <w:pPr>
                          <w:pStyle w:val="TableParagraph"/>
                          <w:spacing w:line="130" w:lineRule="exact" w:before="101"/>
                          <w:ind w:right="51"/>
                          <w:jc w:val="right"/>
                          <w:rPr>
                            <w:sz w:val="13"/>
                          </w:rPr>
                        </w:pPr>
                        <w:r>
                          <w:rPr>
                            <w:color w:val="231F20"/>
                            <w:w w:val="99"/>
                            <w:sz w:val="13"/>
                          </w:rPr>
                          <w:t>-</w:t>
                        </w:r>
                      </w:p>
                    </w:tc>
                    <w:tc>
                      <w:tcPr>
                        <w:tcW w:w="98" w:type="dxa"/>
                      </w:tcPr>
                      <w:p>
                        <w:pPr>
                          <w:pStyle w:val="TableParagraph"/>
                          <w:rPr>
                            <w:rFonts w:ascii="Times New Roman"/>
                            <w:sz w:val="14"/>
                          </w:rPr>
                        </w:pPr>
                      </w:p>
                    </w:tc>
                    <w:tc>
                      <w:tcPr>
                        <w:tcW w:w="860" w:type="dxa"/>
                        <w:tcBorders>
                          <w:bottom w:val="single" w:sz="12" w:space="0" w:color="231F20"/>
                        </w:tcBorders>
                      </w:tcPr>
                      <w:p>
                        <w:pPr>
                          <w:pStyle w:val="TableParagraph"/>
                          <w:spacing w:line="130" w:lineRule="exact" w:before="101"/>
                          <w:ind w:right="48"/>
                          <w:jc w:val="right"/>
                          <w:rPr>
                            <w:sz w:val="13"/>
                          </w:rPr>
                        </w:pPr>
                        <w:r>
                          <w:rPr>
                            <w:color w:val="231F20"/>
                            <w:w w:val="99"/>
                            <w:sz w:val="13"/>
                          </w:rPr>
                          <w:t>-</w:t>
                        </w:r>
                      </w:p>
                    </w:tc>
                    <w:tc>
                      <w:tcPr>
                        <w:tcW w:w="99" w:type="dxa"/>
                      </w:tcPr>
                      <w:p>
                        <w:pPr>
                          <w:pStyle w:val="TableParagraph"/>
                          <w:rPr>
                            <w:rFonts w:ascii="Times New Roman"/>
                            <w:sz w:val="14"/>
                          </w:rPr>
                        </w:pPr>
                      </w:p>
                    </w:tc>
                    <w:tc>
                      <w:tcPr>
                        <w:tcW w:w="903" w:type="dxa"/>
                        <w:tcBorders>
                          <w:bottom w:val="single" w:sz="12" w:space="0" w:color="231F20"/>
                        </w:tcBorders>
                      </w:tcPr>
                      <w:p>
                        <w:pPr>
                          <w:pStyle w:val="TableParagraph"/>
                          <w:spacing w:line="130" w:lineRule="exact" w:before="101"/>
                          <w:ind w:right="58"/>
                          <w:jc w:val="right"/>
                          <w:rPr>
                            <w:sz w:val="13"/>
                          </w:rPr>
                        </w:pPr>
                        <w:r>
                          <w:rPr>
                            <w:color w:val="231F20"/>
                            <w:spacing w:val="-2"/>
                            <w:sz w:val="13"/>
                          </w:rPr>
                          <w:t>150,000</w:t>
                        </w:r>
                      </w:p>
                    </w:tc>
                  </w:tr>
                  <w:tr>
                    <w:trPr>
                      <w:trHeight w:val="360" w:hRule="atLeast"/>
                    </w:trPr>
                    <w:tc>
                      <w:tcPr>
                        <w:tcW w:w="3304" w:type="dxa"/>
                        <w:gridSpan w:val="3"/>
                      </w:tcPr>
                      <w:p>
                        <w:pPr>
                          <w:pStyle w:val="TableParagraph"/>
                          <w:spacing w:before="10"/>
                          <w:rPr>
                            <w:sz w:val="14"/>
                          </w:rPr>
                        </w:pPr>
                      </w:p>
                      <w:p>
                        <w:pPr>
                          <w:pStyle w:val="TableParagraph"/>
                          <w:ind w:left="49"/>
                          <w:rPr>
                            <w:sz w:val="13"/>
                          </w:rPr>
                        </w:pPr>
                        <w:r>
                          <w:rPr>
                            <w:color w:val="231F20"/>
                            <w:sz w:val="13"/>
                          </w:rPr>
                          <w:t>Total</w:t>
                        </w:r>
                        <w:r>
                          <w:rPr>
                            <w:color w:val="231F20"/>
                            <w:spacing w:val="-8"/>
                            <w:sz w:val="13"/>
                          </w:rPr>
                          <w:t> </w:t>
                        </w:r>
                        <w:r>
                          <w:rPr>
                            <w:color w:val="231F20"/>
                            <w:sz w:val="13"/>
                          </w:rPr>
                          <w:t>Severance</w:t>
                        </w:r>
                        <w:r>
                          <w:rPr>
                            <w:color w:val="231F20"/>
                            <w:spacing w:val="-8"/>
                            <w:sz w:val="13"/>
                          </w:rPr>
                          <w:t> </w:t>
                        </w:r>
                        <w:r>
                          <w:rPr>
                            <w:color w:val="231F20"/>
                            <w:sz w:val="13"/>
                          </w:rPr>
                          <w:t>Tax</w:t>
                        </w:r>
                        <w:r>
                          <w:rPr>
                            <w:color w:val="231F20"/>
                            <w:spacing w:val="-8"/>
                            <w:sz w:val="13"/>
                          </w:rPr>
                          <w:t> </w:t>
                        </w:r>
                        <w:r>
                          <w:rPr>
                            <w:color w:val="231F20"/>
                            <w:spacing w:val="-2"/>
                            <w:sz w:val="13"/>
                          </w:rPr>
                          <w:t>Bonds</w:t>
                        </w:r>
                      </w:p>
                    </w:tc>
                    <w:tc>
                      <w:tcPr>
                        <w:tcW w:w="642" w:type="dxa"/>
                        <w:gridSpan w:val="2"/>
                      </w:tcPr>
                      <w:p>
                        <w:pPr>
                          <w:pStyle w:val="TableParagraph"/>
                          <w:rPr>
                            <w:rFonts w:ascii="Times New Roman"/>
                            <w:sz w:val="14"/>
                          </w:rPr>
                        </w:pPr>
                      </w:p>
                    </w:tc>
                    <w:tc>
                      <w:tcPr>
                        <w:tcW w:w="881" w:type="dxa"/>
                        <w:gridSpan w:val="2"/>
                      </w:tcPr>
                      <w:p>
                        <w:pPr>
                          <w:pStyle w:val="TableParagraph"/>
                          <w:rPr>
                            <w:rFonts w:ascii="Times New Roman"/>
                            <w:sz w:val="14"/>
                          </w:rPr>
                        </w:pPr>
                      </w:p>
                    </w:tc>
                    <w:tc>
                      <w:tcPr>
                        <w:tcW w:w="966" w:type="dxa"/>
                        <w:gridSpan w:val="3"/>
                      </w:tcPr>
                      <w:p>
                        <w:pPr>
                          <w:pStyle w:val="TableParagraph"/>
                          <w:rPr>
                            <w:rFonts w:ascii="Times New Roman"/>
                            <w:sz w:val="14"/>
                          </w:rPr>
                        </w:pPr>
                      </w:p>
                    </w:tc>
                    <w:tc>
                      <w:tcPr>
                        <w:tcW w:w="861" w:type="dxa"/>
                        <w:tcBorders>
                          <w:top w:val="single" w:sz="12" w:space="0" w:color="231F20"/>
                          <w:bottom w:val="single" w:sz="12" w:space="0" w:color="231F20"/>
                        </w:tcBorders>
                      </w:tcPr>
                      <w:p>
                        <w:pPr>
                          <w:pStyle w:val="TableParagraph"/>
                          <w:spacing w:before="10"/>
                          <w:rPr>
                            <w:sz w:val="14"/>
                          </w:rPr>
                        </w:pPr>
                      </w:p>
                      <w:p>
                        <w:pPr>
                          <w:pStyle w:val="TableParagraph"/>
                          <w:ind w:right="67"/>
                          <w:jc w:val="right"/>
                          <w:rPr>
                            <w:sz w:val="13"/>
                          </w:rPr>
                        </w:pPr>
                        <w:r>
                          <w:rPr>
                            <w:color w:val="231F20"/>
                            <w:sz w:val="13"/>
                          </w:rPr>
                          <w:t>$</w:t>
                        </w:r>
                        <w:r>
                          <w:rPr>
                            <w:color w:val="231F20"/>
                            <w:spacing w:val="31"/>
                            <w:sz w:val="13"/>
                          </w:rPr>
                          <w:t> </w:t>
                        </w:r>
                        <w:r>
                          <w:rPr>
                            <w:color w:val="231F20"/>
                            <w:spacing w:val="-2"/>
                            <w:sz w:val="13"/>
                          </w:rPr>
                          <w:t>3,421,000</w:t>
                        </w:r>
                      </w:p>
                    </w:tc>
                    <w:tc>
                      <w:tcPr>
                        <w:tcW w:w="100" w:type="dxa"/>
                      </w:tcPr>
                      <w:p>
                        <w:pPr>
                          <w:pStyle w:val="TableParagraph"/>
                          <w:rPr>
                            <w:rFonts w:ascii="Times New Roman"/>
                            <w:sz w:val="14"/>
                          </w:rPr>
                        </w:pPr>
                      </w:p>
                    </w:tc>
                    <w:tc>
                      <w:tcPr>
                        <w:tcW w:w="860" w:type="dxa"/>
                        <w:tcBorders>
                          <w:top w:val="single" w:sz="12" w:space="0" w:color="231F20"/>
                          <w:bottom w:val="single" w:sz="12" w:space="0" w:color="231F20"/>
                        </w:tcBorders>
                      </w:tcPr>
                      <w:p>
                        <w:pPr>
                          <w:pStyle w:val="TableParagraph"/>
                          <w:spacing w:before="10"/>
                          <w:rPr>
                            <w:sz w:val="14"/>
                          </w:rPr>
                        </w:pPr>
                      </w:p>
                      <w:p>
                        <w:pPr>
                          <w:pStyle w:val="TableParagraph"/>
                          <w:ind w:right="66"/>
                          <w:jc w:val="right"/>
                          <w:rPr>
                            <w:sz w:val="13"/>
                          </w:rPr>
                        </w:pPr>
                        <w:r>
                          <w:rPr>
                            <w:color w:val="231F20"/>
                            <w:sz w:val="13"/>
                          </w:rPr>
                          <w:t>$</w:t>
                        </w:r>
                        <w:r>
                          <w:rPr>
                            <w:color w:val="231F20"/>
                            <w:spacing w:val="31"/>
                            <w:sz w:val="13"/>
                          </w:rPr>
                          <w:t> </w:t>
                        </w:r>
                        <w:r>
                          <w:rPr>
                            <w:color w:val="231F20"/>
                            <w:spacing w:val="-2"/>
                            <w:sz w:val="13"/>
                          </w:rPr>
                          <w:t>3,421,000</w:t>
                        </w:r>
                      </w:p>
                    </w:tc>
                    <w:tc>
                      <w:tcPr>
                        <w:tcW w:w="100" w:type="dxa"/>
                      </w:tcPr>
                      <w:p>
                        <w:pPr>
                          <w:pStyle w:val="TableParagraph"/>
                          <w:rPr>
                            <w:rFonts w:ascii="Times New Roman"/>
                            <w:sz w:val="14"/>
                          </w:rPr>
                        </w:pPr>
                      </w:p>
                    </w:tc>
                    <w:tc>
                      <w:tcPr>
                        <w:tcW w:w="859" w:type="dxa"/>
                        <w:gridSpan w:val="2"/>
                        <w:tcBorders>
                          <w:top w:val="single" w:sz="12" w:space="0" w:color="231F20"/>
                          <w:bottom w:val="single" w:sz="12" w:space="0" w:color="231F20"/>
                        </w:tcBorders>
                      </w:tcPr>
                      <w:p>
                        <w:pPr>
                          <w:pStyle w:val="TableParagraph"/>
                          <w:spacing w:before="10"/>
                          <w:rPr>
                            <w:sz w:val="14"/>
                          </w:rPr>
                        </w:pPr>
                      </w:p>
                      <w:p>
                        <w:pPr>
                          <w:pStyle w:val="TableParagraph"/>
                          <w:tabs>
                            <w:tab w:pos="749" w:val="left" w:leader="none"/>
                          </w:tabs>
                          <w:ind w:left="75"/>
                          <w:rPr>
                            <w:sz w:val="13"/>
                          </w:rPr>
                        </w:pPr>
                        <w:r>
                          <w:rPr>
                            <w:color w:val="231F20"/>
                            <w:spacing w:val="-10"/>
                            <w:sz w:val="13"/>
                          </w:rPr>
                          <w:t>$</w:t>
                        </w:r>
                        <w:r>
                          <w:rPr>
                            <w:color w:val="231F20"/>
                            <w:sz w:val="13"/>
                          </w:rPr>
                          <w:tab/>
                        </w:r>
                        <w:r>
                          <w:rPr>
                            <w:color w:val="231F20"/>
                            <w:spacing w:val="-10"/>
                            <w:sz w:val="13"/>
                          </w:rPr>
                          <w:t>-</w:t>
                        </w:r>
                      </w:p>
                    </w:tc>
                    <w:tc>
                      <w:tcPr>
                        <w:tcW w:w="100" w:type="dxa"/>
                      </w:tcPr>
                      <w:p>
                        <w:pPr>
                          <w:pStyle w:val="TableParagraph"/>
                          <w:rPr>
                            <w:rFonts w:ascii="Times New Roman"/>
                            <w:sz w:val="14"/>
                          </w:rPr>
                        </w:pPr>
                      </w:p>
                    </w:tc>
                    <w:tc>
                      <w:tcPr>
                        <w:tcW w:w="860" w:type="dxa"/>
                        <w:tcBorders>
                          <w:top w:val="single" w:sz="12" w:space="0" w:color="231F20"/>
                          <w:bottom w:val="single" w:sz="12" w:space="0" w:color="231F20"/>
                        </w:tcBorders>
                      </w:tcPr>
                      <w:p>
                        <w:pPr>
                          <w:pStyle w:val="TableParagraph"/>
                          <w:spacing w:before="10"/>
                          <w:rPr>
                            <w:sz w:val="14"/>
                          </w:rPr>
                        </w:pPr>
                      </w:p>
                      <w:p>
                        <w:pPr>
                          <w:pStyle w:val="TableParagraph"/>
                          <w:ind w:right="62"/>
                          <w:jc w:val="right"/>
                          <w:rPr>
                            <w:sz w:val="13"/>
                          </w:rPr>
                        </w:pPr>
                        <w:r>
                          <w:rPr>
                            <w:color w:val="231F20"/>
                            <w:sz w:val="13"/>
                          </w:rPr>
                          <w:t>$</w:t>
                        </w:r>
                        <w:r>
                          <w:rPr>
                            <w:color w:val="231F20"/>
                            <w:spacing w:val="32"/>
                            <w:sz w:val="13"/>
                          </w:rPr>
                          <w:t> </w:t>
                        </w:r>
                        <w:r>
                          <w:rPr>
                            <w:color w:val="231F20"/>
                            <w:spacing w:val="-2"/>
                            <w:sz w:val="13"/>
                          </w:rPr>
                          <w:t>3,421,000</w:t>
                        </w:r>
                      </w:p>
                    </w:tc>
                    <w:tc>
                      <w:tcPr>
                        <w:tcW w:w="100" w:type="dxa"/>
                      </w:tcPr>
                      <w:p>
                        <w:pPr>
                          <w:pStyle w:val="TableParagraph"/>
                          <w:rPr>
                            <w:rFonts w:ascii="Times New Roman"/>
                            <w:sz w:val="14"/>
                          </w:rPr>
                        </w:pPr>
                      </w:p>
                    </w:tc>
                    <w:tc>
                      <w:tcPr>
                        <w:tcW w:w="1817" w:type="dxa"/>
                        <w:gridSpan w:val="4"/>
                      </w:tcPr>
                      <w:p>
                        <w:pPr>
                          <w:pStyle w:val="TableParagraph"/>
                          <w:spacing w:before="10"/>
                          <w:rPr>
                            <w:sz w:val="14"/>
                          </w:rPr>
                        </w:pPr>
                      </w:p>
                      <w:p>
                        <w:pPr>
                          <w:pStyle w:val="TableParagraph"/>
                          <w:tabs>
                            <w:tab w:pos="752" w:val="left" w:leader="none"/>
                            <w:tab w:pos="1040" w:val="left" w:leader="none"/>
                            <w:tab w:pos="1361" w:val="left" w:leader="none"/>
                          </w:tabs>
                          <w:ind w:left="79"/>
                          <w:rPr>
                            <w:sz w:val="13"/>
                          </w:rPr>
                        </w:pPr>
                        <w:r>
                          <w:rPr>
                            <w:color w:val="231F20"/>
                            <w:spacing w:val="-10"/>
                            <w:sz w:val="13"/>
                          </w:rPr>
                          <w:t>$</w:t>
                        </w:r>
                        <w:r>
                          <w:rPr>
                            <w:color w:val="231F20"/>
                            <w:sz w:val="13"/>
                          </w:rPr>
                          <w:tab/>
                        </w:r>
                        <w:r>
                          <w:rPr>
                            <w:color w:val="231F20"/>
                            <w:spacing w:val="-10"/>
                            <w:sz w:val="13"/>
                          </w:rPr>
                          <w:t>-</w:t>
                        </w:r>
                        <w:r>
                          <w:rPr>
                            <w:color w:val="231F20"/>
                            <w:sz w:val="13"/>
                          </w:rPr>
                          <w:tab/>
                        </w:r>
                        <w:r>
                          <w:rPr>
                            <w:color w:val="231F20"/>
                            <w:spacing w:val="-10"/>
                            <w:sz w:val="13"/>
                          </w:rPr>
                          <w:t>$</w:t>
                        </w:r>
                        <w:r>
                          <w:rPr>
                            <w:color w:val="231F20"/>
                            <w:sz w:val="13"/>
                          </w:rPr>
                          <w:tab/>
                        </w:r>
                        <w:r>
                          <w:rPr>
                            <w:color w:val="231F20"/>
                            <w:spacing w:val="-2"/>
                            <w:sz w:val="13"/>
                          </w:rPr>
                          <w:t>99,989</w:t>
                        </w:r>
                      </w:p>
                    </w:tc>
                    <w:tc>
                      <w:tcPr>
                        <w:tcW w:w="98" w:type="dxa"/>
                      </w:tcPr>
                      <w:p>
                        <w:pPr>
                          <w:pStyle w:val="TableParagraph"/>
                          <w:rPr>
                            <w:rFonts w:ascii="Times New Roman"/>
                            <w:sz w:val="14"/>
                          </w:rPr>
                        </w:pPr>
                      </w:p>
                    </w:tc>
                    <w:tc>
                      <w:tcPr>
                        <w:tcW w:w="858" w:type="dxa"/>
                        <w:gridSpan w:val="2"/>
                        <w:tcBorders>
                          <w:top w:val="single" w:sz="12" w:space="0" w:color="231F20"/>
                          <w:bottom w:val="single" w:sz="12" w:space="0" w:color="231F20"/>
                        </w:tcBorders>
                      </w:tcPr>
                      <w:p>
                        <w:pPr>
                          <w:pStyle w:val="TableParagraph"/>
                          <w:spacing w:before="10"/>
                          <w:rPr>
                            <w:sz w:val="14"/>
                          </w:rPr>
                        </w:pPr>
                      </w:p>
                      <w:p>
                        <w:pPr>
                          <w:pStyle w:val="TableParagraph"/>
                          <w:tabs>
                            <w:tab w:pos="479" w:val="left" w:leader="none"/>
                          </w:tabs>
                          <w:ind w:left="87"/>
                          <w:rPr>
                            <w:sz w:val="13"/>
                          </w:rPr>
                        </w:pPr>
                        <w:r>
                          <w:rPr>
                            <w:color w:val="231F20"/>
                            <w:spacing w:val="-10"/>
                            <w:sz w:val="13"/>
                          </w:rPr>
                          <w:t>$</w:t>
                        </w:r>
                        <w:r>
                          <w:rPr>
                            <w:color w:val="231F20"/>
                            <w:sz w:val="13"/>
                          </w:rPr>
                          <w:tab/>
                        </w:r>
                        <w:r>
                          <w:rPr>
                            <w:color w:val="231F20"/>
                            <w:spacing w:val="-2"/>
                            <w:sz w:val="13"/>
                          </w:rPr>
                          <w:t>3,510</w:t>
                        </w:r>
                      </w:p>
                    </w:tc>
                    <w:tc>
                      <w:tcPr>
                        <w:tcW w:w="98" w:type="dxa"/>
                      </w:tcPr>
                      <w:p>
                        <w:pPr>
                          <w:pStyle w:val="TableParagraph"/>
                          <w:rPr>
                            <w:rFonts w:ascii="Times New Roman"/>
                            <w:sz w:val="14"/>
                          </w:rPr>
                        </w:pPr>
                      </w:p>
                    </w:tc>
                    <w:tc>
                      <w:tcPr>
                        <w:tcW w:w="860" w:type="dxa"/>
                        <w:tcBorders>
                          <w:top w:val="single" w:sz="12" w:space="0" w:color="231F20"/>
                          <w:bottom w:val="single" w:sz="12" w:space="0" w:color="231F20"/>
                        </w:tcBorders>
                      </w:tcPr>
                      <w:p>
                        <w:pPr>
                          <w:pStyle w:val="TableParagraph"/>
                          <w:spacing w:before="10"/>
                          <w:rPr>
                            <w:sz w:val="14"/>
                          </w:rPr>
                        </w:pPr>
                      </w:p>
                      <w:p>
                        <w:pPr>
                          <w:pStyle w:val="TableParagraph"/>
                          <w:tabs>
                            <w:tab w:pos="674" w:val="left" w:leader="none"/>
                          </w:tabs>
                          <w:ind w:right="47"/>
                          <w:jc w:val="right"/>
                          <w:rPr>
                            <w:sz w:val="13"/>
                          </w:rPr>
                        </w:pPr>
                        <w:r>
                          <w:rPr>
                            <w:color w:val="231F20"/>
                            <w:spacing w:val="-10"/>
                            <w:sz w:val="13"/>
                          </w:rPr>
                          <w:t>$</w:t>
                        </w:r>
                        <w:r>
                          <w:rPr>
                            <w:color w:val="231F20"/>
                            <w:sz w:val="13"/>
                          </w:rPr>
                          <w:tab/>
                        </w:r>
                        <w:r>
                          <w:rPr>
                            <w:color w:val="231F20"/>
                            <w:spacing w:val="-10"/>
                            <w:sz w:val="13"/>
                          </w:rPr>
                          <w:t>-</w:t>
                        </w:r>
                      </w:p>
                    </w:tc>
                    <w:tc>
                      <w:tcPr>
                        <w:tcW w:w="99" w:type="dxa"/>
                      </w:tcPr>
                      <w:p>
                        <w:pPr>
                          <w:pStyle w:val="TableParagraph"/>
                          <w:rPr>
                            <w:rFonts w:ascii="Times New Roman"/>
                            <w:sz w:val="14"/>
                          </w:rPr>
                        </w:pPr>
                      </w:p>
                    </w:tc>
                    <w:tc>
                      <w:tcPr>
                        <w:tcW w:w="903" w:type="dxa"/>
                        <w:tcBorders>
                          <w:top w:val="single" w:sz="12" w:space="0" w:color="231F20"/>
                          <w:bottom w:val="single" w:sz="12" w:space="0" w:color="231F20"/>
                        </w:tcBorders>
                      </w:tcPr>
                      <w:p>
                        <w:pPr>
                          <w:pStyle w:val="TableParagraph"/>
                          <w:spacing w:before="10"/>
                          <w:rPr>
                            <w:sz w:val="14"/>
                          </w:rPr>
                        </w:pPr>
                      </w:p>
                      <w:p>
                        <w:pPr>
                          <w:pStyle w:val="TableParagraph"/>
                          <w:ind w:left="94"/>
                          <w:rPr>
                            <w:sz w:val="13"/>
                          </w:rPr>
                        </w:pPr>
                        <w:r>
                          <w:rPr>
                            <w:color w:val="231F20"/>
                            <w:sz w:val="13"/>
                          </w:rPr>
                          <w:t>$</w:t>
                        </w:r>
                        <w:r>
                          <w:rPr>
                            <w:color w:val="231F20"/>
                            <w:spacing w:val="61"/>
                            <w:sz w:val="13"/>
                          </w:rPr>
                          <w:t> </w:t>
                        </w:r>
                        <w:r>
                          <w:rPr>
                            <w:color w:val="231F20"/>
                            <w:spacing w:val="-2"/>
                            <w:sz w:val="13"/>
                          </w:rPr>
                          <w:t>3,317,501</w:t>
                        </w:r>
                      </w:p>
                    </w:tc>
                  </w:tr>
                </w:tbl>
                <w:p>
                  <w:pPr>
                    <w:pStyle w:val="BodyText"/>
                  </w:pPr>
                </w:p>
              </w:txbxContent>
            </v:textbox>
            <w10:wrap type="none"/>
          </v:shape>
        </w:pict>
      </w:r>
      <w:r>
        <w:rPr>
          <w:b/>
          <w:color w:val="231F20"/>
          <w:sz w:val="24"/>
        </w:rPr>
        <w:t>For</w:t>
      </w:r>
      <w:r>
        <w:rPr>
          <w:b/>
          <w:color w:val="231F20"/>
          <w:spacing w:val="-1"/>
          <w:sz w:val="24"/>
        </w:rPr>
        <w:t> </w:t>
      </w:r>
      <w:r>
        <w:rPr>
          <w:b/>
          <w:color w:val="231F20"/>
          <w:sz w:val="24"/>
        </w:rPr>
        <w:t>Year</w:t>
      </w:r>
      <w:r>
        <w:rPr>
          <w:b/>
          <w:color w:val="231F20"/>
          <w:spacing w:val="-1"/>
          <w:sz w:val="24"/>
        </w:rPr>
        <w:t> </w:t>
      </w:r>
      <w:r>
        <w:rPr>
          <w:b/>
          <w:color w:val="231F20"/>
          <w:sz w:val="24"/>
        </w:rPr>
        <w:t>Ended</w:t>
      </w:r>
      <w:r>
        <w:rPr>
          <w:b/>
          <w:color w:val="231F20"/>
          <w:spacing w:val="-1"/>
          <w:sz w:val="24"/>
        </w:rPr>
        <w:t> </w:t>
      </w:r>
      <w:r>
        <w:rPr>
          <w:b/>
          <w:color w:val="231F20"/>
          <w:sz w:val="24"/>
        </w:rPr>
        <w:t>June</w:t>
      </w:r>
      <w:r>
        <w:rPr>
          <w:b/>
          <w:color w:val="231F20"/>
          <w:spacing w:val="-1"/>
          <w:sz w:val="24"/>
        </w:rPr>
        <w:t> </w:t>
      </w:r>
      <w:r>
        <w:rPr>
          <w:b/>
          <w:color w:val="231F20"/>
          <w:sz w:val="24"/>
        </w:rPr>
        <w:t>30,</w:t>
      </w:r>
      <w:r>
        <w:rPr>
          <w:b/>
          <w:color w:val="231F20"/>
          <w:spacing w:val="-1"/>
          <w:sz w:val="24"/>
        </w:rPr>
        <w:t> </w:t>
      </w:r>
      <w:r>
        <w:rPr>
          <w:b/>
          <w:color w:val="231F20"/>
          <w:spacing w:val="-4"/>
          <w:sz w:val="24"/>
        </w:rPr>
        <w:t>2022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18"/>
        </w:rPr>
      </w:pPr>
      <w:r>
        <w:rPr/>
        <w:pict>
          <v:shape style="position:absolute;margin-left:325.139008pt;margin-top:11.549747pt;width:43.05pt;height:2.9pt;mso-position-horizontal-relative:page;mso-position-vertical-relative:paragraph;z-index:-15617024;mso-wrap-distance-left:0;mso-wrap-distance-right:0" id="docshape511" coordorigin="6503,231" coordsize="861,58" path="m7363,269l6503,269,6503,289,7363,289,7363,269xm7363,231l6503,231,6503,250,7363,250,7363,231xe" filled="true" fillcolor="#231f20" stroked="false">
            <v:path arrowok="t"/>
            <v:fill type="solid"/>
            <w10:wrap type="topAndBottom"/>
          </v:shape>
        </w:pict>
      </w:r>
      <w:r>
        <w:rPr/>
        <w:pict>
          <v:shape style="position:absolute;margin-left:373.199005pt;margin-top:11.549747pt;width:43.05pt;height:2.9pt;mso-position-horizontal-relative:page;mso-position-vertical-relative:paragraph;z-index:-15616512;mso-wrap-distance-left:0;mso-wrap-distance-right:0" id="docshape512" coordorigin="7464,231" coordsize="861,58" path="m8324,269l7464,269,7464,289,8324,289,8324,269xm8324,231l7464,231,7464,250,8324,250,8324,231xe" filled="true" fillcolor="#231f20" stroked="false">
            <v:path arrowok="t"/>
            <v:fill type="solid"/>
            <w10:wrap type="topAndBottom"/>
          </v:shape>
        </w:pict>
      </w:r>
      <w:r>
        <w:rPr/>
        <w:pict>
          <v:shape style="position:absolute;margin-left:421.259033pt;margin-top:11.549747pt;width:43.05pt;height:2.9pt;mso-position-horizontal-relative:page;mso-position-vertical-relative:paragraph;z-index:-15616000;mso-wrap-distance-left:0;mso-wrap-distance-right:0" id="docshape513" coordorigin="8425,231" coordsize="861,58" path="m9286,269l8425,269,8425,289,9286,289,9286,269xm9286,231l8425,231,8425,250,9286,250,9286,231xe" filled="true" fillcolor="#231f20" stroked="false">
            <v:path arrowok="t"/>
            <v:fill type="solid"/>
            <w10:wrap type="topAndBottom"/>
          </v:shape>
        </w:pict>
      </w:r>
      <w:r>
        <w:rPr/>
        <w:pict>
          <v:shape style="position:absolute;margin-left:469.319031pt;margin-top:11.549747pt;width:43.05pt;height:2.9pt;mso-position-horizontal-relative:page;mso-position-vertical-relative:paragraph;z-index:-15615488;mso-wrap-distance-left:0;mso-wrap-distance-right:0" id="docshape514" coordorigin="9386,231" coordsize="861,58" path="m10247,269l9386,269,9386,289,10247,289,10247,269xm10247,231l9386,231,9386,250,10247,250,10247,231xe" filled="true" fillcolor="#231f20" stroked="false">
            <v:path arrowok="t"/>
            <v:fill type="solid"/>
            <w10:wrap type="topAndBottom"/>
          </v:shape>
        </w:pict>
      </w:r>
      <w:r>
        <w:rPr/>
        <w:pict>
          <v:shape style="position:absolute;margin-left:517.379028pt;margin-top:11.549747pt;width:43.05pt;height:2.9pt;mso-position-horizontal-relative:page;mso-position-vertical-relative:paragraph;z-index:-15614976;mso-wrap-distance-left:0;mso-wrap-distance-right:0" id="docshape515" coordorigin="10348,231" coordsize="861,58" path="m11208,269l10348,269,10348,289,11208,289,11208,269xm11208,231l10348,231,10348,250,11208,250,11208,231xe" filled="true" fillcolor="#231f20" stroked="false">
            <v:path arrowok="t"/>
            <v:fill type="solid"/>
            <w10:wrap type="topAndBottom"/>
          </v:shape>
        </w:pict>
      </w:r>
      <w:r>
        <w:rPr/>
        <w:pict>
          <v:shape style="position:absolute;margin-left:565.5pt;margin-top:11.549747pt;width:43.05pt;height:2.9pt;mso-position-horizontal-relative:page;mso-position-vertical-relative:paragraph;z-index:-15614464;mso-wrap-distance-left:0;mso-wrap-distance-right:0" id="docshape516" coordorigin="11310,231" coordsize="861,58" path="m12170,269l11310,269,11310,289,12170,289,12170,269xm12170,231l11310,231,11310,250,12170,250,12170,231xe" filled="true" fillcolor="#231f20" stroked="false">
            <v:path arrowok="t"/>
            <v:fill type="solid"/>
            <w10:wrap type="topAndBottom"/>
          </v:shape>
        </w:pict>
      </w:r>
      <w:r>
        <w:rPr/>
        <w:pict>
          <v:shape style="position:absolute;margin-left:613.560059pt;margin-top:11.549747pt;width:43.05pt;height:2.9pt;mso-position-horizontal-relative:page;mso-position-vertical-relative:paragraph;z-index:-15613952;mso-wrap-distance-left:0;mso-wrap-distance-right:0" id="docshape517" coordorigin="12271,231" coordsize="861,58" path="m13132,269l12271,269,12271,289,13132,289,13132,269xm13132,231l12271,231,12271,250,13132,250,13132,231xe" filled="true" fillcolor="#231f20" stroked="false">
            <v:path arrowok="t"/>
            <v:fill type="solid"/>
            <w10:wrap type="topAndBottom"/>
          </v:shape>
        </w:pict>
      </w:r>
      <w:r>
        <w:rPr/>
        <w:pict>
          <v:shape style="position:absolute;margin-left:661.620056pt;margin-top:11.549747pt;width:43.05pt;height:2.9pt;mso-position-horizontal-relative:page;mso-position-vertical-relative:paragraph;z-index:-15613440;mso-wrap-distance-left:0;mso-wrap-distance-right:0" id="docshape518" coordorigin="13232,231" coordsize="861,58" path="m14093,269l13232,269,13232,289,14093,289,14093,269xm14093,231l13232,231,13232,250,14093,250,14093,231xe" filled="true" fillcolor="#231f20" stroked="false">
            <v:path arrowok="t"/>
            <v:fill type="solid"/>
            <w10:wrap type="topAndBottom"/>
          </v:shape>
        </w:pict>
      </w:r>
      <w:r>
        <w:rPr/>
        <w:pict>
          <v:shape style="position:absolute;margin-left:709.680054pt;margin-top:11.549747pt;width:44.55pt;height:2.9pt;mso-position-horizontal-relative:page;mso-position-vertical-relative:paragraph;z-index:-15612928;mso-wrap-distance-left:0;mso-wrap-distance-right:0" id="docshape519" coordorigin="14194,231" coordsize="891,58" path="m15084,269l14194,269,14194,289,15084,289,15084,269xm15084,231l14194,231,14194,250,15084,250,15084,231xe" filled="true" fillcolor="#231f20" stroked="false">
            <v:path arrowok="t"/>
            <v:fill type="solid"/>
            <w10:wrap type="topAndBottom"/>
          </v:shape>
        </w:pict>
      </w:r>
    </w:p>
    <w:p>
      <w:pPr>
        <w:pStyle w:val="BodyText"/>
        <w:rPr>
          <w:b/>
          <w:sz w:val="26"/>
        </w:rPr>
      </w:pPr>
    </w:p>
    <w:p>
      <w:pPr>
        <w:pStyle w:val="BodyText"/>
        <w:spacing w:before="8"/>
        <w:rPr>
          <w:b/>
          <w:sz w:val="35"/>
        </w:rPr>
      </w:pPr>
    </w:p>
    <w:p>
      <w:pPr>
        <w:spacing w:before="0"/>
        <w:ind w:left="196" w:right="0" w:firstLine="0"/>
        <w:jc w:val="left"/>
        <w:rPr>
          <w:sz w:val="13"/>
        </w:rPr>
      </w:pPr>
      <w:r>
        <w:rPr>
          <w:color w:val="231F20"/>
          <w:sz w:val="13"/>
        </w:rPr>
        <w:t>NMIMT</w:t>
      </w:r>
      <w:r>
        <w:rPr>
          <w:color w:val="231F20"/>
          <w:spacing w:val="-7"/>
          <w:sz w:val="13"/>
        </w:rPr>
        <w:t> </w:t>
      </w:r>
      <w:r>
        <w:rPr>
          <w:color w:val="231F20"/>
          <w:sz w:val="13"/>
        </w:rPr>
        <w:t>Vehicles</w:t>
      </w:r>
      <w:r>
        <w:rPr>
          <w:color w:val="231F20"/>
          <w:spacing w:val="-8"/>
          <w:sz w:val="13"/>
        </w:rPr>
        <w:t> </w:t>
      </w:r>
      <w:r>
        <w:rPr>
          <w:color w:val="231F20"/>
          <w:sz w:val="13"/>
        </w:rPr>
        <w:t>&amp;</w:t>
      </w:r>
      <w:r>
        <w:rPr>
          <w:color w:val="231F20"/>
          <w:spacing w:val="-9"/>
          <w:sz w:val="13"/>
        </w:rPr>
        <w:t> </w:t>
      </w:r>
      <w:r>
        <w:rPr>
          <w:color w:val="231F20"/>
          <w:spacing w:val="-2"/>
          <w:sz w:val="13"/>
        </w:rPr>
        <w:t>Research</w:t>
      </w:r>
    </w:p>
    <w:p>
      <w:pPr>
        <w:pStyle w:val="BodyText"/>
        <w:rPr>
          <w:sz w:val="14"/>
        </w:rPr>
      </w:pPr>
    </w:p>
    <w:p>
      <w:pPr>
        <w:pStyle w:val="BodyText"/>
        <w:rPr>
          <w:sz w:val="14"/>
        </w:rPr>
      </w:pPr>
    </w:p>
    <w:p>
      <w:pPr>
        <w:pStyle w:val="BodyText"/>
        <w:rPr>
          <w:sz w:val="14"/>
        </w:rPr>
      </w:pPr>
    </w:p>
    <w:p>
      <w:pPr>
        <w:spacing w:before="80"/>
        <w:ind w:left="196" w:right="0" w:firstLine="0"/>
        <w:jc w:val="left"/>
        <w:rPr>
          <w:sz w:val="13"/>
        </w:rPr>
      </w:pPr>
      <w:r>
        <w:rPr>
          <w:color w:val="231F20"/>
          <w:spacing w:val="-2"/>
          <w:sz w:val="13"/>
        </w:rPr>
        <w:t>NMIMT</w:t>
      </w:r>
      <w:r>
        <w:rPr>
          <w:color w:val="231F20"/>
          <w:spacing w:val="3"/>
          <w:sz w:val="13"/>
        </w:rPr>
        <w:t> </w:t>
      </w:r>
      <w:r>
        <w:rPr>
          <w:color w:val="231F20"/>
          <w:spacing w:val="-2"/>
          <w:sz w:val="13"/>
        </w:rPr>
        <w:t>Vehicle</w:t>
      </w:r>
      <w:r>
        <w:rPr>
          <w:color w:val="231F20"/>
          <w:spacing w:val="1"/>
          <w:sz w:val="13"/>
        </w:rPr>
        <w:t> </w:t>
      </w:r>
      <w:r>
        <w:rPr>
          <w:color w:val="231F20"/>
          <w:spacing w:val="-2"/>
          <w:sz w:val="13"/>
        </w:rPr>
        <w:t>Purchases</w:t>
      </w:r>
    </w:p>
    <w:p>
      <w:pPr>
        <w:pStyle w:val="BodyText"/>
        <w:spacing w:before="9"/>
        <w:rPr>
          <w:sz w:val="13"/>
        </w:rPr>
      </w:pPr>
      <w:r>
        <w:rPr/>
        <w:pict>
          <v:group style="position:absolute;margin-left:517.379028pt;margin-top:9.182289pt;width:43.05pt;height:1.05pt;mso-position-horizontal-relative:page;mso-position-vertical-relative:paragraph;z-index:-15612416;mso-wrap-distance-left:0;mso-wrap-distance-right:0" id="docshapegroup520" coordorigin="10348,184" coordsize="861,21">
            <v:line style="position:absolute" from="10348,184" to="11208,184" stroked="true" strokeweight=".06pt" strokecolor="#231f20">
              <v:stroke dashstyle="solid"/>
            </v:line>
            <v:rect style="position:absolute;left:10347;top:184;width:861;height:21" id="docshape521" filled="true" fillcolor="#231f20" stroked="false">
              <v:fill type="solid"/>
            </v:rect>
            <w10:wrap type="topAndBottom"/>
          </v:group>
        </w:pict>
      </w:r>
      <w:r>
        <w:rPr/>
        <w:pict>
          <v:group style="position:absolute;margin-left:565.440002pt;margin-top:9.182289pt;width:43.1pt;height:1.05pt;mso-position-horizontal-relative:page;mso-position-vertical-relative:paragraph;z-index:-15611904;mso-wrap-distance-left:0;mso-wrap-distance-right:0" id="docshapegroup522" coordorigin="11309,184" coordsize="862,21">
            <v:line style="position:absolute" from="11309,184" to="12169,184" stroked="true" strokeweight=".06pt" strokecolor="#231f20">
              <v:stroke dashstyle="solid"/>
            </v:line>
            <v:rect style="position:absolute;left:11310;top:184;width:861;height:21" id="docshape523" filled="true" fillcolor="#231f20" stroked="false">
              <v:fill type="solid"/>
            </v:rect>
            <w10:wrap type="topAndBottom"/>
          </v:group>
        </w:pict>
      </w:r>
      <w:r>
        <w:rPr/>
        <w:pict>
          <v:rect style="position:absolute;margin-left:373.199005pt;margin-top:26.79229pt;width:43.02pt;height:.95999pt;mso-position-horizontal-relative:page;mso-position-vertical-relative:paragraph;z-index:-15611392;mso-wrap-distance-left:0;mso-wrap-distance-right:0" id="docshape524" filled="true" fillcolor="#231f20" stroked="false">
            <v:fill type="solid"/>
            <w10:wrap type="topAndBottom"/>
          </v:rect>
        </w:pict>
      </w:r>
      <w:r>
        <w:rPr/>
        <w:pict>
          <v:rect style="position:absolute;margin-left:421.259003pt;margin-top:26.79229pt;width:43.02pt;height:.95999pt;mso-position-horizontal-relative:page;mso-position-vertical-relative:paragraph;z-index:-15610880;mso-wrap-distance-left:0;mso-wrap-distance-right:0" id="docshape525" filled="true" fillcolor="#231f20" stroked="false">
            <v:fill type="solid"/>
            <w10:wrap type="topAndBottom"/>
          </v:rect>
        </w:pict>
      </w:r>
      <w:r>
        <w:rPr/>
        <w:pict>
          <v:rect style="position:absolute;margin-left:469.319pt;margin-top:26.79229pt;width:43.02pt;height:.95999pt;mso-position-horizontal-relative:page;mso-position-vertical-relative:paragraph;z-index:-15610368;mso-wrap-distance-left:0;mso-wrap-distance-right:0" id="docshape526" filled="true" fillcolor="#231f20" stroked="false">
            <v:fill type="solid"/>
            <w10:wrap type="topAndBottom"/>
          </v:rect>
        </w:pict>
      </w:r>
      <w:r>
        <w:rPr/>
        <w:pict>
          <v:shape style="position:absolute;margin-left:517.379028pt;margin-top:26.792276pt;width:43.05pt;height:2.95pt;mso-position-horizontal-relative:page;mso-position-vertical-relative:paragraph;z-index:-15609856;mso-wrap-distance-left:0;mso-wrap-distance-right:0" id="docshape527" coordorigin="10348,536" coordsize="861,59" path="m11208,574l10348,574,10348,595,11208,595,11208,574xm11208,536l10348,536,10348,555,11208,555,11208,536xe" filled="true" fillcolor="#231f20" stroked="false">
            <v:path arrowok="t"/>
            <v:fill type="solid"/>
            <w10:wrap type="topAndBottom"/>
          </v:shape>
        </w:pict>
      </w:r>
      <w:r>
        <w:rPr/>
        <w:pict>
          <v:shape style="position:absolute;margin-left:565.5pt;margin-top:26.792276pt;width:43.05pt;height:2.95pt;mso-position-horizontal-relative:page;mso-position-vertical-relative:paragraph;z-index:-15609344;mso-wrap-distance-left:0;mso-wrap-distance-right:0" id="docshape528" coordorigin="11310,536" coordsize="861,59" path="m12170,574l11310,574,11310,595,12170,595,12170,574xm12170,536l11310,536,11310,555,12170,555,12170,536xe" filled="true" fillcolor="#231f20" stroked="false">
            <v:path arrowok="t"/>
            <v:fill type="solid"/>
            <w10:wrap type="topAndBottom"/>
          </v:shape>
        </w:pict>
      </w:r>
      <w:r>
        <w:rPr/>
        <w:pict>
          <v:rect style="position:absolute;margin-left:613.559998pt;margin-top:26.79229pt;width:43.02pt;height:.95999pt;mso-position-horizontal-relative:page;mso-position-vertical-relative:paragraph;z-index:-15608832;mso-wrap-distance-left:0;mso-wrap-distance-right:0" id="docshape529" filled="true" fillcolor="#231f20" stroked="false">
            <v:fill type="solid"/>
            <w10:wrap type="topAndBottom"/>
          </v:rect>
        </w:pict>
      </w:r>
      <w:r>
        <w:rPr/>
        <w:pict>
          <v:rect style="position:absolute;margin-left:661.619995pt;margin-top:26.79229pt;width:43.02pt;height:.95999pt;mso-position-horizontal-relative:page;mso-position-vertical-relative:paragraph;z-index:-15608320;mso-wrap-distance-left:0;mso-wrap-distance-right:0" id="docshape530" filled="true" fillcolor="#231f20" stroked="false">
            <v:fill type="solid"/>
            <w10:wrap type="topAndBottom"/>
          </v:rect>
        </w:pict>
      </w:r>
      <w:r>
        <w:rPr/>
        <w:pict>
          <v:rect style="position:absolute;margin-left:709.679993pt;margin-top:26.79229pt;width:44.52pt;height:.95999pt;mso-position-horizontal-relative:page;mso-position-vertical-relative:paragraph;z-index:-15607808;mso-wrap-distance-left:0;mso-wrap-distance-right:0" id="docshape531" filled="true" fillcolor="#231f20" stroked="false">
            <v:fill type="solid"/>
            <w10:wrap type="topAndBottom"/>
          </v:rect>
        </w:pict>
      </w:r>
    </w:p>
    <w:p>
      <w:pPr>
        <w:pStyle w:val="BodyText"/>
        <w:spacing w:before="8"/>
        <w:rPr>
          <w:sz w:val="26"/>
        </w:rPr>
      </w:pPr>
    </w:p>
    <w:p>
      <w:pPr>
        <w:pStyle w:val="BodyText"/>
        <w:spacing w:before="5"/>
        <w:rPr>
          <w:sz w:val="6"/>
        </w:rPr>
      </w:pPr>
    </w:p>
    <w:p>
      <w:pPr>
        <w:spacing w:after="0"/>
        <w:rPr>
          <w:sz w:val="6"/>
        </w:rPr>
        <w:sectPr>
          <w:headerReference w:type="default" r:id="rId68"/>
          <w:footerReference w:type="default" r:id="rId69"/>
          <w:pgSz w:w="15840" w:h="12240" w:orient="landscape"/>
          <w:pgMar w:header="850" w:footer="1097" w:top="1160" w:bottom="1280" w:left="560" w:right="560"/>
        </w:sectPr>
      </w:pPr>
    </w:p>
    <w:p>
      <w:pPr>
        <w:spacing w:before="97"/>
        <w:ind w:left="197" w:right="0" w:firstLine="0"/>
        <w:jc w:val="left"/>
        <w:rPr>
          <w:sz w:val="13"/>
        </w:rPr>
      </w:pPr>
      <w:r>
        <w:rPr>
          <w:color w:val="231F20"/>
          <w:sz w:val="13"/>
        </w:rPr>
        <w:t>Total</w:t>
      </w:r>
      <w:r>
        <w:rPr>
          <w:color w:val="231F20"/>
          <w:spacing w:val="-8"/>
          <w:sz w:val="13"/>
        </w:rPr>
        <w:t> </w:t>
      </w:r>
      <w:r>
        <w:rPr>
          <w:color w:val="231F20"/>
          <w:sz w:val="13"/>
        </w:rPr>
        <w:t>Capital</w:t>
      </w:r>
      <w:r>
        <w:rPr>
          <w:color w:val="231F20"/>
          <w:spacing w:val="-7"/>
          <w:sz w:val="13"/>
        </w:rPr>
        <w:t> </w:t>
      </w:r>
      <w:r>
        <w:rPr>
          <w:color w:val="231F20"/>
          <w:spacing w:val="-2"/>
          <w:sz w:val="13"/>
        </w:rPr>
        <w:t>Appropriation</w:t>
      </w:r>
    </w:p>
    <w:p>
      <w:pPr>
        <w:spacing w:before="97"/>
        <w:ind w:left="197" w:right="0" w:firstLine="0"/>
        <w:jc w:val="left"/>
        <w:rPr>
          <w:sz w:val="13"/>
        </w:rPr>
      </w:pPr>
      <w:r>
        <w:rPr/>
        <w:br w:type="column"/>
      </w:r>
      <w:r>
        <w:rPr>
          <w:color w:val="231F20"/>
          <w:spacing w:val="-2"/>
          <w:sz w:val="13"/>
        </w:rPr>
        <w:t>$20,592,492</w:t>
      </w:r>
    </w:p>
    <w:p>
      <w:pPr>
        <w:tabs>
          <w:tab w:pos="1158" w:val="left" w:leader="none"/>
        </w:tabs>
        <w:spacing w:before="97"/>
        <w:ind w:left="197" w:right="0" w:firstLine="0"/>
        <w:jc w:val="left"/>
        <w:rPr>
          <w:sz w:val="13"/>
        </w:rPr>
      </w:pPr>
      <w:r>
        <w:rPr/>
        <w:br w:type="column"/>
      </w:r>
      <w:r>
        <w:rPr>
          <w:color w:val="231F20"/>
          <w:spacing w:val="-2"/>
          <w:sz w:val="13"/>
        </w:rPr>
        <w:t>$20,592,492</w:t>
      </w:r>
      <w:r>
        <w:rPr>
          <w:color w:val="231F20"/>
          <w:sz w:val="13"/>
        </w:rPr>
        <w:tab/>
      </w:r>
      <w:r>
        <w:rPr>
          <w:color w:val="231F20"/>
          <w:spacing w:val="-10"/>
          <w:sz w:val="13"/>
        </w:rPr>
        <w:t>$</w:t>
      </w:r>
    </w:p>
    <w:p>
      <w:pPr>
        <w:tabs>
          <w:tab w:pos="483" w:val="left" w:leader="none"/>
        </w:tabs>
        <w:spacing w:before="97"/>
        <w:ind w:left="197" w:right="0" w:firstLine="0"/>
        <w:jc w:val="left"/>
        <w:rPr>
          <w:sz w:val="13"/>
        </w:rPr>
      </w:pPr>
      <w:r>
        <w:rPr/>
        <w:br w:type="column"/>
      </w:r>
      <w:r>
        <w:rPr>
          <w:color w:val="231F20"/>
          <w:spacing w:val="-10"/>
          <w:sz w:val="13"/>
        </w:rPr>
        <w:t>-</w:t>
      </w:r>
      <w:r>
        <w:rPr>
          <w:color w:val="231F20"/>
          <w:sz w:val="13"/>
        </w:rPr>
        <w:tab/>
      </w:r>
      <w:r>
        <w:rPr>
          <w:color w:val="231F20"/>
          <w:spacing w:val="-2"/>
          <w:sz w:val="13"/>
        </w:rPr>
        <w:t>$20,592,492</w:t>
      </w:r>
    </w:p>
    <w:p>
      <w:pPr>
        <w:spacing w:before="97"/>
        <w:ind w:left="197" w:right="0" w:firstLine="0"/>
        <w:jc w:val="left"/>
        <w:rPr>
          <w:sz w:val="13"/>
        </w:rPr>
      </w:pPr>
      <w:r>
        <w:rPr/>
        <w:br w:type="column"/>
      </w:r>
      <w:r>
        <w:rPr>
          <w:color w:val="231F20"/>
          <w:sz w:val="13"/>
        </w:rPr>
        <w:t>$</w:t>
      </w:r>
      <w:r>
        <w:rPr>
          <w:color w:val="231F20"/>
          <w:spacing w:val="51"/>
          <w:sz w:val="13"/>
        </w:rPr>
        <w:t>  </w:t>
      </w:r>
      <w:r>
        <w:rPr>
          <w:color w:val="231F20"/>
          <w:spacing w:val="-2"/>
          <w:sz w:val="13"/>
        </w:rPr>
        <w:t>866,683</w:t>
      </w:r>
    </w:p>
    <w:p>
      <w:pPr>
        <w:spacing w:before="97"/>
        <w:ind w:left="197" w:right="0" w:firstLine="0"/>
        <w:jc w:val="left"/>
        <w:rPr>
          <w:sz w:val="13"/>
        </w:rPr>
      </w:pPr>
      <w:r>
        <w:rPr/>
        <w:br w:type="column"/>
      </w:r>
      <w:r>
        <w:rPr>
          <w:color w:val="231F20"/>
          <w:sz w:val="13"/>
        </w:rPr>
        <w:t>$</w:t>
      </w:r>
      <w:r>
        <w:rPr>
          <w:color w:val="231F20"/>
          <w:spacing w:val="31"/>
          <w:sz w:val="13"/>
        </w:rPr>
        <w:t> </w:t>
      </w:r>
      <w:r>
        <w:rPr>
          <w:color w:val="231F20"/>
          <w:spacing w:val="-2"/>
          <w:sz w:val="13"/>
        </w:rPr>
        <w:t>3,625,806</w:t>
      </w:r>
    </w:p>
    <w:p>
      <w:pPr>
        <w:tabs>
          <w:tab w:pos="1158" w:val="left" w:leader="none"/>
        </w:tabs>
        <w:spacing w:before="97"/>
        <w:ind w:left="197" w:right="0" w:firstLine="0"/>
        <w:jc w:val="left"/>
        <w:rPr>
          <w:sz w:val="13"/>
        </w:rPr>
      </w:pPr>
      <w:r>
        <w:rPr/>
        <w:br w:type="column"/>
      </w:r>
      <w:r>
        <w:rPr>
          <w:color w:val="231F20"/>
          <w:sz w:val="13"/>
        </w:rPr>
        <w:t>$</w:t>
      </w:r>
      <w:r>
        <w:rPr>
          <w:color w:val="231F20"/>
          <w:spacing w:val="51"/>
          <w:sz w:val="13"/>
        </w:rPr>
        <w:t>  </w:t>
      </w:r>
      <w:r>
        <w:rPr>
          <w:color w:val="231F20"/>
          <w:spacing w:val="-2"/>
          <w:sz w:val="13"/>
        </w:rPr>
        <w:t>174,510</w:t>
      </w:r>
      <w:r>
        <w:rPr>
          <w:color w:val="231F20"/>
          <w:sz w:val="13"/>
        </w:rPr>
        <w:tab/>
      </w:r>
      <w:r>
        <w:rPr>
          <w:color w:val="231F20"/>
          <w:spacing w:val="-10"/>
          <w:sz w:val="13"/>
        </w:rPr>
        <w:t>$</w:t>
      </w:r>
    </w:p>
    <w:p>
      <w:pPr>
        <w:tabs>
          <w:tab w:pos="483" w:val="left" w:leader="none"/>
        </w:tabs>
        <w:spacing w:before="97"/>
        <w:ind w:left="197" w:right="0" w:firstLine="0"/>
        <w:jc w:val="left"/>
        <w:rPr>
          <w:sz w:val="13"/>
        </w:rPr>
      </w:pPr>
      <w:r>
        <w:rPr/>
        <w:br w:type="column"/>
      </w:r>
      <w:r>
        <w:rPr>
          <w:color w:val="231F20"/>
          <w:spacing w:val="-10"/>
          <w:sz w:val="13"/>
        </w:rPr>
        <w:t>-</w:t>
      </w:r>
      <w:r>
        <w:rPr>
          <w:color w:val="231F20"/>
          <w:sz w:val="13"/>
        </w:rPr>
        <w:tab/>
      </w:r>
      <w:r>
        <w:rPr>
          <w:color w:val="231F20"/>
          <w:w w:val="95"/>
          <w:sz w:val="13"/>
        </w:rPr>
        <w:t>$</w:t>
      </w:r>
      <w:r>
        <w:rPr>
          <w:color w:val="231F20"/>
          <w:spacing w:val="-6"/>
          <w:w w:val="95"/>
          <w:sz w:val="13"/>
        </w:rPr>
        <w:t> </w:t>
      </w:r>
      <w:r>
        <w:rPr>
          <w:color w:val="231F20"/>
          <w:spacing w:val="-2"/>
          <w:w w:val="95"/>
          <w:sz w:val="13"/>
        </w:rPr>
        <w:t>15,925,493</w:t>
      </w:r>
    </w:p>
    <w:p>
      <w:pPr>
        <w:spacing w:after="0"/>
        <w:jc w:val="left"/>
        <w:rPr>
          <w:sz w:val="13"/>
        </w:rPr>
        <w:sectPr>
          <w:type w:val="continuous"/>
          <w:pgSz w:w="15840" w:h="12240" w:orient="landscape"/>
          <w:pgMar w:header="850" w:footer="1097" w:top="1460" w:bottom="280" w:left="560" w:right="560"/>
          <w:cols w:num="8" w:equalWidth="0">
            <w:col w:w="1774" w:space="4042"/>
            <w:col w:w="915" w:space="47"/>
            <w:col w:w="1271" w:space="364"/>
            <w:col w:w="1203" w:space="46"/>
            <w:col w:w="914" w:space="48"/>
            <w:col w:w="915" w:space="46"/>
            <w:col w:w="1271" w:space="365"/>
            <w:col w:w="1499"/>
          </w:cols>
        </w:sectPr>
      </w:pPr>
    </w:p>
    <w:p>
      <w:pPr>
        <w:spacing w:line="57" w:lineRule="exact"/>
        <w:ind w:left="5942" w:right="0" w:firstLine="0"/>
        <w:jc w:val="left"/>
        <w:rPr>
          <w:sz w:val="5"/>
        </w:rPr>
      </w:pPr>
      <w:r>
        <w:rPr>
          <w:position w:val="0"/>
          <w:sz w:val="5"/>
        </w:rPr>
        <w:pict>
          <v:group style="width:43.05pt;height:2.9pt;mso-position-horizontal-relative:char;mso-position-vertical-relative:line" id="docshapegroup532" coordorigin="0,0" coordsize="861,58">
            <v:shape style="position:absolute;left:0;top:0;width:861;height:58" id="docshape533" coordorigin="0,0" coordsize="861,58" path="m860,38l0,38,0,58,860,58,860,38xm860,0l0,0,0,19,860,19,860,0xe" filled="true" fillcolor="#231f20" stroked="false">
              <v:path arrowok="t"/>
              <v:fill type="solid"/>
            </v:shape>
          </v:group>
        </w:pict>
      </w:r>
      <w:r>
        <w:rPr>
          <w:position w:val="0"/>
          <w:sz w:val="5"/>
        </w:rPr>
      </w:r>
      <w:r>
        <w:rPr>
          <w:rFonts w:ascii="Times New Roman"/>
          <w:spacing w:val="68"/>
          <w:position w:val="0"/>
          <w:sz w:val="5"/>
        </w:rPr>
        <w:t> </w:t>
      </w:r>
      <w:r>
        <w:rPr>
          <w:spacing w:val="68"/>
          <w:position w:val="0"/>
          <w:sz w:val="5"/>
        </w:rPr>
        <w:pict>
          <v:group style="width:43.05pt;height:2.9pt;mso-position-horizontal-relative:char;mso-position-vertical-relative:line" id="docshapegroup534" coordorigin="0,0" coordsize="861,58">
            <v:shape style="position:absolute;left:0;top:0;width:861;height:58" id="docshape535" coordorigin="0,0" coordsize="861,58" path="m860,38l0,38,0,58,860,58,860,38xm860,0l0,0,0,19,860,19,860,0xe" filled="true" fillcolor="#231f20" stroked="false">
              <v:path arrowok="t"/>
              <v:fill type="solid"/>
            </v:shape>
          </v:group>
        </w:pict>
      </w:r>
      <w:r>
        <w:rPr>
          <w:spacing w:val="68"/>
          <w:position w:val="0"/>
          <w:sz w:val="5"/>
        </w:rPr>
      </w:r>
      <w:r>
        <w:rPr>
          <w:rFonts w:ascii="Times New Roman"/>
          <w:spacing w:val="68"/>
          <w:position w:val="0"/>
          <w:sz w:val="5"/>
        </w:rPr>
        <w:t> </w:t>
      </w:r>
      <w:r>
        <w:rPr>
          <w:spacing w:val="68"/>
          <w:position w:val="0"/>
          <w:sz w:val="5"/>
        </w:rPr>
        <w:pict>
          <v:group style="width:43.05pt;height:2.9pt;mso-position-horizontal-relative:char;mso-position-vertical-relative:line" id="docshapegroup536" coordorigin="0,0" coordsize="861,58">
            <v:shape style="position:absolute;left:0;top:0;width:861;height:58" id="docshape537" coordorigin="0,0" coordsize="861,58" path="m860,38l0,38,0,58,860,58,860,38xm860,0l0,0,0,19,860,19,860,0xe" filled="true" fillcolor="#231f20" stroked="false">
              <v:path arrowok="t"/>
              <v:fill type="solid"/>
            </v:shape>
          </v:group>
        </w:pict>
      </w:r>
      <w:r>
        <w:rPr>
          <w:spacing w:val="68"/>
          <w:position w:val="0"/>
          <w:sz w:val="5"/>
        </w:rPr>
      </w:r>
      <w:r>
        <w:rPr>
          <w:rFonts w:ascii="Times New Roman"/>
          <w:spacing w:val="68"/>
          <w:position w:val="0"/>
          <w:sz w:val="5"/>
        </w:rPr>
        <w:t> </w:t>
      </w:r>
      <w:r>
        <w:rPr>
          <w:spacing w:val="68"/>
          <w:position w:val="0"/>
          <w:sz w:val="5"/>
        </w:rPr>
        <w:pict>
          <v:group style="width:43.05pt;height:2.9pt;mso-position-horizontal-relative:char;mso-position-vertical-relative:line" id="docshapegroup538" coordorigin="0,0" coordsize="861,58">
            <v:shape style="position:absolute;left:0;top:0;width:861;height:58" id="docshape539" coordorigin="0,0" coordsize="861,58" path="m860,38l0,38,0,58,860,58,860,38xm860,0l0,0,0,19,860,19,860,0xe" filled="true" fillcolor="#231f20" stroked="false">
              <v:path arrowok="t"/>
              <v:fill type="solid"/>
            </v:shape>
          </v:group>
        </w:pict>
      </w:r>
      <w:r>
        <w:rPr>
          <w:spacing w:val="68"/>
          <w:position w:val="0"/>
          <w:sz w:val="5"/>
        </w:rPr>
      </w:r>
      <w:r>
        <w:rPr>
          <w:rFonts w:ascii="Times New Roman"/>
          <w:spacing w:val="68"/>
          <w:position w:val="0"/>
          <w:sz w:val="5"/>
        </w:rPr>
        <w:t> </w:t>
      </w:r>
      <w:r>
        <w:rPr>
          <w:spacing w:val="68"/>
          <w:position w:val="0"/>
          <w:sz w:val="5"/>
        </w:rPr>
        <w:pict>
          <v:group style="width:43.05pt;height:2.9pt;mso-position-horizontal-relative:char;mso-position-vertical-relative:line" id="docshapegroup540" coordorigin="0,0" coordsize="861,58">
            <v:shape style="position:absolute;left:0;top:0;width:861;height:58" id="docshape541" coordorigin="0,0" coordsize="861,58" path="m860,38l0,38,0,58,860,58,860,38xm860,0l0,0,0,19,860,19,860,0xe" filled="true" fillcolor="#231f20" stroked="false">
              <v:path arrowok="t"/>
              <v:fill type="solid"/>
            </v:shape>
          </v:group>
        </w:pict>
      </w:r>
      <w:r>
        <w:rPr>
          <w:spacing w:val="68"/>
          <w:position w:val="0"/>
          <w:sz w:val="5"/>
        </w:rPr>
      </w:r>
      <w:r>
        <w:rPr>
          <w:rFonts w:ascii="Times New Roman"/>
          <w:spacing w:val="69"/>
          <w:position w:val="0"/>
          <w:sz w:val="5"/>
        </w:rPr>
        <w:t> </w:t>
      </w:r>
      <w:r>
        <w:rPr>
          <w:spacing w:val="69"/>
          <w:position w:val="0"/>
          <w:sz w:val="5"/>
        </w:rPr>
        <w:pict>
          <v:group style="width:43.05pt;height:2.9pt;mso-position-horizontal-relative:char;mso-position-vertical-relative:line" id="docshapegroup542" coordorigin="0,0" coordsize="861,58">
            <v:shape style="position:absolute;left:0;top:0;width:861;height:58" id="docshape543" coordorigin="0,0" coordsize="861,58" path="m860,38l0,38,0,58,860,58,860,38xm860,0l0,0,0,19,860,19,860,0xe" filled="true" fillcolor="#231f20" stroked="false">
              <v:path arrowok="t"/>
              <v:fill type="solid"/>
            </v:shape>
          </v:group>
        </w:pict>
      </w:r>
      <w:r>
        <w:rPr>
          <w:spacing w:val="69"/>
          <w:position w:val="0"/>
          <w:sz w:val="5"/>
        </w:rPr>
      </w:r>
      <w:r>
        <w:rPr>
          <w:rFonts w:ascii="Times New Roman"/>
          <w:spacing w:val="68"/>
          <w:position w:val="0"/>
          <w:sz w:val="5"/>
        </w:rPr>
        <w:t> </w:t>
      </w:r>
      <w:r>
        <w:rPr>
          <w:spacing w:val="68"/>
          <w:position w:val="0"/>
          <w:sz w:val="5"/>
        </w:rPr>
        <w:pict>
          <v:group style="width:43.05pt;height:2.9pt;mso-position-horizontal-relative:char;mso-position-vertical-relative:line" id="docshapegroup544" coordorigin="0,0" coordsize="861,58">
            <v:shape style="position:absolute;left:0;top:0;width:861;height:58" id="docshape545" coordorigin="0,0" coordsize="861,58" path="m860,38l0,38,0,58,860,58,860,38xm860,0l0,0,0,19,860,19,860,0xe" filled="true" fillcolor="#231f20" stroked="false">
              <v:path arrowok="t"/>
              <v:fill type="solid"/>
            </v:shape>
          </v:group>
        </w:pict>
      </w:r>
      <w:r>
        <w:rPr>
          <w:spacing w:val="68"/>
          <w:position w:val="0"/>
          <w:sz w:val="5"/>
        </w:rPr>
      </w:r>
      <w:r>
        <w:rPr>
          <w:rFonts w:ascii="Times New Roman"/>
          <w:spacing w:val="68"/>
          <w:position w:val="0"/>
          <w:sz w:val="5"/>
        </w:rPr>
        <w:t> </w:t>
      </w:r>
      <w:r>
        <w:rPr>
          <w:spacing w:val="68"/>
          <w:position w:val="0"/>
          <w:sz w:val="5"/>
        </w:rPr>
        <w:pict>
          <v:group style="width:43.05pt;height:2.9pt;mso-position-horizontal-relative:char;mso-position-vertical-relative:line" id="docshapegroup546" coordorigin="0,0" coordsize="861,58">
            <v:shape style="position:absolute;left:0;top:0;width:861;height:58" id="docshape547" coordorigin="0,0" coordsize="861,58" path="m860,38l0,38,0,58,860,58,860,38xm860,0l0,0,0,19,860,19,860,0xe" filled="true" fillcolor="#231f20" stroked="false">
              <v:path arrowok="t"/>
              <v:fill type="solid"/>
            </v:shape>
          </v:group>
        </w:pict>
      </w:r>
      <w:r>
        <w:rPr>
          <w:spacing w:val="68"/>
          <w:position w:val="0"/>
          <w:sz w:val="5"/>
        </w:rPr>
      </w:r>
      <w:r>
        <w:rPr>
          <w:rFonts w:ascii="Times New Roman"/>
          <w:spacing w:val="68"/>
          <w:position w:val="0"/>
          <w:sz w:val="5"/>
        </w:rPr>
        <w:t> </w:t>
      </w:r>
      <w:r>
        <w:rPr>
          <w:spacing w:val="68"/>
          <w:position w:val="0"/>
          <w:sz w:val="5"/>
        </w:rPr>
        <w:pict>
          <v:group style="width:44.55pt;height:2.9pt;mso-position-horizontal-relative:char;mso-position-vertical-relative:line" id="docshapegroup548" coordorigin="0,0" coordsize="891,58">
            <v:shape style="position:absolute;left:0;top:0;width:891;height:58" id="docshape549" coordorigin="0,0" coordsize="891,58" path="m890,38l0,38,0,58,890,58,890,38xm890,0l0,0,0,19,890,19,890,0xe" filled="true" fillcolor="#231f20" stroked="false">
              <v:path arrowok="t"/>
              <v:fill type="solid"/>
            </v:shape>
          </v:group>
        </w:pict>
      </w:r>
      <w:r>
        <w:rPr>
          <w:spacing w:val="68"/>
          <w:position w:val="0"/>
          <w:sz w:val="5"/>
        </w:rPr>
      </w:r>
    </w:p>
    <w:p>
      <w:pPr>
        <w:spacing w:after="0" w:line="57" w:lineRule="exact"/>
        <w:jc w:val="left"/>
        <w:rPr>
          <w:sz w:val="5"/>
        </w:rPr>
        <w:sectPr>
          <w:type w:val="continuous"/>
          <w:pgSz w:w="15840" w:h="12240" w:orient="landscape"/>
          <w:pgMar w:header="850" w:footer="1097" w:top="1460" w:bottom="280" w:left="560" w:right="560"/>
        </w:sectPr>
      </w:pPr>
    </w:p>
    <w:p>
      <w:pPr>
        <w:pStyle w:val="Heading3"/>
        <w:spacing w:before="0"/>
        <w:ind w:left="5659" w:right="4098" w:hanging="1235"/>
        <w:jc w:val="left"/>
      </w:pPr>
      <w:r>
        <w:rPr/>
        <w:pict>
          <v:rect style="position:absolute;margin-left:34.499001pt;margin-top:28.535742pt;width:723.001pt;height:1.5pt;mso-position-horizontal-relative:page;mso-position-vertical-relative:paragraph;z-index:-15602176;mso-wrap-distance-left:0;mso-wrap-distance-right:0" id="docshape550" filled="true" fillcolor="#231f20" stroked="false">
            <v:fill type="solid"/>
            <w10:wrap type="topAndBottom"/>
          </v:rect>
        </w:pict>
      </w:r>
      <w:r>
        <w:rPr>
          <w:color w:val="231F20"/>
        </w:rPr>
        <w:t>Schedule</w:t>
      </w:r>
      <w:r>
        <w:rPr>
          <w:color w:val="231F20"/>
          <w:spacing w:val="-6"/>
        </w:rPr>
        <w:t> </w:t>
      </w:r>
      <w:r>
        <w:rPr>
          <w:color w:val="231F20"/>
        </w:rPr>
        <w:t>of</w:t>
      </w:r>
      <w:r>
        <w:rPr>
          <w:color w:val="231F20"/>
          <w:spacing w:val="-6"/>
        </w:rPr>
        <w:t> </w:t>
      </w:r>
      <w:r>
        <w:rPr>
          <w:color w:val="231F20"/>
        </w:rPr>
        <w:t>Joint</w:t>
      </w:r>
      <w:r>
        <w:rPr>
          <w:color w:val="231F20"/>
          <w:spacing w:val="-6"/>
        </w:rPr>
        <w:t> </w:t>
      </w:r>
      <w:r>
        <w:rPr>
          <w:color w:val="231F20"/>
        </w:rPr>
        <w:t>Powers</w:t>
      </w:r>
      <w:r>
        <w:rPr>
          <w:color w:val="231F20"/>
          <w:spacing w:val="-7"/>
        </w:rPr>
        <w:t> </w:t>
      </w:r>
      <w:r>
        <w:rPr>
          <w:color w:val="231F20"/>
        </w:rPr>
        <w:t>Agreements</w:t>
      </w:r>
      <w:r>
        <w:rPr>
          <w:color w:val="231F20"/>
          <w:spacing w:val="-6"/>
        </w:rPr>
        <w:t> </w:t>
      </w:r>
      <w:r>
        <w:rPr>
          <w:color w:val="231F20"/>
        </w:rPr>
        <w:t>(Schedule</w:t>
      </w:r>
      <w:r>
        <w:rPr>
          <w:color w:val="231F20"/>
          <w:spacing w:val="-6"/>
        </w:rPr>
        <w:t> </w:t>
      </w:r>
      <w:r>
        <w:rPr>
          <w:color w:val="231F20"/>
        </w:rPr>
        <w:t>9) For Year Ended June 30, 2022</w:t>
      </w:r>
    </w:p>
    <w:p>
      <w:pPr>
        <w:pStyle w:val="BodyText"/>
        <w:spacing w:before="2"/>
        <w:rPr>
          <w:b/>
          <w:sz w:val="23"/>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9"/>
        <w:gridCol w:w="1482"/>
        <w:gridCol w:w="2833"/>
        <w:gridCol w:w="1179"/>
        <w:gridCol w:w="1194"/>
        <w:gridCol w:w="1191"/>
        <w:gridCol w:w="1193"/>
        <w:gridCol w:w="1179"/>
        <w:gridCol w:w="1193"/>
        <w:gridCol w:w="1279"/>
      </w:tblGrid>
      <w:tr>
        <w:trPr>
          <w:trHeight w:val="704" w:hRule="atLeast"/>
        </w:trPr>
        <w:tc>
          <w:tcPr>
            <w:tcW w:w="1729" w:type="dxa"/>
          </w:tcPr>
          <w:p>
            <w:pPr>
              <w:pStyle w:val="TableParagraph"/>
              <w:spacing w:before="7"/>
              <w:rPr>
                <w:b/>
                <w:sz w:val="17"/>
              </w:rPr>
            </w:pPr>
          </w:p>
          <w:p>
            <w:pPr>
              <w:pStyle w:val="TableParagraph"/>
              <w:ind w:left="18" w:right="41"/>
              <w:jc w:val="center"/>
              <w:rPr>
                <w:sz w:val="15"/>
              </w:rPr>
            </w:pPr>
            <w:r>
              <w:rPr>
                <w:color w:val="231F20"/>
                <w:spacing w:val="-2"/>
                <w:sz w:val="15"/>
              </w:rPr>
              <w:t>Other</w:t>
            </w:r>
          </w:p>
          <w:p>
            <w:pPr>
              <w:pStyle w:val="TableParagraph"/>
              <w:tabs>
                <w:tab w:pos="357" w:val="left" w:leader="none"/>
                <w:tab w:pos="1585" w:val="left" w:leader="none"/>
              </w:tabs>
              <w:spacing w:before="34"/>
              <w:ind w:right="41"/>
              <w:jc w:val="center"/>
              <w:rPr>
                <w:sz w:val="15"/>
              </w:rPr>
            </w:pPr>
            <w:r>
              <w:rPr>
                <w:color w:val="231F20"/>
                <w:sz w:val="15"/>
                <w:u w:val="thick" w:color="231F20"/>
              </w:rPr>
              <w:tab/>
            </w:r>
            <w:r>
              <w:rPr>
                <w:color w:val="231F20"/>
                <w:spacing w:val="-2"/>
                <w:sz w:val="15"/>
                <w:u w:val="thick" w:color="231F20"/>
              </w:rPr>
              <w:t>Participant(s)</w:t>
            </w:r>
            <w:r>
              <w:rPr>
                <w:color w:val="231F20"/>
                <w:sz w:val="15"/>
                <w:u w:val="thick" w:color="231F20"/>
              </w:rPr>
              <w:tab/>
            </w:r>
          </w:p>
        </w:tc>
        <w:tc>
          <w:tcPr>
            <w:tcW w:w="1482" w:type="dxa"/>
          </w:tcPr>
          <w:p>
            <w:pPr>
              <w:pStyle w:val="TableParagraph"/>
              <w:spacing w:before="7"/>
              <w:rPr>
                <w:b/>
                <w:sz w:val="17"/>
              </w:rPr>
            </w:pPr>
          </w:p>
          <w:p>
            <w:pPr>
              <w:pStyle w:val="TableParagraph"/>
              <w:ind w:left="140"/>
              <w:rPr>
                <w:sz w:val="15"/>
              </w:rPr>
            </w:pPr>
            <w:r>
              <w:rPr>
                <w:color w:val="231F20"/>
                <w:sz w:val="15"/>
              </w:rPr>
              <w:t>Party</w:t>
            </w:r>
            <w:r>
              <w:rPr>
                <w:color w:val="231F20"/>
                <w:spacing w:val="-8"/>
                <w:sz w:val="15"/>
              </w:rPr>
              <w:t> </w:t>
            </w:r>
            <w:r>
              <w:rPr>
                <w:color w:val="231F20"/>
                <w:spacing w:val="-2"/>
                <w:sz w:val="15"/>
              </w:rPr>
              <w:t>Responsible</w:t>
            </w:r>
          </w:p>
          <w:p>
            <w:pPr>
              <w:pStyle w:val="TableParagraph"/>
              <w:spacing w:before="34"/>
              <w:ind w:left="93"/>
              <w:rPr>
                <w:sz w:val="15"/>
              </w:rPr>
            </w:pPr>
            <w:r>
              <w:rPr>
                <w:color w:val="231F20"/>
                <w:spacing w:val="45"/>
                <w:sz w:val="15"/>
                <w:u w:val="thick" w:color="231F20"/>
              </w:rPr>
              <w:t>  </w:t>
            </w:r>
            <w:r>
              <w:rPr>
                <w:color w:val="231F20"/>
                <w:sz w:val="15"/>
                <w:u w:val="thick" w:color="231F20"/>
              </w:rPr>
              <w:t>for </w:t>
            </w:r>
            <w:r>
              <w:rPr>
                <w:color w:val="231F20"/>
                <w:spacing w:val="-2"/>
                <w:sz w:val="15"/>
                <w:u w:val="thick" w:color="231F20"/>
              </w:rPr>
              <w:t>Operations</w:t>
            </w:r>
            <w:r>
              <w:rPr>
                <w:color w:val="231F20"/>
                <w:spacing w:val="40"/>
                <w:sz w:val="15"/>
                <w:u w:val="thick" w:color="231F20"/>
              </w:rPr>
              <w:t> </w:t>
            </w:r>
          </w:p>
        </w:tc>
        <w:tc>
          <w:tcPr>
            <w:tcW w:w="2833" w:type="dxa"/>
          </w:tcPr>
          <w:p>
            <w:pPr>
              <w:pStyle w:val="TableParagraph"/>
              <w:rPr>
                <w:b/>
                <w:sz w:val="16"/>
              </w:rPr>
            </w:pPr>
          </w:p>
          <w:p>
            <w:pPr>
              <w:pStyle w:val="TableParagraph"/>
              <w:spacing w:before="6"/>
              <w:rPr>
                <w:b/>
                <w:sz w:val="19"/>
              </w:rPr>
            </w:pPr>
          </w:p>
          <w:p>
            <w:pPr>
              <w:pStyle w:val="TableParagraph"/>
              <w:tabs>
                <w:tab w:pos="1041" w:val="left" w:leader="none"/>
                <w:tab w:pos="2726" w:val="left" w:leader="none"/>
              </w:tabs>
              <w:spacing w:before="1"/>
              <w:ind w:left="93"/>
              <w:rPr>
                <w:sz w:val="15"/>
              </w:rPr>
            </w:pPr>
            <w:r>
              <w:rPr>
                <w:color w:val="231F20"/>
                <w:sz w:val="15"/>
                <w:u w:val="thick" w:color="231F20"/>
              </w:rPr>
              <w:tab/>
            </w:r>
            <w:r>
              <w:rPr>
                <w:color w:val="231F20"/>
                <w:spacing w:val="-2"/>
                <w:sz w:val="15"/>
                <w:u w:val="thick" w:color="231F20"/>
              </w:rPr>
              <w:t>Description</w:t>
            </w:r>
            <w:r>
              <w:rPr>
                <w:color w:val="231F20"/>
                <w:sz w:val="15"/>
                <w:u w:val="thick" w:color="231F20"/>
              </w:rPr>
              <w:tab/>
            </w:r>
          </w:p>
        </w:tc>
        <w:tc>
          <w:tcPr>
            <w:tcW w:w="1179" w:type="dxa"/>
          </w:tcPr>
          <w:p>
            <w:pPr>
              <w:pStyle w:val="TableParagraph"/>
              <w:spacing w:before="7"/>
              <w:rPr>
                <w:b/>
                <w:sz w:val="17"/>
              </w:rPr>
            </w:pPr>
          </w:p>
          <w:p>
            <w:pPr>
              <w:pStyle w:val="TableParagraph"/>
              <w:ind w:left="15" w:right="11"/>
              <w:jc w:val="center"/>
              <w:rPr>
                <w:sz w:val="15"/>
              </w:rPr>
            </w:pPr>
            <w:r>
              <w:rPr>
                <w:color w:val="231F20"/>
                <w:spacing w:val="-2"/>
                <w:sz w:val="15"/>
              </w:rPr>
              <w:t>Beginning</w:t>
            </w:r>
          </w:p>
          <w:p>
            <w:pPr>
              <w:pStyle w:val="TableParagraph"/>
              <w:tabs>
                <w:tab w:pos="351" w:val="left" w:leader="none"/>
                <w:tab w:pos="1004" w:val="left" w:leader="none"/>
              </w:tabs>
              <w:spacing w:before="34"/>
              <w:ind w:right="11"/>
              <w:jc w:val="center"/>
              <w:rPr>
                <w:sz w:val="15"/>
              </w:rPr>
            </w:pPr>
            <w:r>
              <w:rPr>
                <w:color w:val="231F20"/>
                <w:sz w:val="15"/>
                <w:u w:val="thick" w:color="231F20"/>
              </w:rPr>
              <w:tab/>
            </w:r>
            <w:r>
              <w:rPr>
                <w:color w:val="231F20"/>
                <w:spacing w:val="-4"/>
                <w:sz w:val="15"/>
                <w:u w:val="thick" w:color="231F20"/>
              </w:rPr>
              <w:t>Date</w:t>
            </w:r>
            <w:r>
              <w:rPr>
                <w:color w:val="231F20"/>
                <w:sz w:val="15"/>
                <w:u w:val="thick" w:color="231F20"/>
              </w:rPr>
              <w:tab/>
            </w:r>
          </w:p>
        </w:tc>
        <w:tc>
          <w:tcPr>
            <w:tcW w:w="1194" w:type="dxa"/>
          </w:tcPr>
          <w:p>
            <w:pPr>
              <w:pStyle w:val="TableParagraph"/>
              <w:spacing w:before="7"/>
              <w:rPr>
                <w:b/>
                <w:sz w:val="17"/>
              </w:rPr>
            </w:pPr>
          </w:p>
          <w:p>
            <w:pPr>
              <w:pStyle w:val="TableParagraph"/>
              <w:ind w:left="14"/>
              <w:jc w:val="center"/>
              <w:rPr>
                <w:sz w:val="15"/>
              </w:rPr>
            </w:pPr>
            <w:r>
              <w:rPr>
                <w:color w:val="231F20"/>
                <w:spacing w:val="-2"/>
                <w:sz w:val="15"/>
              </w:rPr>
              <w:t>Ending</w:t>
            </w:r>
          </w:p>
          <w:p>
            <w:pPr>
              <w:pStyle w:val="TableParagraph"/>
              <w:tabs>
                <w:tab w:pos="351" w:val="left" w:leader="none"/>
                <w:tab w:pos="1005" w:val="left" w:leader="none"/>
              </w:tabs>
              <w:spacing w:before="34"/>
              <w:jc w:val="center"/>
              <w:rPr>
                <w:sz w:val="15"/>
              </w:rPr>
            </w:pPr>
            <w:r>
              <w:rPr>
                <w:color w:val="231F20"/>
                <w:sz w:val="15"/>
                <w:u w:val="thick" w:color="231F20"/>
              </w:rPr>
              <w:tab/>
            </w:r>
            <w:r>
              <w:rPr>
                <w:color w:val="231F20"/>
                <w:spacing w:val="-4"/>
                <w:sz w:val="15"/>
                <w:u w:val="thick" w:color="231F20"/>
              </w:rPr>
              <w:t>Date</w:t>
            </w:r>
            <w:r>
              <w:rPr>
                <w:color w:val="231F20"/>
                <w:sz w:val="15"/>
                <w:u w:val="thick" w:color="231F20"/>
              </w:rPr>
              <w:tab/>
            </w:r>
          </w:p>
        </w:tc>
        <w:tc>
          <w:tcPr>
            <w:tcW w:w="1191" w:type="dxa"/>
          </w:tcPr>
          <w:p>
            <w:pPr>
              <w:pStyle w:val="TableParagraph"/>
              <w:spacing w:line="288" w:lineRule="auto"/>
              <w:ind w:left="267" w:right="252" w:firstLine="1"/>
              <w:jc w:val="center"/>
              <w:rPr>
                <w:sz w:val="15"/>
              </w:rPr>
            </w:pPr>
            <w:r>
              <w:rPr>
                <w:color w:val="231F20"/>
                <w:spacing w:val="-4"/>
                <w:sz w:val="15"/>
              </w:rPr>
              <w:t>Total</w:t>
            </w:r>
            <w:r>
              <w:rPr>
                <w:color w:val="231F20"/>
                <w:sz w:val="15"/>
              </w:rPr>
              <w:t> </w:t>
            </w:r>
            <w:r>
              <w:rPr>
                <w:color w:val="231F20"/>
                <w:spacing w:val="-2"/>
                <w:sz w:val="15"/>
              </w:rPr>
              <w:t>Estimated</w:t>
            </w:r>
          </w:p>
          <w:p>
            <w:pPr>
              <w:pStyle w:val="TableParagraph"/>
              <w:tabs>
                <w:tab w:pos="355" w:val="left" w:leader="none"/>
                <w:tab w:pos="1004" w:val="left" w:leader="none"/>
              </w:tabs>
              <w:jc w:val="center"/>
              <w:rPr>
                <w:sz w:val="15"/>
              </w:rPr>
            </w:pPr>
            <w:r>
              <w:rPr>
                <w:color w:val="231F20"/>
                <w:sz w:val="15"/>
                <w:u w:val="thick" w:color="231F20"/>
              </w:rPr>
              <w:tab/>
            </w:r>
            <w:r>
              <w:rPr>
                <w:color w:val="231F20"/>
                <w:spacing w:val="-4"/>
                <w:sz w:val="15"/>
                <w:u w:val="thick" w:color="231F20"/>
              </w:rPr>
              <w:t>Cost</w:t>
            </w:r>
            <w:r>
              <w:rPr>
                <w:color w:val="231F20"/>
                <w:sz w:val="15"/>
                <w:u w:val="thick" w:color="231F20"/>
              </w:rPr>
              <w:tab/>
            </w:r>
          </w:p>
        </w:tc>
        <w:tc>
          <w:tcPr>
            <w:tcW w:w="1193" w:type="dxa"/>
          </w:tcPr>
          <w:p>
            <w:pPr>
              <w:pStyle w:val="TableParagraph"/>
              <w:spacing w:before="7"/>
              <w:rPr>
                <w:b/>
                <w:sz w:val="17"/>
              </w:rPr>
            </w:pPr>
          </w:p>
          <w:p>
            <w:pPr>
              <w:pStyle w:val="TableParagraph"/>
              <w:ind w:left="16" w:right="1"/>
              <w:jc w:val="center"/>
              <w:rPr>
                <w:sz w:val="15"/>
              </w:rPr>
            </w:pPr>
            <w:r>
              <w:rPr>
                <w:color w:val="231F20"/>
                <w:sz w:val="15"/>
              </w:rPr>
              <w:t>FY</w:t>
            </w:r>
            <w:r>
              <w:rPr>
                <w:color w:val="231F20"/>
                <w:spacing w:val="-5"/>
                <w:sz w:val="15"/>
              </w:rPr>
              <w:t> </w:t>
            </w:r>
            <w:r>
              <w:rPr>
                <w:color w:val="231F20"/>
                <w:spacing w:val="-4"/>
                <w:sz w:val="15"/>
              </w:rPr>
              <w:t>2022</w:t>
            </w:r>
          </w:p>
          <w:p>
            <w:pPr>
              <w:pStyle w:val="TableParagraph"/>
              <w:spacing w:before="34"/>
              <w:ind w:right="1"/>
              <w:jc w:val="center"/>
              <w:rPr>
                <w:sz w:val="15"/>
              </w:rPr>
            </w:pPr>
            <w:r>
              <w:rPr>
                <w:color w:val="231F20"/>
                <w:spacing w:val="26"/>
                <w:sz w:val="15"/>
                <w:u w:val="thick" w:color="231F20"/>
              </w:rPr>
              <w:t> </w:t>
            </w:r>
            <w:r>
              <w:rPr>
                <w:color w:val="231F20"/>
                <w:spacing w:val="-2"/>
                <w:sz w:val="15"/>
                <w:u w:val="thick" w:color="231F20"/>
              </w:rPr>
              <w:t>Contributions</w:t>
            </w:r>
            <w:r>
              <w:rPr>
                <w:color w:val="231F20"/>
                <w:spacing w:val="40"/>
                <w:sz w:val="15"/>
                <w:u w:val="thick" w:color="231F20"/>
              </w:rPr>
              <w:t> </w:t>
            </w:r>
          </w:p>
        </w:tc>
        <w:tc>
          <w:tcPr>
            <w:tcW w:w="1179" w:type="dxa"/>
          </w:tcPr>
          <w:p>
            <w:pPr>
              <w:pStyle w:val="TableParagraph"/>
              <w:spacing w:before="7"/>
              <w:rPr>
                <w:b/>
                <w:sz w:val="17"/>
              </w:rPr>
            </w:pPr>
          </w:p>
          <w:p>
            <w:pPr>
              <w:pStyle w:val="TableParagraph"/>
              <w:ind w:left="36" w:right="11"/>
              <w:jc w:val="center"/>
              <w:rPr>
                <w:sz w:val="15"/>
              </w:rPr>
            </w:pPr>
            <w:r>
              <w:rPr>
                <w:color w:val="231F20"/>
                <w:spacing w:val="-2"/>
                <w:sz w:val="15"/>
              </w:rPr>
              <w:t>Audit</w:t>
            </w:r>
          </w:p>
          <w:p>
            <w:pPr>
              <w:pStyle w:val="TableParagraph"/>
              <w:spacing w:before="34"/>
              <w:ind w:right="15"/>
              <w:jc w:val="center"/>
              <w:rPr>
                <w:sz w:val="15"/>
              </w:rPr>
            </w:pPr>
            <w:r>
              <w:rPr>
                <w:color w:val="231F20"/>
                <w:spacing w:val="5"/>
                <w:sz w:val="15"/>
                <w:u w:val="thick" w:color="231F20"/>
              </w:rPr>
              <w:t> </w:t>
            </w:r>
            <w:r>
              <w:rPr>
                <w:color w:val="231F20"/>
                <w:spacing w:val="-2"/>
                <w:sz w:val="15"/>
                <w:u w:val="thick" w:color="231F20"/>
              </w:rPr>
              <w:t>Responsibility</w:t>
            </w:r>
          </w:p>
        </w:tc>
        <w:tc>
          <w:tcPr>
            <w:tcW w:w="1193" w:type="dxa"/>
          </w:tcPr>
          <w:p>
            <w:pPr>
              <w:pStyle w:val="TableParagraph"/>
              <w:spacing w:before="7"/>
              <w:rPr>
                <w:b/>
                <w:sz w:val="17"/>
              </w:rPr>
            </w:pPr>
          </w:p>
          <w:p>
            <w:pPr>
              <w:pStyle w:val="TableParagraph"/>
              <w:ind w:left="38" w:right="1"/>
              <w:jc w:val="center"/>
              <w:rPr>
                <w:sz w:val="15"/>
              </w:rPr>
            </w:pPr>
            <w:r>
              <w:rPr>
                <w:color w:val="231F20"/>
                <w:spacing w:val="-2"/>
                <w:sz w:val="15"/>
              </w:rPr>
              <w:t>Fiscal</w:t>
            </w:r>
          </w:p>
          <w:p>
            <w:pPr>
              <w:pStyle w:val="TableParagraph"/>
              <w:spacing w:before="34"/>
              <w:ind w:right="4"/>
              <w:jc w:val="center"/>
              <w:rPr>
                <w:sz w:val="15"/>
              </w:rPr>
            </w:pPr>
            <w:r>
              <w:rPr>
                <w:color w:val="231F20"/>
                <w:spacing w:val="5"/>
                <w:sz w:val="15"/>
                <w:u w:val="thick" w:color="231F20"/>
              </w:rPr>
              <w:t> </w:t>
            </w:r>
            <w:r>
              <w:rPr>
                <w:color w:val="231F20"/>
                <w:spacing w:val="-2"/>
                <w:sz w:val="15"/>
                <w:u w:val="thick" w:color="231F20"/>
              </w:rPr>
              <w:t>Responsibility</w:t>
            </w:r>
          </w:p>
        </w:tc>
        <w:tc>
          <w:tcPr>
            <w:tcW w:w="1279" w:type="dxa"/>
          </w:tcPr>
          <w:p>
            <w:pPr>
              <w:pStyle w:val="TableParagraph"/>
              <w:spacing w:before="7"/>
              <w:rPr>
                <w:b/>
                <w:sz w:val="17"/>
              </w:rPr>
            </w:pPr>
          </w:p>
          <w:p>
            <w:pPr>
              <w:pStyle w:val="TableParagraph"/>
              <w:ind w:left="67"/>
              <w:jc w:val="center"/>
              <w:rPr>
                <w:sz w:val="15"/>
              </w:rPr>
            </w:pPr>
            <w:r>
              <w:rPr>
                <w:color w:val="231F20"/>
                <w:spacing w:val="-2"/>
                <w:sz w:val="15"/>
              </w:rPr>
              <w:t>Equity</w:t>
            </w:r>
          </w:p>
          <w:p>
            <w:pPr>
              <w:pStyle w:val="TableParagraph"/>
              <w:spacing w:before="34"/>
              <w:ind w:left="51"/>
              <w:jc w:val="center"/>
              <w:rPr>
                <w:sz w:val="15"/>
              </w:rPr>
            </w:pPr>
            <w:r>
              <w:rPr>
                <w:color w:val="231F20"/>
                <w:spacing w:val="18"/>
                <w:sz w:val="15"/>
                <w:u w:val="thick" w:color="231F20"/>
              </w:rPr>
              <w:t> </w:t>
            </w:r>
            <w:r>
              <w:rPr>
                <w:color w:val="231F20"/>
                <w:sz w:val="15"/>
                <w:u w:val="thick" w:color="231F20"/>
              </w:rPr>
              <w:t>Reporting</w:t>
            </w:r>
            <w:r>
              <w:rPr>
                <w:color w:val="231F20"/>
                <w:spacing w:val="-2"/>
                <w:sz w:val="15"/>
                <w:u w:val="thick" w:color="231F20"/>
              </w:rPr>
              <w:t> </w:t>
            </w:r>
            <w:r>
              <w:rPr>
                <w:color w:val="231F20"/>
                <w:spacing w:val="-4"/>
                <w:sz w:val="15"/>
                <w:u w:val="thick" w:color="231F20"/>
              </w:rPr>
              <w:t>Cost</w:t>
            </w:r>
            <w:r>
              <w:rPr>
                <w:color w:val="231F20"/>
                <w:spacing w:val="40"/>
                <w:sz w:val="15"/>
                <w:u w:val="thick" w:color="231F20"/>
              </w:rPr>
              <w:t> </w:t>
            </w:r>
          </w:p>
        </w:tc>
      </w:tr>
      <w:tr>
        <w:trPr>
          <w:trHeight w:val="310" w:hRule="atLeast"/>
        </w:trPr>
        <w:tc>
          <w:tcPr>
            <w:tcW w:w="1729" w:type="dxa"/>
          </w:tcPr>
          <w:p>
            <w:pPr>
              <w:pStyle w:val="TableParagraph"/>
              <w:spacing w:before="118"/>
              <w:ind w:left="81"/>
              <w:rPr>
                <w:sz w:val="15"/>
              </w:rPr>
            </w:pPr>
            <w:r>
              <w:rPr>
                <w:color w:val="231F20"/>
                <w:sz w:val="15"/>
              </w:rPr>
              <w:t>Socorro</w:t>
            </w:r>
            <w:r>
              <w:rPr>
                <w:color w:val="231F20"/>
                <w:spacing w:val="-8"/>
                <w:sz w:val="15"/>
              </w:rPr>
              <w:t> </w:t>
            </w:r>
            <w:r>
              <w:rPr>
                <w:color w:val="231F20"/>
                <w:spacing w:val="-2"/>
                <w:sz w:val="15"/>
              </w:rPr>
              <w:t>County</w:t>
            </w:r>
          </w:p>
        </w:tc>
        <w:tc>
          <w:tcPr>
            <w:tcW w:w="1482" w:type="dxa"/>
          </w:tcPr>
          <w:p>
            <w:pPr>
              <w:pStyle w:val="TableParagraph"/>
              <w:spacing w:before="118"/>
              <w:ind w:left="124"/>
              <w:rPr>
                <w:sz w:val="15"/>
              </w:rPr>
            </w:pPr>
            <w:r>
              <w:rPr>
                <w:color w:val="231F20"/>
                <w:sz w:val="15"/>
              </w:rPr>
              <w:t>Socorro</w:t>
            </w:r>
            <w:r>
              <w:rPr>
                <w:color w:val="231F20"/>
                <w:spacing w:val="-8"/>
                <w:sz w:val="15"/>
              </w:rPr>
              <w:t> </w:t>
            </w:r>
            <w:r>
              <w:rPr>
                <w:color w:val="231F20"/>
                <w:spacing w:val="-2"/>
                <w:sz w:val="15"/>
              </w:rPr>
              <w:t>County</w:t>
            </w:r>
          </w:p>
        </w:tc>
        <w:tc>
          <w:tcPr>
            <w:tcW w:w="2833" w:type="dxa"/>
          </w:tcPr>
          <w:p>
            <w:pPr>
              <w:pStyle w:val="TableParagraph"/>
              <w:spacing w:before="118"/>
              <w:ind w:left="124"/>
              <w:rPr>
                <w:sz w:val="15"/>
              </w:rPr>
            </w:pPr>
            <w:r>
              <w:rPr>
                <w:color w:val="231F20"/>
                <w:sz w:val="15"/>
              </w:rPr>
              <w:t>County</w:t>
            </w:r>
            <w:r>
              <w:rPr>
                <w:color w:val="231F20"/>
                <w:spacing w:val="-7"/>
                <w:sz w:val="15"/>
              </w:rPr>
              <w:t> </w:t>
            </w:r>
            <w:r>
              <w:rPr>
                <w:color w:val="231F20"/>
                <w:sz w:val="15"/>
              </w:rPr>
              <w:t>to</w:t>
            </w:r>
            <w:r>
              <w:rPr>
                <w:color w:val="231F20"/>
                <w:spacing w:val="-5"/>
                <w:sz w:val="15"/>
              </w:rPr>
              <w:t> </w:t>
            </w:r>
            <w:r>
              <w:rPr>
                <w:color w:val="231F20"/>
                <w:sz w:val="15"/>
              </w:rPr>
              <w:t>use</w:t>
            </w:r>
            <w:r>
              <w:rPr>
                <w:color w:val="231F20"/>
                <w:spacing w:val="-5"/>
                <w:sz w:val="15"/>
              </w:rPr>
              <w:t> </w:t>
            </w:r>
            <w:r>
              <w:rPr>
                <w:color w:val="231F20"/>
                <w:sz w:val="15"/>
              </w:rPr>
              <w:t>equipment</w:t>
            </w:r>
            <w:r>
              <w:rPr>
                <w:color w:val="231F20"/>
                <w:spacing w:val="-5"/>
                <w:sz w:val="15"/>
              </w:rPr>
              <w:t> </w:t>
            </w:r>
            <w:r>
              <w:rPr>
                <w:color w:val="231F20"/>
                <w:sz w:val="15"/>
              </w:rPr>
              <w:t>owned</w:t>
            </w:r>
            <w:r>
              <w:rPr>
                <w:color w:val="231F20"/>
                <w:spacing w:val="-5"/>
                <w:sz w:val="15"/>
              </w:rPr>
              <w:t> by</w:t>
            </w:r>
          </w:p>
        </w:tc>
        <w:tc>
          <w:tcPr>
            <w:tcW w:w="1179" w:type="dxa"/>
          </w:tcPr>
          <w:p>
            <w:pPr>
              <w:pStyle w:val="TableParagraph"/>
              <w:spacing w:before="118"/>
              <w:ind w:left="11" w:right="11"/>
              <w:jc w:val="center"/>
              <w:rPr>
                <w:sz w:val="15"/>
              </w:rPr>
            </w:pPr>
            <w:r>
              <w:rPr>
                <w:color w:val="231F20"/>
                <w:spacing w:val="-2"/>
                <w:sz w:val="15"/>
              </w:rPr>
              <w:t>4/12/1994</w:t>
            </w:r>
          </w:p>
        </w:tc>
        <w:tc>
          <w:tcPr>
            <w:tcW w:w="1194" w:type="dxa"/>
          </w:tcPr>
          <w:p>
            <w:pPr>
              <w:pStyle w:val="TableParagraph"/>
              <w:spacing w:before="118"/>
              <w:ind w:left="11"/>
              <w:jc w:val="center"/>
              <w:rPr>
                <w:sz w:val="15"/>
              </w:rPr>
            </w:pPr>
            <w:r>
              <w:rPr>
                <w:color w:val="231F20"/>
                <w:spacing w:val="-2"/>
                <w:sz w:val="15"/>
              </w:rPr>
              <w:t>Ongoing</w:t>
            </w:r>
          </w:p>
        </w:tc>
        <w:tc>
          <w:tcPr>
            <w:tcW w:w="1191" w:type="dxa"/>
          </w:tcPr>
          <w:p>
            <w:pPr>
              <w:pStyle w:val="TableParagraph"/>
              <w:spacing w:before="118"/>
              <w:ind w:left="420"/>
              <w:rPr>
                <w:sz w:val="15"/>
              </w:rPr>
            </w:pPr>
            <w:r>
              <w:rPr>
                <w:color w:val="231F20"/>
                <w:spacing w:val="-4"/>
                <w:sz w:val="15"/>
              </w:rPr>
              <w:t>None</w:t>
            </w:r>
          </w:p>
        </w:tc>
        <w:tc>
          <w:tcPr>
            <w:tcW w:w="1193" w:type="dxa"/>
          </w:tcPr>
          <w:p>
            <w:pPr>
              <w:pStyle w:val="TableParagraph"/>
              <w:spacing w:before="118"/>
              <w:ind w:left="8" w:right="1"/>
              <w:jc w:val="center"/>
              <w:rPr>
                <w:sz w:val="15"/>
              </w:rPr>
            </w:pPr>
            <w:r>
              <w:rPr>
                <w:color w:val="231F20"/>
                <w:spacing w:val="-4"/>
                <w:sz w:val="15"/>
              </w:rPr>
              <w:t>None</w:t>
            </w:r>
          </w:p>
        </w:tc>
        <w:tc>
          <w:tcPr>
            <w:tcW w:w="1179" w:type="dxa"/>
          </w:tcPr>
          <w:p>
            <w:pPr>
              <w:pStyle w:val="TableParagraph"/>
              <w:spacing w:before="118"/>
              <w:ind w:right="424"/>
              <w:jc w:val="right"/>
              <w:rPr>
                <w:sz w:val="15"/>
              </w:rPr>
            </w:pPr>
            <w:r>
              <w:rPr>
                <w:color w:val="231F20"/>
                <w:spacing w:val="-4"/>
                <w:sz w:val="15"/>
              </w:rPr>
              <w:t>Both</w:t>
            </w:r>
          </w:p>
        </w:tc>
        <w:tc>
          <w:tcPr>
            <w:tcW w:w="1193" w:type="dxa"/>
          </w:tcPr>
          <w:p>
            <w:pPr>
              <w:pStyle w:val="TableParagraph"/>
              <w:spacing w:before="118"/>
              <w:ind w:right="423"/>
              <w:jc w:val="right"/>
              <w:rPr>
                <w:sz w:val="15"/>
              </w:rPr>
            </w:pPr>
            <w:r>
              <w:rPr>
                <w:color w:val="231F20"/>
                <w:spacing w:val="-4"/>
                <w:sz w:val="15"/>
              </w:rPr>
              <w:t>Both</w:t>
            </w:r>
          </w:p>
        </w:tc>
        <w:tc>
          <w:tcPr>
            <w:tcW w:w="1279" w:type="dxa"/>
          </w:tcPr>
          <w:p>
            <w:pPr>
              <w:pStyle w:val="TableParagraph"/>
              <w:spacing w:before="118"/>
              <w:ind w:right="452"/>
              <w:jc w:val="right"/>
              <w:rPr>
                <w:sz w:val="15"/>
              </w:rPr>
            </w:pPr>
            <w:r>
              <w:rPr>
                <w:color w:val="231F20"/>
                <w:spacing w:val="-4"/>
                <w:sz w:val="15"/>
              </w:rPr>
              <w:t>Both</w:t>
            </w:r>
          </w:p>
        </w:tc>
      </w:tr>
      <w:tr>
        <w:trPr>
          <w:trHeight w:val="207"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before="15"/>
              <w:ind w:left="125"/>
              <w:rPr>
                <w:sz w:val="15"/>
              </w:rPr>
            </w:pPr>
            <w:r>
              <w:rPr>
                <w:color w:val="231F20"/>
                <w:sz w:val="15"/>
              </w:rPr>
              <w:t>NMIMT</w:t>
            </w:r>
            <w:r>
              <w:rPr>
                <w:color w:val="231F20"/>
                <w:spacing w:val="-5"/>
                <w:sz w:val="15"/>
              </w:rPr>
              <w:t> </w:t>
            </w:r>
            <w:r>
              <w:rPr>
                <w:color w:val="231F20"/>
                <w:sz w:val="15"/>
              </w:rPr>
              <w:t>for</w:t>
            </w:r>
            <w:r>
              <w:rPr>
                <w:color w:val="231F20"/>
                <w:spacing w:val="-4"/>
                <w:sz w:val="15"/>
              </w:rPr>
              <w:t> </w:t>
            </w:r>
            <w:r>
              <w:rPr>
                <w:color w:val="231F20"/>
                <w:sz w:val="15"/>
              </w:rPr>
              <w:t>the</w:t>
            </w:r>
            <w:r>
              <w:rPr>
                <w:color w:val="231F20"/>
                <w:spacing w:val="-5"/>
                <w:sz w:val="15"/>
              </w:rPr>
              <w:t> </w:t>
            </w:r>
            <w:r>
              <w:rPr>
                <w:color w:val="231F20"/>
                <w:sz w:val="15"/>
              </w:rPr>
              <w:t>construction</w:t>
            </w:r>
            <w:r>
              <w:rPr>
                <w:color w:val="231F20"/>
                <w:spacing w:val="-5"/>
                <w:sz w:val="15"/>
              </w:rPr>
              <w:t> and</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310"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before="15"/>
              <w:ind w:left="125"/>
              <w:rPr>
                <w:sz w:val="15"/>
              </w:rPr>
            </w:pPr>
            <w:r>
              <w:rPr>
                <w:color w:val="231F20"/>
                <w:sz w:val="15"/>
              </w:rPr>
              <w:t>maintenance</w:t>
            </w:r>
            <w:r>
              <w:rPr>
                <w:color w:val="231F20"/>
                <w:spacing w:val="-5"/>
                <w:sz w:val="15"/>
              </w:rPr>
              <w:t> </w:t>
            </w:r>
            <w:r>
              <w:rPr>
                <w:color w:val="231F20"/>
                <w:sz w:val="15"/>
              </w:rPr>
              <w:t>of</w:t>
            </w:r>
            <w:r>
              <w:rPr>
                <w:color w:val="231F20"/>
                <w:spacing w:val="-5"/>
                <w:sz w:val="15"/>
              </w:rPr>
              <w:t> </w:t>
            </w:r>
            <w:r>
              <w:rPr>
                <w:color w:val="231F20"/>
                <w:sz w:val="15"/>
              </w:rPr>
              <w:t>the</w:t>
            </w:r>
            <w:r>
              <w:rPr>
                <w:color w:val="231F20"/>
                <w:spacing w:val="-4"/>
                <w:sz w:val="15"/>
              </w:rPr>
              <w:t> </w:t>
            </w:r>
            <w:r>
              <w:rPr>
                <w:color w:val="231F20"/>
                <w:spacing w:val="-2"/>
                <w:sz w:val="15"/>
              </w:rPr>
              <w:t>landfill</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310" w:hRule="atLeast"/>
        </w:trPr>
        <w:tc>
          <w:tcPr>
            <w:tcW w:w="1729" w:type="dxa"/>
          </w:tcPr>
          <w:p>
            <w:pPr>
              <w:pStyle w:val="TableParagraph"/>
              <w:spacing w:line="172" w:lineRule="exact" w:before="118"/>
              <w:ind w:left="81"/>
              <w:rPr>
                <w:sz w:val="15"/>
              </w:rPr>
            </w:pPr>
            <w:r>
              <w:rPr>
                <w:color w:val="231F20"/>
                <w:sz w:val="15"/>
              </w:rPr>
              <w:t>City</w:t>
            </w:r>
            <w:r>
              <w:rPr>
                <w:color w:val="231F20"/>
                <w:spacing w:val="-5"/>
                <w:sz w:val="15"/>
              </w:rPr>
              <w:t> </w:t>
            </w:r>
            <w:r>
              <w:rPr>
                <w:color w:val="231F20"/>
                <w:sz w:val="15"/>
              </w:rPr>
              <w:t>of</w:t>
            </w:r>
            <w:r>
              <w:rPr>
                <w:color w:val="231F20"/>
                <w:spacing w:val="-2"/>
                <w:sz w:val="15"/>
              </w:rPr>
              <w:t> Socorro</w:t>
            </w:r>
          </w:p>
        </w:tc>
        <w:tc>
          <w:tcPr>
            <w:tcW w:w="1482" w:type="dxa"/>
          </w:tcPr>
          <w:p>
            <w:pPr>
              <w:pStyle w:val="TableParagraph"/>
              <w:spacing w:line="172" w:lineRule="exact" w:before="118"/>
              <w:ind w:left="126"/>
              <w:rPr>
                <w:sz w:val="15"/>
              </w:rPr>
            </w:pPr>
            <w:r>
              <w:rPr>
                <w:color w:val="231F20"/>
                <w:sz w:val="15"/>
              </w:rPr>
              <w:t>City</w:t>
            </w:r>
            <w:r>
              <w:rPr>
                <w:color w:val="231F20"/>
                <w:spacing w:val="-5"/>
                <w:sz w:val="15"/>
              </w:rPr>
              <w:t> </w:t>
            </w:r>
            <w:r>
              <w:rPr>
                <w:color w:val="231F20"/>
                <w:sz w:val="15"/>
              </w:rPr>
              <w:t>of</w:t>
            </w:r>
            <w:r>
              <w:rPr>
                <w:color w:val="231F20"/>
                <w:spacing w:val="-2"/>
                <w:sz w:val="15"/>
              </w:rPr>
              <w:t> Socorro</w:t>
            </w:r>
          </w:p>
        </w:tc>
        <w:tc>
          <w:tcPr>
            <w:tcW w:w="2833" w:type="dxa"/>
          </w:tcPr>
          <w:p>
            <w:pPr>
              <w:pStyle w:val="TableParagraph"/>
              <w:spacing w:line="172" w:lineRule="exact" w:before="118"/>
              <w:ind w:left="126"/>
              <w:rPr>
                <w:sz w:val="15"/>
              </w:rPr>
            </w:pPr>
            <w:r>
              <w:rPr>
                <w:color w:val="231F20"/>
                <w:sz w:val="15"/>
              </w:rPr>
              <w:t>County</w:t>
            </w:r>
            <w:r>
              <w:rPr>
                <w:color w:val="231F20"/>
                <w:spacing w:val="-7"/>
                <w:sz w:val="15"/>
              </w:rPr>
              <w:t> </w:t>
            </w:r>
            <w:r>
              <w:rPr>
                <w:color w:val="231F20"/>
                <w:sz w:val="15"/>
              </w:rPr>
              <w:t>to</w:t>
            </w:r>
            <w:r>
              <w:rPr>
                <w:color w:val="231F20"/>
                <w:spacing w:val="-5"/>
                <w:sz w:val="15"/>
              </w:rPr>
              <w:t> </w:t>
            </w:r>
            <w:r>
              <w:rPr>
                <w:color w:val="231F20"/>
                <w:sz w:val="15"/>
              </w:rPr>
              <w:t>use</w:t>
            </w:r>
            <w:r>
              <w:rPr>
                <w:color w:val="231F20"/>
                <w:spacing w:val="-5"/>
                <w:sz w:val="15"/>
              </w:rPr>
              <w:t> </w:t>
            </w:r>
            <w:r>
              <w:rPr>
                <w:color w:val="231F20"/>
                <w:sz w:val="15"/>
              </w:rPr>
              <w:t>equipment</w:t>
            </w:r>
            <w:r>
              <w:rPr>
                <w:color w:val="231F20"/>
                <w:spacing w:val="-5"/>
                <w:sz w:val="15"/>
              </w:rPr>
              <w:t> </w:t>
            </w:r>
            <w:r>
              <w:rPr>
                <w:color w:val="231F20"/>
                <w:sz w:val="15"/>
              </w:rPr>
              <w:t>owned</w:t>
            </w:r>
            <w:r>
              <w:rPr>
                <w:color w:val="231F20"/>
                <w:spacing w:val="-5"/>
                <w:sz w:val="15"/>
              </w:rPr>
              <w:t> by</w:t>
            </w:r>
          </w:p>
        </w:tc>
        <w:tc>
          <w:tcPr>
            <w:tcW w:w="1179" w:type="dxa"/>
          </w:tcPr>
          <w:p>
            <w:pPr>
              <w:pStyle w:val="TableParagraph"/>
              <w:spacing w:line="172" w:lineRule="exact" w:before="118"/>
              <w:ind w:left="11" w:right="11"/>
              <w:jc w:val="center"/>
              <w:rPr>
                <w:sz w:val="15"/>
              </w:rPr>
            </w:pPr>
            <w:r>
              <w:rPr>
                <w:color w:val="231F20"/>
                <w:spacing w:val="-2"/>
                <w:sz w:val="15"/>
              </w:rPr>
              <w:t>7/18/1994</w:t>
            </w:r>
          </w:p>
        </w:tc>
        <w:tc>
          <w:tcPr>
            <w:tcW w:w="1194" w:type="dxa"/>
          </w:tcPr>
          <w:p>
            <w:pPr>
              <w:pStyle w:val="TableParagraph"/>
              <w:spacing w:line="172" w:lineRule="exact" w:before="118"/>
              <w:ind w:left="12"/>
              <w:jc w:val="center"/>
              <w:rPr>
                <w:sz w:val="15"/>
              </w:rPr>
            </w:pPr>
            <w:r>
              <w:rPr>
                <w:color w:val="231F20"/>
                <w:spacing w:val="-2"/>
                <w:sz w:val="15"/>
              </w:rPr>
              <w:t>Ongoing</w:t>
            </w:r>
          </w:p>
        </w:tc>
        <w:tc>
          <w:tcPr>
            <w:tcW w:w="1191" w:type="dxa"/>
          </w:tcPr>
          <w:p>
            <w:pPr>
              <w:pStyle w:val="TableParagraph"/>
              <w:spacing w:line="172" w:lineRule="exact" w:before="118"/>
              <w:ind w:left="420"/>
              <w:rPr>
                <w:sz w:val="15"/>
              </w:rPr>
            </w:pPr>
            <w:r>
              <w:rPr>
                <w:color w:val="231F20"/>
                <w:spacing w:val="-4"/>
                <w:sz w:val="15"/>
              </w:rPr>
              <w:t>None</w:t>
            </w:r>
          </w:p>
        </w:tc>
        <w:tc>
          <w:tcPr>
            <w:tcW w:w="1193" w:type="dxa"/>
          </w:tcPr>
          <w:p>
            <w:pPr>
              <w:pStyle w:val="TableParagraph"/>
              <w:spacing w:line="172" w:lineRule="exact" w:before="118"/>
              <w:ind w:left="9" w:right="1"/>
              <w:jc w:val="center"/>
              <w:rPr>
                <w:sz w:val="15"/>
              </w:rPr>
            </w:pPr>
            <w:r>
              <w:rPr>
                <w:color w:val="231F20"/>
                <w:spacing w:val="-4"/>
                <w:sz w:val="15"/>
              </w:rPr>
              <w:t>None</w:t>
            </w:r>
          </w:p>
        </w:tc>
        <w:tc>
          <w:tcPr>
            <w:tcW w:w="1179" w:type="dxa"/>
          </w:tcPr>
          <w:p>
            <w:pPr>
              <w:pStyle w:val="TableParagraph"/>
              <w:spacing w:line="172" w:lineRule="exact" w:before="118"/>
              <w:ind w:right="423"/>
              <w:jc w:val="right"/>
              <w:rPr>
                <w:sz w:val="15"/>
              </w:rPr>
            </w:pPr>
            <w:r>
              <w:rPr>
                <w:color w:val="231F20"/>
                <w:spacing w:val="-4"/>
                <w:sz w:val="15"/>
              </w:rPr>
              <w:t>Both</w:t>
            </w:r>
          </w:p>
        </w:tc>
        <w:tc>
          <w:tcPr>
            <w:tcW w:w="1193" w:type="dxa"/>
          </w:tcPr>
          <w:p>
            <w:pPr>
              <w:pStyle w:val="TableParagraph"/>
              <w:spacing w:line="172" w:lineRule="exact" w:before="118"/>
              <w:ind w:right="423"/>
              <w:jc w:val="right"/>
              <w:rPr>
                <w:sz w:val="15"/>
              </w:rPr>
            </w:pPr>
            <w:r>
              <w:rPr>
                <w:color w:val="231F20"/>
                <w:spacing w:val="-4"/>
                <w:sz w:val="15"/>
              </w:rPr>
              <w:t>Both</w:t>
            </w:r>
          </w:p>
        </w:tc>
        <w:tc>
          <w:tcPr>
            <w:tcW w:w="1279" w:type="dxa"/>
          </w:tcPr>
          <w:p>
            <w:pPr>
              <w:pStyle w:val="TableParagraph"/>
              <w:spacing w:line="172" w:lineRule="exact" w:before="118"/>
              <w:ind w:right="451"/>
              <w:jc w:val="right"/>
              <w:rPr>
                <w:sz w:val="15"/>
              </w:rPr>
            </w:pPr>
            <w:r>
              <w:rPr>
                <w:color w:val="231F20"/>
                <w:spacing w:val="-4"/>
                <w:sz w:val="15"/>
              </w:rPr>
              <w:t>Both</w:t>
            </w:r>
          </w:p>
        </w:tc>
      </w:tr>
      <w:tr>
        <w:trPr>
          <w:trHeight w:val="206"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before="14"/>
              <w:ind w:left="125"/>
              <w:rPr>
                <w:sz w:val="15"/>
              </w:rPr>
            </w:pPr>
            <w:r>
              <w:rPr>
                <w:color w:val="231F20"/>
                <w:sz w:val="15"/>
              </w:rPr>
              <w:t>NMIMT</w:t>
            </w:r>
            <w:r>
              <w:rPr>
                <w:color w:val="231F20"/>
                <w:spacing w:val="-5"/>
                <w:sz w:val="15"/>
              </w:rPr>
              <w:t> </w:t>
            </w:r>
            <w:r>
              <w:rPr>
                <w:color w:val="231F20"/>
                <w:sz w:val="15"/>
              </w:rPr>
              <w:t>for</w:t>
            </w:r>
            <w:r>
              <w:rPr>
                <w:color w:val="231F20"/>
                <w:spacing w:val="-4"/>
                <w:sz w:val="15"/>
              </w:rPr>
              <w:t> </w:t>
            </w:r>
            <w:r>
              <w:rPr>
                <w:color w:val="231F20"/>
                <w:sz w:val="15"/>
              </w:rPr>
              <w:t>the</w:t>
            </w:r>
            <w:r>
              <w:rPr>
                <w:color w:val="231F20"/>
                <w:spacing w:val="-5"/>
                <w:sz w:val="15"/>
              </w:rPr>
              <w:t> </w:t>
            </w:r>
            <w:r>
              <w:rPr>
                <w:color w:val="231F20"/>
                <w:sz w:val="15"/>
              </w:rPr>
              <w:t>construction</w:t>
            </w:r>
            <w:r>
              <w:rPr>
                <w:color w:val="231F20"/>
                <w:spacing w:val="-5"/>
                <w:sz w:val="15"/>
              </w:rPr>
              <w:t> and</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310"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before="15"/>
              <w:ind w:left="125"/>
              <w:rPr>
                <w:sz w:val="15"/>
              </w:rPr>
            </w:pPr>
            <w:r>
              <w:rPr>
                <w:color w:val="231F20"/>
                <w:sz w:val="15"/>
              </w:rPr>
              <w:t>maintenance</w:t>
            </w:r>
            <w:r>
              <w:rPr>
                <w:color w:val="231F20"/>
                <w:spacing w:val="-5"/>
                <w:sz w:val="15"/>
              </w:rPr>
              <w:t> </w:t>
            </w:r>
            <w:r>
              <w:rPr>
                <w:color w:val="231F20"/>
                <w:sz w:val="15"/>
              </w:rPr>
              <w:t>of</w:t>
            </w:r>
            <w:r>
              <w:rPr>
                <w:color w:val="231F20"/>
                <w:spacing w:val="-5"/>
                <w:sz w:val="15"/>
              </w:rPr>
              <w:t> </w:t>
            </w:r>
            <w:r>
              <w:rPr>
                <w:color w:val="231F20"/>
                <w:sz w:val="15"/>
              </w:rPr>
              <w:t>the</w:t>
            </w:r>
            <w:r>
              <w:rPr>
                <w:color w:val="231F20"/>
                <w:spacing w:val="-4"/>
                <w:sz w:val="15"/>
              </w:rPr>
              <w:t> </w:t>
            </w:r>
            <w:r>
              <w:rPr>
                <w:color w:val="231F20"/>
                <w:spacing w:val="-2"/>
                <w:sz w:val="15"/>
              </w:rPr>
              <w:t>landfill</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310" w:hRule="atLeast"/>
        </w:trPr>
        <w:tc>
          <w:tcPr>
            <w:tcW w:w="1729" w:type="dxa"/>
          </w:tcPr>
          <w:p>
            <w:pPr>
              <w:pStyle w:val="TableParagraph"/>
              <w:spacing w:before="118"/>
              <w:ind w:left="81"/>
              <w:rPr>
                <w:sz w:val="15"/>
              </w:rPr>
            </w:pPr>
            <w:r>
              <w:rPr>
                <w:color w:val="231F20"/>
                <w:sz w:val="15"/>
              </w:rPr>
              <w:t>City</w:t>
            </w:r>
            <w:r>
              <w:rPr>
                <w:color w:val="231F20"/>
                <w:spacing w:val="-5"/>
                <w:sz w:val="15"/>
              </w:rPr>
              <w:t> </w:t>
            </w:r>
            <w:r>
              <w:rPr>
                <w:color w:val="231F20"/>
                <w:sz w:val="15"/>
              </w:rPr>
              <w:t>of</w:t>
            </w:r>
            <w:r>
              <w:rPr>
                <w:color w:val="231F20"/>
                <w:spacing w:val="-2"/>
                <w:sz w:val="15"/>
              </w:rPr>
              <w:t> Socorro</w:t>
            </w:r>
          </w:p>
        </w:tc>
        <w:tc>
          <w:tcPr>
            <w:tcW w:w="1482" w:type="dxa"/>
          </w:tcPr>
          <w:p>
            <w:pPr>
              <w:pStyle w:val="TableParagraph"/>
              <w:spacing w:before="118"/>
              <w:ind w:left="126"/>
              <w:rPr>
                <w:sz w:val="15"/>
              </w:rPr>
            </w:pPr>
            <w:r>
              <w:rPr>
                <w:color w:val="231F20"/>
                <w:spacing w:val="-4"/>
                <w:sz w:val="15"/>
              </w:rPr>
              <w:t>Both</w:t>
            </w:r>
          </w:p>
        </w:tc>
        <w:tc>
          <w:tcPr>
            <w:tcW w:w="2833" w:type="dxa"/>
          </w:tcPr>
          <w:p>
            <w:pPr>
              <w:pStyle w:val="TableParagraph"/>
              <w:spacing w:before="118"/>
              <w:ind w:left="126"/>
              <w:rPr>
                <w:sz w:val="15"/>
              </w:rPr>
            </w:pPr>
            <w:r>
              <w:rPr>
                <w:color w:val="231F20"/>
                <w:sz w:val="15"/>
              </w:rPr>
              <w:t>City</w:t>
            </w:r>
            <w:r>
              <w:rPr>
                <w:color w:val="231F20"/>
                <w:spacing w:val="-6"/>
                <w:sz w:val="15"/>
              </w:rPr>
              <w:t> </w:t>
            </w:r>
            <w:r>
              <w:rPr>
                <w:color w:val="231F20"/>
                <w:sz w:val="15"/>
              </w:rPr>
              <w:t>to</w:t>
            </w:r>
            <w:r>
              <w:rPr>
                <w:color w:val="231F20"/>
                <w:spacing w:val="-4"/>
                <w:sz w:val="15"/>
              </w:rPr>
              <w:t> </w:t>
            </w:r>
            <w:r>
              <w:rPr>
                <w:color w:val="231F20"/>
                <w:sz w:val="15"/>
              </w:rPr>
              <w:t>maintain</w:t>
            </w:r>
            <w:r>
              <w:rPr>
                <w:color w:val="231F20"/>
                <w:spacing w:val="-4"/>
                <w:sz w:val="15"/>
              </w:rPr>
              <w:t> </w:t>
            </w:r>
            <w:r>
              <w:rPr>
                <w:color w:val="231F20"/>
                <w:sz w:val="15"/>
              </w:rPr>
              <w:t>the</w:t>
            </w:r>
            <w:r>
              <w:rPr>
                <w:color w:val="231F20"/>
                <w:spacing w:val="-3"/>
                <w:sz w:val="15"/>
              </w:rPr>
              <w:t> </w:t>
            </w:r>
            <w:r>
              <w:rPr>
                <w:color w:val="231F20"/>
                <w:sz w:val="15"/>
              </w:rPr>
              <w:t>road</w:t>
            </w:r>
            <w:r>
              <w:rPr>
                <w:color w:val="231F20"/>
                <w:spacing w:val="-3"/>
                <w:sz w:val="15"/>
              </w:rPr>
              <w:t> </w:t>
            </w:r>
            <w:r>
              <w:rPr>
                <w:color w:val="231F20"/>
                <w:sz w:val="15"/>
              </w:rPr>
              <w:t>from</w:t>
            </w:r>
            <w:r>
              <w:rPr>
                <w:color w:val="231F20"/>
                <w:spacing w:val="-3"/>
                <w:sz w:val="15"/>
              </w:rPr>
              <w:t> </w:t>
            </w:r>
            <w:r>
              <w:rPr>
                <w:color w:val="231F20"/>
                <w:spacing w:val="-5"/>
                <w:sz w:val="15"/>
              </w:rPr>
              <w:t>the</w:t>
            </w:r>
          </w:p>
        </w:tc>
        <w:tc>
          <w:tcPr>
            <w:tcW w:w="1179" w:type="dxa"/>
          </w:tcPr>
          <w:p>
            <w:pPr>
              <w:pStyle w:val="TableParagraph"/>
              <w:spacing w:before="118"/>
              <w:ind w:left="14" w:right="11"/>
              <w:jc w:val="center"/>
              <w:rPr>
                <w:sz w:val="15"/>
              </w:rPr>
            </w:pPr>
            <w:r>
              <w:rPr>
                <w:color w:val="231F20"/>
                <w:spacing w:val="-2"/>
                <w:sz w:val="15"/>
              </w:rPr>
              <w:t>2/7/1996</w:t>
            </w:r>
          </w:p>
        </w:tc>
        <w:tc>
          <w:tcPr>
            <w:tcW w:w="1194" w:type="dxa"/>
          </w:tcPr>
          <w:p>
            <w:pPr>
              <w:pStyle w:val="TableParagraph"/>
              <w:spacing w:before="118"/>
              <w:ind w:left="16"/>
              <w:jc w:val="center"/>
              <w:rPr>
                <w:sz w:val="15"/>
              </w:rPr>
            </w:pPr>
            <w:r>
              <w:rPr>
                <w:color w:val="231F20"/>
                <w:spacing w:val="-2"/>
                <w:sz w:val="15"/>
              </w:rPr>
              <w:t>Ongoing</w:t>
            </w:r>
          </w:p>
        </w:tc>
        <w:tc>
          <w:tcPr>
            <w:tcW w:w="1191" w:type="dxa"/>
          </w:tcPr>
          <w:p>
            <w:pPr>
              <w:pStyle w:val="TableParagraph"/>
              <w:spacing w:before="118"/>
              <w:ind w:left="422"/>
              <w:rPr>
                <w:sz w:val="15"/>
              </w:rPr>
            </w:pPr>
            <w:r>
              <w:rPr>
                <w:color w:val="231F20"/>
                <w:spacing w:val="-4"/>
                <w:sz w:val="15"/>
              </w:rPr>
              <w:t>None</w:t>
            </w:r>
          </w:p>
        </w:tc>
        <w:tc>
          <w:tcPr>
            <w:tcW w:w="1193" w:type="dxa"/>
          </w:tcPr>
          <w:p>
            <w:pPr>
              <w:pStyle w:val="TableParagraph"/>
              <w:spacing w:before="118"/>
              <w:ind w:left="14" w:right="1"/>
              <w:jc w:val="center"/>
              <w:rPr>
                <w:sz w:val="15"/>
              </w:rPr>
            </w:pPr>
            <w:r>
              <w:rPr>
                <w:color w:val="231F20"/>
                <w:spacing w:val="-4"/>
                <w:sz w:val="15"/>
              </w:rPr>
              <w:t>None</w:t>
            </w:r>
          </w:p>
        </w:tc>
        <w:tc>
          <w:tcPr>
            <w:tcW w:w="1179" w:type="dxa"/>
          </w:tcPr>
          <w:p>
            <w:pPr>
              <w:pStyle w:val="TableParagraph"/>
              <w:spacing w:before="118"/>
              <w:ind w:right="439"/>
              <w:jc w:val="right"/>
              <w:rPr>
                <w:sz w:val="15"/>
              </w:rPr>
            </w:pPr>
            <w:r>
              <w:rPr>
                <w:color w:val="231F20"/>
                <w:spacing w:val="-4"/>
                <w:sz w:val="15"/>
              </w:rPr>
              <w:t>Both</w:t>
            </w:r>
          </w:p>
        </w:tc>
        <w:tc>
          <w:tcPr>
            <w:tcW w:w="1193" w:type="dxa"/>
          </w:tcPr>
          <w:p>
            <w:pPr>
              <w:pStyle w:val="TableParagraph"/>
              <w:spacing w:before="118"/>
              <w:ind w:right="420"/>
              <w:jc w:val="right"/>
              <w:rPr>
                <w:sz w:val="15"/>
              </w:rPr>
            </w:pPr>
            <w:r>
              <w:rPr>
                <w:color w:val="231F20"/>
                <w:spacing w:val="-4"/>
                <w:sz w:val="15"/>
              </w:rPr>
              <w:t>Both</w:t>
            </w:r>
          </w:p>
        </w:tc>
        <w:tc>
          <w:tcPr>
            <w:tcW w:w="1279" w:type="dxa"/>
          </w:tcPr>
          <w:p>
            <w:pPr>
              <w:pStyle w:val="TableParagraph"/>
              <w:spacing w:before="118"/>
              <w:ind w:right="448"/>
              <w:jc w:val="right"/>
              <w:rPr>
                <w:sz w:val="15"/>
              </w:rPr>
            </w:pPr>
            <w:r>
              <w:rPr>
                <w:color w:val="231F20"/>
                <w:spacing w:val="-4"/>
                <w:sz w:val="15"/>
              </w:rPr>
              <w:t>Both</w:t>
            </w:r>
          </w:p>
        </w:tc>
      </w:tr>
      <w:tr>
        <w:trPr>
          <w:trHeight w:val="206"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line="172" w:lineRule="exact" w:before="15"/>
              <w:ind w:left="125"/>
              <w:rPr>
                <w:sz w:val="15"/>
              </w:rPr>
            </w:pPr>
            <w:r>
              <w:rPr>
                <w:color w:val="231F20"/>
                <w:sz w:val="15"/>
              </w:rPr>
              <w:t>ramp</w:t>
            </w:r>
            <w:r>
              <w:rPr>
                <w:color w:val="231F20"/>
                <w:spacing w:val="-6"/>
                <w:sz w:val="15"/>
              </w:rPr>
              <w:t> </w:t>
            </w:r>
            <w:r>
              <w:rPr>
                <w:color w:val="231F20"/>
                <w:sz w:val="15"/>
              </w:rPr>
              <w:t>on</w:t>
            </w:r>
            <w:r>
              <w:rPr>
                <w:color w:val="231F20"/>
                <w:spacing w:val="-5"/>
                <w:sz w:val="15"/>
              </w:rPr>
              <w:t> </w:t>
            </w:r>
            <w:r>
              <w:rPr>
                <w:color w:val="231F20"/>
                <w:sz w:val="15"/>
              </w:rPr>
              <w:t>Interstate</w:t>
            </w:r>
            <w:r>
              <w:rPr>
                <w:color w:val="231F20"/>
                <w:spacing w:val="-5"/>
                <w:sz w:val="15"/>
              </w:rPr>
              <w:t> </w:t>
            </w:r>
            <w:r>
              <w:rPr>
                <w:color w:val="231F20"/>
                <w:sz w:val="15"/>
              </w:rPr>
              <w:t>25</w:t>
            </w:r>
            <w:r>
              <w:rPr>
                <w:color w:val="231F20"/>
                <w:spacing w:val="-4"/>
                <w:sz w:val="15"/>
              </w:rPr>
              <w:t> </w:t>
            </w:r>
            <w:r>
              <w:rPr>
                <w:color w:val="231F20"/>
                <w:sz w:val="15"/>
              </w:rPr>
              <w:t>(Escondida</w:t>
            </w:r>
            <w:r>
              <w:rPr>
                <w:color w:val="231F20"/>
                <w:spacing w:val="-5"/>
                <w:sz w:val="15"/>
              </w:rPr>
              <w:t> </w:t>
            </w:r>
            <w:r>
              <w:rPr>
                <w:color w:val="231F20"/>
                <w:spacing w:val="-4"/>
                <w:sz w:val="15"/>
              </w:rPr>
              <w:t>Exit)</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206"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before="14"/>
              <w:ind w:left="125"/>
              <w:rPr>
                <w:sz w:val="15"/>
              </w:rPr>
            </w:pPr>
            <w:r>
              <w:rPr>
                <w:color w:val="231F20"/>
                <w:sz w:val="15"/>
              </w:rPr>
              <w:t>to</w:t>
            </w:r>
            <w:r>
              <w:rPr>
                <w:color w:val="231F20"/>
                <w:spacing w:val="-7"/>
                <w:sz w:val="15"/>
              </w:rPr>
              <w:t> </w:t>
            </w:r>
            <w:r>
              <w:rPr>
                <w:color w:val="231F20"/>
                <w:sz w:val="15"/>
              </w:rPr>
              <w:t>NMIMT</w:t>
            </w:r>
            <w:r>
              <w:rPr>
                <w:color w:val="231F20"/>
                <w:spacing w:val="-4"/>
                <w:sz w:val="15"/>
              </w:rPr>
              <w:t> </w:t>
            </w:r>
            <w:r>
              <w:rPr>
                <w:color w:val="231F20"/>
                <w:sz w:val="15"/>
              </w:rPr>
              <w:t>property</w:t>
            </w:r>
            <w:r>
              <w:rPr>
                <w:color w:val="231F20"/>
                <w:spacing w:val="-6"/>
                <w:sz w:val="15"/>
              </w:rPr>
              <w:t> </w:t>
            </w:r>
            <w:r>
              <w:rPr>
                <w:color w:val="231F20"/>
                <w:sz w:val="15"/>
              </w:rPr>
              <w:t>line</w:t>
            </w:r>
            <w:r>
              <w:rPr>
                <w:color w:val="231F20"/>
                <w:spacing w:val="-4"/>
                <w:sz w:val="15"/>
              </w:rPr>
              <w:t> </w:t>
            </w:r>
            <w:r>
              <w:rPr>
                <w:color w:val="231F20"/>
                <w:spacing w:val="-2"/>
                <w:sz w:val="15"/>
              </w:rPr>
              <w:t>approximately</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206"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line="172" w:lineRule="exact" w:before="15"/>
              <w:ind w:left="125"/>
              <w:rPr>
                <w:sz w:val="15"/>
              </w:rPr>
            </w:pPr>
            <w:r>
              <w:rPr>
                <w:color w:val="231F20"/>
                <w:sz w:val="15"/>
              </w:rPr>
              <w:t>3400</w:t>
            </w:r>
            <w:r>
              <w:rPr>
                <w:color w:val="231F20"/>
                <w:spacing w:val="-4"/>
                <w:sz w:val="15"/>
              </w:rPr>
              <w:t> </w:t>
            </w:r>
            <w:r>
              <w:rPr>
                <w:color w:val="231F20"/>
                <w:sz w:val="15"/>
              </w:rPr>
              <w:t>feed</w:t>
            </w:r>
            <w:r>
              <w:rPr>
                <w:color w:val="231F20"/>
                <w:spacing w:val="-1"/>
                <w:sz w:val="15"/>
              </w:rPr>
              <w:t> </w:t>
            </w:r>
            <w:r>
              <w:rPr>
                <w:color w:val="231F20"/>
                <w:sz w:val="15"/>
              </w:rPr>
              <w:t>to</w:t>
            </w:r>
            <w:r>
              <w:rPr>
                <w:color w:val="231F20"/>
                <w:spacing w:val="-2"/>
                <w:sz w:val="15"/>
              </w:rPr>
              <w:t> </w:t>
            </w:r>
            <w:r>
              <w:rPr>
                <w:color w:val="231F20"/>
                <w:sz w:val="15"/>
              </w:rPr>
              <w:t>the</w:t>
            </w:r>
            <w:r>
              <w:rPr>
                <w:color w:val="231F20"/>
                <w:spacing w:val="-3"/>
                <w:sz w:val="15"/>
              </w:rPr>
              <w:t> </w:t>
            </w:r>
            <w:r>
              <w:rPr>
                <w:color w:val="231F20"/>
                <w:sz w:val="15"/>
              </w:rPr>
              <w:t>north</w:t>
            </w:r>
            <w:r>
              <w:rPr>
                <w:color w:val="231F20"/>
                <w:spacing w:val="-2"/>
                <w:sz w:val="15"/>
              </w:rPr>
              <w:t> </w:t>
            </w:r>
            <w:r>
              <w:rPr>
                <w:color w:val="231F20"/>
                <w:sz w:val="15"/>
              </w:rPr>
              <w:t>of</w:t>
            </w:r>
            <w:r>
              <w:rPr>
                <w:color w:val="231F20"/>
                <w:spacing w:val="-3"/>
                <w:sz w:val="15"/>
              </w:rPr>
              <w:t> </w:t>
            </w:r>
            <w:r>
              <w:rPr>
                <w:color w:val="231F20"/>
                <w:sz w:val="15"/>
              </w:rPr>
              <w:t>the</w:t>
            </w:r>
            <w:r>
              <w:rPr>
                <w:color w:val="231F20"/>
                <w:spacing w:val="-3"/>
                <w:sz w:val="15"/>
              </w:rPr>
              <w:t> </w:t>
            </w:r>
            <w:r>
              <w:rPr>
                <w:color w:val="231F20"/>
                <w:spacing w:val="-2"/>
                <w:sz w:val="15"/>
              </w:rPr>
              <w:t>current</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206"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before="14"/>
              <w:ind w:left="125"/>
              <w:rPr>
                <w:sz w:val="15"/>
              </w:rPr>
            </w:pPr>
            <w:r>
              <w:rPr>
                <w:color w:val="231F20"/>
                <w:sz w:val="15"/>
              </w:rPr>
              <w:t>EMRTC</w:t>
            </w:r>
            <w:r>
              <w:rPr>
                <w:color w:val="231F20"/>
                <w:spacing w:val="-5"/>
                <w:sz w:val="15"/>
              </w:rPr>
              <w:t> </w:t>
            </w:r>
            <w:r>
              <w:rPr>
                <w:color w:val="231F20"/>
                <w:sz w:val="15"/>
              </w:rPr>
              <w:t>parking</w:t>
            </w:r>
            <w:r>
              <w:rPr>
                <w:color w:val="231F20"/>
                <w:spacing w:val="-6"/>
                <w:sz w:val="15"/>
              </w:rPr>
              <w:t> </w:t>
            </w:r>
            <w:r>
              <w:rPr>
                <w:color w:val="231F20"/>
                <w:sz w:val="15"/>
              </w:rPr>
              <w:t>lot.</w:t>
            </w:r>
            <w:r>
              <w:rPr>
                <w:color w:val="231F20"/>
                <w:spacing w:val="-4"/>
                <w:sz w:val="15"/>
              </w:rPr>
              <w:t> </w:t>
            </w:r>
            <w:r>
              <w:rPr>
                <w:color w:val="231F20"/>
                <w:sz w:val="15"/>
              </w:rPr>
              <w:t>NMIMT</w:t>
            </w:r>
            <w:r>
              <w:rPr>
                <w:color w:val="231F20"/>
                <w:spacing w:val="-6"/>
                <w:sz w:val="15"/>
              </w:rPr>
              <w:t> </w:t>
            </w:r>
            <w:r>
              <w:rPr>
                <w:color w:val="231F20"/>
                <w:sz w:val="15"/>
              </w:rPr>
              <w:t>will</w:t>
            </w:r>
            <w:r>
              <w:rPr>
                <w:color w:val="231F20"/>
                <w:spacing w:val="-5"/>
                <w:sz w:val="15"/>
              </w:rPr>
              <w:t> </w:t>
            </w:r>
            <w:r>
              <w:rPr>
                <w:color w:val="231F20"/>
                <w:spacing w:val="-2"/>
                <w:sz w:val="15"/>
              </w:rPr>
              <w:t>provide</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207"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before="15"/>
              <w:ind w:left="125"/>
              <w:rPr>
                <w:sz w:val="15"/>
              </w:rPr>
            </w:pPr>
            <w:r>
              <w:rPr>
                <w:color w:val="231F20"/>
                <w:sz w:val="15"/>
              </w:rPr>
              <w:t>an</w:t>
            </w:r>
            <w:r>
              <w:rPr>
                <w:color w:val="231F20"/>
                <w:spacing w:val="-5"/>
                <w:sz w:val="15"/>
              </w:rPr>
              <w:t> </w:t>
            </w:r>
            <w:r>
              <w:rPr>
                <w:color w:val="231F20"/>
                <w:sz w:val="15"/>
              </w:rPr>
              <w:t>ingress</w:t>
            </w:r>
            <w:r>
              <w:rPr>
                <w:color w:val="231F20"/>
                <w:spacing w:val="-5"/>
                <w:sz w:val="15"/>
              </w:rPr>
              <w:t> </w:t>
            </w:r>
            <w:r>
              <w:rPr>
                <w:color w:val="231F20"/>
                <w:sz w:val="15"/>
              </w:rPr>
              <w:t>and</w:t>
            </w:r>
            <w:r>
              <w:rPr>
                <w:color w:val="231F20"/>
                <w:spacing w:val="-4"/>
                <w:sz w:val="15"/>
              </w:rPr>
              <w:t> </w:t>
            </w:r>
            <w:r>
              <w:rPr>
                <w:color w:val="231F20"/>
                <w:sz w:val="15"/>
              </w:rPr>
              <w:t>egress</w:t>
            </w:r>
            <w:r>
              <w:rPr>
                <w:color w:val="231F20"/>
                <w:spacing w:val="-5"/>
                <w:sz w:val="15"/>
              </w:rPr>
              <w:t> </w:t>
            </w:r>
            <w:r>
              <w:rPr>
                <w:color w:val="231F20"/>
                <w:sz w:val="15"/>
              </w:rPr>
              <w:t>easement</w:t>
            </w:r>
            <w:r>
              <w:rPr>
                <w:color w:val="231F20"/>
                <w:spacing w:val="-5"/>
                <w:sz w:val="15"/>
              </w:rPr>
              <w:t> to</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206"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line="172" w:lineRule="exact" w:before="15"/>
              <w:ind w:left="125"/>
              <w:rPr>
                <w:sz w:val="15"/>
              </w:rPr>
            </w:pPr>
            <w:r>
              <w:rPr>
                <w:color w:val="231F20"/>
                <w:sz w:val="15"/>
              </w:rPr>
              <w:t>the</w:t>
            </w:r>
            <w:r>
              <w:rPr>
                <w:color w:val="231F20"/>
                <w:spacing w:val="-4"/>
                <w:sz w:val="15"/>
              </w:rPr>
              <w:t> </w:t>
            </w:r>
            <w:r>
              <w:rPr>
                <w:color w:val="231F20"/>
                <w:sz w:val="15"/>
              </w:rPr>
              <w:t>City</w:t>
            </w:r>
            <w:r>
              <w:rPr>
                <w:color w:val="231F20"/>
                <w:spacing w:val="-6"/>
                <w:sz w:val="15"/>
              </w:rPr>
              <w:t> </w:t>
            </w:r>
            <w:r>
              <w:rPr>
                <w:color w:val="231F20"/>
                <w:sz w:val="15"/>
              </w:rPr>
              <w:t>and</w:t>
            </w:r>
            <w:r>
              <w:rPr>
                <w:color w:val="231F20"/>
                <w:spacing w:val="-4"/>
                <w:sz w:val="15"/>
              </w:rPr>
              <w:t> </w:t>
            </w:r>
            <w:r>
              <w:rPr>
                <w:color w:val="231F20"/>
                <w:sz w:val="15"/>
              </w:rPr>
              <w:t>maintain</w:t>
            </w:r>
            <w:r>
              <w:rPr>
                <w:color w:val="231F20"/>
                <w:spacing w:val="-4"/>
                <w:sz w:val="15"/>
              </w:rPr>
              <w:t> </w:t>
            </w:r>
            <w:r>
              <w:rPr>
                <w:color w:val="231F20"/>
                <w:sz w:val="15"/>
              </w:rPr>
              <w:t>the</w:t>
            </w:r>
            <w:r>
              <w:rPr>
                <w:color w:val="231F20"/>
                <w:spacing w:val="-4"/>
                <w:sz w:val="15"/>
              </w:rPr>
              <w:t> </w:t>
            </w:r>
            <w:r>
              <w:rPr>
                <w:color w:val="231F20"/>
                <w:sz w:val="15"/>
              </w:rPr>
              <w:t>portion</w:t>
            </w:r>
            <w:r>
              <w:rPr>
                <w:color w:val="231F20"/>
                <w:spacing w:val="-4"/>
                <w:sz w:val="15"/>
              </w:rPr>
              <w:t> </w:t>
            </w:r>
            <w:r>
              <w:rPr>
                <w:color w:val="231F20"/>
                <w:spacing w:val="-5"/>
                <w:sz w:val="15"/>
              </w:rPr>
              <w:t>of</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206"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before="14"/>
              <w:ind w:left="125"/>
              <w:rPr>
                <w:sz w:val="15"/>
              </w:rPr>
            </w:pPr>
            <w:r>
              <w:rPr>
                <w:color w:val="231F20"/>
                <w:sz w:val="15"/>
              </w:rPr>
              <w:t>EMRTC</w:t>
            </w:r>
            <w:r>
              <w:rPr>
                <w:color w:val="231F20"/>
                <w:spacing w:val="-5"/>
                <w:sz w:val="15"/>
              </w:rPr>
              <w:t> </w:t>
            </w:r>
            <w:r>
              <w:rPr>
                <w:color w:val="231F20"/>
                <w:sz w:val="15"/>
              </w:rPr>
              <w:t>roadway</w:t>
            </w:r>
            <w:r>
              <w:rPr>
                <w:color w:val="231F20"/>
                <w:spacing w:val="-7"/>
                <w:sz w:val="15"/>
              </w:rPr>
              <w:t> </w:t>
            </w:r>
            <w:r>
              <w:rPr>
                <w:color w:val="231F20"/>
                <w:sz w:val="15"/>
              </w:rPr>
              <w:t>that</w:t>
            </w:r>
            <w:r>
              <w:rPr>
                <w:color w:val="231F20"/>
                <w:spacing w:val="-5"/>
                <w:sz w:val="15"/>
              </w:rPr>
              <w:t> </w:t>
            </w:r>
            <w:r>
              <w:rPr>
                <w:color w:val="231F20"/>
                <w:sz w:val="15"/>
              </w:rPr>
              <w:t>lies</w:t>
            </w:r>
            <w:r>
              <w:rPr>
                <w:color w:val="231F20"/>
                <w:spacing w:val="-5"/>
                <w:sz w:val="15"/>
              </w:rPr>
              <w:t> </w:t>
            </w:r>
            <w:r>
              <w:rPr>
                <w:color w:val="231F20"/>
                <w:sz w:val="15"/>
              </w:rPr>
              <w:t>on</w:t>
            </w:r>
            <w:r>
              <w:rPr>
                <w:color w:val="231F20"/>
                <w:spacing w:val="-6"/>
                <w:sz w:val="15"/>
              </w:rPr>
              <w:t> </w:t>
            </w:r>
            <w:r>
              <w:rPr>
                <w:color w:val="231F20"/>
                <w:spacing w:val="-4"/>
                <w:sz w:val="15"/>
              </w:rPr>
              <w:t>NMIMT</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310" w:hRule="atLeast"/>
        </w:trPr>
        <w:tc>
          <w:tcPr>
            <w:tcW w:w="1729" w:type="dxa"/>
          </w:tcPr>
          <w:p>
            <w:pPr>
              <w:pStyle w:val="TableParagraph"/>
              <w:rPr>
                <w:rFonts w:ascii="Times New Roman"/>
                <w:sz w:val="14"/>
              </w:rPr>
            </w:pPr>
          </w:p>
        </w:tc>
        <w:tc>
          <w:tcPr>
            <w:tcW w:w="1482" w:type="dxa"/>
          </w:tcPr>
          <w:p>
            <w:pPr>
              <w:pStyle w:val="TableParagraph"/>
              <w:rPr>
                <w:rFonts w:ascii="Times New Roman"/>
                <w:sz w:val="14"/>
              </w:rPr>
            </w:pPr>
          </w:p>
        </w:tc>
        <w:tc>
          <w:tcPr>
            <w:tcW w:w="2833" w:type="dxa"/>
          </w:tcPr>
          <w:p>
            <w:pPr>
              <w:pStyle w:val="TableParagraph"/>
              <w:spacing w:before="15"/>
              <w:ind w:left="125"/>
              <w:rPr>
                <w:sz w:val="15"/>
              </w:rPr>
            </w:pPr>
            <w:r>
              <w:rPr>
                <w:color w:val="231F20"/>
                <w:spacing w:val="-2"/>
                <w:sz w:val="15"/>
              </w:rPr>
              <w:t>property</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310" w:hRule="atLeast"/>
        </w:trPr>
        <w:tc>
          <w:tcPr>
            <w:tcW w:w="1729" w:type="dxa"/>
          </w:tcPr>
          <w:p>
            <w:pPr>
              <w:pStyle w:val="TableParagraph"/>
              <w:spacing w:line="172" w:lineRule="exact" w:before="118"/>
              <w:ind w:left="81"/>
              <w:rPr>
                <w:sz w:val="15"/>
              </w:rPr>
            </w:pPr>
            <w:r>
              <w:rPr>
                <w:color w:val="231F20"/>
                <w:sz w:val="15"/>
              </w:rPr>
              <w:t>Public</w:t>
            </w:r>
            <w:r>
              <w:rPr>
                <w:color w:val="231F20"/>
                <w:spacing w:val="-7"/>
                <w:sz w:val="15"/>
              </w:rPr>
              <w:t> </w:t>
            </w:r>
            <w:r>
              <w:rPr>
                <w:color w:val="231F20"/>
                <w:spacing w:val="-2"/>
                <w:sz w:val="15"/>
              </w:rPr>
              <w:t>educational</w:t>
            </w:r>
          </w:p>
        </w:tc>
        <w:tc>
          <w:tcPr>
            <w:tcW w:w="1482" w:type="dxa"/>
          </w:tcPr>
          <w:p>
            <w:pPr>
              <w:pStyle w:val="TableParagraph"/>
              <w:spacing w:line="172" w:lineRule="exact" w:before="118"/>
              <w:ind w:left="125"/>
              <w:rPr>
                <w:sz w:val="15"/>
              </w:rPr>
            </w:pPr>
            <w:r>
              <w:rPr>
                <w:color w:val="231F20"/>
                <w:sz w:val="15"/>
              </w:rPr>
              <w:t>Department</w:t>
            </w:r>
            <w:r>
              <w:rPr>
                <w:color w:val="231F20"/>
                <w:spacing w:val="-10"/>
                <w:sz w:val="15"/>
              </w:rPr>
              <w:t> </w:t>
            </w:r>
            <w:r>
              <w:rPr>
                <w:color w:val="231F20"/>
                <w:spacing w:val="-5"/>
                <w:sz w:val="15"/>
              </w:rPr>
              <w:t>of</w:t>
            </w:r>
          </w:p>
        </w:tc>
        <w:tc>
          <w:tcPr>
            <w:tcW w:w="2833" w:type="dxa"/>
          </w:tcPr>
          <w:p>
            <w:pPr>
              <w:pStyle w:val="TableParagraph"/>
              <w:spacing w:line="172" w:lineRule="exact" w:before="118"/>
              <w:ind w:left="125"/>
              <w:rPr>
                <w:sz w:val="15"/>
              </w:rPr>
            </w:pPr>
            <w:r>
              <w:rPr>
                <w:color w:val="231F20"/>
                <w:sz w:val="15"/>
              </w:rPr>
              <w:t>The</w:t>
            </w:r>
            <w:r>
              <w:rPr>
                <w:color w:val="231F20"/>
                <w:spacing w:val="-7"/>
                <w:sz w:val="15"/>
              </w:rPr>
              <w:t> </w:t>
            </w:r>
            <w:r>
              <w:rPr>
                <w:color w:val="231F20"/>
                <w:sz w:val="15"/>
              </w:rPr>
              <w:t>participating</w:t>
            </w:r>
            <w:r>
              <w:rPr>
                <w:color w:val="231F20"/>
                <w:spacing w:val="-6"/>
                <w:sz w:val="15"/>
              </w:rPr>
              <w:t> </w:t>
            </w:r>
            <w:r>
              <w:rPr>
                <w:color w:val="231F20"/>
                <w:sz w:val="15"/>
              </w:rPr>
              <w:t>members</w:t>
            </w:r>
            <w:r>
              <w:rPr>
                <w:color w:val="231F20"/>
                <w:spacing w:val="-6"/>
                <w:sz w:val="15"/>
              </w:rPr>
              <w:t> </w:t>
            </w:r>
            <w:r>
              <w:rPr>
                <w:color w:val="231F20"/>
                <w:spacing w:val="-5"/>
                <w:sz w:val="15"/>
              </w:rPr>
              <w:t>may</w:t>
            </w:r>
          </w:p>
        </w:tc>
        <w:tc>
          <w:tcPr>
            <w:tcW w:w="1179" w:type="dxa"/>
          </w:tcPr>
          <w:p>
            <w:pPr>
              <w:pStyle w:val="TableParagraph"/>
              <w:spacing w:line="172" w:lineRule="exact" w:before="118"/>
              <w:ind w:left="15" w:right="11"/>
              <w:jc w:val="center"/>
              <w:rPr>
                <w:sz w:val="15"/>
              </w:rPr>
            </w:pPr>
            <w:r>
              <w:rPr>
                <w:color w:val="231F20"/>
                <w:spacing w:val="-2"/>
                <w:sz w:val="15"/>
              </w:rPr>
              <w:t>12/18/1984</w:t>
            </w:r>
          </w:p>
        </w:tc>
        <w:tc>
          <w:tcPr>
            <w:tcW w:w="1194" w:type="dxa"/>
          </w:tcPr>
          <w:p>
            <w:pPr>
              <w:pStyle w:val="TableParagraph"/>
              <w:spacing w:line="172" w:lineRule="exact" w:before="118"/>
              <w:ind w:left="17"/>
              <w:jc w:val="center"/>
              <w:rPr>
                <w:sz w:val="15"/>
              </w:rPr>
            </w:pPr>
            <w:r>
              <w:rPr>
                <w:color w:val="231F20"/>
                <w:spacing w:val="-2"/>
                <w:sz w:val="15"/>
              </w:rPr>
              <w:t>Ongoing</w:t>
            </w:r>
          </w:p>
        </w:tc>
        <w:tc>
          <w:tcPr>
            <w:tcW w:w="1191" w:type="dxa"/>
          </w:tcPr>
          <w:p>
            <w:pPr>
              <w:pStyle w:val="TableParagraph"/>
              <w:spacing w:line="172" w:lineRule="exact" w:before="118"/>
              <w:ind w:left="423"/>
              <w:rPr>
                <w:sz w:val="15"/>
              </w:rPr>
            </w:pPr>
            <w:r>
              <w:rPr>
                <w:color w:val="231F20"/>
                <w:spacing w:val="-4"/>
                <w:sz w:val="15"/>
              </w:rPr>
              <w:t>None</w:t>
            </w:r>
          </w:p>
        </w:tc>
        <w:tc>
          <w:tcPr>
            <w:tcW w:w="1193" w:type="dxa"/>
          </w:tcPr>
          <w:p>
            <w:pPr>
              <w:pStyle w:val="TableParagraph"/>
              <w:spacing w:line="172" w:lineRule="exact" w:before="118"/>
              <w:ind w:left="14" w:right="1"/>
              <w:jc w:val="center"/>
              <w:rPr>
                <w:sz w:val="15"/>
              </w:rPr>
            </w:pPr>
            <w:r>
              <w:rPr>
                <w:color w:val="231F20"/>
                <w:spacing w:val="-4"/>
                <w:sz w:val="15"/>
              </w:rPr>
              <w:t>None</w:t>
            </w:r>
          </w:p>
        </w:tc>
        <w:tc>
          <w:tcPr>
            <w:tcW w:w="1179" w:type="dxa"/>
          </w:tcPr>
          <w:p>
            <w:pPr>
              <w:pStyle w:val="TableParagraph"/>
              <w:spacing w:line="172" w:lineRule="exact" w:before="118"/>
              <w:ind w:right="421"/>
              <w:jc w:val="right"/>
              <w:rPr>
                <w:sz w:val="15"/>
              </w:rPr>
            </w:pPr>
            <w:r>
              <w:rPr>
                <w:color w:val="231F20"/>
                <w:spacing w:val="-4"/>
                <w:sz w:val="15"/>
              </w:rPr>
              <w:t>Both</w:t>
            </w:r>
          </w:p>
        </w:tc>
        <w:tc>
          <w:tcPr>
            <w:tcW w:w="1193" w:type="dxa"/>
          </w:tcPr>
          <w:p>
            <w:pPr>
              <w:pStyle w:val="TableParagraph"/>
              <w:spacing w:line="172" w:lineRule="exact" w:before="118"/>
              <w:ind w:right="420"/>
              <w:jc w:val="right"/>
              <w:rPr>
                <w:sz w:val="15"/>
              </w:rPr>
            </w:pPr>
            <w:r>
              <w:rPr>
                <w:color w:val="231F20"/>
                <w:spacing w:val="-4"/>
                <w:sz w:val="15"/>
              </w:rPr>
              <w:t>Both</w:t>
            </w:r>
          </w:p>
        </w:tc>
        <w:tc>
          <w:tcPr>
            <w:tcW w:w="1279" w:type="dxa"/>
          </w:tcPr>
          <w:p>
            <w:pPr>
              <w:pStyle w:val="TableParagraph"/>
              <w:spacing w:line="172" w:lineRule="exact" w:before="118"/>
              <w:ind w:right="449"/>
              <w:jc w:val="right"/>
              <w:rPr>
                <w:sz w:val="15"/>
              </w:rPr>
            </w:pPr>
            <w:r>
              <w:rPr>
                <w:color w:val="231F20"/>
                <w:spacing w:val="-4"/>
                <w:sz w:val="15"/>
              </w:rPr>
              <w:t>Both</w:t>
            </w:r>
          </w:p>
        </w:tc>
      </w:tr>
      <w:tr>
        <w:trPr>
          <w:trHeight w:val="206" w:hRule="atLeast"/>
        </w:trPr>
        <w:tc>
          <w:tcPr>
            <w:tcW w:w="1729" w:type="dxa"/>
          </w:tcPr>
          <w:p>
            <w:pPr>
              <w:pStyle w:val="TableParagraph"/>
              <w:spacing w:before="14"/>
              <w:ind w:left="81"/>
              <w:rPr>
                <w:sz w:val="15"/>
              </w:rPr>
            </w:pPr>
            <w:r>
              <w:rPr>
                <w:color w:val="231F20"/>
                <w:sz w:val="15"/>
              </w:rPr>
              <w:t>institutions</w:t>
            </w:r>
            <w:r>
              <w:rPr>
                <w:color w:val="231F20"/>
                <w:spacing w:val="-8"/>
                <w:sz w:val="15"/>
              </w:rPr>
              <w:t> </w:t>
            </w:r>
            <w:r>
              <w:rPr>
                <w:color w:val="231F20"/>
                <w:spacing w:val="-2"/>
                <w:sz w:val="15"/>
              </w:rPr>
              <w:t>within</w:t>
            </w:r>
          </w:p>
        </w:tc>
        <w:tc>
          <w:tcPr>
            <w:tcW w:w="1482" w:type="dxa"/>
          </w:tcPr>
          <w:p>
            <w:pPr>
              <w:pStyle w:val="TableParagraph"/>
              <w:spacing w:before="14"/>
              <w:ind w:left="127"/>
              <w:rPr>
                <w:sz w:val="15"/>
              </w:rPr>
            </w:pPr>
            <w:r>
              <w:rPr>
                <w:color w:val="231F20"/>
                <w:sz w:val="15"/>
              </w:rPr>
              <w:t>Finance</w:t>
            </w:r>
            <w:r>
              <w:rPr>
                <w:color w:val="231F20"/>
                <w:spacing w:val="-8"/>
                <w:sz w:val="15"/>
              </w:rPr>
              <w:t> </w:t>
            </w:r>
            <w:r>
              <w:rPr>
                <w:color w:val="231F20"/>
                <w:spacing w:val="-5"/>
                <w:sz w:val="15"/>
              </w:rPr>
              <w:t>and</w:t>
            </w:r>
          </w:p>
        </w:tc>
        <w:tc>
          <w:tcPr>
            <w:tcW w:w="2833" w:type="dxa"/>
          </w:tcPr>
          <w:p>
            <w:pPr>
              <w:pStyle w:val="TableParagraph"/>
              <w:spacing w:before="14"/>
              <w:ind w:left="126"/>
              <w:rPr>
                <w:sz w:val="15"/>
              </w:rPr>
            </w:pPr>
            <w:r>
              <w:rPr>
                <w:color w:val="231F20"/>
                <w:sz w:val="15"/>
              </w:rPr>
              <w:t>cooperate</w:t>
            </w:r>
            <w:r>
              <w:rPr>
                <w:color w:val="231F20"/>
                <w:spacing w:val="-5"/>
                <w:sz w:val="15"/>
              </w:rPr>
              <w:t> </w:t>
            </w:r>
            <w:r>
              <w:rPr>
                <w:color w:val="231F20"/>
                <w:sz w:val="15"/>
              </w:rPr>
              <w:t>on</w:t>
            </w:r>
            <w:r>
              <w:rPr>
                <w:color w:val="231F20"/>
                <w:spacing w:val="-4"/>
                <w:sz w:val="15"/>
              </w:rPr>
              <w:t> </w:t>
            </w:r>
            <w:r>
              <w:rPr>
                <w:color w:val="231F20"/>
                <w:sz w:val="15"/>
              </w:rPr>
              <w:t>a</w:t>
            </w:r>
            <w:r>
              <w:rPr>
                <w:color w:val="231F20"/>
                <w:spacing w:val="-4"/>
                <w:sz w:val="15"/>
              </w:rPr>
              <w:t> </w:t>
            </w:r>
            <w:r>
              <w:rPr>
                <w:color w:val="231F20"/>
                <w:sz w:val="15"/>
              </w:rPr>
              <w:t>equitable</w:t>
            </w:r>
            <w:r>
              <w:rPr>
                <w:color w:val="231F20"/>
                <w:spacing w:val="-4"/>
                <w:sz w:val="15"/>
              </w:rPr>
              <w:t> </w:t>
            </w:r>
            <w:r>
              <w:rPr>
                <w:color w:val="231F20"/>
                <w:sz w:val="15"/>
              </w:rPr>
              <w:t>cost</w:t>
            </w:r>
            <w:r>
              <w:rPr>
                <w:color w:val="231F20"/>
                <w:spacing w:val="-5"/>
                <w:sz w:val="15"/>
              </w:rPr>
              <w:t> </w:t>
            </w:r>
            <w:r>
              <w:rPr>
                <w:color w:val="231F20"/>
                <w:spacing w:val="-2"/>
                <w:sz w:val="15"/>
              </w:rPr>
              <w:t>basis</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302" w:hRule="atLeast"/>
        </w:trPr>
        <w:tc>
          <w:tcPr>
            <w:tcW w:w="1729" w:type="dxa"/>
          </w:tcPr>
          <w:p>
            <w:pPr>
              <w:pStyle w:val="TableParagraph"/>
              <w:spacing w:before="15"/>
              <w:ind w:left="81"/>
              <w:rPr>
                <w:sz w:val="15"/>
              </w:rPr>
            </w:pPr>
            <w:r>
              <w:rPr>
                <w:color w:val="231F20"/>
                <w:sz w:val="15"/>
              </w:rPr>
              <w:t>State</w:t>
            </w:r>
            <w:r>
              <w:rPr>
                <w:color w:val="231F20"/>
                <w:spacing w:val="-5"/>
                <w:sz w:val="15"/>
              </w:rPr>
              <w:t> </w:t>
            </w:r>
            <w:r>
              <w:rPr>
                <w:color w:val="231F20"/>
                <w:sz w:val="15"/>
              </w:rPr>
              <w:t>of</w:t>
            </w:r>
            <w:r>
              <w:rPr>
                <w:color w:val="231F20"/>
                <w:spacing w:val="-3"/>
                <w:sz w:val="15"/>
              </w:rPr>
              <w:t> </w:t>
            </w:r>
            <w:r>
              <w:rPr>
                <w:color w:val="231F20"/>
                <w:sz w:val="15"/>
              </w:rPr>
              <w:t>New</w:t>
            </w:r>
            <w:r>
              <w:rPr>
                <w:color w:val="231F20"/>
                <w:spacing w:val="-5"/>
                <w:sz w:val="15"/>
              </w:rPr>
              <w:t> </w:t>
            </w:r>
            <w:r>
              <w:rPr>
                <w:color w:val="231F20"/>
                <w:spacing w:val="-2"/>
                <w:sz w:val="15"/>
              </w:rPr>
              <w:t>Mexico</w:t>
            </w:r>
          </w:p>
        </w:tc>
        <w:tc>
          <w:tcPr>
            <w:tcW w:w="1482" w:type="dxa"/>
          </w:tcPr>
          <w:p>
            <w:pPr>
              <w:pStyle w:val="TableParagraph"/>
              <w:spacing w:before="15"/>
              <w:ind w:left="125"/>
              <w:rPr>
                <w:sz w:val="15"/>
              </w:rPr>
            </w:pPr>
            <w:r>
              <w:rPr>
                <w:color w:val="231F20"/>
                <w:spacing w:val="-2"/>
                <w:sz w:val="15"/>
              </w:rPr>
              <w:t>Administration</w:t>
            </w:r>
          </w:p>
        </w:tc>
        <w:tc>
          <w:tcPr>
            <w:tcW w:w="2833" w:type="dxa"/>
          </w:tcPr>
          <w:p>
            <w:pPr>
              <w:pStyle w:val="TableParagraph"/>
              <w:spacing w:before="15"/>
              <w:ind w:left="126"/>
              <w:rPr>
                <w:sz w:val="15"/>
              </w:rPr>
            </w:pPr>
            <w:r>
              <w:rPr>
                <w:color w:val="231F20"/>
                <w:sz w:val="15"/>
              </w:rPr>
              <w:t>in</w:t>
            </w:r>
            <w:r>
              <w:rPr>
                <w:color w:val="231F20"/>
                <w:spacing w:val="-4"/>
                <w:sz w:val="15"/>
              </w:rPr>
              <w:t> </w:t>
            </w:r>
            <w:r>
              <w:rPr>
                <w:color w:val="231F20"/>
                <w:sz w:val="15"/>
              </w:rPr>
              <w:t>securing</w:t>
            </w:r>
            <w:r>
              <w:rPr>
                <w:color w:val="231F20"/>
                <w:spacing w:val="-4"/>
                <w:sz w:val="15"/>
              </w:rPr>
              <w:t> </w:t>
            </w:r>
            <w:r>
              <w:rPr>
                <w:color w:val="231F20"/>
                <w:spacing w:val="-2"/>
                <w:sz w:val="15"/>
              </w:rPr>
              <w:t>services</w:t>
            </w:r>
          </w:p>
        </w:tc>
        <w:tc>
          <w:tcPr>
            <w:tcW w:w="1179" w:type="dxa"/>
          </w:tcPr>
          <w:p>
            <w:pPr>
              <w:pStyle w:val="TableParagraph"/>
              <w:rPr>
                <w:rFonts w:ascii="Times New Roman"/>
                <w:sz w:val="14"/>
              </w:rPr>
            </w:pPr>
          </w:p>
        </w:tc>
        <w:tc>
          <w:tcPr>
            <w:tcW w:w="1194" w:type="dxa"/>
          </w:tcPr>
          <w:p>
            <w:pPr>
              <w:pStyle w:val="TableParagraph"/>
              <w:rPr>
                <w:rFonts w:ascii="Times New Roman"/>
                <w:sz w:val="14"/>
              </w:rPr>
            </w:pPr>
          </w:p>
        </w:tc>
        <w:tc>
          <w:tcPr>
            <w:tcW w:w="1191" w:type="dxa"/>
          </w:tcPr>
          <w:p>
            <w:pPr>
              <w:pStyle w:val="TableParagraph"/>
              <w:rPr>
                <w:rFonts w:ascii="Times New Roman"/>
                <w:sz w:val="14"/>
              </w:rPr>
            </w:pPr>
          </w:p>
        </w:tc>
        <w:tc>
          <w:tcPr>
            <w:tcW w:w="1193" w:type="dxa"/>
          </w:tcPr>
          <w:p>
            <w:pPr>
              <w:pStyle w:val="TableParagraph"/>
              <w:rPr>
                <w:rFonts w:ascii="Times New Roman"/>
                <w:sz w:val="14"/>
              </w:rPr>
            </w:pPr>
          </w:p>
        </w:tc>
        <w:tc>
          <w:tcPr>
            <w:tcW w:w="1179" w:type="dxa"/>
          </w:tcPr>
          <w:p>
            <w:pPr>
              <w:pStyle w:val="TableParagraph"/>
              <w:rPr>
                <w:rFonts w:ascii="Times New Roman"/>
                <w:sz w:val="14"/>
              </w:rPr>
            </w:pPr>
          </w:p>
        </w:tc>
        <w:tc>
          <w:tcPr>
            <w:tcW w:w="1193" w:type="dxa"/>
          </w:tcPr>
          <w:p>
            <w:pPr>
              <w:pStyle w:val="TableParagraph"/>
              <w:rPr>
                <w:rFonts w:ascii="Times New Roman"/>
                <w:sz w:val="14"/>
              </w:rPr>
            </w:pPr>
          </w:p>
        </w:tc>
        <w:tc>
          <w:tcPr>
            <w:tcW w:w="1279" w:type="dxa"/>
          </w:tcPr>
          <w:p>
            <w:pPr>
              <w:pStyle w:val="TableParagraph"/>
              <w:rPr>
                <w:rFonts w:ascii="Times New Roman"/>
                <w:sz w:val="14"/>
              </w:rPr>
            </w:pPr>
          </w:p>
        </w:tc>
      </w:tr>
      <w:tr>
        <w:trPr>
          <w:trHeight w:val="858" w:hRule="atLeast"/>
        </w:trPr>
        <w:tc>
          <w:tcPr>
            <w:tcW w:w="1729" w:type="dxa"/>
          </w:tcPr>
          <w:p>
            <w:pPr>
              <w:pStyle w:val="TableParagraph"/>
              <w:spacing w:line="266" w:lineRule="auto" w:before="110"/>
              <w:ind w:left="81" w:right="363"/>
              <w:rPr>
                <w:sz w:val="15"/>
              </w:rPr>
            </w:pPr>
            <w:r>
              <w:rPr>
                <w:color w:val="231F20"/>
                <w:sz w:val="15"/>
              </w:rPr>
              <w:t>New Mexico State Investment</w:t>
            </w:r>
            <w:r>
              <w:rPr>
                <w:color w:val="231F20"/>
                <w:spacing w:val="-11"/>
                <w:sz w:val="15"/>
              </w:rPr>
              <w:t> </w:t>
            </w:r>
            <w:r>
              <w:rPr>
                <w:color w:val="231F20"/>
                <w:sz w:val="15"/>
              </w:rPr>
              <w:t>Council </w:t>
            </w:r>
            <w:r>
              <w:rPr>
                <w:color w:val="231F20"/>
                <w:spacing w:val="-2"/>
                <w:sz w:val="15"/>
              </w:rPr>
              <w:t>(SIC)</w:t>
            </w:r>
          </w:p>
        </w:tc>
        <w:tc>
          <w:tcPr>
            <w:tcW w:w="1482" w:type="dxa"/>
          </w:tcPr>
          <w:p>
            <w:pPr>
              <w:pStyle w:val="TableParagraph"/>
              <w:spacing w:before="110"/>
              <w:ind w:left="125"/>
              <w:rPr>
                <w:sz w:val="15"/>
              </w:rPr>
            </w:pPr>
            <w:r>
              <w:rPr>
                <w:color w:val="231F20"/>
                <w:spacing w:val="-4"/>
                <w:sz w:val="15"/>
              </w:rPr>
              <w:t>Both</w:t>
            </w:r>
          </w:p>
        </w:tc>
        <w:tc>
          <w:tcPr>
            <w:tcW w:w="2833" w:type="dxa"/>
          </w:tcPr>
          <w:p>
            <w:pPr>
              <w:pStyle w:val="TableParagraph"/>
              <w:spacing w:line="266" w:lineRule="auto" w:before="110"/>
              <w:ind w:left="125" w:right="27" w:hanging="1"/>
              <w:rPr>
                <w:sz w:val="15"/>
              </w:rPr>
            </w:pPr>
            <w:r>
              <w:rPr>
                <w:color w:val="231F20"/>
                <w:sz w:val="15"/>
              </w:rPr>
              <w:t>SIC appointed as the fiduciary authorized to invest the long-term reserves</w:t>
            </w:r>
            <w:r>
              <w:rPr>
                <w:color w:val="231F20"/>
                <w:spacing w:val="-6"/>
                <w:sz w:val="15"/>
              </w:rPr>
              <w:t> </w:t>
            </w:r>
            <w:r>
              <w:rPr>
                <w:color w:val="231F20"/>
                <w:sz w:val="15"/>
              </w:rPr>
              <w:t>of</w:t>
            </w:r>
            <w:r>
              <w:rPr>
                <w:color w:val="231F20"/>
                <w:spacing w:val="-6"/>
                <w:sz w:val="15"/>
              </w:rPr>
              <w:t> </w:t>
            </w:r>
            <w:r>
              <w:rPr>
                <w:color w:val="231F20"/>
                <w:sz w:val="15"/>
              </w:rPr>
              <w:t>the</w:t>
            </w:r>
            <w:r>
              <w:rPr>
                <w:color w:val="231F20"/>
                <w:spacing w:val="-6"/>
                <w:sz w:val="15"/>
              </w:rPr>
              <w:t> </w:t>
            </w:r>
            <w:r>
              <w:rPr>
                <w:color w:val="231F20"/>
                <w:sz w:val="15"/>
              </w:rPr>
              <w:t>Institute</w:t>
            </w:r>
            <w:r>
              <w:rPr>
                <w:color w:val="231F20"/>
                <w:spacing w:val="-6"/>
                <w:sz w:val="15"/>
              </w:rPr>
              <w:t> </w:t>
            </w:r>
            <w:r>
              <w:rPr>
                <w:color w:val="231F20"/>
                <w:sz w:val="15"/>
              </w:rPr>
              <w:t>through</w:t>
            </w:r>
            <w:r>
              <w:rPr>
                <w:color w:val="231F20"/>
                <w:spacing w:val="-6"/>
                <w:sz w:val="15"/>
              </w:rPr>
              <w:t> </w:t>
            </w:r>
            <w:r>
              <w:rPr>
                <w:color w:val="231F20"/>
                <w:sz w:val="15"/>
              </w:rPr>
              <w:t>SIC</w:t>
            </w:r>
          </w:p>
          <w:p>
            <w:pPr>
              <w:pStyle w:val="TableParagraph"/>
              <w:spacing w:line="153" w:lineRule="exact" w:before="1"/>
              <w:ind w:left="125"/>
              <w:rPr>
                <w:sz w:val="15"/>
              </w:rPr>
            </w:pPr>
            <w:r>
              <w:rPr>
                <w:color w:val="231F20"/>
                <w:sz w:val="15"/>
              </w:rPr>
              <w:t>Long-term</w:t>
            </w:r>
            <w:r>
              <w:rPr>
                <w:color w:val="231F20"/>
                <w:spacing w:val="-9"/>
                <w:sz w:val="15"/>
              </w:rPr>
              <w:t> </w:t>
            </w:r>
            <w:r>
              <w:rPr>
                <w:color w:val="231F20"/>
                <w:sz w:val="15"/>
              </w:rPr>
              <w:t>Pooled</w:t>
            </w:r>
            <w:r>
              <w:rPr>
                <w:color w:val="231F20"/>
                <w:spacing w:val="-8"/>
                <w:sz w:val="15"/>
              </w:rPr>
              <w:t> </w:t>
            </w:r>
            <w:r>
              <w:rPr>
                <w:color w:val="231F20"/>
                <w:sz w:val="15"/>
              </w:rPr>
              <w:t>Investment</w:t>
            </w:r>
            <w:r>
              <w:rPr>
                <w:color w:val="231F20"/>
                <w:spacing w:val="-8"/>
                <w:sz w:val="15"/>
              </w:rPr>
              <w:t> </w:t>
            </w:r>
            <w:r>
              <w:rPr>
                <w:color w:val="231F20"/>
                <w:spacing w:val="-2"/>
                <w:sz w:val="15"/>
              </w:rPr>
              <w:t>Funds.</w:t>
            </w:r>
          </w:p>
        </w:tc>
        <w:tc>
          <w:tcPr>
            <w:tcW w:w="1179" w:type="dxa"/>
          </w:tcPr>
          <w:p>
            <w:pPr>
              <w:pStyle w:val="TableParagraph"/>
              <w:spacing w:before="110"/>
              <w:ind w:left="11" w:right="11"/>
              <w:jc w:val="center"/>
              <w:rPr>
                <w:sz w:val="15"/>
              </w:rPr>
            </w:pPr>
            <w:r>
              <w:rPr>
                <w:color w:val="231F20"/>
                <w:spacing w:val="-2"/>
                <w:sz w:val="15"/>
              </w:rPr>
              <w:t>10/21/2021</w:t>
            </w:r>
          </w:p>
        </w:tc>
        <w:tc>
          <w:tcPr>
            <w:tcW w:w="1194" w:type="dxa"/>
          </w:tcPr>
          <w:p>
            <w:pPr>
              <w:pStyle w:val="TableParagraph"/>
              <w:spacing w:before="110"/>
              <w:ind w:left="180"/>
              <w:jc w:val="center"/>
              <w:rPr>
                <w:sz w:val="15"/>
              </w:rPr>
            </w:pPr>
            <w:r>
              <w:rPr>
                <w:color w:val="231F20"/>
                <w:spacing w:val="-2"/>
                <w:sz w:val="15"/>
              </w:rPr>
              <w:t>10/20/2025</w:t>
            </w:r>
          </w:p>
          <w:p>
            <w:pPr>
              <w:pStyle w:val="TableParagraph"/>
              <w:spacing w:line="266" w:lineRule="auto" w:before="20"/>
              <w:ind w:left="107" w:right="91" w:hanging="1"/>
              <w:jc w:val="center"/>
              <w:rPr>
                <w:sz w:val="15"/>
              </w:rPr>
            </w:pPr>
            <w:r>
              <w:rPr>
                <w:color w:val="231F20"/>
                <w:sz w:val="15"/>
              </w:rPr>
              <w:t>(Plus optional 4-year</w:t>
            </w:r>
            <w:r>
              <w:rPr>
                <w:color w:val="231F20"/>
                <w:spacing w:val="-11"/>
                <w:sz w:val="15"/>
              </w:rPr>
              <w:t> </w:t>
            </w:r>
            <w:r>
              <w:rPr>
                <w:color w:val="231F20"/>
                <w:sz w:val="15"/>
              </w:rPr>
              <w:t>renewal</w:t>
            </w:r>
          </w:p>
          <w:p>
            <w:pPr>
              <w:pStyle w:val="TableParagraph"/>
              <w:spacing w:line="153" w:lineRule="exact"/>
              <w:ind w:left="11"/>
              <w:jc w:val="center"/>
              <w:rPr>
                <w:sz w:val="15"/>
              </w:rPr>
            </w:pPr>
            <w:r>
              <w:rPr>
                <w:color w:val="231F20"/>
                <w:spacing w:val="-2"/>
                <w:sz w:val="15"/>
              </w:rPr>
              <w:t>period)</w:t>
            </w:r>
          </w:p>
        </w:tc>
        <w:tc>
          <w:tcPr>
            <w:tcW w:w="1191" w:type="dxa"/>
          </w:tcPr>
          <w:p>
            <w:pPr>
              <w:pStyle w:val="TableParagraph"/>
              <w:spacing w:before="110"/>
              <w:ind w:left="420"/>
              <w:rPr>
                <w:sz w:val="15"/>
              </w:rPr>
            </w:pPr>
            <w:r>
              <w:rPr>
                <w:color w:val="231F20"/>
                <w:spacing w:val="-4"/>
                <w:sz w:val="15"/>
              </w:rPr>
              <w:t>None</w:t>
            </w:r>
          </w:p>
        </w:tc>
        <w:tc>
          <w:tcPr>
            <w:tcW w:w="1193" w:type="dxa"/>
          </w:tcPr>
          <w:p>
            <w:pPr>
              <w:pStyle w:val="TableParagraph"/>
              <w:spacing w:before="110"/>
              <w:ind w:left="9" w:right="1"/>
              <w:jc w:val="center"/>
              <w:rPr>
                <w:sz w:val="15"/>
              </w:rPr>
            </w:pPr>
            <w:r>
              <w:rPr>
                <w:color w:val="231F20"/>
                <w:spacing w:val="-4"/>
                <w:sz w:val="15"/>
              </w:rPr>
              <w:t>None</w:t>
            </w:r>
          </w:p>
        </w:tc>
        <w:tc>
          <w:tcPr>
            <w:tcW w:w="1179" w:type="dxa"/>
          </w:tcPr>
          <w:p>
            <w:pPr>
              <w:pStyle w:val="TableParagraph"/>
              <w:spacing w:before="110"/>
              <w:ind w:right="450"/>
              <w:jc w:val="right"/>
              <w:rPr>
                <w:sz w:val="15"/>
              </w:rPr>
            </w:pPr>
            <w:r>
              <w:rPr>
                <w:color w:val="231F20"/>
                <w:spacing w:val="-5"/>
                <w:sz w:val="15"/>
              </w:rPr>
              <w:t>SIC</w:t>
            </w:r>
          </w:p>
        </w:tc>
        <w:tc>
          <w:tcPr>
            <w:tcW w:w="1193" w:type="dxa"/>
          </w:tcPr>
          <w:p>
            <w:pPr>
              <w:pStyle w:val="TableParagraph"/>
              <w:spacing w:before="110"/>
              <w:ind w:right="422"/>
              <w:jc w:val="right"/>
              <w:rPr>
                <w:sz w:val="15"/>
              </w:rPr>
            </w:pPr>
            <w:r>
              <w:rPr>
                <w:color w:val="231F20"/>
                <w:spacing w:val="-4"/>
                <w:sz w:val="15"/>
              </w:rPr>
              <w:t>Both</w:t>
            </w:r>
          </w:p>
        </w:tc>
        <w:tc>
          <w:tcPr>
            <w:tcW w:w="1279" w:type="dxa"/>
          </w:tcPr>
          <w:p>
            <w:pPr>
              <w:pStyle w:val="TableParagraph"/>
              <w:spacing w:before="110"/>
              <w:ind w:right="451"/>
              <w:jc w:val="right"/>
              <w:rPr>
                <w:sz w:val="15"/>
              </w:rPr>
            </w:pPr>
            <w:r>
              <w:rPr>
                <w:color w:val="231F20"/>
                <w:spacing w:val="-4"/>
                <w:sz w:val="15"/>
              </w:rPr>
              <w:t>Both</w:t>
            </w:r>
          </w:p>
        </w:tc>
      </w:tr>
    </w:tbl>
    <w:p>
      <w:pPr>
        <w:spacing w:after="0"/>
        <w:jc w:val="right"/>
        <w:rPr>
          <w:sz w:val="15"/>
        </w:rPr>
        <w:sectPr>
          <w:pgSz w:w="15840" w:h="12240" w:orient="landscape"/>
          <w:pgMar w:header="850" w:footer="1097" w:top="1380" w:bottom="1280" w:left="560" w:right="560"/>
        </w:sectPr>
      </w:pPr>
    </w:p>
    <w:p>
      <w:pPr>
        <w:spacing w:before="0"/>
        <w:ind w:left="5659" w:right="3668" w:hanging="1661"/>
        <w:jc w:val="left"/>
        <w:rPr>
          <w:b/>
          <w:sz w:val="24"/>
        </w:rPr>
      </w:pPr>
      <w:r>
        <w:rPr/>
        <w:pict>
          <v:rect style="position:absolute;margin-left:34.499001pt;margin-top:28.53574pt;width:723.001pt;height:1.5pt;mso-position-horizontal-relative:page;mso-position-vertical-relative:paragraph;z-index:-15601664;mso-wrap-distance-left:0;mso-wrap-distance-right:0" id="docshape551" filled="true" fillcolor="#231f20" stroked="false">
            <v:fill type="solid"/>
            <w10:wrap type="topAndBottom"/>
          </v:rect>
        </w:pict>
      </w:r>
      <w:r>
        <w:rPr/>
        <w:pict>
          <v:rect style="position:absolute;margin-left:36.478001pt;margin-top:44.015739pt;width:717.961pt;height:1.86pt;mso-position-horizontal-relative:page;mso-position-vertical-relative:paragraph;z-index:-15601152;mso-wrap-distance-left:0;mso-wrap-distance-right:0" id="docshape552" filled="true" fillcolor="#231f20" stroked="false">
            <v:fill type="solid"/>
            <w10:wrap type="topAndBottom"/>
          </v:rect>
        </w:pict>
      </w:r>
      <w:r>
        <w:rPr>
          <w:b/>
          <w:color w:val="231F20"/>
          <w:sz w:val="24"/>
        </w:rPr>
        <w:t>Schedule</w:t>
      </w:r>
      <w:r>
        <w:rPr>
          <w:b/>
          <w:color w:val="231F20"/>
          <w:spacing w:val="-5"/>
          <w:sz w:val="24"/>
        </w:rPr>
        <w:t> </w:t>
      </w:r>
      <w:r>
        <w:rPr>
          <w:b/>
          <w:color w:val="231F20"/>
          <w:sz w:val="24"/>
        </w:rPr>
        <w:t>of</w:t>
      </w:r>
      <w:r>
        <w:rPr>
          <w:b/>
          <w:color w:val="231F20"/>
          <w:spacing w:val="-5"/>
          <w:sz w:val="24"/>
        </w:rPr>
        <w:t> </w:t>
      </w:r>
      <w:r>
        <w:rPr>
          <w:b/>
          <w:color w:val="231F20"/>
          <w:sz w:val="24"/>
        </w:rPr>
        <w:t>Expenditures</w:t>
      </w:r>
      <w:r>
        <w:rPr>
          <w:b/>
          <w:color w:val="231F20"/>
          <w:spacing w:val="-5"/>
          <w:sz w:val="24"/>
        </w:rPr>
        <w:t> </w:t>
      </w:r>
      <w:r>
        <w:rPr>
          <w:b/>
          <w:color w:val="231F20"/>
          <w:sz w:val="24"/>
        </w:rPr>
        <w:t>of</w:t>
      </w:r>
      <w:r>
        <w:rPr>
          <w:b/>
          <w:color w:val="231F20"/>
          <w:spacing w:val="-5"/>
          <w:sz w:val="24"/>
        </w:rPr>
        <w:t> </w:t>
      </w:r>
      <w:r>
        <w:rPr>
          <w:b/>
          <w:color w:val="231F20"/>
          <w:sz w:val="24"/>
        </w:rPr>
        <w:t>Federal</w:t>
      </w:r>
      <w:r>
        <w:rPr>
          <w:b/>
          <w:color w:val="231F20"/>
          <w:spacing w:val="-5"/>
          <w:sz w:val="24"/>
        </w:rPr>
        <w:t> </w:t>
      </w:r>
      <w:r>
        <w:rPr>
          <w:b/>
          <w:color w:val="231F20"/>
          <w:sz w:val="24"/>
        </w:rPr>
        <w:t>Awards</w:t>
      </w:r>
      <w:r>
        <w:rPr>
          <w:b/>
          <w:color w:val="231F20"/>
          <w:spacing w:val="-5"/>
          <w:sz w:val="24"/>
        </w:rPr>
        <w:t> </w:t>
      </w:r>
      <w:r>
        <w:rPr>
          <w:b/>
          <w:color w:val="231F20"/>
          <w:sz w:val="24"/>
        </w:rPr>
        <w:t>(Schedule</w:t>
      </w:r>
      <w:r>
        <w:rPr>
          <w:b/>
          <w:color w:val="231F20"/>
          <w:spacing w:val="-5"/>
          <w:sz w:val="24"/>
        </w:rPr>
        <w:t> </w:t>
      </w:r>
      <w:r>
        <w:rPr>
          <w:b/>
          <w:color w:val="231F20"/>
          <w:sz w:val="24"/>
        </w:rPr>
        <w:t>10) For Year Ended June 30, 2022</w:t>
      </w:r>
    </w:p>
    <w:p>
      <w:pPr>
        <w:pStyle w:val="BodyText"/>
        <w:spacing w:before="2"/>
        <w:rPr>
          <w:b/>
          <w:sz w:val="22"/>
        </w:rPr>
      </w:pPr>
    </w:p>
    <w:p>
      <w:pPr>
        <w:pStyle w:val="BodyText"/>
        <w:spacing w:before="2"/>
        <w:rPr>
          <w:b/>
          <w:sz w:val="18"/>
        </w:rPr>
      </w:pPr>
    </w:p>
    <w:tbl>
      <w:tblPr>
        <w:tblW w:w="0" w:type="auto"/>
        <w:jc w:val="left"/>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1"/>
        <w:gridCol w:w="902"/>
        <w:gridCol w:w="3054"/>
        <w:gridCol w:w="2402"/>
        <w:gridCol w:w="1153"/>
        <w:gridCol w:w="1129"/>
        <w:gridCol w:w="153"/>
        <w:gridCol w:w="1129"/>
      </w:tblGrid>
      <w:tr>
        <w:trPr>
          <w:trHeight w:val="514" w:hRule="atLeast"/>
        </w:trPr>
        <w:tc>
          <w:tcPr>
            <w:tcW w:w="4451" w:type="dxa"/>
            <w:tcBorders>
              <w:bottom w:val="single" w:sz="18" w:space="0" w:color="231F20"/>
            </w:tcBorders>
          </w:tcPr>
          <w:p>
            <w:pPr>
              <w:pStyle w:val="TableParagraph"/>
              <w:rPr>
                <w:b/>
                <w:sz w:val="14"/>
              </w:rPr>
            </w:pPr>
          </w:p>
          <w:p>
            <w:pPr>
              <w:pStyle w:val="TableParagraph"/>
              <w:spacing w:before="6"/>
              <w:rPr>
                <w:b/>
                <w:sz w:val="17"/>
              </w:rPr>
            </w:pPr>
          </w:p>
          <w:p>
            <w:pPr>
              <w:pStyle w:val="TableParagraph"/>
              <w:spacing w:line="131" w:lineRule="exact"/>
              <w:ind w:left="32"/>
              <w:rPr>
                <w:b/>
                <w:sz w:val="12"/>
              </w:rPr>
            </w:pPr>
            <w:r>
              <w:rPr>
                <w:b/>
                <w:color w:val="231F20"/>
                <w:spacing w:val="-2"/>
                <w:w w:val="105"/>
                <w:sz w:val="12"/>
              </w:rPr>
              <w:t>Federal</w:t>
            </w:r>
            <w:r>
              <w:rPr>
                <w:b/>
                <w:color w:val="231F20"/>
                <w:spacing w:val="12"/>
                <w:w w:val="105"/>
                <w:sz w:val="12"/>
              </w:rPr>
              <w:t> </w:t>
            </w:r>
            <w:r>
              <w:rPr>
                <w:b/>
                <w:color w:val="231F20"/>
                <w:spacing w:val="-2"/>
                <w:w w:val="105"/>
                <w:sz w:val="12"/>
              </w:rPr>
              <w:t>Grantor/Program</w:t>
            </w:r>
            <w:r>
              <w:rPr>
                <w:b/>
                <w:color w:val="231F20"/>
                <w:spacing w:val="13"/>
                <w:w w:val="105"/>
                <w:sz w:val="12"/>
              </w:rPr>
              <w:t> </w:t>
            </w:r>
            <w:r>
              <w:rPr>
                <w:b/>
                <w:color w:val="231F20"/>
                <w:spacing w:val="-2"/>
                <w:w w:val="105"/>
                <w:sz w:val="12"/>
              </w:rPr>
              <w:t>Title</w:t>
            </w:r>
          </w:p>
        </w:tc>
        <w:tc>
          <w:tcPr>
            <w:tcW w:w="902" w:type="dxa"/>
            <w:tcBorders>
              <w:bottom w:val="single" w:sz="18" w:space="0" w:color="231F20"/>
            </w:tcBorders>
          </w:tcPr>
          <w:p>
            <w:pPr>
              <w:pStyle w:val="TableParagraph"/>
              <w:spacing w:before="11"/>
              <w:rPr>
                <w:b/>
                <w:sz w:val="12"/>
              </w:rPr>
            </w:pPr>
          </w:p>
          <w:p>
            <w:pPr>
              <w:pStyle w:val="TableParagraph"/>
              <w:spacing w:line="160" w:lineRule="atLeast"/>
              <w:ind w:left="283" w:right="134" w:firstLine="63"/>
              <w:rPr>
                <w:b/>
                <w:sz w:val="12"/>
              </w:rPr>
            </w:pPr>
            <w:r>
              <w:rPr>
                <w:b/>
                <w:color w:val="231F20"/>
                <w:spacing w:val="-2"/>
                <w:w w:val="105"/>
                <w:sz w:val="12"/>
              </w:rPr>
              <w:t>Award</w:t>
            </w:r>
            <w:r>
              <w:rPr>
                <w:b/>
                <w:color w:val="231F20"/>
                <w:spacing w:val="40"/>
                <w:w w:val="105"/>
                <w:sz w:val="12"/>
              </w:rPr>
              <w:t> </w:t>
            </w:r>
            <w:r>
              <w:rPr>
                <w:b/>
                <w:color w:val="231F20"/>
                <w:spacing w:val="-2"/>
                <w:w w:val="105"/>
                <w:sz w:val="12"/>
              </w:rPr>
              <w:t>Number</w:t>
            </w:r>
          </w:p>
        </w:tc>
        <w:tc>
          <w:tcPr>
            <w:tcW w:w="3054" w:type="dxa"/>
            <w:tcBorders>
              <w:bottom w:val="single" w:sz="18" w:space="0" w:color="231F20"/>
            </w:tcBorders>
          </w:tcPr>
          <w:p>
            <w:pPr>
              <w:pStyle w:val="TableParagraph"/>
              <w:rPr>
                <w:b/>
                <w:sz w:val="14"/>
              </w:rPr>
            </w:pPr>
          </w:p>
          <w:p>
            <w:pPr>
              <w:pStyle w:val="TableParagraph"/>
              <w:spacing w:before="5"/>
              <w:rPr>
                <w:b/>
                <w:sz w:val="15"/>
              </w:rPr>
            </w:pPr>
          </w:p>
          <w:p>
            <w:pPr>
              <w:pStyle w:val="TableParagraph"/>
              <w:ind w:left="967"/>
              <w:rPr>
                <w:b/>
                <w:sz w:val="12"/>
              </w:rPr>
            </w:pPr>
            <w:r>
              <w:rPr>
                <w:b/>
                <w:color w:val="231F20"/>
                <w:sz w:val="12"/>
              </w:rPr>
              <w:t>Pass-Through</w:t>
            </w:r>
            <w:r>
              <w:rPr>
                <w:b/>
                <w:color w:val="231F20"/>
                <w:spacing w:val="32"/>
                <w:sz w:val="12"/>
              </w:rPr>
              <w:t> </w:t>
            </w:r>
            <w:r>
              <w:rPr>
                <w:b/>
                <w:color w:val="231F20"/>
                <w:spacing w:val="-2"/>
                <w:sz w:val="12"/>
              </w:rPr>
              <w:t>Entity</w:t>
            </w:r>
          </w:p>
        </w:tc>
        <w:tc>
          <w:tcPr>
            <w:tcW w:w="2402" w:type="dxa"/>
            <w:tcBorders>
              <w:bottom w:val="single" w:sz="18" w:space="0" w:color="231F20"/>
            </w:tcBorders>
          </w:tcPr>
          <w:p>
            <w:pPr>
              <w:pStyle w:val="TableParagraph"/>
              <w:spacing w:before="11"/>
              <w:rPr>
                <w:b/>
                <w:sz w:val="12"/>
              </w:rPr>
            </w:pPr>
          </w:p>
          <w:p>
            <w:pPr>
              <w:pStyle w:val="TableParagraph"/>
              <w:spacing w:line="160" w:lineRule="atLeast"/>
              <w:ind w:left="652" w:hanging="286"/>
              <w:rPr>
                <w:b/>
                <w:sz w:val="12"/>
              </w:rPr>
            </w:pPr>
            <w:r>
              <w:rPr>
                <w:b/>
                <w:color w:val="231F20"/>
                <w:spacing w:val="-2"/>
                <w:w w:val="105"/>
                <w:sz w:val="12"/>
              </w:rPr>
              <w:t>Funding Agency </w:t>
            </w:r>
            <w:r>
              <w:rPr>
                <w:b/>
                <w:color w:val="231F20"/>
                <w:spacing w:val="-2"/>
                <w:w w:val="105"/>
                <w:sz w:val="12"/>
              </w:rPr>
              <w:t>Identification</w:t>
            </w:r>
            <w:r>
              <w:rPr>
                <w:b/>
                <w:color w:val="231F20"/>
                <w:spacing w:val="40"/>
                <w:w w:val="105"/>
                <w:sz w:val="12"/>
              </w:rPr>
              <w:t> </w:t>
            </w:r>
            <w:r>
              <w:rPr>
                <w:b/>
                <w:color w:val="231F20"/>
                <w:w w:val="105"/>
                <w:sz w:val="12"/>
              </w:rPr>
              <w:t>Number/Contract</w:t>
            </w:r>
            <w:r>
              <w:rPr>
                <w:b/>
                <w:color w:val="231F20"/>
                <w:spacing w:val="-7"/>
                <w:w w:val="105"/>
                <w:sz w:val="12"/>
              </w:rPr>
              <w:t> </w:t>
            </w:r>
            <w:r>
              <w:rPr>
                <w:b/>
                <w:color w:val="231F20"/>
                <w:w w:val="105"/>
                <w:sz w:val="12"/>
              </w:rPr>
              <w:t>ID</w:t>
            </w:r>
          </w:p>
        </w:tc>
        <w:tc>
          <w:tcPr>
            <w:tcW w:w="1153" w:type="dxa"/>
            <w:tcBorders>
              <w:bottom w:val="single" w:sz="18" w:space="0" w:color="231F20"/>
            </w:tcBorders>
          </w:tcPr>
          <w:p>
            <w:pPr>
              <w:pStyle w:val="TableParagraph"/>
              <w:spacing w:before="2"/>
              <w:ind w:left="362" w:hanging="125"/>
              <w:rPr>
                <w:b/>
                <w:sz w:val="12"/>
              </w:rPr>
            </w:pPr>
            <w:r>
              <w:rPr>
                <w:b/>
                <w:color w:val="231F20"/>
                <w:spacing w:val="-2"/>
                <w:w w:val="105"/>
                <w:sz w:val="12"/>
              </w:rPr>
              <w:t>Assistance</w:t>
            </w:r>
          </w:p>
          <w:p>
            <w:pPr>
              <w:pStyle w:val="TableParagraph"/>
              <w:spacing w:line="160" w:lineRule="atLeast" w:before="9"/>
              <w:ind w:left="330" w:right="338" w:firstLine="31"/>
              <w:rPr>
                <w:b/>
                <w:sz w:val="12"/>
              </w:rPr>
            </w:pPr>
            <w:r>
              <w:rPr>
                <w:b/>
                <w:color w:val="231F20"/>
                <w:spacing w:val="-2"/>
                <w:w w:val="105"/>
                <w:sz w:val="12"/>
              </w:rPr>
              <w:t>Listing</w:t>
            </w:r>
            <w:r>
              <w:rPr>
                <w:b/>
                <w:color w:val="231F20"/>
                <w:spacing w:val="40"/>
                <w:w w:val="105"/>
                <w:sz w:val="12"/>
              </w:rPr>
              <w:t> </w:t>
            </w:r>
            <w:r>
              <w:rPr>
                <w:b/>
                <w:color w:val="231F20"/>
                <w:spacing w:val="-2"/>
                <w:w w:val="105"/>
                <w:sz w:val="12"/>
              </w:rPr>
              <w:t>Number</w:t>
            </w:r>
          </w:p>
        </w:tc>
        <w:tc>
          <w:tcPr>
            <w:tcW w:w="1129" w:type="dxa"/>
            <w:tcBorders>
              <w:bottom w:val="single" w:sz="18" w:space="0" w:color="231F20"/>
            </w:tcBorders>
          </w:tcPr>
          <w:p>
            <w:pPr>
              <w:pStyle w:val="TableParagraph"/>
              <w:spacing w:before="2"/>
              <w:ind w:left="230" w:hanging="124"/>
              <w:rPr>
                <w:b/>
                <w:sz w:val="12"/>
              </w:rPr>
            </w:pPr>
            <w:r>
              <w:rPr>
                <w:b/>
                <w:color w:val="231F20"/>
                <w:spacing w:val="-2"/>
                <w:w w:val="105"/>
                <w:sz w:val="12"/>
              </w:rPr>
              <w:t>Amount</w:t>
            </w:r>
            <w:r>
              <w:rPr>
                <w:b/>
                <w:color w:val="231F20"/>
                <w:w w:val="105"/>
                <w:sz w:val="12"/>
              </w:rPr>
              <w:t> </w:t>
            </w:r>
            <w:r>
              <w:rPr>
                <w:b/>
                <w:color w:val="231F20"/>
                <w:spacing w:val="-2"/>
                <w:w w:val="105"/>
                <w:sz w:val="12"/>
              </w:rPr>
              <w:t>Passed</w:t>
            </w:r>
          </w:p>
          <w:p>
            <w:pPr>
              <w:pStyle w:val="TableParagraph"/>
              <w:spacing w:line="160" w:lineRule="atLeast" w:before="9"/>
              <w:ind w:left="146" w:firstLine="84"/>
              <w:rPr>
                <w:b/>
                <w:sz w:val="12"/>
              </w:rPr>
            </w:pPr>
            <w:r>
              <w:rPr>
                <w:b/>
                <w:color w:val="231F20"/>
                <w:w w:val="105"/>
                <w:sz w:val="12"/>
              </w:rPr>
              <w:t>Through</w:t>
            </w:r>
            <w:r>
              <w:rPr>
                <w:b/>
                <w:color w:val="231F20"/>
                <w:spacing w:val="-7"/>
                <w:w w:val="105"/>
                <w:sz w:val="12"/>
              </w:rPr>
              <w:t> </w:t>
            </w:r>
            <w:r>
              <w:rPr>
                <w:b/>
                <w:color w:val="231F20"/>
                <w:w w:val="105"/>
                <w:sz w:val="12"/>
              </w:rPr>
              <w:t>to</w:t>
            </w:r>
            <w:r>
              <w:rPr>
                <w:b/>
                <w:color w:val="231F20"/>
                <w:spacing w:val="40"/>
                <w:w w:val="105"/>
                <w:sz w:val="12"/>
              </w:rPr>
              <w:t> </w:t>
            </w:r>
            <w:r>
              <w:rPr>
                <w:b/>
                <w:color w:val="231F20"/>
                <w:spacing w:val="-2"/>
                <w:sz w:val="12"/>
              </w:rPr>
              <w:t>Subrecipients</w:t>
            </w:r>
          </w:p>
        </w:tc>
        <w:tc>
          <w:tcPr>
            <w:tcW w:w="1282" w:type="dxa"/>
            <w:gridSpan w:val="2"/>
            <w:tcBorders>
              <w:bottom w:val="single" w:sz="18" w:space="0" w:color="231F20"/>
            </w:tcBorders>
          </w:tcPr>
          <w:p>
            <w:pPr>
              <w:pStyle w:val="TableParagraph"/>
              <w:spacing w:before="11"/>
              <w:rPr>
                <w:b/>
                <w:sz w:val="12"/>
              </w:rPr>
            </w:pPr>
          </w:p>
          <w:p>
            <w:pPr>
              <w:pStyle w:val="TableParagraph"/>
              <w:spacing w:line="160" w:lineRule="atLeast"/>
              <w:ind w:left="314" w:firstLine="24"/>
              <w:rPr>
                <w:b/>
                <w:sz w:val="12"/>
              </w:rPr>
            </w:pPr>
            <w:r>
              <w:rPr>
                <w:b/>
                <w:color w:val="231F20"/>
                <w:spacing w:val="-2"/>
                <w:w w:val="105"/>
                <w:sz w:val="12"/>
              </w:rPr>
              <w:t>Total</w:t>
            </w:r>
            <w:r>
              <w:rPr>
                <w:b/>
                <w:color w:val="231F20"/>
                <w:spacing w:val="-7"/>
                <w:w w:val="105"/>
                <w:sz w:val="12"/>
              </w:rPr>
              <w:t> </w:t>
            </w:r>
            <w:r>
              <w:rPr>
                <w:b/>
                <w:color w:val="231F20"/>
                <w:spacing w:val="-2"/>
                <w:w w:val="105"/>
                <w:sz w:val="12"/>
              </w:rPr>
              <w:t>Federal</w:t>
            </w:r>
            <w:r>
              <w:rPr>
                <w:b/>
                <w:color w:val="231F20"/>
                <w:spacing w:val="40"/>
                <w:w w:val="105"/>
                <w:sz w:val="12"/>
              </w:rPr>
              <w:t> </w:t>
            </w:r>
            <w:r>
              <w:rPr>
                <w:b/>
                <w:color w:val="231F20"/>
                <w:spacing w:val="-2"/>
                <w:w w:val="105"/>
                <w:sz w:val="12"/>
              </w:rPr>
              <w:t>Expenditures</w:t>
            </w:r>
          </w:p>
        </w:tc>
      </w:tr>
      <w:tr>
        <w:trPr>
          <w:trHeight w:val="339" w:hRule="atLeast"/>
        </w:trPr>
        <w:tc>
          <w:tcPr>
            <w:tcW w:w="4451" w:type="dxa"/>
            <w:tcBorders>
              <w:top w:val="single" w:sz="18" w:space="0" w:color="231F20"/>
            </w:tcBorders>
          </w:tcPr>
          <w:p>
            <w:pPr>
              <w:pStyle w:val="TableParagraph"/>
              <w:spacing w:before="99"/>
              <w:ind w:left="32"/>
              <w:rPr>
                <w:b/>
                <w:sz w:val="12"/>
              </w:rPr>
            </w:pPr>
            <w:r>
              <w:rPr>
                <w:b/>
                <w:color w:val="231F20"/>
                <w:spacing w:val="-2"/>
                <w:w w:val="105"/>
                <w:sz w:val="12"/>
              </w:rPr>
              <w:t>RESEARCH</w:t>
            </w:r>
            <w:r>
              <w:rPr>
                <w:b/>
                <w:color w:val="231F20"/>
                <w:spacing w:val="2"/>
                <w:w w:val="105"/>
                <w:sz w:val="12"/>
              </w:rPr>
              <w:t> </w:t>
            </w:r>
            <w:r>
              <w:rPr>
                <w:b/>
                <w:color w:val="231F20"/>
                <w:spacing w:val="-2"/>
                <w:w w:val="105"/>
                <w:sz w:val="12"/>
              </w:rPr>
              <w:t>AND</w:t>
            </w:r>
            <w:r>
              <w:rPr>
                <w:b/>
                <w:color w:val="231F20"/>
                <w:spacing w:val="3"/>
                <w:w w:val="105"/>
                <w:sz w:val="12"/>
              </w:rPr>
              <w:t> </w:t>
            </w:r>
            <w:r>
              <w:rPr>
                <w:b/>
                <w:color w:val="231F20"/>
                <w:spacing w:val="-2"/>
                <w:w w:val="105"/>
                <w:sz w:val="12"/>
              </w:rPr>
              <w:t>DEVELOPMENT</w:t>
            </w:r>
            <w:r>
              <w:rPr>
                <w:b/>
                <w:color w:val="231F20"/>
                <w:spacing w:val="4"/>
                <w:w w:val="105"/>
                <w:sz w:val="12"/>
              </w:rPr>
              <w:t> </w:t>
            </w:r>
            <w:r>
              <w:rPr>
                <w:b/>
                <w:color w:val="231F20"/>
                <w:spacing w:val="-2"/>
                <w:w w:val="105"/>
                <w:sz w:val="12"/>
              </w:rPr>
              <w:t>CLUSTER</w:t>
            </w:r>
          </w:p>
        </w:tc>
        <w:tc>
          <w:tcPr>
            <w:tcW w:w="902" w:type="dxa"/>
            <w:tcBorders>
              <w:top w:val="single" w:sz="18" w:space="0" w:color="231F20"/>
            </w:tcBorders>
          </w:tcPr>
          <w:p>
            <w:pPr>
              <w:pStyle w:val="TableParagraph"/>
              <w:rPr>
                <w:rFonts w:ascii="Times New Roman"/>
                <w:sz w:val="12"/>
              </w:rPr>
            </w:pPr>
          </w:p>
        </w:tc>
        <w:tc>
          <w:tcPr>
            <w:tcW w:w="3054" w:type="dxa"/>
            <w:tcBorders>
              <w:top w:val="single" w:sz="18" w:space="0" w:color="231F20"/>
            </w:tcBorders>
          </w:tcPr>
          <w:p>
            <w:pPr>
              <w:pStyle w:val="TableParagraph"/>
              <w:rPr>
                <w:rFonts w:ascii="Times New Roman"/>
                <w:sz w:val="12"/>
              </w:rPr>
            </w:pPr>
          </w:p>
        </w:tc>
        <w:tc>
          <w:tcPr>
            <w:tcW w:w="2402" w:type="dxa"/>
            <w:tcBorders>
              <w:top w:val="single" w:sz="18" w:space="0" w:color="231F20"/>
            </w:tcBorders>
          </w:tcPr>
          <w:p>
            <w:pPr>
              <w:pStyle w:val="TableParagraph"/>
              <w:rPr>
                <w:rFonts w:ascii="Times New Roman"/>
                <w:sz w:val="12"/>
              </w:rPr>
            </w:pPr>
          </w:p>
        </w:tc>
        <w:tc>
          <w:tcPr>
            <w:tcW w:w="1153" w:type="dxa"/>
            <w:tcBorders>
              <w:top w:val="single" w:sz="18" w:space="0" w:color="231F20"/>
            </w:tcBorders>
          </w:tcPr>
          <w:p>
            <w:pPr>
              <w:pStyle w:val="TableParagraph"/>
              <w:rPr>
                <w:rFonts w:ascii="Times New Roman"/>
                <w:sz w:val="12"/>
              </w:rPr>
            </w:pPr>
          </w:p>
        </w:tc>
        <w:tc>
          <w:tcPr>
            <w:tcW w:w="1129" w:type="dxa"/>
            <w:tcBorders>
              <w:top w:val="single" w:sz="18" w:space="0" w:color="231F20"/>
            </w:tcBorders>
          </w:tcPr>
          <w:p>
            <w:pPr>
              <w:pStyle w:val="TableParagraph"/>
              <w:rPr>
                <w:rFonts w:ascii="Times New Roman"/>
                <w:sz w:val="12"/>
              </w:rPr>
            </w:pPr>
          </w:p>
        </w:tc>
        <w:tc>
          <w:tcPr>
            <w:tcW w:w="1282" w:type="dxa"/>
            <w:gridSpan w:val="2"/>
            <w:tcBorders>
              <w:top w:val="single" w:sz="18" w:space="0" w:color="231F20"/>
            </w:tcBorders>
          </w:tcPr>
          <w:p>
            <w:pPr>
              <w:pStyle w:val="TableParagraph"/>
              <w:rPr>
                <w:rFonts w:ascii="Times New Roman"/>
                <w:sz w:val="12"/>
              </w:rPr>
            </w:pPr>
          </w:p>
        </w:tc>
      </w:tr>
      <w:tr>
        <w:trPr>
          <w:trHeight w:val="241" w:hRule="atLeast"/>
        </w:trPr>
        <w:tc>
          <w:tcPr>
            <w:tcW w:w="4451" w:type="dxa"/>
          </w:tcPr>
          <w:p>
            <w:pPr>
              <w:pStyle w:val="TableParagraph"/>
              <w:spacing w:line="119" w:lineRule="exact" w:before="102"/>
              <w:ind w:left="32"/>
              <w:rPr>
                <w:b/>
                <w:sz w:val="12"/>
              </w:rPr>
            </w:pPr>
            <w:r>
              <w:rPr>
                <w:b/>
                <w:color w:val="231F20"/>
                <w:w w:val="105"/>
                <w:sz w:val="12"/>
              </w:rPr>
              <w:t>U.S.</w:t>
            </w:r>
            <w:r>
              <w:rPr>
                <w:b/>
                <w:color w:val="231F20"/>
                <w:spacing w:val="-5"/>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5"/>
                <w:w w:val="105"/>
                <w:sz w:val="12"/>
              </w:rPr>
              <w:t> </w:t>
            </w:r>
            <w:r>
              <w:rPr>
                <w:b/>
                <w:color w:val="231F20"/>
                <w:spacing w:val="-2"/>
                <w:w w:val="105"/>
                <w:sz w:val="12"/>
              </w:rPr>
              <w:t>Agriculture</w:t>
            </w:r>
          </w:p>
        </w:tc>
        <w:tc>
          <w:tcPr>
            <w:tcW w:w="902" w:type="dxa"/>
          </w:tcPr>
          <w:p>
            <w:pPr>
              <w:pStyle w:val="TableParagraph"/>
              <w:rPr>
                <w:rFonts w:ascii="Times New Roman"/>
                <w:sz w:val="12"/>
              </w:rPr>
            </w:pPr>
          </w:p>
        </w:tc>
        <w:tc>
          <w:tcPr>
            <w:tcW w:w="3054" w:type="dxa"/>
          </w:tcPr>
          <w:p>
            <w:pPr>
              <w:pStyle w:val="TableParagraph"/>
              <w:rPr>
                <w:rFonts w:ascii="Times New Roman"/>
                <w:sz w:val="12"/>
              </w:rPr>
            </w:pPr>
          </w:p>
        </w:tc>
        <w:tc>
          <w:tcPr>
            <w:tcW w:w="2402" w:type="dxa"/>
          </w:tcPr>
          <w:p>
            <w:pPr>
              <w:pStyle w:val="TableParagraph"/>
              <w:rPr>
                <w:rFonts w:ascii="Times New Roman"/>
                <w:sz w:val="12"/>
              </w:rPr>
            </w:pPr>
          </w:p>
        </w:tc>
        <w:tc>
          <w:tcPr>
            <w:tcW w:w="1153" w:type="dxa"/>
          </w:tcPr>
          <w:p>
            <w:pPr>
              <w:pStyle w:val="TableParagraph"/>
              <w:rPr>
                <w:rFonts w:ascii="Times New Roman"/>
                <w:sz w:val="12"/>
              </w:rPr>
            </w:pPr>
          </w:p>
        </w:tc>
        <w:tc>
          <w:tcPr>
            <w:tcW w:w="1129" w:type="dxa"/>
          </w:tcPr>
          <w:p>
            <w:pPr>
              <w:pStyle w:val="TableParagraph"/>
              <w:rPr>
                <w:rFonts w:ascii="Times New Roman"/>
                <w:sz w:val="12"/>
              </w:rPr>
            </w:pPr>
          </w:p>
        </w:tc>
        <w:tc>
          <w:tcPr>
            <w:tcW w:w="1282" w:type="dxa"/>
            <w:gridSpan w:val="2"/>
          </w:tcPr>
          <w:p>
            <w:pPr>
              <w:pStyle w:val="TableParagraph"/>
              <w:rPr>
                <w:rFonts w:ascii="Times New Roman"/>
                <w:sz w:val="12"/>
              </w:rPr>
            </w:pPr>
          </w:p>
        </w:tc>
      </w:tr>
      <w:tr>
        <w:trPr>
          <w:trHeight w:val="170" w:hRule="atLeast"/>
        </w:trPr>
        <w:tc>
          <w:tcPr>
            <w:tcW w:w="4451" w:type="dxa"/>
          </w:tcPr>
          <w:p>
            <w:pPr>
              <w:pStyle w:val="TableParagraph"/>
              <w:spacing w:line="119" w:lineRule="exact" w:before="31"/>
              <w:ind w:left="202"/>
              <w:rPr>
                <w:sz w:val="12"/>
              </w:rPr>
            </w:pPr>
            <w:r>
              <w:rPr>
                <w:color w:val="231F20"/>
                <w:w w:val="105"/>
                <w:sz w:val="12"/>
              </w:rPr>
              <w:t>Direct</w:t>
            </w:r>
            <w:r>
              <w:rPr>
                <w:color w:val="231F20"/>
                <w:spacing w:val="-4"/>
                <w:w w:val="105"/>
                <w:sz w:val="12"/>
              </w:rPr>
              <w:t> </w:t>
            </w:r>
            <w:r>
              <w:rPr>
                <w:color w:val="231F20"/>
                <w:spacing w:val="-2"/>
                <w:w w:val="105"/>
                <w:sz w:val="12"/>
              </w:rPr>
              <w:t>Awards</w:t>
            </w:r>
          </w:p>
        </w:tc>
        <w:tc>
          <w:tcPr>
            <w:tcW w:w="902" w:type="dxa"/>
          </w:tcPr>
          <w:p>
            <w:pPr>
              <w:pStyle w:val="TableParagraph"/>
              <w:rPr>
                <w:rFonts w:ascii="Times New Roman"/>
                <w:sz w:val="10"/>
              </w:rPr>
            </w:pPr>
          </w:p>
        </w:tc>
        <w:tc>
          <w:tcPr>
            <w:tcW w:w="3054" w:type="dxa"/>
          </w:tcPr>
          <w:p>
            <w:pPr>
              <w:pStyle w:val="TableParagraph"/>
              <w:rPr>
                <w:rFonts w:ascii="Times New Roman"/>
                <w:sz w:val="10"/>
              </w:rPr>
            </w:pPr>
          </w:p>
        </w:tc>
        <w:tc>
          <w:tcPr>
            <w:tcW w:w="2402" w:type="dxa"/>
          </w:tcPr>
          <w:p>
            <w:pPr>
              <w:pStyle w:val="TableParagraph"/>
              <w:rPr>
                <w:rFonts w:ascii="Times New Roman"/>
                <w:sz w:val="10"/>
              </w:rPr>
            </w:pPr>
          </w:p>
        </w:tc>
        <w:tc>
          <w:tcPr>
            <w:tcW w:w="1153" w:type="dxa"/>
          </w:tcPr>
          <w:p>
            <w:pPr>
              <w:pStyle w:val="TableParagraph"/>
              <w:rPr>
                <w:rFonts w:ascii="Times New Roman"/>
                <w:sz w:val="10"/>
              </w:rPr>
            </w:pPr>
          </w:p>
        </w:tc>
        <w:tc>
          <w:tcPr>
            <w:tcW w:w="1129" w:type="dxa"/>
          </w:tcPr>
          <w:p>
            <w:pPr>
              <w:pStyle w:val="TableParagraph"/>
              <w:rPr>
                <w:rFonts w:ascii="Times New Roman"/>
                <w:sz w:val="10"/>
              </w:rPr>
            </w:pPr>
          </w:p>
        </w:tc>
        <w:tc>
          <w:tcPr>
            <w:tcW w:w="1282" w:type="dxa"/>
            <w:gridSpan w:val="2"/>
          </w:tcPr>
          <w:p>
            <w:pPr>
              <w:pStyle w:val="TableParagraph"/>
              <w:rPr>
                <w:rFonts w:ascii="Times New Roman"/>
                <w:sz w:val="10"/>
              </w:rPr>
            </w:pPr>
          </w:p>
        </w:tc>
      </w:tr>
      <w:tr>
        <w:trPr>
          <w:trHeight w:val="176" w:hRule="atLeast"/>
        </w:trPr>
        <w:tc>
          <w:tcPr>
            <w:tcW w:w="4451" w:type="dxa"/>
          </w:tcPr>
          <w:p>
            <w:pPr>
              <w:pStyle w:val="TableParagraph"/>
              <w:spacing w:line="130" w:lineRule="exact" w:before="26"/>
              <w:ind w:left="372"/>
              <w:rPr>
                <w:sz w:val="12"/>
              </w:rPr>
            </w:pPr>
            <w:r>
              <w:rPr>
                <w:color w:val="231F20"/>
                <w:spacing w:val="-2"/>
                <w:w w:val="105"/>
                <w:sz w:val="12"/>
              </w:rPr>
              <w:t>Agriculture</w:t>
            </w:r>
            <w:r>
              <w:rPr>
                <w:color w:val="231F20"/>
                <w:spacing w:val="3"/>
                <w:w w:val="105"/>
                <w:sz w:val="12"/>
              </w:rPr>
              <w:t> </w:t>
            </w:r>
            <w:r>
              <w:rPr>
                <w:color w:val="231F20"/>
                <w:spacing w:val="-2"/>
                <w:w w:val="105"/>
                <w:sz w:val="12"/>
              </w:rPr>
              <w:t>and</w:t>
            </w:r>
            <w:r>
              <w:rPr>
                <w:color w:val="231F20"/>
                <w:spacing w:val="4"/>
                <w:w w:val="105"/>
                <w:sz w:val="12"/>
              </w:rPr>
              <w:t> </w:t>
            </w:r>
            <w:r>
              <w:rPr>
                <w:color w:val="231F20"/>
                <w:spacing w:val="-2"/>
                <w:w w:val="105"/>
                <w:sz w:val="12"/>
              </w:rPr>
              <w:t>Food</w:t>
            </w:r>
            <w:r>
              <w:rPr>
                <w:color w:val="231F20"/>
                <w:spacing w:val="4"/>
                <w:w w:val="105"/>
                <w:sz w:val="12"/>
              </w:rPr>
              <w:t> </w:t>
            </w:r>
            <w:r>
              <w:rPr>
                <w:color w:val="231F20"/>
                <w:spacing w:val="-2"/>
                <w:w w:val="105"/>
                <w:sz w:val="12"/>
              </w:rPr>
              <w:t>Research</w:t>
            </w:r>
            <w:r>
              <w:rPr>
                <w:color w:val="231F20"/>
                <w:spacing w:val="4"/>
                <w:w w:val="105"/>
                <w:sz w:val="12"/>
              </w:rPr>
              <w:t> </w:t>
            </w:r>
            <w:r>
              <w:rPr>
                <w:color w:val="231F20"/>
                <w:spacing w:val="-2"/>
                <w:w w:val="105"/>
                <w:sz w:val="12"/>
              </w:rPr>
              <w:t>Initiative</w:t>
            </w:r>
            <w:r>
              <w:rPr>
                <w:color w:val="231F20"/>
                <w:spacing w:val="4"/>
                <w:w w:val="105"/>
                <w:sz w:val="12"/>
              </w:rPr>
              <w:t> </w:t>
            </w:r>
            <w:r>
              <w:rPr>
                <w:color w:val="231F20"/>
                <w:spacing w:val="-2"/>
                <w:w w:val="105"/>
                <w:sz w:val="12"/>
              </w:rPr>
              <w:t>(AFRI)</w:t>
            </w:r>
          </w:p>
        </w:tc>
        <w:tc>
          <w:tcPr>
            <w:tcW w:w="902" w:type="dxa"/>
          </w:tcPr>
          <w:p>
            <w:pPr>
              <w:pStyle w:val="TableParagraph"/>
              <w:spacing w:line="124" w:lineRule="exact" w:before="32"/>
              <w:ind w:left="354"/>
              <w:rPr>
                <w:sz w:val="12"/>
              </w:rPr>
            </w:pPr>
            <w:r>
              <w:rPr>
                <w:color w:val="231F20"/>
                <w:spacing w:val="-4"/>
                <w:w w:val="105"/>
                <w:sz w:val="12"/>
              </w:rPr>
              <w:t>RAAD</w:t>
            </w:r>
          </w:p>
        </w:tc>
        <w:tc>
          <w:tcPr>
            <w:tcW w:w="5456" w:type="dxa"/>
            <w:gridSpan w:val="2"/>
          </w:tcPr>
          <w:p>
            <w:pPr>
              <w:pStyle w:val="TableParagraph"/>
              <w:spacing w:line="130" w:lineRule="exact" w:before="26"/>
              <w:ind w:left="3182"/>
              <w:rPr>
                <w:sz w:val="12"/>
              </w:rPr>
            </w:pPr>
            <w:r>
              <w:rPr>
                <w:color w:val="231F20"/>
                <w:sz w:val="12"/>
              </w:rPr>
              <w:t>2022-67020-</w:t>
            </w:r>
            <w:r>
              <w:rPr>
                <w:color w:val="231F20"/>
                <w:spacing w:val="-2"/>
                <w:sz w:val="12"/>
              </w:rPr>
              <w:t>36265</w:t>
            </w:r>
          </w:p>
        </w:tc>
        <w:tc>
          <w:tcPr>
            <w:tcW w:w="1153" w:type="dxa"/>
          </w:tcPr>
          <w:p>
            <w:pPr>
              <w:pStyle w:val="TableParagraph"/>
              <w:spacing w:line="124" w:lineRule="exact" w:before="32"/>
              <w:ind w:left="323" w:right="326"/>
              <w:jc w:val="center"/>
              <w:rPr>
                <w:sz w:val="12"/>
              </w:rPr>
            </w:pPr>
            <w:r>
              <w:rPr>
                <w:color w:val="231F20"/>
                <w:spacing w:val="-2"/>
                <w:w w:val="105"/>
                <w:sz w:val="12"/>
              </w:rPr>
              <w:t>10.310</w:t>
            </w:r>
          </w:p>
        </w:tc>
        <w:tc>
          <w:tcPr>
            <w:tcW w:w="1129" w:type="dxa"/>
            <w:tcBorders>
              <w:bottom w:val="single" w:sz="8" w:space="0" w:color="231F20"/>
            </w:tcBorders>
          </w:tcPr>
          <w:p>
            <w:pPr>
              <w:pStyle w:val="TableParagraph"/>
              <w:tabs>
                <w:tab w:pos="605" w:val="left" w:leader="none"/>
              </w:tabs>
              <w:spacing w:line="124" w:lineRule="exact" w:before="32"/>
              <w:ind w:right="73"/>
              <w:jc w:val="right"/>
              <w:rPr>
                <w:sz w:val="12"/>
              </w:rPr>
            </w:pPr>
            <w:r>
              <w:rPr>
                <w:color w:val="231F20"/>
                <w:spacing w:val="-10"/>
                <w:w w:val="105"/>
                <w:sz w:val="12"/>
              </w:rPr>
              <w:t>$</w:t>
            </w:r>
            <w:r>
              <w:rPr>
                <w:color w:val="231F20"/>
                <w:sz w:val="12"/>
              </w:rPr>
              <w:tab/>
            </w:r>
            <w:r>
              <w:rPr>
                <w:color w:val="231F20"/>
                <w:spacing w:val="-2"/>
                <w:w w:val="105"/>
                <w:sz w:val="12"/>
              </w:rPr>
              <w:t>17,139</w:t>
            </w:r>
          </w:p>
        </w:tc>
        <w:tc>
          <w:tcPr>
            <w:tcW w:w="153" w:type="dxa"/>
          </w:tcPr>
          <w:p>
            <w:pPr>
              <w:pStyle w:val="TableParagraph"/>
              <w:rPr>
                <w:rFonts w:ascii="Times New Roman"/>
                <w:sz w:val="10"/>
              </w:rPr>
            </w:pPr>
          </w:p>
        </w:tc>
        <w:tc>
          <w:tcPr>
            <w:tcW w:w="1129" w:type="dxa"/>
            <w:tcBorders>
              <w:bottom w:val="single" w:sz="8" w:space="0" w:color="231F20"/>
            </w:tcBorders>
          </w:tcPr>
          <w:p>
            <w:pPr>
              <w:pStyle w:val="TableParagraph"/>
              <w:tabs>
                <w:tab w:pos="606" w:val="left" w:leader="none"/>
              </w:tabs>
              <w:spacing w:line="124" w:lineRule="exact" w:before="32"/>
              <w:ind w:right="73"/>
              <w:jc w:val="right"/>
              <w:rPr>
                <w:sz w:val="12"/>
              </w:rPr>
            </w:pPr>
            <w:r>
              <w:rPr>
                <w:color w:val="231F20"/>
                <w:spacing w:val="-10"/>
                <w:w w:val="105"/>
                <w:sz w:val="12"/>
              </w:rPr>
              <w:t>$</w:t>
            </w:r>
            <w:r>
              <w:rPr>
                <w:color w:val="231F20"/>
                <w:sz w:val="12"/>
              </w:rPr>
              <w:tab/>
            </w:r>
            <w:r>
              <w:rPr>
                <w:color w:val="231F20"/>
                <w:spacing w:val="-2"/>
                <w:w w:val="105"/>
                <w:sz w:val="12"/>
              </w:rPr>
              <w:t>96,687</w:t>
            </w:r>
          </w:p>
        </w:tc>
      </w:tr>
      <w:tr>
        <w:trPr>
          <w:trHeight w:val="150" w:hRule="atLeast"/>
        </w:trPr>
        <w:tc>
          <w:tcPr>
            <w:tcW w:w="4451" w:type="dxa"/>
          </w:tcPr>
          <w:p>
            <w:pPr>
              <w:pStyle w:val="TableParagraph"/>
              <w:spacing w:line="128" w:lineRule="exact" w:before="2"/>
              <w:ind w:left="372"/>
              <w:rPr>
                <w:b/>
                <w:sz w:val="12"/>
              </w:rPr>
            </w:pPr>
            <w:r>
              <w:rPr>
                <w:b/>
                <w:color w:val="231F20"/>
                <w:w w:val="105"/>
                <w:sz w:val="12"/>
              </w:rPr>
              <w:t>Total</w:t>
            </w:r>
            <w:r>
              <w:rPr>
                <w:b/>
                <w:color w:val="231F20"/>
                <w:spacing w:val="-5"/>
                <w:w w:val="105"/>
                <w:sz w:val="12"/>
              </w:rPr>
              <w:t> </w:t>
            </w:r>
            <w:r>
              <w:rPr>
                <w:b/>
                <w:color w:val="231F20"/>
                <w:w w:val="105"/>
                <w:sz w:val="12"/>
              </w:rPr>
              <w:t>Direct</w:t>
            </w:r>
            <w:r>
              <w:rPr>
                <w:b/>
                <w:color w:val="231F20"/>
                <w:spacing w:val="-5"/>
                <w:w w:val="105"/>
                <w:sz w:val="12"/>
              </w:rPr>
              <w:t> </w:t>
            </w:r>
            <w:r>
              <w:rPr>
                <w:b/>
                <w:color w:val="231F20"/>
                <w:w w:val="105"/>
                <w:sz w:val="12"/>
              </w:rPr>
              <w:t>U.S.</w:t>
            </w:r>
            <w:r>
              <w:rPr>
                <w:b/>
                <w:color w:val="231F20"/>
                <w:spacing w:val="-5"/>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5"/>
                <w:w w:val="105"/>
                <w:sz w:val="12"/>
              </w:rPr>
              <w:t> </w:t>
            </w:r>
            <w:r>
              <w:rPr>
                <w:b/>
                <w:color w:val="231F20"/>
                <w:spacing w:val="-2"/>
                <w:w w:val="105"/>
                <w:sz w:val="12"/>
              </w:rPr>
              <w:t>Agriculture</w:t>
            </w:r>
          </w:p>
        </w:tc>
        <w:tc>
          <w:tcPr>
            <w:tcW w:w="902" w:type="dxa"/>
          </w:tcPr>
          <w:p>
            <w:pPr>
              <w:pStyle w:val="TableParagraph"/>
              <w:rPr>
                <w:rFonts w:ascii="Times New Roman"/>
                <w:sz w:val="8"/>
              </w:rPr>
            </w:pPr>
          </w:p>
        </w:tc>
        <w:tc>
          <w:tcPr>
            <w:tcW w:w="5456" w:type="dxa"/>
            <w:gridSpan w:val="2"/>
          </w:tcPr>
          <w:p>
            <w:pPr>
              <w:pStyle w:val="TableParagraph"/>
              <w:rPr>
                <w:rFonts w:ascii="Times New Roman"/>
                <w:sz w:val="8"/>
              </w:rPr>
            </w:pPr>
          </w:p>
        </w:tc>
        <w:tc>
          <w:tcPr>
            <w:tcW w:w="1153"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3" w:lineRule="exact" w:before="7"/>
              <w:ind w:right="73"/>
              <w:jc w:val="right"/>
              <w:rPr>
                <w:b/>
                <w:sz w:val="12"/>
              </w:rPr>
            </w:pPr>
            <w:r>
              <w:rPr>
                <w:b/>
                <w:color w:val="231F20"/>
                <w:spacing w:val="-2"/>
                <w:w w:val="105"/>
                <w:sz w:val="12"/>
              </w:rPr>
              <w:t>17,139</w:t>
            </w:r>
          </w:p>
        </w:tc>
        <w:tc>
          <w:tcPr>
            <w:tcW w:w="153"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3" w:lineRule="exact" w:before="7"/>
              <w:ind w:right="73"/>
              <w:jc w:val="right"/>
              <w:rPr>
                <w:b/>
                <w:sz w:val="12"/>
              </w:rPr>
            </w:pPr>
            <w:r>
              <w:rPr>
                <w:b/>
                <w:color w:val="231F20"/>
                <w:spacing w:val="-2"/>
                <w:w w:val="105"/>
                <w:sz w:val="12"/>
              </w:rPr>
              <w:t>96,687</w:t>
            </w:r>
          </w:p>
        </w:tc>
      </w:tr>
      <w:tr>
        <w:trPr>
          <w:trHeight w:val="488" w:hRule="atLeast"/>
        </w:trPr>
        <w:tc>
          <w:tcPr>
            <w:tcW w:w="4451" w:type="dxa"/>
          </w:tcPr>
          <w:p>
            <w:pPr>
              <w:pStyle w:val="TableParagraph"/>
              <w:spacing w:before="6"/>
              <w:rPr>
                <w:b/>
                <w:sz w:val="15"/>
              </w:rPr>
            </w:pPr>
          </w:p>
          <w:p>
            <w:pPr>
              <w:pStyle w:val="TableParagraph"/>
              <w:ind w:left="32"/>
              <w:rPr>
                <w:b/>
                <w:sz w:val="12"/>
              </w:rPr>
            </w:pPr>
            <w:r>
              <w:rPr>
                <w:b/>
                <w:color w:val="231F20"/>
                <w:w w:val="105"/>
                <w:sz w:val="12"/>
              </w:rPr>
              <w:t>U.S.</w:t>
            </w:r>
            <w:r>
              <w:rPr>
                <w:b/>
                <w:color w:val="231F20"/>
                <w:spacing w:val="-5"/>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5"/>
                <w:w w:val="105"/>
                <w:sz w:val="12"/>
              </w:rPr>
              <w:t> </w:t>
            </w:r>
            <w:r>
              <w:rPr>
                <w:b/>
                <w:color w:val="231F20"/>
                <w:spacing w:val="-2"/>
                <w:w w:val="105"/>
                <w:sz w:val="12"/>
              </w:rPr>
              <w:t>Defense</w:t>
            </w:r>
          </w:p>
          <w:p>
            <w:pPr>
              <w:pStyle w:val="TableParagraph"/>
              <w:spacing w:line="119" w:lineRule="exact" w:before="33"/>
              <w:ind w:left="201"/>
              <w:rPr>
                <w:sz w:val="12"/>
              </w:rPr>
            </w:pPr>
            <w:r>
              <w:rPr>
                <w:color w:val="231F20"/>
                <w:w w:val="105"/>
                <w:sz w:val="12"/>
              </w:rPr>
              <w:t>Direct</w:t>
            </w:r>
            <w:r>
              <w:rPr>
                <w:color w:val="231F20"/>
                <w:spacing w:val="-4"/>
                <w:w w:val="105"/>
                <w:sz w:val="12"/>
              </w:rPr>
              <w:t> </w:t>
            </w:r>
            <w:r>
              <w:rPr>
                <w:color w:val="231F20"/>
                <w:spacing w:val="-2"/>
                <w:w w:val="105"/>
                <w:sz w:val="12"/>
              </w:rPr>
              <w:t>Awards</w:t>
            </w:r>
          </w:p>
        </w:tc>
        <w:tc>
          <w:tcPr>
            <w:tcW w:w="902" w:type="dxa"/>
          </w:tcPr>
          <w:p>
            <w:pPr>
              <w:pStyle w:val="TableParagraph"/>
              <w:rPr>
                <w:rFonts w:ascii="Times New Roman"/>
                <w:sz w:val="12"/>
              </w:rPr>
            </w:pPr>
          </w:p>
        </w:tc>
        <w:tc>
          <w:tcPr>
            <w:tcW w:w="3054" w:type="dxa"/>
          </w:tcPr>
          <w:p>
            <w:pPr>
              <w:pStyle w:val="TableParagraph"/>
              <w:rPr>
                <w:rFonts w:ascii="Times New Roman"/>
                <w:sz w:val="12"/>
              </w:rPr>
            </w:pPr>
          </w:p>
        </w:tc>
        <w:tc>
          <w:tcPr>
            <w:tcW w:w="2402" w:type="dxa"/>
          </w:tcPr>
          <w:p>
            <w:pPr>
              <w:pStyle w:val="TableParagraph"/>
              <w:rPr>
                <w:rFonts w:ascii="Times New Roman"/>
                <w:sz w:val="12"/>
              </w:rPr>
            </w:pPr>
          </w:p>
        </w:tc>
        <w:tc>
          <w:tcPr>
            <w:tcW w:w="1153" w:type="dxa"/>
          </w:tcPr>
          <w:p>
            <w:pPr>
              <w:pStyle w:val="TableParagraph"/>
              <w:rPr>
                <w:rFonts w:ascii="Times New Roman"/>
                <w:sz w:val="12"/>
              </w:rPr>
            </w:pPr>
          </w:p>
        </w:tc>
        <w:tc>
          <w:tcPr>
            <w:tcW w:w="1129" w:type="dxa"/>
          </w:tcPr>
          <w:p>
            <w:pPr>
              <w:pStyle w:val="TableParagraph"/>
              <w:rPr>
                <w:rFonts w:ascii="Times New Roman"/>
                <w:sz w:val="12"/>
              </w:rPr>
            </w:pPr>
          </w:p>
        </w:tc>
        <w:tc>
          <w:tcPr>
            <w:tcW w:w="153" w:type="dxa"/>
          </w:tcPr>
          <w:p>
            <w:pPr>
              <w:pStyle w:val="TableParagraph"/>
              <w:rPr>
                <w:rFonts w:ascii="Times New Roman"/>
                <w:sz w:val="12"/>
              </w:rPr>
            </w:pPr>
          </w:p>
        </w:tc>
        <w:tc>
          <w:tcPr>
            <w:tcW w:w="1129" w:type="dxa"/>
          </w:tcPr>
          <w:p>
            <w:pPr>
              <w:pStyle w:val="TableParagraph"/>
              <w:rPr>
                <w:rFonts w:ascii="Times New Roman"/>
                <w:sz w:val="12"/>
              </w:rPr>
            </w:pPr>
          </w:p>
        </w:tc>
      </w:tr>
      <w:tr>
        <w:trPr>
          <w:trHeight w:val="184" w:hRule="atLeast"/>
        </w:trPr>
        <w:tc>
          <w:tcPr>
            <w:tcW w:w="4451" w:type="dxa"/>
          </w:tcPr>
          <w:p>
            <w:pPr>
              <w:pStyle w:val="TableParagraph"/>
              <w:spacing w:before="26"/>
              <w:ind w:left="372"/>
              <w:rPr>
                <w:sz w:val="12"/>
              </w:rPr>
            </w:pPr>
            <w:r>
              <w:rPr>
                <w:color w:val="231F20"/>
                <w:w w:val="105"/>
                <w:sz w:val="12"/>
              </w:rPr>
              <w:t>Basic</w:t>
            </w:r>
            <w:r>
              <w:rPr>
                <w:color w:val="231F20"/>
                <w:spacing w:val="-9"/>
                <w:w w:val="105"/>
                <w:sz w:val="12"/>
              </w:rPr>
              <w:t> </w:t>
            </w:r>
            <w:r>
              <w:rPr>
                <w:color w:val="231F20"/>
                <w:w w:val="105"/>
                <w:sz w:val="12"/>
              </w:rPr>
              <w:t>and</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Scientific</w:t>
            </w:r>
            <w:r>
              <w:rPr>
                <w:color w:val="231F20"/>
                <w:spacing w:val="-8"/>
                <w:w w:val="105"/>
                <w:sz w:val="12"/>
              </w:rPr>
              <w:t> </w:t>
            </w:r>
            <w:r>
              <w:rPr>
                <w:color w:val="231F20"/>
                <w:spacing w:val="-2"/>
                <w:w w:val="105"/>
                <w:sz w:val="12"/>
              </w:rPr>
              <w:t>Research</w:t>
            </w:r>
          </w:p>
        </w:tc>
        <w:tc>
          <w:tcPr>
            <w:tcW w:w="902" w:type="dxa"/>
          </w:tcPr>
          <w:p>
            <w:pPr>
              <w:pStyle w:val="TableParagraph"/>
              <w:spacing w:line="132" w:lineRule="exact" w:before="32"/>
              <w:ind w:left="380"/>
              <w:rPr>
                <w:sz w:val="12"/>
              </w:rPr>
            </w:pPr>
            <w:r>
              <w:rPr>
                <w:color w:val="231F20"/>
                <w:spacing w:val="-4"/>
                <w:w w:val="105"/>
                <w:sz w:val="12"/>
              </w:rPr>
              <w:t>NTCI</w:t>
            </w:r>
          </w:p>
        </w:tc>
        <w:tc>
          <w:tcPr>
            <w:tcW w:w="3054" w:type="dxa"/>
          </w:tcPr>
          <w:p>
            <w:pPr>
              <w:pStyle w:val="TableParagraph"/>
              <w:rPr>
                <w:rFonts w:ascii="Times New Roman"/>
                <w:sz w:val="12"/>
              </w:rPr>
            </w:pPr>
          </w:p>
        </w:tc>
        <w:tc>
          <w:tcPr>
            <w:tcW w:w="2402" w:type="dxa"/>
          </w:tcPr>
          <w:p>
            <w:pPr>
              <w:pStyle w:val="TableParagraph"/>
              <w:spacing w:before="26"/>
              <w:ind w:left="163"/>
              <w:rPr>
                <w:sz w:val="12"/>
              </w:rPr>
            </w:pPr>
            <w:r>
              <w:rPr>
                <w:color w:val="231F20"/>
                <w:sz w:val="12"/>
              </w:rPr>
              <w:t>N00014-20-1-</w:t>
            </w:r>
            <w:r>
              <w:rPr>
                <w:color w:val="231F20"/>
                <w:spacing w:val="-4"/>
                <w:sz w:val="12"/>
              </w:rPr>
              <w:t>2135</w:t>
            </w:r>
          </w:p>
        </w:tc>
        <w:tc>
          <w:tcPr>
            <w:tcW w:w="1153" w:type="dxa"/>
          </w:tcPr>
          <w:p>
            <w:pPr>
              <w:pStyle w:val="TableParagraph"/>
              <w:spacing w:line="132" w:lineRule="exact" w:before="32"/>
              <w:ind w:left="323" w:right="326"/>
              <w:jc w:val="center"/>
              <w:rPr>
                <w:sz w:val="12"/>
              </w:rPr>
            </w:pPr>
            <w:r>
              <w:rPr>
                <w:color w:val="231F20"/>
                <w:spacing w:val="-2"/>
                <w:w w:val="105"/>
                <w:sz w:val="12"/>
              </w:rPr>
              <w:t>12.300</w:t>
            </w:r>
          </w:p>
        </w:tc>
        <w:tc>
          <w:tcPr>
            <w:tcW w:w="1129" w:type="dxa"/>
          </w:tcPr>
          <w:p>
            <w:pPr>
              <w:pStyle w:val="TableParagraph"/>
              <w:spacing w:line="132" w:lineRule="exact" w:before="32"/>
              <w:ind w:right="73"/>
              <w:jc w:val="right"/>
              <w:rPr>
                <w:sz w:val="12"/>
              </w:rPr>
            </w:pPr>
            <w:r>
              <w:rPr>
                <w:color w:val="231F20"/>
                <w:w w:val="104"/>
                <w:sz w:val="12"/>
              </w:rPr>
              <w:t>-</w:t>
            </w:r>
          </w:p>
        </w:tc>
        <w:tc>
          <w:tcPr>
            <w:tcW w:w="153" w:type="dxa"/>
          </w:tcPr>
          <w:p>
            <w:pPr>
              <w:pStyle w:val="TableParagraph"/>
              <w:rPr>
                <w:rFonts w:ascii="Times New Roman"/>
                <w:sz w:val="12"/>
              </w:rPr>
            </w:pPr>
          </w:p>
        </w:tc>
        <w:tc>
          <w:tcPr>
            <w:tcW w:w="1129" w:type="dxa"/>
          </w:tcPr>
          <w:p>
            <w:pPr>
              <w:pStyle w:val="TableParagraph"/>
              <w:spacing w:line="132" w:lineRule="exact" w:before="32"/>
              <w:ind w:right="73"/>
              <w:jc w:val="right"/>
              <w:rPr>
                <w:sz w:val="12"/>
              </w:rPr>
            </w:pPr>
            <w:r>
              <w:rPr>
                <w:color w:val="231F20"/>
                <w:spacing w:val="-2"/>
                <w:w w:val="105"/>
                <w:sz w:val="12"/>
              </w:rPr>
              <w:t>154,304</w:t>
            </w:r>
          </w:p>
        </w:tc>
      </w:tr>
      <w:tr>
        <w:trPr>
          <w:trHeight w:val="171" w:hRule="atLeast"/>
        </w:trPr>
        <w:tc>
          <w:tcPr>
            <w:tcW w:w="4451" w:type="dxa"/>
          </w:tcPr>
          <w:p>
            <w:pPr>
              <w:pStyle w:val="TableParagraph"/>
              <w:spacing w:line="137" w:lineRule="exact" w:before="14"/>
              <w:ind w:left="372"/>
              <w:rPr>
                <w:sz w:val="12"/>
              </w:rPr>
            </w:pPr>
            <w:r>
              <w:rPr>
                <w:color w:val="231F20"/>
                <w:spacing w:val="-2"/>
                <w:w w:val="105"/>
                <w:sz w:val="12"/>
              </w:rPr>
              <w:t>Basic</w:t>
            </w:r>
            <w:r>
              <w:rPr>
                <w:color w:val="231F20"/>
                <w:spacing w:val="4"/>
                <w:w w:val="105"/>
                <w:sz w:val="12"/>
              </w:rPr>
              <w:t> </w:t>
            </w:r>
            <w:r>
              <w:rPr>
                <w:color w:val="231F20"/>
                <w:spacing w:val="-2"/>
                <w:w w:val="105"/>
                <w:sz w:val="12"/>
              </w:rPr>
              <w:t>Scientific</w:t>
            </w:r>
            <w:r>
              <w:rPr>
                <w:color w:val="231F20"/>
                <w:spacing w:val="5"/>
                <w:w w:val="105"/>
                <w:sz w:val="12"/>
              </w:rPr>
              <w:t> </w:t>
            </w:r>
            <w:r>
              <w:rPr>
                <w:color w:val="231F20"/>
                <w:spacing w:val="-2"/>
                <w:w w:val="105"/>
                <w:sz w:val="12"/>
              </w:rPr>
              <w:t>Research</w:t>
            </w:r>
          </w:p>
        </w:tc>
        <w:tc>
          <w:tcPr>
            <w:tcW w:w="902" w:type="dxa"/>
          </w:tcPr>
          <w:p>
            <w:pPr>
              <w:pStyle w:val="TableParagraph"/>
              <w:spacing w:line="131" w:lineRule="exact" w:before="20"/>
              <w:ind w:left="354"/>
              <w:rPr>
                <w:sz w:val="12"/>
              </w:rPr>
            </w:pPr>
            <w:r>
              <w:rPr>
                <w:color w:val="231F20"/>
                <w:spacing w:val="-4"/>
                <w:w w:val="105"/>
                <w:sz w:val="12"/>
              </w:rPr>
              <w:t>AFAM</w:t>
            </w:r>
          </w:p>
        </w:tc>
        <w:tc>
          <w:tcPr>
            <w:tcW w:w="3054" w:type="dxa"/>
          </w:tcPr>
          <w:p>
            <w:pPr>
              <w:pStyle w:val="TableParagraph"/>
              <w:rPr>
                <w:rFonts w:ascii="Times New Roman"/>
                <w:sz w:val="10"/>
              </w:rPr>
            </w:pPr>
          </w:p>
        </w:tc>
        <w:tc>
          <w:tcPr>
            <w:tcW w:w="2402" w:type="dxa"/>
          </w:tcPr>
          <w:p>
            <w:pPr>
              <w:pStyle w:val="TableParagraph"/>
              <w:spacing w:line="137" w:lineRule="exact" w:before="14"/>
              <w:ind w:left="163"/>
              <w:rPr>
                <w:sz w:val="12"/>
              </w:rPr>
            </w:pPr>
            <w:r>
              <w:rPr>
                <w:color w:val="231F20"/>
                <w:spacing w:val="-2"/>
                <w:w w:val="105"/>
                <w:sz w:val="12"/>
              </w:rPr>
              <w:t>W911NF2020190</w:t>
            </w:r>
          </w:p>
        </w:tc>
        <w:tc>
          <w:tcPr>
            <w:tcW w:w="1153" w:type="dxa"/>
          </w:tcPr>
          <w:p>
            <w:pPr>
              <w:pStyle w:val="TableParagraph"/>
              <w:spacing w:line="131" w:lineRule="exact" w:before="20"/>
              <w:ind w:left="323" w:right="326"/>
              <w:jc w:val="center"/>
              <w:rPr>
                <w:sz w:val="12"/>
              </w:rPr>
            </w:pPr>
            <w:r>
              <w:rPr>
                <w:color w:val="231F20"/>
                <w:spacing w:val="-2"/>
                <w:w w:val="105"/>
                <w:sz w:val="12"/>
              </w:rPr>
              <w:t>12.431</w:t>
            </w:r>
          </w:p>
        </w:tc>
        <w:tc>
          <w:tcPr>
            <w:tcW w:w="1129" w:type="dxa"/>
          </w:tcPr>
          <w:p>
            <w:pPr>
              <w:pStyle w:val="TableParagraph"/>
              <w:spacing w:line="131" w:lineRule="exact" w:before="20"/>
              <w:ind w:right="73"/>
              <w:jc w:val="right"/>
              <w:rPr>
                <w:sz w:val="12"/>
              </w:rPr>
            </w:pPr>
            <w:r>
              <w:rPr>
                <w:color w:val="231F20"/>
                <w:w w:val="104"/>
                <w:sz w:val="12"/>
              </w:rPr>
              <w:t>-</w:t>
            </w:r>
          </w:p>
        </w:tc>
        <w:tc>
          <w:tcPr>
            <w:tcW w:w="153" w:type="dxa"/>
          </w:tcPr>
          <w:p>
            <w:pPr>
              <w:pStyle w:val="TableParagraph"/>
              <w:rPr>
                <w:rFonts w:ascii="Times New Roman"/>
                <w:sz w:val="10"/>
              </w:rPr>
            </w:pPr>
          </w:p>
        </w:tc>
        <w:tc>
          <w:tcPr>
            <w:tcW w:w="1129" w:type="dxa"/>
          </w:tcPr>
          <w:p>
            <w:pPr>
              <w:pStyle w:val="TableParagraph"/>
              <w:spacing w:line="131" w:lineRule="exact" w:before="20"/>
              <w:ind w:right="73"/>
              <w:jc w:val="right"/>
              <w:rPr>
                <w:sz w:val="12"/>
              </w:rPr>
            </w:pPr>
            <w:r>
              <w:rPr>
                <w:color w:val="231F20"/>
                <w:spacing w:val="-2"/>
                <w:w w:val="105"/>
                <w:sz w:val="12"/>
              </w:rPr>
              <w:t>1,084,898</w:t>
            </w:r>
          </w:p>
        </w:tc>
      </w:tr>
      <w:tr>
        <w:trPr>
          <w:trHeight w:val="171" w:hRule="atLeast"/>
        </w:trPr>
        <w:tc>
          <w:tcPr>
            <w:tcW w:w="4451" w:type="dxa"/>
          </w:tcPr>
          <w:p>
            <w:pPr>
              <w:pStyle w:val="TableParagraph"/>
              <w:spacing w:before="13"/>
              <w:ind w:left="372"/>
              <w:rPr>
                <w:sz w:val="12"/>
              </w:rPr>
            </w:pPr>
            <w:r>
              <w:rPr>
                <w:color w:val="231F20"/>
                <w:spacing w:val="-2"/>
                <w:w w:val="105"/>
                <w:sz w:val="12"/>
              </w:rPr>
              <w:t>Basic</w:t>
            </w:r>
            <w:r>
              <w:rPr>
                <w:color w:val="231F20"/>
                <w:spacing w:val="4"/>
                <w:w w:val="105"/>
                <w:sz w:val="12"/>
              </w:rPr>
              <w:t> </w:t>
            </w:r>
            <w:r>
              <w:rPr>
                <w:color w:val="231F20"/>
                <w:spacing w:val="-2"/>
                <w:w w:val="105"/>
                <w:sz w:val="12"/>
              </w:rPr>
              <w:t>Scientific</w:t>
            </w:r>
            <w:r>
              <w:rPr>
                <w:color w:val="231F20"/>
                <w:spacing w:val="5"/>
                <w:w w:val="105"/>
                <w:sz w:val="12"/>
              </w:rPr>
              <w:t> </w:t>
            </w:r>
            <w:r>
              <w:rPr>
                <w:color w:val="231F20"/>
                <w:spacing w:val="-2"/>
                <w:w w:val="105"/>
                <w:sz w:val="12"/>
              </w:rPr>
              <w:t>Research</w:t>
            </w:r>
          </w:p>
        </w:tc>
        <w:tc>
          <w:tcPr>
            <w:tcW w:w="902" w:type="dxa"/>
          </w:tcPr>
          <w:p>
            <w:pPr>
              <w:pStyle w:val="TableParagraph"/>
              <w:spacing w:line="132" w:lineRule="exact" w:before="19"/>
              <w:ind w:left="350"/>
              <w:rPr>
                <w:sz w:val="12"/>
              </w:rPr>
            </w:pPr>
            <w:r>
              <w:rPr>
                <w:color w:val="231F20"/>
                <w:spacing w:val="-4"/>
                <w:w w:val="105"/>
                <w:sz w:val="12"/>
              </w:rPr>
              <w:t>AFMD</w:t>
            </w:r>
          </w:p>
        </w:tc>
        <w:tc>
          <w:tcPr>
            <w:tcW w:w="3054" w:type="dxa"/>
          </w:tcPr>
          <w:p>
            <w:pPr>
              <w:pStyle w:val="TableParagraph"/>
              <w:rPr>
                <w:rFonts w:ascii="Times New Roman"/>
                <w:sz w:val="10"/>
              </w:rPr>
            </w:pPr>
          </w:p>
        </w:tc>
        <w:tc>
          <w:tcPr>
            <w:tcW w:w="2402" w:type="dxa"/>
          </w:tcPr>
          <w:p>
            <w:pPr>
              <w:pStyle w:val="TableParagraph"/>
              <w:spacing w:before="13"/>
              <w:ind w:left="128"/>
              <w:rPr>
                <w:sz w:val="12"/>
              </w:rPr>
            </w:pPr>
            <w:r>
              <w:rPr>
                <w:color w:val="231F20"/>
                <w:spacing w:val="-2"/>
                <w:w w:val="105"/>
                <w:sz w:val="12"/>
              </w:rPr>
              <w:t>W911NF2020032</w:t>
            </w:r>
          </w:p>
        </w:tc>
        <w:tc>
          <w:tcPr>
            <w:tcW w:w="1153" w:type="dxa"/>
          </w:tcPr>
          <w:p>
            <w:pPr>
              <w:pStyle w:val="TableParagraph"/>
              <w:spacing w:line="132" w:lineRule="exact" w:before="19"/>
              <w:ind w:left="323" w:right="326"/>
              <w:jc w:val="center"/>
              <w:rPr>
                <w:sz w:val="12"/>
              </w:rPr>
            </w:pPr>
            <w:r>
              <w:rPr>
                <w:color w:val="231F20"/>
                <w:spacing w:val="-2"/>
                <w:w w:val="105"/>
                <w:sz w:val="12"/>
              </w:rPr>
              <w:t>12.431</w:t>
            </w:r>
          </w:p>
        </w:tc>
        <w:tc>
          <w:tcPr>
            <w:tcW w:w="1129" w:type="dxa"/>
          </w:tcPr>
          <w:p>
            <w:pPr>
              <w:pStyle w:val="TableParagraph"/>
              <w:spacing w:line="132" w:lineRule="exact" w:before="19"/>
              <w:ind w:right="73"/>
              <w:jc w:val="right"/>
              <w:rPr>
                <w:sz w:val="12"/>
              </w:rPr>
            </w:pPr>
            <w:r>
              <w:rPr>
                <w:color w:val="231F20"/>
                <w:w w:val="104"/>
                <w:sz w:val="12"/>
              </w:rPr>
              <w:t>-</w:t>
            </w:r>
          </w:p>
        </w:tc>
        <w:tc>
          <w:tcPr>
            <w:tcW w:w="153" w:type="dxa"/>
          </w:tcPr>
          <w:p>
            <w:pPr>
              <w:pStyle w:val="TableParagraph"/>
              <w:rPr>
                <w:rFonts w:ascii="Times New Roman"/>
                <w:sz w:val="10"/>
              </w:rPr>
            </w:pPr>
          </w:p>
        </w:tc>
        <w:tc>
          <w:tcPr>
            <w:tcW w:w="1129" w:type="dxa"/>
          </w:tcPr>
          <w:p>
            <w:pPr>
              <w:pStyle w:val="TableParagraph"/>
              <w:spacing w:line="132" w:lineRule="exact" w:before="19"/>
              <w:ind w:right="73"/>
              <w:jc w:val="right"/>
              <w:rPr>
                <w:sz w:val="12"/>
              </w:rPr>
            </w:pPr>
            <w:r>
              <w:rPr>
                <w:color w:val="231F20"/>
                <w:spacing w:val="-2"/>
                <w:w w:val="105"/>
                <w:sz w:val="12"/>
              </w:rPr>
              <w:t>7,928</w:t>
            </w:r>
          </w:p>
        </w:tc>
      </w:tr>
      <w:tr>
        <w:trPr>
          <w:trHeight w:val="171" w:hRule="atLeast"/>
        </w:trPr>
        <w:tc>
          <w:tcPr>
            <w:tcW w:w="4451" w:type="dxa"/>
          </w:tcPr>
          <w:p>
            <w:pPr>
              <w:pStyle w:val="TableParagraph"/>
              <w:spacing w:before="14"/>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line="132" w:lineRule="exact" w:before="20"/>
              <w:ind w:left="354"/>
              <w:rPr>
                <w:sz w:val="12"/>
              </w:rPr>
            </w:pPr>
            <w:r>
              <w:rPr>
                <w:color w:val="231F20"/>
                <w:spacing w:val="-4"/>
                <w:w w:val="105"/>
                <w:sz w:val="12"/>
              </w:rPr>
              <w:t>ASDC</w:t>
            </w:r>
          </w:p>
        </w:tc>
        <w:tc>
          <w:tcPr>
            <w:tcW w:w="3054" w:type="dxa"/>
          </w:tcPr>
          <w:p>
            <w:pPr>
              <w:pStyle w:val="TableParagraph"/>
              <w:rPr>
                <w:rFonts w:ascii="Times New Roman"/>
                <w:sz w:val="10"/>
              </w:rPr>
            </w:pPr>
          </w:p>
        </w:tc>
        <w:tc>
          <w:tcPr>
            <w:tcW w:w="2402" w:type="dxa"/>
          </w:tcPr>
          <w:p>
            <w:pPr>
              <w:pStyle w:val="TableParagraph"/>
              <w:spacing w:before="14"/>
              <w:ind w:left="128"/>
              <w:rPr>
                <w:sz w:val="12"/>
              </w:rPr>
            </w:pPr>
            <w:r>
              <w:rPr>
                <w:color w:val="231F20"/>
                <w:spacing w:val="-2"/>
                <w:w w:val="105"/>
                <w:sz w:val="12"/>
              </w:rPr>
              <w:t>W911NF2110214</w:t>
            </w:r>
          </w:p>
        </w:tc>
        <w:tc>
          <w:tcPr>
            <w:tcW w:w="1153" w:type="dxa"/>
          </w:tcPr>
          <w:p>
            <w:pPr>
              <w:pStyle w:val="TableParagraph"/>
              <w:spacing w:line="132" w:lineRule="exact" w:before="20"/>
              <w:ind w:left="323" w:right="326"/>
              <w:jc w:val="center"/>
              <w:rPr>
                <w:sz w:val="12"/>
              </w:rPr>
            </w:pPr>
            <w:r>
              <w:rPr>
                <w:color w:val="231F20"/>
                <w:spacing w:val="-2"/>
                <w:w w:val="105"/>
                <w:sz w:val="12"/>
              </w:rPr>
              <w:t>12.630</w:t>
            </w:r>
          </w:p>
        </w:tc>
        <w:tc>
          <w:tcPr>
            <w:tcW w:w="1129" w:type="dxa"/>
          </w:tcPr>
          <w:p>
            <w:pPr>
              <w:pStyle w:val="TableParagraph"/>
              <w:spacing w:line="132" w:lineRule="exact" w:before="20"/>
              <w:ind w:right="73"/>
              <w:jc w:val="right"/>
              <w:rPr>
                <w:sz w:val="12"/>
              </w:rPr>
            </w:pPr>
            <w:r>
              <w:rPr>
                <w:color w:val="231F20"/>
                <w:w w:val="104"/>
                <w:sz w:val="12"/>
              </w:rPr>
              <w:t>-</w:t>
            </w:r>
          </w:p>
        </w:tc>
        <w:tc>
          <w:tcPr>
            <w:tcW w:w="153" w:type="dxa"/>
          </w:tcPr>
          <w:p>
            <w:pPr>
              <w:pStyle w:val="TableParagraph"/>
              <w:rPr>
                <w:rFonts w:ascii="Times New Roman"/>
                <w:sz w:val="10"/>
              </w:rPr>
            </w:pPr>
          </w:p>
        </w:tc>
        <w:tc>
          <w:tcPr>
            <w:tcW w:w="1129" w:type="dxa"/>
          </w:tcPr>
          <w:p>
            <w:pPr>
              <w:pStyle w:val="TableParagraph"/>
              <w:spacing w:line="132" w:lineRule="exact" w:before="20"/>
              <w:ind w:right="73"/>
              <w:jc w:val="right"/>
              <w:rPr>
                <w:sz w:val="12"/>
              </w:rPr>
            </w:pPr>
            <w:r>
              <w:rPr>
                <w:color w:val="231F20"/>
                <w:spacing w:val="-2"/>
                <w:w w:val="105"/>
                <w:sz w:val="12"/>
              </w:rPr>
              <w:t>149,676</w:t>
            </w:r>
          </w:p>
        </w:tc>
      </w:tr>
      <w:tr>
        <w:trPr>
          <w:trHeight w:val="171" w:hRule="atLeast"/>
        </w:trPr>
        <w:tc>
          <w:tcPr>
            <w:tcW w:w="4451" w:type="dxa"/>
          </w:tcPr>
          <w:p>
            <w:pPr>
              <w:pStyle w:val="TableParagraph"/>
              <w:spacing w:line="137" w:lineRule="exact" w:before="14"/>
              <w:ind w:left="372"/>
              <w:rPr>
                <w:sz w:val="12"/>
              </w:rPr>
            </w:pPr>
            <w:r>
              <w:rPr>
                <w:color w:val="231F20"/>
                <w:spacing w:val="-2"/>
                <w:w w:val="105"/>
                <w:sz w:val="12"/>
              </w:rPr>
              <w:t>Air</w:t>
            </w:r>
            <w:r>
              <w:rPr>
                <w:color w:val="231F20"/>
                <w:spacing w:val="3"/>
                <w:w w:val="105"/>
                <w:sz w:val="12"/>
              </w:rPr>
              <w:t> </w:t>
            </w:r>
            <w:r>
              <w:rPr>
                <w:color w:val="231F20"/>
                <w:spacing w:val="-2"/>
                <w:w w:val="105"/>
                <w:sz w:val="12"/>
              </w:rPr>
              <w:t>Force</w:t>
            </w:r>
            <w:r>
              <w:rPr>
                <w:color w:val="231F20"/>
                <w:spacing w:val="4"/>
                <w:w w:val="105"/>
                <w:sz w:val="12"/>
              </w:rPr>
              <w:t> </w:t>
            </w:r>
            <w:r>
              <w:rPr>
                <w:color w:val="231F20"/>
                <w:spacing w:val="-2"/>
                <w:w w:val="105"/>
                <w:sz w:val="12"/>
              </w:rPr>
              <w:t>Defense</w:t>
            </w:r>
            <w:r>
              <w:rPr>
                <w:color w:val="231F20"/>
                <w:spacing w:val="3"/>
                <w:w w:val="105"/>
                <w:sz w:val="12"/>
              </w:rPr>
              <w:t> </w:t>
            </w:r>
            <w:r>
              <w:rPr>
                <w:color w:val="231F20"/>
                <w:spacing w:val="-2"/>
                <w:w w:val="105"/>
                <w:sz w:val="12"/>
              </w:rPr>
              <w:t>Research</w:t>
            </w:r>
            <w:r>
              <w:rPr>
                <w:color w:val="231F20"/>
                <w:spacing w:val="4"/>
                <w:w w:val="105"/>
                <w:sz w:val="12"/>
              </w:rPr>
              <w:t> </w:t>
            </w:r>
            <w:r>
              <w:rPr>
                <w:color w:val="231F20"/>
                <w:spacing w:val="-2"/>
                <w:w w:val="105"/>
                <w:sz w:val="12"/>
              </w:rPr>
              <w:t>Sciences</w:t>
            </w:r>
            <w:r>
              <w:rPr>
                <w:color w:val="231F20"/>
                <w:spacing w:val="3"/>
                <w:w w:val="105"/>
                <w:sz w:val="12"/>
              </w:rPr>
              <w:t> </w:t>
            </w:r>
            <w:r>
              <w:rPr>
                <w:color w:val="231F20"/>
                <w:spacing w:val="-2"/>
                <w:w w:val="105"/>
                <w:sz w:val="12"/>
              </w:rPr>
              <w:t>Program</w:t>
            </w:r>
          </w:p>
        </w:tc>
        <w:tc>
          <w:tcPr>
            <w:tcW w:w="902" w:type="dxa"/>
          </w:tcPr>
          <w:p>
            <w:pPr>
              <w:pStyle w:val="TableParagraph"/>
              <w:spacing w:line="131" w:lineRule="exact" w:before="20"/>
              <w:ind w:left="363"/>
              <w:rPr>
                <w:sz w:val="12"/>
              </w:rPr>
            </w:pPr>
            <w:r>
              <w:rPr>
                <w:color w:val="231F20"/>
                <w:spacing w:val="-4"/>
                <w:w w:val="105"/>
                <w:sz w:val="12"/>
              </w:rPr>
              <w:t>FPAS</w:t>
            </w:r>
          </w:p>
        </w:tc>
        <w:tc>
          <w:tcPr>
            <w:tcW w:w="3054" w:type="dxa"/>
          </w:tcPr>
          <w:p>
            <w:pPr>
              <w:pStyle w:val="TableParagraph"/>
              <w:rPr>
                <w:rFonts w:ascii="Times New Roman"/>
                <w:sz w:val="10"/>
              </w:rPr>
            </w:pPr>
          </w:p>
        </w:tc>
        <w:tc>
          <w:tcPr>
            <w:tcW w:w="2402" w:type="dxa"/>
          </w:tcPr>
          <w:p>
            <w:pPr>
              <w:pStyle w:val="TableParagraph"/>
              <w:spacing w:line="137" w:lineRule="exact" w:before="14"/>
              <w:ind w:left="129"/>
              <w:rPr>
                <w:sz w:val="12"/>
              </w:rPr>
            </w:pPr>
            <w:r>
              <w:rPr>
                <w:color w:val="231F20"/>
                <w:sz w:val="12"/>
              </w:rPr>
              <w:t>FA9550-21-1-</w:t>
            </w:r>
            <w:r>
              <w:rPr>
                <w:color w:val="231F20"/>
                <w:spacing w:val="-4"/>
                <w:sz w:val="12"/>
              </w:rPr>
              <w:t>0252</w:t>
            </w:r>
          </w:p>
        </w:tc>
        <w:tc>
          <w:tcPr>
            <w:tcW w:w="1153" w:type="dxa"/>
          </w:tcPr>
          <w:p>
            <w:pPr>
              <w:pStyle w:val="TableParagraph"/>
              <w:spacing w:line="131" w:lineRule="exact" w:before="20"/>
              <w:ind w:left="323" w:right="326"/>
              <w:jc w:val="center"/>
              <w:rPr>
                <w:sz w:val="12"/>
              </w:rPr>
            </w:pPr>
            <w:r>
              <w:rPr>
                <w:color w:val="231F20"/>
                <w:spacing w:val="-2"/>
                <w:w w:val="105"/>
                <w:sz w:val="12"/>
              </w:rPr>
              <w:t>12.800</w:t>
            </w:r>
          </w:p>
        </w:tc>
        <w:tc>
          <w:tcPr>
            <w:tcW w:w="1129" w:type="dxa"/>
          </w:tcPr>
          <w:p>
            <w:pPr>
              <w:pStyle w:val="TableParagraph"/>
              <w:spacing w:line="131" w:lineRule="exact" w:before="20"/>
              <w:ind w:right="73"/>
              <w:jc w:val="right"/>
              <w:rPr>
                <w:sz w:val="12"/>
              </w:rPr>
            </w:pPr>
            <w:r>
              <w:rPr>
                <w:color w:val="231F20"/>
                <w:w w:val="104"/>
                <w:sz w:val="12"/>
              </w:rPr>
              <w:t>-</w:t>
            </w:r>
          </w:p>
        </w:tc>
        <w:tc>
          <w:tcPr>
            <w:tcW w:w="153" w:type="dxa"/>
          </w:tcPr>
          <w:p>
            <w:pPr>
              <w:pStyle w:val="TableParagraph"/>
              <w:rPr>
                <w:rFonts w:ascii="Times New Roman"/>
                <w:sz w:val="10"/>
              </w:rPr>
            </w:pPr>
          </w:p>
        </w:tc>
        <w:tc>
          <w:tcPr>
            <w:tcW w:w="1129" w:type="dxa"/>
          </w:tcPr>
          <w:p>
            <w:pPr>
              <w:pStyle w:val="TableParagraph"/>
              <w:spacing w:line="131" w:lineRule="exact" w:before="20"/>
              <w:ind w:right="73"/>
              <w:jc w:val="right"/>
              <w:rPr>
                <w:sz w:val="12"/>
              </w:rPr>
            </w:pPr>
            <w:r>
              <w:rPr>
                <w:color w:val="231F20"/>
                <w:spacing w:val="-2"/>
                <w:w w:val="105"/>
                <w:sz w:val="12"/>
              </w:rPr>
              <w:t>128,104</w:t>
            </w:r>
          </w:p>
        </w:tc>
      </w:tr>
      <w:tr>
        <w:trPr>
          <w:trHeight w:val="171" w:hRule="atLeast"/>
        </w:trPr>
        <w:tc>
          <w:tcPr>
            <w:tcW w:w="4451" w:type="dxa"/>
          </w:tcPr>
          <w:p>
            <w:pPr>
              <w:pStyle w:val="TableParagraph"/>
              <w:spacing w:before="13"/>
              <w:ind w:left="372"/>
              <w:rPr>
                <w:sz w:val="12"/>
              </w:rPr>
            </w:pPr>
            <w:r>
              <w:rPr>
                <w:color w:val="231F20"/>
                <w:spacing w:val="-2"/>
                <w:w w:val="105"/>
                <w:sz w:val="12"/>
              </w:rPr>
              <w:t>Air</w:t>
            </w:r>
            <w:r>
              <w:rPr>
                <w:color w:val="231F20"/>
                <w:spacing w:val="3"/>
                <w:w w:val="105"/>
                <w:sz w:val="12"/>
              </w:rPr>
              <w:t> </w:t>
            </w:r>
            <w:r>
              <w:rPr>
                <w:color w:val="231F20"/>
                <w:spacing w:val="-2"/>
                <w:w w:val="105"/>
                <w:sz w:val="12"/>
              </w:rPr>
              <w:t>Force</w:t>
            </w:r>
            <w:r>
              <w:rPr>
                <w:color w:val="231F20"/>
                <w:spacing w:val="4"/>
                <w:w w:val="105"/>
                <w:sz w:val="12"/>
              </w:rPr>
              <w:t> </w:t>
            </w:r>
            <w:r>
              <w:rPr>
                <w:color w:val="231F20"/>
                <w:spacing w:val="-2"/>
                <w:w w:val="105"/>
                <w:sz w:val="12"/>
              </w:rPr>
              <w:t>Defense</w:t>
            </w:r>
            <w:r>
              <w:rPr>
                <w:color w:val="231F20"/>
                <w:spacing w:val="3"/>
                <w:w w:val="105"/>
                <w:sz w:val="12"/>
              </w:rPr>
              <w:t> </w:t>
            </w:r>
            <w:r>
              <w:rPr>
                <w:color w:val="231F20"/>
                <w:spacing w:val="-2"/>
                <w:w w:val="105"/>
                <w:sz w:val="12"/>
              </w:rPr>
              <w:t>Research</w:t>
            </w:r>
            <w:r>
              <w:rPr>
                <w:color w:val="231F20"/>
                <w:spacing w:val="4"/>
                <w:w w:val="105"/>
                <w:sz w:val="12"/>
              </w:rPr>
              <w:t> </w:t>
            </w:r>
            <w:r>
              <w:rPr>
                <w:color w:val="231F20"/>
                <w:spacing w:val="-2"/>
                <w:w w:val="105"/>
                <w:sz w:val="12"/>
              </w:rPr>
              <w:t>Sciences</w:t>
            </w:r>
            <w:r>
              <w:rPr>
                <w:color w:val="231F20"/>
                <w:spacing w:val="3"/>
                <w:w w:val="105"/>
                <w:sz w:val="12"/>
              </w:rPr>
              <w:t> </w:t>
            </w:r>
            <w:r>
              <w:rPr>
                <w:color w:val="231F20"/>
                <w:spacing w:val="-2"/>
                <w:w w:val="105"/>
                <w:sz w:val="12"/>
              </w:rPr>
              <w:t>Program</w:t>
            </w:r>
          </w:p>
        </w:tc>
        <w:tc>
          <w:tcPr>
            <w:tcW w:w="902" w:type="dxa"/>
          </w:tcPr>
          <w:p>
            <w:pPr>
              <w:pStyle w:val="TableParagraph"/>
              <w:spacing w:line="132" w:lineRule="exact" w:before="19"/>
              <w:ind w:left="360"/>
              <w:rPr>
                <w:sz w:val="12"/>
              </w:rPr>
            </w:pPr>
            <w:r>
              <w:rPr>
                <w:color w:val="231F20"/>
                <w:spacing w:val="-4"/>
                <w:w w:val="105"/>
                <w:sz w:val="12"/>
              </w:rPr>
              <w:t>FSDP</w:t>
            </w:r>
          </w:p>
        </w:tc>
        <w:tc>
          <w:tcPr>
            <w:tcW w:w="3054" w:type="dxa"/>
          </w:tcPr>
          <w:p>
            <w:pPr>
              <w:pStyle w:val="TableParagraph"/>
              <w:rPr>
                <w:rFonts w:ascii="Times New Roman"/>
                <w:sz w:val="10"/>
              </w:rPr>
            </w:pPr>
          </w:p>
        </w:tc>
        <w:tc>
          <w:tcPr>
            <w:tcW w:w="2402" w:type="dxa"/>
          </w:tcPr>
          <w:p>
            <w:pPr>
              <w:pStyle w:val="TableParagraph"/>
              <w:spacing w:before="13"/>
              <w:ind w:left="129"/>
              <w:rPr>
                <w:sz w:val="12"/>
              </w:rPr>
            </w:pPr>
            <w:r>
              <w:rPr>
                <w:color w:val="231F20"/>
                <w:sz w:val="12"/>
              </w:rPr>
              <w:t>FA9550-19-</w:t>
            </w:r>
            <w:r>
              <w:rPr>
                <w:color w:val="231F20"/>
                <w:spacing w:val="-2"/>
                <w:sz w:val="12"/>
              </w:rPr>
              <w:t>10379</w:t>
            </w:r>
          </w:p>
        </w:tc>
        <w:tc>
          <w:tcPr>
            <w:tcW w:w="1153" w:type="dxa"/>
          </w:tcPr>
          <w:p>
            <w:pPr>
              <w:pStyle w:val="TableParagraph"/>
              <w:spacing w:line="132" w:lineRule="exact" w:before="19"/>
              <w:ind w:left="324" w:right="326"/>
              <w:jc w:val="center"/>
              <w:rPr>
                <w:sz w:val="12"/>
              </w:rPr>
            </w:pPr>
            <w:r>
              <w:rPr>
                <w:color w:val="231F20"/>
                <w:spacing w:val="-2"/>
                <w:w w:val="105"/>
                <w:sz w:val="12"/>
              </w:rPr>
              <w:t>12.800</w:t>
            </w:r>
          </w:p>
        </w:tc>
        <w:tc>
          <w:tcPr>
            <w:tcW w:w="1129" w:type="dxa"/>
          </w:tcPr>
          <w:p>
            <w:pPr>
              <w:pStyle w:val="TableParagraph"/>
              <w:spacing w:line="132" w:lineRule="exact" w:before="19"/>
              <w:ind w:right="73"/>
              <w:jc w:val="right"/>
              <w:rPr>
                <w:sz w:val="12"/>
              </w:rPr>
            </w:pPr>
            <w:r>
              <w:rPr>
                <w:color w:val="231F20"/>
                <w:w w:val="104"/>
                <w:sz w:val="12"/>
              </w:rPr>
              <w:t>-</w:t>
            </w:r>
          </w:p>
        </w:tc>
        <w:tc>
          <w:tcPr>
            <w:tcW w:w="153" w:type="dxa"/>
          </w:tcPr>
          <w:p>
            <w:pPr>
              <w:pStyle w:val="TableParagraph"/>
              <w:rPr>
                <w:rFonts w:ascii="Times New Roman"/>
                <w:sz w:val="10"/>
              </w:rPr>
            </w:pPr>
          </w:p>
        </w:tc>
        <w:tc>
          <w:tcPr>
            <w:tcW w:w="1129" w:type="dxa"/>
          </w:tcPr>
          <w:p>
            <w:pPr>
              <w:pStyle w:val="TableParagraph"/>
              <w:spacing w:line="132" w:lineRule="exact" w:before="19"/>
              <w:ind w:right="72"/>
              <w:jc w:val="right"/>
              <w:rPr>
                <w:sz w:val="12"/>
              </w:rPr>
            </w:pPr>
            <w:r>
              <w:rPr>
                <w:color w:val="231F20"/>
                <w:spacing w:val="-2"/>
                <w:w w:val="105"/>
                <w:sz w:val="12"/>
              </w:rPr>
              <w:t>281,667</w:t>
            </w:r>
          </w:p>
        </w:tc>
      </w:tr>
      <w:tr>
        <w:trPr>
          <w:trHeight w:val="164" w:hRule="atLeast"/>
        </w:trPr>
        <w:tc>
          <w:tcPr>
            <w:tcW w:w="4451" w:type="dxa"/>
          </w:tcPr>
          <w:p>
            <w:pPr>
              <w:pStyle w:val="TableParagraph"/>
              <w:spacing w:line="130" w:lineRule="exact" w:before="14"/>
              <w:ind w:left="372"/>
              <w:rPr>
                <w:sz w:val="12"/>
              </w:rPr>
            </w:pPr>
            <w:r>
              <w:rPr>
                <w:color w:val="231F20"/>
                <w:spacing w:val="-2"/>
                <w:w w:val="105"/>
                <w:sz w:val="12"/>
              </w:rPr>
              <w:t>Research</w:t>
            </w:r>
            <w:r>
              <w:rPr>
                <w:color w:val="231F20"/>
                <w:spacing w:val="4"/>
                <w:w w:val="105"/>
                <w:sz w:val="12"/>
              </w:rPr>
              <w:t> </w:t>
            </w:r>
            <w:r>
              <w:rPr>
                <w:color w:val="231F20"/>
                <w:spacing w:val="-2"/>
                <w:w w:val="105"/>
                <w:sz w:val="12"/>
              </w:rPr>
              <w:t>and</w:t>
            </w:r>
            <w:r>
              <w:rPr>
                <w:color w:val="231F20"/>
                <w:spacing w:val="4"/>
                <w:w w:val="105"/>
                <w:sz w:val="12"/>
              </w:rPr>
              <w:t> </w:t>
            </w:r>
            <w:r>
              <w:rPr>
                <w:color w:val="231F20"/>
                <w:spacing w:val="-2"/>
                <w:w w:val="105"/>
                <w:sz w:val="12"/>
              </w:rPr>
              <w:t>Technology</w:t>
            </w:r>
            <w:r>
              <w:rPr>
                <w:color w:val="231F20"/>
                <w:spacing w:val="3"/>
                <w:w w:val="105"/>
                <w:sz w:val="12"/>
              </w:rPr>
              <w:t> </w:t>
            </w:r>
            <w:r>
              <w:rPr>
                <w:color w:val="231F20"/>
                <w:spacing w:val="-2"/>
                <w:w w:val="105"/>
                <w:sz w:val="12"/>
              </w:rPr>
              <w:t>Development</w:t>
            </w:r>
          </w:p>
        </w:tc>
        <w:tc>
          <w:tcPr>
            <w:tcW w:w="902" w:type="dxa"/>
          </w:tcPr>
          <w:p>
            <w:pPr>
              <w:pStyle w:val="TableParagraph"/>
              <w:spacing w:line="124" w:lineRule="exact" w:before="20"/>
              <w:ind w:left="385"/>
              <w:rPr>
                <w:sz w:val="12"/>
              </w:rPr>
            </w:pPr>
            <w:r>
              <w:rPr>
                <w:color w:val="231F20"/>
                <w:spacing w:val="-4"/>
                <w:w w:val="105"/>
                <w:sz w:val="12"/>
              </w:rPr>
              <w:t>FAIR</w:t>
            </w:r>
          </w:p>
        </w:tc>
        <w:tc>
          <w:tcPr>
            <w:tcW w:w="3054" w:type="dxa"/>
          </w:tcPr>
          <w:p>
            <w:pPr>
              <w:pStyle w:val="TableParagraph"/>
              <w:rPr>
                <w:rFonts w:ascii="Times New Roman"/>
                <w:sz w:val="10"/>
              </w:rPr>
            </w:pPr>
          </w:p>
        </w:tc>
        <w:tc>
          <w:tcPr>
            <w:tcW w:w="2402" w:type="dxa"/>
          </w:tcPr>
          <w:p>
            <w:pPr>
              <w:pStyle w:val="TableParagraph"/>
              <w:spacing w:line="130" w:lineRule="exact" w:before="14"/>
              <w:ind w:left="129"/>
              <w:rPr>
                <w:sz w:val="12"/>
              </w:rPr>
            </w:pPr>
            <w:r>
              <w:rPr>
                <w:color w:val="231F20"/>
                <w:sz w:val="12"/>
              </w:rPr>
              <w:t>FA9453-15-2-</w:t>
            </w:r>
            <w:r>
              <w:rPr>
                <w:color w:val="231F20"/>
                <w:spacing w:val="-4"/>
                <w:sz w:val="12"/>
              </w:rPr>
              <w:t>0086</w:t>
            </w:r>
          </w:p>
        </w:tc>
        <w:tc>
          <w:tcPr>
            <w:tcW w:w="1153" w:type="dxa"/>
          </w:tcPr>
          <w:p>
            <w:pPr>
              <w:pStyle w:val="TableParagraph"/>
              <w:spacing w:line="124" w:lineRule="exact" w:before="20"/>
              <w:ind w:left="324" w:right="326"/>
              <w:jc w:val="center"/>
              <w:rPr>
                <w:sz w:val="12"/>
              </w:rPr>
            </w:pPr>
            <w:r>
              <w:rPr>
                <w:color w:val="231F20"/>
                <w:spacing w:val="-2"/>
                <w:w w:val="105"/>
                <w:sz w:val="12"/>
              </w:rPr>
              <w:t>12.910</w:t>
            </w:r>
          </w:p>
        </w:tc>
        <w:tc>
          <w:tcPr>
            <w:tcW w:w="1129" w:type="dxa"/>
            <w:tcBorders>
              <w:bottom w:val="single" w:sz="8" w:space="0" w:color="231F20"/>
            </w:tcBorders>
          </w:tcPr>
          <w:p>
            <w:pPr>
              <w:pStyle w:val="TableParagraph"/>
              <w:spacing w:line="124" w:lineRule="exact" w:before="20"/>
              <w:ind w:right="73"/>
              <w:jc w:val="right"/>
              <w:rPr>
                <w:sz w:val="12"/>
              </w:rPr>
            </w:pPr>
            <w:r>
              <w:rPr>
                <w:color w:val="231F20"/>
                <w:w w:val="104"/>
                <w:sz w:val="12"/>
              </w:rPr>
              <w:t>-</w:t>
            </w:r>
          </w:p>
        </w:tc>
        <w:tc>
          <w:tcPr>
            <w:tcW w:w="153" w:type="dxa"/>
          </w:tcPr>
          <w:p>
            <w:pPr>
              <w:pStyle w:val="TableParagraph"/>
              <w:rPr>
                <w:rFonts w:ascii="Times New Roman"/>
                <w:sz w:val="10"/>
              </w:rPr>
            </w:pPr>
          </w:p>
        </w:tc>
        <w:tc>
          <w:tcPr>
            <w:tcW w:w="1129" w:type="dxa"/>
            <w:tcBorders>
              <w:bottom w:val="single" w:sz="8" w:space="0" w:color="231F20"/>
            </w:tcBorders>
          </w:tcPr>
          <w:p>
            <w:pPr>
              <w:pStyle w:val="TableParagraph"/>
              <w:spacing w:line="124" w:lineRule="exact" w:before="20"/>
              <w:ind w:right="73"/>
              <w:jc w:val="right"/>
              <w:rPr>
                <w:sz w:val="12"/>
              </w:rPr>
            </w:pPr>
            <w:r>
              <w:rPr>
                <w:color w:val="231F20"/>
                <w:spacing w:val="-5"/>
                <w:w w:val="105"/>
                <w:sz w:val="12"/>
              </w:rPr>
              <w:t>129</w:t>
            </w:r>
          </w:p>
        </w:tc>
      </w:tr>
      <w:tr>
        <w:trPr>
          <w:trHeight w:val="247" w:hRule="atLeast"/>
        </w:trPr>
        <w:tc>
          <w:tcPr>
            <w:tcW w:w="4451" w:type="dxa"/>
          </w:tcPr>
          <w:p>
            <w:pPr>
              <w:pStyle w:val="TableParagraph"/>
              <w:spacing w:before="7"/>
              <w:ind w:left="202"/>
              <w:rPr>
                <w:b/>
                <w:sz w:val="12"/>
              </w:rPr>
            </w:pPr>
            <w:r>
              <w:rPr>
                <w:b/>
                <w:color w:val="231F20"/>
                <w:w w:val="105"/>
                <w:sz w:val="12"/>
              </w:rPr>
              <w:t>Total</w:t>
            </w:r>
            <w:r>
              <w:rPr>
                <w:b/>
                <w:color w:val="231F20"/>
                <w:spacing w:val="-5"/>
                <w:w w:val="105"/>
                <w:sz w:val="12"/>
              </w:rPr>
              <w:t> </w:t>
            </w:r>
            <w:r>
              <w:rPr>
                <w:b/>
                <w:color w:val="231F20"/>
                <w:w w:val="105"/>
                <w:sz w:val="12"/>
              </w:rPr>
              <w:t>Direct</w:t>
            </w:r>
            <w:r>
              <w:rPr>
                <w:b/>
                <w:color w:val="231F20"/>
                <w:spacing w:val="-5"/>
                <w:w w:val="105"/>
                <w:sz w:val="12"/>
              </w:rPr>
              <w:t> </w:t>
            </w:r>
            <w:r>
              <w:rPr>
                <w:b/>
                <w:color w:val="231F20"/>
                <w:w w:val="105"/>
                <w:sz w:val="12"/>
              </w:rPr>
              <w:t>U.S.</w:t>
            </w:r>
            <w:r>
              <w:rPr>
                <w:b/>
                <w:color w:val="231F20"/>
                <w:spacing w:val="-4"/>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4"/>
                <w:w w:val="105"/>
                <w:sz w:val="12"/>
              </w:rPr>
              <w:t> </w:t>
            </w:r>
            <w:r>
              <w:rPr>
                <w:b/>
                <w:color w:val="231F20"/>
                <w:spacing w:val="-2"/>
                <w:w w:val="105"/>
                <w:sz w:val="12"/>
              </w:rPr>
              <w:t>Defense</w:t>
            </w:r>
          </w:p>
        </w:tc>
        <w:tc>
          <w:tcPr>
            <w:tcW w:w="902" w:type="dxa"/>
          </w:tcPr>
          <w:p>
            <w:pPr>
              <w:pStyle w:val="TableParagraph"/>
              <w:rPr>
                <w:rFonts w:ascii="Times New Roman"/>
                <w:sz w:val="12"/>
              </w:rPr>
            </w:pPr>
          </w:p>
        </w:tc>
        <w:tc>
          <w:tcPr>
            <w:tcW w:w="3054" w:type="dxa"/>
          </w:tcPr>
          <w:p>
            <w:pPr>
              <w:pStyle w:val="TableParagraph"/>
              <w:rPr>
                <w:rFonts w:ascii="Times New Roman"/>
                <w:sz w:val="12"/>
              </w:rPr>
            </w:pPr>
          </w:p>
        </w:tc>
        <w:tc>
          <w:tcPr>
            <w:tcW w:w="2402" w:type="dxa"/>
          </w:tcPr>
          <w:p>
            <w:pPr>
              <w:pStyle w:val="TableParagraph"/>
              <w:rPr>
                <w:rFonts w:ascii="Times New Roman"/>
                <w:sz w:val="12"/>
              </w:rPr>
            </w:pPr>
          </w:p>
        </w:tc>
        <w:tc>
          <w:tcPr>
            <w:tcW w:w="1153" w:type="dxa"/>
          </w:tcPr>
          <w:p>
            <w:pPr>
              <w:pStyle w:val="TableParagraph"/>
              <w:rPr>
                <w:rFonts w:ascii="Times New Roman"/>
                <w:sz w:val="12"/>
              </w:rPr>
            </w:pPr>
          </w:p>
        </w:tc>
        <w:tc>
          <w:tcPr>
            <w:tcW w:w="1129" w:type="dxa"/>
            <w:tcBorders>
              <w:top w:val="single" w:sz="8" w:space="0" w:color="231F20"/>
            </w:tcBorders>
          </w:tcPr>
          <w:p>
            <w:pPr>
              <w:pStyle w:val="TableParagraph"/>
              <w:spacing w:before="7"/>
              <w:ind w:right="73"/>
              <w:jc w:val="right"/>
              <w:rPr>
                <w:b/>
                <w:sz w:val="12"/>
              </w:rPr>
            </w:pPr>
            <w:r>
              <w:rPr>
                <w:b/>
                <w:color w:val="231F20"/>
                <w:w w:val="104"/>
                <w:sz w:val="12"/>
              </w:rPr>
              <w:t>-</w:t>
            </w:r>
          </w:p>
        </w:tc>
        <w:tc>
          <w:tcPr>
            <w:tcW w:w="153" w:type="dxa"/>
          </w:tcPr>
          <w:p>
            <w:pPr>
              <w:pStyle w:val="TableParagraph"/>
              <w:rPr>
                <w:rFonts w:ascii="Times New Roman"/>
                <w:sz w:val="12"/>
              </w:rPr>
            </w:pPr>
          </w:p>
        </w:tc>
        <w:tc>
          <w:tcPr>
            <w:tcW w:w="1129" w:type="dxa"/>
            <w:tcBorders>
              <w:top w:val="single" w:sz="8" w:space="0" w:color="231F20"/>
            </w:tcBorders>
          </w:tcPr>
          <w:p>
            <w:pPr>
              <w:pStyle w:val="TableParagraph"/>
              <w:spacing w:before="7"/>
              <w:ind w:right="72"/>
              <w:jc w:val="right"/>
              <w:rPr>
                <w:b/>
                <w:sz w:val="12"/>
              </w:rPr>
            </w:pPr>
            <w:r>
              <w:rPr>
                <w:b/>
                <w:color w:val="231F20"/>
                <w:spacing w:val="-2"/>
                <w:w w:val="105"/>
                <w:sz w:val="12"/>
              </w:rPr>
              <w:t>1,806,706</w:t>
            </w:r>
          </w:p>
        </w:tc>
      </w:tr>
      <w:tr>
        <w:trPr>
          <w:trHeight w:val="253" w:hRule="atLeast"/>
        </w:trPr>
        <w:tc>
          <w:tcPr>
            <w:tcW w:w="4451" w:type="dxa"/>
          </w:tcPr>
          <w:p>
            <w:pPr>
              <w:pStyle w:val="TableParagraph"/>
              <w:spacing w:line="132" w:lineRule="exact" w:before="102"/>
              <w:ind w:left="202"/>
              <w:rPr>
                <w:sz w:val="12"/>
              </w:rPr>
            </w:pPr>
            <w:r>
              <w:rPr>
                <w:color w:val="231F20"/>
                <w:sz w:val="12"/>
              </w:rPr>
              <w:t>Pass-</w:t>
            </w:r>
            <w:r>
              <w:rPr>
                <w:color w:val="231F20"/>
                <w:spacing w:val="-2"/>
                <w:w w:val="105"/>
                <w:sz w:val="12"/>
              </w:rPr>
              <w:t>through</w:t>
            </w:r>
          </w:p>
        </w:tc>
        <w:tc>
          <w:tcPr>
            <w:tcW w:w="902" w:type="dxa"/>
          </w:tcPr>
          <w:p>
            <w:pPr>
              <w:pStyle w:val="TableParagraph"/>
              <w:rPr>
                <w:rFonts w:ascii="Times New Roman"/>
                <w:sz w:val="12"/>
              </w:rPr>
            </w:pPr>
          </w:p>
        </w:tc>
        <w:tc>
          <w:tcPr>
            <w:tcW w:w="3054" w:type="dxa"/>
          </w:tcPr>
          <w:p>
            <w:pPr>
              <w:pStyle w:val="TableParagraph"/>
              <w:rPr>
                <w:rFonts w:ascii="Times New Roman"/>
                <w:sz w:val="12"/>
              </w:rPr>
            </w:pPr>
          </w:p>
        </w:tc>
        <w:tc>
          <w:tcPr>
            <w:tcW w:w="2402" w:type="dxa"/>
          </w:tcPr>
          <w:p>
            <w:pPr>
              <w:pStyle w:val="TableParagraph"/>
              <w:rPr>
                <w:rFonts w:ascii="Times New Roman"/>
                <w:sz w:val="12"/>
              </w:rPr>
            </w:pPr>
          </w:p>
        </w:tc>
        <w:tc>
          <w:tcPr>
            <w:tcW w:w="1153" w:type="dxa"/>
          </w:tcPr>
          <w:p>
            <w:pPr>
              <w:pStyle w:val="TableParagraph"/>
              <w:rPr>
                <w:rFonts w:ascii="Times New Roman"/>
                <w:sz w:val="12"/>
              </w:rPr>
            </w:pPr>
          </w:p>
        </w:tc>
        <w:tc>
          <w:tcPr>
            <w:tcW w:w="1129" w:type="dxa"/>
          </w:tcPr>
          <w:p>
            <w:pPr>
              <w:pStyle w:val="TableParagraph"/>
              <w:rPr>
                <w:rFonts w:ascii="Times New Roman"/>
                <w:sz w:val="12"/>
              </w:rPr>
            </w:pPr>
          </w:p>
        </w:tc>
        <w:tc>
          <w:tcPr>
            <w:tcW w:w="153" w:type="dxa"/>
          </w:tcPr>
          <w:p>
            <w:pPr>
              <w:pStyle w:val="TableParagraph"/>
              <w:rPr>
                <w:rFonts w:ascii="Times New Roman"/>
                <w:sz w:val="12"/>
              </w:rPr>
            </w:pPr>
          </w:p>
        </w:tc>
        <w:tc>
          <w:tcPr>
            <w:tcW w:w="1129" w:type="dxa"/>
          </w:tcPr>
          <w:p>
            <w:pPr>
              <w:pStyle w:val="TableParagraph"/>
              <w:rPr>
                <w:rFonts w:ascii="Times New Roman"/>
                <w:sz w:val="12"/>
              </w:rPr>
            </w:pPr>
          </w:p>
        </w:tc>
      </w:tr>
      <w:tr>
        <w:trPr>
          <w:trHeight w:val="170" w:hRule="atLeast"/>
        </w:trPr>
        <w:tc>
          <w:tcPr>
            <w:tcW w:w="4451" w:type="dxa"/>
          </w:tcPr>
          <w:p>
            <w:pPr>
              <w:pStyle w:val="TableParagraph"/>
              <w:spacing w:line="137" w:lineRule="exact" w:before="14"/>
              <w:ind w:left="372"/>
              <w:rPr>
                <w:sz w:val="12"/>
              </w:rPr>
            </w:pPr>
            <w:r>
              <w:rPr>
                <w:color w:val="231F20"/>
                <w:w w:val="105"/>
                <w:sz w:val="12"/>
              </w:rPr>
              <w:t>Scientific</w:t>
            </w:r>
            <w:r>
              <w:rPr>
                <w:color w:val="231F20"/>
                <w:spacing w:val="-9"/>
                <w:w w:val="105"/>
                <w:sz w:val="12"/>
              </w:rPr>
              <w:t> </w:t>
            </w:r>
            <w:r>
              <w:rPr>
                <w:color w:val="231F20"/>
                <w:w w:val="105"/>
                <w:sz w:val="12"/>
              </w:rPr>
              <w:t>Research</w:t>
            </w:r>
            <w:r>
              <w:rPr>
                <w:color w:val="231F20"/>
                <w:spacing w:val="-7"/>
                <w:w w:val="105"/>
                <w:sz w:val="12"/>
              </w:rPr>
              <w:t> </w:t>
            </w:r>
            <w:r>
              <w:rPr>
                <w:color w:val="231F20"/>
                <w:w w:val="105"/>
                <w:sz w:val="12"/>
              </w:rPr>
              <w:t>-</w:t>
            </w:r>
            <w:r>
              <w:rPr>
                <w:color w:val="231F20"/>
                <w:spacing w:val="-9"/>
                <w:w w:val="105"/>
                <w:sz w:val="12"/>
              </w:rPr>
              <w:t> </w:t>
            </w:r>
            <w:r>
              <w:rPr>
                <w:color w:val="231F20"/>
                <w:w w:val="105"/>
                <w:sz w:val="12"/>
              </w:rPr>
              <w:t>Combating</w:t>
            </w:r>
            <w:r>
              <w:rPr>
                <w:color w:val="231F20"/>
                <w:spacing w:val="-8"/>
                <w:w w:val="105"/>
                <w:sz w:val="12"/>
              </w:rPr>
              <w:t> </w:t>
            </w:r>
            <w:r>
              <w:rPr>
                <w:color w:val="231F20"/>
                <w:w w:val="105"/>
                <w:sz w:val="12"/>
              </w:rPr>
              <w:t>Weapons</w:t>
            </w:r>
            <w:r>
              <w:rPr>
                <w:color w:val="231F20"/>
                <w:spacing w:val="-7"/>
                <w:w w:val="105"/>
                <w:sz w:val="12"/>
              </w:rPr>
              <w:t> </w:t>
            </w:r>
            <w:r>
              <w:rPr>
                <w:color w:val="231F20"/>
                <w:w w:val="105"/>
                <w:sz w:val="12"/>
              </w:rPr>
              <w:t>of</w:t>
            </w:r>
            <w:r>
              <w:rPr>
                <w:color w:val="231F20"/>
                <w:spacing w:val="-9"/>
                <w:w w:val="105"/>
                <w:sz w:val="12"/>
              </w:rPr>
              <w:t> </w:t>
            </w:r>
            <w:r>
              <w:rPr>
                <w:color w:val="231F20"/>
                <w:w w:val="105"/>
                <w:sz w:val="12"/>
              </w:rPr>
              <w:t>Mass</w:t>
            </w:r>
            <w:r>
              <w:rPr>
                <w:color w:val="231F20"/>
                <w:spacing w:val="-8"/>
                <w:w w:val="105"/>
                <w:sz w:val="12"/>
              </w:rPr>
              <w:t> </w:t>
            </w:r>
            <w:r>
              <w:rPr>
                <w:color w:val="231F20"/>
                <w:spacing w:val="-2"/>
                <w:w w:val="105"/>
                <w:sz w:val="12"/>
              </w:rPr>
              <w:t>Destruction</w:t>
            </w:r>
          </w:p>
        </w:tc>
        <w:tc>
          <w:tcPr>
            <w:tcW w:w="902" w:type="dxa"/>
          </w:tcPr>
          <w:p>
            <w:pPr>
              <w:pStyle w:val="TableParagraph"/>
              <w:spacing w:line="132" w:lineRule="exact" w:before="18"/>
              <w:ind w:left="343"/>
              <w:rPr>
                <w:sz w:val="12"/>
              </w:rPr>
            </w:pPr>
            <w:r>
              <w:rPr>
                <w:color w:val="231F20"/>
                <w:spacing w:val="-4"/>
                <w:w w:val="105"/>
                <w:sz w:val="12"/>
              </w:rPr>
              <w:t>MTME</w:t>
            </w:r>
          </w:p>
        </w:tc>
        <w:tc>
          <w:tcPr>
            <w:tcW w:w="3054" w:type="dxa"/>
          </w:tcPr>
          <w:p>
            <w:pPr>
              <w:pStyle w:val="TableParagraph"/>
              <w:spacing w:line="137" w:lineRule="exact" w:before="14"/>
              <w:ind w:left="177"/>
              <w:rPr>
                <w:sz w:val="12"/>
              </w:rPr>
            </w:pPr>
            <w:r>
              <w:rPr>
                <w:color w:val="231F20"/>
                <w:w w:val="105"/>
                <w:sz w:val="12"/>
              </w:rPr>
              <w:t>University</w:t>
            </w:r>
            <w:r>
              <w:rPr>
                <w:color w:val="231F20"/>
                <w:spacing w:val="-8"/>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9"/>
                <w:w w:val="105"/>
                <w:sz w:val="12"/>
              </w:rPr>
              <w:t> </w:t>
            </w:r>
            <w:r>
              <w:rPr>
                <w:color w:val="231F20"/>
                <w:spacing w:val="-2"/>
                <w:w w:val="105"/>
                <w:sz w:val="12"/>
              </w:rPr>
              <w:t>Mexico</w:t>
            </w:r>
          </w:p>
        </w:tc>
        <w:tc>
          <w:tcPr>
            <w:tcW w:w="2402" w:type="dxa"/>
          </w:tcPr>
          <w:p>
            <w:pPr>
              <w:pStyle w:val="TableParagraph"/>
              <w:spacing w:line="137" w:lineRule="exact" w:before="14"/>
              <w:ind w:left="129"/>
              <w:rPr>
                <w:sz w:val="12"/>
              </w:rPr>
            </w:pPr>
            <w:r>
              <w:rPr>
                <w:color w:val="231F20"/>
                <w:sz w:val="12"/>
              </w:rPr>
              <w:t>023317-</w:t>
            </w:r>
            <w:r>
              <w:rPr>
                <w:color w:val="231F20"/>
                <w:spacing w:val="-4"/>
                <w:w w:val="105"/>
                <w:sz w:val="12"/>
              </w:rPr>
              <w:t>8746</w:t>
            </w:r>
          </w:p>
        </w:tc>
        <w:tc>
          <w:tcPr>
            <w:tcW w:w="1153" w:type="dxa"/>
          </w:tcPr>
          <w:p>
            <w:pPr>
              <w:pStyle w:val="TableParagraph"/>
              <w:spacing w:line="132" w:lineRule="exact" w:before="18"/>
              <w:ind w:left="324" w:right="326"/>
              <w:jc w:val="center"/>
              <w:rPr>
                <w:sz w:val="12"/>
              </w:rPr>
            </w:pPr>
            <w:r>
              <w:rPr>
                <w:color w:val="231F20"/>
                <w:spacing w:val="-2"/>
                <w:w w:val="105"/>
                <w:sz w:val="12"/>
              </w:rPr>
              <w:t>12.351</w:t>
            </w:r>
          </w:p>
        </w:tc>
        <w:tc>
          <w:tcPr>
            <w:tcW w:w="1129" w:type="dxa"/>
          </w:tcPr>
          <w:p>
            <w:pPr>
              <w:pStyle w:val="TableParagraph"/>
              <w:spacing w:line="132" w:lineRule="exact" w:before="18"/>
              <w:ind w:right="73"/>
              <w:jc w:val="right"/>
              <w:rPr>
                <w:sz w:val="12"/>
              </w:rPr>
            </w:pPr>
            <w:r>
              <w:rPr>
                <w:color w:val="231F20"/>
                <w:w w:val="104"/>
                <w:sz w:val="12"/>
              </w:rPr>
              <w:t>-</w:t>
            </w:r>
          </w:p>
        </w:tc>
        <w:tc>
          <w:tcPr>
            <w:tcW w:w="153" w:type="dxa"/>
          </w:tcPr>
          <w:p>
            <w:pPr>
              <w:pStyle w:val="TableParagraph"/>
              <w:rPr>
                <w:rFonts w:ascii="Times New Roman"/>
                <w:sz w:val="10"/>
              </w:rPr>
            </w:pPr>
          </w:p>
        </w:tc>
        <w:tc>
          <w:tcPr>
            <w:tcW w:w="1129" w:type="dxa"/>
          </w:tcPr>
          <w:p>
            <w:pPr>
              <w:pStyle w:val="TableParagraph"/>
              <w:spacing w:line="132" w:lineRule="exact" w:before="18"/>
              <w:ind w:right="72"/>
              <w:jc w:val="right"/>
              <w:rPr>
                <w:sz w:val="12"/>
              </w:rPr>
            </w:pPr>
            <w:r>
              <w:rPr>
                <w:color w:val="231F20"/>
                <w:spacing w:val="-2"/>
                <w:w w:val="105"/>
                <w:sz w:val="12"/>
              </w:rPr>
              <w:t>13,799</w:t>
            </w:r>
          </w:p>
        </w:tc>
      </w:tr>
      <w:tr>
        <w:trPr>
          <w:trHeight w:val="256" w:hRule="atLeast"/>
        </w:trPr>
        <w:tc>
          <w:tcPr>
            <w:tcW w:w="4451" w:type="dxa"/>
          </w:tcPr>
          <w:p>
            <w:pPr>
              <w:pStyle w:val="TableParagraph"/>
              <w:spacing w:before="14"/>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before="20"/>
              <w:ind w:left="340"/>
              <w:rPr>
                <w:sz w:val="12"/>
              </w:rPr>
            </w:pPr>
            <w:r>
              <w:rPr>
                <w:color w:val="231F20"/>
                <w:spacing w:val="-4"/>
                <w:w w:val="105"/>
                <w:sz w:val="12"/>
              </w:rPr>
              <w:t>MDMT</w:t>
            </w:r>
          </w:p>
        </w:tc>
        <w:tc>
          <w:tcPr>
            <w:tcW w:w="3054" w:type="dxa"/>
          </w:tcPr>
          <w:p>
            <w:pPr>
              <w:pStyle w:val="TableParagraph"/>
              <w:spacing w:before="14"/>
              <w:ind w:left="177"/>
              <w:rPr>
                <w:sz w:val="12"/>
              </w:rPr>
            </w:pPr>
            <w:r>
              <w:rPr>
                <w:color w:val="231F20"/>
                <w:w w:val="105"/>
                <w:sz w:val="12"/>
              </w:rPr>
              <w:t>Johns</w:t>
            </w:r>
            <w:r>
              <w:rPr>
                <w:color w:val="231F20"/>
                <w:spacing w:val="-8"/>
                <w:w w:val="105"/>
                <w:sz w:val="12"/>
              </w:rPr>
              <w:t> </w:t>
            </w:r>
            <w:r>
              <w:rPr>
                <w:color w:val="231F20"/>
                <w:w w:val="105"/>
                <w:sz w:val="12"/>
              </w:rPr>
              <w:t>Hopkins</w:t>
            </w:r>
            <w:r>
              <w:rPr>
                <w:color w:val="231F20"/>
                <w:spacing w:val="-8"/>
                <w:w w:val="105"/>
                <w:sz w:val="12"/>
              </w:rPr>
              <w:t> </w:t>
            </w:r>
            <w:r>
              <w:rPr>
                <w:color w:val="231F20"/>
                <w:spacing w:val="-2"/>
                <w:w w:val="105"/>
                <w:sz w:val="12"/>
              </w:rPr>
              <w:t>University</w:t>
            </w:r>
          </w:p>
        </w:tc>
        <w:tc>
          <w:tcPr>
            <w:tcW w:w="2402" w:type="dxa"/>
          </w:tcPr>
          <w:p>
            <w:pPr>
              <w:pStyle w:val="TableParagraph"/>
              <w:spacing w:before="14"/>
              <w:ind w:left="128"/>
              <w:rPr>
                <w:sz w:val="12"/>
              </w:rPr>
            </w:pPr>
            <w:r>
              <w:rPr>
                <w:color w:val="231F20"/>
                <w:spacing w:val="-2"/>
                <w:w w:val="105"/>
                <w:sz w:val="12"/>
              </w:rPr>
              <w:t>2001645111</w:t>
            </w:r>
          </w:p>
        </w:tc>
        <w:tc>
          <w:tcPr>
            <w:tcW w:w="1153" w:type="dxa"/>
          </w:tcPr>
          <w:p>
            <w:pPr>
              <w:pStyle w:val="TableParagraph"/>
              <w:spacing w:before="20"/>
              <w:ind w:left="324" w:right="326"/>
              <w:jc w:val="center"/>
              <w:rPr>
                <w:sz w:val="12"/>
              </w:rPr>
            </w:pPr>
            <w:r>
              <w:rPr>
                <w:color w:val="231F20"/>
                <w:spacing w:val="-2"/>
                <w:w w:val="105"/>
                <w:sz w:val="12"/>
              </w:rPr>
              <w:t>12.630</w:t>
            </w:r>
          </w:p>
        </w:tc>
        <w:tc>
          <w:tcPr>
            <w:tcW w:w="1129" w:type="dxa"/>
          </w:tcPr>
          <w:p>
            <w:pPr>
              <w:pStyle w:val="TableParagraph"/>
              <w:spacing w:before="20"/>
              <w:ind w:right="73"/>
              <w:jc w:val="right"/>
              <w:rPr>
                <w:sz w:val="12"/>
              </w:rPr>
            </w:pPr>
            <w:r>
              <w:rPr>
                <w:color w:val="231F20"/>
                <w:w w:val="104"/>
                <w:sz w:val="12"/>
              </w:rPr>
              <w:t>-</w:t>
            </w:r>
          </w:p>
        </w:tc>
        <w:tc>
          <w:tcPr>
            <w:tcW w:w="153" w:type="dxa"/>
          </w:tcPr>
          <w:p>
            <w:pPr>
              <w:pStyle w:val="TableParagraph"/>
              <w:rPr>
                <w:rFonts w:ascii="Times New Roman"/>
                <w:sz w:val="12"/>
              </w:rPr>
            </w:pPr>
          </w:p>
        </w:tc>
        <w:tc>
          <w:tcPr>
            <w:tcW w:w="1129" w:type="dxa"/>
          </w:tcPr>
          <w:p>
            <w:pPr>
              <w:pStyle w:val="TableParagraph"/>
              <w:spacing w:before="20"/>
              <w:ind w:right="72"/>
              <w:jc w:val="right"/>
              <w:rPr>
                <w:sz w:val="12"/>
              </w:rPr>
            </w:pPr>
            <w:r>
              <w:rPr>
                <w:color w:val="231F20"/>
                <w:spacing w:val="-2"/>
                <w:w w:val="105"/>
                <w:sz w:val="12"/>
              </w:rPr>
              <w:t>29,401</w:t>
            </w:r>
          </w:p>
        </w:tc>
      </w:tr>
      <w:tr>
        <w:trPr>
          <w:trHeight w:val="342" w:hRule="atLeast"/>
        </w:trPr>
        <w:tc>
          <w:tcPr>
            <w:tcW w:w="4451" w:type="dxa"/>
          </w:tcPr>
          <w:p>
            <w:pPr>
              <w:pStyle w:val="TableParagraph"/>
              <w:spacing w:before="99"/>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before="105"/>
              <w:ind w:left="358"/>
              <w:rPr>
                <w:sz w:val="12"/>
              </w:rPr>
            </w:pPr>
            <w:r>
              <w:rPr>
                <w:color w:val="231F20"/>
                <w:spacing w:val="-4"/>
                <w:w w:val="105"/>
                <w:sz w:val="12"/>
              </w:rPr>
              <w:t>PREA</w:t>
            </w:r>
          </w:p>
        </w:tc>
        <w:tc>
          <w:tcPr>
            <w:tcW w:w="3054" w:type="dxa"/>
          </w:tcPr>
          <w:p>
            <w:pPr>
              <w:pStyle w:val="TableParagraph"/>
              <w:spacing w:before="99"/>
              <w:ind w:left="177"/>
              <w:rPr>
                <w:sz w:val="12"/>
              </w:rPr>
            </w:pPr>
            <w:r>
              <w:rPr>
                <w:color w:val="231F20"/>
                <w:w w:val="105"/>
                <w:sz w:val="12"/>
              </w:rPr>
              <w:t>MSI</w:t>
            </w:r>
            <w:r>
              <w:rPr>
                <w:color w:val="231F20"/>
                <w:spacing w:val="-8"/>
                <w:w w:val="105"/>
                <w:sz w:val="12"/>
              </w:rPr>
              <w:t> </w:t>
            </w:r>
            <w:r>
              <w:rPr>
                <w:color w:val="231F20"/>
                <w:w w:val="105"/>
                <w:sz w:val="12"/>
              </w:rPr>
              <w:t>STEM</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&amp;</w:t>
            </w:r>
            <w:r>
              <w:rPr>
                <w:color w:val="231F20"/>
                <w:spacing w:val="-7"/>
                <w:w w:val="105"/>
                <w:sz w:val="12"/>
              </w:rPr>
              <w:t> </w:t>
            </w:r>
            <w:r>
              <w:rPr>
                <w:color w:val="231F20"/>
                <w:w w:val="105"/>
                <w:sz w:val="12"/>
              </w:rPr>
              <w:t>Development</w:t>
            </w:r>
            <w:r>
              <w:rPr>
                <w:color w:val="231F20"/>
                <w:spacing w:val="-8"/>
                <w:w w:val="105"/>
                <w:sz w:val="12"/>
              </w:rPr>
              <w:t> </w:t>
            </w:r>
            <w:r>
              <w:rPr>
                <w:color w:val="231F20"/>
                <w:spacing w:val="-2"/>
                <w:w w:val="105"/>
                <w:sz w:val="12"/>
              </w:rPr>
              <w:t>Consortium</w:t>
            </w:r>
          </w:p>
        </w:tc>
        <w:tc>
          <w:tcPr>
            <w:tcW w:w="2402" w:type="dxa"/>
          </w:tcPr>
          <w:p>
            <w:pPr>
              <w:pStyle w:val="TableParagraph"/>
              <w:spacing w:before="99"/>
              <w:ind w:left="129"/>
              <w:rPr>
                <w:sz w:val="12"/>
              </w:rPr>
            </w:pPr>
            <w:r>
              <w:rPr>
                <w:color w:val="231F20"/>
                <w:sz w:val="12"/>
              </w:rPr>
              <w:t>W911SR20F0018</w:t>
            </w:r>
            <w:r>
              <w:rPr>
                <w:color w:val="231F20"/>
                <w:spacing w:val="30"/>
                <w:w w:val="105"/>
                <w:sz w:val="12"/>
              </w:rPr>
              <w:t> </w:t>
            </w:r>
            <w:r>
              <w:rPr>
                <w:color w:val="231F20"/>
                <w:spacing w:val="-2"/>
                <w:w w:val="105"/>
                <w:sz w:val="12"/>
              </w:rPr>
              <w:t>(#0041)</w:t>
            </w:r>
          </w:p>
        </w:tc>
        <w:tc>
          <w:tcPr>
            <w:tcW w:w="1153" w:type="dxa"/>
          </w:tcPr>
          <w:p>
            <w:pPr>
              <w:pStyle w:val="TableParagraph"/>
              <w:spacing w:before="105"/>
              <w:ind w:left="324" w:right="326"/>
              <w:jc w:val="center"/>
              <w:rPr>
                <w:sz w:val="12"/>
              </w:rPr>
            </w:pPr>
            <w:r>
              <w:rPr>
                <w:color w:val="231F20"/>
                <w:spacing w:val="-2"/>
                <w:w w:val="105"/>
                <w:sz w:val="12"/>
              </w:rPr>
              <w:t>12.630</w:t>
            </w:r>
          </w:p>
        </w:tc>
        <w:tc>
          <w:tcPr>
            <w:tcW w:w="1129" w:type="dxa"/>
          </w:tcPr>
          <w:p>
            <w:pPr>
              <w:pStyle w:val="TableParagraph"/>
              <w:spacing w:before="105"/>
              <w:ind w:right="73"/>
              <w:jc w:val="right"/>
              <w:rPr>
                <w:sz w:val="12"/>
              </w:rPr>
            </w:pPr>
            <w:r>
              <w:rPr>
                <w:color w:val="231F20"/>
                <w:w w:val="104"/>
                <w:sz w:val="12"/>
              </w:rPr>
              <w:t>-</w:t>
            </w:r>
          </w:p>
        </w:tc>
        <w:tc>
          <w:tcPr>
            <w:tcW w:w="153" w:type="dxa"/>
          </w:tcPr>
          <w:p>
            <w:pPr>
              <w:pStyle w:val="TableParagraph"/>
              <w:rPr>
                <w:rFonts w:ascii="Times New Roman"/>
                <w:sz w:val="12"/>
              </w:rPr>
            </w:pPr>
          </w:p>
        </w:tc>
        <w:tc>
          <w:tcPr>
            <w:tcW w:w="1129" w:type="dxa"/>
          </w:tcPr>
          <w:p>
            <w:pPr>
              <w:pStyle w:val="TableParagraph"/>
              <w:spacing w:before="105"/>
              <w:ind w:right="73"/>
              <w:jc w:val="right"/>
              <w:rPr>
                <w:sz w:val="12"/>
              </w:rPr>
            </w:pPr>
            <w:r>
              <w:rPr>
                <w:color w:val="231F20"/>
                <w:spacing w:val="-5"/>
                <w:w w:val="105"/>
                <w:sz w:val="12"/>
              </w:rPr>
              <w:t>586</w:t>
            </w:r>
          </w:p>
        </w:tc>
      </w:tr>
      <w:tr>
        <w:trPr>
          <w:trHeight w:val="342" w:hRule="atLeast"/>
        </w:trPr>
        <w:tc>
          <w:tcPr>
            <w:tcW w:w="4451" w:type="dxa"/>
          </w:tcPr>
          <w:p>
            <w:pPr>
              <w:pStyle w:val="TableParagraph"/>
              <w:spacing w:before="99"/>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before="105"/>
              <w:ind w:left="353"/>
              <w:rPr>
                <w:sz w:val="12"/>
              </w:rPr>
            </w:pPr>
            <w:r>
              <w:rPr>
                <w:color w:val="231F20"/>
                <w:spacing w:val="-4"/>
                <w:w w:val="105"/>
                <w:sz w:val="12"/>
              </w:rPr>
              <w:t>TAOD</w:t>
            </w:r>
          </w:p>
        </w:tc>
        <w:tc>
          <w:tcPr>
            <w:tcW w:w="3054" w:type="dxa"/>
          </w:tcPr>
          <w:p>
            <w:pPr>
              <w:pStyle w:val="TableParagraph"/>
              <w:spacing w:before="99"/>
              <w:ind w:left="142"/>
              <w:rPr>
                <w:sz w:val="12"/>
              </w:rPr>
            </w:pPr>
            <w:r>
              <w:rPr>
                <w:color w:val="231F20"/>
                <w:w w:val="105"/>
                <w:sz w:val="12"/>
              </w:rPr>
              <w:t>MSI</w:t>
            </w:r>
            <w:r>
              <w:rPr>
                <w:color w:val="231F20"/>
                <w:spacing w:val="-9"/>
                <w:w w:val="105"/>
                <w:sz w:val="12"/>
              </w:rPr>
              <w:t> </w:t>
            </w:r>
            <w:r>
              <w:rPr>
                <w:color w:val="231F20"/>
                <w:w w:val="105"/>
                <w:sz w:val="12"/>
              </w:rPr>
              <w:t>STEM</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&amp;</w:t>
            </w:r>
            <w:r>
              <w:rPr>
                <w:color w:val="231F20"/>
                <w:spacing w:val="-8"/>
                <w:w w:val="105"/>
                <w:sz w:val="12"/>
              </w:rPr>
              <w:t> </w:t>
            </w:r>
            <w:r>
              <w:rPr>
                <w:color w:val="231F20"/>
                <w:w w:val="105"/>
                <w:sz w:val="12"/>
              </w:rPr>
              <w:t>Development</w:t>
            </w:r>
            <w:r>
              <w:rPr>
                <w:color w:val="231F20"/>
                <w:spacing w:val="-7"/>
                <w:w w:val="105"/>
                <w:sz w:val="12"/>
              </w:rPr>
              <w:t> </w:t>
            </w:r>
            <w:r>
              <w:rPr>
                <w:color w:val="231F20"/>
                <w:spacing w:val="-2"/>
                <w:w w:val="105"/>
                <w:sz w:val="12"/>
              </w:rPr>
              <w:t>Consortium</w:t>
            </w:r>
          </w:p>
        </w:tc>
        <w:tc>
          <w:tcPr>
            <w:tcW w:w="2402" w:type="dxa"/>
          </w:tcPr>
          <w:p>
            <w:pPr>
              <w:pStyle w:val="TableParagraph"/>
              <w:spacing w:before="99"/>
              <w:ind w:left="129"/>
              <w:rPr>
                <w:sz w:val="12"/>
              </w:rPr>
            </w:pPr>
            <w:r>
              <w:rPr>
                <w:color w:val="231F20"/>
                <w:sz w:val="12"/>
              </w:rPr>
              <w:t>W911SR-14-2-0001-</w:t>
            </w:r>
            <w:r>
              <w:rPr>
                <w:color w:val="231F20"/>
                <w:spacing w:val="-2"/>
                <w:sz w:val="12"/>
              </w:rPr>
              <w:t>#0036</w:t>
            </w:r>
          </w:p>
        </w:tc>
        <w:tc>
          <w:tcPr>
            <w:tcW w:w="1153" w:type="dxa"/>
          </w:tcPr>
          <w:p>
            <w:pPr>
              <w:pStyle w:val="TableParagraph"/>
              <w:spacing w:before="105"/>
              <w:ind w:left="324" w:right="326"/>
              <w:jc w:val="center"/>
              <w:rPr>
                <w:sz w:val="12"/>
              </w:rPr>
            </w:pPr>
            <w:r>
              <w:rPr>
                <w:color w:val="231F20"/>
                <w:spacing w:val="-2"/>
                <w:w w:val="105"/>
                <w:sz w:val="12"/>
              </w:rPr>
              <w:t>12.630</w:t>
            </w:r>
          </w:p>
        </w:tc>
        <w:tc>
          <w:tcPr>
            <w:tcW w:w="1129" w:type="dxa"/>
          </w:tcPr>
          <w:p>
            <w:pPr>
              <w:pStyle w:val="TableParagraph"/>
              <w:spacing w:before="105"/>
              <w:ind w:right="73"/>
              <w:jc w:val="right"/>
              <w:rPr>
                <w:sz w:val="12"/>
              </w:rPr>
            </w:pPr>
            <w:r>
              <w:rPr>
                <w:color w:val="231F20"/>
                <w:w w:val="104"/>
                <w:sz w:val="12"/>
              </w:rPr>
              <w:t>-</w:t>
            </w:r>
          </w:p>
        </w:tc>
        <w:tc>
          <w:tcPr>
            <w:tcW w:w="153" w:type="dxa"/>
          </w:tcPr>
          <w:p>
            <w:pPr>
              <w:pStyle w:val="TableParagraph"/>
              <w:rPr>
                <w:rFonts w:ascii="Times New Roman"/>
                <w:sz w:val="12"/>
              </w:rPr>
            </w:pPr>
          </w:p>
        </w:tc>
        <w:tc>
          <w:tcPr>
            <w:tcW w:w="1129" w:type="dxa"/>
          </w:tcPr>
          <w:p>
            <w:pPr>
              <w:pStyle w:val="TableParagraph"/>
              <w:spacing w:before="105"/>
              <w:ind w:right="73"/>
              <w:jc w:val="right"/>
              <w:rPr>
                <w:sz w:val="12"/>
              </w:rPr>
            </w:pPr>
            <w:r>
              <w:rPr>
                <w:color w:val="231F20"/>
                <w:spacing w:val="-2"/>
                <w:w w:val="105"/>
                <w:sz w:val="12"/>
              </w:rPr>
              <w:t>2,459</w:t>
            </w:r>
          </w:p>
        </w:tc>
      </w:tr>
      <w:tr>
        <w:trPr>
          <w:trHeight w:val="342" w:hRule="atLeast"/>
        </w:trPr>
        <w:tc>
          <w:tcPr>
            <w:tcW w:w="4451" w:type="dxa"/>
          </w:tcPr>
          <w:p>
            <w:pPr>
              <w:pStyle w:val="TableParagraph"/>
              <w:spacing w:before="99"/>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before="105"/>
              <w:ind w:left="360"/>
              <w:rPr>
                <w:sz w:val="12"/>
              </w:rPr>
            </w:pPr>
            <w:r>
              <w:rPr>
                <w:color w:val="231F20"/>
                <w:spacing w:val="-4"/>
                <w:w w:val="105"/>
                <w:sz w:val="12"/>
              </w:rPr>
              <w:t>TDJM</w:t>
            </w:r>
          </w:p>
        </w:tc>
        <w:tc>
          <w:tcPr>
            <w:tcW w:w="3054" w:type="dxa"/>
          </w:tcPr>
          <w:p>
            <w:pPr>
              <w:pStyle w:val="TableParagraph"/>
              <w:spacing w:before="99"/>
              <w:ind w:left="142"/>
              <w:rPr>
                <w:sz w:val="12"/>
              </w:rPr>
            </w:pPr>
            <w:r>
              <w:rPr>
                <w:color w:val="231F20"/>
                <w:w w:val="105"/>
                <w:sz w:val="12"/>
              </w:rPr>
              <w:t>MSI</w:t>
            </w:r>
            <w:r>
              <w:rPr>
                <w:color w:val="231F20"/>
                <w:spacing w:val="-9"/>
                <w:w w:val="105"/>
                <w:sz w:val="12"/>
              </w:rPr>
              <w:t> </w:t>
            </w:r>
            <w:r>
              <w:rPr>
                <w:color w:val="231F20"/>
                <w:w w:val="105"/>
                <w:sz w:val="12"/>
              </w:rPr>
              <w:t>STEM</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&amp;</w:t>
            </w:r>
            <w:r>
              <w:rPr>
                <w:color w:val="231F20"/>
                <w:spacing w:val="-8"/>
                <w:w w:val="105"/>
                <w:sz w:val="12"/>
              </w:rPr>
              <w:t> </w:t>
            </w:r>
            <w:r>
              <w:rPr>
                <w:color w:val="231F20"/>
                <w:w w:val="105"/>
                <w:sz w:val="12"/>
              </w:rPr>
              <w:t>Development</w:t>
            </w:r>
            <w:r>
              <w:rPr>
                <w:color w:val="231F20"/>
                <w:spacing w:val="-7"/>
                <w:w w:val="105"/>
                <w:sz w:val="12"/>
              </w:rPr>
              <w:t> </w:t>
            </w:r>
            <w:r>
              <w:rPr>
                <w:color w:val="231F20"/>
                <w:spacing w:val="-2"/>
                <w:w w:val="105"/>
                <w:sz w:val="12"/>
              </w:rPr>
              <w:t>Consortium</w:t>
            </w:r>
          </w:p>
        </w:tc>
        <w:tc>
          <w:tcPr>
            <w:tcW w:w="2402" w:type="dxa"/>
          </w:tcPr>
          <w:p>
            <w:pPr>
              <w:pStyle w:val="TableParagraph"/>
              <w:spacing w:before="99"/>
              <w:ind w:left="129"/>
              <w:rPr>
                <w:sz w:val="12"/>
              </w:rPr>
            </w:pPr>
            <w:r>
              <w:rPr>
                <w:color w:val="231F20"/>
                <w:sz w:val="12"/>
              </w:rPr>
              <w:t>W911SR19F0050</w:t>
            </w:r>
            <w:r>
              <w:rPr>
                <w:color w:val="231F20"/>
                <w:spacing w:val="30"/>
                <w:w w:val="105"/>
                <w:sz w:val="12"/>
              </w:rPr>
              <w:t> </w:t>
            </w:r>
            <w:r>
              <w:rPr>
                <w:color w:val="231F20"/>
                <w:spacing w:val="-2"/>
                <w:w w:val="105"/>
                <w:sz w:val="12"/>
              </w:rPr>
              <w:t>(0054)</w:t>
            </w:r>
          </w:p>
        </w:tc>
        <w:tc>
          <w:tcPr>
            <w:tcW w:w="1153" w:type="dxa"/>
          </w:tcPr>
          <w:p>
            <w:pPr>
              <w:pStyle w:val="TableParagraph"/>
              <w:spacing w:before="105"/>
              <w:ind w:left="324" w:right="326"/>
              <w:jc w:val="center"/>
              <w:rPr>
                <w:sz w:val="12"/>
              </w:rPr>
            </w:pPr>
            <w:r>
              <w:rPr>
                <w:color w:val="231F20"/>
                <w:spacing w:val="-2"/>
                <w:w w:val="105"/>
                <w:sz w:val="12"/>
              </w:rPr>
              <w:t>12.630</w:t>
            </w:r>
          </w:p>
        </w:tc>
        <w:tc>
          <w:tcPr>
            <w:tcW w:w="1129" w:type="dxa"/>
          </w:tcPr>
          <w:p>
            <w:pPr>
              <w:pStyle w:val="TableParagraph"/>
              <w:spacing w:before="105"/>
              <w:ind w:right="73"/>
              <w:jc w:val="right"/>
              <w:rPr>
                <w:sz w:val="12"/>
              </w:rPr>
            </w:pPr>
            <w:r>
              <w:rPr>
                <w:color w:val="231F20"/>
                <w:w w:val="104"/>
                <w:sz w:val="12"/>
              </w:rPr>
              <w:t>-</w:t>
            </w:r>
          </w:p>
        </w:tc>
        <w:tc>
          <w:tcPr>
            <w:tcW w:w="153" w:type="dxa"/>
          </w:tcPr>
          <w:p>
            <w:pPr>
              <w:pStyle w:val="TableParagraph"/>
              <w:rPr>
                <w:rFonts w:ascii="Times New Roman"/>
                <w:sz w:val="12"/>
              </w:rPr>
            </w:pPr>
          </w:p>
        </w:tc>
        <w:tc>
          <w:tcPr>
            <w:tcW w:w="1129" w:type="dxa"/>
          </w:tcPr>
          <w:p>
            <w:pPr>
              <w:pStyle w:val="TableParagraph"/>
              <w:spacing w:before="105"/>
              <w:ind w:right="72"/>
              <w:jc w:val="right"/>
              <w:rPr>
                <w:sz w:val="12"/>
              </w:rPr>
            </w:pPr>
            <w:r>
              <w:rPr>
                <w:color w:val="231F20"/>
                <w:spacing w:val="-2"/>
                <w:w w:val="105"/>
                <w:sz w:val="12"/>
              </w:rPr>
              <w:t>203,919</w:t>
            </w:r>
          </w:p>
        </w:tc>
      </w:tr>
      <w:tr>
        <w:trPr>
          <w:trHeight w:val="342" w:hRule="atLeast"/>
        </w:trPr>
        <w:tc>
          <w:tcPr>
            <w:tcW w:w="4451" w:type="dxa"/>
          </w:tcPr>
          <w:p>
            <w:pPr>
              <w:pStyle w:val="TableParagraph"/>
              <w:spacing w:before="99"/>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before="105"/>
              <w:ind w:left="356"/>
              <w:rPr>
                <w:sz w:val="12"/>
              </w:rPr>
            </w:pPr>
            <w:r>
              <w:rPr>
                <w:color w:val="231F20"/>
                <w:spacing w:val="-4"/>
                <w:w w:val="105"/>
                <w:sz w:val="12"/>
              </w:rPr>
              <w:t>TDPD</w:t>
            </w:r>
          </w:p>
        </w:tc>
        <w:tc>
          <w:tcPr>
            <w:tcW w:w="3054" w:type="dxa"/>
          </w:tcPr>
          <w:p>
            <w:pPr>
              <w:pStyle w:val="TableParagraph"/>
              <w:spacing w:before="99"/>
              <w:ind w:left="142"/>
              <w:rPr>
                <w:sz w:val="12"/>
              </w:rPr>
            </w:pPr>
            <w:r>
              <w:rPr>
                <w:color w:val="231F20"/>
                <w:w w:val="105"/>
                <w:sz w:val="12"/>
              </w:rPr>
              <w:t>MSI</w:t>
            </w:r>
            <w:r>
              <w:rPr>
                <w:color w:val="231F20"/>
                <w:spacing w:val="-9"/>
                <w:w w:val="105"/>
                <w:sz w:val="12"/>
              </w:rPr>
              <w:t> </w:t>
            </w:r>
            <w:r>
              <w:rPr>
                <w:color w:val="231F20"/>
                <w:w w:val="105"/>
                <w:sz w:val="12"/>
              </w:rPr>
              <w:t>STEM</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&amp;</w:t>
            </w:r>
            <w:r>
              <w:rPr>
                <w:color w:val="231F20"/>
                <w:spacing w:val="-8"/>
                <w:w w:val="105"/>
                <w:sz w:val="12"/>
              </w:rPr>
              <w:t> </w:t>
            </w:r>
            <w:r>
              <w:rPr>
                <w:color w:val="231F20"/>
                <w:w w:val="105"/>
                <w:sz w:val="12"/>
              </w:rPr>
              <w:t>Development</w:t>
            </w:r>
            <w:r>
              <w:rPr>
                <w:color w:val="231F20"/>
                <w:spacing w:val="-7"/>
                <w:w w:val="105"/>
                <w:sz w:val="12"/>
              </w:rPr>
              <w:t> </w:t>
            </w:r>
            <w:r>
              <w:rPr>
                <w:color w:val="231F20"/>
                <w:spacing w:val="-2"/>
                <w:w w:val="105"/>
                <w:sz w:val="12"/>
              </w:rPr>
              <w:t>Consortium</w:t>
            </w:r>
          </w:p>
        </w:tc>
        <w:tc>
          <w:tcPr>
            <w:tcW w:w="2402" w:type="dxa"/>
          </w:tcPr>
          <w:p>
            <w:pPr>
              <w:pStyle w:val="TableParagraph"/>
              <w:spacing w:before="99"/>
              <w:ind w:left="129"/>
              <w:rPr>
                <w:sz w:val="12"/>
              </w:rPr>
            </w:pPr>
            <w:r>
              <w:rPr>
                <w:color w:val="231F20"/>
                <w:sz w:val="12"/>
              </w:rPr>
              <w:t>W911SR-14-2-0001-</w:t>
            </w:r>
            <w:r>
              <w:rPr>
                <w:color w:val="231F20"/>
                <w:spacing w:val="-2"/>
                <w:sz w:val="12"/>
              </w:rPr>
              <w:t>#0034</w:t>
            </w:r>
          </w:p>
        </w:tc>
        <w:tc>
          <w:tcPr>
            <w:tcW w:w="1153" w:type="dxa"/>
          </w:tcPr>
          <w:p>
            <w:pPr>
              <w:pStyle w:val="TableParagraph"/>
              <w:spacing w:before="105"/>
              <w:ind w:left="324" w:right="326"/>
              <w:jc w:val="center"/>
              <w:rPr>
                <w:sz w:val="12"/>
              </w:rPr>
            </w:pPr>
            <w:r>
              <w:rPr>
                <w:color w:val="231F20"/>
                <w:spacing w:val="-2"/>
                <w:w w:val="105"/>
                <w:sz w:val="12"/>
              </w:rPr>
              <w:t>12.630</w:t>
            </w:r>
          </w:p>
        </w:tc>
        <w:tc>
          <w:tcPr>
            <w:tcW w:w="1129" w:type="dxa"/>
          </w:tcPr>
          <w:p>
            <w:pPr>
              <w:pStyle w:val="TableParagraph"/>
              <w:spacing w:before="105"/>
              <w:ind w:right="73"/>
              <w:jc w:val="right"/>
              <w:rPr>
                <w:sz w:val="12"/>
              </w:rPr>
            </w:pPr>
            <w:r>
              <w:rPr>
                <w:color w:val="231F20"/>
                <w:spacing w:val="-5"/>
                <w:w w:val="105"/>
                <w:sz w:val="12"/>
              </w:rPr>
              <w:t>541</w:t>
            </w:r>
          </w:p>
        </w:tc>
        <w:tc>
          <w:tcPr>
            <w:tcW w:w="153" w:type="dxa"/>
          </w:tcPr>
          <w:p>
            <w:pPr>
              <w:pStyle w:val="TableParagraph"/>
              <w:rPr>
                <w:rFonts w:ascii="Times New Roman"/>
                <w:sz w:val="12"/>
              </w:rPr>
            </w:pPr>
          </w:p>
        </w:tc>
        <w:tc>
          <w:tcPr>
            <w:tcW w:w="1129" w:type="dxa"/>
          </w:tcPr>
          <w:p>
            <w:pPr>
              <w:pStyle w:val="TableParagraph"/>
              <w:spacing w:before="105"/>
              <w:ind w:right="73"/>
              <w:jc w:val="right"/>
              <w:rPr>
                <w:sz w:val="12"/>
              </w:rPr>
            </w:pPr>
            <w:r>
              <w:rPr>
                <w:color w:val="231F20"/>
                <w:spacing w:val="-5"/>
                <w:w w:val="105"/>
                <w:sz w:val="12"/>
              </w:rPr>
              <w:t>707</w:t>
            </w:r>
          </w:p>
        </w:tc>
      </w:tr>
      <w:tr>
        <w:trPr>
          <w:trHeight w:val="341" w:hRule="atLeast"/>
        </w:trPr>
        <w:tc>
          <w:tcPr>
            <w:tcW w:w="4451" w:type="dxa"/>
          </w:tcPr>
          <w:p>
            <w:pPr>
              <w:pStyle w:val="TableParagraph"/>
              <w:spacing w:before="99"/>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before="104"/>
              <w:ind w:left="362"/>
              <w:rPr>
                <w:sz w:val="12"/>
              </w:rPr>
            </w:pPr>
            <w:r>
              <w:rPr>
                <w:color w:val="231F20"/>
                <w:spacing w:val="-4"/>
                <w:w w:val="105"/>
                <w:sz w:val="12"/>
              </w:rPr>
              <w:t>TERT</w:t>
            </w:r>
          </w:p>
        </w:tc>
        <w:tc>
          <w:tcPr>
            <w:tcW w:w="3054" w:type="dxa"/>
          </w:tcPr>
          <w:p>
            <w:pPr>
              <w:pStyle w:val="TableParagraph"/>
              <w:spacing w:before="99"/>
              <w:ind w:left="142"/>
              <w:rPr>
                <w:sz w:val="12"/>
              </w:rPr>
            </w:pPr>
            <w:r>
              <w:rPr>
                <w:color w:val="231F20"/>
                <w:w w:val="105"/>
                <w:sz w:val="12"/>
              </w:rPr>
              <w:t>MSI</w:t>
            </w:r>
            <w:r>
              <w:rPr>
                <w:color w:val="231F20"/>
                <w:spacing w:val="-9"/>
                <w:w w:val="105"/>
                <w:sz w:val="12"/>
              </w:rPr>
              <w:t> </w:t>
            </w:r>
            <w:r>
              <w:rPr>
                <w:color w:val="231F20"/>
                <w:w w:val="105"/>
                <w:sz w:val="12"/>
              </w:rPr>
              <w:t>STEM</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&amp;</w:t>
            </w:r>
            <w:r>
              <w:rPr>
                <w:color w:val="231F20"/>
                <w:spacing w:val="-8"/>
                <w:w w:val="105"/>
                <w:sz w:val="12"/>
              </w:rPr>
              <w:t> </w:t>
            </w:r>
            <w:r>
              <w:rPr>
                <w:color w:val="231F20"/>
                <w:w w:val="105"/>
                <w:sz w:val="12"/>
              </w:rPr>
              <w:t>Development</w:t>
            </w:r>
            <w:r>
              <w:rPr>
                <w:color w:val="231F20"/>
                <w:spacing w:val="-7"/>
                <w:w w:val="105"/>
                <w:sz w:val="12"/>
              </w:rPr>
              <w:t> </w:t>
            </w:r>
            <w:r>
              <w:rPr>
                <w:color w:val="231F20"/>
                <w:spacing w:val="-2"/>
                <w:w w:val="105"/>
                <w:sz w:val="12"/>
              </w:rPr>
              <w:t>Consortium</w:t>
            </w:r>
          </w:p>
        </w:tc>
        <w:tc>
          <w:tcPr>
            <w:tcW w:w="2402" w:type="dxa"/>
          </w:tcPr>
          <w:p>
            <w:pPr>
              <w:pStyle w:val="TableParagraph"/>
              <w:spacing w:before="99"/>
              <w:ind w:left="129"/>
              <w:rPr>
                <w:sz w:val="12"/>
              </w:rPr>
            </w:pPr>
            <w:r>
              <w:rPr>
                <w:color w:val="231F20"/>
                <w:sz w:val="12"/>
              </w:rPr>
              <w:t>W911SR-14-2-0001-</w:t>
            </w:r>
            <w:r>
              <w:rPr>
                <w:color w:val="231F20"/>
                <w:spacing w:val="-2"/>
                <w:sz w:val="12"/>
              </w:rPr>
              <w:t>#0032</w:t>
            </w:r>
          </w:p>
        </w:tc>
        <w:tc>
          <w:tcPr>
            <w:tcW w:w="1153" w:type="dxa"/>
          </w:tcPr>
          <w:p>
            <w:pPr>
              <w:pStyle w:val="TableParagraph"/>
              <w:spacing w:before="104"/>
              <w:ind w:left="324" w:right="326"/>
              <w:jc w:val="center"/>
              <w:rPr>
                <w:sz w:val="12"/>
              </w:rPr>
            </w:pPr>
            <w:r>
              <w:rPr>
                <w:color w:val="231F20"/>
                <w:spacing w:val="-2"/>
                <w:w w:val="105"/>
                <w:sz w:val="12"/>
              </w:rPr>
              <w:t>12.630</w:t>
            </w:r>
          </w:p>
        </w:tc>
        <w:tc>
          <w:tcPr>
            <w:tcW w:w="1129" w:type="dxa"/>
          </w:tcPr>
          <w:p>
            <w:pPr>
              <w:pStyle w:val="TableParagraph"/>
              <w:spacing w:before="104"/>
              <w:ind w:right="73"/>
              <w:jc w:val="right"/>
              <w:rPr>
                <w:sz w:val="12"/>
              </w:rPr>
            </w:pPr>
            <w:r>
              <w:rPr>
                <w:color w:val="231F20"/>
                <w:w w:val="104"/>
                <w:sz w:val="12"/>
              </w:rPr>
              <w:t>-</w:t>
            </w:r>
          </w:p>
        </w:tc>
        <w:tc>
          <w:tcPr>
            <w:tcW w:w="153" w:type="dxa"/>
          </w:tcPr>
          <w:p>
            <w:pPr>
              <w:pStyle w:val="TableParagraph"/>
              <w:rPr>
                <w:rFonts w:ascii="Times New Roman"/>
                <w:sz w:val="12"/>
              </w:rPr>
            </w:pPr>
          </w:p>
        </w:tc>
        <w:tc>
          <w:tcPr>
            <w:tcW w:w="1129" w:type="dxa"/>
          </w:tcPr>
          <w:p>
            <w:pPr>
              <w:pStyle w:val="TableParagraph"/>
              <w:spacing w:before="104"/>
              <w:ind w:right="74"/>
              <w:jc w:val="right"/>
              <w:rPr>
                <w:sz w:val="12"/>
              </w:rPr>
            </w:pPr>
            <w:r>
              <w:rPr>
                <w:color w:val="231F20"/>
                <w:spacing w:val="-2"/>
                <w:w w:val="105"/>
                <w:sz w:val="12"/>
              </w:rPr>
              <w:t>1,457</w:t>
            </w:r>
          </w:p>
        </w:tc>
      </w:tr>
      <w:tr>
        <w:trPr>
          <w:trHeight w:val="342" w:hRule="atLeast"/>
        </w:trPr>
        <w:tc>
          <w:tcPr>
            <w:tcW w:w="4451" w:type="dxa"/>
          </w:tcPr>
          <w:p>
            <w:pPr>
              <w:pStyle w:val="TableParagraph"/>
              <w:spacing w:before="99"/>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before="105"/>
              <w:ind w:left="385"/>
              <w:rPr>
                <w:sz w:val="12"/>
              </w:rPr>
            </w:pPr>
            <w:r>
              <w:rPr>
                <w:color w:val="231F20"/>
                <w:spacing w:val="-4"/>
                <w:w w:val="105"/>
                <w:sz w:val="12"/>
              </w:rPr>
              <w:t>TMIL</w:t>
            </w:r>
          </w:p>
        </w:tc>
        <w:tc>
          <w:tcPr>
            <w:tcW w:w="3054" w:type="dxa"/>
          </w:tcPr>
          <w:p>
            <w:pPr>
              <w:pStyle w:val="TableParagraph"/>
              <w:spacing w:before="99"/>
              <w:ind w:left="142"/>
              <w:rPr>
                <w:sz w:val="12"/>
              </w:rPr>
            </w:pPr>
            <w:r>
              <w:rPr>
                <w:color w:val="231F20"/>
                <w:w w:val="105"/>
                <w:sz w:val="12"/>
              </w:rPr>
              <w:t>MSI</w:t>
            </w:r>
            <w:r>
              <w:rPr>
                <w:color w:val="231F20"/>
                <w:spacing w:val="-9"/>
                <w:w w:val="105"/>
                <w:sz w:val="12"/>
              </w:rPr>
              <w:t> </w:t>
            </w:r>
            <w:r>
              <w:rPr>
                <w:color w:val="231F20"/>
                <w:w w:val="105"/>
                <w:sz w:val="12"/>
              </w:rPr>
              <w:t>STEM</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&amp;</w:t>
            </w:r>
            <w:r>
              <w:rPr>
                <w:color w:val="231F20"/>
                <w:spacing w:val="-8"/>
                <w:w w:val="105"/>
                <w:sz w:val="12"/>
              </w:rPr>
              <w:t> </w:t>
            </w:r>
            <w:r>
              <w:rPr>
                <w:color w:val="231F20"/>
                <w:w w:val="105"/>
                <w:sz w:val="12"/>
              </w:rPr>
              <w:t>Development</w:t>
            </w:r>
            <w:r>
              <w:rPr>
                <w:color w:val="231F20"/>
                <w:spacing w:val="-7"/>
                <w:w w:val="105"/>
                <w:sz w:val="12"/>
              </w:rPr>
              <w:t> </w:t>
            </w:r>
            <w:r>
              <w:rPr>
                <w:color w:val="231F20"/>
                <w:spacing w:val="-2"/>
                <w:w w:val="105"/>
                <w:sz w:val="12"/>
              </w:rPr>
              <w:t>Consortium</w:t>
            </w:r>
          </w:p>
        </w:tc>
        <w:tc>
          <w:tcPr>
            <w:tcW w:w="2402" w:type="dxa"/>
          </w:tcPr>
          <w:p>
            <w:pPr>
              <w:pStyle w:val="TableParagraph"/>
              <w:spacing w:before="99"/>
              <w:ind w:left="129"/>
              <w:rPr>
                <w:sz w:val="12"/>
              </w:rPr>
            </w:pPr>
            <w:r>
              <w:rPr>
                <w:color w:val="231F20"/>
                <w:sz w:val="12"/>
              </w:rPr>
              <w:t>W911SR-14-2-0001-</w:t>
            </w:r>
            <w:r>
              <w:rPr>
                <w:color w:val="231F20"/>
                <w:spacing w:val="-2"/>
                <w:sz w:val="12"/>
              </w:rPr>
              <w:t>#0033</w:t>
            </w:r>
          </w:p>
        </w:tc>
        <w:tc>
          <w:tcPr>
            <w:tcW w:w="1153" w:type="dxa"/>
          </w:tcPr>
          <w:p>
            <w:pPr>
              <w:pStyle w:val="TableParagraph"/>
              <w:spacing w:before="105"/>
              <w:ind w:left="324" w:right="326"/>
              <w:jc w:val="center"/>
              <w:rPr>
                <w:sz w:val="12"/>
              </w:rPr>
            </w:pPr>
            <w:r>
              <w:rPr>
                <w:color w:val="231F20"/>
                <w:spacing w:val="-2"/>
                <w:w w:val="105"/>
                <w:sz w:val="12"/>
              </w:rPr>
              <w:t>12.630</w:t>
            </w:r>
          </w:p>
        </w:tc>
        <w:tc>
          <w:tcPr>
            <w:tcW w:w="1129" w:type="dxa"/>
          </w:tcPr>
          <w:p>
            <w:pPr>
              <w:pStyle w:val="TableParagraph"/>
              <w:spacing w:before="105"/>
              <w:ind w:right="73"/>
              <w:jc w:val="right"/>
              <w:rPr>
                <w:sz w:val="12"/>
              </w:rPr>
            </w:pPr>
            <w:r>
              <w:rPr>
                <w:color w:val="231F20"/>
                <w:spacing w:val="-2"/>
                <w:w w:val="105"/>
                <w:sz w:val="12"/>
              </w:rPr>
              <w:t>1,233,566</w:t>
            </w:r>
          </w:p>
        </w:tc>
        <w:tc>
          <w:tcPr>
            <w:tcW w:w="153" w:type="dxa"/>
          </w:tcPr>
          <w:p>
            <w:pPr>
              <w:pStyle w:val="TableParagraph"/>
              <w:rPr>
                <w:rFonts w:ascii="Times New Roman"/>
                <w:sz w:val="12"/>
              </w:rPr>
            </w:pPr>
          </w:p>
        </w:tc>
        <w:tc>
          <w:tcPr>
            <w:tcW w:w="1129" w:type="dxa"/>
          </w:tcPr>
          <w:p>
            <w:pPr>
              <w:pStyle w:val="TableParagraph"/>
              <w:spacing w:before="105"/>
              <w:ind w:right="73"/>
              <w:jc w:val="right"/>
              <w:rPr>
                <w:sz w:val="12"/>
              </w:rPr>
            </w:pPr>
            <w:r>
              <w:rPr>
                <w:color w:val="231F20"/>
                <w:spacing w:val="-2"/>
                <w:w w:val="105"/>
                <w:sz w:val="12"/>
              </w:rPr>
              <w:t>1,250,598</w:t>
            </w:r>
          </w:p>
        </w:tc>
      </w:tr>
      <w:tr>
        <w:trPr>
          <w:trHeight w:val="342" w:hRule="atLeast"/>
        </w:trPr>
        <w:tc>
          <w:tcPr>
            <w:tcW w:w="4451" w:type="dxa"/>
          </w:tcPr>
          <w:p>
            <w:pPr>
              <w:pStyle w:val="TableParagraph"/>
              <w:spacing w:before="99"/>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before="105"/>
              <w:ind w:left="350"/>
              <w:rPr>
                <w:sz w:val="12"/>
              </w:rPr>
            </w:pPr>
            <w:r>
              <w:rPr>
                <w:color w:val="231F20"/>
                <w:spacing w:val="-4"/>
                <w:w w:val="105"/>
                <w:sz w:val="12"/>
              </w:rPr>
              <w:t>TMRA</w:t>
            </w:r>
          </w:p>
        </w:tc>
        <w:tc>
          <w:tcPr>
            <w:tcW w:w="3054" w:type="dxa"/>
          </w:tcPr>
          <w:p>
            <w:pPr>
              <w:pStyle w:val="TableParagraph"/>
              <w:spacing w:before="99"/>
              <w:ind w:left="142"/>
              <w:rPr>
                <w:sz w:val="12"/>
              </w:rPr>
            </w:pPr>
            <w:r>
              <w:rPr>
                <w:color w:val="231F20"/>
                <w:w w:val="105"/>
                <w:sz w:val="12"/>
              </w:rPr>
              <w:t>MSI</w:t>
            </w:r>
            <w:r>
              <w:rPr>
                <w:color w:val="231F20"/>
                <w:spacing w:val="-9"/>
                <w:w w:val="105"/>
                <w:sz w:val="12"/>
              </w:rPr>
              <w:t> </w:t>
            </w:r>
            <w:r>
              <w:rPr>
                <w:color w:val="231F20"/>
                <w:w w:val="105"/>
                <w:sz w:val="12"/>
              </w:rPr>
              <w:t>STEM</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&amp;</w:t>
            </w:r>
            <w:r>
              <w:rPr>
                <w:color w:val="231F20"/>
                <w:spacing w:val="-8"/>
                <w:w w:val="105"/>
                <w:sz w:val="12"/>
              </w:rPr>
              <w:t> </w:t>
            </w:r>
            <w:r>
              <w:rPr>
                <w:color w:val="231F20"/>
                <w:w w:val="105"/>
                <w:sz w:val="12"/>
              </w:rPr>
              <w:t>Development</w:t>
            </w:r>
            <w:r>
              <w:rPr>
                <w:color w:val="231F20"/>
                <w:spacing w:val="-7"/>
                <w:w w:val="105"/>
                <w:sz w:val="12"/>
              </w:rPr>
              <w:t> </w:t>
            </w:r>
            <w:r>
              <w:rPr>
                <w:color w:val="231F20"/>
                <w:spacing w:val="-2"/>
                <w:w w:val="105"/>
                <w:sz w:val="12"/>
              </w:rPr>
              <w:t>Consortium</w:t>
            </w:r>
          </w:p>
        </w:tc>
        <w:tc>
          <w:tcPr>
            <w:tcW w:w="2402" w:type="dxa"/>
          </w:tcPr>
          <w:p>
            <w:pPr>
              <w:pStyle w:val="TableParagraph"/>
              <w:spacing w:before="99"/>
              <w:ind w:left="129"/>
              <w:rPr>
                <w:sz w:val="12"/>
              </w:rPr>
            </w:pPr>
            <w:r>
              <w:rPr>
                <w:color w:val="231F20"/>
                <w:sz w:val="12"/>
              </w:rPr>
              <w:t>W911SR21F0011</w:t>
            </w:r>
            <w:r>
              <w:rPr>
                <w:color w:val="231F20"/>
                <w:spacing w:val="30"/>
                <w:w w:val="105"/>
                <w:sz w:val="12"/>
              </w:rPr>
              <w:t> </w:t>
            </w:r>
            <w:r>
              <w:rPr>
                <w:color w:val="231F20"/>
                <w:spacing w:val="-2"/>
                <w:w w:val="105"/>
                <w:sz w:val="12"/>
              </w:rPr>
              <w:t>(0050)</w:t>
            </w:r>
          </w:p>
        </w:tc>
        <w:tc>
          <w:tcPr>
            <w:tcW w:w="1153" w:type="dxa"/>
          </w:tcPr>
          <w:p>
            <w:pPr>
              <w:pStyle w:val="TableParagraph"/>
              <w:spacing w:before="105"/>
              <w:ind w:left="323" w:right="326"/>
              <w:jc w:val="center"/>
              <w:rPr>
                <w:sz w:val="12"/>
              </w:rPr>
            </w:pPr>
            <w:r>
              <w:rPr>
                <w:color w:val="231F20"/>
                <w:spacing w:val="-2"/>
                <w:w w:val="105"/>
                <w:sz w:val="12"/>
              </w:rPr>
              <w:t>12.630</w:t>
            </w:r>
          </w:p>
        </w:tc>
        <w:tc>
          <w:tcPr>
            <w:tcW w:w="1129" w:type="dxa"/>
          </w:tcPr>
          <w:p>
            <w:pPr>
              <w:pStyle w:val="TableParagraph"/>
              <w:spacing w:before="105"/>
              <w:ind w:right="73"/>
              <w:jc w:val="right"/>
              <w:rPr>
                <w:sz w:val="12"/>
              </w:rPr>
            </w:pPr>
            <w:r>
              <w:rPr>
                <w:color w:val="231F20"/>
                <w:spacing w:val="-2"/>
                <w:w w:val="105"/>
                <w:sz w:val="12"/>
              </w:rPr>
              <w:t>4,697</w:t>
            </w:r>
          </w:p>
        </w:tc>
        <w:tc>
          <w:tcPr>
            <w:tcW w:w="153" w:type="dxa"/>
          </w:tcPr>
          <w:p>
            <w:pPr>
              <w:pStyle w:val="TableParagraph"/>
              <w:rPr>
                <w:rFonts w:ascii="Times New Roman"/>
                <w:sz w:val="12"/>
              </w:rPr>
            </w:pPr>
          </w:p>
        </w:tc>
        <w:tc>
          <w:tcPr>
            <w:tcW w:w="1129" w:type="dxa"/>
          </w:tcPr>
          <w:p>
            <w:pPr>
              <w:pStyle w:val="TableParagraph"/>
              <w:spacing w:before="105"/>
              <w:ind w:right="73"/>
              <w:jc w:val="right"/>
              <w:rPr>
                <w:sz w:val="12"/>
              </w:rPr>
            </w:pPr>
            <w:r>
              <w:rPr>
                <w:color w:val="231F20"/>
                <w:spacing w:val="-2"/>
                <w:w w:val="105"/>
                <w:sz w:val="12"/>
              </w:rPr>
              <w:t>743,497</w:t>
            </w:r>
          </w:p>
        </w:tc>
      </w:tr>
      <w:tr>
        <w:trPr>
          <w:trHeight w:val="342" w:hRule="atLeast"/>
        </w:trPr>
        <w:tc>
          <w:tcPr>
            <w:tcW w:w="4451" w:type="dxa"/>
          </w:tcPr>
          <w:p>
            <w:pPr>
              <w:pStyle w:val="TableParagraph"/>
              <w:spacing w:before="99"/>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before="105"/>
              <w:ind w:left="359"/>
              <w:rPr>
                <w:sz w:val="12"/>
              </w:rPr>
            </w:pPr>
            <w:r>
              <w:rPr>
                <w:color w:val="231F20"/>
                <w:spacing w:val="-4"/>
                <w:w w:val="105"/>
                <w:sz w:val="12"/>
              </w:rPr>
              <w:t>TUAV</w:t>
            </w:r>
          </w:p>
        </w:tc>
        <w:tc>
          <w:tcPr>
            <w:tcW w:w="3054" w:type="dxa"/>
          </w:tcPr>
          <w:p>
            <w:pPr>
              <w:pStyle w:val="TableParagraph"/>
              <w:spacing w:before="99"/>
              <w:ind w:left="142"/>
              <w:rPr>
                <w:sz w:val="12"/>
              </w:rPr>
            </w:pPr>
            <w:r>
              <w:rPr>
                <w:color w:val="231F20"/>
                <w:w w:val="105"/>
                <w:sz w:val="12"/>
              </w:rPr>
              <w:t>MSI</w:t>
            </w:r>
            <w:r>
              <w:rPr>
                <w:color w:val="231F20"/>
                <w:spacing w:val="-9"/>
                <w:w w:val="105"/>
                <w:sz w:val="12"/>
              </w:rPr>
              <w:t> </w:t>
            </w:r>
            <w:r>
              <w:rPr>
                <w:color w:val="231F20"/>
                <w:w w:val="105"/>
                <w:sz w:val="12"/>
              </w:rPr>
              <w:t>STEM</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&amp;</w:t>
            </w:r>
            <w:r>
              <w:rPr>
                <w:color w:val="231F20"/>
                <w:spacing w:val="-8"/>
                <w:w w:val="105"/>
                <w:sz w:val="12"/>
              </w:rPr>
              <w:t> </w:t>
            </w:r>
            <w:r>
              <w:rPr>
                <w:color w:val="231F20"/>
                <w:w w:val="105"/>
                <w:sz w:val="12"/>
              </w:rPr>
              <w:t>Development</w:t>
            </w:r>
            <w:r>
              <w:rPr>
                <w:color w:val="231F20"/>
                <w:spacing w:val="-7"/>
                <w:w w:val="105"/>
                <w:sz w:val="12"/>
              </w:rPr>
              <w:t> </w:t>
            </w:r>
            <w:r>
              <w:rPr>
                <w:color w:val="231F20"/>
                <w:spacing w:val="-2"/>
                <w:w w:val="105"/>
                <w:sz w:val="12"/>
              </w:rPr>
              <w:t>Consortium</w:t>
            </w:r>
          </w:p>
        </w:tc>
        <w:tc>
          <w:tcPr>
            <w:tcW w:w="2402" w:type="dxa"/>
          </w:tcPr>
          <w:p>
            <w:pPr>
              <w:pStyle w:val="TableParagraph"/>
              <w:spacing w:before="99"/>
              <w:ind w:left="129"/>
              <w:rPr>
                <w:sz w:val="12"/>
              </w:rPr>
            </w:pPr>
            <w:r>
              <w:rPr>
                <w:color w:val="231F20"/>
                <w:sz w:val="12"/>
              </w:rPr>
              <w:t>W911SR-14-2-0001</w:t>
            </w:r>
            <w:r>
              <w:rPr>
                <w:color w:val="231F20"/>
                <w:spacing w:val="33"/>
                <w:sz w:val="12"/>
              </w:rPr>
              <w:t> </w:t>
            </w:r>
            <w:r>
              <w:rPr>
                <w:color w:val="231F20"/>
                <w:spacing w:val="-2"/>
                <w:sz w:val="12"/>
              </w:rPr>
              <w:t>#0046</w:t>
            </w:r>
          </w:p>
        </w:tc>
        <w:tc>
          <w:tcPr>
            <w:tcW w:w="1153" w:type="dxa"/>
          </w:tcPr>
          <w:p>
            <w:pPr>
              <w:pStyle w:val="TableParagraph"/>
              <w:spacing w:before="105"/>
              <w:ind w:left="323" w:right="326"/>
              <w:jc w:val="center"/>
              <w:rPr>
                <w:sz w:val="12"/>
              </w:rPr>
            </w:pPr>
            <w:r>
              <w:rPr>
                <w:color w:val="231F20"/>
                <w:spacing w:val="-2"/>
                <w:w w:val="105"/>
                <w:sz w:val="12"/>
              </w:rPr>
              <w:t>12.630</w:t>
            </w:r>
          </w:p>
        </w:tc>
        <w:tc>
          <w:tcPr>
            <w:tcW w:w="1129" w:type="dxa"/>
          </w:tcPr>
          <w:p>
            <w:pPr>
              <w:pStyle w:val="TableParagraph"/>
              <w:spacing w:before="105"/>
              <w:ind w:right="73"/>
              <w:jc w:val="right"/>
              <w:rPr>
                <w:sz w:val="12"/>
              </w:rPr>
            </w:pPr>
            <w:r>
              <w:rPr>
                <w:color w:val="231F20"/>
                <w:w w:val="104"/>
                <w:sz w:val="12"/>
              </w:rPr>
              <w:t>-</w:t>
            </w:r>
          </w:p>
        </w:tc>
        <w:tc>
          <w:tcPr>
            <w:tcW w:w="153" w:type="dxa"/>
          </w:tcPr>
          <w:p>
            <w:pPr>
              <w:pStyle w:val="TableParagraph"/>
              <w:rPr>
                <w:rFonts w:ascii="Times New Roman"/>
                <w:sz w:val="12"/>
              </w:rPr>
            </w:pPr>
          </w:p>
        </w:tc>
        <w:tc>
          <w:tcPr>
            <w:tcW w:w="1129" w:type="dxa"/>
          </w:tcPr>
          <w:p>
            <w:pPr>
              <w:pStyle w:val="TableParagraph"/>
              <w:spacing w:before="105"/>
              <w:ind w:right="73"/>
              <w:jc w:val="right"/>
              <w:rPr>
                <w:sz w:val="12"/>
              </w:rPr>
            </w:pPr>
            <w:r>
              <w:rPr>
                <w:color w:val="231F20"/>
                <w:spacing w:val="-2"/>
                <w:w w:val="105"/>
                <w:sz w:val="12"/>
              </w:rPr>
              <w:t>107,938</w:t>
            </w:r>
          </w:p>
        </w:tc>
      </w:tr>
      <w:tr>
        <w:trPr>
          <w:trHeight w:val="248" w:hRule="atLeast"/>
        </w:trPr>
        <w:tc>
          <w:tcPr>
            <w:tcW w:w="4451" w:type="dxa"/>
          </w:tcPr>
          <w:p>
            <w:pPr>
              <w:pStyle w:val="TableParagraph"/>
              <w:spacing w:line="129" w:lineRule="exact" w:before="99"/>
              <w:ind w:right="282"/>
              <w:jc w:val="right"/>
              <w:rPr>
                <w:sz w:val="12"/>
              </w:rPr>
            </w:pPr>
            <w:r>
              <w:rPr>
                <w:color w:val="231F20"/>
                <w:w w:val="105"/>
                <w:sz w:val="12"/>
              </w:rPr>
              <w:t>Basic,</w:t>
            </w:r>
            <w:r>
              <w:rPr>
                <w:color w:val="231F20"/>
                <w:spacing w:val="-9"/>
                <w:w w:val="105"/>
                <w:sz w:val="12"/>
              </w:rPr>
              <w:t> </w:t>
            </w:r>
            <w:r>
              <w:rPr>
                <w:color w:val="231F20"/>
                <w:w w:val="105"/>
                <w:sz w:val="12"/>
              </w:rPr>
              <w:t>Applied,</w:t>
            </w:r>
            <w:r>
              <w:rPr>
                <w:color w:val="231F20"/>
                <w:spacing w:val="-8"/>
                <w:w w:val="105"/>
                <w:sz w:val="12"/>
              </w:rPr>
              <w:t> </w:t>
            </w:r>
            <w:r>
              <w:rPr>
                <w:color w:val="231F20"/>
                <w:w w:val="105"/>
                <w:sz w:val="12"/>
              </w:rPr>
              <w:t>and</w:t>
            </w:r>
            <w:r>
              <w:rPr>
                <w:color w:val="231F20"/>
                <w:spacing w:val="-8"/>
                <w:w w:val="105"/>
                <w:sz w:val="12"/>
              </w:rPr>
              <w:t> </w:t>
            </w:r>
            <w:r>
              <w:rPr>
                <w:color w:val="231F20"/>
                <w:w w:val="105"/>
                <w:sz w:val="12"/>
              </w:rPr>
              <w:t>Advanced</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in</w:t>
            </w:r>
            <w:r>
              <w:rPr>
                <w:color w:val="231F20"/>
                <w:spacing w:val="-9"/>
                <w:w w:val="105"/>
                <w:sz w:val="12"/>
              </w:rPr>
              <w:t> </w:t>
            </w:r>
            <w:r>
              <w:rPr>
                <w:color w:val="231F20"/>
                <w:w w:val="105"/>
                <w:sz w:val="12"/>
              </w:rPr>
              <w:t>Science</w:t>
            </w:r>
            <w:r>
              <w:rPr>
                <w:color w:val="231F20"/>
                <w:spacing w:val="-8"/>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902" w:type="dxa"/>
          </w:tcPr>
          <w:p>
            <w:pPr>
              <w:pStyle w:val="TableParagraph"/>
              <w:spacing w:line="124" w:lineRule="exact" w:before="104"/>
              <w:ind w:left="309"/>
              <w:rPr>
                <w:sz w:val="12"/>
              </w:rPr>
            </w:pPr>
            <w:r>
              <w:rPr>
                <w:color w:val="231F20"/>
                <w:spacing w:val="-2"/>
                <w:w w:val="105"/>
                <w:sz w:val="12"/>
              </w:rPr>
              <w:t>TWBB2</w:t>
            </w:r>
          </w:p>
        </w:tc>
        <w:tc>
          <w:tcPr>
            <w:tcW w:w="3054" w:type="dxa"/>
          </w:tcPr>
          <w:p>
            <w:pPr>
              <w:pStyle w:val="TableParagraph"/>
              <w:spacing w:line="129" w:lineRule="exact" w:before="99"/>
              <w:ind w:left="142"/>
              <w:rPr>
                <w:sz w:val="12"/>
              </w:rPr>
            </w:pPr>
            <w:r>
              <w:rPr>
                <w:color w:val="231F20"/>
                <w:w w:val="105"/>
                <w:sz w:val="12"/>
              </w:rPr>
              <w:t>MSI</w:t>
            </w:r>
            <w:r>
              <w:rPr>
                <w:color w:val="231F20"/>
                <w:spacing w:val="-9"/>
                <w:w w:val="105"/>
                <w:sz w:val="12"/>
              </w:rPr>
              <w:t> </w:t>
            </w:r>
            <w:r>
              <w:rPr>
                <w:color w:val="231F20"/>
                <w:w w:val="105"/>
                <w:sz w:val="12"/>
              </w:rPr>
              <w:t>STEM</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&amp;</w:t>
            </w:r>
            <w:r>
              <w:rPr>
                <w:color w:val="231F20"/>
                <w:spacing w:val="-8"/>
                <w:w w:val="105"/>
                <w:sz w:val="12"/>
              </w:rPr>
              <w:t> </w:t>
            </w:r>
            <w:r>
              <w:rPr>
                <w:color w:val="231F20"/>
                <w:w w:val="105"/>
                <w:sz w:val="12"/>
              </w:rPr>
              <w:t>Development</w:t>
            </w:r>
            <w:r>
              <w:rPr>
                <w:color w:val="231F20"/>
                <w:spacing w:val="-7"/>
                <w:w w:val="105"/>
                <w:sz w:val="12"/>
              </w:rPr>
              <w:t> </w:t>
            </w:r>
            <w:r>
              <w:rPr>
                <w:color w:val="231F20"/>
                <w:spacing w:val="-2"/>
                <w:w w:val="105"/>
                <w:sz w:val="12"/>
              </w:rPr>
              <w:t>Consortium</w:t>
            </w:r>
          </w:p>
        </w:tc>
        <w:tc>
          <w:tcPr>
            <w:tcW w:w="2402" w:type="dxa"/>
          </w:tcPr>
          <w:p>
            <w:pPr>
              <w:pStyle w:val="TableParagraph"/>
              <w:spacing w:line="129" w:lineRule="exact" w:before="99"/>
              <w:ind w:left="129"/>
              <w:rPr>
                <w:sz w:val="12"/>
              </w:rPr>
            </w:pPr>
            <w:r>
              <w:rPr>
                <w:color w:val="231F20"/>
                <w:sz w:val="12"/>
              </w:rPr>
              <w:t>W911SR-14-2-0001</w:t>
            </w:r>
            <w:r>
              <w:rPr>
                <w:color w:val="231F20"/>
                <w:spacing w:val="33"/>
                <w:sz w:val="12"/>
              </w:rPr>
              <w:t> </w:t>
            </w:r>
            <w:r>
              <w:rPr>
                <w:color w:val="231F20"/>
                <w:spacing w:val="-2"/>
                <w:sz w:val="12"/>
              </w:rPr>
              <w:t>(#0049)</w:t>
            </w:r>
          </w:p>
        </w:tc>
        <w:tc>
          <w:tcPr>
            <w:tcW w:w="1153" w:type="dxa"/>
          </w:tcPr>
          <w:p>
            <w:pPr>
              <w:pStyle w:val="TableParagraph"/>
              <w:spacing w:line="124" w:lineRule="exact" w:before="104"/>
              <w:ind w:left="323" w:right="326"/>
              <w:jc w:val="center"/>
              <w:rPr>
                <w:sz w:val="12"/>
              </w:rPr>
            </w:pPr>
            <w:r>
              <w:rPr>
                <w:color w:val="231F20"/>
                <w:spacing w:val="-2"/>
                <w:w w:val="105"/>
                <w:sz w:val="12"/>
              </w:rPr>
              <w:t>12.630</w:t>
            </w:r>
          </w:p>
        </w:tc>
        <w:tc>
          <w:tcPr>
            <w:tcW w:w="1129" w:type="dxa"/>
            <w:tcBorders>
              <w:bottom w:val="single" w:sz="8" w:space="0" w:color="231F20"/>
            </w:tcBorders>
          </w:tcPr>
          <w:p>
            <w:pPr>
              <w:pStyle w:val="TableParagraph"/>
              <w:spacing w:line="124" w:lineRule="exact" w:before="104"/>
              <w:ind w:right="73"/>
              <w:jc w:val="right"/>
              <w:rPr>
                <w:sz w:val="12"/>
              </w:rPr>
            </w:pPr>
            <w:r>
              <w:rPr>
                <w:color w:val="231F20"/>
                <w:w w:val="104"/>
                <w:sz w:val="12"/>
              </w:rPr>
              <w:t>-</w:t>
            </w:r>
          </w:p>
        </w:tc>
        <w:tc>
          <w:tcPr>
            <w:tcW w:w="153" w:type="dxa"/>
          </w:tcPr>
          <w:p>
            <w:pPr>
              <w:pStyle w:val="TableParagraph"/>
              <w:rPr>
                <w:rFonts w:ascii="Times New Roman"/>
                <w:sz w:val="12"/>
              </w:rPr>
            </w:pPr>
          </w:p>
        </w:tc>
        <w:tc>
          <w:tcPr>
            <w:tcW w:w="1129" w:type="dxa"/>
            <w:tcBorders>
              <w:bottom w:val="single" w:sz="8" w:space="0" w:color="231F20"/>
            </w:tcBorders>
          </w:tcPr>
          <w:p>
            <w:pPr>
              <w:pStyle w:val="TableParagraph"/>
              <w:spacing w:line="124" w:lineRule="exact" w:before="104"/>
              <w:ind w:right="73"/>
              <w:jc w:val="right"/>
              <w:rPr>
                <w:sz w:val="12"/>
              </w:rPr>
            </w:pPr>
            <w:r>
              <w:rPr>
                <w:color w:val="231F20"/>
                <w:spacing w:val="-2"/>
                <w:w w:val="105"/>
                <w:sz w:val="12"/>
              </w:rPr>
              <w:t>18,008</w:t>
            </w:r>
          </w:p>
        </w:tc>
      </w:tr>
      <w:tr>
        <w:trPr>
          <w:trHeight w:val="151" w:hRule="atLeast"/>
        </w:trPr>
        <w:tc>
          <w:tcPr>
            <w:tcW w:w="4451" w:type="dxa"/>
          </w:tcPr>
          <w:p>
            <w:pPr>
              <w:pStyle w:val="TableParagraph"/>
              <w:spacing w:line="124" w:lineRule="exact" w:before="7"/>
              <w:ind w:left="202"/>
              <w:rPr>
                <w:b/>
                <w:sz w:val="12"/>
              </w:rPr>
            </w:pPr>
            <w:r>
              <w:rPr>
                <w:b/>
                <w:color w:val="231F20"/>
                <w:w w:val="105"/>
                <w:sz w:val="12"/>
              </w:rPr>
              <w:t>Total</w:t>
            </w:r>
            <w:r>
              <w:rPr>
                <w:b/>
                <w:color w:val="231F20"/>
                <w:spacing w:val="-6"/>
                <w:w w:val="105"/>
                <w:sz w:val="12"/>
              </w:rPr>
              <w:t> </w:t>
            </w:r>
            <w:r>
              <w:rPr>
                <w:b/>
                <w:color w:val="231F20"/>
                <w:w w:val="105"/>
                <w:sz w:val="12"/>
              </w:rPr>
              <w:t>Pass-through</w:t>
            </w:r>
            <w:r>
              <w:rPr>
                <w:b/>
                <w:color w:val="231F20"/>
                <w:spacing w:val="-5"/>
                <w:w w:val="105"/>
                <w:sz w:val="12"/>
              </w:rPr>
              <w:t> </w:t>
            </w:r>
            <w:r>
              <w:rPr>
                <w:b/>
                <w:color w:val="231F20"/>
                <w:w w:val="105"/>
                <w:sz w:val="12"/>
              </w:rPr>
              <w:t>U.S.</w:t>
            </w:r>
            <w:r>
              <w:rPr>
                <w:b/>
                <w:color w:val="231F20"/>
                <w:spacing w:val="-6"/>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6"/>
                <w:w w:val="105"/>
                <w:sz w:val="12"/>
              </w:rPr>
              <w:t> </w:t>
            </w:r>
            <w:r>
              <w:rPr>
                <w:b/>
                <w:color w:val="231F20"/>
                <w:spacing w:val="-2"/>
                <w:w w:val="105"/>
                <w:sz w:val="12"/>
              </w:rPr>
              <w:t>Defense</w:t>
            </w:r>
          </w:p>
        </w:tc>
        <w:tc>
          <w:tcPr>
            <w:tcW w:w="902" w:type="dxa"/>
          </w:tcPr>
          <w:p>
            <w:pPr>
              <w:pStyle w:val="TableParagraph"/>
              <w:rPr>
                <w:rFonts w:ascii="Times New Roman"/>
                <w:sz w:val="8"/>
              </w:rPr>
            </w:pPr>
          </w:p>
        </w:tc>
        <w:tc>
          <w:tcPr>
            <w:tcW w:w="3054" w:type="dxa"/>
          </w:tcPr>
          <w:p>
            <w:pPr>
              <w:pStyle w:val="TableParagraph"/>
              <w:rPr>
                <w:rFonts w:ascii="Times New Roman"/>
                <w:sz w:val="8"/>
              </w:rPr>
            </w:pPr>
          </w:p>
        </w:tc>
        <w:tc>
          <w:tcPr>
            <w:tcW w:w="2402" w:type="dxa"/>
          </w:tcPr>
          <w:p>
            <w:pPr>
              <w:pStyle w:val="TableParagraph"/>
              <w:rPr>
                <w:rFonts w:ascii="Times New Roman"/>
                <w:sz w:val="8"/>
              </w:rPr>
            </w:pPr>
          </w:p>
        </w:tc>
        <w:tc>
          <w:tcPr>
            <w:tcW w:w="1153"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4" w:lineRule="exact" w:before="7"/>
              <w:ind w:right="73"/>
              <w:jc w:val="right"/>
              <w:rPr>
                <w:b/>
                <w:sz w:val="12"/>
              </w:rPr>
            </w:pPr>
            <w:r>
              <w:rPr>
                <w:b/>
                <w:color w:val="231F20"/>
                <w:spacing w:val="-2"/>
                <w:w w:val="105"/>
                <w:sz w:val="12"/>
              </w:rPr>
              <w:t>1,238,804</w:t>
            </w:r>
          </w:p>
        </w:tc>
        <w:tc>
          <w:tcPr>
            <w:tcW w:w="153"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4" w:lineRule="exact" w:before="7"/>
              <w:ind w:right="73"/>
              <w:jc w:val="right"/>
              <w:rPr>
                <w:b/>
                <w:sz w:val="12"/>
              </w:rPr>
            </w:pPr>
            <w:r>
              <w:rPr>
                <w:b/>
                <w:color w:val="231F20"/>
                <w:spacing w:val="-2"/>
                <w:w w:val="105"/>
                <w:sz w:val="12"/>
              </w:rPr>
              <w:t>2,372,369</w:t>
            </w:r>
          </w:p>
        </w:tc>
      </w:tr>
      <w:tr>
        <w:trPr>
          <w:trHeight w:val="322" w:hRule="atLeast"/>
        </w:trPr>
        <w:tc>
          <w:tcPr>
            <w:tcW w:w="4451" w:type="dxa"/>
          </w:tcPr>
          <w:p>
            <w:pPr>
              <w:pStyle w:val="TableParagraph"/>
              <w:spacing w:before="5"/>
              <w:rPr>
                <w:b/>
                <w:sz w:val="15"/>
              </w:rPr>
            </w:pPr>
          </w:p>
          <w:p>
            <w:pPr>
              <w:pStyle w:val="TableParagraph"/>
              <w:spacing w:line="124" w:lineRule="exact"/>
              <w:ind w:left="32"/>
              <w:rPr>
                <w:b/>
                <w:sz w:val="12"/>
              </w:rPr>
            </w:pPr>
            <w:r>
              <w:rPr>
                <w:b/>
                <w:color w:val="231F20"/>
                <w:w w:val="105"/>
                <w:sz w:val="12"/>
              </w:rPr>
              <w:t>Total</w:t>
            </w:r>
            <w:r>
              <w:rPr>
                <w:b/>
                <w:color w:val="231F20"/>
                <w:spacing w:val="-5"/>
                <w:w w:val="105"/>
                <w:sz w:val="12"/>
              </w:rPr>
              <w:t> </w:t>
            </w:r>
            <w:r>
              <w:rPr>
                <w:b/>
                <w:color w:val="231F20"/>
                <w:w w:val="105"/>
                <w:sz w:val="12"/>
              </w:rPr>
              <w:t>U.S.</w:t>
            </w:r>
            <w:r>
              <w:rPr>
                <w:b/>
                <w:color w:val="231F20"/>
                <w:spacing w:val="-5"/>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5"/>
                <w:w w:val="105"/>
                <w:sz w:val="12"/>
              </w:rPr>
              <w:t> </w:t>
            </w:r>
            <w:r>
              <w:rPr>
                <w:b/>
                <w:color w:val="231F20"/>
                <w:spacing w:val="-2"/>
                <w:w w:val="105"/>
                <w:sz w:val="12"/>
              </w:rPr>
              <w:t>Defense</w:t>
            </w:r>
          </w:p>
        </w:tc>
        <w:tc>
          <w:tcPr>
            <w:tcW w:w="902" w:type="dxa"/>
          </w:tcPr>
          <w:p>
            <w:pPr>
              <w:pStyle w:val="TableParagraph"/>
              <w:rPr>
                <w:rFonts w:ascii="Times New Roman"/>
                <w:sz w:val="12"/>
              </w:rPr>
            </w:pPr>
          </w:p>
        </w:tc>
        <w:tc>
          <w:tcPr>
            <w:tcW w:w="3054" w:type="dxa"/>
          </w:tcPr>
          <w:p>
            <w:pPr>
              <w:pStyle w:val="TableParagraph"/>
              <w:rPr>
                <w:rFonts w:ascii="Times New Roman"/>
                <w:sz w:val="12"/>
              </w:rPr>
            </w:pPr>
          </w:p>
        </w:tc>
        <w:tc>
          <w:tcPr>
            <w:tcW w:w="2402" w:type="dxa"/>
          </w:tcPr>
          <w:p>
            <w:pPr>
              <w:pStyle w:val="TableParagraph"/>
              <w:rPr>
                <w:rFonts w:ascii="Times New Roman"/>
                <w:sz w:val="12"/>
              </w:rPr>
            </w:pPr>
          </w:p>
        </w:tc>
        <w:tc>
          <w:tcPr>
            <w:tcW w:w="1153" w:type="dxa"/>
          </w:tcPr>
          <w:p>
            <w:pPr>
              <w:pStyle w:val="TableParagraph"/>
              <w:rPr>
                <w:rFonts w:ascii="Times New Roman"/>
                <w:sz w:val="12"/>
              </w:rPr>
            </w:pPr>
          </w:p>
        </w:tc>
        <w:tc>
          <w:tcPr>
            <w:tcW w:w="1129" w:type="dxa"/>
            <w:tcBorders>
              <w:top w:val="single" w:sz="8" w:space="0" w:color="231F20"/>
              <w:bottom w:val="single" w:sz="8" w:space="0" w:color="231F20"/>
            </w:tcBorders>
          </w:tcPr>
          <w:p>
            <w:pPr>
              <w:pStyle w:val="TableParagraph"/>
              <w:spacing w:before="5"/>
              <w:rPr>
                <w:b/>
                <w:sz w:val="15"/>
              </w:rPr>
            </w:pPr>
          </w:p>
          <w:p>
            <w:pPr>
              <w:pStyle w:val="TableParagraph"/>
              <w:spacing w:line="124" w:lineRule="exact"/>
              <w:ind w:right="73"/>
              <w:jc w:val="right"/>
              <w:rPr>
                <w:b/>
                <w:sz w:val="12"/>
              </w:rPr>
            </w:pPr>
            <w:r>
              <w:rPr>
                <w:b/>
                <w:color w:val="231F20"/>
                <w:spacing w:val="-2"/>
                <w:w w:val="105"/>
                <w:sz w:val="12"/>
              </w:rPr>
              <w:t>1,238,804</w:t>
            </w:r>
          </w:p>
        </w:tc>
        <w:tc>
          <w:tcPr>
            <w:tcW w:w="153" w:type="dxa"/>
          </w:tcPr>
          <w:p>
            <w:pPr>
              <w:pStyle w:val="TableParagraph"/>
              <w:rPr>
                <w:rFonts w:ascii="Times New Roman"/>
                <w:sz w:val="12"/>
              </w:rPr>
            </w:pPr>
          </w:p>
        </w:tc>
        <w:tc>
          <w:tcPr>
            <w:tcW w:w="1129" w:type="dxa"/>
            <w:tcBorders>
              <w:top w:val="single" w:sz="8" w:space="0" w:color="231F20"/>
              <w:bottom w:val="single" w:sz="8" w:space="0" w:color="231F20"/>
            </w:tcBorders>
          </w:tcPr>
          <w:p>
            <w:pPr>
              <w:pStyle w:val="TableParagraph"/>
              <w:spacing w:before="5"/>
              <w:rPr>
                <w:b/>
                <w:sz w:val="15"/>
              </w:rPr>
            </w:pPr>
          </w:p>
          <w:p>
            <w:pPr>
              <w:pStyle w:val="TableParagraph"/>
              <w:spacing w:line="124" w:lineRule="exact"/>
              <w:ind w:right="73"/>
              <w:jc w:val="right"/>
              <w:rPr>
                <w:b/>
                <w:sz w:val="12"/>
              </w:rPr>
            </w:pPr>
            <w:r>
              <w:rPr>
                <w:b/>
                <w:color w:val="231F20"/>
                <w:spacing w:val="-2"/>
                <w:w w:val="105"/>
                <w:sz w:val="12"/>
              </w:rPr>
              <w:t>4,179,075</w:t>
            </w:r>
          </w:p>
        </w:tc>
      </w:tr>
    </w:tbl>
    <w:p>
      <w:pPr>
        <w:spacing w:after="0" w:line="124" w:lineRule="exact"/>
        <w:jc w:val="right"/>
        <w:rPr>
          <w:sz w:val="12"/>
        </w:rPr>
        <w:sectPr>
          <w:pgSz w:w="15840" w:h="12240" w:orient="landscape"/>
          <w:pgMar w:header="850" w:footer="1097" w:top="1240" w:bottom="1280" w:left="560" w:right="560"/>
        </w:sectPr>
      </w:pPr>
    </w:p>
    <w:p>
      <w:pPr>
        <w:pStyle w:val="BodyText"/>
        <w:spacing w:before="4" w:after="1"/>
        <w:rPr>
          <w:b/>
          <w:sz w:val="24"/>
        </w:rPr>
      </w:pPr>
    </w:p>
    <w:p>
      <w:pPr>
        <w:pStyle w:val="BodyText"/>
        <w:spacing w:line="37" w:lineRule="exact"/>
        <w:ind w:left="169"/>
        <w:rPr>
          <w:sz w:val="3"/>
        </w:rPr>
      </w:pPr>
      <w:r>
        <w:rPr>
          <w:position w:val="0"/>
          <w:sz w:val="3"/>
        </w:rPr>
        <w:pict>
          <v:group style="width:718pt;height:1.9pt;mso-position-horizontal-relative:char;mso-position-vertical-relative:line" id="docshapegroup557" coordorigin="0,0" coordsize="14360,38">
            <v:rect style="position:absolute;left:0;top:0;width:14360;height:38" id="docshape558" filled="true" fillcolor="#231f20" stroked="false">
              <v:fill type="solid"/>
            </v:rect>
          </v:group>
        </w:pict>
      </w:r>
      <w:r>
        <w:rPr>
          <w:position w:val="0"/>
          <w:sz w:val="3"/>
        </w:rPr>
      </w:r>
    </w:p>
    <w:p>
      <w:pPr>
        <w:pStyle w:val="BodyText"/>
        <w:spacing w:before="7"/>
        <w:rPr>
          <w:b/>
          <w:sz w:val="18"/>
        </w:rPr>
      </w:pPr>
    </w:p>
    <w:tbl>
      <w:tblPr>
        <w:tblW w:w="0" w:type="auto"/>
        <w:jc w:val="left"/>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1"/>
        <w:gridCol w:w="973"/>
        <w:gridCol w:w="2686"/>
        <w:gridCol w:w="2764"/>
        <w:gridCol w:w="1151"/>
        <w:gridCol w:w="1127"/>
        <w:gridCol w:w="151"/>
        <w:gridCol w:w="1127"/>
      </w:tblGrid>
      <w:tr>
        <w:trPr>
          <w:trHeight w:val="518" w:hRule="atLeast"/>
        </w:trPr>
        <w:tc>
          <w:tcPr>
            <w:tcW w:w="4381" w:type="dxa"/>
            <w:tcBorders>
              <w:bottom w:val="single" w:sz="18" w:space="0" w:color="231F20"/>
            </w:tcBorders>
          </w:tcPr>
          <w:p>
            <w:pPr>
              <w:pStyle w:val="TableParagraph"/>
              <w:rPr>
                <w:b/>
                <w:sz w:val="14"/>
              </w:rPr>
            </w:pPr>
          </w:p>
          <w:p>
            <w:pPr>
              <w:pStyle w:val="TableParagraph"/>
              <w:rPr>
                <w:b/>
                <w:sz w:val="18"/>
              </w:rPr>
            </w:pPr>
          </w:p>
          <w:p>
            <w:pPr>
              <w:pStyle w:val="TableParagraph"/>
              <w:spacing w:line="130" w:lineRule="exact"/>
              <w:ind w:left="32"/>
              <w:rPr>
                <w:b/>
                <w:sz w:val="12"/>
              </w:rPr>
            </w:pPr>
            <w:r>
              <w:rPr>
                <w:b/>
                <w:color w:val="231F20"/>
                <w:spacing w:val="-2"/>
                <w:w w:val="105"/>
                <w:sz w:val="12"/>
              </w:rPr>
              <w:t>Federal</w:t>
            </w:r>
            <w:r>
              <w:rPr>
                <w:b/>
                <w:color w:val="231F20"/>
                <w:spacing w:val="12"/>
                <w:w w:val="105"/>
                <w:sz w:val="12"/>
              </w:rPr>
              <w:t> </w:t>
            </w:r>
            <w:r>
              <w:rPr>
                <w:b/>
                <w:color w:val="231F20"/>
                <w:spacing w:val="-2"/>
                <w:w w:val="105"/>
                <w:sz w:val="12"/>
              </w:rPr>
              <w:t>Grantor/Program</w:t>
            </w:r>
            <w:r>
              <w:rPr>
                <w:b/>
                <w:color w:val="231F20"/>
                <w:spacing w:val="13"/>
                <w:w w:val="105"/>
                <w:sz w:val="12"/>
              </w:rPr>
              <w:t> </w:t>
            </w:r>
            <w:r>
              <w:rPr>
                <w:b/>
                <w:color w:val="231F20"/>
                <w:spacing w:val="-2"/>
                <w:w w:val="105"/>
                <w:sz w:val="12"/>
              </w:rPr>
              <w:t>Title</w:t>
            </w:r>
          </w:p>
        </w:tc>
        <w:tc>
          <w:tcPr>
            <w:tcW w:w="973" w:type="dxa"/>
            <w:tcBorders>
              <w:bottom w:val="single" w:sz="18" w:space="0" w:color="231F20"/>
            </w:tcBorders>
          </w:tcPr>
          <w:p>
            <w:pPr>
              <w:pStyle w:val="TableParagraph"/>
              <w:spacing w:before="3"/>
              <w:rPr>
                <w:b/>
                <w:sz w:val="12"/>
              </w:rPr>
            </w:pPr>
          </w:p>
          <w:p>
            <w:pPr>
              <w:pStyle w:val="TableParagraph"/>
              <w:spacing w:line="170" w:lineRule="atLeast"/>
              <w:ind w:left="352" w:right="136" w:firstLine="63"/>
              <w:rPr>
                <w:b/>
                <w:sz w:val="12"/>
              </w:rPr>
            </w:pPr>
            <w:r>
              <w:rPr>
                <w:b/>
                <w:color w:val="231F20"/>
                <w:spacing w:val="-2"/>
                <w:w w:val="105"/>
                <w:sz w:val="12"/>
              </w:rPr>
              <w:t>Award</w:t>
            </w:r>
            <w:r>
              <w:rPr>
                <w:b/>
                <w:color w:val="231F20"/>
                <w:spacing w:val="40"/>
                <w:w w:val="105"/>
                <w:sz w:val="12"/>
              </w:rPr>
              <w:t> </w:t>
            </w:r>
            <w:r>
              <w:rPr>
                <w:b/>
                <w:color w:val="231F20"/>
                <w:spacing w:val="-2"/>
                <w:w w:val="105"/>
                <w:sz w:val="12"/>
              </w:rPr>
              <w:t>Number</w:t>
            </w:r>
          </w:p>
        </w:tc>
        <w:tc>
          <w:tcPr>
            <w:tcW w:w="2686" w:type="dxa"/>
            <w:tcBorders>
              <w:bottom w:val="single" w:sz="18" w:space="0" w:color="231F20"/>
            </w:tcBorders>
          </w:tcPr>
          <w:p>
            <w:pPr>
              <w:pStyle w:val="TableParagraph"/>
              <w:rPr>
                <w:b/>
                <w:sz w:val="14"/>
              </w:rPr>
            </w:pPr>
          </w:p>
          <w:p>
            <w:pPr>
              <w:pStyle w:val="TableParagraph"/>
              <w:spacing w:before="10"/>
              <w:rPr>
                <w:b/>
                <w:sz w:val="15"/>
              </w:rPr>
            </w:pPr>
          </w:p>
          <w:p>
            <w:pPr>
              <w:pStyle w:val="TableParagraph"/>
              <w:ind w:right="492"/>
              <w:jc w:val="right"/>
              <w:rPr>
                <w:b/>
                <w:sz w:val="12"/>
              </w:rPr>
            </w:pPr>
            <w:r>
              <w:rPr>
                <w:b/>
                <w:color w:val="231F20"/>
                <w:sz w:val="12"/>
              </w:rPr>
              <w:t>Pass-Through</w:t>
            </w:r>
            <w:r>
              <w:rPr>
                <w:b/>
                <w:color w:val="231F20"/>
                <w:spacing w:val="32"/>
                <w:sz w:val="12"/>
              </w:rPr>
              <w:t> </w:t>
            </w:r>
            <w:r>
              <w:rPr>
                <w:b/>
                <w:color w:val="231F20"/>
                <w:spacing w:val="-2"/>
                <w:sz w:val="12"/>
              </w:rPr>
              <w:t>Entity</w:t>
            </w:r>
          </w:p>
        </w:tc>
        <w:tc>
          <w:tcPr>
            <w:tcW w:w="2764" w:type="dxa"/>
            <w:tcBorders>
              <w:bottom w:val="single" w:sz="18" w:space="0" w:color="231F20"/>
            </w:tcBorders>
          </w:tcPr>
          <w:p>
            <w:pPr>
              <w:pStyle w:val="TableParagraph"/>
              <w:spacing w:before="3"/>
              <w:rPr>
                <w:b/>
                <w:sz w:val="12"/>
              </w:rPr>
            </w:pPr>
          </w:p>
          <w:p>
            <w:pPr>
              <w:pStyle w:val="TableParagraph"/>
              <w:spacing w:line="170" w:lineRule="atLeast"/>
              <w:ind w:left="1018" w:hanging="286"/>
              <w:rPr>
                <w:b/>
                <w:sz w:val="12"/>
              </w:rPr>
            </w:pPr>
            <w:r>
              <w:rPr>
                <w:b/>
                <w:color w:val="231F20"/>
                <w:spacing w:val="-2"/>
                <w:w w:val="105"/>
                <w:sz w:val="12"/>
              </w:rPr>
              <w:t>Funding Agency </w:t>
            </w:r>
            <w:r>
              <w:rPr>
                <w:b/>
                <w:color w:val="231F20"/>
                <w:spacing w:val="-2"/>
                <w:w w:val="105"/>
                <w:sz w:val="12"/>
              </w:rPr>
              <w:t>Identification</w:t>
            </w:r>
            <w:r>
              <w:rPr>
                <w:b/>
                <w:color w:val="231F20"/>
                <w:spacing w:val="40"/>
                <w:w w:val="105"/>
                <w:sz w:val="12"/>
              </w:rPr>
              <w:t> </w:t>
            </w:r>
            <w:r>
              <w:rPr>
                <w:b/>
                <w:color w:val="231F20"/>
                <w:w w:val="105"/>
                <w:sz w:val="12"/>
              </w:rPr>
              <w:t>Number/Contract</w:t>
            </w:r>
            <w:r>
              <w:rPr>
                <w:b/>
                <w:color w:val="231F20"/>
                <w:spacing w:val="-7"/>
                <w:w w:val="105"/>
                <w:sz w:val="12"/>
              </w:rPr>
              <w:t> </w:t>
            </w:r>
            <w:r>
              <w:rPr>
                <w:b/>
                <w:color w:val="231F20"/>
                <w:w w:val="105"/>
                <w:sz w:val="12"/>
              </w:rPr>
              <w:t>ID</w:t>
            </w:r>
          </w:p>
        </w:tc>
        <w:tc>
          <w:tcPr>
            <w:tcW w:w="1151" w:type="dxa"/>
            <w:tcBorders>
              <w:bottom w:val="single" w:sz="18" w:space="0" w:color="231F20"/>
            </w:tcBorders>
          </w:tcPr>
          <w:p>
            <w:pPr>
              <w:pStyle w:val="TableParagraph"/>
              <w:spacing w:before="3"/>
              <w:ind w:left="366" w:hanging="125"/>
              <w:rPr>
                <w:b/>
                <w:sz w:val="12"/>
              </w:rPr>
            </w:pPr>
            <w:r>
              <w:rPr>
                <w:b/>
                <w:color w:val="231F20"/>
                <w:spacing w:val="-2"/>
                <w:w w:val="105"/>
                <w:sz w:val="12"/>
              </w:rPr>
              <w:t>Assistance</w:t>
            </w:r>
          </w:p>
          <w:p>
            <w:pPr>
              <w:pStyle w:val="TableParagraph"/>
              <w:spacing w:line="170" w:lineRule="atLeast"/>
              <w:ind w:left="335" w:right="331" w:firstLine="31"/>
              <w:rPr>
                <w:b/>
                <w:sz w:val="12"/>
              </w:rPr>
            </w:pPr>
            <w:r>
              <w:rPr>
                <w:b/>
                <w:color w:val="231F20"/>
                <w:spacing w:val="-2"/>
                <w:w w:val="105"/>
                <w:sz w:val="12"/>
              </w:rPr>
              <w:t>Listing</w:t>
            </w:r>
            <w:r>
              <w:rPr>
                <w:b/>
                <w:color w:val="231F20"/>
                <w:spacing w:val="40"/>
                <w:w w:val="105"/>
                <w:sz w:val="12"/>
              </w:rPr>
              <w:t> </w:t>
            </w:r>
            <w:r>
              <w:rPr>
                <w:b/>
                <w:color w:val="231F20"/>
                <w:spacing w:val="-2"/>
                <w:w w:val="105"/>
                <w:sz w:val="12"/>
              </w:rPr>
              <w:t>Number</w:t>
            </w:r>
          </w:p>
        </w:tc>
        <w:tc>
          <w:tcPr>
            <w:tcW w:w="1127" w:type="dxa"/>
            <w:tcBorders>
              <w:bottom w:val="single" w:sz="18" w:space="0" w:color="231F20"/>
            </w:tcBorders>
          </w:tcPr>
          <w:p>
            <w:pPr>
              <w:pStyle w:val="TableParagraph"/>
              <w:spacing w:line="297" w:lineRule="auto" w:before="3"/>
              <w:ind w:left="236" w:hanging="124"/>
              <w:rPr>
                <w:b/>
                <w:sz w:val="12"/>
              </w:rPr>
            </w:pPr>
            <w:r>
              <w:rPr>
                <w:b/>
                <w:color w:val="231F20"/>
                <w:spacing w:val="-2"/>
                <w:w w:val="105"/>
                <w:sz w:val="12"/>
              </w:rPr>
              <w:t>Amount</w:t>
            </w:r>
            <w:r>
              <w:rPr>
                <w:b/>
                <w:color w:val="231F20"/>
                <w:spacing w:val="-7"/>
                <w:w w:val="105"/>
                <w:sz w:val="12"/>
              </w:rPr>
              <w:t> </w:t>
            </w:r>
            <w:r>
              <w:rPr>
                <w:b/>
                <w:color w:val="231F20"/>
                <w:spacing w:val="-2"/>
                <w:w w:val="105"/>
                <w:sz w:val="12"/>
              </w:rPr>
              <w:t>Passed</w:t>
            </w:r>
            <w:r>
              <w:rPr>
                <w:b/>
                <w:color w:val="231F20"/>
                <w:spacing w:val="40"/>
                <w:w w:val="105"/>
                <w:sz w:val="12"/>
              </w:rPr>
              <w:t> </w:t>
            </w:r>
            <w:r>
              <w:rPr>
                <w:b/>
                <w:color w:val="231F20"/>
                <w:w w:val="105"/>
                <w:sz w:val="12"/>
              </w:rPr>
              <w:t>Through</w:t>
            </w:r>
            <w:r>
              <w:rPr>
                <w:b/>
                <w:color w:val="231F20"/>
                <w:spacing w:val="-7"/>
                <w:w w:val="105"/>
                <w:sz w:val="12"/>
              </w:rPr>
              <w:t> </w:t>
            </w:r>
            <w:r>
              <w:rPr>
                <w:b/>
                <w:color w:val="231F20"/>
                <w:w w:val="105"/>
                <w:sz w:val="12"/>
              </w:rPr>
              <w:t>to</w:t>
            </w:r>
          </w:p>
          <w:p>
            <w:pPr>
              <w:pStyle w:val="TableParagraph"/>
              <w:spacing w:line="137" w:lineRule="exact"/>
              <w:ind w:left="152"/>
              <w:rPr>
                <w:b/>
                <w:sz w:val="12"/>
              </w:rPr>
            </w:pPr>
            <w:r>
              <w:rPr>
                <w:b/>
                <w:color w:val="231F20"/>
                <w:spacing w:val="-2"/>
                <w:w w:val="105"/>
                <w:sz w:val="12"/>
              </w:rPr>
              <w:t>Subrecipients</w:t>
            </w:r>
          </w:p>
        </w:tc>
        <w:tc>
          <w:tcPr>
            <w:tcW w:w="1278" w:type="dxa"/>
            <w:gridSpan w:val="2"/>
            <w:tcBorders>
              <w:bottom w:val="single" w:sz="18" w:space="0" w:color="231F20"/>
            </w:tcBorders>
          </w:tcPr>
          <w:p>
            <w:pPr>
              <w:pStyle w:val="TableParagraph"/>
              <w:spacing w:before="3"/>
              <w:rPr>
                <w:b/>
                <w:sz w:val="12"/>
              </w:rPr>
            </w:pPr>
          </w:p>
          <w:p>
            <w:pPr>
              <w:pStyle w:val="TableParagraph"/>
              <w:spacing w:line="170" w:lineRule="atLeast" w:before="1"/>
              <w:ind w:left="322" w:firstLine="24"/>
              <w:rPr>
                <w:b/>
                <w:sz w:val="12"/>
              </w:rPr>
            </w:pPr>
            <w:r>
              <w:rPr>
                <w:b/>
                <w:color w:val="231F20"/>
                <w:spacing w:val="-2"/>
                <w:w w:val="105"/>
                <w:sz w:val="12"/>
              </w:rPr>
              <w:t>Total</w:t>
            </w:r>
            <w:r>
              <w:rPr>
                <w:b/>
                <w:color w:val="231F20"/>
                <w:spacing w:val="-7"/>
                <w:w w:val="105"/>
                <w:sz w:val="12"/>
              </w:rPr>
              <w:t> </w:t>
            </w:r>
            <w:r>
              <w:rPr>
                <w:b/>
                <w:color w:val="231F20"/>
                <w:spacing w:val="-2"/>
                <w:w w:val="105"/>
                <w:sz w:val="12"/>
              </w:rPr>
              <w:t>Federal</w:t>
            </w:r>
            <w:r>
              <w:rPr>
                <w:b/>
                <w:color w:val="231F20"/>
                <w:spacing w:val="40"/>
                <w:w w:val="105"/>
                <w:sz w:val="12"/>
              </w:rPr>
              <w:t> </w:t>
            </w:r>
            <w:r>
              <w:rPr>
                <w:b/>
                <w:color w:val="231F20"/>
                <w:spacing w:val="-2"/>
                <w:w w:val="105"/>
                <w:sz w:val="12"/>
              </w:rPr>
              <w:t>Expenditures</w:t>
            </w:r>
          </w:p>
        </w:tc>
      </w:tr>
      <w:tr>
        <w:trPr>
          <w:trHeight w:val="240" w:hRule="atLeast"/>
        </w:trPr>
        <w:tc>
          <w:tcPr>
            <w:tcW w:w="4381" w:type="dxa"/>
            <w:tcBorders>
              <w:top w:val="single" w:sz="18" w:space="0" w:color="231F20"/>
            </w:tcBorders>
          </w:tcPr>
          <w:p>
            <w:pPr>
              <w:pStyle w:val="TableParagraph"/>
              <w:spacing w:line="119" w:lineRule="exact" w:before="101"/>
              <w:ind w:left="32"/>
              <w:rPr>
                <w:b/>
                <w:sz w:val="12"/>
              </w:rPr>
            </w:pPr>
            <w:r>
              <w:rPr>
                <w:b/>
                <w:color w:val="231F20"/>
                <w:w w:val="105"/>
                <w:sz w:val="12"/>
              </w:rPr>
              <w:t>U.S.</w:t>
            </w:r>
            <w:r>
              <w:rPr>
                <w:b/>
                <w:color w:val="231F20"/>
                <w:spacing w:val="-5"/>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5"/>
                <w:w w:val="105"/>
                <w:sz w:val="12"/>
              </w:rPr>
              <w:t> </w:t>
            </w:r>
            <w:r>
              <w:rPr>
                <w:b/>
                <w:color w:val="231F20"/>
                <w:w w:val="105"/>
                <w:sz w:val="12"/>
              </w:rPr>
              <w:t>the</w:t>
            </w:r>
            <w:r>
              <w:rPr>
                <w:b/>
                <w:color w:val="231F20"/>
                <w:spacing w:val="-4"/>
                <w:w w:val="105"/>
                <w:sz w:val="12"/>
              </w:rPr>
              <w:t> </w:t>
            </w:r>
            <w:r>
              <w:rPr>
                <w:b/>
                <w:color w:val="231F20"/>
                <w:spacing w:val="-2"/>
                <w:w w:val="105"/>
                <w:sz w:val="12"/>
              </w:rPr>
              <w:t>Interior</w:t>
            </w:r>
          </w:p>
        </w:tc>
        <w:tc>
          <w:tcPr>
            <w:tcW w:w="973" w:type="dxa"/>
            <w:tcBorders>
              <w:top w:val="single" w:sz="18" w:space="0" w:color="231F20"/>
            </w:tcBorders>
          </w:tcPr>
          <w:p>
            <w:pPr>
              <w:pStyle w:val="TableParagraph"/>
              <w:rPr>
                <w:rFonts w:ascii="Times New Roman"/>
                <w:sz w:val="12"/>
              </w:rPr>
            </w:pPr>
          </w:p>
        </w:tc>
        <w:tc>
          <w:tcPr>
            <w:tcW w:w="2686" w:type="dxa"/>
            <w:tcBorders>
              <w:top w:val="single" w:sz="18" w:space="0" w:color="231F20"/>
            </w:tcBorders>
          </w:tcPr>
          <w:p>
            <w:pPr>
              <w:pStyle w:val="TableParagraph"/>
              <w:rPr>
                <w:rFonts w:ascii="Times New Roman"/>
                <w:sz w:val="12"/>
              </w:rPr>
            </w:pPr>
          </w:p>
        </w:tc>
        <w:tc>
          <w:tcPr>
            <w:tcW w:w="2764" w:type="dxa"/>
            <w:tcBorders>
              <w:top w:val="single" w:sz="18" w:space="0" w:color="231F20"/>
            </w:tcBorders>
          </w:tcPr>
          <w:p>
            <w:pPr>
              <w:pStyle w:val="TableParagraph"/>
              <w:rPr>
                <w:rFonts w:ascii="Times New Roman"/>
                <w:sz w:val="12"/>
              </w:rPr>
            </w:pPr>
          </w:p>
        </w:tc>
        <w:tc>
          <w:tcPr>
            <w:tcW w:w="1151" w:type="dxa"/>
            <w:tcBorders>
              <w:top w:val="single" w:sz="18" w:space="0" w:color="231F20"/>
            </w:tcBorders>
          </w:tcPr>
          <w:p>
            <w:pPr>
              <w:pStyle w:val="TableParagraph"/>
              <w:rPr>
                <w:rFonts w:ascii="Times New Roman"/>
                <w:sz w:val="12"/>
              </w:rPr>
            </w:pPr>
          </w:p>
        </w:tc>
        <w:tc>
          <w:tcPr>
            <w:tcW w:w="1127" w:type="dxa"/>
            <w:tcBorders>
              <w:top w:val="single" w:sz="18" w:space="0" w:color="231F20"/>
            </w:tcBorders>
          </w:tcPr>
          <w:p>
            <w:pPr>
              <w:pStyle w:val="TableParagraph"/>
              <w:rPr>
                <w:rFonts w:ascii="Times New Roman"/>
                <w:sz w:val="12"/>
              </w:rPr>
            </w:pPr>
          </w:p>
        </w:tc>
        <w:tc>
          <w:tcPr>
            <w:tcW w:w="1278" w:type="dxa"/>
            <w:gridSpan w:val="2"/>
            <w:tcBorders>
              <w:top w:val="single" w:sz="18" w:space="0" w:color="231F20"/>
            </w:tcBorders>
          </w:tcPr>
          <w:p>
            <w:pPr>
              <w:pStyle w:val="TableParagraph"/>
              <w:rPr>
                <w:rFonts w:ascii="Times New Roman"/>
                <w:sz w:val="12"/>
              </w:rPr>
            </w:pPr>
          </w:p>
        </w:tc>
      </w:tr>
      <w:tr>
        <w:trPr>
          <w:trHeight w:val="170" w:hRule="atLeast"/>
        </w:trPr>
        <w:tc>
          <w:tcPr>
            <w:tcW w:w="4381" w:type="dxa"/>
          </w:tcPr>
          <w:p>
            <w:pPr>
              <w:pStyle w:val="TableParagraph"/>
              <w:spacing w:line="119" w:lineRule="exact" w:before="31"/>
              <w:ind w:left="201"/>
              <w:rPr>
                <w:sz w:val="12"/>
              </w:rPr>
            </w:pPr>
            <w:r>
              <w:rPr>
                <w:color w:val="231F20"/>
                <w:w w:val="105"/>
                <w:sz w:val="12"/>
              </w:rPr>
              <w:t>Direct</w:t>
            </w:r>
            <w:r>
              <w:rPr>
                <w:color w:val="231F20"/>
                <w:spacing w:val="-4"/>
                <w:w w:val="105"/>
                <w:sz w:val="12"/>
              </w:rPr>
              <w:t> </w:t>
            </w:r>
            <w:r>
              <w:rPr>
                <w:color w:val="231F20"/>
                <w:spacing w:val="-2"/>
                <w:w w:val="105"/>
                <w:sz w:val="12"/>
              </w:rPr>
              <w:t>Awards</w:t>
            </w:r>
          </w:p>
        </w:tc>
        <w:tc>
          <w:tcPr>
            <w:tcW w:w="973" w:type="dxa"/>
          </w:tcPr>
          <w:p>
            <w:pPr>
              <w:pStyle w:val="TableParagraph"/>
              <w:rPr>
                <w:rFonts w:ascii="Times New Roman"/>
                <w:sz w:val="10"/>
              </w:rPr>
            </w:pPr>
          </w:p>
        </w:tc>
        <w:tc>
          <w:tcPr>
            <w:tcW w:w="2686" w:type="dxa"/>
          </w:tcPr>
          <w:p>
            <w:pPr>
              <w:pStyle w:val="TableParagraph"/>
              <w:rPr>
                <w:rFonts w:ascii="Times New Roman"/>
                <w:sz w:val="10"/>
              </w:rPr>
            </w:pPr>
          </w:p>
        </w:tc>
        <w:tc>
          <w:tcPr>
            <w:tcW w:w="2764" w:type="dxa"/>
          </w:tcPr>
          <w:p>
            <w:pPr>
              <w:pStyle w:val="TableParagraph"/>
              <w:rPr>
                <w:rFonts w:ascii="Times New Roman"/>
                <w:sz w:val="10"/>
              </w:rPr>
            </w:pPr>
          </w:p>
        </w:tc>
        <w:tc>
          <w:tcPr>
            <w:tcW w:w="1151" w:type="dxa"/>
          </w:tcPr>
          <w:p>
            <w:pPr>
              <w:pStyle w:val="TableParagraph"/>
              <w:rPr>
                <w:rFonts w:ascii="Times New Roman"/>
                <w:sz w:val="10"/>
              </w:rPr>
            </w:pPr>
          </w:p>
        </w:tc>
        <w:tc>
          <w:tcPr>
            <w:tcW w:w="1127" w:type="dxa"/>
          </w:tcPr>
          <w:p>
            <w:pPr>
              <w:pStyle w:val="TableParagraph"/>
              <w:rPr>
                <w:rFonts w:ascii="Times New Roman"/>
                <w:sz w:val="10"/>
              </w:rPr>
            </w:pPr>
          </w:p>
        </w:tc>
        <w:tc>
          <w:tcPr>
            <w:tcW w:w="1278" w:type="dxa"/>
            <w:gridSpan w:val="2"/>
          </w:tcPr>
          <w:p>
            <w:pPr>
              <w:pStyle w:val="TableParagraph"/>
              <w:rPr>
                <w:rFonts w:ascii="Times New Roman"/>
                <w:sz w:val="10"/>
              </w:rPr>
            </w:pPr>
          </w:p>
        </w:tc>
      </w:tr>
      <w:tr>
        <w:trPr>
          <w:trHeight w:val="183" w:hRule="atLeast"/>
        </w:trPr>
        <w:tc>
          <w:tcPr>
            <w:tcW w:w="4381" w:type="dxa"/>
          </w:tcPr>
          <w:p>
            <w:pPr>
              <w:pStyle w:val="TableParagraph"/>
              <w:spacing w:line="138" w:lineRule="exact" w:before="26"/>
              <w:ind w:left="371"/>
              <w:rPr>
                <w:sz w:val="12"/>
              </w:rPr>
            </w:pPr>
            <w:r>
              <w:rPr>
                <w:color w:val="231F20"/>
                <w:spacing w:val="-2"/>
                <w:w w:val="105"/>
                <w:sz w:val="12"/>
              </w:rPr>
              <w:t>Recreation</w:t>
            </w:r>
            <w:r>
              <w:rPr>
                <w:color w:val="231F20"/>
                <w:spacing w:val="4"/>
                <w:w w:val="105"/>
                <w:sz w:val="12"/>
              </w:rPr>
              <w:t> </w:t>
            </w:r>
            <w:r>
              <w:rPr>
                <w:color w:val="231F20"/>
                <w:spacing w:val="-2"/>
                <w:w w:val="105"/>
                <w:sz w:val="12"/>
              </w:rPr>
              <w:t>and</w:t>
            </w:r>
            <w:r>
              <w:rPr>
                <w:color w:val="231F20"/>
                <w:spacing w:val="4"/>
                <w:w w:val="105"/>
                <w:sz w:val="12"/>
              </w:rPr>
              <w:t> </w:t>
            </w:r>
            <w:r>
              <w:rPr>
                <w:color w:val="231F20"/>
                <w:spacing w:val="-2"/>
                <w:w w:val="105"/>
                <w:sz w:val="12"/>
              </w:rPr>
              <w:t>Visitor</w:t>
            </w:r>
            <w:r>
              <w:rPr>
                <w:color w:val="231F20"/>
                <w:spacing w:val="4"/>
                <w:w w:val="105"/>
                <w:sz w:val="12"/>
              </w:rPr>
              <w:t> </w:t>
            </w:r>
            <w:r>
              <w:rPr>
                <w:color w:val="231F20"/>
                <w:spacing w:val="-2"/>
                <w:w w:val="105"/>
                <w:sz w:val="12"/>
              </w:rPr>
              <w:t>Services</w:t>
            </w:r>
          </w:p>
        </w:tc>
        <w:tc>
          <w:tcPr>
            <w:tcW w:w="973" w:type="dxa"/>
          </w:tcPr>
          <w:p>
            <w:pPr>
              <w:pStyle w:val="TableParagraph"/>
              <w:spacing w:line="132" w:lineRule="exact" w:before="32"/>
              <w:ind w:left="347" w:right="126"/>
              <w:jc w:val="center"/>
              <w:rPr>
                <w:sz w:val="12"/>
              </w:rPr>
            </w:pPr>
            <w:r>
              <w:rPr>
                <w:color w:val="231F20"/>
                <w:spacing w:val="-4"/>
                <w:w w:val="105"/>
                <w:sz w:val="12"/>
              </w:rPr>
              <w:t>RMWC</w:t>
            </w:r>
          </w:p>
        </w:tc>
        <w:tc>
          <w:tcPr>
            <w:tcW w:w="2686" w:type="dxa"/>
          </w:tcPr>
          <w:p>
            <w:pPr>
              <w:pStyle w:val="TableParagraph"/>
              <w:rPr>
                <w:rFonts w:ascii="Times New Roman"/>
                <w:sz w:val="12"/>
              </w:rPr>
            </w:pPr>
          </w:p>
        </w:tc>
        <w:tc>
          <w:tcPr>
            <w:tcW w:w="2764" w:type="dxa"/>
          </w:tcPr>
          <w:p>
            <w:pPr>
              <w:pStyle w:val="TableParagraph"/>
              <w:spacing w:line="138" w:lineRule="exact" w:before="26"/>
              <w:ind w:left="495"/>
              <w:rPr>
                <w:sz w:val="12"/>
              </w:rPr>
            </w:pPr>
            <w:r>
              <w:rPr>
                <w:color w:val="231F20"/>
                <w:spacing w:val="-2"/>
                <w:w w:val="105"/>
                <w:sz w:val="12"/>
              </w:rPr>
              <w:t>L15AC00125</w:t>
            </w:r>
          </w:p>
        </w:tc>
        <w:tc>
          <w:tcPr>
            <w:tcW w:w="1151" w:type="dxa"/>
          </w:tcPr>
          <w:p>
            <w:pPr>
              <w:pStyle w:val="TableParagraph"/>
              <w:spacing w:line="132" w:lineRule="exact" w:before="32"/>
              <w:ind w:left="370" w:right="365"/>
              <w:jc w:val="center"/>
              <w:rPr>
                <w:sz w:val="12"/>
              </w:rPr>
            </w:pPr>
            <w:r>
              <w:rPr>
                <w:color w:val="231F20"/>
                <w:spacing w:val="-2"/>
                <w:w w:val="105"/>
                <w:sz w:val="12"/>
              </w:rPr>
              <w:t>15.225</w:t>
            </w:r>
          </w:p>
        </w:tc>
        <w:tc>
          <w:tcPr>
            <w:tcW w:w="1127" w:type="dxa"/>
          </w:tcPr>
          <w:p>
            <w:pPr>
              <w:pStyle w:val="TableParagraph"/>
              <w:spacing w:line="132" w:lineRule="exact" w:before="32"/>
              <w:ind w:right="65"/>
              <w:jc w:val="right"/>
              <w:rPr>
                <w:sz w:val="12"/>
              </w:rPr>
            </w:pPr>
            <w:r>
              <w:rPr>
                <w:color w:val="231F20"/>
                <w:w w:val="104"/>
                <w:sz w:val="12"/>
              </w:rPr>
              <w:t>-</w:t>
            </w:r>
          </w:p>
        </w:tc>
        <w:tc>
          <w:tcPr>
            <w:tcW w:w="151" w:type="dxa"/>
          </w:tcPr>
          <w:p>
            <w:pPr>
              <w:pStyle w:val="TableParagraph"/>
              <w:rPr>
                <w:rFonts w:ascii="Times New Roman"/>
                <w:sz w:val="12"/>
              </w:rPr>
            </w:pPr>
          </w:p>
        </w:tc>
        <w:tc>
          <w:tcPr>
            <w:tcW w:w="1127" w:type="dxa"/>
          </w:tcPr>
          <w:p>
            <w:pPr>
              <w:pStyle w:val="TableParagraph"/>
              <w:spacing w:line="132" w:lineRule="exact" w:before="32"/>
              <w:ind w:right="60"/>
              <w:jc w:val="right"/>
              <w:rPr>
                <w:sz w:val="12"/>
              </w:rPr>
            </w:pPr>
            <w:r>
              <w:rPr>
                <w:color w:val="231F20"/>
                <w:spacing w:val="-2"/>
                <w:w w:val="105"/>
                <w:sz w:val="12"/>
              </w:rPr>
              <w:t>23,075</w:t>
            </w:r>
          </w:p>
        </w:tc>
      </w:tr>
      <w:tr>
        <w:trPr>
          <w:trHeight w:val="171" w:hRule="atLeast"/>
        </w:trPr>
        <w:tc>
          <w:tcPr>
            <w:tcW w:w="4381" w:type="dxa"/>
          </w:tcPr>
          <w:p>
            <w:pPr>
              <w:pStyle w:val="TableParagraph"/>
              <w:spacing w:line="138" w:lineRule="exact" w:before="14"/>
              <w:ind w:left="371"/>
              <w:rPr>
                <w:sz w:val="12"/>
              </w:rPr>
            </w:pPr>
            <w:r>
              <w:rPr>
                <w:color w:val="231F20"/>
                <w:spacing w:val="-2"/>
                <w:w w:val="105"/>
                <w:sz w:val="12"/>
              </w:rPr>
              <w:t>Rangeland</w:t>
            </w:r>
            <w:r>
              <w:rPr>
                <w:color w:val="231F20"/>
                <w:spacing w:val="4"/>
                <w:w w:val="105"/>
                <w:sz w:val="12"/>
              </w:rPr>
              <w:t> </w:t>
            </w:r>
            <w:r>
              <w:rPr>
                <w:color w:val="231F20"/>
                <w:spacing w:val="-2"/>
                <w:w w:val="105"/>
                <w:sz w:val="12"/>
              </w:rPr>
              <w:t>Resource</w:t>
            </w:r>
            <w:r>
              <w:rPr>
                <w:color w:val="231F20"/>
                <w:spacing w:val="5"/>
                <w:w w:val="105"/>
                <w:sz w:val="12"/>
              </w:rPr>
              <w:t> </w:t>
            </w:r>
            <w:r>
              <w:rPr>
                <w:color w:val="231F20"/>
                <w:spacing w:val="-2"/>
                <w:w w:val="105"/>
                <w:sz w:val="12"/>
              </w:rPr>
              <w:t>Management</w:t>
            </w:r>
          </w:p>
        </w:tc>
        <w:tc>
          <w:tcPr>
            <w:tcW w:w="973" w:type="dxa"/>
          </w:tcPr>
          <w:p>
            <w:pPr>
              <w:pStyle w:val="TableParagraph"/>
              <w:spacing w:line="132" w:lineRule="exact" w:before="20"/>
              <w:ind w:left="391" w:right="168"/>
              <w:jc w:val="center"/>
              <w:rPr>
                <w:sz w:val="12"/>
              </w:rPr>
            </w:pPr>
            <w:r>
              <w:rPr>
                <w:color w:val="231F20"/>
                <w:spacing w:val="-4"/>
                <w:w w:val="105"/>
                <w:sz w:val="12"/>
              </w:rPr>
              <w:t>RVEG</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L20AC00237</w:t>
            </w:r>
          </w:p>
        </w:tc>
        <w:tc>
          <w:tcPr>
            <w:tcW w:w="1151" w:type="dxa"/>
          </w:tcPr>
          <w:p>
            <w:pPr>
              <w:pStyle w:val="TableParagraph"/>
              <w:spacing w:line="132" w:lineRule="exact" w:before="20"/>
              <w:ind w:left="370" w:right="365"/>
              <w:jc w:val="center"/>
              <w:rPr>
                <w:sz w:val="12"/>
              </w:rPr>
            </w:pPr>
            <w:r>
              <w:rPr>
                <w:color w:val="231F20"/>
                <w:spacing w:val="-2"/>
                <w:w w:val="105"/>
                <w:sz w:val="12"/>
              </w:rPr>
              <w:t>15.237</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44,730</w:t>
            </w:r>
          </w:p>
        </w:tc>
      </w:tr>
      <w:tr>
        <w:trPr>
          <w:trHeight w:val="171" w:hRule="atLeast"/>
        </w:trPr>
        <w:tc>
          <w:tcPr>
            <w:tcW w:w="4381" w:type="dxa"/>
          </w:tcPr>
          <w:p>
            <w:pPr>
              <w:pStyle w:val="TableParagraph"/>
              <w:spacing w:line="138" w:lineRule="exact" w:before="14"/>
              <w:ind w:left="371"/>
              <w:rPr>
                <w:sz w:val="12"/>
              </w:rPr>
            </w:pPr>
            <w:r>
              <w:rPr>
                <w:color w:val="231F20"/>
                <w:spacing w:val="-2"/>
                <w:w w:val="105"/>
                <w:sz w:val="12"/>
              </w:rPr>
              <w:t>Water</w:t>
            </w:r>
            <w:r>
              <w:rPr>
                <w:color w:val="231F20"/>
                <w:spacing w:val="4"/>
                <w:w w:val="105"/>
                <w:sz w:val="12"/>
              </w:rPr>
              <w:t> </w:t>
            </w:r>
            <w:r>
              <w:rPr>
                <w:color w:val="231F20"/>
                <w:spacing w:val="-2"/>
                <w:w w:val="105"/>
                <w:sz w:val="12"/>
              </w:rPr>
              <w:t>Desalination</w:t>
            </w:r>
            <w:r>
              <w:rPr>
                <w:color w:val="231F20"/>
                <w:spacing w:val="5"/>
                <w:w w:val="105"/>
                <w:sz w:val="12"/>
              </w:rPr>
              <w:t> </w:t>
            </w:r>
            <w:r>
              <w:rPr>
                <w:color w:val="231F20"/>
                <w:spacing w:val="-2"/>
                <w:w w:val="105"/>
                <w:sz w:val="12"/>
              </w:rPr>
              <w:t>Research</w:t>
            </w:r>
            <w:r>
              <w:rPr>
                <w:color w:val="231F20"/>
                <w:spacing w:val="5"/>
                <w:w w:val="105"/>
                <w:sz w:val="12"/>
              </w:rPr>
              <w:t> </w:t>
            </w:r>
            <w:r>
              <w:rPr>
                <w:color w:val="231F20"/>
                <w:spacing w:val="-2"/>
                <w:w w:val="105"/>
                <w:sz w:val="12"/>
              </w:rPr>
              <w:t>and</w:t>
            </w:r>
            <w:r>
              <w:rPr>
                <w:color w:val="231F20"/>
                <w:spacing w:val="5"/>
                <w:w w:val="105"/>
                <w:sz w:val="12"/>
              </w:rPr>
              <w:t> </w:t>
            </w:r>
            <w:r>
              <w:rPr>
                <w:color w:val="231F20"/>
                <w:spacing w:val="-2"/>
                <w:w w:val="105"/>
                <w:sz w:val="12"/>
              </w:rPr>
              <w:t>Development</w:t>
            </w:r>
          </w:p>
        </w:tc>
        <w:tc>
          <w:tcPr>
            <w:tcW w:w="973" w:type="dxa"/>
          </w:tcPr>
          <w:p>
            <w:pPr>
              <w:pStyle w:val="TableParagraph"/>
              <w:spacing w:line="132" w:lineRule="exact" w:before="20"/>
              <w:ind w:left="220"/>
              <w:jc w:val="center"/>
              <w:rPr>
                <w:sz w:val="12"/>
              </w:rPr>
            </w:pPr>
            <w:r>
              <w:rPr>
                <w:color w:val="231F20"/>
                <w:spacing w:val="-4"/>
                <w:w w:val="105"/>
                <w:sz w:val="12"/>
              </w:rPr>
              <w:t>RDWP</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R21AC10268</w:t>
            </w:r>
          </w:p>
        </w:tc>
        <w:tc>
          <w:tcPr>
            <w:tcW w:w="1151" w:type="dxa"/>
          </w:tcPr>
          <w:p>
            <w:pPr>
              <w:pStyle w:val="TableParagraph"/>
              <w:spacing w:line="132" w:lineRule="exact" w:before="20"/>
              <w:ind w:left="370" w:right="365"/>
              <w:jc w:val="center"/>
              <w:rPr>
                <w:sz w:val="12"/>
              </w:rPr>
            </w:pPr>
            <w:r>
              <w:rPr>
                <w:color w:val="231F20"/>
                <w:spacing w:val="-2"/>
                <w:w w:val="105"/>
                <w:sz w:val="12"/>
              </w:rPr>
              <w:t>15.506</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77,397</w:t>
            </w:r>
          </w:p>
        </w:tc>
      </w:tr>
      <w:tr>
        <w:trPr>
          <w:trHeight w:val="171" w:hRule="atLeast"/>
        </w:trPr>
        <w:tc>
          <w:tcPr>
            <w:tcW w:w="4381" w:type="dxa"/>
          </w:tcPr>
          <w:p>
            <w:pPr>
              <w:pStyle w:val="TableParagraph"/>
              <w:spacing w:line="138" w:lineRule="exact" w:before="14"/>
              <w:ind w:left="371"/>
              <w:rPr>
                <w:sz w:val="12"/>
              </w:rPr>
            </w:pPr>
            <w:r>
              <w:rPr>
                <w:color w:val="231F20"/>
                <w:spacing w:val="-2"/>
                <w:w w:val="105"/>
                <w:sz w:val="12"/>
              </w:rPr>
              <w:t>Water</w:t>
            </w:r>
            <w:r>
              <w:rPr>
                <w:color w:val="231F20"/>
                <w:spacing w:val="4"/>
                <w:w w:val="105"/>
                <w:sz w:val="12"/>
              </w:rPr>
              <w:t> </w:t>
            </w:r>
            <w:r>
              <w:rPr>
                <w:color w:val="231F20"/>
                <w:spacing w:val="-2"/>
                <w:w w:val="105"/>
                <w:sz w:val="12"/>
              </w:rPr>
              <w:t>Desalination</w:t>
            </w:r>
            <w:r>
              <w:rPr>
                <w:color w:val="231F20"/>
                <w:spacing w:val="5"/>
                <w:w w:val="105"/>
                <w:sz w:val="12"/>
              </w:rPr>
              <w:t> </w:t>
            </w:r>
            <w:r>
              <w:rPr>
                <w:color w:val="231F20"/>
                <w:spacing w:val="-2"/>
                <w:w w:val="105"/>
                <w:sz w:val="12"/>
              </w:rPr>
              <w:t>Research</w:t>
            </w:r>
            <w:r>
              <w:rPr>
                <w:color w:val="231F20"/>
                <w:spacing w:val="5"/>
                <w:w w:val="105"/>
                <w:sz w:val="12"/>
              </w:rPr>
              <w:t> </w:t>
            </w:r>
            <w:r>
              <w:rPr>
                <w:color w:val="231F20"/>
                <w:spacing w:val="-2"/>
                <w:w w:val="105"/>
                <w:sz w:val="12"/>
              </w:rPr>
              <w:t>and</w:t>
            </w:r>
            <w:r>
              <w:rPr>
                <w:color w:val="231F20"/>
                <w:spacing w:val="5"/>
                <w:w w:val="105"/>
                <w:sz w:val="12"/>
              </w:rPr>
              <w:t> </w:t>
            </w:r>
            <w:r>
              <w:rPr>
                <w:color w:val="231F20"/>
                <w:spacing w:val="-2"/>
                <w:w w:val="105"/>
                <w:sz w:val="12"/>
              </w:rPr>
              <w:t>Development</w:t>
            </w:r>
          </w:p>
        </w:tc>
        <w:tc>
          <w:tcPr>
            <w:tcW w:w="973" w:type="dxa"/>
          </w:tcPr>
          <w:p>
            <w:pPr>
              <w:pStyle w:val="TableParagraph"/>
              <w:spacing w:line="132" w:lineRule="exact" w:before="20"/>
              <w:ind w:left="220"/>
              <w:jc w:val="center"/>
              <w:rPr>
                <w:sz w:val="12"/>
              </w:rPr>
            </w:pPr>
            <w:r>
              <w:rPr>
                <w:color w:val="231F20"/>
                <w:spacing w:val="-4"/>
                <w:w w:val="105"/>
                <w:sz w:val="12"/>
              </w:rPr>
              <w:t>RGMD</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R18AC00107</w:t>
            </w:r>
          </w:p>
        </w:tc>
        <w:tc>
          <w:tcPr>
            <w:tcW w:w="1151" w:type="dxa"/>
          </w:tcPr>
          <w:p>
            <w:pPr>
              <w:pStyle w:val="TableParagraph"/>
              <w:spacing w:line="132" w:lineRule="exact" w:before="20"/>
              <w:ind w:left="370" w:right="365"/>
              <w:jc w:val="center"/>
              <w:rPr>
                <w:sz w:val="12"/>
              </w:rPr>
            </w:pPr>
            <w:r>
              <w:rPr>
                <w:color w:val="231F20"/>
                <w:spacing w:val="-2"/>
                <w:w w:val="105"/>
                <w:sz w:val="12"/>
              </w:rPr>
              <w:t>15.506</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22,535</w:t>
            </w:r>
          </w:p>
        </w:tc>
      </w:tr>
      <w:tr>
        <w:trPr>
          <w:trHeight w:val="171" w:hRule="atLeast"/>
        </w:trPr>
        <w:tc>
          <w:tcPr>
            <w:tcW w:w="4381" w:type="dxa"/>
          </w:tcPr>
          <w:p>
            <w:pPr>
              <w:pStyle w:val="TableParagraph"/>
              <w:spacing w:line="138" w:lineRule="exact" w:before="14"/>
              <w:ind w:left="371"/>
              <w:rPr>
                <w:sz w:val="12"/>
              </w:rPr>
            </w:pPr>
            <w:r>
              <w:rPr>
                <w:color w:val="231F20"/>
                <w:spacing w:val="-2"/>
                <w:w w:val="105"/>
                <w:sz w:val="12"/>
              </w:rPr>
              <w:t>Water</w:t>
            </w:r>
            <w:r>
              <w:rPr>
                <w:color w:val="231F20"/>
                <w:spacing w:val="4"/>
                <w:w w:val="105"/>
                <w:sz w:val="12"/>
              </w:rPr>
              <w:t> </w:t>
            </w:r>
            <w:r>
              <w:rPr>
                <w:color w:val="231F20"/>
                <w:spacing w:val="-2"/>
                <w:w w:val="105"/>
                <w:sz w:val="12"/>
              </w:rPr>
              <w:t>Desalination</w:t>
            </w:r>
            <w:r>
              <w:rPr>
                <w:color w:val="231F20"/>
                <w:spacing w:val="5"/>
                <w:w w:val="105"/>
                <w:sz w:val="12"/>
              </w:rPr>
              <w:t> </w:t>
            </w:r>
            <w:r>
              <w:rPr>
                <w:color w:val="231F20"/>
                <w:spacing w:val="-2"/>
                <w:w w:val="105"/>
                <w:sz w:val="12"/>
              </w:rPr>
              <w:t>Research</w:t>
            </w:r>
            <w:r>
              <w:rPr>
                <w:color w:val="231F20"/>
                <w:spacing w:val="5"/>
                <w:w w:val="105"/>
                <w:sz w:val="12"/>
              </w:rPr>
              <w:t> </w:t>
            </w:r>
            <w:r>
              <w:rPr>
                <w:color w:val="231F20"/>
                <w:spacing w:val="-2"/>
                <w:w w:val="105"/>
                <w:sz w:val="12"/>
              </w:rPr>
              <w:t>and</w:t>
            </w:r>
            <w:r>
              <w:rPr>
                <w:color w:val="231F20"/>
                <w:spacing w:val="5"/>
                <w:w w:val="105"/>
                <w:sz w:val="12"/>
              </w:rPr>
              <w:t> </w:t>
            </w:r>
            <w:r>
              <w:rPr>
                <w:color w:val="231F20"/>
                <w:spacing w:val="-2"/>
                <w:w w:val="105"/>
                <w:sz w:val="12"/>
              </w:rPr>
              <w:t>Development</w:t>
            </w:r>
          </w:p>
        </w:tc>
        <w:tc>
          <w:tcPr>
            <w:tcW w:w="973" w:type="dxa"/>
          </w:tcPr>
          <w:p>
            <w:pPr>
              <w:pStyle w:val="TableParagraph"/>
              <w:spacing w:line="132" w:lineRule="exact" w:before="20"/>
              <w:ind w:left="347" w:right="126"/>
              <w:jc w:val="center"/>
              <w:rPr>
                <w:sz w:val="12"/>
              </w:rPr>
            </w:pPr>
            <w:r>
              <w:rPr>
                <w:color w:val="231F20"/>
                <w:spacing w:val="-4"/>
                <w:w w:val="105"/>
                <w:sz w:val="12"/>
              </w:rPr>
              <w:t>RHOH</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R21AC10154</w:t>
            </w:r>
          </w:p>
        </w:tc>
        <w:tc>
          <w:tcPr>
            <w:tcW w:w="1151" w:type="dxa"/>
          </w:tcPr>
          <w:p>
            <w:pPr>
              <w:pStyle w:val="TableParagraph"/>
              <w:spacing w:line="132" w:lineRule="exact" w:before="20"/>
              <w:ind w:left="371" w:right="365"/>
              <w:jc w:val="center"/>
              <w:rPr>
                <w:sz w:val="12"/>
              </w:rPr>
            </w:pPr>
            <w:r>
              <w:rPr>
                <w:color w:val="231F20"/>
                <w:spacing w:val="-2"/>
                <w:w w:val="105"/>
                <w:sz w:val="12"/>
              </w:rPr>
              <w:t>15.506</w:t>
            </w:r>
          </w:p>
        </w:tc>
        <w:tc>
          <w:tcPr>
            <w:tcW w:w="1127" w:type="dxa"/>
          </w:tcPr>
          <w:p>
            <w:pPr>
              <w:pStyle w:val="TableParagraph"/>
              <w:spacing w:line="132" w:lineRule="exact" w:before="20"/>
              <w:ind w:right="65"/>
              <w:jc w:val="right"/>
              <w:rPr>
                <w:sz w:val="12"/>
              </w:rPr>
            </w:pPr>
            <w:r>
              <w:rPr>
                <w:color w:val="231F20"/>
                <w:spacing w:val="-2"/>
                <w:w w:val="105"/>
                <w:sz w:val="12"/>
              </w:rPr>
              <w:t>53,122</w:t>
            </w:r>
          </w:p>
        </w:tc>
        <w:tc>
          <w:tcPr>
            <w:tcW w:w="151" w:type="dxa"/>
          </w:tcPr>
          <w:p>
            <w:pPr>
              <w:pStyle w:val="TableParagraph"/>
              <w:rPr>
                <w:rFonts w:ascii="Times New Roman"/>
                <w:sz w:val="10"/>
              </w:rPr>
            </w:pPr>
          </w:p>
        </w:tc>
        <w:tc>
          <w:tcPr>
            <w:tcW w:w="1127" w:type="dxa"/>
          </w:tcPr>
          <w:p>
            <w:pPr>
              <w:pStyle w:val="TableParagraph"/>
              <w:spacing w:line="132" w:lineRule="exact" w:before="20"/>
              <w:ind w:right="61"/>
              <w:jc w:val="right"/>
              <w:rPr>
                <w:sz w:val="12"/>
              </w:rPr>
            </w:pPr>
            <w:r>
              <w:rPr>
                <w:color w:val="231F20"/>
                <w:spacing w:val="-2"/>
                <w:w w:val="105"/>
                <w:sz w:val="12"/>
              </w:rPr>
              <w:t>125,205</w:t>
            </w:r>
          </w:p>
        </w:tc>
      </w:tr>
      <w:tr>
        <w:trPr>
          <w:trHeight w:val="171" w:hRule="atLeast"/>
        </w:trPr>
        <w:tc>
          <w:tcPr>
            <w:tcW w:w="4381" w:type="dxa"/>
          </w:tcPr>
          <w:p>
            <w:pPr>
              <w:pStyle w:val="TableParagraph"/>
              <w:spacing w:line="138" w:lineRule="exact" w:before="14"/>
              <w:ind w:left="372"/>
              <w:rPr>
                <w:sz w:val="12"/>
              </w:rPr>
            </w:pPr>
            <w:r>
              <w:rPr>
                <w:color w:val="231F20"/>
                <w:spacing w:val="-2"/>
                <w:w w:val="105"/>
                <w:sz w:val="12"/>
              </w:rPr>
              <w:t>Water</w:t>
            </w:r>
            <w:r>
              <w:rPr>
                <w:color w:val="231F20"/>
                <w:spacing w:val="4"/>
                <w:w w:val="105"/>
                <w:sz w:val="12"/>
              </w:rPr>
              <w:t> </w:t>
            </w:r>
            <w:r>
              <w:rPr>
                <w:color w:val="231F20"/>
                <w:spacing w:val="-2"/>
                <w:w w:val="105"/>
                <w:sz w:val="12"/>
              </w:rPr>
              <w:t>Desalination</w:t>
            </w:r>
            <w:r>
              <w:rPr>
                <w:color w:val="231F20"/>
                <w:spacing w:val="5"/>
                <w:w w:val="105"/>
                <w:sz w:val="12"/>
              </w:rPr>
              <w:t> </w:t>
            </w:r>
            <w:r>
              <w:rPr>
                <w:color w:val="231F20"/>
                <w:spacing w:val="-2"/>
                <w:w w:val="105"/>
                <w:sz w:val="12"/>
              </w:rPr>
              <w:t>Research</w:t>
            </w:r>
            <w:r>
              <w:rPr>
                <w:color w:val="231F20"/>
                <w:spacing w:val="5"/>
                <w:w w:val="105"/>
                <w:sz w:val="12"/>
              </w:rPr>
              <w:t> </w:t>
            </w:r>
            <w:r>
              <w:rPr>
                <w:color w:val="231F20"/>
                <w:spacing w:val="-2"/>
                <w:w w:val="105"/>
                <w:sz w:val="12"/>
              </w:rPr>
              <w:t>and</w:t>
            </w:r>
            <w:r>
              <w:rPr>
                <w:color w:val="231F20"/>
                <w:spacing w:val="5"/>
                <w:w w:val="105"/>
                <w:sz w:val="12"/>
              </w:rPr>
              <w:t> </w:t>
            </w:r>
            <w:r>
              <w:rPr>
                <w:color w:val="231F20"/>
                <w:spacing w:val="-2"/>
                <w:w w:val="105"/>
                <w:sz w:val="12"/>
              </w:rPr>
              <w:t>Development</w:t>
            </w:r>
          </w:p>
        </w:tc>
        <w:tc>
          <w:tcPr>
            <w:tcW w:w="973" w:type="dxa"/>
          </w:tcPr>
          <w:p>
            <w:pPr>
              <w:pStyle w:val="TableParagraph"/>
              <w:spacing w:line="132" w:lineRule="exact" w:before="20"/>
              <w:ind w:left="220"/>
              <w:jc w:val="center"/>
              <w:rPr>
                <w:sz w:val="12"/>
              </w:rPr>
            </w:pPr>
            <w:r>
              <w:rPr>
                <w:color w:val="231F20"/>
                <w:spacing w:val="-4"/>
                <w:w w:val="105"/>
                <w:sz w:val="12"/>
              </w:rPr>
              <w:t>RTPF</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R19AC00108</w:t>
            </w:r>
          </w:p>
        </w:tc>
        <w:tc>
          <w:tcPr>
            <w:tcW w:w="1151" w:type="dxa"/>
          </w:tcPr>
          <w:p>
            <w:pPr>
              <w:pStyle w:val="TableParagraph"/>
              <w:spacing w:line="132" w:lineRule="exact" w:before="20"/>
              <w:ind w:left="371" w:right="365"/>
              <w:jc w:val="center"/>
              <w:rPr>
                <w:sz w:val="12"/>
              </w:rPr>
            </w:pPr>
            <w:r>
              <w:rPr>
                <w:color w:val="231F20"/>
                <w:spacing w:val="-2"/>
                <w:w w:val="105"/>
                <w:sz w:val="12"/>
              </w:rPr>
              <w:t>15.506</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8,065</w:t>
            </w:r>
          </w:p>
        </w:tc>
      </w:tr>
      <w:tr>
        <w:trPr>
          <w:trHeight w:val="171" w:hRule="atLeast"/>
        </w:trPr>
        <w:tc>
          <w:tcPr>
            <w:tcW w:w="4381" w:type="dxa"/>
          </w:tcPr>
          <w:p>
            <w:pPr>
              <w:pStyle w:val="TableParagraph"/>
              <w:spacing w:line="138" w:lineRule="exact" w:before="14"/>
              <w:ind w:left="372"/>
              <w:rPr>
                <w:sz w:val="12"/>
              </w:rPr>
            </w:pPr>
            <w:r>
              <w:rPr>
                <w:color w:val="231F20"/>
                <w:w w:val="105"/>
                <w:sz w:val="12"/>
              </w:rPr>
              <w:t>SECURE</w:t>
            </w:r>
            <w:r>
              <w:rPr>
                <w:color w:val="231F20"/>
                <w:spacing w:val="-6"/>
                <w:w w:val="105"/>
                <w:sz w:val="12"/>
              </w:rPr>
              <w:t> </w:t>
            </w:r>
            <w:r>
              <w:rPr>
                <w:color w:val="231F20"/>
                <w:w w:val="105"/>
                <w:sz w:val="12"/>
              </w:rPr>
              <w:t>Water</w:t>
            </w:r>
            <w:r>
              <w:rPr>
                <w:color w:val="231F20"/>
                <w:spacing w:val="-5"/>
                <w:w w:val="105"/>
                <w:sz w:val="12"/>
              </w:rPr>
              <w:t> </w:t>
            </w:r>
            <w:r>
              <w:rPr>
                <w:color w:val="231F20"/>
                <w:w w:val="105"/>
                <w:sz w:val="12"/>
              </w:rPr>
              <w:t>Act</w:t>
            </w:r>
            <w:r>
              <w:rPr>
                <w:color w:val="231F20"/>
                <w:spacing w:val="-6"/>
                <w:w w:val="105"/>
                <w:sz w:val="12"/>
              </w:rPr>
              <w:t> </w:t>
            </w:r>
            <w:r>
              <w:rPr>
                <w:color w:val="231F20"/>
                <w:w w:val="105"/>
                <w:sz w:val="12"/>
              </w:rPr>
              <w:t>-</w:t>
            </w:r>
            <w:r>
              <w:rPr>
                <w:color w:val="231F20"/>
                <w:spacing w:val="-5"/>
                <w:w w:val="105"/>
                <w:sz w:val="12"/>
              </w:rPr>
              <w:t> </w:t>
            </w:r>
            <w:r>
              <w:rPr>
                <w:color w:val="231F20"/>
                <w:w w:val="105"/>
                <w:sz w:val="12"/>
              </w:rPr>
              <w:t>Research</w:t>
            </w:r>
            <w:r>
              <w:rPr>
                <w:color w:val="231F20"/>
                <w:spacing w:val="-5"/>
                <w:w w:val="105"/>
                <w:sz w:val="12"/>
              </w:rPr>
              <w:t> </w:t>
            </w:r>
            <w:r>
              <w:rPr>
                <w:color w:val="231F20"/>
                <w:spacing w:val="-2"/>
                <w:w w:val="105"/>
                <w:sz w:val="12"/>
              </w:rPr>
              <w:t>Agreements</w:t>
            </w:r>
          </w:p>
        </w:tc>
        <w:tc>
          <w:tcPr>
            <w:tcW w:w="973" w:type="dxa"/>
          </w:tcPr>
          <w:p>
            <w:pPr>
              <w:pStyle w:val="TableParagraph"/>
              <w:spacing w:line="132" w:lineRule="exact" w:before="20"/>
              <w:ind w:left="220"/>
              <w:jc w:val="center"/>
              <w:rPr>
                <w:sz w:val="12"/>
              </w:rPr>
            </w:pPr>
            <w:r>
              <w:rPr>
                <w:color w:val="231F20"/>
                <w:spacing w:val="-4"/>
                <w:w w:val="105"/>
                <w:sz w:val="12"/>
              </w:rPr>
              <w:t>RETS</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R16AC00025</w:t>
            </w:r>
          </w:p>
        </w:tc>
        <w:tc>
          <w:tcPr>
            <w:tcW w:w="1151" w:type="dxa"/>
          </w:tcPr>
          <w:p>
            <w:pPr>
              <w:pStyle w:val="TableParagraph"/>
              <w:spacing w:line="132" w:lineRule="exact" w:before="20"/>
              <w:ind w:left="371" w:right="365"/>
              <w:jc w:val="center"/>
              <w:rPr>
                <w:sz w:val="12"/>
              </w:rPr>
            </w:pPr>
            <w:r>
              <w:rPr>
                <w:color w:val="231F20"/>
                <w:spacing w:val="-2"/>
                <w:w w:val="105"/>
                <w:sz w:val="12"/>
              </w:rPr>
              <w:t>15.560</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4,526</w:t>
            </w:r>
          </w:p>
        </w:tc>
      </w:tr>
      <w:tr>
        <w:trPr>
          <w:trHeight w:val="171" w:hRule="atLeast"/>
        </w:trPr>
        <w:tc>
          <w:tcPr>
            <w:tcW w:w="4381" w:type="dxa"/>
          </w:tcPr>
          <w:p>
            <w:pPr>
              <w:pStyle w:val="TableParagraph"/>
              <w:spacing w:line="138" w:lineRule="exact" w:before="14"/>
              <w:ind w:left="372"/>
              <w:rPr>
                <w:sz w:val="12"/>
              </w:rPr>
            </w:pPr>
            <w:r>
              <w:rPr>
                <w:color w:val="231F20"/>
                <w:w w:val="105"/>
                <w:sz w:val="12"/>
              </w:rPr>
              <w:t>SECURE</w:t>
            </w:r>
            <w:r>
              <w:rPr>
                <w:color w:val="231F20"/>
                <w:spacing w:val="-6"/>
                <w:w w:val="105"/>
                <w:sz w:val="12"/>
              </w:rPr>
              <w:t> </w:t>
            </w:r>
            <w:r>
              <w:rPr>
                <w:color w:val="231F20"/>
                <w:w w:val="105"/>
                <w:sz w:val="12"/>
              </w:rPr>
              <w:t>Water</w:t>
            </w:r>
            <w:r>
              <w:rPr>
                <w:color w:val="231F20"/>
                <w:spacing w:val="-5"/>
                <w:w w:val="105"/>
                <w:sz w:val="12"/>
              </w:rPr>
              <w:t> </w:t>
            </w:r>
            <w:r>
              <w:rPr>
                <w:color w:val="231F20"/>
                <w:w w:val="105"/>
                <w:sz w:val="12"/>
              </w:rPr>
              <w:t>Act</w:t>
            </w:r>
            <w:r>
              <w:rPr>
                <w:color w:val="231F20"/>
                <w:spacing w:val="-6"/>
                <w:w w:val="105"/>
                <w:sz w:val="12"/>
              </w:rPr>
              <w:t> </w:t>
            </w:r>
            <w:r>
              <w:rPr>
                <w:color w:val="231F20"/>
                <w:w w:val="105"/>
                <w:sz w:val="12"/>
              </w:rPr>
              <w:t>-</w:t>
            </w:r>
            <w:r>
              <w:rPr>
                <w:color w:val="231F20"/>
                <w:spacing w:val="-5"/>
                <w:w w:val="105"/>
                <w:sz w:val="12"/>
              </w:rPr>
              <w:t> </w:t>
            </w:r>
            <w:r>
              <w:rPr>
                <w:color w:val="231F20"/>
                <w:w w:val="105"/>
                <w:sz w:val="12"/>
              </w:rPr>
              <w:t>Research</w:t>
            </w:r>
            <w:r>
              <w:rPr>
                <w:color w:val="231F20"/>
                <w:spacing w:val="-5"/>
                <w:w w:val="105"/>
                <w:sz w:val="12"/>
              </w:rPr>
              <w:t> </w:t>
            </w:r>
            <w:r>
              <w:rPr>
                <w:color w:val="231F20"/>
                <w:spacing w:val="-2"/>
                <w:w w:val="105"/>
                <w:sz w:val="12"/>
              </w:rPr>
              <w:t>Agreements</w:t>
            </w:r>
          </w:p>
        </w:tc>
        <w:tc>
          <w:tcPr>
            <w:tcW w:w="973" w:type="dxa"/>
          </w:tcPr>
          <w:p>
            <w:pPr>
              <w:pStyle w:val="TableParagraph"/>
              <w:spacing w:line="132" w:lineRule="exact" w:before="20"/>
              <w:ind w:left="391" w:right="168"/>
              <w:jc w:val="center"/>
              <w:rPr>
                <w:sz w:val="12"/>
              </w:rPr>
            </w:pPr>
            <w:r>
              <w:rPr>
                <w:color w:val="231F20"/>
                <w:spacing w:val="-4"/>
                <w:w w:val="105"/>
                <w:sz w:val="12"/>
              </w:rPr>
              <w:t>RP2P</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R21AC10212</w:t>
            </w:r>
          </w:p>
        </w:tc>
        <w:tc>
          <w:tcPr>
            <w:tcW w:w="1151" w:type="dxa"/>
          </w:tcPr>
          <w:p>
            <w:pPr>
              <w:pStyle w:val="TableParagraph"/>
              <w:spacing w:line="132" w:lineRule="exact" w:before="20"/>
              <w:ind w:left="371" w:right="365"/>
              <w:jc w:val="center"/>
              <w:rPr>
                <w:sz w:val="12"/>
              </w:rPr>
            </w:pPr>
            <w:r>
              <w:rPr>
                <w:color w:val="231F20"/>
                <w:spacing w:val="-2"/>
                <w:w w:val="105"/>
                <w:sz w:val="12"/>
              </w:rPr>
              <w:t>15.560</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56,169</w:t>
            </w:r>
          </w:p>
        </w:tc>
      </w:tr>
      <w:tr>
        <w:trPr>
          <w:trHeight w:val="170" w:hRule="atLeast"/>
        </w:trPr>
        <w:tc>
          <w:tcPr>
            <w:tcW w:w="4381" w:type="dxa"/>
          </w:tcPr>
          <w:p>
            <w:pPr>
              <w:pStyle w:val="TableParagraph"/>
              <w:spacing w:line="137" w:lineRule="exact" w:before="14"/>
              <w:ind w:left="372"/>
              <w:rPr>
                <w:sz w:val="12"/>
              </w:rPr>
            </w:pPr>
            <w:r>
              <w:rPr>
                <w:color w:val="231F20"/>
                <w:w w:val="105"/>
                <w:sz w:val="12"/>
              </w:rPr>
              <w:t>SECURE</w:t>
            </w:r>
            <w:r>
              <w:rPr>
                <w:color w:val="231F20"/>
                <w:spacing w:val="-6"/>
                <w:w w:val="105"/>
                <w:sz w:val="12"/>
              </w:rPr>
              <w:t> </w:t>
            </w:r>
            <w:r>
              <w:rPr>
                <w:color w:val="231F20"/>
                <w:w w:val="105"/>
                <w:sz w:val="12"/>
              </w:rPr>
              <w:t>Water</w:t>
            </w:r>
            <w:r>
              <w:rPr>
                <w:color w:val="231F20"/>
                <w:spacing w:val="-5"/>
                <w:w w:val="105"/>
                <w:sz w:val="12"/>
              </w:rPr>
              <w:t> </w:t>
            </w:r>
            <w:r>
              <w:rPr>
                <w:color w:val="231F20"/>
                <w:w w:val="105"/>
                <w:sz w:val="12"/>
              </w:rPr>
              <w:t>Act</w:t>
            </w:r>
            <w:r>
              <w:rPr>
                <w:color w:val="231F20"/>
                <w:spacing w:val="-6"/>
                <w:w w:val="105"/>
                <w:sz w:val="12"/>
              </w:rPr>
              <w:t> </w:t>
            </w:r>
            <w:r>
              <w:rPr>
                <w:color w:val="231F20"/>
                <w:w w:val="105"/>
                <w:sz w:val="12"/>
              </w:rPr>
              <w:t>-</w:t>
            </w:r>
            <w:r>
              <w:rPr>
                <w:color w:val="231F20"/>
                <w:spacing w:val="-5"/>
                <w:w w:val="105"/>
                <w:sz w:val="12"/>
              </w:rPr>
              <w:t> </w:t>
            </w:r>
            <w:r>
              <w:rPr>
                <w:color w:val="231F20"/>
                <w:w w:val="105"/>
                <w:sz w:val="12"/>
              </w:rPr>
              <w:t>Research</w:t>
            </w:r>
            <w:r>
              <w:rPr>
                <w:color w:val="231F20"/>
                <w:spacing w:val="-5"/>
                <w:w w:val="105"/>
                <w:sz w:val="12"/>
              </w:rPr>
              <w:t> </w:t>
            </w:r>
            <w:r>
              <w:rPr>
                <w:color w:val="231F20"/>
                <w:spacing w:val="-2"/>
                <w:w w:val="105"/>
                <w:sz w:val="12"/>
              </w:rPr>
              <w:t>Agreements</w:t>
            </w:r>
          </w:p>
        </w:tc>
        <w:tc>
          <w:tcPr>
            <w:tcW w:w="973" w:type="dxa"/>
          </w:tcPr>
          <w:p>
            <w:pPr>
              <w:pStyle w:val="TableParagraph"/>
              <w:spacing w:line="132" w:lineRule="exact" w:before="18"/>
              <w:ind w:left="220" w:right="2"/>
              <w:jc w:val="center"/>
              <w:rPr>
                <w:sz w:val="12"/>
              </w:rPr>
            </w:pPr>
            <w:r>
              <w:rPr>
                <w:color w:val="231F20"/>
                <w:spacing w:val="-4"/>
                <w:w w:val="105"/>
                <w:sz w:val="12"/>
              </w:rPr>
              <w:t>RSBW</w:t>
            </w:r>
          </w:p>
        </w:tc>
        <w:tc>
          <w:tcPr>
            <w:tcW w:w="2686" w:type="dxa"/>
          </w:tcPr>
          <w:p>
            <w:pPr>
              <w:pStyle w:val="TableParagraph"/>
              <w:rPr>
                <w:rFonts w:ascii="Times New Roman"/>
                <w:sz w:val="10"/>
              </w:rPr>
            </w:pPr>
          </w:p>
        </w:tc>
        <w:tc>
          <w:tcPr>
            <w:tcW w:w="2764" w:type="dxa"/>
          </w:tcPr>
          <w:p>
            <w:pPr>
              <w:pStyle w:val="TableParagraph"/>
              <w:spacing w:line="137" w:lineRule="exact" w:before="14"/>
              <w:ind w:left="495"/>
              <w:rPr>
                <w:sz w:val="12"/>
              </w:rPr>
            </w:pPr>
            <w:r>
              <w:rPr>
                <w:color w:val="231F20"/>
                <w:spacing w:val="-2"/>
                <w:w w:val="105"/>
                <w:sz w:val="12"/>
              </w:rPr>
              <w:t>R19AC00082</w:t>
            </w:r>
          </w:p>
        </w:tc>
        <w:tc>
          <w:tcPr>
            <w:tcW w:w="1151" w:type="dxa"/>
          </w:tcPr>
          <w:p>
            <w:pPr>
              <w:pStyle w:val="TableParagraph"/>
              <w:spacing w:line="132" w:lineRule="exact" w:before="18"/>
              <w:ind w:left="371" w:right="365"/>
              <w:jc w:val="center"/>
              <w:rPr>
                <w:sz w:val="12"/>
              </w:rPr>
            </w:pPr>
            <w:r>
              <w:rPr>
                <w:color w:val="231F20"/>
                <w:spacing w:val="-2"/>
                <w:w w:val="105"/>
                <w:sz w:val="12"/>
              </w:rPr>
              <w:t>15.560</w:t>
            </w:r>
          </w:p>
        </w:tc>
        <w:tc>
          <w:tcPr>
            <w:tcW w:w="1127" w:type="dxa"/>
          </w:tcPr>
          <w:p>
            <w:pPr>
              <w:pStyle w:val="TableParagraph"/>
              <w:spacing w:line="132" w:lineRule="exact" w:before="18"/>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18"/>
              <w:ind w:right="60"/>
              <w:jc w:val="right"/>
              <w:rPr>
                <w:sz w:val="12"/>
              </w:rPr>
            </w:pPr>
            <w:r>
              <w:rPr>
                <w:color w:val="231F20"/>
                <w:spacing w:val="-2"/>
                <w:w w:val="105"/>
                <w:sz w:val="12"/>
              </w:rPr>
              <w:t>105,812</w:t>
            </w:r>
          </w:p>
        </w:tc>
      </w:tr>
      <w:tr>
        <w:trPr>
          <w:trHeight w:val="170" w:hRule="atLeast"/>
        </w:trPr>
        <w:tc>
          <w:tcPr>
            <w:tcW w:w="4381" w:type="dxa"/>
          </w:tcPr>
          <w:p>
            <w:pPr>
              <w:pStyle w:val="TableParagraph"/>
              <w:spacing w:line="136" w:lineRule="exact" w:before="14"/>
              <w:ind w:left="372"/>
              <w:rPr>
                <w:sz w:val="12"/>
              </w:rPr>
            </w:pPr>
            <w:r>
              <w:rPr>
                <w:color w:val="231F20"/>
                <w:w w:val="105"/>
                <w:sz w:val="12"/>
              </w:rPr>
              <w:t>SECURE</w:t>
            </w:r>
            <w:r>
              <w:rPr>
                <w:color w:val="231F20"/>
                <w:spacing w:val="-6"/>
                <w:w w:val="105"/>
                <w:sz w:val="12"/>
              </w:rPr>
              <w:t> </w:t>
            </w:r>
            <w:r>
              <w:rPr>
                <w:color w:val="231F20"/>
                <w:w w:val="105"/>
                <w:sz w:val="12"/>
              </w:rPr>
              <w:t>Water</w:t>
            </w:r>
            <w:r>
              <w:rPr>
                <w:color w:val="231F20"/>
                <w:spacing w:val="-5"/>
                <w:w w:val="105"/>
                <w:sz w:val="12"/>
              </w:rPr>
              <w:t> </w:t>
            </w:r>
            <w:r>
              <w:rPr>
                <w:color w:val="231F20"/>
                <w:w w:val="105"/>
                <w:sz w:val="12"/>
              </w:rPr>
              <w:t>Act</w:t>
            </w:r>
            <w:r>
              <w:rPr>
                <w:color w:val="231F20"/>
                <w:spacing w:val="-6"/>
                <w:w w:val="105"/>
                <w:sz w:val="12"/>
              </w:rPr>
              <w:t> </w:t>
            </w:r>
            <w:r>
              <w:rPr>
                <w:color w:val="231F20"/>
                <w:w w:val="105"/>
                <w:sz w:val="12"/>
              </w:rPr>
              <w:t>-</w:t>
            </w:r>
            <w:r>
              <w:rPr>
                <w:color w:val="231F20"/>
                <w:spacing w:val="-5"/>
                <w:w w:val="105"/>
                <w:sz w:val="12"/>
              </w:rPr>
              <w:t> </w:t>
            </w:r>
            <w:r>
              <w:rPr>
                <w:color w:val="231F20"/>
                <w:w w:val="105"/>
                <w:sz w:val="12"/>
              </w:rPr>
              <w:t>Research</w:t>
            </w:r>
            <w:r>
              <w:rPr>
                <w:color w:val="231F20"/>
                <w:spacing w:val="-5"/>
                <w:w w:val="105"/>
                <w:sz w:val="12"/>
              </w:rPr>
              <w:t> </w:t>
            </w:r>
            <w:r>
              <w:rPr>
                <w:color w:val="231F20"/>
                <w:spacing w:val="-2"/>
                <w:w w:val="105"/>
                <w:sz w:val="12"/>
              </w:rPr>
              <w:t>Agreements</w:t>
            </w:r>
          </w:p>
        </w:tc>
        <w:tc>
          <w:tcPr>
            <w:tcW w:w="973" w:type="dxa"/>
          </w:tcPr>
          <w:p>
            <w:pPr>
              <w:pStyle w:val="TableParagraph"/>
              <w:spacing w:line="132" w:lineRule="exact" w:before="19"/>
              <w:ind w:left="220"/>
              <w:jc w:val="center"/>
              <w:rPr>
                <w:sz w:val="12"/>
              </w:rPr>
            </w:pPr>
            <w:r>
              <w:rPr>
                <w:color w:val="231F20"/>
                <w:spacing w:val="-4"/>
                <w:w w:val="105"/>
                <w:sz w:val="12"/>
              </w:rPr>
              <w:t>RWDI</w:t>
            </w:r>
          </w:p>
        </w:tc>
        <w:tc>
          <w:tcPr>
            <w:tcW w:w="2686" w:type="dxa"/>
          </w:tcPr>
          <w:p>
            <w:pPr>
              <w:pStyle w:val="TableParagraph"/>
              <w:rPr>
                <w:rFonts w:ascii="Times New Roman"/>
                <w:sz w:val="10"/>
              </w:rPr>
            </w:pPr>
          </w:p>
        </w:tc>
        <w:tc>
          <w:tcPr>
            <w:tcW w:w="2764" w:type="dxa"/>
          </w:tcPr>
          <w:p>
            <w:pPr>
              <w:pStyle w:val="TableParagraph"/>
              <w:spacing w:line="136" w:lineRule="exact" w:before="14"/>
              <w:ind w:left="495"/>
              <w:rPr>
                <w:sz w:val="12"/>
              </w:rPr>
            </w:pPr>
            <w:r>
              <w:rPr>
                <w:color w:val="231F20"/>
                <w:spacing w:val="-2"/>
                <w:w w:val="105"/>
                <w:sz w:val="12"/>
              </w:rPr>
              <w:t>R19AP00290</w:t>
            </w:r>
          </w:p>
        </w:tc>
        <w:tc>
          <w:tcPr>
            <w:tcW w:w="1151" w:type="dxa"/>
          </w:tcPr>
          <w:p>
            <w:pPr>
              <w:pStyle w:val="TableParagraph"/>
              <w:spacing w:line="132" w:lineRule="exact" w:before="19"/>
              <w:ind w:left="371" w:right="365"/>
              <w:jc w:val="center"/>
              <w:rPr>
                <w:sz w:val="12"/>
              </w:rPr>
            </w:pPr>
            <w:r>
              <w:rPr>
                <w:color w:val="231F20"/>
                <w:spacing w:val="-2"/>
                <w:w w:val="105"/>
                <w:sz w:val="12"/>
              </w:rPr>
              <w:t>15.560</w:t>
            </w:r>
          </w:p>
        </w:tc>
        <w:tc>
          <w:tcPr>
            <w:tcW w:w="1127" w:type="dxa"/>
          </w:tcPr>
          <w:p>
            <w:pPr>
              <w:pStyle w:val="TableParagraph"/>
              <w:spacing w:line="132" w:lineRule="exact" w:before="19"/>
              <w:ind w:right="64"/>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19"/>
              <w:ind w:right="60"/>
              <w:jc w:val="right"/>
              <w:rPr>
                <w:sz w:val="12"/>
              </w:rPr>
            </w:pPr>
            <w:r>
              <w:rPr>
                <w:color w:val="231F20"/>
                <w:spacing w:val="-2"/>
                <w:w w:val="105"/>
                <w:sz w:val="12"/>
              </w:rPr>
              <w:t>86,940</w:t>
            </w:r>
          </w:p>
        </w:tc>
      </w:tr>
      <w:tr>
        <w:trPr>
          <w:trHeight w:val="171" w:hRule="atLeast"/>
        </w:trPr>
        <w:tc>
          <w:tcPr>
            <w:tcW w:w="4381" w:type="dxa"/>
          </w:tcPr>
          <w:p>
            <w:pPr>
              <w:pStyle w:val="TableParagraph"/>
              <w:spacing w:line="138" w:lineRule="exact" w:before="14"/>
              <w:ind w:left="372"/>
              <w:rPr>
                <w:sz w:val="12"/>
              </w:rPr>
            </w:pPr>
            <w:r>
              <w:rPr>
                <w:color w:val="231F20"/>
                <w:w w:val="105"/>
                <w:sz w:val="12"/>
              </w:rPr>
              <w:t>U.S.</w:t>
            </w:r>
            <w:r>
              <w:rPr>
                <w:color w:val="231F20"/>
                <w:spacing w:val="-9"/>
                <w:w w:val="105"/>
                <w:sz w:val="12"/>
              </w:rPr>
              <w:t> </w:t>
            </w:r>
            <w:r>
              <w:rPr>
                <w:color w:val="231F20"/>
                <w:w w:val="105"/>
                <w:sz w:val="12"/>
              </w:rPr>
              <w:t>Geological</w:t>
            </w:r>
            <w:r>
              <w:rPr>
                <w:color w:val="231F20"/>
                <w:spacing w:val="-9"/>
                <w:w w:val="105"/>
                <w:sz w:val="12"/>
              </w:rPr>
              <w:t> </w:t>
            </w:r>
            <w:r>
              <w:rPr>
                <w:color w:val="231F20"/>
                <w:w w:val="105"/>
                <w:sz w:val="12"/>
              </w:rPr>
              <w:t>Survey</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and</w:t>
            </w:r>
            <w:r>
              <w:rPr>
                <w:color w:val="231F20"/>
                <w:spacing w:val="-9"/>
                <w:w w:val="105"/>
                <w:sz w:val="12"/>
              </w:rPr>
              <w:t> </w:t>
            </w:r>
            <w:r>
              <w:rPr>
                <w:color w:val="231F20"/>
                <w:w w:val="105"/>
                <w:sz w:val="12"/>
              </w:rPr>
              <w:t>Data</w:t>
            </w:r>
            <w:r>
              <w:rPr>
                <w:color w:val="231F20"/>
                <w:spacing w:val="-9"/>
                <w:w w:val="105"/>
                <w:sz w:val="12"/>
              </w:rPr>
              <w:t> </w:t>
            </w:r>
            <w:r>
              <w:rPr>
                <w:color w:val="231F20"/>
                <w:spacing w:val="-2"/>
                <w:w w:val="105"/>
                <w:sz w:val="12"/>
              </w:rPr>
              <w:t>Collection</w:t>
            </w:r>
          </w:p>
        </w:tc>
        <w:tc>
          <w:tcPr>
            <w:tcW w:w="973" w:type="dxa"/>
          </w:tcPr>
          <w:p>
            <w:pPr>
              <w:pStyle w:val="TableParagraph"/>
              <w:spacing w:line="132" w:lineRule="exact" w:before="20"/>
              <w:ind w:left="220" w:right="1"/>
              <w:jc w:val="center"/>
              <w:rPr>
                <w:sz w:val="12"/>
              </w:rPr>
            </w:pPr>
            <w:r>
              <w:rPr>
                <w:color w:val="231F20"/>
                <w:spacing w:val="-4"/>
                <w:w w:val="105"/>
                <w:sz w:val="12"/>
              </w:rPr>
              <w:t>UAZT</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G21AC10864</w:t>
            </w:r>
          </w:p>
        </w:tc>
        <w:tc>
          <w:tcPr>
            <w:tcW w:w="1151" w:type="dxa"/>
          </w:tcPr>
          <w:p>
            <w:pPr>
              <w:pStyle w:val="TableParagraph"/>
              <w:spacing w:line="132" w:lineRule="exact" w:before="20"/>
              <w:ind w:left="371" w:right="365"/>
              <w:jc w:val="center"/>
              <w:rPr>
                <w:sz w:val="12"/>
              </w:rPr>
            </w:pPr>
            <w:r>
              <w:rPr>
                <w:color w:val="231F20"/>
                <w:spacing w:val="-2"/>
                <w:w w:val="105"/>
                <w:sz w:val="12"/>
              </w:rPr>
              <w:t>15.808</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19,934</w:t>
            </w:r>
          </w:p>
        </w:tc>
      </w:tr>
      <w:tr>
        <w:trPr>
          <w:trHeight w:val="171" w:hRule="atLeast"/>
        </w:trPr>
        <w:tc>
          <w:tcPr>
            <w:tcW w:w="4381" w:type="dxa"/>
          </w:tcPr>
          <w:p>
            <w:pPr>
              <w:pStyle w:val="TableParagraph"/>
              <w:spacing w:line="138" w:lineRule="exact" w:before="14"/>
              <w:ind w:left="372"/>
              <w:rPr>
                <w:sz w:val="12"/>
              </w:rPr>
            </w:pPr>
            <w:r>
              <w:rPr>
                <w:color w:val="231F20"/>
                <w:w w:val="105"/>
                <w:sz w:val="12"/>
              </w:rPr>
              <w:t>U.S.</w:t>
            </w:r>
            <w:r>
              <w:rPr>
                <w:color w:val="231F20"/>
                <w:spacing w:val="-9"/>
                <w:w w:val="105"/>
                <w:sz w:val="12"/>
              </w:rPr>
              <w:t> </w:t>
            </w:r>
            <w:r>
              <w:rPr>
                <w:color w:val="231F20"/>
                <w:w w:val="105"/>
                <w:sz w:val="12"/>
              </w:rPr>
              <w:t>Geological</w:t>
            </w:r>
            <w:r>
              <w:rPr>
                <w:color w:val="231F20"/>
                <w:spacing w:val="-9"/>
                <w:w w:val="105"/>
                <w:sz w:val="12"/>
              </w:rPr>
              <w:t> </w:t>
            </w:r>
            <w:r>
              <w:rPr>
                <w:color w:val="231F20"/>
                <w:w w:val="105"/>
                <w:sz w:val="12"/>
              </w:rPr>
              <w:t>Survey</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and</w:t>
            </w:r>
            <w:r>
              <w:rPr>
                <w:color w:val="231F20"/>
                <w:spacing w:val="-9"/>
                <w:w w:val="105"/>
                <w:sz w:val="12"/>
              </w:rPr>
              <w:t> </w:t>
            </w:r>
            <w:r>
              <w:rPr>
                <w:color w:val="231F20"/>
                <w:w w:val="105"/>
                <w:sz w:val="12"/>
              </w:rPr>
              <w:t>Data</w:t>
            </w:r>
            <w:r>
              <w:rPr>
                <w:color w:val="231F20"/>
                <w:spacing w:val="-9"/>
                <w:w w:val="105"/>
                <w:sz w:val="12"/>
              </w:rPr>
              <w:t> </w:t>
            </w:r>
            <w:r>
              <w:rPr>
                <w:color w:val="231F20"/>
                <w:spacing w:val="-2"/>
                <w:w w:val="105"/>
                <w:sz w:val="12"/>
              </w:rPr>
              <w:t>Collection</w:t>
            </w:r>
          </w:p>
        </w:tc>
        <w:tc>
          <w:tcPr>
            <w:tcW w:w="973" w:type="dxa"/>
          </w:tcPr>
          <w:p>
            <w:pPr>
              <w:pStyle w:val="TableParagraph"/>
              <w:spacing w:line="132" w:lineRule="exact" w:before="20"/>
              <w:ind w:left="220"/>
              <w:jc w:val="center"/>
              <w:rPr>
                <w:sz w:val="12"/>
              </w:rPr>
            </w:pPr>
            <w:r>
              <w:rPr>
                <w:color w:val="231F20"/>
                <w:spacing w:val="-4"/>
                <w:w w:val="105"/>
                <w:sz w:val="12"/>
              </w:rPr>
              <w:t>UMRI</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G20AC00170</w:t>
            </w:r>
          </w:p>
        </w:tc>
        <w:tc>
          <w:tcPr>
            <w:tcW w:w="1151" w:type="dxa"/>
          </w:tcPr>
          <w:p>
            <w:pPr>
              <w:pStyle w:val="TableParagraph"/>
              <w:spacing w:line="132" w:lineRule="exact" w:before="20"/>
              <w:ind w:left="371" w:right="365"/>
              <w:jc w:val="center"/>
              <w:rPr>
                <w:sz w:val="12"/>
              </w:rPr>
            </w:pPr>
            <w:r>
              <w:rPr>
                <w:color w:val="231F20"/>
                <w:spacing w:val="-2"/>
                <w:w w:val="105"/>
                <w:sz w:val="12"/>
              </w:rPr>
              <w:t>15.808</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66,085</w:t>
            </w:r>
          </w:p>
        </w:tc>
      </w:tr>
      <w:tr>
        <w:trPr>
          <w:trHeight w:val="171" w:hRule="atLeast"/>
        </w:trPr>
        <w:tc>
          <w:tcPr>
            <w:tcW w:w="4381" w:type="dxa"/>
          </w:tcPr>
          <w:p>
            <w:pPr>
              <w:pStyle w:val="TableParagraph"/>
              <w:spacing w:line="138" w:lineRule="exact" w:before="14"/>
              <w:ind w:left="372"/>
              <w:rPr>
                <w:sz w:val="12"/>
              </w:rPr>
            </w:pPr>
            <w:r>
              <w:rPr>
                <w:color w:val="231F20"/>
                <w:w w:val="105"/>
                <w:sz w:val="12"/>
              </w:rPr>
              <w:t>U.S.</w:t>
            </w:r>
            <w:r>
              <w:rPr>
                <w:color w:val="231F20"/>
                <w:spacing w:val="-9"/>
                <w:w w:val="105"/>
                <w:sz w:val="12"/>
              </w:rPr>
              <w:t> </w:t>
            </w:r>
            <w:r>
              <w:rPr>
                <w:color w:val="231F20"/>
                <w:w w:val="105"/>
                <w:sz w:val="12"/>
              </w:rPr>
              <w:t>Geological</w:t>
            </w:r>
            <w:r>
              <w:rPr>
                <w:color w:val="231F20"/>
                <w:spacing w:val="-9"/>
                <w:w w:val="105"/>
                <w:sz w:val="12"/>
              </w:rPr>
              <w:t> </w:t>
            </w:r>
            <w:r>
              <w:rPr>
                <w:color w:val="231F20"/>
                <w:w w:val="105"/>
                <w:sz w:val="12"/>
              </w:rPr>
              <w:t>Survey</w:t>
            </w:r>
            <w:r>
              <w:rPr>
                <w:color w:val="231F20"/>
                <w:spacing w:val="-9"/>
                <w:w w:val="105"/>
                <w:sz w:val="12"/>
              </w:rPr>
              <w:t> </w:t>
            </w:r>
            <w:r>
              <w:rPr>
                <w:color w:val="231F20"/>
                <w:w w:val="105"/>
                <w:sz w:val="12"/>
              </w:rPr>
              <w:t>Research</w:t>
            </w:r>
            <w:r>
              <w:rPr>
                <w:color w:val="231F20"/>
                <w:spacing w:val="-8"/>
                <w:w w:val="105"/>
                <w:sz w:val="12"/>
              </w:rPr>
              <w:t> </w:t>
            </w:r>
            <w:r>
              <w:rPr>
                <w:color w:val="231F20"/>
                <w:w w:val="105"/>
                <w:sz w:val="12"/>
              </w:rPr>
              <w:t>and</w:t>
            </w:r>
            <w:r>
              <w:rPr>
                <w:color w:val="231F20"/>
                <w:spacing w:val="-9"/>
                <w:w w:val="105"/>
                <w:sz w:val="12"/>
              </w:rPr>
              <w:t> </w:t>
            </w:r>
            <w:r>
              <w:rPr>
                <w:color w:val="231F20"/>
                <w:w w:val="105"/>
                <w:sz w:val="12"/>
              </w:rPr>
              <w:t>Data</w:t>
            </w:r>
            <w:r>
              <w:rPr>
                <w:color w:val="231F20"/>
                <w:spacing w:val="-9"/>
                <w:w w:val="105"/>
                <w:sz w:val="12"/>
              </w:rPr>
              <w:t> </w:t>
            </w:r>
            <w:r>
              <w:rPr>
                <w:color w:val="231F20"/>
                <w:spacing w:val="-2"/>
                <w:w w:val="105"/>
                <w:sz w:val="12"/>
              </w:rPr>
              <w:t>Collection</w:t>
            </w:r>
          </w:p>
        </w:tc>
        <w:tc>
          <w:tcPr>
            <w:tcW w:w="973" w:type="dxa"/>
          </w:tcPr>
          <w:p>
            <w:pPr>
              <w:pStyle w:val="TableParagraph"/>
              <w:spacing w:line="132" w:lineRule="exact" w:before="20"/>
              <w:ind w:left="390" w:right="168"/>
              <w:jc w:val="center"/>
              <w:rPr>
                <w:sz w:val="12"/>
              </w:rPr>
            </w:pPr>
            <w:r>
              <w:rPr>
                <w:color w:val="231F20"/>
                <w:spacing w:val="-4"/>
                <w:w w:val="105"/>
                <w:sz w:val="12"/>
              </w:rPr>
              <w:t>UREE</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G19AC00258</w:t>
            </w:r>
          </w:p>
        </w:tc>
        <w:tc>
          <w:tcPr>
            <w:tcW w:w="1151" w:type="dxa"/>
          </w:tcPr>
          <w:p>
            <w:pPr>
              <w:pStyle w:val="TableParagraph"/>
              <w:spacing w:line="132" w:lineRule="exact" w:before="20"/>
              <w:ind w:left="371" w:right="365"/>
              <w:jc w:val="center"/>
              <w:rPr>
                <w:sz w:val="12"/>
              </w:rPr>
            </w:pPr>
            <w:r>
              <w:rPr>
                <w:color w:val="231F20"/>
                <w:spacing w:val="-2"/>
                <w:w w:val="105"/>
                <w:sz w:val="12"/>
              </w:rPr>
              <w:t>15.808</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39,507</w:t>
            </w:r>
          </w:p>
        </w:tc>
      </w:tr>
      <w:tr>
        <w:trPr>
          <w:trHeight w:val="171" w:hRule="atLeast"/>
        </w:trPr>
        <w:tc>
          <w:tcPr>
            <w:tcW w:w="4381" w:type="dxa"/>
          </w:tcPr>
          <w:p>
            <w:pPr>
              <w:pStyle w:val="TableParagraph"/>
              <w:spacing w:line="138" w:lineRule="exact" w:before="14"/>
              <w:ind w:left="372"/>
              <w:rPr>
                <w:sz w:val="12"/>
              </w:rPr>
            </w:pPr>
            <w:r>
              <w:rPr>
                <w:color w:val="231F20"/>
                <w:spacing w:val="-2"/>
                <w:w w:val="105"/>
                <w:sz w:val="12"/>
              </w:rPr>
              <w:t>National</w:t>
            </w:r>
            <w:r>
              <w:rPr>
                <w:color w:val="231F20"/>
                <w:spacing w:val="5"/>
                <w:w w:val="105"/>
                <w:sz w:val="12"/>
              </w:rPr>
              <w:t> </w:t>
            </w:r>
            <w:r>
              <w:rPr>
                <w:color w:val="231F20"/>
                <w:spacing w:val="-2"/>
                <w:w w:val="105"/>
                <w:sz w:val="12"/>
              </w:rPr>
              <w:t>Cooperative</w:t>
            </w:r>
            <w:r>
              <w:rPr>
                <w:color w:val="231F20"/>
                <w:spacing w:val="5"/>
                <w:w w:val="105"/>
                <w:sz w:val="12"/>
              </w:rPr>
              <w:t> </w:t>
            </w:r>
            <w:r>
              <w:rPr>
                <w:color w:val="231F20"/>
                <w:spacing w:val="-2"/>
                <w:w w:val="105"/>
                <w:sz w:val="12"/>
              </w:rPr>
              <w:t>Geologic</w:t>
            </w:r>
            <w:r>
              <w:rPr>
                <w:color w:val="231F20"/>
                <w:spacing w:val="5"/>
                <w:w w:val="105"/>
                <w:sz w:val="12"/>
              </w:rPr>
              <w:t> </w:t>
            </w:r>
            <w:r>
              <w:rPr>
                <w:color w:val="231F20"/>
                <w:spacing w:val="-2"/>
                <w:w w:val="105"/>
                <w:sz w:val="12"/>
              </w:rPr>
              <w:t>Mapping</w:t>
            </w:r>
          </w:p>
        </w:tc>
        <w:tc>
          <w:tcPr>
            <w:tcW w:w="973" w:type="dxa"/>
          </w:tcPr>
          <w:p>
            <w:pPr>
              <w:pStyle w:val="TableParagraph"/>
              <w:spacing w:line="132" w:lineRule="exact" w:before="20"/>
              <w:ind w:left="220"/>
              <w:jc w:val="center"/>
              <w:rPr>
                <w:sz w:val="12"/>
              </w:rPr>
            </w:pPr>
            <w:r>
              <w:rPr>
                <w:color w:val="231F20"/>
                <w:spacing w:val="-4"/>
                <w:w w:val="105"/>
                <w:sz w:val="12"/>
              </w:rPr>
              <w:t>UGET</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G20AC00250</w:t>
            </w:r>
          </w:p>
        </w:tc>
        <w:tc>
          <w:tcPr>
            <w:tcW w:w="1151" w:type="dxa"/>
          </w:tcPr>
          <w:p>
            <w:pPr>
              <w:pStyle w:val="TableParagraph"/>
              <w:spacing w:line="132" w:lineRule="exact" w:before="20"/>
              <w:ind w:left="371" w:right="365"/>
              <w:jc w:val="center"/>
              <w:rPr>
                <w:sz w:val="12"/>
              </w:rPr>
            </w:pPr>
            <w:r>
              <w:rPr>
                <w:color w:val="231F20"/>
                <w:spacing w:val="-2"/>
                <w:w w:val="105"/>
                <w:sz w:val="12"/>
              </w:rPr>
              <w:t>15.810</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23,754</w:t>
            </w:r>
          </w:p>
        </w:tc>
      </w:tr>
      <w:tr>
        <w:trPr>
          <w:trHeight w:val="171" w:hRule="atLeast"/>
        </w:trPr>
        <w:tc>
          <w:tcPr>
            <w:tcW w:w="4381" w:type="dxa"/>
          </w:tcPr>
          <w:p>
            <w:pPr>
              <w:pStyle w:val="TableParagraph"/>
              <w:spacing w:line="138" w:lineRule="exact" w:before="14"/>
              <w:ind w:left="372"/>
              <w:rPr>
                <w:sz w:val="12"/>
              </w:rPr>
            </w:pPr>
            <w:r>
              <w:rPr>
                <w:color w:val="231F20"/>
                <w:spacing w:val="-2"/>
                <w:w w:val="105"/>
                <w:sz w:val="12"/>
              </w:rPr>
              <w:t>National</w:t>
            </w:r>
            <w:r>
              <w:rPr>
                <w:color w:val="231F20"/>
                <w:spacing w:val="5"/>
                <w:w w:val="105"/>
                <w:sz w:val="12"/>
              </w:rPr>
              <w:t> </w:t>
            </w:r>
            <w:r>
              <w:rPr>
                <w:color w:val="231F20"/>
                <w:spacing w:val="-2"/>
                <w:w w:val="105"/>
                <w:sz w:val="12"/>
              </w:rPr>
              <w:t>Cooperative</w:t>
            </w:r>
            <w:r>
              <w:rPr>
                <w:color w:val="231F20"/>
                <w:spacing w:val="5"/>
                <w:w w:val="105"/>
                <w:sz w:val="12"/>
              </w:rPr>
              <w:t> </w:t>
            </w:r>
            <w:r>
              <w:rPr>
                <w:color w:val="231F20"/>
                <w:spacing w:val="-2"/>
                <w:w w:val="105"/>
                <w:sz w:val="12"/>
              </w:rPr>
              <w:t>Geologic</w:t>
            </w:r>
            <w:r>
              <w:rPr>
                <w:color w:val="231F20"/>
                <w:spacing w:val="5"/>
                <w:w w:val="105"/>
                <w:sz w:val="12"/>
              </w:rPr>
              <w:t> </w:t>
            </w:r>
            <w:r>
              <w:rPr>
                <w:color w:val="231F20"/>
                <w:spacing w:val="-2"/>
                <w:w w:val="105"/>
                <w:sz w:val="12"/>
              </w:rPr>
              <w:t>Mapping</w:t>
            </w:r>
          </w:p>
        </w:tc>
        <w:tc>
          <w:tcPr>
            <w:tcW w:w="973" w:type="dxa"/>
          </w:tcPr>
          <w:p>
            <w:pPr>
              <w:pStyle w:val="TableParagraph"/>
              <w:spacing w:line="132" w:lineRule="exact" w:before="20"/>
              <w:ind w:left="220"/>
              <w:jc w:val="center"/>
              <w:rPr>
                <w:sz w:val="12"/>
              </w:rPr>
            </w:pPr>
            <w:r>
              <w:rPr>
                <w:color w:val="231F20"/>
                <w:spacing w:val="-4"/>
                <w:w w:val="105"/>
                <w:sz w:val="12"/>
              </w:rPr>
              <w:t>UGST</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G21AC10770</w:t>
            </w:r>
          </w:p>
        </w:tc>
        <w:tc>
          <w:tcPr>
            <w:tcW w:w="1151" w:type="dxa"/>
          </w:tcPr>
          <w:p>
            <w:pPr>
              <w:pStyle w:val="TableParagraph"/>
              <w:spacing w:line="132" w:lineRule="exact" w:before="20"/>
              <w:ind w:left="371" w:right="365"/>
              <w:jc w:val="center"/>
              <w:rPr>
                <w:sz w:val="12"/>
              </w:rPr>
            </w:pPr>
            <w:r>
              <w:rPr>
                <w:color w:val="231F20"/>
                <w:spacing w:val="-2"/>
                <w:w w:val="105"/>
                <w:sz w:val="12"/>
              </w:rPr>
              <w:t>15.810</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343,484</w:t>
            </w:r>
          </w:p>
        </w:tc>
      </w:tr>
      <w:tr>
        <w:trPr>
          <w:trHeight w:val="171" w:hRule="atLeast"/>
        </w:trPr>
        <w:tc>
          <w:tcPr>
            <w:tcW w:w="4381" w:type="dxa"/>
          </w:tcPr>
          <w:p>
            <w:pPr>
              <w:pStyle w:val="TableParagraph"/>
              <w:spacing w:line="138" w:lineRule="exact" w:before="14"/>
              <w:ind w:right="917"/>
              <w:jc w:val="right"/>
              <w:rPr>
                <w:sz w:val="12"/>
              </w:rPr>
            </w:pPr>
            <w:r>
              <w:rPr>
                <w:color w:val="231F20"/>
                <w:spacing w:val="-2"/>
                <w:w w:val="105"/>
                <w:sz w:val="12"/>
              </w:rPr>
              <w:t>National</w:t>
            </w:r>
            <w:r>
              <w:rPr>
                <w:color w:val="231F20"/>
                <w:spacing w:val="5"/>
                <w:w w:val="105"/>
                <w:sz w:val="12"/>
              </w:rPr>
              <w:t> </w:t>
            </w:r>
            <w:r>
              <w:rPr>
                <w:color w:val="231F20"/>
                <w:spacing w:val="-2"/>
                <w:w w:val="105"/>
                <w:sz w:val="12"/>
              </w:rPr>
              <w:t>Geological</w:t>
            </w:r>
            <w:r>
              <w:rPr>
                <w:color w:val="231F20"/>
                <w:spacing w:val="3"/>
                <w:w w:val="105"/>
                <w:sz w:val="12"/>
              </w:rPr>
              <w:t> </w:t>
            </w:r>
            <w:r>
              <w:rPr>
                <w:color w:val="231F20"/>
                <w:spacing w:val="-2"/>
                <w:w w:val="105"/>
                <w:sz w:val="12"/>
              </w:rPr>
              <w:t>and</w:t>
            </w:r>
            <w:r>
              <w:rPr>
                <w:color w:val="231F20"/>
                <w:spacing w:val="4"/>
                <w:w w:val="105"/>
                <w:sz w:val="12"/>
              </w:rPr>
              <w:t> </w:t>
            </w:r>
            <w:r>
              <w:rPr>
                <w:color w:val="231F20"/>
                <w:spacing w:val="-2"/>
                <w:w w:val="105"/>
                <w:sz w:val="12"/>
              </w:rPr>
              <w:t>Geophysical</w:t>
            </w:r>
            <w:r>
              <w:rPr>
                <w:color w:val="231F20"/>
                <w:spacing w:val="4"/>
                <w:w w:val="105"/>
                <w:sz w:val="12"/>
              </w:rPr>
              <w:t> </w:t>
            </w:r>
            <w:r>
              <w:rPr>
                <w:color w:val="231F20"/>
                <w:spacing w:val="-2"/>
                <w:w w:val="105"/>
                <w:sz w:val="12"/>
              </w:rPr>
              <w:t>Data</w:t>
            </w:r>
            <w:r>
              <w:rPr>
                <w:color w:val="231F20"/>
                <w:spacing w:val="4"/>
                <w:w w:val="105"/>
                <w:sz w:val="12"/>
              </w:rPr>
              <w:t> </w:t>
            </w:r>
            <w:r>
              <w:rPr>
                <w:color w:val="231F20"/>
                <w:spacing w:val="-2"/>
                <w:w w:val="105"/>
                <w:sz w:val="12"/>
              </w:rPr>
              <w:t>Preservation</w:t>
            </w:r>
          </w:p>
        </w:tc>
        <w:tc>
          <w:tcPr>
            <w:tcW w:w="973" w:type="dxa"/>
          </w:tcPr>
          <w:p>
            <w:pPr>
              <w:pStyle w:val="TableParagraph"/>
              <w:spacing w:line="132" w:lineRule="exact" w:before="20"/>
              <w:ind w:left="390" w:right="168"/>
              <w:jc w:val="center"/>
              <w:rPr>
                <w:sz w:val="12"/>
              </w:rPr>
            </w:pPr>
            <w:r>
              <w:rPr>
                <w:color w:val="231F20"/>
                <w:spacing w:val="-4"/>
                <w:w w:val="105"/>
                <w:sz w:val="12"/>
              </w:rPr>
              <w:t>UPGA</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G22AP00221</w:t>
            </w:r>
          </w:p>
        </w:tc>
        <w:tc>
          <w:tcPr>
            <w:tcW w:w="1151" w:type="dxa"/>
          </w:tcPr>
          <w:p>
            <w:pPr>
              <w:pStyle w:val="TableParagraph"/>
              <w:spacing w:line="132" w:lineRule="exact" w:before="20"/>
              <w:ind w:left="371" w:right="365"/>
              <w:jc w:val="center"/>
              <w:rPr>
                <w:sz w:val="12"/>
              </w:rPr>
            </w:pPr>
            <w:r>
              <w:rPr>
                <w:color w:val="231F20"/>
                <w:spacing w:val="-2"/>
                <w:w w:val="105"/>
                <w:sz w:val="12"/>
              </w:rPr>
              <w:t>15.814</w:t>
            </w:r>
          </w:p>
        </w:tc>
        <w:tc>
          <w:tcPr>
            <w:tcW w:w="1127" w:type="dxa"/>
          </w:tcPr>
          <w:p>
            <w:pPr>
              <w:pStyle w:val="TableParagraph"/>
              <w:spacing w:line="132" w:lineRule="exact" w:before="20"/>
              <w:ind w:right="64"/>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5"/>
                <w:w w:val="105"/>
                <w:sz w:val="12"/>
              </w:rPr>
              <w:t>675</w:t>
            </w:r>
          </w:p>
        </w:tc>
      </w:tr>
      <w:tr>
        <w:trPr>
          <w:trHeight w:val="171" w:hRule="atLeast"/>
        </w:trPr>
        <w:tc>
          <w:tcPr>
            <w:tcW w:w="4381" w:type="dxa"/>
          </w:tcPr>
          <w:p>
            <w:pPr>
              <w:pStyle w:val="TableParagraph"/>
              <w:spacing w:before="14"/>
              <w:ind w:right="917"/>
              <w:jc w:val="right"/>
              <w:rPr>
                <w:sz w:val="12"/>
              </w:rPr>
            </w:pPr>
            <w:r>
              <w:rPr>
                <w:color w:val="231F20"/>
                <w:spacing w:val="-2"/>
                <w:w w:val="105"/>
                <w:sz w:val="12"/>
              </w:rPr>
              <w:t>National</w:t>
            </w:r>
            <w:r>
              <w:rPr>
                <w:color w:val="231F20"/>
                <w:spacing w:val="5"/>
                <w:w w:val="105"/>
                <w:sz w:val="12"/>
              </w:rPr>
              <w:t> </w:t>
            </w:r>
            <w:r>
              <w:rPr>
                <w:color w:val="231F20"/>
                <w:spacing w:val="-2"/>
                <w:w w:val="105"/>
                <w:sz w:val="12"/>
              </w:rPr>
              <w:t>Geological</w:t>
            </w:r>
            <w:r>
              <w:rPr>
                <w:color w:val="231F20"/>
                <w:spacing w:val="3"/>
                <w:w w:val="105"/>
                <w:sz w:val="12"/>
              </w:rPr>
              <w:t> </w:t>
            </w:r>
            <w:r>
              <w:rPr>
                <w:color w:val="231F20"/>
                <w:spacing w:val="-2"/>
                <w:w w:val="105"/>
                <w:sz w:val="12"/>
              </w:rPr>
              <w:t>and</w:t>
            </w:r>
            <w:r>
              <w:rPr>
                <w:color w:val="231F20"/>
                <w:spacing w:val="4"/>
                <w:w w:val="105"/>
                <w:sz w:val="12"/>
              </w:rPr>
              <w:t> </w:t>
            </w:r>
            <w:r>
              <w:rPr>
                <w:color w:val="231F20"/>
                <w:spacing w:val="-2"/>
                <w:w w:val="105"/>
                <w:sz w:val="12"/>
              </w:rPr>
              <w:t>Geophysical</w:t>
            </w:r>
            <w:r>
              <w:rPr>
                <w:color w:val="231F20"/>
                <w:spacing w:val="4"/>
                <w:w w:val="105"/>
                <w:sz w:val="12"/>
              </w:rPr>
              <w:t> </w:t>
            </w:r>
            <w:r>
              <w:rPr>
                <w:color w:val="231F20"/>
                <w:spacing w:val="-2"/>
                <w:w w:val="105"/>
                <w:sz w:val="12"/>
              </w:rPr>
              <w:t>Data</w:t>
            </w:r>
            <w:r>
              <w:rPr>
                <w:color w:val="231F20"/>
                <w:spacing w:val="4"/>
                <w:w w:val="105"/>
                <w:sz w:val="12"/>
              </w:rPr>
              <w:t> </w:t>
            </w:r>
            <w:r>
              <w:rPr>
                <w:color w:val="231F20"/>
                <w:spacing w:val="-2"/>
                <w:w w:val="105"/>
                <w:sz w:val="12"/>
              </w:rPr>
              <w:t>Preservation</w:t>
            </w:r>
          </w:p>
        </w:tc>
        <w:tc>
          <w:tcPr>
            <w:tcW w:w="973" w:type="dxa"/>
          </w:tcPr>
          <w:p>
            <w:pPr>
              <w:pStyle w:val="TableParagraph"/>
              <w:spacing w:line="132" w:lineRule="exact" w:before="20"/>
              <w:ind w:left="390" w:right="168"/>
              <w:jc w:val="center"/>
              <w:rPr>
                <w:sz w:val="12"/>
              </w:rPr>
            </w:pPr>
            <w:r>
              <w:rPr>
                <w:color w:val="231F20"/>
                <w:spacing w:val="-4"/>
                <w:w w:val="105"/>
                <w:sz w:val="12"/>
              </w:rPr>
              <w:t>UGDM</w:t>
            </w:r>
          </w:p>
        </w:tc>
        <w:tc>
          <w:tcPr>
            <w:tcW w:w="2686" w:type="dxa"/>
          </w:tcPr>
          <w:p>
            <w:pPr>
              <w:pStyle w:val="TableParagraph"/>
              <w:rPr>
                <w:rFonts w:ascii="Times New Roman"/>
                <w:sz w:val="10"/>
              </w:rPr>
            </w:pPr>
          </w:p>
        </w:tc>
        <w:tc>
          <w:tcPr>
            <w:tcW w:w="2764" w:type="dxa"/>
          </w:tcPr>
          <w:p>
            <w:pPr>
              <w:pStyle w:val="TableParagraph"/>
              <w:spacing w:before="14"/>
              <w:ind w:left="495"/>
              <w:rPr>
                <w:sz w:val="12"/>
              </w:rPr>
            </w:pPr>
            <w:r>
              <w:rPr>
                <w:color w:val="231F20"/>
                <w:spacing w:val="-2"/>
                <w:w w:val="105"/>
                <w:sz w:val="12"/>
              </w:rPr>
              <w:t>G20AP00105</w:t>
            </w:r>
          </w:p>
        </w:tc>
        <w:tc>
          <w:tcPr>
            <w:tcW w:w="1151" w:type="dxa"/>
          </w:tcPr>
          <w:p>
            <w:pPr>
              <w:pStyle w:val="TableParagraph"/>
              <w:spacing w:line="132" w:lineRule="exact" w:before="20"/>
              <w:ind w:left="371" w:right="365"/>
              <w:jc w:val="center"/>
              <w:rPr>
                <w:sz w:val="12"/>
              </w:rPr>
            </w:pPr>
            <w:r>
              <w:rPr>
                <w:color w:val="231F20"/>
                <w:spacing w:val="-2"/>
                <w:w w:val="105"/>
                <w:sz w:val="12"/>
              </w:rPr>
              <w:t>15.814</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1"/>
              <w:jc w:val="right"/>
              <w:rPr>
                <w:sz w:val="12"/>
              </w:rPr>
            </w:pPr>
            <w:r>
              <w:rPr>
                <w:color w:val="231F20"/>
                <w:spacing w:val="-2"/>
                <w:w w:val="105"/>
                <w:sz w:val="12"/>
              </w:rPr>
              <w:t>20,635</w:t>
            </w:r>
          </w:p>
        </w:tc>
      </w:tr>
      <w:tr>
        <w:trPr>
          <w:trHeight w:val="171" w:hRule="atLeast"/>
        </w:trPr>
        <w:tc>
          <w:tcPr>
            <w:tcW w:w="4381" w:type="dxa"/>
          </w:tcPr>
          <w:p>
            <w:pPr>
              <w:pStyle w:val="TableParagraph"/>
              <w:spacing w:line="138" w:lineRule="exact" w:before="14"/>
              <w:ind w:right="917"/>
              <w:jc w:val="right"/>
              <w:rPr>
                <w:sz w:val="12"/>
              </w:rPr>
            </w:pPr>
            <w:r>
              <w:rPr>
                <w:color w:val="231F20"/>
                <w:spacing w:val="-2"/>
                <w:w w:val="105"/>
                <w:sz w:val="12"/>
              </w:rPr>
              <w:t>National</w:t>
            </w:r>
            <w:r>
              <w:rPr>
                <w:color w:val="231F20"/>
                <w:spacing w:val="5"/>
                <w:w w:val="105"/>
                <w:sz w:val="12"/>
              </w:rPr>
              <w:t> </w:t>
            </w:r>
            <w:r>
              <w:rPr>
                <w:color w:val="231F20"/>
                <w:spacing w:val="-2"/>
                <w:w w:val="105"/>
                <w:sz w:val="12"/>
              </w:rPr>
              <w:t>Geological</w:t>
            </w:r>
            <w:r>
              <w:rPr>
                <w:color w:val="231F20"/>
                <w:spacing w:val="3"/>
                <w:w w:val="105"/>
                <w:sz w:val="12"/>
              </w:rPr>
              <w:t> </w:t>
            </w:r>
            <w:r>
              <w:rPr>
                <w:color w:val="231F20"/>
                <w:spacing w:val="-2"/>
                <w:w w:val="105"/>
                <w:sz w:val="12"/>
              </w:rPr>
              <w:t>and</w:t>
            </w:r>
            <w:r>
              <w:rPr>
                <w:color w:val="231F20"/>
                <w:spacing w:val="4"/>
                <w:w w:val="105"/>
                <w:sz w:val="12"/>
              </w:rPr>
              <w:t> </w:t>
            </w:r>
            <w:r>
              <w:rPr>
                <w:color w:val="231F20"/>
                <w:spacing w:val="-2"/>
                <w:w w:val="105"/>
                <w:sz w:val="12"/>
              </w:rPr>
              <w:t>Geophysical</w:t>
            </w:r>
            <w:r>
              <w:rPr>
                <w:color w:val="231F20"/>
                <w:spacing w:val="4"/>
                <w:w w:val="105"/>
                <w:sz w:val="12"/>
              </w:rPr>
              <w:t> </w:t>
            </w:r>
            <w:r>
              <w:rPr>
                <w:color w:val="231F20"/>
                <w:spacing w:val="-2"/>
                <w:w w:val="105"/>
                <w:sz w:val="12"/>
              </w:rPr>
              <w:t>Data</w:t>
            </w:r>
            <w:r>
              <w:rPr>
                <w:color w:val="231F20"/>
                <w:spacing w:val="4"/>
                <w:w w:val="105"/>
                <w:sz w:val="12"/>
              </w:rPr>
              <w:t> </w:t>
            </w:r>
            <w:r>
              <w:rPr>
                <w:color w:val="231F20"/>
                <w:spacing w:val="-2"/>
                <w:w w:val="105"/>
                <w:sz w:val="12"/>
              </w:rPr>
              <w:t>Preservation</w:t>
            </w:r>
          </w:p>
        </w:tc>
        <w:tc>
          <w:tcPr>
            <w:tcW w:w="973" w:type="dxa"/>
          </w:tcPr>
          <w:p>
            <w:pPr>
              <w:pStyle w:val="TableParagraph"/>
              <w:spacing w:line="132" w:lineRule="exact" w:before="20"/>
              <w:ind w:left="347" w:right="126"/>
              <w:jc w:val="center"/>
              <w:rPr>
                <w:sz w:val="12"/>
              </w:rPr>
            </w:pPr>
            <w:r>
              <w:rPr>
                <w:color w:val="231F20"/>
                <w:spacing w:val="-4"/>
                <w:w w:val="105"/>
                <w:sz w:val="12"/>
              </w:rPr>
              <w:t>UPGG</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G21AP10434</w:t>
            </w:r>
          </w:p>
        </w:tc>
        <w:tc>
          <w:tcPr>
            <w:tcW w:w="1151" w:type="dxa"/>
          </w:tcPr>
          <w:p>
            <w:pPr>
              <w:pStyle w:val="TableParagraph"/>
              <w:spacing w:line="132" w:lineRule="exact" w:before="20"/>
              <w:ind w:left="370" w:right="365"/>
              <w:jc w:val="center"/>
              <w:rPr>
                <w:sz w:val="12"/>
              </w:rPr>
            </w:pPr>
            <w:r>
              <w:rPr>
                <w:color w:val="231F20"/>
                <w:spacing w:val="-2"/>
                <w:w w:val="105"/>
                <w:sz w:val="12"/>
              </w:rPr>
              <w:t>15.814</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62,794</w:t>
            </w:r>
          </w:p>
        </w:tc>
      </w:tr>
      <w:tr>
        <w:trPr>
          <w:trHeight w:val="171" w:hRule="atLeast"/>
        </w:trPr>
        <w:tc>
          <w:tcPr>
            <w:tcW w:w="4381" w:type="dxa"/>
          </w:tcPr>
          <w:p>
            <w:pPr>
              <w:pStyle w:val="TableParagraph"/>
              <w:spacing w:line="138" w:lineRule="exact" w:before="14"/>
              <w:ind w:left="372"/>
              <w:rPr>
                <w:sz w:val="12"/>
              </w:rPr>
            </w:pPr>
            <w:r>
              <w:rPr>
                <w:color w:val="231F20"/>
                <w:spacing w:val="-2"/>
                <w:w w:val="105"/>
                <w:sz w:val="12"/>
              </w:rPr>
              <w:t>Natural</w:t>
            </w:r>
            <w:r>
              <w:rPr>
                <w:color w:val="231F20"/>
                <w:spacing w:val="3"/>
                <w:w w:val="105"/>
                <w:sz w:val="12"/>
              </w:rPr>
              <w:t> </w:t>
            </w:r>
            <w:r>
              <w:rPr>
                <w:color w:val="231F20"/>
                <w:spacing w:val="-2"/>
                <w:w w:val="105"/>
                <w:sz w:val="12"/>
              </w:rPr>
              <w:t>Resource</w:t>
            </w:r>
            <w:r>
              <w:rPr>
                <w:color w:val="231F20"/>
                <w:spacing w:val="4"/>
                <w:w w:val="105"/>
                <w:sz w:val="12"/>
              </w:rPr>
              <w:t> </w:t>
            </w:r>
            <w:r>
              <w:rPr>
                <w:color w:val="231F20"/>
                <w:spacing w:val="-2"/>
                <w:w w:val="105"/>
                <w:sz w:val="12"/>
              </w:rPr>
              <w:t>Stewardship</w:t>
            </w:r>
          </w:p>
        </w:tc>
        <w:tc>
          <w:tcPr>
            <w:tcW w:w="973" w:type="dxa"/>
          </w:tcPr>
          <w:p>
            <w:pPr>
              <w:pStyle w:val="TableParagraph"/>
              <w:spacing w:line="132" w:lineRule="exact" w:before="20"/>
              <w:ind w:left="220"/>
              <w:jc w:val="center"/>
              <w:rPr>
                <w:sz w:val="12"/>
              </w:rPr>
            </w:pPr>
            <w:r>
              <w:rPr>
                <w:color w:val="231F20"/>
                <w:spacing w:val="-4"/>
                <w:w w:val="105"/>
                <w:sz w:val="12"/>
              </w:rPr>
              <w:t>RGMO</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P19AC00994</w:t>
            </w:r>
          </w:p>
        </w:tc>
        <w:tc>
          <w:tcPr>
            <w:tcW w:w="1151" w:type="dxa"/>
          </w:tcPr>
          <w:p>
            <w:pPr>
              <w:pStyle w:val="TableParagraph"/>
              <w:spacing w:line="132" w:lineRule="exact" w:before="20"/>
              <w:ind w:left="371" w:right="365"/>
              <w:jc w:val="center"/>
              <w:rPr>
                <w:sz w:val="12"/>
              </w:rPr>
            </w:pPr>
            <w:r>
              <w:rPr>
                <w:color w:val="231F20"/>
                <w:spacing w:val="-2"/>
                <w:w w:val="105"/>
                <w:sz w:val="12"/>
              </w:rPr>
              <w:t>15.944</w:t>
            </w:r>
          </w:p>
        </w:tc>
        <w:tc>
          <w:tcPr>
            <w:tcW w:w="1127" w:type="dxa"/>
          </w:tcPr>
          <w:p>
            <w:pPr>
              <w:pStyle w:val="TableParagraph"/>
              <w:spacing w:line="132" w:lineRule="exact" w:before="20"/>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48,423</w:t>
            </w:r>
          </w:p>
        </w:tc>
      </w:tr>
      <w:tr>
        <w:trPr>
          <w:trHeight w:val="170" w:hRule="atLeast"/>
        </w:trPr>
        <w:tc>
          <w:tcPr>
            <w:tcW w:w="4381" w:type="dxa"/>
          </w:tcPr>
          <w:p>
            <w:pPr>
              <w:pStyle w:val="TableParagraph"/>
              <w:spacing w:line="137" w:lineRule="exact" w:before="14"/>
              <w:ind w:left="372"/>
              <w:rPr>
                <w:sz w:val="12"/>
              </w:rPr>
            </w:pPr>
            <w:r>
              <w:rPr>
                <w:color w:val="231F20"/>
                <w:spacing w:val="-2"/>
                <w:w w:val="105"/>
                <w:sz w:val="12"/>
              </w:rPr>
              <w:t>Natural</w:t>
            </w:r>
            <w:r>
              <w:rPr>
                <w:color w:val="231F20"/>
                <w:spacing w:val="3"/>
                <w:w w:val="105"/>
                <w:sz w:val="12"/>
              </w:rPr>
              <w:t> </w:t>
            </w:r>
            <w:r>
              <w:rPr>
                <w:color w:val="231F20"/>
                <w:spacing w:val="-2"/>
                <w:w w:val="105"/>
                <w:sz w:val="12"/>
              </w:rPr>
              <w:t>Resource</w:t>
            </w:r>
            <w:r>
              <w:rPr>
                <w:color w:val="231F20"/>
                <w:spacing w:val="4"/>
                <w:w w:val="105"/>
                <w:sz w:val="12"/>
              </w:rPr>
              <w:t> </w:t>
            </w:r>
            <w:r>
              <w:rPr>
                <w:color w:val="231F20"/>
                <w:spacing w:val="-2"/>
                <w:w w:val="105"/>
                <w:sz w:val="12"/>
              </w:rPr>
              <w:t>Stewardship</w:t>
            </w:r>
          </w:p>
        </w:tc>
        <w:tc>
          <w:tcPr>
            <w:tcW w:w="973" w:type="dxa"/>
          </w:tcPr>
          <w:p>
            <w:pPr>
              <w:pStyle w:val="TableParagraph"/>
              <w:spacing w:line="132" w:lineRule="exact" w:before="18"/>
              <w:ind w:left="391" w:right="168"/>
              <w:jc w:val="center"/>
              <w:rPr>
                <w:sz w:val="12"/>
              </w:rPr>
            </w:pPr>
            <w:r>
              <w:rPr>
                <w:color w:val="231F20"/>
                <w:spacing w:val="-4"/>
                <w:w w:val="105"/>
                <w:sz w:val="12"/>
              </w:rPr>
              <w:t>RLAS</w:t>
            </w:r>
          </w:p>
        </w:tc>
        <w:tc>
          <w:tcPr>
            <w:tcW w:w="2686" w:type="dxa"/>
          </w:tcPr>
          <w:p>
            <w:pPr>
              <w:pStyle w:val="TableParagraph"/>
              <w:rPr>
                <w:rFonts w:ascii="Times New Roman"/>
                <w:sz w:val="10"/>
              </w:rPr>
            </w:pPr>
          </w:p>
        </w:tc>
        <w:tc>
          <w:tcPr>
            <w:tcW w:w="2764" w:type="dxa"/>
          </w:tcPr>
          <w:p>
            <w:pPr>
              <w:pStyle w:val="TableParagraph"/>
              <w:spacing w:line="137" w:lineRule="exact" w:before="14"/>
              <w:ind w:left="495"/>
              <w:rPr>
                <w:sz w:val="12"/>
              </w:rPr>
            </w:pPr>
            <w:r>
              <w:rPr>
                <w:color w:val="231F20"/>
                <w:spacing w:val="-2"/>
                <w:w w:val="105"/>
                <w:sz w:val="12"/>
              </w:rPr>
              <w:t>P16AC01716</w:t>
            </w:r>
          </w:p>
        </w:tc>
        <w:tc>
          <w:tcPr>
            <w:tcW w:w="1151" w:type="dxa"/>
          </w:tcPr>
          <w:p>
            <w:pPr>
              <w:pStyle w:val="TableParagraph"/>
              <w:spacing w:line="132" w:lineRule="exact" w:before="18"/>
              <w:ind w:left="371" w:right="365"/>
              <w:jc w:val="center"/>
              <w:rPr>
                <w:sz w:val="12"/>
              </w:rPr>
            </w:pPr>
            <w:r>
              <w:rPr>
                <w:color w:val="231F20"/>
                <w:spacing w:val="-2"/>
                <w:w w:val="105"/>
                <w:sz w:val="12"/>
              </w:rPr>
              <w:t>15.944</w:t>
            </w:r>
          </w:p>
        </w:tc>
        <w:tc>
          <w:tcPr>
            <w:tcW w:w="1127" w:type="dxa"/>
          </w:tcPr>
          <w:p>
            <w:pPr>
              <w:pStyle w:val="TableParagraph"/>
              <w:spacing w:line="132" w:lineRule="exact" w:before="18"/>
              <w:ind w:right="65"/>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18"/>
              <w:ind w:right="60"/>
              <w:jc w:val="right"/>
              <w:rPr>
                <w:sz w:val="12"/>
              </w:rPr>
            </w:pPr>
            <w:r>
              <w:rPr>
                <w:color w:val="231F20"/>
                <w:spacing w:val="-2"/>
                <w:w w:val="105"/>
                <w:sz w:val="12"/>
              </w:rPr>
              <w:t>3,148</w:t>
            </w:r>
          </w:p>
        </w:tc>
      </w:tr>
      <w:tr>
        <w:trPr>
          <w:trHeight w:val="170" w:hRule="atLeast"/>
        </w:trPr>
        <w:tc>
          <w:tcPr>
            <w:tcW w:w="4381" w:type="dxa"/>
          </w:tcPr>
          <w:p>
            <w:pPr>
              <w:pStyle w:val="TableParagraph"/>
              <w:spacing w:line="136" w:lineRule="exact" w:before="14"/>
              <w:ind w:left="372"/>
              <w:rPr>
                <w:sz w:val="12"/>
              </w:rPr>
            </w:pPr>
            <w:r>
              <w:rPr>
                <w:color w:val="231F20"/>
                <w:spacing w:val="-2"/>
                <w:w w:val="105"/>
                <w:sz w:val="12"/>
              </w:rPr>
              <w:t>Natural</w:t>
            </w:r>
            <w:r>
              <w:rPr>
                <w:color w:val="231F20"/>
                <w:spacing w:val="3"/>
                <w:w w:val="105"/>
                <w:sz w:val="12"/>
              </w:rPr>
              <w:t> </w:t>
            </w:r>
            <w:r>
              <w:rPr>
                <w:color w:val="231F20"/>
                <w:spacing w:val="-2"/>
                <w:w w:val="105"/>
                <w:sz w:val="12"/>
              </w:rPr>
              <w:t>Resource</w:t>
            </w:r>
            <w:r>
              <w:rPr>
                <w:color w:val="231F20"/>
                <w:spacing w:val="4"/>
                <w:w w:val="105"/>
                <w:sz w:val="12"/>
              </w:rPr>
              <w:t> </w:t>
            </w:r>
            <w:r>
              <w:rPr>
                <w:color w:val="231F20"/>
                <w:spacing w:val="-2"/>
                <w:w w:val="105"/>
                <w:sz w:val="12"/>
              </w:rPr>
              <w:t>Stewardship</w:t>
            </w:r>
          </w:p>
        </w:tc>
        <w:tc>
          <w:tcPr>
            <w:tcW w:w="973" w:type="dxa"/>
          </w:tcPr>
          <w:p>
            <w:pPr>
              <w:pStyle w:val="TableParagraph"/>
              <w:spacing w:line="132" w:lineRule="exact" w:before="19"/>
              <w:ind w:left="390" w:right="168"/>
              <w:jc w:val="center"/>
              <w:rPr>
                <w:sz w:val="12"/>
              </w:rPr>
            </w:pPr>
            <w:r>
              <w:rPr>
                <w:color w:val="231F20"/>
                <w:spacing w:val="-4"/>
                <w:w w:val="105"/>
                <w:sz w:val="12"/>
              </w:rPr>
              <w:t>RPCK</w:t>
            </w:r>
          </w:p>
        </w:tc>
        <w:tc>
          <w:tcPr>
            <w:tcW w:w="2686" w:type="dxa"/>
          </w:tcPr>
          <w:p>
            <w:pPr>
              <w:pStyle w:val="TableParagraph"/>
              <w:rPr>
                <w:rFonts w:ascii="Times New Roman"/>
                <w:sz w:val="10"/>
              </w:rPr>
            </w:pPr>
          </w:p>
        </w:tc>
        <w:tc>
          <w:tcPr>
            <w:tcW w:w="2764" w:type="dxa"/>
          </w:tcPr>
          <w:p>
            <w:pPr>
              <w:pStyle w:val="TableParagraph"/>
              <w:spacing w:line="136" w:lineRule="exact" w:before="14"/>
              <w:ind w:left="495"/>
              <w:rPr>
                <w:sz w:val="12"/>
              </w:rPr>
            </w:pPr>
            <w:r>
              <w:rPr>
                <w:color w:val="231F20"/>
                <w:spacing w:val="-2"/>
                <w:w w:val="105"/>
                <w:sz w:val="12"/>
              </w:rPr>
              <w:t>P19AC01051</w:t>
            </w:r>
          </w:p>
        </w:tc>
        <w:tc>
          <w:tcPr>
            <w:tcW w:w="1151" w:type="dxa"/>
          </w:tcPr>
          <w:p>
            <w:pPr>
              <w:pStyle w:val="TableParagraph"/>
              <w:spacing w:line="132" w:lineRule="exact" w:before="19"/>
              <w:ind w:left="371" w:right="365"/>
              <w:jc w:val="center"/>
              <w:rPr>
                <w:sz w:val="12"/>
              </w:rPr>
            </w:pPr>
            <w:r>
              <w:rPr>
                <w:color w:val="231F20"/>
                <w:spacing w:val="-2"/>
                <w:w w:val="105"/>
                <w:sz w:val="12"/>
              </w:rPr>
              <w:t>15.944</w:t>
            </w:r>
          </w:p>
        </w:tc>
        <w:tc>
          <w:tcPr>
            <w:tcW w:w="1127" w:type="dxa"/>
          </w:tcPr>
          <w:p>
            <w:pPr>
              <w:pStyle w:val="TableParagraph"/>
              <w:spacing w:line="132" w:lineRule="exact" w:before="19"/>
              <w:ind w:right="65"/>
              <w:jc w:val="right"/>
              <w:rPr>
                <w:sz w:val="12"/>
              </w:rPr>
            </w:pPr>
            <w:r>
              <w:rPr>
                <w:color w:val="231F20"/>
                <w:spacing w:val="-2"/>
                <w:w w:val="105"/>
                <w:sz w:val="12"/>
              </w:rPr>
              <w:t>28,247</w:t>
            </w:r>
          </w:p>
        </w:tc>
        <w:tc>
          <w:tcPr>
            <w:tcW w:w="151" w:type="dxa"/>
          </w:tcPr>
          <w:p>
            <w:pPr>
              <w:pStyle w:val="TableParagraph"/>
              <w:rPr>
                <w:rFonts w:ascii="Times New Roman"/>
                <w:sz w:val="10"/>
              </w:rPr>
            </w:pPr>
          </w:p>
        </w:tc>
        <w:tc>
          <w:tcPr>
            <w:tcW w:w="1127" w:type="dxa"/>
          </w:tcPr>
          <w:p>
            <w:pPr>
              <w:pStyle w:val="TableParagraph"/>
              <w:spacing w:line="132" w:lineRule="exact" w:before="19"/>
              <w:ind w:right="60"/>
              <w:jc w:val="right"/>
              <w:rPr>
                <w:sz w:val="12"/>
              </w:rPr>
            </w:pPr>
            <w:r>
              <w:rPr>
                <w:color w:val="231F20"/>
                <w:spacing w:val="-2"/>
                <w:w w:val="105"/>
                <w:sz w:val="12"/>
              </w:rPr>
              <w:t>40,369</w:t>
            </w:r>
          </w:p>
        </w:tc>
      </w:tr>
      <w:tr>
        <w:trPr>
          <w:trHeight w:val="171" w:hRule="atLeast"/>
        </w:trPr>
        <w:tc>
          <w:tcPr>
            <w:tcW w:w="4381" w:type="dxa"/>
          </w:tcPr>
          <w:p>
            <w:pPr>
              <w:pStyle w:val="TableParagraph"/>
              <w:spacing w:line="138" w:lineRule="exact" w:before="14"/>
              <w:ind w:left="372"/>
              <w:rPr>
                <w:sz w:val="12"/>
              </w:rPr>
            </w:pPr>
            <w:r>
              <w:rPr>
                <w:color w:val="231F20"/>
                <w:spacing w:val="-2"/>
                <w:w w:val="105"/>
                <w:sz w:val="12"/>
              </w:rPr>
              <w:t>Natural</w:t>
            </w:r>
            <w:r>
              <w:rPr>
                <w:color w:val="231F20"/>
                <w:spacing w:val="3"/>
                <w:w w:val="105"/>
                <w:sz w:val="12"/>
              </w:rPr>
              <w:t> </w:t>
            </w:r>
            <w:r>
              <w:rPr>
                <w:color w:val="231F20"/>
                <w:spacing w:val="-2"/>
                <w:w w:val="105"/>
                <w:sz w:val="12"/>
              </w:rPr>
              <w:t>Resource</w:t>
            </w:r>
            <w:r>
              <w:rPr>
                <w:color w:val="231F20"/>
                <w:spacing w:val="4"/>
                <w:w w:val="105"/>
                <w:sz w:val="12"/>
              </w:rPr>
              <w:t> </w:t>
            </w:r>
            <w:r>
              <w:rPr>
                <w:color w:val="231F20"/>
                <w:spacing w:val="-2"/>
                <w:w w:val="105"/>
                <w:sz w:val="12"/>
              </w:rPr>
              <w:t>Stewardship</w:t>
            </w:r>
          </w:p>
        </w:tc>
        <w:tc>
          <w:tcPr>
            <w:tcW w:w="973" w:type="dxa"/>
          </w:tcPr>
          <w:p>
            <w:pPr>
              <w:pStyle w:val="TableParagraph"/>
              <w:spacing w:line="132" w:lineRule="exact" w:before="20"/>
              <w:ind w:left="391" w:right="168"/>
              <w:jc w:val="center"/>
              <w:rPr>
                <w:sz w:val="12"/>
              </w:rPr>
            </w:pPr>
            <w:r>
              <w:rPr>
                <w:color w:val="231F20"/>
                <w:spacing w:val="-4"/>
                <w:w w:val="105"/>
                <w:sz w:val="12"/>
              </w:rPr>
              <w:t>RPCM</w:t>
            </w:r>
          </w:p>
        </w:tc>
        <w:tc>
          <w:tcPr>
            <w:tcW w:w="2686" w:type="dxa"/>
          </w:tcPr>
          <w:p>
            <w:pPr>
              <w:pStyle w:val="TableParagraph"/>
              <w:rPr>
                <w:rFonts w:ascii="Times New Roman"/>
                <w:sz w:val="10"/>
              </w:rPr>
            </w:pPr>
          </w:p>
        </w:tc>
        <w:tc>
          <w:tcPr>
            <w:tcW w:w="2764" w:type="dxa"/>
          </w:tcPr>
          <w:p>
            <w:pPr>
              <w:pStyle w:val="TableParagraph"/>
              <w:spacing w:line="138" w:lineRule="exact" w:before="14"/>
              <w:ind w:left="495"/>
              <w:rPr>
                <w:sz w:val="12"/>
              </w:rPr>
            </w:pPr>
            <w:r>
              <w:rPr>
                <w:color w:val="231F20"/>
                <w:spacing w:val="-2"/>
                <w:w w:val="105"/>
                <w:sz w:val="12"/>
              </w:rPr>
              <w:t>P21AC10633</w:t>
            </w:r>
          </w:p>
        </w:tc>
        <w:tc>
          <w:tcPr>
            <w:tcW w:w="1151" w:type="dxa"/>
          </w:tcPr>
          <w:p>
            <w:pPr>
              <w:pStyle w:val="TableParagraph"/>
              <w:spacing w:line="132" w:lineRule="exact" w:before="20"/>
              <w:ind w:left="371" w:right="365"/>
              <w:jc w:val="center"/>
              <w:rPr>
                <w:sz w:val="12"/>
              </w:rPr>
            </w:pPr>
            <w:r>
              <w:rPr>
                <w:color w:val="231F20"/>
                <w:spacing w:val="-2"/>
                <w:w w:val="105"/>
                <w:sz w:val="12"/>
              </w:rPr>
              <w:t>15.944</w:t>
            </w:r>
          </w:p>
        </w:tc>
        <w:tc>
          <w:tcPr>
            <w:tcW w:w="1127" w:type="dxa"/>
          </w:tcPr>
          <w:p>
            <w:pPr>
              <w:pStyle w:val="TableParagraph"/>
              <w:spacing w:line="132" w:lineRule="exact" w:before="20"/>
              <w:ind w:right="64"/>
              <w:jc w:val="right"/>
              <w:rPr>
                <w:sz w:val="12"/>
              </w:rPr>
            </w:pPr>
            <w:r>
              <w:rPr>
                <w:color w:val="231F20"/>
                <w:spacing w:val="-2"/>
                <w:w w:val="105"/>
                <w:sz w:val="12"/>
              </w:rPr>
              <w:t>11,198</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377,239</w:t>
            </w:r>
          </w:p>
        </w:tc>
      </w:tr>
      <w:tr>
        <w:trPr>
          <w:trHeight w:val="175" w:hRule="atLeast"/>
        </w:trPr>
        <w:tc>
          <w:tcPr>
            <w:tcW w:w="4381" w:type="dxa"/>
          </w:tcPr>
          <w:p>
            <w:pPr>
              <w:pStyle w:val="TableParagraph"/>
              <w:spacing w:before="14"/>
              <w:ind w:left="372"/>
              <w:rPr>
                <w:sz w:val="12"/>
              </w:rPr>
            </w:pPr>
            <w:r>
              <w:rPr>
                <w:color w:val="231F20"/>
                <w:spacing w:val="-2"/>
                <w:w w:val="105"/>
                <w:sz w:val="12"/>
              </w:rPr>
              <w:t>Natural</w:t>
            </w:r>
            <w:r>
              <w:rPr>
                <w:color w:val="231F20"/>
                <w:spacing w:val="3"/>
                <w:w w:val="105"/>
                <w:sz w:val="12"/>
              </w:rPr>
              <w:t> </w:t>
            </w:r>
            <w:r>
              <w:rPr>
                <w:color w:val="231F20"/>
                <w:spacing w:val="-2"/>
                <w:w w:val="105"/>
                <w:sz w:val="12"/>
              </w:rPr>
              <w:t>Resource</w:t>
            </w:r>
            <w:r>
              <w:rPr>
                <w:color w:val="231F20"/>
                <w:spacing w:val="4"/>
                <w:w w:val="105"/>
                <w:sz w:val="12"/>
              </w:rPr>
              <w:t> </w:t>
            </w:r>
            <w:r>
              <w:rPr>
                <w:color w:val="231F20"/>
                <w:spacing w:val="-2"/>
                <w:w w:val="105"/>
                <w:sz w:val="12"/>
              </w:rPr>
              <w:t>Stewardship</w:t>
            </w:r>
          </w:p>
        </w:tc>
        <w:tc>
          <w:tcPr>
            <w:tcW w:w="973" w:type="dxa"/>
          </w:tcPr>
          <w:p>
            <w:pPr>
              <w:pStyle w:val="TableParagraph"/>
              <w:spacing w:line="136" w:lineRule="exact" w:before="20"/>
              <w:ind w:left="347" w:right="126"/>
              <w:jc w:val="center"/>
              <w:rPr>
                <w:sz w:val="12"/>
              </w:rPr>
            </w:pPr>
            <w:r>
              <w:rPr>
                <w:color w:val="231F20"/>
                <w:spacing w:val="-4"/>
                <w:w w:val="105"/>
                <w:sz w:val="12"/>
              </w:rPr>
              <w:t>RPCN</w:t>
            </w:r>
          </w:p>
        </w:tc>
        <w:tc>
          <w:tcPr>
            <w:tcW w:w="2686" w:type="dxa"/>
          </w:tcPr>
          <w:p>
            <w:pPr>
              <w:pStyle w:val="TableParagraph"/>
              <w:rPr>
                <w:rFonts w:ascii="Times New Roman"/>
                <w:sz w:val="10"/>
              </w:rPr>
            </w:pPr>
          </w:p>
        </w:tc>
        <w:tc>
          <w:tcPr>
            <w:tcW w:w="2764" w:type="dxa"/>
          </w:tcPr>
          <w:p>
            <w:pPr>
              <w:pStyle w:val="TableParagraph"/>
              <w:spacing w:before="14"/>
              <w:ind w:left="495"/>
              <w:rPr>
                <w:sz w:val="12"/>
              </w:rPr>
            </w:pPr>
            <w:r>
              <w:rPr>
                <w:color w:val="231F20"/>
                <w:spacing w:val="-2"/>
                <w:w w:val="105"/>
                <w:sz w:val="12"/>
              </w:rPr>
              <w:t>P20AC00630</w:t>
            </w:r>
          </w:p>
        </w:tc>
        <w:tc>
          <w:tcPr>
            <w:tcW w:w="1151" w:type="dxa"/>
          </w:tcPr>
          <w:p>
            <w:pPr>
              <w:pStyle w:val="TableParagraph"/>
              <w:spacing w:line="136" w:lineRule="exact" w:before="20"/>
              <w:ind w:left="371" w:right="365"/>
              <w:jc w:val="center"/>
              <w:rPr>
                <w:sz w:val="12"/>
              </w:rPr>
            </w:pPr>
            <w:r>
              <w:rPr>
                <w:color w:val="231F20"/>
                <w:spacing w:val="-2"/>
                <w:w w:val="105"/>
                <w:sz w:val="12"/>
              </w:rPr>
              <w:t>15.944</w:t>
            </w:r>
          </w:p>
        </w:tc>
        <w:tc>
          <w:tcPr>
            <w:tcW w:w="1127" w:type="dxa"/>
          </w:tcPr>
          <w:p>
            <w:pPr>
              <w:pStyle w:val="TableParagraph"/>
              <w:spacing w:line="136" w:lineRule="exact" w:before="20"/>
              <w:ind w:right="64"/>
              <w:jc w:val="right"/>
              <w:rPr>
                <w:sz w:val="12"/>
              </w:rPr>
            </w:pPr>
            <w:r>
              <w:rPr>
                <w:color w:val="231F20"/>
                <w:spacing w:val="-2"/>
                <w:w w:val="105"/>
                <w:sz w:val="12"/>
              </w:rPr>
              <w:t>38,875</w:t>
            </w:r>
          </w:p>
        </w:tc>
        <w:tc>
          <w:tcPr>
            <w:tcW w:w="151" w:type="dxa"/>
          </w:tcPr>
          <w:p>
            <w:pPr>
              <w:pStyle w:val="TableParagraph"/>
              <w:rPr>
                <w:rFonts w:ascii="Times New Roman"/>
                <w:sz w:val="10"/>
              </w:rPr>
            </w:pPr>
          </w:p>
        </w:tc>
        <w:tc>
          <w:tcPr>
            <w:tcW w:w="1127" w:type="dxa"/>
          </w:tcPr>
          <w:p>
            <w:pPr>
              <w:pStyle w:val="TableParagraph"/>
              <w:spacing w:line="136" w:lineRule="exact" w:before="20"/>
              <w:ind w:right="60"/>
              <w:jc w:val="right"/>
              <w:rPr>
                <w:sz w:val="12"/>
              </w:rPr>
            </w:pPr>
            <w:r>
              <w:rPr>
                <w:color w:val="231F20"/>
                <w:spacing w:val="-2"/>
                <w:w w:val="105"/>
                <w:sz w:val="12"/>
              </w:rPr>
              <w:t>498,777</w:t>
            </w:r>
          </w:p>
        </w:tc>
      </w:tr>
      <w:tr>
        <w:trPr>
          <w:trHeight w:val="343" w:hRule="atLeast"/>
        </w:trPr>
        <w:tc>
          <w:tcPr>
            <w:tcW w:w="4381" w:type="dxa"/>
          </w:tcPr>
          <w:p>
            <w:pPr>
              <w:pStyle w:val="TableParagraph"/>
              <w:spacing w:line="164" w:lineRule="exact"/>
              <w:ind w:left="372"/>
              <w:rPr>
                <w:sz w:val="12"/>
              </w:rPr>
            </w:pPr>
            <w:r>
              <w:rPr>
                <w:color w:val="231F20"/>
                <w:w w:val="105"/>
                <w:sz w:val="12"/>
              </w:rPr>
              <w:t>Cooperative</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and</w:t>
            </w:r>
            <w:r>
              <w:rPr>
                <w:color w:val="231F20"/>
                <w:spacing w:val="-8"/>
                <w:w w:val="105"/>
                <w:sz w:val="12"/>
              </w:rPr>
              <w:t> </w:t>
            </w:r>
            <w:r>
              <w:rPr>
                <w:color w:val="231F20"/>
                <w:w w:val="105"/>
                <w:sz w:val="12"/>
              </w:rPr>
              <w:t>Training</w:t>
            </w:r>
            <w:r>
              <w:rPr>
                <w:color w:val="231F20"/>
                <w:spacing w:val="-8"/>
                <w:w w:val="105"/>
                <w:sz w:val="12"/>
              </w:rPr>
              <w:t> </w:t>
            </w:r>
            <w:r>
              <w:rPr>
                <w:color w:val="231F20"/>
                <w:w w:val="105"/>
                <w:sz w:val="12"/>
              </w:rPr>
              <w:t>Programs</w:t>
            </w:r>
            <w:r>
              <w:rPr>
                <w:color w:val="231F20"/>
                <w:spacing w:val="-8"/>
                <w:w w:val="105"/>
                <w:sz w:val="12"/>
              </w:rPr>
              <w:t> </w:t>
            </w:r>
            <w:r>
              <w:rPr>
                <w:color w:val="231F20"/>
                <w:w w:val="105"/>
                <w:sz w:val="12"/>
              </w:rPr>
              <w:t>&amp;</w:t>
            </w:r>
            <w:r>
              <w:rPr>
                <w:color w:val="231F20"/>
                <w:spacing w:val="-8"/>
                <w:w w:val="105"/>
                <w:sz w:val="12"/>
              </w:rPr>
              <w:t> </w:t>
            </w:r>
            <w:r>
              <w:rPr>
                <w:color w:val="231F20"/>
                <w:w w:val="105"/>
                <w:sz w:val="12"/>
              </w:rPr>
              <w:t>Resources</w:t>
            </w:r>
            <w:r>
              <w:rPr>
                <w:color w:val="231F20"/>
                <w:spacing w:val="-8"/>
                <w:w w:val="105"/>
                <w:sz w:val="12"/>
              </w:rPr>
              <w:t> </w:t>
            </w:r>
            <w:r>
              <w:rPr>
                <w:color w:val="231F20"/>
                <w:w w:val="105"/>
                <w:sz w:val="12"/>
              </w:rPr>
              <w:t>of</w:t>
            </w:r>
            <w:r>
              <w:rPr>
                <w:color w:val="231F20"/>
                <w:spacing w:val="-8"/>
                <w:w w:val="105"/>
                <w:sz w:val="12"/>
              </w:rPr>
              <w:t> </w:t>
            </w:r>
            <w:r>
              <w:rPr>
                <w:color w:val="231F20"/>
                <w:w w:val="105"/>
                <w:sz w:val="12"/>
              </w:rPr>
              <w:t>the</w:t>
            </w:r>
            <w:r>
              <w:rPr>
                <w:color w:val="231F20"/>
                <w:spacing w:val="40"/>
                <w:w w:val="105"/>
                <w:sz w:val="12"/>
              </w:rPr>
              <w:t> </w:t>
            </w:r>
            <w:r>
              <w:rPr>
                <w:color w:val="231F20"/>
                <w:w w:val="105"/>
                <w:sz w:val="12"/>
              </w:rPr>
              <w:t>National Park System</w:t>
            </w:r>
          </w:p>
        </w:tc>
        <w:tc>
          <w:tcPr>
            <w:tcW w:w="973" w:type="dxa"/>
          </w:tcPr>
          <w:p>
            <w:pPr>
              <w:pStyle w:val="TableParagraph"/>
              <w:spacing w:before="3"/>
              <w:rPr>
                <w:b/>
                <w:sz w:val="16"/>
              </w:rPr>
            </w:pPr>
          </w:p>
          <w:p>
            <w:pPr>
              <w:pStyle w:val="TableParagraph"/>
              <w:spacing w:line="136" w:lineRule="exact"/>
              <w:ind w:left="391" w:right="168"/>
              <w:jc w:val="center"/>
              <w:rPr>
                <w:sz w:val="12"/>
              </w:rPr>
            </w:pPr>
            <w:r>
              <w:rPr>
                <w:color w:val="231F20"/>
                <w:spacing w:val="-4"/>
                <w:w w:val="105"/>
                <w:sz w:val="12"/>
              </w:rPr>
              <w:t>RLCD</w:t>
            </w:r>
          </w:p>
        </w:tc>
        <w:tc>
          <w:tcPr>
            <w:tcW w:w="2686" w:type="dxa"/>
          </w:tcPr>
          <w:p>
            <w:pPr>
              <w:pStyle w:val="TableParagraph"/>
              <w:rPr>
                <w:rFonts w:ascii="Times New Roman"/>
                <w:sz w:val="12"/>
              </w:rPr>
            </w:pPr>
          </w:p>
        </w:tc>
        <w:tc>
          <w:tcPr>
            <w:tcW w:w="2764" w:type="dxa"/>
          </w:tcPr>
          <w:p>
            <w:pPr>
              <w:pStyle w:val="TableParagraph"/>
              <w:spacing w:before="8"/>
              <w:rPr>
                <w:b/>
                <w:sz w:val="15"/>
              </w:rPr>
            </w:pPr>
          </w:p>
          <w:p>
            <w:pPr>
              <w:pStyle w:val="TableParagraph"/>
              <w:ind w:left="496"/>
              <w:rPr>
                <w:sz w:val="12"/>
              </w:rPr>
            </w:pPr>
            <w:r>
              <w:rPr>
                <w:color w:val="231F20"/>
                <w:sz w:val="12"/>
              </w:rPr>
              <w:t>P21AC11161-</w:t>
            </w:r>
            <w:r>
              <w:rPr>
                <w:color w:val="231F20"/>
                <w:spacing w:val="-5"/>
                <w:w w:val="105"/>
                <w:sz w:val="12"/>
              </w:rPr>
              <w:t>00</w:t>
            </w:r>
          </w:p>
        </w:tc>
        <w:tc>
          <w:tcPr>
            <w:tcW w:w="1151" w:type="dxa"/>
          </w:tcPr>
          <w:p>
            <w:pPr>
              <w:pStyle w:val="TableParagraph"/>
              <w:spacing w:before="3"/>
              <w:rPr>
                <w:b/>
                <w:sz w:val="16"/>
              </w:rPr>
            </w:pPr>
          </w:p>
          <w:p>
            <w:pPr>
              <w:pStyle w:val="TableParagraph"/>
              <w:spacing w:line="136" w:lineRule="exact"/>
              <w:ind w:left="371" w:right="365"/>
              <w:jc w:val="center"/>
              <w:rPr>
                <w:sz w:val="12"/>
              </w:rPr>
            </w:pPr>
            <w:r>
              <w:rPr>
                <w:color w:val="231F20"/>
                <w:spacing w:val="-2"/>
                <w:w w:val="105"/>
                <w:sz w:val="12"/>
              </w:rPr>
              <w:t>15.945</w:t>
            </w:r>
          </w:p>
        </w:tc>
        <w:tc>
          <w:tcPr>
            <w:tcW w:w="1127" w:type="dxa"/>
          </w:tcPr>
          <w:p>
            <w:pPr>
              <w:pStyle w:val="TableParagraph"/>
              <w:spacing w:before="3"/>
              <w:rPr>
                <w:b/>
                <w:sz w:val="16"/>
              </w:rPr>
            </w:pPr>
          </w:p>
          <w:p>
            <w:pPr>
              <w:pStyle w:val="TableParagraph"/>
              <w:spacing w:line="136" w:lineRule="exact"/>
              <w:ind w:right="64"/>
              <w:jc w:val="right"/>
              <w:rPr>
                <w:sz w:val="12"/>
              </w:rPr>
            </w:pPr>
            <w:r>
              <w:rPr>
                <w:color w:val="231F20"/>
                <w:w w:val="104"/>
                <w:sz w:val="12"/>
              </w:rPr>
              <w:t>-</w:t>
            </w:r>
          </w:p>
        </w:tc>
        <w:tc>
          <w:tcPr>
            <w:tcW w:w="151" w:type="dxa"/>
          </w:tcPr>
          <w:p>
            <w:pPr>
              <w:pStyle w:val="TableParagraph"/>
              <w:rPr>
                <w:rFonts w:ascii="Times New Roman"/>
                <w:sz w:val="12"/>
              </w:rPr>
            </w:pPr>
          </w:p>
        </w:tc>
        <w:tc>
          <w:tcPr>
            <w:tcW w:w="1127" w:type="dxa"/>
          </w:tcPr>
          <w:p>
            <w:pPr>
              <w:pStyle w:val="TableParagraph"/>
              <w:spacing w:before="3"/>
              <w:rPr>
                <w:b/>
                <w:sz w:val="16"/>
              </w:rPr>
            </w:pPr>
          </w:p>
          <w:p>
            <w:pPr>
              <w:pStyle w:val="TableParagraph"/>
              <w:spacing w:line="136" w:lineRule="exact"/>
              <w:ind w:right="60"/>
              <w:jc w:val="right"/>
              <w:rPr>
                <w:sz w:val="12"/>
              </w:rPr>
            </w:pPr>
            <w:r>
              <w:rPr>
                <w:color w:val="231F20"/>
                <w:spacing w:val="-2"/>
                <w:w w:val="105"/>
                <w:sz w:val="12"/>
              </w:rPr>
              <w:t>11,638</w:t>
            </w:r>
          </w:p>
        </w:tc>
      </w:tr>
      <w:tr>
        <w:trPr>
          <w:trHeight w:val="338" w:hRule="atLeast"/>
        </w:trPr>
        <w:tc>
          <w:tcPr>
            <w:tcW w:w="4381" w:type="dxa"/>
          </w:tcPr>
          <w:p>
            <w:pPr>
              <w:pStyle w:val="TableParagraph"/>
              <w:spacing w:line="164" w:lineRule="exact"/>
              <w:ind w:left="372"/>
              <w:rPr>
                <w:sz w:val="12"/>
              </w:rPr>
            </w:pPr>
            <w:r>
              <w:rPr>
                <w:color w:val="231F20"/>
                <w:w w:val="105"/>
                <w:sz w:val="12"/>
              </w:rPr>
              <w:t>Cooperative</w:t>
            </w:r>
            <w:r>
              <w:rPr>
                <w:color w:val="231F20"/>
                <w:spacing w:val="-8"/>
                <w:w w:val="105"/>
                <w:sz w:val="12"/>
              </w:rPr>
              <w:t> </w:t>
            </w:r>
            <w:r>
              <w:rPr>
                <w:color w:val="231F20"/>
                <w:w w:val="105"/>
                <w:sz w:val="12"/>
              </w:rPr>
              <w:t>Research</w:t>
            </w:r>
            <w:r>
              <w:rPr>
                <w:color w:val="231F20"/>
                <w:spacing w:val="-8"/>
                <w:w w:val="105"/>
                <w:sz w:val="12"/>
              </w:rPr>
              <w:t> </w:t>
            </w:r>
            <w:r>
              <w:rPr>
                <w:color w:val="231F20"/>
                <w:w w:val="105"/>
                <w:sz w:val="12"/>
              </w:rPr>
              <w:t>and</w:t>
            </w:r>
            <w:r>
              <w:rPr>
                <w:color w:val="231F20"/>
                <w:spacing w:val="-8"/>
                <w:w w:val="105"/>
                <w:sz w:val="12"/>
              </w:rPr>
              <w:t> </w:t>
            </w:r>
            <w:r>
              <w:rPr>
                <w:color w:val="231F20"/>
                <w:w w:val="105"/>
                <w:sz w:val="12"/>
              </w:rPr>
              <w:t>Training</w:t>
            </w:r>
            <w:r>
              <w:rPr>
                <w:color w:val="231F20"/>
                <w:spacing w:val="-8"/>
                <w:w w:val="105"/>
                <w:sz w:val="12"/>
              </w:rPr>
              <w:t> </w:t>
            </w:r>
            <w:r>
              <w:rPr>
                <w:color w:val="231F20"/>
                <w:w w:val="105"/>
                <w:sz w:val="12"/>
              </w:rPr>
              <w:t>Programs</w:t>
            </w:r>
            <w:r>
              <w:rPr>
                <w:color w:val="231F20"/>
                <w:spacing w:val="-8"/>
                <w:w w:val="105"/>
                <w:sz w:val="12"/>
              </w:rPr>
              <w:t> </w:t>
            </w:r>
            <w:r>
              <w:rPr>
                <w:color w:val="231F20"/>
                <w:w w:val="105"/>
                <w:sz w:val="12"/>
              </w:rPr>
              <w:t>&amp;</w:t>
            </w:r>
            <w:r>
              <w:rPr>
                <w:color w:val="231F20"/>
                <w:spacing w:val="-8"/>
                <w:w w:val="105"/>
                <w:sz w:val="12"/>
              </w:rPr>
              <w:t> </w:t>
            </w:r>
            <w:r>
              <w:rPr>
                <w:color w:val="231F20"/>
                <w:w w:val="105"/>
                <w:sz w:val="12"/>
              </w:rPr>
              <w:t>Resources</w:t>
            </w:r>
            <w:r>
              <w:rPr>
                <w:color w:val="231F20"/>
                <w:spacing w:val="-8"/>
                <w:w w:val="105"/>
                <w:sz w:val="12"/>
              </w:rPr>
              <w:t> </w:t>
            </w:r>
            <w:r>
              <w:rPr>
                <w:color w:val="231F20"/>
                <w:w w:val="105"/>
                <w:sz w:val="12"/>
              </w:rPr>
              <w:t>of</w:t>
            </w:r>
            <w:r>
              <w:rPr>
                <w:color w:val="231F20"/>
                <w:spacing w:val="-8"/>
                <w:w w:val="105"/>
                <w:sz w:val="12"/>
              </w:rPr>
              <w:t> </w:t>
            </w:r>
            <w:r>
              <w:rPr>
                <w:color w:val="231F20"/>
                <w:w w:val="105"/>
                <w:sz w:val="12"/>
              </w:rPr>
              <w:t>the</w:t>
            </w:r>
            <w:r>
              <w:rPr>
                <w:color w:val="231F20"/>
                <w:spacing w:val="40"/>
                <w:w w:val="105"/>
                <w:sz w:val="12"/>
              </w:rPr>
              <w:t> </w:t>
            </w:r>
            <w:r>
              <w:rPr>
                <w:color w:val="231F20"/>
                <w:w w:val="105"/>
                <w:sz w:val="12"/>
              </w:rPr>
              <w:t>National Park System</w:t>
            </w:r>
          </w:p>
        </w:tc>
        <w:tc>
          <w:tcPr>
            <w:tcW w:w="973" w:type="dxa"/>
          </w:tcPr>
          <w:p>
            <w:pPr>
              <w:pStyle w:val="TableParagraph"/>
              <w:spacing w:before="3"/>
              <w:rPr>
                <w:b/>
                <w:sz w:val="16"/>
              </w:rPr>
            </w:pPr>
          </w:p>
          <w:p>
            <w:pPr>
              <w:pStyle w:val="TableParagraph"/>
              <w:spacing w:line="132" w:lineRule="exact"/>
              <w:ind w:left="390" w:right="168"/>
              <w:jc w:val="center"/>
              <w:rPr>
                <w:sz w:val="12"/>
              </w:rPr>
            </w:pPr>
            <w:r>
              <w:rPr>
                <w:color w:val="231F20"/>
                <w:spacing w:val="-4"/>
                <w:w w:val="105"/>
                <w:sz w:val="12"/>
              </w:rPr>
              <w:t>RPVC</w:t>
            </w:r>
          </w:p>
        </w:tc>
        <w:tc>
          <w:tcPr>
            <w:tcW w:w="2686" w:type="dxa"/>
          </w:tcPr>
          <w:p>
            <w:pPr>
              <w:pStyle w:val="TableParagraph"/>
              <w:rPr>
                <w:rFonts w:ascii="Times New Roman"/>
                <w:sz w:val="12"/>
              </w:rPr>
            </w:pPr>
          </w:p>
        </w:tc>
        <w:tc>
          <w:tcPr>
            <w:tcW w:w="2764" w:type="dxa"/>
          </w:tcPr>
          <w:p>
            <w:pPr>
              <w:pStyle w:val="TableParagraph"/>
              <w:spacing w:before="8"/>
              <w:rPr>
                <w:b/>
                <w:sz w:val="15"/>
              </w:rPr>
            </w:pPr>
          </w:p>
          <w:p>
            <w:pPr>
              <w:pStyle w:val="TableParagraph"/>
              <w:spacing w:line="138" w:lineRule="exact"/>
              <w:ind w:left="496"/>
              <w:rPr>
                <w:sz w:val="12"/>
              </w:rPr>
            </w:pPr>
            <w:r>
              <w:rPr>
                <w:color w:val="231F20"/>
                <w:spacing w:val="-2"/>
                <w:w w:val="105"/>
                <w:sz w:val="12"/>
              </w:rPr>
              <w:t>P21AC11175</w:t>
            </w:r>
          </w:p>
        </w:tc>
        <w:tc>
          <w:tcPr>
            <w:tcW w:w="1151" w:type="dxa"/>
          </w:tcPr>
          <w:p>
            <w:pPr>
              <w:pStyle w:val="TableParagraph"/>
              <w:spacing w:before="3"/>
              <w:rPr>
                <w:b/>
                <w:sz w:val="16"/>
              </w:rPr>
            </w:pPr>
          </w:p>
          <w:p>
            <w:pPr>
              <w:pStyle w:val="TableParagraph"/>
              <w:spacing w:line="132" w:lineRule="exact"/>
              <w:ind w:left="371" w:right="365"/>
              <w:jc w:val="center"/>
              <w:rPr>
                <w:sz w:val="12"/>
              </w:rPr>
            </w:pPr>
            <w:r>
              <w:rPr>
                <w:color w:val="231F20"/>
                <w:spacing w:val="-2"/>
                <w:w w:val="105"/>
                <w:sz w:val="12"/>
              </w:rPr>
              <w:t>15.945</w:t>
            </w:r>
          </w:p>
        </w:tc>
        <w:tc>
          <w:tcPr>
            <w:tcW w:w="1127" w:type="dxa"/>
          </w:tcPr>
          <w:p>
            <w:pPr>
              <w:pStyle w:val="TableParagraph"/>
              <w:spacing w:before="3"/>
              <w:rPr>
                <w:b/>
                <w:sz w:val="16"/>
              </w:rPr>
            </w:pPr>
          </w:p>
          <w:p>
            <w:pPr>
              <w:pStyle w:val="TableParagraph"/>
              <w:spacing w:line="132" w:lineRule="exact"/>
              <w:ind w:right="64"/>
              <w:jc w:val="right"/>
              <w:rPr>
                <w:sz w:val="12"/>
              </w:rPr>
            </w:pPr>
            <w:r>
              <w:rPr>
                <w:color w:val="231F20"/>
                <w:spacing w:val="-2"/>
                <w:w w:val="105"/>
                <w:sz w:val="12"/>
              </w:rPr>
              <w:t>622,501</w:t>
            </w:r>
          </w:p>
        </w:tc>
        <w:tc>
          <w:tcPr>
            <w:tcW w:w="151" w:type="dxa"/>
          </w:tcPr>
          <w:p>
            <w:pPr>
              <w:pStyle w:val="TableParagraph"/>
              <w:rPr>
                <w:rFonts w:ascii="Times New Roman"/>
                <w:sz w:val="12"/>
              </w:rPr>
            </w:pPr>
          </w:p>
        </w:tc>
        <w:tc>
          <w:tcPr>
            <w:tcW w:w="1127" w:type="dxa"/>
          </w:tcPr>
          <w:p>
            <w:pPr>
              <w:pStyle w:val="TableParagraph"/>
              <w:spacing w:before="3"/>
              <w:rPr>
                <w:b/>
                <w:sz w:val="16"/>
              </w:rPr>
            </w:pPr>
          </w:p>
          <w:p>
            <w:pPr>
              <w:pStyle w:val="TableParagraph"/>
              <w:spacing w:line="132" w:lineRule="exact"/>
              <w:ind w:right="60"/>
              <w:jc w:val="right"/>
              <w:rPr>
                <w:sz w:val="12"/>
              </w:rPr>
            </w:pPr>
            <w:r>
              <w:rPr>
                <w:color w:val="231F20"/>
                <w:spacing w:val="-2"/>
                <w:w w:val="105"/>
                <w:sz w:val="12"/>
              </w:rPr>
              <w:t>664,153</w:t>
            </w:r>
          </w:p>
        </w:tc>
      </w:tr>
      <w:tr>
        <w:trPr>
          <w:trHeight w:val="171" w:hRule="atLeast"/>
        </w:trPr>
        <w:tc>
          <w:tcPr>
            <w:tcW w:w="4381" w:type="dxa"/>
          </w:tcPr>
          <w:p>
            <w:pPr>
              <w:pStyle w:val="TableParagraph"/>
              <w:spacing w:line="138" w:lineRule="exact" w:before="14"/>
              <w:ind w:left="372"/>
              <w:rPr>
                <w:sz w:val="12"/>
              </w:rPr>
            </w:pPr>
            <w:r>
              <w:rPr>
                <w:color w:val="231F20"/>
                <w:spacing w:val="-2"/>
                <w:w w:val="105"/>
                <w:sz w:val="12"/>
              </w:rPr>
              <w:t>National</w:t>
            </w:r>
            <w:r>
              <w:rPr>
                <w:color w:val="231F20"/>
                <w:spacing w:val="7"/>
                <w:w w:val="105"/>
                <w:sz w:val="12"/>
              </w:rPr>
              <w:t> </w:t>
            </w:r>
            <w:r>
              <w:rPr>
                <w:color w:val="231F20"/>
                <w:spacing w:val="-2"/>
                <w:w w:val="105"/>
                <w:sz w:val="12"/>
              </w:rPr>
              <w:t>Ground-Water</w:t>
            </w:r>
            <w:r>
              <w:rPr>
                <w:color w:val="231F20"/>
                <w:spacing w:val="5"/>
                <w:w w:val="105"/>
                <w:sz w:val="12"/>
              </w:rPr>
              <w:t> </w:t>
            </w:r>
            <w:r>
              <w:rPr>
                <w:color w:val="231F20"/>
                <w:spacing w:val="-2"/>
                <w:w w:val="105"/>
                <w:sz w:val="12"/>
              </w:rPr>
              <w:t>Monitoring</w:t>
            </w:r>
            <w:r>
              <w:rPr>
                <w:color w:val="231F20"/>
                <w:spacing w:val="6"/>
                <w:w w:val="105"/>
                <w:sz w:val="12"/>
              </w:rPr>
              <w:t> </w:t>
            </w:r>
            <w:r>
              <w:rPr>
                <w:color w:val="231F20"/>
                <w:spacing w:val="-2"/>
                <w:w w:val="105"/>
                <w:sz w:val="12"/>
              </w:rPr>
              <w:t>Network</w:t>
            </w:r>
          </w:p>
        </w:tc>
        <w:tc>
          <w:tcPr>
            <w:tcW w:w="973" w:type="dxa"/>
          </w:tcPr>
          <w:p>
            <w:pPr>
              <w:pStyle w:val="TableParagraph"/>
              <w:spacing w:line="132" w:lineRule="exact" w:before="20"/>
              <w:ind w:left="347" w:right="126"/>
              <w:jc w:val="center"/>
              <w:rPr>
                <w:sz w:val="12"/>
              </w:rPr>
            </w:pPr>
            <w:r>
              <w:rPr>
                <w:color w:val="231F20"/>
                <w:spacing w:val="-2"/>
                <w:w w:val="105"/>
                <w:sz w:val="12"/>
              </w:rPr>
              <w:t>UNGW3</w:t>
            </w:r>
          </w:p>
        </w:tc>
        <w:tc>
          <w:tcPr>
            <w:tcW w:w="2686" w:type="dxa"/>
          </w:tcPr>
          <w:p>
            <w:pPr>
              <w:pStyle w:val="TableParagraph"/>
              <w:rPr>
                <w:rFonts w:ascii="Times New Roman"/>
                <w:sz w:val="10"/>
              </w:rPr>
            </w:pPr>
          </w:p>
        </w:tc>
        <w:tc>
          <w:tcPr>
            <w:tcW w:w="2764" w:type="dxa"/>
          </w:tcPr>
          <w:p>
            <w:pPr>
              <w:pStyle w:val="TableParagraph"/>
              <w:spacing w:line="138" w:lineRule="exact" w:before="14"/>
              <w:ind w:left="496"/>
              <w:rPr>
                <w:sz w:val="12"/>
              </w:rPr>
            </w:pPr>
            <w:r>
              <w:rPr>
                <w:color w:val="231F20"/>
                <w:spacing w:val="-2"/>
                <w:w w:val="105"/>
                <w:sz w:val="12"/>
              </w:rPr>
              <w:t>G20AC00173</w:t>
            </w:r>
          </w:p>
        </w:tc>
        <w:tc>
          <w:tcPr>
            <w:tcW w:w="1151" w:type="dxa"/>
          </w:tcPr>
          <w:p>
            <w:pPr>
              <w:pStyle w:val="TableParagraph"/>
              <w:spacing w:line="132" w:lineRule="exact" w:before="20"/>
              <w:ind w:left="371" w:right="364"/>
              <w:jc w:val="center"/>
              <w:rPr>
                <w:sz w:val="12"/>
              </w:rPr>
            </w:pPr>
            <w:r>
              <w:rPr>
                <w:color w:val="231F20"/>
                <w:spacing w:val="-2"/>
                <w:w w:val="105"/>
                <w:sz w:val="12"/>
              </w:rPr>
              <w:t>15.980</w:t>
            </w:r>
          </w:p>
        </w:tc>
        <w:tc>
          <w:tcPr>
            <w:tcW w:w="1127" w:type="dxa"/>
          </w:tcPr>
          <w:p>
            <w:pPr>
              <w:pStyle w:val="TableParagraph"/>
              <w:spacing w:line="132" w:lineRule="exact" w:before="20"/>
              <w:ind w:right="64"/>
              <w:jc w:val="right"/>
              <w:rPr>
                <w:sz w:val="12"/>
              </w:rPr>
            </w:pPr>
            <w:r>
              <w:rPr>
                <w:color w:val="231F20"/>
                <w:w w:val="104"/>
                <w:sz w:val="12"/>
              </w:rPr>
              <w:t>-</w:t>
            </w:r>
          </w:p>
        </w:tc>
        <w:tc>
          <w:tcPr>
            <w:tcW w:w="151" w:type="dxa"/>
          </w:tcPr>
          <w:p>
            <w:pPr>
              <w:pStyle w:val="TableParagraph"/>
              <w:rPr>
                <w:rFonts w:ascii="Times New Roman"/>
                <w:sz w:val="10"/>
              </w:rPr>
            </w:pPr>
          </w:p>
        </w:tc>
        <w:tc>
          <w:tcPr>
            <w:tcW w:w="1127" w:type="dxa"/>
          </w:tcPr>
          <w:p>
            <w:pPr>
              <w:pStyle w:val="TableParagraph"/>
              <w:spacing w:line="132" w:lineRule="exact" w:before="20"/>
              <w:ind w:right="60"/>
              <w:jc w:val="right"/>
              <w:rPr>
                <w:sz w:val="12"/>
              </w:rPr>
            </w:pPr>
            <w:r>
              <w:rPr>
                <w:color w:val="231F20"/>
                <w:spacing w:val="-2"/>
                <w:w w:val="105"/>
                <w:sz w:val="12"/>
              </w:rPr>
              <w:t>10,712</w:t>
            </w:r>
          </w:p>
        </w:tc>
      </w:tr>
      <w:tr>
        <w:trPr>
          <w:trHeight w:val="164" w:hRule="atLeast"/>
        </w:trPr>
        <w:tc>
          <w:tcPr>
            <w:tcW w:w="4381" w:type="dxa"/>
          </w:tcPr>
          <w:p>
            <w:pPr>
              <w:pStyle w:val="TableParagraph"/>
              <w:spacing w:line="130" w:lineRule="exact" w:before="14"/>
              <w:ind w:left="372"/>
              <w:rPr>
                <w:sz w:val="12"/>
              </w:rPr>
            </w:pPr>
            <w:r>
              <w:rPr>
                <w:color w:val="231F20"/>
                <w:spacing w:val="-2"/>
                <w:w w:val="105"/>
                <w:sz w:val="12"/>
              </w:rPr>
              <w:t>National</w:t>
            </w:r>
            <w:r>
              <w:rPr>
                <w:color w:val="231F20"/>
                <w:spacing w:val="7"/>
                <w:w w:val="105"/>
                <w:sz w:val="12"/>
              </w:rPr>
              <w:t> </w:t>
            </w:r>
            <w:r>
              <w:rPr>
                <w:color w:val="231F20"/>
                <w:spacing w:val="-2"/>
                <w:w w:val="105"/>
                <w:sz w:val="12"/>
              </w:rPr>
              <w:t>Ground-Water</w:t>
            </w:r>
            <w:r>
              <w:rPr>
                <w:color w:val="231F20"/>
                <w:spacing w:val="5"/>
                <w:w w:val="105"/>
                <w:sz w:val="12"/>
              </w:rPr>
              <w:t> </w:t>
            </w:r>
            <w:r>
              <w:rPr>
                <w:color w:val="231F20"/>
                <w:spacing w:val="-2"/>
                <w:w w:val="105"/>
                <w:sz w:val="12"/>
              </w:rPr>
              <w:t>Monitoring</w:t>
            </w:r>
            <w:r>
              <w:rPr>
                <w:color w:val="231F20"/>
                <w:spacing w:val="6"/>
                <w:w w:val="105"/>
                <w:sz w:val="12"/>
              </w:rPr>
              <w:t> </w:t>
            </w:r>
            <w:r>
              <w:rPr>
                <w:color w:val="231F20"/>
                <w:spacing w:val="-2"/>
                <w:w w:val="105"/>
                <w:sz w:val="12"/>
              </w:rPr>
              <w:t>Network</w:t>
            </w:r>
          </w:p>
        </w:tc>
        <w:tc>
          <w:tcPr>
            <w:tcW w:w="973" w:type="dxa"/>
          </w:tcPr>
          <w:p>
            <w:pPr>
              <w:pStyle w:val="TableParagraph"/>
              <w:spacing w:line="124" w:lineRule="exact" w:before="20"/>
              <w:ind w:left="347" w:right="126"/>
              <w:jc w:val="center"/>
              <w:rPr>
                <w:sz w:val="12"/>
              </w:rPr>
            </w:pPr>
            <w:r>
              <w:rPr>
                <w:color w:val="231F20"/>
                <w:spacing w:val="-2"/>
                <w:w w:val="105"/>
                <w:sz w:val="12"/>
              </w:rPr>
              <w:t>UNGW4</w:t>
            </w:r>
          </w:p>
        </w:tc>
        <w:tc>
          <w:tcPr>
            <w:tcW w:w="2686" w:type="dxa"/>
          </w:tcPr>
          <w:p>
            <w:pPr>
              <w:pStyle w:val="TableParagraph"/>
              <w:rPr>
                <w:rFonts w:ascii="Times New Roman"/>
                <w:sz w:val="10"/>
              </w:rPr>
            </w:pPr>
          </w:p>
        </w:tc>
        <w:tc>
          <w:tcPr>
            <w:tcW w:w="2764" w:type="dxa"/>
          </w:tcPr>
          <w:p>
            <w:pPr>
              <w:pStyle w:val="TableParagraph"/>
              <w:spacing w:line="130" w:lineRule="exact" w:before="14"/>
              <w:ind w:left="496"/>
              <w:rPr>
                <w:sz w:val="12"/>
              </w:rPr>
            </w:pPr>
            <w:r>
              <w:rPr>
                <w:color w:val="231F20"/>
                <w:spacing w:val="-2"/>
                <w:w w:val="105"/>
                <w:sz w:val="12"/>
              </w:rPr>
              <w:t>G21AC10405</w:t>
            </w:r>
          </w:p>
        </w:tc>
        <w:tc>
          <w:tcPr>
            <w:tcW w:w="1151" w:type="dxa"/>
          </w:tcPr>
          <w:p>
            <w:pPr>
              <w:pStyle w:val="TableParagraph"/>
              <w:spacing w:line="124" w:lineRule="exact" w:before="20"/>
              <w:ind w:left="371" w:right="364"/>
              <w:jc w:val="center"/>
              <w:rPr>
                <w:sz w:val="12"/>
              </w:rPr>
            </w:pPr>
            <w:r>
              <w:rPr>
                <w:color w:val="231F20"/>
                <w:spacing w:val="-2"/>
                <w:w w:val="105"/>
                <w:sz w:val="12"/>
              </w:rPr>
              <w:t>15.980</w:t>
            </w:r>
          </w:p>
        </w:tc>
        <w:tc>
          <w:tcPr>
            <w:tcW w:w="1127" w:type="dxa"/>
            <w:tcBorders>
              <w:bottom w:val="single" w:sz="8" w:space="0" w:color="231F20"/>
            </w:tcBorders>
          </w:tcPr>
          <w:p>
            <w:pPr>
              <w:pStyle w:val="TableParagraph"/>
              <w:spacing w:line="124" w:lineRule="exact" w:before="20"/>
              <w:ind w:right="64"/>
              <w:jc w:val="right"/>
              <w:rPr>
                <w:sz w:val="12"/>
              </w:rPr>
            </w:pPr>
            <w:r>
              <w:rPr>
                <w:color w:val="231F20"/>
                <w:w w:val="104"/>
                <w:sz w:val="12"/>
              </w:rPr>
              <w:t>-</w:t>
            </w:r>
          </w:p>
        </w:tc>
        <w:tc>
          <w:tcPr>
            <w:tcW w:w="151" w:type="dxa"/>
          </w:tcPr>
          <w:p>
            <w:pPr>
              <w:pStyle w:val="TableParagraph"/>
              <w:rPr>
                <w:rFonts w:ascii="Times New Roman"/>
                <w:sz w:val="10"/>
              </w:rPr>
            </w:pPr>
          </w:p>
        </w:tc>
        <w:tc>
          <w:tcPr>
            <w:tcW w:w="1127" w:type="dxa"/>
            <w:tcBorders>
              <w:bottom w:val="single" w:sz="8" w:space="0" w:color="231F20"/>
            </w:tcBorders>
          </w:tcPr>
          <w:p>
            <w:pPr>
              <w:pStyle w:val="TableParagraph"/>
              <w:spacing w:line="124" w:lineRule="exact" w:before="20"/>
              <w:ind w:right="60"/>
              <w:jc w:val="right"/>
              <w:rPr>
                <w:sz w:val="12"/>
              </w:rPr>
            </w:pPr>
            <w:r>
              <w:rPr>
                <w:color w:val="231F20"/>
                <w:spacing w:val="-2"/>
                <w:w w:val="105"/>
                <w:sz w:val="12"/>
              </w:rPr>
              <w:t>15,762</w:t>
            </w:r>
          </w:p>
        </w:tc>
      </w:tr>
      <w:tr>
        <w:trPr>
          <w:trHeight w:val="247" w:hRule="atLeast"/>
        </w:trPr>
        <w:tc>
          <w:tcPr>
            <w:tcW w:w="4381" w:type="dxa"/>
          </w:tcPr>
          <w:p>
            <w:pPr>
              <w:pStyle w:val="TableParagraph"/>
              <w:spacing w:before="7"/>
              <w:ind w:left="202"/>
              <w:rPr>
                <w:b/>
                <w:sz w:val="12"/>
              </w:rPr>
            </w:pPr>
            <w:r>
              <w:rPr>
                <w:b/>
                <w:color w:val="231F20"/>
                <w:w w:val="105"/>
                <w:sz w:val="12"/>
              </w:rPr>
              <w:t>Total</w:t>
            </w:r>
            <w:r>
              <w:rPr>
                <w:b/>
                <w:color w:val="231F20"/>
                <w:spacing w:val="-5"/>
                <w:w w:val="105"/>
                <w:sz w:val="12"/>
              </w:rPr>
              <w:t> </w:t>
            </w:r>
            <w:r>
              <w:rPr>
                <w:b/>
                <w:color w:val="231F20"/>
                <w:w w:val="105"/>
                <w:sz w:val="12"/>
              </w:rPr>
              <w:t>Direct</w:t>
            </w:r>
            <w:r>
              <w:rPr>
                <w:b/>
                <w:color w:val="231F20"/>
                <w:spacing w:val="-4"/>
                <w:w w:val="105"/>
                <w:sz w:val="12"/>
              </w:rPr>
              <w:t> </w:t>
            </w:r>
            <w:r>
              <w:rPr>
                <w:b/>
                <w:color w:val="231F20"/>
                <w:w w:val="105"/>
                <w:sz w:val="12"/>
              </w:rPr>
              <w:t>U.S.</w:t>
            </w:r>
            <w:r>
              <w:rPr>
                <w:b/>
                <w:color w:val="231F20"/>
                <w:spacing w:val="-5"/>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4"/>
                <w:w w:val="105"/>
                <w:sz w:val="12"/>
              </w:rPr>
              <w:t> </w:t>
            </w:r>
            <w:r>
              <w:rPr>
                <w:b/>
                <w:color w:val="231F20"/>
                <w:w w:val="105"/>
                <w:sz w:val="12"/>
              </w:rPr>
              <w:t>the</w:t>
            </w:r>
            <w:r>
              <w:rPr>
                <w:b/>
                <w:color w:val="231F20"/>
                <w:spacing w:val="-5"/>
                <w:w w:val="105"/>
                <w:sz w:val="12"/>
              </w:rPr>
              <w:t> </w:t>
            </w:r>
            <w:r>
              <w:rPr>
                <w:b/>
                <w:color w:val="231F20"/>
                <w:spacing w:val="-2"/>
                <w:w w:val="105"/>
                <w:sz w:val="12"/>
              </w:rPr>
              <w:t>Interior</w:t>
            </w:r>
          </w:p>
        </w:tc>
        <w:tc>
          <w:tcPr>
            <w:tcW w:w="973" w:type="dxa"/>
          </w:tcPr>
          <w:p>
            <w:pPr>
              <w:pStyle w:val="TableParagraph"/>
              <w:rPr>
                <w:rFonts w:ascii="Times New Roman"/>
                <w:sz w:val="12"/>
              </w:rPr>
            </w:pPr>
          </w:p>
        </w:tc>
        <w:tc>
          <w:tcPr>
            <w:tcW w:w="2686" w:type="dxa"/>
          </w:tcPr>
          <w:p>
            <w:pPr>
              <w:pStyle w:val="TableParagraph"/>
              <w:rPr>
                <w:rFonts w:ascii="Times New Roman"/>
                <w:sz w:val="12"/>
              </w:rPr>
            </w:pPr>
          </w:p>
        </w:tc>
        <w:tc>
          <w:tcPr>
            <w:tcW w:w="2764" w:type="dxa"/>
          </w:tcPr>
          <w:p>
            <w:pPr>
              <w:pStyle w:val="TableParagraph"/>
              <w:rPr>
                <w:rFonts w:ascii="Times New Roman"/>
                <w:sz w:val="12"/>
              </w:rPr>
            </w:pPr>
          </w:p>
        </w:tc>
        <w:tc>
          <w:tcPr>
            <w:tcW w:w="1151" w:type="dxa"/>
          </w:tcPr>
          <w:p>
            <w:pPr>
              <w:pStyle w:val="TableParagraph"/>
              <w:rPr>
                <w:rFonts w:ascii="Times New Roman"/>
                <w:sz w:val="12"/>
              </w:rPr>
            </w:pPr>
          </w:p>
        </w:tc>
        <w:tc>
          <w:tcPr>
            <w:tcW w:w="1127" w:type="dxa"/>
            <w:tcBorders>
              <w:top w:val="single" w:sz="8" w:space="0" w:color="231F20"/>
            </w:tcBorders>
          </w:tcPr>
          <w:p>
            <w:pPr>
              <w:pStyle w:val="TableParagraph"/>
              <w:spacing w:before="7"/>
              <w:ind w:right="64"/>
              <w:jc w:val="right"/>
              <w:rPr>
                <w:b/>
                <w:sz w:val="12"/>
              </w:rPr>
            </w:pPr>
            <w:r>
              <w:rPr>
                <w:b/>
                <w:color w:val="231F20"/>
                <w:spacing w:val="-2"/>
                <w:w w:val="105"/>
                <w:sz w:val="12"/>
              </w:rPr>
              <w:t>753,943</w:t>
            </w:r>
          </w:p>
        </w:tc>
        <w:tc>
          <w:tcPr>
            <w:tcW w:w="151" w:type="dxa"/>
          </w:tcPr>
          <w:p>
            <w:pPr>
              <w:pStyle w:val="TableParagraph"/>
              <w:rPr>
                <w:rFonts w:ascii="Times New Roman"/>
                <w:sz w:val="12"/>
              </w:rPr>
            </w:pPr>
          </w:p>
        </w:tc>
        <w:tc>
          <w:tcPr>
            <w:tcW w:w="1127" w:type="dxa"/>
            <w:tcBorders>
              <w:top w:val="single" w:sz="8" w:space="0" w:color="231F20"/>
            </w:tcBorders>
          </w:tcPr>
          <w:p>
            <w:pPr>
              <w:pStyle w:val="TableParagraph"/>
              <w:spacing w:before="7"/>
              <w:ind w:right="60"/>
              <w:jc w:val="right"/>
              <w:rPr>
                <w:b/>
                <w:sz w:val="12"/>
              </w:rPr>
            </w:pPr>
            <w:r>
              <w:rPr>
                <w:b/>
                <w:color w:val="231F20"/>
                <w:spacing w:val="-2"/>
                <w:w w:val="105"/>
                <w:sz w:val="12"/>
              </w:rPr>
              <w:t>2,801,543</w:t>
            </w:r>
          </w:p>
        </w:tc>
      </w:tr>
      <w:tr>
        <w:trPr>
          <w:trHeight w:val="418" w:hRule="atLeast"/>
        </w:trPr>
        <w:tc>
          <w:tcPr>
            <w:tcW w:w="4381" w:type="dxa"/>
          </w:tcPr>
          <w:p>
            <w:pPr>
              <w:pStyle w:val="TableParagraph"/>
              <w:spacing w:before="102"/>
              <w:ind w:left="202"/>
              <w:rPr>
                <w:sz w:val="12"/>
              </w:rPr>
            </w:pPr>
            <w:r>
              <w:rPr>
                <w:color w:val="231F20"/>
                <w:sz w:val="12"/>
              </w:rPr>
              <w:t>Pass-</w:t>
            </w:r>
            <w:r>
              <w:rPr>
                <w:color w:val="231F20"/>
                <w:spacing w:val="-2"/>
                <w:w w:val="105"/>
                <w:sz w:val="12"/>
              </w:rPr>
              <w:t>through</w:t>
            </w:r>
          </w:p>
          <w:p>
            <w:pPr>
              <w:pStyle w:val="TableParagraph"/>
              <w:spacing w:line="130" w:lineRule="exact" w:before="27"/>
              <w:ind w:left="372"/>
              <w:rPr>
                <w:sz w:val="12"/>
              </w:rPr>
            </w:pPr>
            <w:r>
              <w:rPr>
                <w:color w:val="231F20"/>
                <w:w w:val="105"/>
                <w:sz w:val="12"/>
              </w:rPr>
              <w:t>Assistance</w:t>
            </w:r>
            <w:r>
              <w:rPr>
                <w:color w:val="231F20"/>
                <w:spacing w:val="-9"/>
                <w:w w:val="105"/>
                <w:sz w:val="12"/>
              </w:rPr>
              <w:t> </w:t>
            </w:r>
            <w:r>
              <w:rPr>
                <w:color w:val="231F20"/>
                <w:w w:val="105"/>
                <w:sz w:val="12"/>
              </w:rPr>
              <w:t>to</w:t>
            </w:r>
            <w:r>
              <w:rPr>
                <w:color w:val="231F20"/>
                <w:spacing w:val="-9"/>
                <w:w w:val="105"/>
                <w:sz w:val="12"/>
              </w:rPr>
              <w:t> </w:t>
            </w:r>
            <w:r>
              <w:rPr>
                <w:color w:val="231F20"/>
                <w:w w:val="105"/>
                <w:sz w:val="12"/>
              </w:rPr>
              <w:t>State</w:t>
            </w:r>
            <w:r>
              <w:rPr>
                <w:color w:val="231F20"/>
                <w:spacing w:val="-8"/>
                <w:w w:val="105"/>
                <w:sz w:val="12"/>
              </w:rPr>
              <w:t> </w:t>
            </w:r>
            <w:r>
              <w:rPr>
                <w:color w:val="231F20"/>
                <w:w w:val="105"/>
                <w:sz w:val="12"/>
              </w:rPr>
              <w:t>Water</w:t>
            </w:r>
            <w:r>
              <w:rPr>
                <w:color w:val="231F20"/>
                <w:spacing w:val="-9"/>
                <w:w w:val="105"/>
                <w:sz w:val="12"/>
              </w:rPr>
              <w:t> </w:t>
            </w:r>
            <w:r>
              <w:rPr>
                <w:color w:val="231F20"/>
                <w:w w:val="105"/>
                <w:sz w:val="12"/>
              </w:rPr>
              <w:t>Resources</w:t>
            </w:r>
            <w:r>
              <w:rPr>
                <w:color w:val="231F20"/>
                <w:spacing w:val="-8"/>
                <w:w w:val="105"/>
                <w:sz w:val="12"/>
              </w:rPr>
              <w:t> </w:t>
            </w:r>
            <w:r>
              <w:rPr>
                <w:color w:val="231F20"/>
                <w:w w:val="105"/>
                <w:sz w:val="12"/>
              </w:rPr>
              <w:t>Research</w:t>
            </w:r>
            <w:r>
              <w:rPr>
                <w:color w:val="231F20"/>
                <w:spacing w:val="-9"/>
                <w:w w:val="105"/>
                <w:sz w:val="12"/>
              </w:rPr>
              <w:t> </w:t>
            </w:r>
            <w:r>
              <w:rPr>
                <w:color w:val="231F20"/>
                <w:spacing w:val="-2"/>
                <w:w w:val="105"/>
                <w:sz w:val="12"/>
              </w:rPr>
              <w:t>Institutes</w:t>
            </w:r>
          </w:p>
        </w:tc>
        <w:tc>
          <w:tcPr>
            <w:tcW w:w="973" w:type="dxa"/>
          </w:tcPr>
          <w:p>
            <w:pPr>
              <w:pStyle w:val="TableParagraph"/>
              <w:rPr>
                <w:b/>
                <w:sz w:val="14"/>
              </w:rPr>
            </w:pPr>
          </w:p>
          <w:p>
            <w:pPr>
              <w:pStyle w:val="TableParagraph"/>
              <w:spacing w:line="124" w:lineRule="exact" w:before="112"/>
              <w:ind w:left="391" w:right="168"/>
              <w:jc w:val="center"/>
              <w:rPr>
                <w:sz w:val="12"/>
              </w:rPr>
            </w:pPr>
            <w:r>
              <w:rPr>
                <w:color w:val="231F20"/>
                <w:spacing w:val="-4"/>
                <w:w w:val="105"/>
                <w:sz w:val="12"/>
              </w:rPr>
              <w:t>MIGM</w:t>
            </w:r>
          </w:p>
        </w:tc>
        <w:tc>
          <w:tcPr>
            <w:tcW w:w="2686" w:type="dxa"/>
          </w:tcPr>
          <w:p>
            <w:pPr>
              <w:pStyle w:val="TableParagraph"/>
              <w:rPr>
                <w:b/>
                <w:sz w:val="14"/>
              </w:rPr>
            </w:pPr>
          </w:p>
          <w:p>
            <w:pPr>
              <w:pStyle w:val="TableParagraph"/>
              <w:spacing w:line="130" w:lineRule="exact" w:before="106"/>
              <w:ind w:right="525"/>
              <w:jc w:val="right"/>
              <w:rPr>
                <w:sz w:val="12"/>
              </w:rPr>
            </w:pPr>
            <w:r>
              <w:rPr>
                <w:color w:val="231F20"/>
                <w:spacing w:val="-2"/>
                <w:w w:val="105"/>
                <w:sz w:val="12"/>
              </w:rPr>
              <w:t>Water</w:t>
            </w:r>
            <w:r>
              <w:rPr>
                <w:color w:val="231F20"/>
                <w:spacing w:val="5"/>
                <w:w w:val="105"/>
                <w:sz w:val="12"/>
              </w:rPr>
              <w:t> </w:t>
            </w:r>
            <w:r>
              <w:rPr>
                <w:color w:val="231F20"/>
                <w:spacing w:val="-2"/>
                <w:w w:val="105"/>
                <w:sz w:val="12"/>
              </w:rPr>
              <w:t>Resources</w:t>
            </w:r>
            <w:r>
              <w:rPr>
                <w:color w:val="231F20"/>
                <w:spacing w:val="5"/>
                <w:w w:val="105"/>
                <w:sz w:val="12"/>
              </w:rPr>
              <w:t> </w:t>
            </w:r>
            <w:r>
              <w:rPr>
                <w:color w:val="231F20"/>
                <w:spacing w:val="-2"/>
                <w:w w:val="105"/>
                <w:sz w:val="12"/>
              </w:rPr>
              <w:t>Research</w:t>
            </w:r>
            <w:r>
              <w:rPr>
                <w:color w:val="231F20"/>
                <w:spacing w:val="5"/>
                <w:w w:val="105"/>
                <w:sz w:val="12"/>
              </w:rPr>
              <w:t> </w:t>
            </w:r>
            <w:r>
              <w:rPr>
                <w:color w:val="231F20"/>
                <w:spacing w:val="-2"/>
                <w:w w:val="105"/>
                <w:sz w:val="12"/>
              </w:rPr>
              <w:t>Institute</w:t>
            </w:r>
          </w:p>
        </w:tc>
        <w:tc>
          <w:tcPr>
            <w:tcW w:w="2764" w:type="dxa"/>
          </w:tcPr>
          <w:p>
            <w:pPr>
              <w:pStyle w:val="TableParagraph"/>
              <w:rPr>
                <w:b/>
                <w:sz w:val="14"/>
              </w:rPr>
            </w:pPr>
          </w:p>
          <w:p>
            <w:pPr>
              <w:pStyle w:val="TableParagraph"/>
              <w:spacing w:line="130" w:lineRule="exact" w:before="106"/>
              <w:ind w:left="496"/>
              <w:rPr>
                <w:sz w:val="12"/>
              </w:rPr>
            </w:pPr>
            <w:r>
              <w:rPr>
                <w:color w:val="231F20"/>
                <w:spacing w:val="-2"/>
                <w:w w:val="105"/>
                <w:sz w:val="12"/>
              </w:rPr>
              <w:t>Q02304</w:t>
            </w:r>
          </w:p>
        </w:tc>
        <w:tc>
          <w:tcPr>
            <w:tcW w:w="1151" w:type="dxa"/>
          </w:tcPr>
          <w:p>
            <w:pPr>
              <w:pStyle w:val="TableParagraph"/>
              <w:rPr>
                <w:b/>
                <w:sz w:val="14"/>
              </w:rPr>
            </w:pPr>
          </w:p>
          <w:p>
            <w:pPr>
              <w:pStyle w:val="TableParagraph"/>
              <w:spacing w:line="124" w:lineRule="exact" w:before="112"/>
              <w:ind w:left="371" w:right="364"/>
              <w:jc w:val="center"/>
              <w:rPr>
                <w:sz w:val="12"/>
              </w:rPr>
            </w:pPr>
            <w:r>
              <w:rPr>
                <w:color w:val="231F20"/>
                <w:spacing w:val="-2"/>
                <w:w w:val="105"/>
                <w:sz w:val="12"/>
              </w:rPr>
              <w:t>15.805</w:t>
            </w:r>
          </w:p>
        </w:tc>
        <w:tc>
          <w:tcPr>
            <w:tcW w:w="1127" w:type="dxa"/>
            <w:tcBorders>
              <w:bottom w:val="single" w:sz="8" w:space="0" w:color="231F20"/>
            </w:tcBorders>
          </w:tcPr>
          <w:p>
            <w:pPr>
              <w:pStyle w:val="TableParagraph"/>
              <w:rPr>
                <w:b/>
                <w:sz w:val="14"/>
              </w:rPr>
            </w:pPr>
          </w:p>
          <w:p>
            <w:pPr>
              <w:pStyle w:val="TableParagraph"/>
              <w:spacing w:line="124" w:lineRule="exact" w:before="112"/>
              <w:ind w:right="64"/>
              <w:jc w:val="right"/>
              <w:rPr>
                <w:sz w:val="12"/>
              </w:rPr>
            </w:pPr>
            <w:r>
              <w:rPr>
                <w:color w:val="231F20"/>
                <w:w w:val="104"/>
                <w:sz w:val="12"/>
              </w:rPr>
              <w:t>-</w:t>
            </w:r>
          </w:p>
        </w:tc>
        <w:tc>
          <w:tcPr>
            <w:tcW w:w="151" w:type="dxa"/>
          </w:tcPr>
          <w:p>
            <w:pPr>
              <w:pStyle w:val="TableParagraph"/>
              <w:rPr>
                <w:rFonts w:ascii="Times New Roman"/>
                <w:sz w:val="12"/>
              </w:rPr>
            </w:pPr>
          </w:p>
        </w:tc>
        <w:tc>
          <w:tcPr>
            <w:tcW w:w="1127" w:type="dxa"/>
            <w:tcBorders>
              <w:bottom w:val="single" w:sz="8" w:space="0" w:color="231F20"/>
            </w:tcBorders>
          </w:tcPr>
          <w:p>
            <w:pPr>
              <w:pStyle w:val="TableParagraph"/>
              <w:rPr>
                <w:b/>
                <w:sz w:val="14"/>
              </w:rPr>
            </w:pPr>
          </w:p>
          <w:p>
            <w:pPr>
              <w:pStyle w:val="TableParagraph"/>
              <w:spacing w:line="124" w:lineRule="exact" w:before="112"/>
              <w:ind w:right="60"/>
              <w:jc w:val="right"/>
              <w:rPr>
                <w:sz w:val="12"/>
              </w:rPr>
            </w:pPr>
            <w:r>
              <w:rPr>
                <w:color w:val="231F20"/>
                <w:spacing w:val="-2"/>
                <w:w w:val="105"/>
                <w:sz w:val="12"/>
              </w:rPr>
              <w:t>13,552</w:t>
            </w:r>
          </w:p>
        </w:tc>
      </w:tr>
      <w:tr>
        <w:trPr>
          <w:trHeight w:val="323" w:hRule="atLeast"/>
        </w:trPr>
        <w:tc>
          <w:tcPr>
            <w:tcW w:w="4381" w:type="dxa"/>
          </w:tcPr>
          <w:p>
            <w:pPr>
              <w:pStyle w:val="TableParagraph"/>
              <w:spacing w:before="6"/>
              <w:rPr>
                <w:b/>
                <w:sz w:val="15"/>
              </w:rPr>
            </w:pPr>
          </w:p>
          <w:p>
            <w:pPr>
              <w:pStyle w:val="TableParagraph"/>
              <w:spacing w:line="124" w:lineRule="exact"/>
              <w:ind w:left="202"/>
              <w:rPr>
                <w:b/>
                <w:sz w:val="12"/>
              </w:rPr>
            </w:pPr>
            <w:r>
              <w:rPr>
                <w:b/>
                <w:color w:val="231F20"/>
                <w:w w:val="105"/>
                <w:sz w:val="12"/>
              </w:rPr>
              <w:t>Total</w:t>
            </w:r>
            <w:r>
              <w:rPr>
                <w:b/>
                <w:color w:val="231F20"/>
                <w:spacing w:val="-5"/>
                <w:w w:val="105"/>
                <w:sz w:val="12"/>
              </w:rPr>
              <w:t> </w:t>
            </w:r>
            <w:r>
              <w:rPr>
                <w:b/>
                <w:color w:val="231F20"/>
                <w:w w:val="105"/>
                <w:sz w:val="12"/>
              </w:rPr>
              <w:t>Pass-through</w:t>
            </w:r>
            <w:r>
              <w:rPr>
                <w:b/>
                <w:color w:val="231F20"/>
                <w:spacing w:val="-5"/>
                <w:w w:val="105"/>
                <w:sz w:val="12"/>
              </w:rPr>
              <w:t> </w:t>
            </w:r>
            <w:r>
              <w:rPr>
                <w:b/>
                <w:color w:val="231F20"/>
                <w:w w:val="105"/>
                <w:sz w:val="12"/>
              </w:rPr>
              <w:t>U.S.</w:t>
            </w:r>
            <w:r>
              <w:rPr>
                <w:b/>
                <w:color w:val="231F20"/>
                <w:spacing w:val="-5"/>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5"/>
                <w:w w:val="105"/>
                <w:sz w:val="12"/>
              </w:rPr>
              <w:t> </w:t>
            </w:r>
            <w:r>
              <w:rPr>
                <w:b/>
                <w:color w:val="231F20"/>
                <w:w w:val="105"/>
                <w:sz w:val="12"/>
              </w:rPr>
              <w:t>the</w:t>
            </w:r>
            <w:r>
              <w:rPr>
                <w:b/>
                <w:color w:val="231F20"/>
                <w:spacing w:val="-5"/>
                <w:w w:val="105"/>
                <w:sz w:val="12"/>
              </w:rPr>
              <w:t> </w:t>
            </w:r>
            <w:r>
              <w:rPr>
                <w:b/>
                <w:color w:val="231F20"/>
                <w:spacing w:val="-2"/>
                <w:w w:val="105"/>
                <w:sz w:val="12"/>
              </w:rPr>
              <w:t>Interior</w:t>
            </w:r>
          </w:p>
        </w:tc>
        <w:tc>
          <w:tcPr>
            <w:tcW w:w="973" w:type="dxa"/>
          </w:tcPr>
          <w:p>
            <w:pPr>
              <w:pStyle w:val="TableParagraph"/>
              <w:rPr>
                <w:rFonts w:ascii="Times New Roman"/>
                <w:sz w:val="12"/>
              </w:rPr>
            </w:pPr>
          </w:p>
        </w:tc>
        <w:tc>
          <w:tcPr>
            <w:tcW w:w="2686" w:type="dxa"/>
          </w:tcPr>
          <w:p>
            <w:pPr>
              <w:pStyle w:val="TableParagraph"/>
              <w:rPr>
                <w:rFonts w:ascii="Times New Roman"/>
                <w:sz w:val="12"/>
              </w:rPr>
            </w:pPr>
          </w:p>
        </w:tc>
        <w:tc>
          <w:tcPr>
            <w:tcW w:w="2764" w:type="dxa"/>
          </w:tcPr>
          <w:p>
            <w:pPr>
              <w:pStyle w:val="TableParagraph"/>
              <w:rPr>
                <w:rFonts w:ascii="Times New Roman"/>
                <w:sz w:val="12"/>
              </w:rPr>
            </w:pPr>
          </w:p>
        </w:tc>
        <w:tc>
          <w:tcPr>
            <w:tcW w:w="1151" w:type="dxa"/>
          </w:tcPr>
          <w:p>
            <w:pPr>
              <w:pStyle w:val="TableParagraph"/>
              <w:rPr>
                <w:rFonts w:ascii="Times New Roman"/>
                <w:sz w:val="12"/>
              </w:rPr>
            </w:pPr>
          </w:p>
        </w:tc>
        <w:tc>
          <w:tcPr>
            <w:tcW w:w="1127" w:type="dxa"/>
            <w:tcBorders>
              <w:top w:val="single" w:sz="8" w:space="0" w:color="231F20"/>
              <w:bottom w:val="single" w:sz="8" w:space="0" w:color="231F20"/>
            </w:tcBorders>
          </w:tcPr>
          <w:p>
            <w:pPr>
              <w:pStyle w:val="TableParagraph"/>
              <w:spacing w:before="6"/>
              <w:rPr>
                <w:b/>
                <w:sz w:val="15"/>
              </w:rPr>
            </w:pPr>
          </w:p>
          <w:p>
            <w:pPr>
              <w:pStyle w:val="TableParagraph"/>
              <w:spacing w:line="124" w:lineRule="exact"/>
              <w:ind w:right="64"/>
              <w:jc w:val="right"/>
              <w:rPr>
                <w:b/>
                <w:sz w:val="12"/>
              </w:rPr>
            </w:pPr>
            <w:r>
              <w:rPr>
                <w:b/>
                <w:color w:val="231F20"/>
                <w:w w:val="104"/>
                <w:sz w:val="12"/>
              </w:rPr>
              <w:t>-</w:t>
            </w:r>
          </w:p>
        </w:tc>
        <w:tc>
          <w:tcPr>
            <w:tcW w:w="151" w:type="dxa"/>
          </w:tcPr>
          <w:p>
            <w:pPr>
              <w:pStyle w:val="TableParagraph"/>
              <w:rPr>
                <w:rFonts w:ascii="Times New Roman"/>
                <w:sz w:val="12"/>
              </w:rPr>
            </w:pPr>
          </w:p>
        </w:tc>
        <w:tc>
          <w:tcPr>
            <w:tcW w:w="1127" w:type="dxa"/>
            <w:tcBorders>
              <w:top w:val="single" w:sz="8" w:space="0" w:color="231F20"/>
              <w:bottom w:val="single" w:sz="8" w:space="0" w:color="231F20"/>
            </w:tcBorders>
          </w:tcPr>
          <w:p>
            <w:pPr>
              <w:pStyle w:val="TableParagraph"/>
              <w:spacing w:before="6"/>
              <w:rPr>
                <w:b/>
                <w:sz w:val="15"/>
              </w:rPr>
            </w:pPr>
          </w:p>
          <w:p>
            <w:pPr>
              <w:pStyle w:val="TableParagraph"/>
              <w:spacing w:line="124" w:lineRule="exact"/>
              <w:ind w:right="60"/>
              <w:jc w:val="right"/>
              <w:rPr>
                <w:b/>
                <w:sz w:val="12"/>
              </w:rPr>
            </w:pPr>
            <w:r>
              <w:rPr>
                <w:b/>
                <w:color w:val="231F20"/>
                <w:spacing w:val="-2"/>
                <w:w w:val="105"/>
                <w:sz w:val="12"/>
              </w:rPr>
              <w:t>13,552</w:t>
            </w:r>
          </w:p>
        </w:tc>
      </w:tr>
      <w:tr>
        <w:trPr>
          <w:trHeight w:val="323" w:hRule="atLeast"/>
        </w:trPr>
        <w:tc>
          <w:tcPr>
            <w:tcW w:w="4381" w:type="dxa"/>
          </w:tcPr>
          <w:p>
            <w:pPr>
              <w:pStyle w:val="TableParagraph"/>
              <w:spacing w:before="6"/>
              <w:rPr>
                <w:b/>
                <w:sz w:val="15"/>
              </w:rPr>
            </w:pPr>
          </w:p>
          <w:p>
            <w:pPr>
              <w:pStyle w:val="TableParagraph"/>
              <w:spacing w:line="124" w:lineRule="exact"/>
              <w:ind w:left="32"/>
              <w:rPr>
                <w:b/>
                <w:sz w:val="12"/>
              </w:rPr>
            </w:pPr>
            <w:r>
              <w:rPr>
                <w:b/>
                <w:color w:val="231F20"/>
                <w:w w:val="105"/>
                <w:sz w:val="12"/>
              </w:rPr>
              <w:t>Total</w:t>
            </w:r>
            <w:r>
              <w:rPr>
                <w:b/>
                <w:color w:val="231F20"/>
                <w:spacing w:val="-5"/>
                <w:w w:val="105"/>
                <w:sz w:val="12"/>
              </w:rPr>
              <w:t> </w:t>
            </w:r>
            <w:r>
              <w:rPr>
                <w:b/>
                <w:color w:val="231F20"/>
                <w:w w:val="105"/>
                <w:sz w:val="12"/>
              </w:rPr>
              <w:t>U.S.</w:t>
            </w:r>
            <w:r>
              <w:rPr>
                <w:b/>
                <w:color w:val="231F20"/>
                <w:spacing w:val="-4"/>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4"/>
                <w:w w:val="105"/>
                <w:sz w:val="12"/>
              </w:rPr>
              <w:t> </w:t>
            </w:r>
            <w:r>
              <w:rPr>
                <w:b/>
                <w:color w:val="231F20"/>
                <w:w w:val="105"/>
                <w:sz w:val="12"/>
              </w:rPr>
              <w:t>the</w:t>
            </w:r>
            <w:r>
              <w:rPr>
                <w:b/>
                <w:color w:val="231F20"/>
                <w:spacing w:val="-5"/>
                <w:w w:val="105"/>
                <w:sz w:val="12"/>
              </w:rPr>
              <w:t> </w:t>
            </w:r>
            <w:r>
              <w:rPr>
                <w:b/>
                <w:color w:val="231F20"/>
                <w:spacing w:val="-2"/>
                <w:w w:val="105"/>
                <w:sz w:val="12"/>
              </w:rPr>
              <w:t>Interior</w:t>
            </w:r>
          </w:p>
        </w:tc>
        <w:tc>
          <w:tcPr>
            <w:tcW w:w="973" w:type="dxa"/>
          </w:tcPr>
          <w:p>
            <w:pPr>
              <w:pStyle w:val="TableParagraph"/>
              <w:rPr>
                <w:rFonts w:ascii="Times New Roman"/>
                <w:sz w:val="12"/>
              </w:rPr>
            </w:pPr>
          </w:p>
        </w:tc>
        <w:tc>
          <w:tcPr>
            <w:tcW w:w="2686" w:type="dxa"/>
          </w:tcPr>
          <w:p>
            <w:pPr>
              <w:pStyle w:val="TableParagraph"/>
              <w:rPr>
                <w:rFonts w:ascii="Times New Roman"/>
                <w:sz w:val="12"/>
              </w:rPr>
            </w:pPr>
          </w:p>
        </w:tc>
        <w:tc>
          <w:tcPr>
            <w:tcW w:w="2764" w:type="dxa"/>
          </w:tcPr>
          <w:p>
            <w:pPr>
              <w:pStyle w:val="TableParagraph"/>
              <w:rPr>
                <w:rFonts w:ascii="Times New Roman"/>
                <w:sz w:val="12"/>
              </w:rPr>
            </w:pPr>
          </w:p>
        </w:tc>
        <w:tc>
          <w:tcPr>
            <w:tcW w:w="1151" w:type="dxa"/>
          </w:tcPr>
          <w:p>
            <w:pPr>
              <w:pStyle w:val="TableParagraph"/>
              <w:rPr>
                <w:rFonts w:ascii="Times New Roman"/>
                <w:sz w:val="12"/>
              </w:rPr>
            </w:pPr>
          </w:p>
        </w:tc>
        <w:tc>
          <w:tcPr>
            <w:tcW w:w="1127" w:type="dxa"/>
            <w:tcBorders>
              <w:top w:val="single" w:sz="8" w:space="0" w:color="231F20"/>
              <w:bottom w:val="single" w:sz="8" w:space="0" w:color="231F20"/>
            </w:tcBorders>
          </w:tcPr>
          <w:p>
            <w:pPr>
              <w:pStyle w:val="TableParagraph"/>
              <w:spacing w:before="6"/>
              <w:rPr>
                <w:b/>
                <w:sz w:val="15"/>
              </w:rPr>
            </w:pPr>
          </w:p>
          <w:p>
            <w:pPr>
              <w:pStyle w:val="TableParagraph"/>
              <w:spacing w:line="124" w:lineRule="exact"/>
              <w:ind w:right="64"/>
              <w:jc w:val="right"/>
              <w:rPr>
                <w:b/>
                <w:sz w:val="12"/>
              </w:rPr>
            </w:pPr>
            <w:r>
              <w:rPr>
                <w:b/>
                <w:color w:val="231F20"/>
                <w:spacing w:val="-2"/>
                <w:w w:val="105"/>
                <w:sz w:val="12"/>
              </w:rPr>
              <w:t>753,943</w:t>
            </w:r>
          </w:p>
        </w:tc>
        <w:tc>
          <w:tcPr>
            <w:tcW w:w="151" w:type="dxa"/>
          </w:tcPr>
          <w:p>
            <w:pPr>
              <w:pStyle w:val="TableParagraph"/>
              <w:rPr>
                <w:rFonts w:ascii="Times New Roman"/>
                <w:sz w:val="12"/>
              </w:rPr>
            </w:pPr>
          </w:p>
        </w:tc>
        <w:tc>
          <w:tcPr>
            <w:tcW w:w="1127" w:type="dxa"/>
            <w:tcBorders>
              <w:top w:val="single" w:sz="8" w:space="0" w:color="231F20"/>
              <w:bottom w:val="single" w:sz="8" w:space="0" w:color="231F20"/>
            </w:tcBorders>
          </w:tcPr>
          <w:p>
            <w:pPr>
              <w:pStyle w:val="TableParagraph"/>
              <w:spacing w:before="6"/>
              <w:rPr>
                <w:b/>
                <w:sz w:val="15"/>
              </w:rPr>
            </w:pPr>
          </w:p>
          <w:p>
            <w:pPr>
              <w:pStyle w:val="TableParagraph"/>
              <w:spacing w:line="124" w:lineRule="exact"/>
              <w:ind w:right="60"/>
              <w:jc w:val="right"/>
              <w:rPr>
                <w:b/>
                <w:sz w:val="12"/>
              </w:rPr>
            </w:pPr>
            <w:r>
              <w:rPr>
                <w:b/>
                <w:color w:val="231F20"/>
                <w:spacing w:val="-2"/>
                <w:w w:val="105"/>
                <w:sz w:val="12"/>
              </w:rPr>
              <w:t>2,815,095</w:t>
            </w:r>
          </w:p>
        </w:tc>
      </w:tr>
    </w:tbl>
    <w:p>
      <w:pPr>
        <w:spacing w:after="0" w:line="124" w:lineRule="exact"/>
        <w:jc w:val="right"/>
        <w:rPr>
          <w:sz w:val="12"/>
        </w:rPr>
        <w:sectPr>
          <w:headerReference w:type="default" r:id="rId70"/>
          <w:footerReference w:type="default" r:id="rId71"/>
          <w:pgSz w:w="15840" w:h="12240" w:orient="landscape"/>
          <w:pgMar w:header="934" w:footer="1097" w:top="1840" w:bottom="1280" w:left="560" w:right="560"/>
        </w:sectPr>
      </w:pPr>
    </w:p>
    <w:p>
      <w:pPr>
        <w:pStyle w:val="BodyText"/>
        <w:spacing w:before="2"/>
        <w:rPr>
          <w:b/>
          <w:sz w:val="24"/>
        </w:rPr>
      </w:pPr>
    </w:p>
    <w:p>
      <w:pPr>
        <w:pStyle w:val="BodyText"/>
        <w:spacing w:line="37" w:lineRule="exact"/>
        <w:ind w:left="169"/>
        <w:rPr>
          <w:sz w:val="3"/>
        </w:rPr>
      </w:pPr>
      <w:r>
        <w:rPr>
          <w:position w:val="0"/>
          <w:sz w:val="3"/>
        </w:rPr>
        <w:pict>
          <v:group style="width:720.95pt;height:1.9pt;mso-position-horizontal-relative:char;mso-position-vertical-relative:line" id="docshapegroup559" coordorigin="0,0" coordsize="14419,38">
            <v:rect style="position:absolute;left:0;top:0;width:14419;height:38" id="docshape560" filled="true" fillcolor="#231f20" stroked="false">
              <v:fill type="solid"/>
            </v:rect>
          </v:group>
        </w:pict>
      </w:r>
      <w:r>
        <w:rPr>
          <w:position w:val="0"/>
          <w:sz w:val="3"/>
        </w:rPr>
      </w:r>
    </w:p>
    <w:p>
      <w:pPr>
        <w:pStyle w:val="BodyText"/>
        <w:spacing w:before="1" w:after="1"/>
        <w:rPr>
          <w:b/>
          <w:sz w:val="18"/>
        </w:rPr>
      </w:pP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7"/>
        <w:gridCol w:w="914"/>
        <w:gridCol w:w="2915"/>
        <w:gridCol w:w="2622"/>
        <w:gridCol w:w="1087"/>
        <w:gridCol w:w="1132"/>
        <w:gridCol w:w="153"/>
        <w:gridCol w:w="1147"/>
      </w:tblGrid>
      <w:tr>
        <w:trPr>
          <w:trHeight w:val="511" w:hRule="atLeast"/>
        </w:trPr>
        <w:tc>
          <w:tcPr>
            <w:tcW w:w="4457" w:type="dxa"/>
            <w:tcBorders>
              <w:bottom w:val="single" w:sz="18" w:space="0" w:color="231F20"/>
            </w:tcBorders>
          </w:tcPr>
          <w:p>
            <w:pPr>
              <w:pStyle w:val="TableParagraph"/>
              <w:rPr>
                <w:b/>
                <w:sz w:val="14"/>
              </w:rPr>
            </w:pPr>
          </w:p>
          <w:p>
            <w:pPr>
              <w:pStyle w:val="TableParagraph"/>
              <w:spacing w:before="3"/>
              <w:rPr>
                <w:b/>
                <w:sz w:val="17"/>
              </w:rPr>
            </w:pPr>
          </w:p>
          <w:p>
            <w:pPr>
              <w:pStyle w:val="TableParagraph"/>
              <w:spacing w:line="131" w:lineRule="exact" w:before="1"/>
              <w:ind w:left="33"/>
              <w:rPr>
                <w:b/>
                <w:sz w:val="12"/>
              </w:rPr>
            </w:pPr>
            <w:r>
              <w:rPr>
                <w:b/>
                <w:color w:val="231F20"/>
                <w:spacing w:val="-2"/>
                <w:w w:val="105"/>
                <w:sz w:val="12"/>
              </w:rPr>
              <w:t>Federal</w:t>
            </w:r>
            <w:r>
              <w:rPr>
                <w:b/>
                <w:color w:val="231F20"/>
                <w:spacing w:val="4"/>
                <w:w w:val="105"/>
                <w:sz w:val="12"/>
              </w:rPr>
              <w:t> </w:t>
            </w:r>
            <w:r>
              <w:rPr>
                <w:b/>
                <w:color w:val="231F20"/>
                <w:spacing w:val="-2"/>
                <w:w w:val="105"/>
                <w:sz w:val="12"/>
              </w:rPr>
              <w:t>Grantor/Program</w:t>
            </w:r>
            <w:r>
              <w:rPr>
                <w:b/>
                <w:color w:val="231F20"/>
                <w:spacing w:val="6"/>
                <w:w w:val="105"/>
                <w:sz w:val="12"/>
              </w:rPr>
              <w:t> </w:t>
            </w:r>
            <w:r>
              <w:rPr>
                <w:b/>
                <w:color w:val="231F20"/>
                <w:spacing w:val="-2"/>
                <w:w w:val="105"/>
                <w:sz w:val="12"/>
              </w:rPr>
              <w:t>Title</w:t>
            </w:r>
          </w:p>
        </w:tc>
        <w:tc>
          <w:tcPr>
            <w:tcW w:w="914" w:type="dxa"/>
            <w:tcBorders>
              <w:bottom w:val="single" w:sz="18" w:space="0" w:color="231F20"/>
            </w:tcBorders>
          </w:tcPr>
          <w:p>
            <w:pPr>
              <w:pStyle w:val="TableParagraph"/>
              <w:spacing w:before="9"/>
              <w:rPr>
                <w:b/>
                <w:sz w:val="12"/>
              </w:rPr>
            </w:pPr>
          </w:p>
          <w:p>
            <w:pPr>
              <w:pStyle w:val="TableParagraph"/>
              <w:spacing w:line="160" w:lineRule="atLeast"/>
              <w:ind w:left="297" w:right="132" w:firstLine="63"/>
              <w:rPr>
                <w:b/>
                <w:sz w:val="12"/>
              </w:rPr>
            </w:pPr>
            <w:r>
              <w:rPr>
                <w:b/>
                <w:color w:val="231F20"/>
                <w:spacing w:val="-4"/>
                <w:w w:val="105"/>
                <w:sz w:val="12"/>
              </w:rPr>
              <w:t>Award</w:t>
            </w:r>
            <w:r>
              <w:rPr>
                <w:b/>
                <w:color w:val="231F20"/>
                <w:spacing w:val="40"/>
                <w:w w:val="105"/>
                <w:sz w:val="12"/>
              </w:rPr>
              <w:t> </w:t>
            </w:r>
            <w:r>
              <w:rPr>
                <w:b/>
                <w:color w:val="231F20"/>
                <w:spacing w:val="-2"/>
                <w:w w:val="105"/>
                <w:sz w:val="12"/>
              </w:rPr>
              <w:t>Number</w:t>
            </w:r>
          </w:p>
        </w:tc>
        <w:tc>
          <w:tcPr>
            <w:tcW w:w="2915" w:type="dxa"/>
            <w:tcBorders>
              <w:bottom w:val="single" w:sz="18" w:space="0" w:color="231F20"/>
            </w:tcBorders>
          </w:tcPr>
          <w:p>
            <w:pPr>
              <w:pStyle w:val="TableParagraph"/>
              <w:rPr>
                <w:b/>
                <w:sz w:val="14"/>
              </w:rPr>
            </w:pPr>
          </w:p>
          <w:p>
            <w:pPr>
              <w:pStyle w:val="TableParagraph"/>
              <w:spacing w:before="2"/>
              <w:rPr>
                <w:b/>
                <w:sz w:val="15"/>
              </w:rPr>
            </w:pPr>
          </w:p>
          <w:p>
            <w:pPr>
              <w:pStyle w:val="TableParagraph"/>
              <w:spacing w:before="1"/>
              <w:ind w:left="975"/>
              <w:rPr>
                <w:b/>
                <w:sz w:val="12"/>
              </w:rPr>
            </w:pPr>
            <w:r>
              <w:rPr>
                <w:b/>
                <w:color w:val="231F20"/>
                <w:sz w:val="12"/>
              </w:rPr>
              <w:t>Pass-Through</w:t>
            </w:r>
            <w:r>
              <w:rPr>
                <w:b/>
                <w:color w:val="231F20"/>
                <w:spacing w:val="23"/>
                <w:sz w:val="12"/>
              </w:rPr>
              <w:t> </w:t>
            </w:r>
            <w:r>
              <w:rPr>
                <w:b/>
                <w:color w:val="231F20"/>
                <w:spacing w:val="-2"/>
                <w:sz w:val="12"/>
              </w:rPr>
              <w:t>Entity</w:t>
            </w:r>
          </w:p>
        </w:tc>
        <w:tc>
          <w:tcPr>
            <w:tcW w:w="2622" w:type="dxa"/>
            <w:tcBorders>
              <w:bottom w:val="single" w:sz="18" w:space="0" w:color="231F20"/>
            </w:tcBorders>
          </w:tcPr>
          <w:p>
            <w:pPr>
              <w:pStyle w:val="TableParagraph"/>
              <w:spacing w:before="9"/>
              <w:rPr>
                <w:b/>
                <w:sz w:val="12"/>
              </w:rPr>
            </w:pPr>
          </w:p>
          <w:p>
            <w:pPr>
              <w:pStyle w:val="TableParagraph"/>
              <w:spacing w:line="160" w:lineRule="atLeast"/>
              <w:ind w:left="811" w:right="290" w:hanging="287"/>
              <w:rPr>
                <w:b/>
                <w:sz w:val="12"/>
              </w:rPr>
            </w:pPr>
            <w:r>
              <w:rPr>
                <w:b/>
                <w:color w:val="231F20"/>
                <w:w w:val="105"/>
                <w:sz w:val="12"/>
              </w:rPr>
              <w:t>Funding</w:t>
            </w:r>
            <w:r>
              <w:rPr>
                <w:b/>
                <w:color w:val="231F20"/>
                <w:spacing w:val="-9"/>
                <w:w w:val="105"/>
                <w:sz w:val="12"/>
              </w:rPr>
              <w:t> </w:t>
            </w:r>
            <w:r>
              <w:rPr>
                <w:b/>
                <w:color w:val="231F20"/>
                <w:w w:val="105"/>
                <w:sz w:val="12"/>
              </w:rPr>
              <w:t>Agency</w:t>
            </w:r>
            <w:r>
              <w:rPr>
                <w:b/>
                <w:color w:val="231F20"/>
                <w:spacing w:val="-9"/>
                <w:w w:val="105"/>
                <w:sz w:val="12"/>
              </w:rPr>
              <w:t> </w:t>
            </w:r>
            <w:r>
              <w:rPr>
                <w:b/>
                <w:color w:val="231F20"/>
                <w:w w:val="105"/>
                <w:sz w:val="12"/>
              </w:rPr>
              <w:t>Identification</w:t>
            </w:r>
            <w:r>
              <w:rPr>
                <w:b/>
                <w:color w:val="231F20"/>
                <w:spacing w:val="40"/>
                <w:w w:val="105"/>
                <w:sz w:val="12"/>
              </w:rPr>
              <w:t> </w:t>
            </w:r>
            <w:r>
              <w:rPr>
                <w:b/>
                <w:color w:val="231F20"/>
                <w:w w:val="105"/>
                <w:sz w:val="12"/>
              </w:rPr>
              <w:t>Number/Contract</w:t>
            </w:r>
            <w:r>
              <w:rPr>
                <w:b/>
                <w:color w:val="231F20"/>
                <w:spacing w:val="-5"/>
                <w:w w:val="105"/>
                <w:sz w:val="12"/>
              </w:rPr>
              <w:t> </w:t>
            </w:r>
            <w:r>
              <w:rPr>
                <w:b/>
                <w:color w:val="231F20"/>
                <w:w w:val="105"/>
                <w:sz w:val="12"/>
              </w:rPr>
              <w:t>ID</w:t>
            </w:r>
          </w:p>
        </w:tc>
        <w:tc>
          <w:tcPr>
            <w:tcW w:w="1087" w:type="dxa"/>
            <w:tcBorders>
              <w:bottom w:val="single" w:sz="18" w:space="0" w:color="231F20"/>
            </w:tcBorders>
          </w:tcPr>
          <w:p>
            <w:pPr>
              <w:pStyle w:val="TableParagraph"/>
              <w:spacing w:before="1"/>
              <w:ind w:left="309" w:hanging="125"/>
              <w:rPr>
                <w:b/>
                <w:sz w:val="12"/>
              </w:rPr>
            </w:pPr>
            <w:r>
              <w:rPr>
                <w:b/>
                <w:color w:val="231F20"/>
                <w:spacing w:val="-2"/>
                <w:w w:val="105"/>
                <w:sz w:val="12"/>
              </w:rPr>
              <w:t>Assistance</w:t>
            </w:r>
          </w:p>
          <w:p>
            <w:pPr>
              <w:pStyle w:val="TableParagraph"/>
              <w:spacing w:line="160" w:lineRule="atLeast" w:before="8"/>
              <w:ind w:left="278" w:right="324" w:firstLine="31"/>
              <w:rPr>
                <w:b/>
                <w:sz w:val="12"/>
              </w:rPr>
            </w:pPr>
            <w:r>
              <w:rPr>
                <w:b/>
                <w:color w:val="231F20"/>
                <w:spacing w:val="-2"/>
                <w:w w:val="105"/>
                <w:sz w:val="12"/>
              </w:rPr>
              <w:t>Listing</w:t>
            </w:r>
            <w:r>
              <w:rPr>
                <w:b/>
                <w:color w:val="231F20"/>
                <w:spacing w:val="40"/>
                <w:w w:val="105"/>
                <w:sz w:val="12"/>
              </w:rPr>
              <w:t> </w:t>
            </w:r>
            <w:r>
              <w:rPr>
                <w:b/>
                <w:color w:val="231F20"/>
                <w:spacing w:val="-2"/>
                <w:w w:val="105"/>
                <w:sz w:val="12"/>
              </w:rPr>
              <w:t>Number</w:t>
            </w:r>
          </w:p>
        </w:tc>
        <w:tc>
          <w:tcPr>
            <w:tcW w:w="1132" w:type="dxa"/>
            <w:tcBorders>
              <w:bottom w:val="single" w:sz="18" w:space="0" w:color="231F20"/>
            </w:tcBorders>
          </w:tcPr>
          <w:p>
            <w:pPr>
              <w:pStyle w:val="TableParagraph"/>
              <w:spacing w:before="1"/>
              <w:ind w:left="248" w:hanging="125"/>
              <w:rPr>
                <w:b/>
                <w:sz w:val="12"/>
              </w:rPr>
            </w:pPr>
            <w:r>
              <w:rPr>
                <w:b/>
                <w:color w:val="231F20"/>
                <w:spacing w:val="-2"/>
                <w:w w:val="105"/>
                <w:sz w:val="12"/>
              </w:rPr>
              <w:t>Amount Passed</w:t>
            </w:r>
          </w:p>
          <w:p>
            <w:pPr>
              <w:pStyle w:val="TableParagraph"/>
              <w:spacing w:line="160" w:lineRule="atLeast" w:before="8"/>
              <w:ind w:left="164" w:firstLine="83"/>
              <w:rPr>
                <w:b/>
                <w:sz w:val="12"/>
              </w:rPr>
            </w:pPr>
            <w:r>
              <w:rPr>
                <w:b/>
                <w:color w:val="231F20"/>
                <w:w w:val="105"/>
                <w:sz w:val="12"/>
              </w:rPr>
              <w:t>Through</w:t>
            </w:r>
            <w:r>
              <w:rPr>
                <w:b/>
                <w:color w:val="231F20"/>
                <w:spacing w:val="-7"/>
                <w:w w:val="105"/>
                <w:sz w:val="12"/>
              </w:rPr>
              <w:t> </w:t>
            </w:r>
            <w:r>
              <w:rPr>
                <w:b/>
                <w:color w:val="231F20"/>
                <w:w w:val="105"/>
                <w:sz w:val="12"/>
              </w:rPr>
              <w:t>to</w:t>
            </w:r>
            <w:r>
              <w:rPr>
                <w:b/>
                <w:color w:val="231F20"/>
                <w:spacing w:val="40"/>
                <w:w w:val="105"/>
                <w:sz w:val="12"/>
              </w:rPr>
              <w:t> </w:t>
            </w:r>
            <w:r>
              <w:rPr>
                <w:b/>
                <w:color w:val="231F20"/>
                <w:spacing w:val="-2"/>
                <w:w w:val="105"/>
                <w:sz w:val="12"/>
              </w:rPr>
              <w:t>Subrecipients</w:t>
            </w:r>
          </w:p>
        </w:tc>
        <w:tc>
          <w:tcPr>
            <w:tcW w:w="1300" w:type="dxa"/>
            <w:gridSpan w:val="2"/>
            <w:tcBorders>
              <w:bottom w:val="single" w:sz="18" w:space="0" w:color="231F20"/>
            </w:tcBorders>
          </w:tcPr>
          <w:p>
            <w:pPr>
              <w:pStyle w:val="TableParagraph"/>
              <w:spacing w:before="9"/>
              <w:rPr>
                <w:b/>
                <w:sz w:val="12"/>
              </w:rPr>
            </w:pPr>
          </w:p>
          <w:p>
            <w:pPr>
              <w:pStyle w:val="TableParagraph"/>
              <w:spacing w:line="160" w:lineRule="atLeast"/>
              <w:ind w:left="334" w:right="146" w:firstLine="24"/>
              <w:rPr>
                <w:b/>
                <w:sz w:val="12"/>
              </w:rPr>
            </w:pPr>
            <w:r>
              <w:rPr>
                <w:b/>
                <w:color w:val="231F20"/>
                <w:w w:val="105"/>
                <w:sz w:val="12"/>
              </w:rPr>
              <w:t>Total</w:t>
            </w:r>
            <w:r>
              <w:rPr>
                <w:b/>
                <w:color w:val="231F20"/>
                <w:spacing w:val="-9"/>
                <w:w w:val="105"/>
                <w:sz w:val="12"/>
              </w:rPr>
              <w:t> </w:t>
            </w:r>
            <w:r>
              <w:rPr>
                <w:b/>
                <w:color w:val="231F20"/>
                <w:w w:val="105"/>
                <w:sz w:val="12"/>
              </w:rPr>
              <w:t>Federal</w:t>
            </w:r>
            <w:r>
              <w:rPr>
                <w:b/>
                <w:color w:val="231F20"/>
                <w:spacing w:val="40"/>
                <w:w w:val="105"/>
                <w:sz w:val="12"/>
              </w:rPr>
              <w:t> </w:t>
            </w:r>
            <w:r>
              <w:rPr>
                <w:b/>
                <w:color w:val="231F20"/>
                <w:spacing w:val="-2"/>
                <w:w w:val="105"/>
                <w:sz w:val="12"/>
              </w:rPr>
              <w:t>Expenditures</w:t>
            </w:r>
          </w:p>
        </w:tc>
      </w:tr>
      <w:tr>
        <w:trPr>
          <w:trHeight w:val="238" w:hRule="atLeast"/>
        </w:trPr>
        <w:tc>
          <w:tcPr>
            <w:tcW w:w="4457" w:type="dxa"/>
            <w:tcBorders>
              <w:top w:val="single" w:sz="18" w:space="0" w:color="231F20"/>
            </w:tcBorders>
          </w:tcPr>
          <w:p>
            <w:pPr>
              <w:pStyle w:val="TableParagraph"/>
              <w:spacing w:line="119" w:lineRule="exact" w:before="99"/>
              <w:ind w:left="33"/>
              <w:rPr>
                <w:b/>
                <w:sz w:val="12"/>
              </w:rPr>
            </w:pPr>
            <w:r>
              <w:rPr>
                <w:b/>
                <w:color w:val="231F20"/>
                <w:w w:val="105"/>
                <w:sz w:val="12"/>
              </w:rPr>
              <w:t>U.S.</w:t>
            </w:r>
            <w:r>
              <w:rPr>
                <w:b/>
                <w:color w:val="231F20"/>
                <w:spacing w:val="-8"/>
                <w:w w:val="105"/>
                <w:sz w:val="12"/>
              </w:rPr>
              <w:t> </w:t>
            </w:r>
            <w:r>
              <w:rPr>
                <w:b/>
                <w:color w:val="231F20"/>
                <w:w w:val="105"/>
                <w:sz w:val="12"/>
              </w:rPr>
              <w:t>Department</w:t>
            </w:r>
            <w:r>
              <w:rPr>
                <w:b/>
                <w:color w:val="231F20"/>
                <w:spacing w:val="-8"/>
                <w:w w:val="105"/>
                <w:sz w:val="12"/>
              </w:rPr>
              <w:t> </w:t>
            </w:r>
            <w:r>
              <w:rPr>
                <w:b/>
                <w:color w:val="231F20"/>
                <w:w w:val="105"/>
                <w:sz w:val="12"/>
              </w:rPr>
              <w:t>of</w:t>
            </w:r>
            <w:r>
              <w:rPr>
                <w:b/>
                <w:color w:val="231F20"/>
                <w:spacing w:val="-8"/>
                <w:w w:val="105"/>
                <w:sz w:val="12"/>
              </w:rPr>
              <w:t> </w:t>
            </w:r>
            <w:r>
              <w:rPr>
                <w:b/>
                <w:color w:val="231F20"/>
                <w:spacing w:val="-2"/>
                <w:w w:val="105"/>
                <w:sz w:val="12"/>
              </w:rPr>
              <w:t>Justice</w:t>
            </w:r>
          </w:p>
        </w:tc>
        <w:tc>
          <w:tcPr>
            <w:tcW w:w="914" w:type="dxa"/>
            <w:tcBorders>
              <w:top w:val="single" w:sz="18" w:space="0" w:color="231F20"/>
            </w:tcBorders>
          </w:tcPr>
          <w:p>
            <w:pPr>
              <w:pStyle w:val="TableParagraph"/>
              <w:rPr>
                <w:rFonts w:ascii="Times New Roman"/>
                <w:sz w:val="12"/>
              </w:rPr>
            </w:pPr>
          </w:p>
        </w:tc>
        <w:tc>
          <w:tcPr>
            <w:tcW w:w="2915" w:type="dxa"/>
            <w:tcBorders>
              <w:top w:val="single" w:sz="18" w:space="0" w:color="231F20"/>
            </w:tcBorders>
          </w:tcPr>
          <w:p>
            <w:pPr>
              <w:pStyle w:val="TableParagraph"/>
              <w:rPr>
                <w:rFonts w:ascii="Times New Roman"/>
                <w:sz w:val="12"/>
              </w:rPr>
            </w:pPr>
          </w:p>
        </w:tc>
        <w:tc>
          <w:tcPr>
            <w:tcW w:w="2622" w:type="dxa"/>
            <w:tcBorders>
              <w:top w:val="single" w:sz="18" w:space="0" w:color="231F20"/>
            </w:tcBorders>
          </w:tcPr>
          <w:p>
            <w:pPr>
              <w:pStyle w:val="TableParagraph"/>
              <w:rPr>
                <w:rFonts w:ascii="Times New Roman"/>
                <w:sz w:val="12"/>
              </w:rPr>
            </w:pPr>
          </w:p>
        </w:tc>
        <w:tc>
          <w:tcPr>
            <w:tcW w:w="1087" w:type="dxa"/>
            <w:tcBorders>
              <w:top w:val="single" w:sz="18" w:space="0" w:color="231F20"/>
            </w:tcBorders>
          </w:tcPr>
          <w:p>
            <w:pPr>
              <w:pStyle w:val="TableParagraph"/>
              <w:rPr>
                <w:rFonts w:ascii="Times New Roman"/>
                <w:sz w:val="12"/>
              </w:rPr>
            </w:pPr>
          </w:p>
        </w:tc>
        <w:tc>
          <w:tcPr>
            <w:tcW w:w="1132" w:type="dxa"/>
            <w:tcBorders>
              <w:top w:val="single" w:sz="18" w:space="0" w:color="231F20"/>
            </w:tcBorders>
          </w:tcPr>
          <w:p>
            <w:pPr>
              <w:pStyle w:val="TableParagraph"/>
              <w:rPr>
                <w:rFonts w:ascii="Times New Roman"/>
                <w:sz w:val="12"/>
              </w:rPr>
            </w:pPr>
          </w:p>
        </w:tc>
        <w:tc>
          <w:tcPr>
            <w:tcW w:w="1300" w:type="dxa"/>
            <w:gridSpan w:val="2"/>
            <w:tcBorders>
              <w:top w:val="single" w:sz="18" w:space="0" w:color="231F20"/>
            </w:tcBorders>
          </w:tcPr>
          <w:p>
            <w:pPr>
              <w:pStyle w:val="TableParagraph"/>
              <w:rPr>
                <w:rFonts w:ascii="Times New Roman"/>
                <w:sz w:val="12"/>
              </w:rPr>
            </w:pPr>
          </w:p>
        </w:tc>
      </w:tr>
      <w:tr>
        <w:trPr>
          <w:trHeight w:val="171" w:hRule="atLeast"/>
        </w:trPr>
        <w:tc>
          <w:tcPr>
            <w:tcW w:w="4457" w:type="dxa"/>
          </w:tcPr>
          <w:p>
            <w:pPr>
              <w:pStyle w:val="TableParagraph"/>
              <w:spacing w:line="119" w:lineRule="exact" w:before="32"/>
              <w:ind w:left="204"/>
              <w:rPr>
                <w:sz w:val="12"/>
              </w:rPr>
            </w:pPr>
            <w:r>
              <w:rPr>
                <w:color w:val="231F20"/>
                <w:sz w:val="12"/>
              </w:rPr>
              <w:t>Pass-</w:t>
            </w:r>
            <w:r>
              <w:rPr>
                <w:color w:val="231F20"/>
                <w:spacing w:val="-2"/>
                <w:w w:val="105"/>
                <w:sz w:val="12"/>
              </w:rPr>
              <w:t>through</w:t>
            </w:r>
          </w:p>
        </w:tc>
        <w:tc>
          <w:tcPr>
            <w:tcW w:w="914" w:type="dxa"/>
          </w:tcPr>
          <w:p>
            <w:pPr>
              <w:pStyle w:val="TableParagraph"/>
              <w:rPr>
                <w:rFonts w:ascii="Times New Roman"/>
                <w:sz w:val="10"/>
              </w:rPr>
            </w:pPr>
          </w:p>
        </w:tc>
        <w:tc>
          <w:tcPr>
            <w:tcW w:w="2915" w:type="dxa"/>
          </w:tcPr>
          <w:p>
            <w:pPr>
              <w:pStyle w:val="TableParagraph"/>
              <w:rPr>
                <w:rFonts w:ascii="Times New Roman"/>
                <w:sz w:val="10"/>
              </w:rPr>
            </w:pPr>
          </w:p>
        </w:tc>
        <w:tc>
          <w:tcPr>
            <w:tcW w:w="2622" w:type="dxa"/>
          </w:tcPr>
          <w:p>
            <w:pPr>
              <w:pStyle w:val="TableParagraph"/>
              <w:rPr>
                <w:rFonts w:ascii="Times New Roman"/>
                <w:sz w:val="10"/>
              </w:rPr>
            </w:pPr>
          </w:p>
        </w:tc>
        <w:tc>
          <w:tcPr>
            <w:tcW w:w="1087" w:type="dxa"/>
          </w:tcPr>
          <w:p>
            <w:pPr>
              <w:pStyle w:val="TableParagraph"/>
              <w:rPr>
                <w:rFonts w:ascii="Times New Roman"/>
                <w:sz w:val="10"/>
              </w:rPr>
            </w:pPr>
          </w:p>
        </w:tc>
        <w:tc>
          <w:tcPr>
            <w:tcW w:w="1132" w:type="dxa"/>
          </w:tcPr>
          <w:p>
            <w:pPr>
              <w:pStyle w:val="TableParagraph"/>
              <w:rPr>
                <w:rFonts w:ascii="Times New Roman"/>
                <w:sz w:val="10"/>
              </w:rPr>
            </w:pPr>
          </w:p>
        </w:tc>
        <w:tc>
          <w:tcPr>
            <w:tcW w:w="1300" w:type="dxa"/>
            <w:gridSpan w:val="2"/>
          </w:tcPr>
          <w:p>
            <w:pPr>
              <w:pStyle w:val="TableParagraph"/>
              <w:rPr>
                <w:rFonts w:ascii="Times New Roman"/>
                <w:sz w:val="10"/>
              </w:rPr>
            </w:pPr>
          </w:p>
        </w:tc>
      </w:tr>
      <w:tr>
        <w:trPr>
          <w:trHeight w:val="350" w:hRule="atLeast"/>
        </w:trPr>
        <w:tc>
          <w:tcPr>
            <w:tcW w:w="4457" w:type="dxa"/>
          </w:tcPr>
          <w:p>
            <w:pPr>
              <w:pStyle w:val="TableParagraph"/>
              <w:spacing w:line="160" w:lineRule="atLeast" w:before="10"/>
              <w:ind w:left="374"/>
              <w:rPr>
                <w:sz w:val="12"/>
              </w:rPr>
            </w:pPr>
            <w:r>
              <w:rPr>
                <w:color w:val="231F20"/>
                <w:w w:val="105"/>
                <w:sz w:val="12"/>
              </w:rPr>
              <w:t>National</w:t>
            </w:r>
            <w:r>
              <w:rPr>
                <w:color w:val="231F20"/>
                <w:spacing w:val="-8"/>
                <w:w w:val="105"/>
                <w:sz w:val="12"/>
              </w:rPr>
              <w:t> </w:t>
            </w:r>
            <w:r>
              <w:rPr>
                <w:color w:val="231F20"/>
                <w:w w:val="105"/>
                <w:sz w:val="12"/>
              </w:rPr>
              <w:t>Institute</w:t>
            </w:r>
            <w:r>
              <w:rPr>
                <w:color w:val="231F20"/>
                <w:spacing w:val="-8"/>
                <w:w w:val="105"/>
                <w:sz w:val="12"/>
              </w:rPr>
              <w:t> </w:t>
            </w:r>
            <w:r>
              <w:rPr>
                <w:color w:val="231F20"/>
                <w:w w:val="105"/>
                <w:sz w:val="12"/>
              </w:rPr>
              <w:t>of</w:t>
            </w:r>
            <w:r>
              <w:rPr>
                <w:color w:val="231F20"/>
                <w:spacing w:val="-8"/>
                <w:w w:val="105"/>
                <w:sz w:val="12"/>
              </w:rPr>
              <w:t> </w:t>
            </w:r>
            <w:r>
              <w:rPr>
                <w:color w:val="231F20"/>
                <w:w w:val="105"/>
                <w:sz w:val="12"/>
              </w:rPr>
              <w:t>Justice</w:t>
            </w:r>
            <w:r>
              <w:rPr>
                <w:color w:val="231F20"/>
                <w:spacing w:val="-7"/>
                <w:w w:val="105"/>
                <w:sz w:val="12"/>
              </w:rPr>
              <w:t> </w:t>
            </w:r>
            <w:r>
              <w:rPr>
                <w:color w:val="231F20"/>
                <w:w w:val="105"/>
                <w:sz w:val="12"/>
              </w:rPr>
              <w:t>Research,</w:t>
            </w:r>
            <w:r>
              <w:rPr>
                <w:color w:val="231F20"/>
                <w:spacing w:val="-8"/>
                <w:w w:val="105"/>
                <w:sz w:val="12"/>
              </w:rPr>
              <w:t> </w:t>
            </w:r>
            <w:r>
              <w:rPr>
                <w:color w:val="231F20"/>
                <w:w w:val="105"/>
                <w:sz w:val="12"/>
              </w:rPr>
              <w:t>Evaluation,</w:t>
            </w:r>
            <w:r>
              <w:rPr>
                <w:color w:val="231F20"/>
                <w:spacing w:val="-7"/>
                <w:w w:val="105"/>
                <w:sz w:val="12"/>
              </w:rPr>
              <w:t> </w:t>
            </w:r>
            <w:r>
              <w:rPr>
                <w:color w:val="231F20"/>
                <w:w w:val="105"/>
                <w:sz w:val="12"/>
              </w:rPr>
              <w:t>and</w:t>
            </w:r>
            <w:r>
              <w:rPr>
                <w:color w:val="231F20"/>
                <w:spacing w:val="-8"/>
                <w:w w:val="105"/>
                <w:sz w:val="12"/>
              </w:rPr>
              <w:t> </w:t>
            </w:r>
            <w:r>
              <w:rPr>
                <w:color w:val="231F20"/>
                <w:w w:val="105"/>
                <w:sz w:val="12"/>
              </w:rPr>
              <w:t>Development</w:t>
            </w:r>
            <w:r>
              <w:rPr>
                <w:color w:val="231F20"/>
                <w:spacing w:val="40"/>
                <w:w w:val="105"/>
                <w:sz w:val="12"/>
              </w:rPr>
              <w:t> </w:t>
            </w:r>
            <w:r>
              <w:rPr>
                <w:color w:val="231F20"/>
                <w:w w:val="105"/>
                <w:sz w:val="12"/>
              </w:rPr>
              <w:t>Project</w:t>
            </w:r>
            <w:r>
              <w:rPr>
                <w:color w:val="231F20"/>
                <w:spacing w:val="-7"/>
                <w:w w:val="105"/>
                <w:sz w:val="12"/>
              </w:rPr>
              <w:t> </w:t>
            </w:r>
            <w:r>
              <w:rPr>
                <w:color w:val="231F20"/>
                <w:w w:val="105"/>
                <w:sz w:val="12"/>
              </w:rPr>
              <w:t>Grants</w:t>
            </w:r>
          </w:p>
        </w:tc>
        <w:tc>
          <w:tcPr>
            <w:tcW w:w="914" w:type="dxa"/>
          </w:tcPr>
          <w:p>
            <w:pPr>
              <w:pStyle w:val="TableParagraph"/>
              <w:spacing w:before="9"/>
              <w:rPr>
                <w:b/>
                <w:sz w:val="17"/>
              </w:rPr>
            </w:pPr>
          </w:p>
          <w:p>
            <w:pPr>
              <w:pStyle w:val="TableParagraph"/>
              <w:spacing w:line="125" w:lineRule="exact"/>
              <w:ind w:left="352"/>
              <w:rPr>
                <w:sz w:val="12"/>
              </w:rPr>
            </w:pPr>
            <w:r>
              <w:rPr>
                <w:color w:val="231F20"/>
                <w:spacing w:val="-4"/>
                <w:w w:val="105"/>
                <w:sz w:val="12"/>
              </w:rPr>
              <w:t>MSCN</w:t>
            </w:r>
          </w:p>
        </w:tc>
        <w:tc>
          <w:tcPr>
            <w:tcW w:w="2915" w:type="dxa"/>
          </w:tcPr>
          <w:p>
            <w:pPr>
              <w:pStyle w:val="TableParagraph"/>
              <w:spacing w:before="3"/>
              <w:rPr>
                <w:b/>
                <w:sz w:val="17"/>
              </w:rPr>
            </w:pPr>
          </w:p>
          <w:p>
            <w:pPr>
              <w:pStyle w:val="TableParagraph"/>
              <w:spacing w:line="131" w:lineRule="exact"/>
              <w:ind w:left="141"/>
              <w:rPr>
                <w:sz w:val="12"/>
              </w:rPr>
            </w:pPr>
            <w:r>
              <w:rPr>
                <w:color w:val="231F20"/>
                <w:w w:val="105"/>
                <w:sz w:val="12"/>
              </w:rPr>
              <w:t>South</w:t>
            </w:r>
            <w:r>
              <w:rPr>
                <w:color w:val="231F20"/>
                <w:spacing w:val="-6"/>
                <w:w w:val="105"/>
                <w:sz w:val="12"/>
              </w:rPr>
              <w:t> </w:t>
            </w:r>
            <w:r>
              <w:rPr>
                <w:color w:val="231F20"/>
                <w:w w:val="105"/>
                <w:sz w:val="12"/>
              </w:rPr>
              <w:t>Dakota</w:t>
            </w:r>
            <w:r>
              <w:rPr>
                <w:color w:val="231F20"/>
                <w:spacing w:val="-6"/>
                <w:w w:val="105"/>
                <w:sz w:val="12"/>
              </w:rPr>
              <w:t> </w:t>
            </w:r>
            <w:r>
              <w:rPr>
                <w:color w:val="231F20"/>
                <w:w w:val="105"/>
                <w:sz w:val="12"/>
              </w:rPr>
              <w:t>School</w:t>
            </w:r>
            <w:r>
              <w:rPr>
                <w:color w:val="231F20"/>
                <w:spacing w:val="-5"/>
                <w:w w:val="105"/>
                <w:sz w:val="12"/>
              </w:rPr>
              <w:t> </w:t>
            </w:r>
            <w:r>
              <w:rPr>
                <w:color w:val="231F20"/>
                <w:w w:val="105"/>
                <w:sz w:val="12"/>
              </w:rPr>
              <w:t>of</w:t>
            </w:r>
            <w:r>
              <w:rPr>
                <w:color w:val="231F20"/>
                <w:spacing w:val="-6"/>
                <w:w w:val="105"/>
                <w:sz w:val="12"/>
              </w:rPr>
              <w:t> </w:t>
            </w:r>
            <w:r>
              <w:rPr>
                <w:color w:val="231F20"/>
                <w:w w:val="105"/>
                <w:sz w:val="12"/>
              </w:rPr>
              <w:t>Mines</w:t>
            </w:r>
            <w:r>
              <w:rPr>
                <w:color w:val="231F20"/>
                <w:spacing w:val="-5"/>
                <w:w w:val="105"/>
                <w:sz w:val="12"/>
              </w:rPr>
              <w:t> </w:t>
            </w:r>
            <w:r>
              <w:rPr>
                <w:color w:val="231F20"/>
                <w:w w:val="105"/>
                <w:sz w:val="12"/>
              </w:rPr>
              <w:t>&amp;</w:t>
            </w:r>
            <w:r>
              <w:rPr>
                <w:color w:val="231F20"/>
                <w:spacing w:val="-6"/>
                <w:w w:val="105"/>
                <w:sz w:val="12"/>
              </w:rPr>
              <w:t> </w:t>
            </w:r>
            <w:r>
              <w:rPr>
                <w:color w:val="231F20"/>
                <w:spacing w:val="-2"/>
                <w:w w:val="105"/>
                <w:sz w:val="12"/>
              </w:rPr>
              <w:t>Technology</w:t>
            </w:r>
          </w:p>
        </w:tc>
        <w:tc>
          <w:tcPr>
            <w:tcW w:w="2622" w:type="dxa"/>
          </w:tcPr>
          <w:p>
            <w:pPr>
              <w:pStyle w:val="TableParagraph"/>
              <w:spacing w:before="3"/>
              <w:rPr>
                <w:b/>
                <w:sz w:val="17"/>
              </w:rPr>
            </w:pPr>
          </w:p>
          <w:p>
            <w:pPr>
              <w:pStyle w:val="TableParagraph"/>
              <w:spacing w:line="131" w:lineRule="exact"/>
              <w:ind w:left="279"/>
              <w:rPr>
                <w:sz w:val="12"/>
              </w:rPr>
            </w:pPr>
            <w:r>
              <w:rPr>
                <w:color w:val="231F20"/>
                <w:sz w:val="12"/>
              </w:rPr>
              <w:t>SDSMT-NMT</w:t>
            </w:r>
            <w:r>
              <w:rPr>
                <w:color w:val="231F20"/>
                <w:spacing w:val="27"/>
                <w:sz w:val="12"/>
              </w:rPr>
              <w:t> </w:t>
            </w:r>
            <w:r>
              <w:rPr>
                <w:color w:val="231F20"/>
                <w:sz w:val="12"/>
              </w:rPr>
              <w:t>19-</w:t>
            </w:r>
            <w:r>
              <w:rPr>
                <w:color w:val="231F20"/>
                <w:spacing w:val="-5"/>
                <w:sz w:val="12"/>
              </w:rPr>
              <w:t>02</w:t>
            </w:r>
          </w:p>
        </w:tc>
        <w:tc>
          <w:tcPr>
            <w:tcW w:w="1087" w:type="dxa"/>
          </w:tcPr>
          <w:p>
            <w:pPr>
              <w:pStyle w:val="TableParagraph"/>
              <w:spacing w:before="9"/>
              <w:rPr>
                <w:b/>
                <w:sz w:val="17"/>
              </w:rPr>
            </w:pPr>
          </w:p>
          <w:p>
            <w:pPr>
              <w:pStyle w:val="TableParagraph"/>
              <w:spacing w:line="125" w:lineRule="exact"/>
              <w:ind w:left="319"/>
              <w:rPr>
                <w:sz w:val="12"/>
              </w:rPr>
            </w:pPr>
            <w:r>
              <w:rPr>
                <w:color w:val="231F20"/>
                <w:spacing w:val="-2"/>
                <w:w w:val="105"/>
                <w:sz w:val="12"/>
              </w:rPr>
              <w:t>16.560</w:t>
            </w:r>
          </w:p>
        </w:tc>
        <w:tc>
          <w:tcPr>
            <w:tcW w:w="1132" w:type="dxa"/>
            <w:tcBorders>
              <w:bottom w:val="single" w:sz="8" w:space="0" w:color="231F20"/>
            </w:tcBorders>
          </w:tcPr>
          <w:p>
            <w:pPr>
              <w:pStyle w:val="TableParagraph"/>
              <w:spacing w:before="9"/>
              <w:rPr>
                <w:b/>
                <w:sz w:val="17"/>
              </w:rPr>
            </w:pPr>
          </w:p>
          <w:p>
            <w:pPr>
              <w:pStyle w:val="TableParagraph"/>
              <w:spacing w:line="125" w:lineRule="exact"/>
              <w:ind w:right="67"/>
              <w:jc w:val="right"/>
              <w:rPr>
                <w:sz w:val="12"/>
              </w:rPr>
            </w:pPr>
            <w:r>
              <w:rPr>
                <w:color w:val="231F20"/>
                <w:w w:val="104"/>
                <w:sz w:val="12"/>
              </w:rPr>
              <w:t>-</w:t>
            </w:r>
          </w:p>
        </w:tc>
        <w:tc>
          <w:tcPr>
            <w:tcW w:w="153" w:type="dxa"/>
          </w:tcPr>
          <w:p>
            <w:pPr>
              <w:pStyle w:val="TableParagraph"/>
              <w:rPr>
                <w:rFonts w:ascii="Times New Roman"/>
                <w:sz w:val="12"/>
              </w:rPr>
            </w:pPr>
          </w:p>
        </w:tc>
        <w:tc>
          <w:tcPr>
            <w:tcW w:w="1147" w:type="dxa"/>
            <w:tcBorders>
              <w:bottom w:val="single" w:sz="8" w:space="0" w:color="231F20"/>
            </w:tcBorders>
          </w:tcPr>
          <w:p>
            <w:pPr>
              <w:pStyle w:val="TableParagraph"/>
              <w:spacing w:before="9"/>
              <w:rPr>
                <w:b/>
                <w:sz w:val="17"/>
              </w:rPr>
            </w:pPr>
          </w:p>
          <w:p>
            <w:pPr>
              <w:pStyle w:val="TableParagraph"/>
              <w:spacing w:line="125" w:lineRule="exact"/>
              <w:ind w:right="81"/>
              <w:jc w:val="right"/>
              <w:rPr>
                <w:sz w:val="12"/>
              </w:rPr>
            </w:pPr>
            <w:r>
              <w:rPr>
                <w:color w:val="231F20"/>
                <w:spacing w:val="-2"/>
                <w:w w:val="105"/>
                <w:sz w:val="12"/>
              </w:rPr>
              <w:t>5,008</w:t>
            </w:r>
          </w:p>
        </w:tc>
      </w:tr>
      <w:tr>
        <w:trPr>
          <w:trHeight w:val="151" w:hRule="atLeast"/>
        </w:trPr>
        <w:tc>
          <w:tcPr>
            <w:tcW w:w="4457" w:type="dxa"/>
          </w:tcPr>
          <w:p>
            <w:pPr>
              <w:pStyle w:val="TableParagraph"/>
              <w:spacing w:line="124" w:lineRule="exact" w:before="7"/>
              <w:ind w:left="204"/>
              <w:rPr>
                <w:b/>
                <w:sz w:val="12"/>
              </w:rPr>
            </w:pPr>
            <w:r>
              <w:rPr>
                <w:b/>
                <w:color w:val="231F20"/>
                <w:spacing w:val="-2"/>
                <w:w w:val="105"/>
                <w:sz w:val="12"/>
              </w:rPr>
              <w:t>Total</w:t>
            </w:r>
            <w:r>
              <w:rPr>
                <w:b/>
                <w:color w:val="231F20"/>
                <w:spacing w:val="2"/>
                <w:w w:val="105"/>
                <w:sz w:val="12"/>
              </w:rPr>
              <w:t> </w:t>
            </w:r>
            <w:r>
              <w:rPr>
                <w:b/>
                <w:color w:val="231F20"/>
                <w:spacing w:val="-2"/>
                <w:w w:val="105"/>
                <w:sz w:val="12"/>
              </w:rPr>
              <w:t>Pass-through</w:t>
            </w:r>
            <w:r>
              <w:rPr>
                <w:b/>
                <w:color w:val="231F20"/>
                <w:spacing w:val="3"/>
                <w:w w:val="105"/>
                <w:sz w:val="12"/>
              </w:rPr>
              <w:t> </w:t>
            </w:r>
            <w:r>
              <w:rPr>
                <w:b/>
                <w:color w:val="231F20"/>
                <w:spacing w:val="-2"/>
                <w:w w:val="105"/>
                <w:sz w:val="12"/>
              </w:rPr>
              <w:t>U.S.</w:t>
            </w:r>
            <w:r>
              <w:rPr>
                <w:b/>
                <w:color w:val="231F20"/>
                <w:spacing w:val="3"/>
                <w:w w:val="105"/>
                <w:sz w:val="12"/>
              </w:rPr>
              <w:t> </w:t>
            </w:r>
            <w:r>
              <w:rPr>
                <w:b/>
                <w:color w:val="231F20"/>
                <w:spacing w:val="-2"/>
                <w:w w:val="105"/>
                <w:sz w:val="12"/>
              </w:rPr>
              <w:t>Department</w:t>
            </w:r>
            <w:r>
              <w:rPr>
                <w:b/>
                <w:color w:val="231F20"/>
                <w:spacing w:val="3"/>
                <w:w w:val="105"/>
                <w:sz w:val="12"/>
              </w:rPr>
              <w:t> </w:t>
            </w:r>
            <w:r>
              <w:rPr>
                <w:b/>
                <w:color w:val="231F20"/>
                <w:spacing w:val="-2"/>
                <w:w w:val="105"/>
                <w:sz w:val="12"/>
              </w:rPr>
              <w:t>of</w:t>
            </w:r>
            <w:r>
              <w:rPr>
                <w:b/>
                <w:color w:val="231F20"/>
                <w:spacing w:val="3"/>
                <w:w w:val="105"/>
                <w:sz w:val="12"/>
              </w:rPr>
              <w:t> </w:t>
            </w:r>
            <w:r>
              <w:rPr>
                <w:b/>
                <w:color w:val="231F20"/>
                <w:spacing w:val="-2"/>
                <w:w w:val="105"/>
                <w:sz w:val="12"/>
              </w:rPr>
              <w:t>Justice</w:t>
            </w:r>
          </w:p>
        </w:tc>
        <w:tc>
          <w:tcPr>
            <w:tcW w:w="914" w:type="dxa"/>
          </w:tcPr>
          <w:p>
            <w:pPr>
              <w:pStyle w:val="TableParagraph"/>
              <w:rPr>
                <w:rFonts w:ascii="Times New Roman"/>
                <w:sz w:val="8"/>
              </w:rPr>
            </w:pPr>
          </w:p>
        </w:tc>
        <w:tc>
          <w:tcPr>
            <w:tcW w:w="2915" w:type="dxa"/>
          </w:tcPr>
          <w:p>
            <w:pPr>
              <w:pStyle w:val="TableParagraph"/>
              <w:rPr>
                <w:rFonts w:ascii="Times New Roman"/>
                <w:sz w:val="8"/>
              </w:rPr>
            </w:pPr>
          </w:p>
        </w:tc>
        <w:tc>
          <w:tcPr>
            <w:tcW w:w="2622" w:type="dxa"/>
          </w:tcPr>
          <w:p>
            <w:pPr>
              <w:pStyle w:val="TableParagraph"/>
              <w:rPr>
                <w:rFonts w:ascii="Times New Roman"/>
                <w:sz w:val="8"/>
              </w:rPr>
            </w:pPr>
          </w:p>
        </w:tc>
        <w:tc>
          <w:tcPr>
            <w:tcW w:w="1087" w:type="dxa"/>
          </w:tcPr>
          <w:p>
            <w:pPr>
              <w:pStyle w:val="TableParagraph"/>
              <w:rPr>
                <w:rFonts w:ascii="Times New Roman"/>
                <w:sz w:val="8"/>
              </w:rPr>
            </w:pPr>
          </w:p>
        </w:tc>
        <w:tc>
          <w:tcPr>
            <w:tcW w:w="1132" w:type="dxa"/>
            <w:tcBorders>
              <w:top w:val="single" w:sz="8" w:space="0" w:color="231F20"/>
              <w:bottom w:val="single" w:sz="8" w:space="0" w:color="231F20"/>
            </w:tcBorders>
          </w:tcPr>
          <w:p>
            <w:pPr>
              <w:pStyle w:val="TableParagraph"/>
              <w:spacing w:line="124" w:lineRule="exact" w:before="7"/>
              <w:ind w:right="67"/>
              <w:jc w:val="right"/>
              <w:rPr>
                <w:b/>
                <w:sz w:val="12"/>
              </w:rPr>
            </w:pPr>
            <w:r>
              <w:rPr>
                <w:b/>
                <w:color w:val="231F20"/>
                <w:w w:val="104"/>
                <w:sz w:val="12"/>
              </w:rPr>
              <w:t>-</w:t>
            </w:r>
          </w:p>
        </w:tc>
        <w:tc>
          <w:tcPr>
            <w:tcW w:w="153" w:type="dxa"/>
          </w:tcPr>
          <w:p>
            <w:pPr>
              <w:pStyle w:val="TableParagraph"/>
              <w:rPr>
                <w:rFonts w:ascii="Times New Roman"/>
                <w:sz w:val="8"/>
              </w:rPr>
            </w:pPr>
          </w:p>
        </w:tc>
        <w:tc>
          <w:tcPr>
            <w:tcW w:w="1147" w:type="dxa"/>
            <w:tcBorders>
              <w:top w:val="single" w:sz="8" w:space="0" w:color="231F20"/>
              <w:bottom w:val="single" w:sz="8" w:space="0" w:color="231F20"/>
            </w:tcBorders>
          </w:tcPr>
          <w:p>
            <w:pPr>
              <w:pStyle w:val="TableParagraph"/>
              <w:spacing w:line="124" w:lineRule="exact" w:before="7"/>
              <w:ind w:right="81"/>
              <w:jc w:val="right"/>
              <w:rPr>
                <w:b/>
                <w:sz w:val="12"/>
              </w:rPr>
            </w:pPr>
            <w:r>
              <w:rPr>
                <w:b/>
                <w:color w:val="231F20"/>
                <w:spacing w:val="-2"/>
                <w:w w:val="105"/>
                <w:sz w:val="12"/>
              </w:rPr>
              <w:t>5,008</w:t>
            </w:r>
          </w:p>
        </w:tc>
      </w:tr>
      <w:tr>
        <w:trPr>
          <w:trHeight w:val="324" w:hRule="atLeast"/>
        </w:trPr>
        <w:tc>
          <w:tcPr>
            <w:tcW w:w="4457" w:type="dxa"/>
          </w:tcPr>
          <w:p>
            <w:pPr>
              <w:pStyle w:val="TableParagraph"/>
              <w:spacing w:before="7"/>
              <w:rPr>
                <w:b/>
                <w:sz w:val="15"/>
              </w:rPr>
            </w:pPr>
          </w:p>
          <w:p>
            <w:pPr>
              <w:pStyle w:val="TableParagraph"/>
              <w:spacing w:line="124" w:lineRule="exact"/>
              <w:ind w:left="33"/>
              <w:rPr>
                <w:b/>
                <w:sz w:val="12"/>
              </w:rPr>
            </w:pPr>
            <w:r>
              <w:rPr>
                <w:b/>
                <w:color w:val="231F20"/>
                <w:w w:val="105"/>
                <w:sz w:val="12"/>
              </w:rPr>
              <w:t>Total</w:t>
            </w:r>
            <w:r>
              <w:rPr>
                <w:b/>
                <w:color w:val="231F20"/>
                <w:spacing w:val="-7"/>
                <w:w w:val="105"/>
                <w:sz w:val="12"/>
              </w:rPr>
              <w:t> </w:t>
            </w:r>
            <w:r>
              <w:rPr>
                <w:b/>
                <w:color w:val="231F20"/>
                <w:w w:val="105"/>
                <w:sz w:val="12"/>
              </w:rPr>
              <w:t>U.S.</w:t>
            </w:r>
            <w:r>
              <w:rPr>
                <w:b/>
                <w:color w:val="231F20"/>
                <w:spacing w:val="-7"/>
                <w:w w:val="105"/>
                <w:sz w:val="12"/>
              </w:rPr>
              <w:t> </w:t>
            </w:r>
            <w:r>
              <w:rPr>
                <w:b/>
                <w:color w:val="231F20"/>
                <w:w w:val="105"/>
                <w:sz w:val="12"/>
              </w:rPr>
              <w:t>Department</w:t>
            </w:r>
            <w:r>
              <w:rPr>
                <w:b/>
                <w:color w:val="231F20"/>
                <w:spacing w:val="-8"/>
                <w:w w:val="105"/>
                <w:sz w:val="12"/>
              </w:rPr>
              <w:t> </w:t>
            </w:r>
            <w:r>
              <w:rPr>
                <w:b/>
                <w:color w:val="231F20"/>
                <w:w w:val="105"/>
                <w:sz w:val="12"/>
              </w:rPr>
              <w:t>of</w:t>
            </w:r>
            <w:r>
              <w:rPr>
                <w:b/>
                <w:color w:val="231F20"/>
                <w:spacing w:val="-7"/>
                <w:w w:val="105"/>
                <w:sz w:val="12"/>
              </w:rPr>
              <w:t> </w:t>
            </w:r>
            <w:r>
              <w:rPr>
                <w:b/>
                <w:color w:val="231F20"/>
                <w:spacing w:val="-2"/>
                <w:w w:val="105"/>
                <w:sz w:val="12"/>
              </w:rPr>
              <w:t>Justice</w:t>
            </w:r>
          </w:p>
        </w:tc>
        <w:tc>
          <w:tcPr>
            <w:tcW w:w="914" w:type="dxa"/>
          </w:tcPr>
          <w:p>
            <w:pPr>
              <w:pStyle w:val="TableParagraph"/>
              <w:rPr>
                <w:rFonts w:ascii="Times New Roman"/>
                <w:sz w:val="12"/>
              </w:rPr>
            </w:pPr>
          </w:p>
        </w:tc>
        <w:tc>
          <w:tcPr>
            <w:tcW w:w="2915" w:type="dxa"/>
          </w:tcPr>
          <w:p>
            <w:pPr>
              <w:pStyle w:val="TableParagraph"/>
              <w:rPr>
                <w:rFonts w:ascii="Times New Roman"/>
                <w:sz w:val="12"/>
              </w:rPr>
            </w:pPr>
          </w:p>
        </w:tc>
        <w:tc>
          <w:tcPr>
            <w:tcW w:w="2622" w:type="dxa"/>
          </w:tcPr>
          <w:p>
            <w:pPr>
              <w:pStyle w:val="TableParagraph"/>
              <w:rPr>
                <w:rFonts w:ascii="Times New Roman"/>
                <w:sz w:val="12"/>
              </w:rPr>
            </w:pPr>
          </w:p>
        </w:tc>
        <w:tc>
          <w:tcPr>
            <w:tcW w:w="1087" w:type="dxa"/>
          </w:tcPr>
          <w:p>
            <w:pPr>
              <w:pStyle w:val="TableParagraph"/>
              <w:rPr>
                <w:rFonts w:ascii="Times New Roman"/>
                <w:sz w:val="12"/>
              </w:rPr>
            </w:pPr>
          </w:p>
        </w:tc>
        <w:tc>
          <w:tcPr>
            <w:tcW w:w="1132" w:type="dxa"/>
            <w:tcBorders>
              <w:top w:val="single" w:sz="8" w:space="0" w:color="231F20"/>
              <w:bottom w:val="single" w:sz="8" w:space="0" w:color="231F20"/>
            </w:tcBorders>
          </w:tcPr>
          <w:p>
            <w:pPr>
              <w:pStyle w:val="TableParagraph"/>
              <w:spacing w:before="7"/>
              <w:rPr>
                <w:b/>
                <w:sz w:val="15"/>
              </w:rPr>
            </w:pPr>
          </w:p>
          <w:p>
            <w:pPr>
              <w:pStyle w:val="TableParagraph"/>
              <w:spacing w:line="124" w:lineRule="exact"/>
              <w:ind w:right="67"/>
              <w:jc w:val="right"/>
              <w:rPr>
                <w:b/>
                <w:sz w:val="12"/>
              </w:rPr>
            </w:pPr>
            <w:r>
              <w:rPr>
                <w:b/>
                <w:color w:val="231F20"/>
                <w:w w:val="104"/>
                <w:sz w:val="12"/>
              </w:rPr>
              <w:t>-</w:t>
            </w:r>
          </w:p>
        </w:tc>
        <w:tc>
          <w:tcPr>
            <w:tcW w:w="153" w:type="dxa"/>
          </w:tcPr>
          <w:p>
            <w:pPr>
              <w:pStyle w:val="TableParagraph"/>
              <w:rPr>
                <w:rFonts w:ascii="Times New Roman"/>
                <w:sz w:val="12"/>
              </w:rPr>
            </w:pPr>
          </w:p>
        </w:tc>
        <w:tc>
          <w:tcPr>
            <w:tcW w:w="1147" w:type="dxa"/>
            <w:tcBorders>
              <w:top w:val="single" w:sz="8" w:space="0" w:color="231F20"/>
              <w:bottom w:val="single" w:sz="8" w:space="0" w:color="231F20"/>
            </w:tcBorders>
          </w:tcPr>
          <w:p>
            <w:pPr>
              <w:pStyle w:val="TableParagraph"/>
              <w:spacing w:before="7"/>
              <w:rPr>
                <w:b/>
                <w:sz w:val="15"/>
              </w:rPr>
            </w:pPr>
          </w:p>
          <w:p>
            <w:pPr>
              <w:pStyle w:val="TableParagraph"/>
              <w:spacing w:line="124" w:lineRule="exact"/>
              <w:ind w:right="81"/>
              <w:jc w:val="right"/>
              <w:rPr>
                <w:b/>
                <w:sz w:val="12"/>
              </w:rPr>
            </w:pPr>
            <w:r>
              <w:rPr>
                <w:b/>
                <w:color w:val="231F20"/>
                <w:spacing w:val="-2"/>
                <w:w w:val="105"/>
                <w:sz w:val="12"/>
              </w:rPr>
              <w:t>5,008</w:t>
            </w:r>
          </w:p>
        </w:tc>
      </w:tr>
      <w:tr>
        <w:trPr>
          <w:trHeight w:val="319" w:hRule="atLeast"/>
        </w:trPr>
        <w:tc>
          <w:tcPr>
            <w:tcW w:w="4457" w:type="dxa"/>
          </w:tcPr>
          <w:p>
            <w:pPr>
              <w:pStyle w:val="TableParagraph"/>
              <w:spacing w:before="7"/>
              <w:rPr>
                <w:b/>
                <w:sz w:val="15"/>
              </w:rPr>
            </w:pPr>
          </w:p>
          <w:p>
            <w:pPr>
              <w:pStyle w:val="TableParagraph"/>
              <w:spacing w:line="119" w:lineRule="exact"/>
              <w:ind w:left="33"/>
              <w:rPr>
                <w:b/>
                <w:sz w:val="12"/>
              </w:rPr>
            </w:pPr>
            <w:r>
              <w:rPr>
                <w:b/>
                <w:color w:val="231F20"/>
                <w:w w:val="105"/>
                <w:sz w:val="12"/>
              </w:rPr>
              <w:t>U.S.</w:t>
            </w:r>
            <w:r>
              <w:rPr>
                <w:b/>
                <w:color w:val="231F20"/>
                <w:spacing w:val="-8"/>
                <w:w w:val="105"/>
                <w:sz w:val="12"/>
              </w:rPr>
              <w:t> </w:t>
            </w:r>
            <w:r>
              <w:rPr>
                <w:b/>
                <w:color w:val="231F20"/>
                <w:w w:val="105"/>
                <w:sz w:val="12"/>
              </w:rPr>
              <w:t>Department</w:t>
            </w:r>
            <w:r>
              <w:rPr>
                <w:b/>
                <w:color w:val="231F20"/>
                <w:spacing w:val="-8"/>
                <w:w w:val="105"/>
                <w:sz w:val="12"/>
              </w:rPr>
              <w:t> </w:t>
            </w:r>
            <w:r>
              <w:rPr>
                <w:b/>
                <w:color w:val="231F20"/>
                <w:w w:val="105"/>
                <w:sz w:val="12"/>
              </w:rPr>
              <w:t>of</w:t>
            </w:r>
            <w:r>
              <w:rPr>
                <w:b/>
                <w:color w:val="231F20"/>
                <w:spacing w:val="-8"/>
                <w:w w:val="105"/>
                <w:sz w:val="12"/>
              </w:rPr>
              <w:t> </w:t>
            </w:r>
            <w:r>
              <w:rPr>
                <w:b/>
                <w:color w:val="231F20"/>
                <w:spacing w:val="-2"/>
                <w:w w:val="105"/>
                <w:sz w:val="12"/>
              </w:rPr>
              <w:t>Transportation</w:t>
            </w:r>
          </w:p>
        </w:tc>
        <w:tc>
          <w:tcPr>
            <w:tcW w:w="914" w:type="dxa"/>
          </w:tcPr>
          <w:p>
            <w:pPr>
              <w:pStyle w:val="TableParagraph"/>
              <w:rPr>
                <w:rFonts w:ascii="Times New Roman"/>
                <w:sz w:val="12"/>
              </w:rPr>
            </w:pPr>
          </w:p>
        </w:tc>
        <w:tc>
          <w:tcPr>
            <w:tcW w:w="2915" w:type="dxa"/>
          </w:tcPr>
          <w:p>
            <w:pPr>
              <w:pStyle w:val="TableParagraph"/>
              <w:rPr>
                <w:rFonts w:ascii="Times New Roman"/>
                <w:sz w:val="12"/>
              </w:rPr>
            </w:pPr>
          </w:p>
        </w:tc>
        <w:tc>
          <w:tcPr>
            <w:tcW w:w="2622" w:type="dxa"/>
          </w:tcPr>
          <w:p>
            <w:pPr>
              <w:pStyle w:val="TableParagraph"/>
              <w:rPr>
                <w:rFonts w:ascii="Times New Roman"/>
                <w:sz w:val="12"/>
              </w:rPr>
            </w:pPr>
          </w:p>
        </w:tc>
        <w:tc>
          <w:tcPr>
            <w:tcW w:w="1087" w:type="dxa"/>
          </w:tcPr>
          <w:p>
            <w:pPr>
              <w:pStyle w:val="TableParagraph"/>
              <w:rPr>
                <w:rFonts w:ascii="Times New Roman"/>
                <w:sz w:val="12"/>
              </w:rPr>
            </w:pPr>
          </w:p>
        </w:tc>
        <w:tc>
          <w:tcPr>
            <w:tcW w:w="1132" w:type="dxa"/>
            <w:tcBorders>
              <w:top w:val="single" w:sz="8" w:space="0" w:color="231F20"/>
            </w:tcBorders>
          </w:tcPr>
          <w:p>
            <w:pPr>
              <w:pStyle w:val="TableParagraph"/>
              <w:rPr>
                <w:rFonts w:ascii="Times New Roman"/>
                <w:sz w:val="12"/>
              </w:rPr>
            </w:pPr>
          </w:p>
        </w:tc>
        <w:tc>
          <w:tcPr>
            <w:tcW w:w="153" w:type="dxa"/>
          </w:tcPr>
          <w:p>
            <w:pPr>
              <w:pStyle w:val="TableParagraph"/>
              <w:rPr>
                <w:rFonts w:ascii="Times New Roman"/>
                <w:sz w:val="12"/>
              </w:rPr>
            </w:pPr>
          </w:p>
        </w:tc>
        <w:tc>
          <w:tcPr>
            <w:tcW w:w="1147" w:type="dxa"/>
            <w:tcBorders>
              <w:top w:val="single" w:sz="8" w:space="0" w:color="231F20"/>
            </w:tcBorders>
          </w:tcPr>
          <w:p>
            <w:pPr>
              <w:pStyle w:val="TableParagraph"/>
              <w:rPr>
                <w:rFonts w:ascii="Times New Roman"/>
                <w:sz w:val="12"/>
              </w:rPr>
            </w:pPr>
          </w:p>
        </w:tc>
      </w:tr>
      <w:tr>
        <w:trPr>
          <w:trHeight w:val="171" w:hRule="atLeast"/>
        </w:trPr>
        <w:tc>
          <w:tcPr>
            <w:tcW w:w="4457" w:type="dxa"/>
          </w:tcPr>
          <w:p>
            <w:pPr>
              <w:pStyle w:val="TableParagraph"/>
              <w:spacing w:line="119" w:lineRule="exact" w:before="32"/>
              <w:ind w:left="203"/>
              <w:rPr>
                <w:sz w:val="12"/>
              </w:rPr>
            </w:pPr>
            <w:r>
              <w:rPr>
                <w:color w:val="231F20"/>
                <w:w w:val="105"/>
                <w:sz w:val="12"/>
              </w:rPr>
              <w:t>Direct</w:t>
            </w:r>
            <w:r>
              <w:rPr>
                <w:color w:val="231F20"/>
                <w:spacing w:val="-6"/>
                <w:w w:val="105"/>
                <w:sz w:val="12"/>
              </w:rPr>
              <w:t> </w:t>
            </w:r>
            <w:r>
              <w:rPr>
                <w:color w:val="231F20"/>
                <w:spacing w:val="-2"/>
                <w:w w:val="105"/>
                <w:sz w:val="12"/>
              </w:rPr>
              <w:t>Awards</w:t>
            </w:r>
          </w:p>
        </w:tc>
        <w:tc>
          <w:tcPr>
            <w:tcW w:w="914" w:type="dxa"/>
          </w:tcPr>
          <w:p>
            <w:pPr>
              <w:pStyle w:val="TableParagraph"/>
              <w:rPr>
                <w:rFonts w:ascii="Times New Roman"/>
                <w:sz w:val="10"/>
              </w:rPr>
            </w:pPr>
          </w:p>
        </w:tc>
        <w:tc>
          <w:tcPr>
            <w:tcW w:w="2915" w:type="dxa"/>
          </w:tcPr>
          <w:p>
            <w:pPr>
              <w:pStyle w:val="TableParagraph"/>
              <w:rPr>
                <w:rFonts w:ascii="Times New Roman"/>
                <w:sz w:val="10"/>
              </w:rPr>
            </w:pPr>
          </w:p>
        </w:tc>
        <w:tc>
          <w:tcPr>
            <w:tcW w:w="2622" w:type="dxa"/>
          </w:tcPr>
          <w:p>
            <w:pPr>
              <w:pStyle w:val="TableParagraph"/>
              <w:rPr>
                <w:rFonts w:ascii="Times New Roman"/>
                <w:sz w:val="10"/>
              </w:rPr>
            </w:pPr>
          </w:p>
        </w:tc>
        <w:tc>
          <w:tcPr>
            <w:tcW w:w="1087" w:type="dxa"/>
          </w:tcPr>
          <w:p>
            <w:pPr>
              <w:pStyle w:val="TableParagraph"/>
              <w:rPr>
                <w:rFonts w:ascii="Times New Roman"/>
                <w:sz w:val="10"/>
              </w:rPr>
            </w:pPr>
          </w:p>
        </w:tc>
        <w:tc>
          <w:tcPr>
            <w:tcW w:w="1132" w:type="dxa"/>
          </w:tcPr>
          <w:p>
            <w:pPr>
              <w:pStyle w:val="TableParagraph"/>
              <w:rPr>
                <w:rFonts w:ascii="Times New Roman"/>
                <w:sz w:val="10"/>
              </w:rPr>
            </w:pPr>
          </w:p>
        </w:tc>
        <w:tc>
          <w:tcPr>
            <w:tcW w:w="153" w:type="dxa"/>
          </w:tcPr>
          <w:p>
            <w:pPr>
              <w:pStyle w:val="TableParagraph"/>
              <w:rPr>
                <w:rFonts w:ascii="Times New Roman"/>
                <w:sz w:val="10"/>
              </w:rPr>
            </w:pPr>
          </w:p>
        </w:tc>
        <w:tc>
          <w:tcPr>
            <w:tcW w:w="1147" w:type="dxa"/>
          </w:tcPr>
          <w:p>
            <w:pPr>
              <w:pStyle w:val="TableParagraph"/>
              <w:rPr>
                <w:rFonts w:ascii="Times New Roman"/>
                <w:sz w:val="10"/>
              </w:rPr>
            </w:pPr>
          </w:p>
        </w:tc>
      </w:tr>
      <w:tr>
        <w:trPr>
          <w:trHeight w:val="184" w:hRule="atLeast"/>
        </w:trPr>
        <w:tc>
          <w:tcPr>
            <w:tcW w:w="4457" w:type="dxa"/>
          </w:tcPr>
          <w:p>
            <w:pPr>
              <w:pStyle w:val="TableParagraph"/>
              <w:spacing w:line="137" w:lineRule="exact" w:before="27"/>
              <w:ind w:left="374"/>
              <w:rPr>
                <w:sz w:val="12"/>
              </w:rPr>
            </w:pPr>
            <w:r>
              <w:rPr>
                <w:color w:val="231F20"/>
                <w:w w:val="105"/>
                <w:sz w:val="12"/>
              </w:rPr>
              <w:t>Air</w:t>
            </w:r>
            <w:r>
              <w:rPr>
                <w:color w:val="231F20"/>
                <w:spacing w:val="-8"/>
                <w:w w:val="105"/>
                <w:sz w:val="12"/>
              </w:rPr>
              <w:t> </w:t>
            </w:r>
            <w:r>
              <w:rPr>
                <w:color w:val="231F20"/>
                <w:w w:val="105"/>
                <w:sz w:val="12"/>
              </w:rPr>
              <w:t>Transportation</w:t>
            </w:r>
            <w:r>
              <w:rPr>
                <w:color w:val="231F20"/>
                <w:spacing w:val="-8"/>
                <w:w w:val="105"/>
                <w:sz w:val="12"/>
              </w:rPr>
              <w:t> </w:t>
            </w:r>
            <w:r>
              <w:rPr>
                <w:color w:val="231F20"/>
                <w:w w:val="105"/>
                <w:sz w:val="12"/>
              </w:rPr>
              <w:t>Centers</w:t>
            </w:r>
            <w:r>
              <w:rPr>
                <w:color w:val="231F20"/>
                <w:spacing w:val="-8"/>
                <w:w w:val="105"/>
                <w:sz w:val="12"/>
              </w:rPr>
              <w:t> </w:t>
            </w:r>
            <w:r>
              <w:rPr>
                <w:color w:val="231F20"/>
                <w:w w:val="105"/>
                <w:sz w:val="12"/>
              </w:rPr>
              <w:t>of</w:t>
            </w:r>
            <w:r>
              <w:rPr>
                <w:color w:val="231F20"/>
                <w:spacing w:val="-8"/>
                <w:w w:val="105"/>
                <w:sz w:val="12"/>
              </w:rPr>
              <w:t> </w:t>
            </w:r>
            <w:r>
              <w:rPr>
                <w:color w:val="231F20"/>
                <w:spacing w:val="-2"/>
                <w:w w:val="105"/>
                <w:sz w:val="12"/>
              </w:rPr>
              <w:t>Excellence</w:t>
            </w:r>
          </w:p>
        </w:tc>
        <w:tc>
          <w:tcPr>
            <w:tcW w:w="914" w:type="dxa"/>
          </w:tcPr>
          <w:p>
            <w:pPr>
              <w:pStyle w:val="TableParagraph"/>
              <w:spacing w:line="132" w:lineRule="exact" w:before="33"/>
              <w:ind w:left="321"/>
              <w:rPr>
                <w:sz w:val="12"/>
              </w:rPr>
            </w:pPr>
            <w:r>
              <w:rPr>
                <w:color w:val="231F20"/>
                <w:spacing w:val="-2"/>
                <w:w w:val="105"/>
                <w:sz w:val="12"/>
              </w:rPr>
              <w:t>RCOE1</w:t>
            </w:r>
          </w:p>
        </w:tc>
        <w:tc>
          <w:tcPr>
            <w:tcW w:w="2915" w:type="dxa"/>
          </w:tcPr>
          <w:p>
            <w:pPr>
              <w:pStyle w:val="TableParagraph"/>
              <w:rPr>
                <w:rFonts w:ascii="Times New Roman"/>
                <w:sz w:val="12"/>
              </w:rPr>
            </w:pPr>
          </w:p>
        </w:tc>
        <w:tc>
          <w:tcPr>
            <w:tcW w:w="2622" w:type="dxa"/>
          </w:tcPr>
          <w:p>
            <w:pPr>
              <w:pStyle w:val="TableParagraph"/>
              <w:spacing w:line="137" w:lineRule="exact" w:before="27"/>
              <w:ind w:left="277"/>
              <w:rPr>
                <w:sz w:val="12"/>
              </w:rPr>
            </w:pPr>
            <w:r>
              <w:rPr>
                <w:color w:val="231F20"/>
                <w:sz w:val="12"/>
              </w:rPr>
              <w:t>15-C-CST-NMT-01,TASK</w:t>
            </w:r>
            <w:r>
              <w:rPr>
                <w:color w:val="231F20"/>
                <w:spacing w:val="53"/>
                <w:sz w:val="12"/>
              </w:rPr>
              <w:t> </w:t>
            </w:r>
            <w:r>
              <w:rPr>
                <w:color w:val="231F20"/>
                <w:spacing w:val="-5"/>
                <w:sz w:val="12"/>
              </w:rPr>
              <w:t>303</w:t>
            </w:r>
          </w:p>
        </w:tc>
        <w:tc>
          <w:tcPr>
            <w:tcW w:w="1087" w:type="dxa"/>
          </w:tcPr>
          <w:p>
            <w:pPr>
              <w:pStyle w:val="TableParagraph"/>
              <w:spacing w:line="132" w:lineRule="exact" w:before="33"/>
              <w:ind w:left="319"/>
              <w:rPr>
                <w:sz w:val="12"/>
              </w:rPr>
            </w:pPr>
            <w:r>
              <w:rPr>
                <w:color w:val="231F20"/>
                <w:spacing w:val="-2"/>
                <w:w w:val="105"/>
                <w:sz w:val="12"/>
              </w:rPr>
              <w:t>20.109</w:t>
            </w:r>
          </w:p>
        </w:tc>
        <w:tc>
          <w:tcPr>
            <w:tcW w:w="1132" w:type="dxa"/>
          </w:tcPr>
          <w:p>
            <w:pPr>
              <w:pStyle w:val="TableParagraph"/>
              <w:spacing w:line="132" w:lineRule="exact" w:before="33"/>
              <w:ind w:right="68"/>
              <w:jc w:val="right"/>
              <w:rPr>
                <w:sz w:val="12"/>
              </w:rPr>
            </w:pPr>
            <w:r>
              <w:rPr>
                <w:color w:val="231F20"/>
                <w:w w:val="104"/>
                <w:sz w:val="12"/>
              </w:rPr>
              <w:t>-</w:t>
            </w:r>
          </w:p>
        </w:tc>
        <w:tc>
          <w:tcPr>
            <w:tcW w:w="153" w:type="dxa"/>
          </w:tcPr>
          <w:p>
            <w:pPr>
              <w:pStyle w:val="TableParagraph"/>
              <w:rPr>
                <w:rFonts w:ascii="Times New Roman"/>
                <w:sz w:val="12"/>
              </w:rPr>
            </w:pPr>
          </w:p>
        </w:tc>
        <w:tc>
          <w:tcPr>
            <w:tcW w:w="1147" w:type="dxa"/>
          </w:tcPr>
          <w:p>
            <w:pPr>
              <w:pStyle w:val="TableParagraph"/>
              <w:spacing w:line="132" w:lineRule="exact" w:before="33"/>
              <w:ind w:right="81"/>
              <w:jc w:val="right"/>
              <w:rPr>
                <w:sz w:val="12"/>
              </w:rPr>
            </w:pPr>
            <w:r>
              <w:rPr>
                <w:color w:val="231F20"/>
                <w:spacing w:val="-2"/>
                <w:w w:val="105"/>
                <w:sz w:val="12"/>
              </w:rPr>
              <w:t>100,000</w:t>
            </w:r>
          </w:p>
        </w:tc>
      </w:tr>
      <w:tr>
        <w:trPr>
          <w:trHeight w:val="172" w:hRule="atLeast"/>
        </w:trPr>
        <w:tc>
          <w:tcPr>
            <w:tcW w:w="4457" w:type="dxa"/>
          </w:tcPr>
          <w:p>
            <w:pPr>
              <w:pStyle w:val="TableParagraph"/>
              <w:spacing w:before="14"/>
              <w:ind w:left="374"/>
              <w:rPr>
                <w:sz w:val="12"/>
              </w:rPr>
            </w:pPr>
            <w:r>
              <w:rPr>
                <w:color w:val="231F20"/>
                <w:w w:val="105"/>
                <w:sz w:val="12"/>
              </w:rPr>
              <w:t>Air</w:t>
            </w:r>
            <w:r>
              <w:rPr>
                <w:color w:val="231F20"/>
                <w:spacing w:val="-8"/>
                <w:w w:val="105"/>
                <w:sz w:val="12"/>
              </w:rPr>
              <w:t> </w:t>
            </w:r>
            <w:r>
              <w:rPr>
                <w:color w:val="231F20"/>
                <w:w w:val="105"/>
                <w:sz w:val="12"/>
              </w:rPr>
              <w:t>Transportation</w:t>
            </w:r>
            <w:r>
              <w:rPr>
                <w:color w:val="231F20"/>
                <w:spacing w:val="-8"/>
                <w:w w:val="105"/>
                <w:sz w:val="12"/>
              </w:rPr>
              <w:t> </w:t>
            </w:r>
            <w:r>
              <w:rPr>
                <w:color w:val="231F20"/>
                <w:w w:val="105"/>
                <w:sz w:val="12"/>
              </w:rPr>
              <w:t>Centers</w:t>
            </w:r>
            <w:r>
              <w:rPr>
                <w:color w:val="231F20"/>
                <w:spacing w:val="-8"/>
                <w:w w:val="105"/>
                <w:sz w:val="12"/>
              </w:rPr>
              <w:t> </w:t>
            </w:r>
            <w:r>
              <w:rPr>
                <w:color w:val="231F20"/>
                <w:w w:val="105"/>
                <w:sz w:val="12"/>
              </w:rPr>
              <w:t>of</w:t>
            </w:r>
            <w:r>
              <w:rPr>
                <w:color w:val="231F20"/>
                <w:spacing w:val="-8"/>
                <w:w w:val="105"/>
                <w:sz w:val="12"/>
              </w:rPr>
              <w:t> </w:t>
            </w:r>
            <w:r>
              <w:rPr>
                <w:color w:val="231F20"/>
                <w:spacing w:val="-2"/>
                <w:w w:val="105"/>
                <w:sz w:val="12"/>
              </w:rPr>
              <w:t>Excellence</w:t>
            </w:r>
          </w:p>
        </w:tc>
        <w:tc>
          <w:tcPr>
            <w:tcW w:w="914" w:type="dxa"/>
          </w:tcPr>
          <w:p>
            <w:pPr>
              <w:pStyle w:val="TableParagraph"/>
              <w:spacing w:line="132" w:lineRule="exact" w:before="20"/>
              <w:ind w:left="321"/>
              <w:rPr>
                <w:sz w:val="12"/>
              </w:rPr>
            </w:pPr>
            <w:r>
              <w:rPr>
                <w:color w:val="231F20"/>
                <w:spacing w:val="-2"/>
                <w:w w:val="105"/>
                <w:sz w:val="12"/>
              </w:rPr>
              <w:t>RCOE5</w:t>
            </w:r>
          </w:p>
        </w:tc>
        <w:tc>
          <w:tcPr>
            <w:tcW w:w="2915" w:type="dxa"/>
          </w:tcPr>
          <w:p>
            <w:pPr>
              <w:pStyle w:val="TableParagraph"/>
              <w:rPr>
                <w:rFonts w:ascii="Times New Roman"/>
                <w:sz w:val="10"/>
              </w:rPr>
            </w:pPr>
          </w:p>
        </w:tc>
        <w:tc>
          <w:tcPr>
            <w:tcW w:w="2622" w:type="dxa"/>
          </w:tcPr>
          <w:p>
            <w:pPr>
              <w:pStyle w:val="TableParagraph"/>
              <w:spacing w:before="14"/>
              <w:ind w:left="277"/>
              <w:rPr>
                <w:sz w:val="12"/>
              </w:rPr>
            </w:pPr>
            <w:r>
              <w:rPr>
                <w:color w:val="231F20"/>
                <w:sz w:val="12"/>
              </w:rPr>
              <w:t>15-C-CST-NMT-</w:t>
            </w:r>
            <w:r>
              <w:rPr>
                <w:color w:val="231F20"/>
                <w:spacing w:val="-5"/>
                <w:sz w:val="12"/>
              </w:rPr>
              <w:t>022</w:t>
            </w:r>
          </w:p>
        </w:tc>
        <w:tc>
          <w:tcPr>
            <w:tcW w:w="1087" w:type="dxa"/>
          </w:tcPr>
          <w:p>
            <w:pPr>
              <w:pStyle w:val="TableParagraph"/>
              <w:spacing w:line="132" w:lineRule="exact" w:before="20"/>
              <w:ind w:left="319"/>
              <w:rPr>
                <w:sz w:val="12"/>
              </w:rPr>
            </w:pPr>
            <w:r>
              <w:rPr>
                <w:color w:val="231F20"/>
                <w:spacing w:val="-2"/>
                <w:w w:val="105"/>
                <w:sz w:val="12"/>
              </w:rPr>
              <w:t>20.109</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1"/>
              <w:jc w:val="right"/>
              <w:rPr>
                <w:sz w:val="12"/>
              </w:rPr>
            </w:pPr>
            <w:r>
              <w:rPr>
                <w:color w:val="231F20"/>
                <w:spacing w:val="-2"/>
                <w:w w:val="105"/>
                <w:sz w:val="12"/>
              </w:rPr>
              <w:t>73,662</w:t>
            </w:r>
          </w:p>
        </w:tc>
      </w:tr>
      <w:tr>
        <w:trPr>
          <w:trHeight w:val="165" w:hRule="atLeast"/>
        </w:trPr>
        <w:tc>
          <w:tcPr>
            <w:tcW w:w="4457" w:type="dxa"/>
          </w:tcPr>
          <w:p>
            <w:pPr>
              <w:pStyle w:val="TableParagraph"/>
              <w:spacing w:line="130" w:lineRule="exact" w:before="14"/>
              <w:ind w:left="374"/>
              <w:rPr>
                <w:sz w:val="12"/>
              </w:rPr>
            </w:pPr>
            <w:r>
              <w:rPr>
                <w:color w:val="231F20"/>
                <w:w w:val="105"/>
                <w:sz w:val="12"/>
              </w:rPr>
              <w:t>Air</w:t>
            </w:r>
            <w:r>
              <w:rPr>
                <w:color w:val="231F20"/>
                <w:spacing w:val="-8"/>
                <w:w w:val="105"/>
                <w:sz w:val="12"/>
              </w:rPr>
              <w:t> </w:t>
            </w:r>
            <w:r>
              <w:rPr>
                <w:color w:val="231F20"/>
                <w:w w:val="105"/>
                <w:sz w:val="12"/>
              </w:rPr>
              <w:t>Transportation</w:t>
            </w:r>
            <w:r>
              <w:rPr>
                <w:color w:val="231F20"/>
                <w:spacing w:val="-8"/>
                <w:w w:val="105"/>
                <w:sz w:val="12"/>
              </w:rPr>
              <w:t> </w:t>
            </w:r>
            <w:r>
              <w:rPr>
                <w:color w:val="231F20"/>
                <w:w w:val="105"/>
                <w:sz w:val="12"/>
              </w:rPr>
              <w:t>Centers</w:t>
            </w:r>
            <w:r>
              <w:rPr>
                <w:color w:val="231F20"/>
                <w:spacing w:val="-8"/>
                <w:w w:val="105"/>
                <w:sz w:val="12"/>
              </w:rPr>
              <w:t> </w:t>
            </w:r>
            <w:r>
              <w:rPr>
                <w:color w:val="231F20"/>
                <w:w w:val="105"/>
                <w:sz w:val="12"/>
              </w:rPr>
              <w:t>of</w:t>
            </w:r>
            <w:r>
              <w:rPr>
                <w:color w:val="231F20"/>
                <w:spacing w:val="-8"/>
                <w:w w:val="105"/>
                <w:sz w:val="12"/>
              </w:rPr>
              <w:t> </w:t>
            </w:r>
            <w:r>
              <w:rPr>
                <w:color w:val="231F20"/>
                <w:spacing w:val="-2"/>
                <w:w w:val="105"/>
                <w:sz w:val="12"/>
              </w:rPr>
              <w:t>Excellence</w:t>
            </w:r>
          </w:p>
        </w:tc>
        <w:tc>
          <w:tcPr>
            <w:tcW w:w="914" w:type="dxa"/>
          </w:tcPr>
          <w:p>
            <w:pPr>
              <w:pStyle w:val="TableParagraph"/>
              <w:spacing w:line="124" w:lineRule="exact" w:before="20"/>
              <w:ind w:left="321"/>
              <w:rPr>
                <w:sz w:val="12"/>
              </w:rPr>
            </w:pPr>
            <w:r>
              <w:rPr>
                <w:color w:val="231F20"/>
                <w:spacing w:val="-2"/>
                <w:w w:val="105"/>
                <w:sz w:val="12"/>
              </w:rPr>
              <w:t>RCOE7</w:t>
            </w:r>
          </w:p>
        </w:tc>
        <w:tc>
          <w:tcPr>
            <w:tcW w:w="2915" w:type="dxa"/>
          </w:tcPr>
          <w:p>
            <w:pPr>
              <w:pStyle w:val="TableParagraph"/>
              <w:rPr>
                <w:rFonts w:ascii="Times New Roman"/>
                <w:sz w:val="10"/>
              </w:rPr>
            </w:pPr>
          </w:p>
        </w:tc>
        <w:tc>
          <w:tcPr>
            <w:tcW w:w="2622" w:type="dxa"/>
          </w:tcPr>
          <w:p>
            <w:pPr>
              <w:pStyle w:val="TableParagraph"/>
              <w:spacing w:line="124" w:lineRule="exact" w:before="20"/>
              <w:ind w:left="277"/>
              <w:rPr>
                <w:sz w:val="12"/>
              </w:rPr>
            </w:pPr>
            <w:r>
              <w:rPr>
                <w:color w:val="231F20"/>
                <w:spacing w:val="-2"/>
                <w:w w:val="105"/>
                <w:sz w:val="12"/>
              </w:rPr>
              <w:t>15-C-CST-NMT-07</w:t>
            </w:r>
            <w:r>
              <w:rPr>
                <w:color w:val="231F20"/>
                <w:spacing w:val="7"/>
                <w:w w:val="105"/>
                <w:sz w:val="12"/>
              </w:rPr>
              <w:t> </w:t>
            </w:r>
            <w:r>
              <w:rPr>
                <w:color w:val="231F20"/>
                <w:spacing w:val="-2"/>
                <w:w w:val="105"/>
                <w:sz w:val="12"/>
              </w:rPr>
              <w:t>TASK</w:t>
            </w:r>
            <w:r>
              <w:rPr>
                <w:color w:val="231F20"/>
                <w:spacing w:val="7"/>
                <w:w w:val="105"/>
                <w:sz w:val="12"/>
              </w:rPr>
              <w:t> </w:t>
            </w:r>
            <w:r>
              <w:rPr>
                <w:color w:val="231F20"/>
                <w:spacing w:val="-5"/>
                <w:w w:val="105"/>
                <w:sz w:val="12"/>
              </w:rPr>
              <w:t>377</w:t>
            </w:r>
          </w:p>
        </w:tc>
        <w:tc>
          <w:tcPr>
            <w:tcW w:w="1087" w:type="dxa"/>
          </w:tcPr>
          <w:p>
            <w:pPr>
              <w:pStyle w:val="TableParagraph"/>
              <w:spacing w:line="124" w:lineRule="exact" w:before="20"/>
              <w:ind w:left="318"/>
              <w:rPr>
                <w:sz w:val="12"/>
              </w:rPr>
            </w:pPr>
            <w:r>
              <w:rPr>
                <w:color w:val="231F20"/>
                <w:spacing w:val="-2"/>
                <w:w w:val="105"/>
                <w:sz w:val="12"/>
              </w:rPr>
              <w:t>20.109</w:t>
            </w:r>
          </w:p>
        </w:tc>
        <w:tc>
          <w:tcPr>
            <w:tcW w:w="1132" w:type="dxa"/>
            <w:tcBorders>
              <w:bottom w:val="single" w:sz="8" w:space="0" w:color="231F20"/>
            </w:tcBorders>
          </w:tcPr>
          <w:p>
            <w:pPr>
              <w:pStyle w:val="TableParagraph"/>
              <w:spacing w:line="124"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Borders>
              <w:bottom w:val="single" w:sz="8" w:space="0" w:color="231F20"/>
            </w:tcBorders>
          </w:tcPr>
          <w:p>
            <w:pPr>
              <w:pStyle w:val="TableParagraph"/>
              <w:spacing w:line="124" w:lineRule="exact" w:before="20"/>
              <w:ind w:right="40"/>
              <w:jc w:val="right"/>
              <w:rPr>
                <w:sz w:val="12"/>
              </w:rPr>
            </w:pPr>
            <w:r>
              <w:rPr>
                <w:color w:val="231F20"/>
                <w:spacing w:val="-2"/>
                <w:w w:val="105"/>
                <w:sz w:val="12"/>
              </w:rPr>
              <w:t>(595)</w:t>
            </w:r>
          </w:p>
        </w:tc>
      </w:tr>
      <w:tr>
        <w:trPr>
          <w:trHeight w:val="152" w:hRule="atLeast"/>
        </w:trPr>
        <w:tc>
          <w:tcPr>
            <w:tcW w:w="4457" w:type="dxa"/>
          </w:tcPr>
          <w:p>
            <w:pPr>
              <w:pStyle w:val="TableParagraph"/>
              <w:spacing w:line="131" w:lineRule="exact" w:before="2"/>
              <w:ind w:left="374"/>
              <w:rPr>
                <w:b/>
                <w:sz w:val="12"/>
              </w:rPr>
            </w:pPr>
            <w:r>
              <w:rPr>
                <w:b/>
                <w:color w:val="231F20"/>
                <w:w w:val="105"/>
                <w:sz w:val="12"/>
              </w:rPr>
              <w:t>Total</w:t>
            </w:r>
            <w:r>
              <w:rPr>
                <w:b/>
                <w:color w:val="231F20"/>
                <w:spacing w:val="-9"/>
                <w:w w:val="105"/>
                <w:sz w:val="12"/>
              </w:rPr>
              <w:t> </w:t>
            </w:r>
            <w:r>
              <w:rPr>
                <w:b/>
                <w:color w:val="231F20"/>
                <w:w w:val="105"/>
                <w:sz w:val="12"/>
              </w:rPr>
              <w:t>Direct</w:t>
            </w:r>
            <w:r>
              <w:rPr>
                <w:b/>
                <w:color w:val="231F20"/>
                <w:spacing w:val="-8"/>
                <w:w w:val="105"/>
                <w:sz w:val="12"/>
              </w:rPr>
              <w:t> </w:t>
            </w:r>
            <w:r>
              <w:rPr>
                <w:b/>
                <w:color w:val="231F20"/>
                <w:w w:val="105"/>
                <w:sz w:val="12"/>
              </w:rPr>
              <w:t>U.S.</w:t>
            </w:r>
            <w:r>
              <w:rPr>
                <w:b/>
                <w:color w:val="231F20"/>
                <w:spacing w:val="-8"/>
                <w:w w:val="105"/>
                <w:sz w:val="12"/>
              </w:rPr>
              <w:t> </w:t>
            </w:r>
            <w:r>
              <w:rPr>
                <w:b/>
                <w:color w:val="231F20"/>
                <w:w w:val="105"/>
                <w:sz w:val="12"/>
              </w:rPr>
              <w:t>Department</w:t>
            </w:r>
            <w:r>
              <w:rPr>
                <w:b/>
                <w:color w:val="231F20"/>
                <w:spacing w:val="-8"/>
                <w:w w:val="105"/>
                <w:sz w:val="12"/>
              </w:rPr>
              <w:t> </w:t>
            </w:r>
            <w:r>
              <w:rPr>
                <w:b/>
                <w:color w:val="231F20"/>
                <w:w w:val="105"/>
                <w:sz w:val="12"/>
              </w:rPr>
              <w:t>of</w:t>
            </w:r>
            <w:r>
              <w:rPr>
                <w:b/>
                <w:color w:val="231F20"/>
                <w:spacing w:val="-8"/>
                <w:w w:val="105"/>
                <w:sz w:val="12"/>
              </w:rPr>
              <w:t> </w:t>
            </w:r>
            <w:r>
              <w:rPr>
                <w:b/>
                <w:color w:val="231F20"/>
                <w:spacing w:val="-2"/>
                <w:w w:val="105"/>
                <w:sz w:val="12"/>
              </w:rPr>
              <w:t>Transportation</w:t>
            </w:r>
          </w:p>
        </w:tc>
        <w:tc>
          <w:tcPr>
            <w:tcW w:w="914" w:type="dxa"/>
          </w:tcPr>
          <w:p>
            <w:pPr>
              <w:pStyle w:val="TableParagraph"/>
              <w:rPr>
                <w:rFonts w:ascii="Times New Roman"/>
                <w:sz w:val="8"/>
              </w:rPr>
            </w:pPr>
          </w:p>
        </w:tc>
        <w:tc>
          <w:tcPr>
            <w:tcW w:w="2915" w:type="dxa"/>
          </w:tcPr>
          <w:p>
            <w:pPr>
              <w:pStyle w:val="TableParagraph"/>
              <w:rPr>
                <w:rFonts w:ascii="Times New Roman"/>
                <w:sz w:val="8"/>
              </w:rPr>
            </w:pPr>
          </w:p>
        </w:tc>
        <w:tc>
          <w:tcPr>
            <w:tcW w:w="2622" w:type="dxa"/>
          </w:tcPr>
          <w:p>
            <w:pPr>
              <w:pStyle w:val="TableParagraph"/>
              <w:rPr>
                <w:rFonts w:ascii="Times New Roman"/>
                <w:sz w:val="8"/>
              </w:rPr>
            </w:pPr>
          </w:p>
        </w:tc>
        <w:tc>
          <w:tcPr>
            <w:tcW w:w="1087" w:type="dxa"/>
          </w:tcPr>
          <w:p>
            <w:pPr>
              <w:pStyle w:val="TableParagraph"/>
              <w:rPr>
                <w:rFonts w:ascii="Times New Roman"/>
                <w:sz w:val="8"/>
              </w:rPr>
            </w:pPr>
          </w:p>
        </w:tc>
        <w:tc>
          <w:tcPr>
            <w:tcW w:w="1132" w:type="dxa"/>
            <w:tcBorders>
              <w:top w:val="single" w:sz="8" w:space="0" w:color="231F20"/>
              <w:bottom w:val="single" w:sz="8" w:space="0" w:color="231F20"/>
            </w:tcBorders>
          </w:tcPr>
          <w:p>
            <w:pPr>
              <w:pStyle w:val="TableParagraph"/>
              <w:spacing w:line="126" w:lineRule="exact" w:before="7"/>
              <w:ind w:right="67"/>
              <w:jc w:val="right"/>
              <w:rPr>
                <w:b/>
                <w:sz w:val="12"/>
              </w:rPr>
            </w:pPr>
            <w:r>
              <w:rPr>
                <w:b/>
                <w:color w:val="231F20"/>
                <w:w w:val="104"/>
                <w:sz w:val="12"/>
              </w:rPr>
              <w:t>-</w:t>
            </w:r>
          </w:p>
        </w:tc>
        <w:tc>
          <w:tcPr>
            <w:tcW w:w="153" w:type="dxa"/>
          </w:tcPr>
          <w:p>
            <w:pPr>
              <w:pStyle w:val="TableParagraph"/>
              <w:rPr>
                <w:rFonts w:ascii="Times New Roman"/>
                <w:sz w:val="8"/>
              </w:rPr>
            </w:pPr>
          </w:p>
        </w:tc>
        <w:tc>
          <w:tcPr>
            <w:tcW w:w="1147" w:type="dxa"/>
            <w:tcBorders>
              <w:top w:val="single" w:sz="8" w:space="0" w:color="231F20"/>
              <w:bottom w:val="single" w:sz="8" w:space="0" w:color="231F20"/>
            </w:tcBorders>
          </w:tcPr>
          <w:p>
            <w:pPr>
              <w:pStyle w:val="TableParagraph"/>
              <w:spacing w:line="126" w:lineRule="exact" w:before="7"/>
              <w:ind w:right="81"/>
              <w:jc w:val="right"/>
              <w:rPr>
                <w:b/>
                <w:sz w:val="12"/>
              </w:rPr>
            </w:pPr>
            <w:r>
              <w:rPr>
                <w:b/>
                <w:color w:val="231F20"/>
                <w:spacing w:val="-2"/>
                <w:w w:val="105"/>
                <w:sz w:val="12"/>
              </w:rPr>
              <w:t>173,067</w:t>
            </w:r>
          </w:p>
        </w:tc>
      </w:tr>
      <w:tr>
        <w:trPr>
          <w:trHeight w:val="324" w:hRule="atLeast"/>
        </w:trPr>
        <w:tc>
          <w:tcPr>
            <w:tcW w:w="4457" w:type="dxa"/>
          </w:tcPr>
          <w:p>
            <w:pPr>
              <w:pStyle w:val="TableParagraph"/>
              <w:spacing w:before="6"/>
              <w:rPr>
                <w:b/>
                <w:sz w:val="15"/>
              </w:rPr>
            </w:pPr>
          </w:p>
          <w:p>
            <w:pPr>
              <w:pStyle w:val="TableParagraph"/>
              <w:spacing w:line="126" w:lineRule="exact"/>
              <w:ind w:left="33"/>
              <w:rPr>
                <w:b/>
                <w:sz w:val="12"/>
              </w:rPr>
            </w:pPr>
            <w:r>
              <w:rPr>
                <w:b/>
                <w:color w:val="231F20"/>
                <w:w w:val="105"/>
                <w:sz w:val="12"/>
              </w:rPr>
              <w:t>Total</w:t>
            </w:r>
            <w:r>
              <w:rPr>
                <w:b/>
                <w:color w:val="231F20"/>
                <w:spacing w:val="-6"/>
                <w:w w:val="105"/>
                <w:sz w:val="12"/>
              </w:rPr>
              <w:t> </w:t>
            </w:r>
            <w:r>
              <w:rPr>
                <w:b/>
                <w:color w:val="231F20"/>
                <w:w w:val="105"/>
                <w:sz w:val="12"/>
              </w:rPr>
              <w:t>U.S.</w:t>
            </w:r>
            <w:r>
              <w:rPr>
                <w:b/>
                <w:color w:val="231F20"/>
                <w:spacing w:val="-5"/>
                <w:w w:val="105"/>
                <w:sz w:val="12"/>
              </w:rPr>
              <w:t> </w:t>
            </w:r>
            <w:r>
              <w:rPr>
                <w:b/>
                <w:color w:val="231F20"/>
                <w:w w:val="105"/>
                <w:sz w:val="12"/>
              </w:rPr>
              <w:t>Department</w:t>
            </w:r>
            <w:r>
              <w:rPr>
                <w:b/>
                <w:color w:val="231F20"/>
                <w:spacing w:val="-6"/>
                <w:w w:val="105"/>
                <w:sz w:val="12"/>
              </w:rPr>
              <w:t> </w:t>
            </w:r>
            <w:r>
              <w:rPr>
                <w:b/>
                <w:color w:val="231F20"/>
                <w:w w:val="105"/>
                <w:sz w:val="12"/>
              </w:rPr>
              <w:t>of</w:t>
            </w:r>
            <w:r>
              <w:rPr>
                <w:b/>
                <w:color w:val="231F20"/>
                <w:spacing w:val="-6"/>
                <w:w w:val="105"/>
                <w:sz w:val="12"/>
              </w:rPr>
              <w:t> </w:t>
            </w:r>
            <w:r>
              <w:rPr>
                <w:b/>
                <w:color w:val="231F20"/>
                <w:spacing w:val="-2"/>
                <w:w w:val="105"/>
                <w:sz w:val="12"/>
              </w:rPr>
              <w:t>Transportation</w:t>
            </w:r>
          </w:p>
        </w:tc>
        <w:tc>
          <w:tcPr>
            <w:tcW w:w="914" w:type="dxa"/>
          </w:tcPr>
          <w:p>
            <w:pPr>
              <w:pStyle w:val="TableParagraph"/>
              <w:rPr>
                <w:rFonts w:ascii="Times New Roman"/>
                <w:sz w:val="12"/>
              </w:rPr>
            </w:pPr>
          </w:p>
        </w:tc>
        <w:tc>
          <w:tcPr>
            <w:tcW w:w="2915" w:type="dxa"/>
          </w:tcPr>
          <w:p>
            <w:pPr>
              <w:pStyle w:val="TableParagraph"/>
              <w:rPr>
                <w:rFonts w:ascii="Times New Roman"/>
                <w:sz w:val="12"/>
              </w:rPr>
            </w:pPr>
          </w:p>
        </w:tc>
        <w:tc>
          <w:tcPr>
            <w:tcW w:w="2622" w:type="dxa"/>
          </w:tcPr>
          <w:p>
            <w:pPr>
              <w:pStyle w:val="TableParagraph"/>
              <w:rPr>
                <w:rFonts w:ascii="Times New Roman"/>
                <w:sz w:val="12"/>
              </w:rPr>
            </w:pPr>
          </w:p>
        </w:tc>
        <w:tc>
          <w:tcPr>
            <w:tcW w:w="1087" w:type="dxa"/>
          </w:tcPr>
          <w:p>
            <w:pPr>
              <w:pStyle w:val="TableParagraph"/>
              <w:rPr>
                <w:rFonts w:ascii="Times New Roman"/>
                <w:sz w:val="12"/>
              </w:rPr>
            </w:pPr>
          </w:p>
        </w:tc>
        <w:tc>
          <w:tcPr>
            <w:tcW w:w="1132" w:type="dxa"/>
            <w:tcBorders>
              <w:top w:val="single" w:sz="8" w:space="0" w:color="231F20"/>
              <w:bottom w:val="single" w:sz="8" w:space="0" w:color="231F20"/>
            </w:tcBorders>
          </w:tcPr>
          <w:p>
            <w:pPr>
              <w:pStyle w:val="TableParagraph"/>
              <w:spacing w:before="6"/>
              <w:rPr>
                <w:b/>
                <w:sz w:val="15"/>
              </w:rPr>
            </w:pPr>
          </w:p>
          <w:p>
            <w:pPr>
              <w:pStyle w:val="TableParagraph"/>
              <w:spacing w:line="126" w:lineRule="exact"/>
              <w:ind w:right="68"/>
              <w:jc w:val="right"/>
              <w:rPr>
                <w:b/>
                <w:sz w:val="12"/>
              </w:rPr>
            </w:pPr>
            <w:r>
              <w:rPr>
                <w:b/>
                <w:color w:val="231F20"/>
                <w:w w:val="104"/>
                <w:sz w:val="12"/>
              </w:rPr>
              <w:t>-</w:t>
            </w:r>
          </w:p>
        </w:tc>
        <w:tc>
          <w:tcPr>
            <w:tcW w:w="153" w:type="dxa"/>
          </w:tcPr>
          <w:p>
            <w:pPr>
              <w:pStyle w:val="TableParagraph"/>
              <w:rPr>
                <w:rFonts w:ascii="Times New Roman"/>
                <w:sz w:val="12"/>
              </w:rPr>
            </w:pPr>
          </w:p>
        </w:tc>
        <w:tc>
          <w:tcPr>
            <w:tcW w:w="1147" w:type="dxa"/>
            <w:tcBorders>
              <w:top w:val="single" w:sz="8" w:space="0" w:color="231F20"/>
              <w:bottom w:val="single" w:sz="8" w:space="0" w:color="231F20"/>
            </w:tcBorders>
          </w:tcPr>
          <w:p>
            <w:pPr>
              <w:pStyle w:val="TableParagraph"/>
              <w:spacing w:before="6"/>
              <w:rPr>
                <w:b/>
                <w:sz w:val="15"/>
              </w:rPr>
            </w:pPr>
          </w:p>
          <w:p>
            <w:pPr>
              <w:pStyle w:val="TableParagraph"/>
              <w:spacing w:line="126" w:lineRule="exact"/>
              <w:ind w:right="81"/>
              <w:jc w:val="right"/>
              <w:rPr>
                <w:b/>
                <w:sz w:val="12"/>
              </w:rPr>
            </w:pPr>
            <w:r>
              <w:rPr>
                <w:b/>
                <w:color w:val="231F20"/>
                <w:spacing w:val="-2"/>
                <w:w w:val="105"/>
                <w:sz w:val="12"/>
              </w:rPr>
              <w:t>173,067</w:t>
            </w:r>
          </w:p>
        </w:tc>
      </w:tr>
      <w:tr>
        <w:trPr>
          <w:trHeight w:val="333" w:hRule="atLeast"/>
        </w:trPr>
        <w:tc>
          <w:tcPr>
            <w:tcW w:w="4457" w:type="dxa"/>
          </w:tcPr>
          <w:p>
            <w:pPr>
              <w:pStyle w:val="TableParagraph"/>
              <w:spacing w:before="6"/>
              <w:rPr>
                <w:b/>
                <w:sz w:val="15"/>
              </w:rPr>
            </w:pPr>
          </w:p>
          <w:p>
            <w:pPr>
              <w:pStyle w:val="TableParagraph"/>
              <w:spacing w:line="135" w:lineRule="exact"/>
              <w:ind w:left="33"/>
              <w:rPr>
                <w:b/>
                <w:sz w:val="12"/>
              </w:rPr>
            </w:pPr>
            <w:r>
              <w:rPr>
                <w:b/>
                <w:color w:val="231F20"/>
                <w:spacing w:val="-2"/>
                <w:w w:val="105"/>
                <w:sz w:val="12"/>
              </w:rPr>
              <w:t>National</w:t>
            </w:r>
            <w:r>
              <w:rPr>
                <w:b/>
                <w:color w:val="231F20"/>
                <w:spacing w:val="3"/>
                <w:w w:val="105"/>
                <w:sz w:val="12"/>
              </w:rPr>
              <w:t> </w:t>
            </w:r>
            <w:r>
              <w:rPr>
                <w:b/>
                <w:color w:val="231F20"/>
                <w:spacing w:val="-2"/>
                <w:w w:val="105"/>
                <w:sz w:val="12"/>
              </w:rPr>
              <w:t>Aeronautics</w:t>
            </w:r>
            <w:r>
              <w:rPr>
                <w:b/>
                <w:color w:val="231F20"/>
                <w:spacing w:val="3"/>
                <w:w w:val="105"/>
                <w:sz w:val="12"/>
              </w:rPr>
              <w:t> </w:t>
            </w:r>
            <w:r>
              <w:rPr>
                <w:b/>
                <w:color w:val="231F20"/>
                <w:spacing w:val="-2"/>
                <w:w w:val="105"/>
                <w:sz w:val="12"/>
              </w:rPr>
              <w:t>&amp;</w:t>
            </w:r>
            <w:r>
              <w:rPr>
                <w:b/>
                <w:color w:val="231F20"/>
                <w:spacing w:val="2"/>
                <w:w w:val="105"/>
                <w:sz w:val="12"/>
              </w:rPr>
              <w:t> </w:t>
            </w:r>
            <w:r>
              <w:rPr>
                <w:b/>
                <w:color w:val="231F20"/>
                <w:spacing w:val="-2"/>
                <w:w w:val="105"/>
                <w:sz w:val="12"/>
              </w:rPr>
              <w:t>Space</w:t>
            </w:r>
            <w:r>
              <w:rPr>
                <w:b/>
                <w:color w:val="231F20"/>
                <w:spacing w:val="3"/>
                <w:w w:val="105"/>
                <w:sz w:val="12"/>
              </w:rPr>
              <w:t> </w:t>
            </w:r>
            <w:r>
              <w:rPr>
                <w:b/>
                <w:color w:val="231F20"/>
                <w:spacing w:val="-2"/>
                <w:w w:val="105"/>
                <w:sz w:val="12"/>
              </w:rPr>
              <w:t>Administration</w:t>
            </w:r>
          </w:p>
        </w:tc>
        <w:tc>
          <w:tcPr>
            <w:tcW w:w="914" w:type="dxa"/>
          </w:tcPr>
          <w:p>
            <w:pPr>
              <w:pStyle w:val="TableParagraph"/>
              <w:rPr>
                <w:rFonts w:ascii="Times New Roman"/>
                <w:sz w:val="12"/>
              </w:rPr>
            </w:pPr>
          </w:p>
        </w:tc>
        <w:tc>
          <w:tcPr>
            <w:tcW w:w="2915" w:type="dxa"/>
          </w:tcPr>
          <w:p>
            <w:pPr>
              <w:pStyle w:val="TableParagraph"/>
              <w:rPr>
                <w:rFonts w:ascii="Times New Roman"/>
                <w:sz w:val="12"/>
              </w:rPr>
            </w:pPr>
          </w:p>
        </w:tc>
        <w:tc>
          <w:tcPr>
            <w:tcW w:w="2622" w:type="dxa"/>
          </w:tcPr>
          <w:p>
            <w:pPr>
              <w:pStyle w:val="TableParagraph"/>
              <w:rPr>
                <w:rFonts w:ascii="Times New Roman"/>
                <w:sz w:val="12"/>
              </w:rPr>
            </w:pPr>
          </w:p>
        </w:tc>
        <w:tc>
          <w:tcPr>
            <w:tcW w:w="1087" w:type="dxa"/>
          </w:tcPr>
          <w:p>
            <w:pPr>
              <w:pStyle w:val="TableParagraph"/>
              <w:rPr>
                <w:rFonts w:ascii="Times New Roman"/>
                <w:sz w:val="12"/>
              </w:rPr>
            </w:pPr>
          </w:p>
        </w:tc>
        <w:tc>
          <w:tcPr>
            <w:tcW w:w="1132" w:type="dxa"/>
            <w:tcBorders>
              <w:top w:val="single" w:sz="8" w:space="0" w:color="231F20"/>
            </w:tcBorders>
          </w:tcPr>
          <w:p>
            <w:pPr>
              <w:pStyle w:val="TableParagraph"/>
              <w:rPr>
                <w:rFonts w:ascii="Times New Roman"/>
                <w:sz w:val="12"/>
              </w:rPr>
            </w:pPr>
          </w:p>
        </w:tc>
        <w:tc>
          <w:tcPr>
            <w:tcW w:w="153" w:type="dxa"/>
          </w:tcPr>
          <w:p>
            <w:pPr>
              <w:pStyle w:val="TableParagraph"/>
              <w:rPr>
                <w:rFonts w:ascii="Times New Roman"/>
                <w:sz w:val="12"/>
              </w:rPr>
            </w:pPr>
          </w:p>
        </w:tc>
        <w:tc>
          <w:tcPr>
            <w:tcW w:w="1147" w:type="dxa"/>
            <w:tcBorders>
              <w:top w:val="single" w:sz="8" w:space="0" w:color="231F20"/>
            </w:tcBorders>
          </w:tcPr>
          <w:p>
            <w:pPr>
              <w:pStyle w:val="TableParagraph"/>
              <w:rPr>
                <w:rFonts w:ascii="Times New Roman"/>
                <w:sz w:val="12"/>
              </w:rPr>
            </w:pPr>
          </w:p>
        </w:tc>
      </w:tr>
      <w:tr>
        <w:trPr>
          <w:trHeight w:val="169" w:hRule="atLeast"/>
        </w:trPr>
        <w:tc>
          <w:tcPr>
            <w:tcW w:w="4457" w:type="dxa"/>
          </w:tcPr>
          <w:p>
            <w:pPr>
              <w:pStyle w:val="TableParagraph"/>
              <w:spacing w:line="132" w:lineRule="exact" w:before="17"/>
              <w:ind w:left="203"/>
              <w:rPr>
                <w:sz w:val="12"/>
              </w:rPr>
            </w:pPr>
            <w:r>
              <w:rPr>
                <w:color w:val="231F20"/>
                <w:w w:val="105"/>
                <w:sz w:val="12"/>
              </w:rPr>
              <w:t>Direct</w:t>
            </w:r>
            <w:r>
              <w:rPr>
                <w:color w:val="231F20"/>
                <w:spacing w:val="-6"/>
                <w:w w:val="105"/>
                <w:sz w:val="12"/>
              </w:rPr>
              <w:t> </w:t>
            </w:r>
            <w:r>
              <w:rPr>
                <w:color w:val="231F20"/>
                <w:spacing w:val="-2"/>
                <w:w w:val="105"/>
                <w:sz w:val="12"/>
              </w:rPr>
              <w:t>Awards</w:t>
            </w:r>
          </w:p>
        </w:tc>
        <w:tc>
          <w:tcPr>
            <w:tcW w:w="914" w:type="dxa"/>
          </w:tcPr>
          <w:p>
            <w:pPr>
              <w:pStyle w:val="TableParagraph"/>
              <w:rPr>
                <w:rFonts w:ascii="Times New Roman"/>
                <w:sz w:val="10"/>
              </w:rPr>
            </w:pPr>
          </w:p>
        </w:tc>
        <w:tc>
          <w:tcPr>
            <w:tcW w:w="2915" w:type="dxa"/>
          </w:tcPr>
          <w:p>
            <w:pPr>
              <w:pStyle w:val="TableParagraph"/>
              <w:rPr>
                <w:rFonts w:ascii="Times New Roman"/>
                <w:sz w:val="10"/>
              </w:rPr>
            </w:pPr>
          </w:p>
        </w:tc>
        <w:tc>
          <w:tcPr>
            <w:tcW w:w="2622" w:type="dxa"/>
          </w:tcPr>
          <w:p>
            <w:pPr>
              <w:pStyle w:val="TableParagraph"/>
              <w:rPr>
                <w:rFonts w:ascii="Times New Roman"/>
                <w:sz w:val="10"/>
              </w:rPr>
            </w:pPr>
          </w:p>
        </w:tc>
        <w:tc>
          <w:tcPr>
            <w:tcW w:w="1087" w:type="dxa"/>
          </w:tcPr>
          <w:p>
            <w:pPr>
              <w:pStyle w:val="TableParagraph"/>
              <w:rPr>
                <w:rFonts w:ascii="Times New Roman"/>
                <w:sz w:val="10"/>
              </w:rPr>
            </w:pPr>
          </w:p>
        </w:tc>
        <w:tc>
          <w:tcPr>
            <w:tcW w:w="1132" w:type="dxa"/>
          </w:tcPr>
          <w:p>
            <w:pPr>
              <w:pStyle w:val="TableParagraph"/>
              <w:rPr>
                <w:rFonts w:ascii="Times New Roman"/>
                <w:sz w:val="10"/>
              </w:rPr>
            </w:pPr>
          </w:p>
        </w:tc>
        <w:tc>
          <w:tcPr>
            <w:tcW w:w="153" w:type="dxa"/>
          </w:tcPr>
          <w:p>
            <w:pPr>
              <w:pStyle w:val="TableParagraph"/>
              <w:rPr>
                <w:rFonts w:ascii="Times New Roman"/>
                <w:sz w:val="10"/>
              </w:rPr>
            </w:pPr>
          </w:p>
        </w:tc>
        <w:tc>
          <w:tcPr>
            <w:tcW w:w="1147" w:type="dxa"/>
          </w:tcPr>
          <w:p>
            <w:pPr>
              <w:pStyle w:val="TableParagraph"/>
              <w:rPr>
                <w:rFonts w:ascii="Times New Roman"/>
                <w:sz w:val="10"/>
              </w:rPr>
            </w:pPr>
          </w:p>
        </w:tc>
      </w:tr>
      <w:tr>
        <w:trPr>
          <w:trHeight w:val="171" w:hRule="atLeast"/>
        </w:trPr>
        <w:tc>
          <w:tcPr>
            <w:tcW w:w="4457" w:type="dxa"/>
          </w:tcPr>
          <w:p>
            <w:pPr>
              <w:pStyle w:val="TableParagraph"/>
              <w:spacing w:line="137" w:lineRule="exact" w:before="14"/>
              <w:ind w:left="374"/>
              <w:rPr>
                <w:sz w:val="12"/>
              </w:rPr>
            </w:pPr>
            <w:r>
              <w:rPr>
                <w:color w:val="231F20"/>
                <w:spacing w:val="-2"/>
                <w:w w:val="105"/>
                <w:sz w:val="12"/>
              </w:rPr>
              <w:t>Science</w:t>
            </w:r>
          </w:p>
        </w:tc>
        <w:tc>
          <w:tcPr>
            <w:tcW w:w="914" w:type="dxa"/>
          </w:tcPr>
          <w:p>
            <w:pPr>
              <w:pStyle w:val="TableParagraph"/>
              <w:spacing w:line="132" w:lineRule="exact" w:before="19"/>
              <w:ind w:left="359"/>
              <w:rPr>
                <w:sz w:val="12"/>
              </w:rPr>
            </w:pPr>
            <w:r>
              <w:rPr>
                <w:color w:val="231F20"/>
                <w:spacing w:val="-4"/>
                <w:w w:val="105"/>
                <w:sz w:val="12"/>
              </w:rPr>
              <w:t>YAGD</w:t>
            </w:r>
          </w:p>
        </w:tc>
        <w:tc>
          <w:tcPr>
            <w:tcW w:w="2915" w:type="dxa"/>
          </w:tcPr>
          <w:p>
            <w:pPr>
              <w:pStyle w:val="TableParagraph"/>
              <w:rPr>
                <w:rFonts w:ascii="Times New Roman"/>
                <w:sz w:val="10"/>
              </w:rPr>
            </w:pPr>
          </w:p>
        </w:tc>
        <w:tc>
          <w:tcPr>
            <w:tcW w:w="2622" w:type="dxa"/>
          </w:tcPr>
          <w:p>
            <w:pPr>
              <w:pStyle w:val="TableParagraph"/>
              <w:spacing w:line="137" w:lineRule="exact" w:before="14"/>
              <w:ind w:left="276"/>
              <w:rPr>
                <w:sz w:val="12"/>
              </w:rPr>
            </w:pPr>
            <w:r>
              <w:rPr>
                <w:color w:val="231F20"/>
                <w:spacing w:val="-2"/>
                <w:w w:val="105"/>
                <w:sz w:val="12"/>
              </w:rPr>
              <w:t>80NSSC21K1547</w:t>
            </w:r>
          </w:p>
        </w:tc>
        <w:tc>
          <w:tcPr>
            <w:tcW w:w="1087" w:type="dxa"/>
          </w:tcPr>
          <w:p>
            <w:pPr>
              <w:pStyle w:val="TableParagraph"/>
              <w:spacing w:line="132" w:lineRule="exact" w:before="19"/>
              <w:ind w:left="319"/>
              <w:rPr>
                <w:sz w:val="12"/>
              </w:rPr>
            </w:pPr>
            <w:r>
              <w:rPr>
                <w:color w:val="231F20"/>
                <w:spacing w:val="-2"/>
                <w:w w:val="105"/>
                <w:sz w:val="12"/>
              </w:rPr>
              <w:t>43.001</w:t>
            </w:r>
          </w:p>
        </w:tc>
        <w:tc>
          <w:tcPr>
            <w:tcW w:w="1132" w:type="dxa"/>
          </w:tcPr>
          <w:p>
            <w:pPr>
              <w:pStyle w:val="TableParagraph"/>
              <w:spacing w:line="132" w:lineRule="exact" w:before="19"/>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19"/>
              <w:ind w:right="81"/>
              <w:jc w:val="right"/>
              <w:rPr>
                <w:sz w:val="12"/>
              </w:rPr>
            </w:pPr>
            <w:r>
              <w:rPr>
                <w:color w:val="231F20"/>
                <w:spacing w:val="-2"/>
                <w:w w:val="105"/>
                <w:sz w:val="12"/>
              </w:rPr>
              <w:t>35,693</w:t>
            </w:r>
          </w:p>
        </w:tc>
      </w:tr>
      <w:tr>
        <w:trPr>
          <w:trHeight w:val="172" w:hRule="atLeast"/>
        </w:trPr>
        <w:tc>
          <w:tcPr>
            <w:tcW w:w="4457" w:type="dxa"/>
          </w:tcPr>
          <w:p>
            <w:pPr>
              <w:pStyle w:val="TableParagraph"/>
              <w:spacing w:before="14"/>
              <w:ind w:left="374"/>
              <w:rPr>
                <w:sz w:val="12"/>
              </w:rPr>
            </w:pPr>
            <w:r>
              <w:rPr>
                <w:color w:val="231F20"/>
                <w:spacing w:val="-2"/>
                <w:w w:val="105"/>
                <w:sz w:val="12"/>
              </w:rPr>
              <w:t>Science</w:t>
            </w:r>
          </w:p>
        </w:tc>
        <w:tc>
          <w:tcPr>
            <w:tcW w:w="914" w:type="dxa"/>
          </w:tcPr>
          <w:p>
            <w:pPr>
              <w:pStyle w:val="TableParagraph"/>
              <w:spacing w:line="132" w:lineRule="exact" w:before="20"/>
              <w:ind w:left="359"/>
              <w:rPr>
                <w:sz w:val="12"/>
              </w:rPr>
            </w:pPr>
            <w:r>
              <w:rPr>
                <w:color w:val="231F20"/>
                <w:spacing w:val="-4"/>
                <w:w w:val="105"/>
                <w:sz w:val="12"/>
              </w:rPr>
              <w:t>YGHB</w:t>
            </w:r>
          </w:p>
        </w:tc>
        <w:tc>
          <w:tcPr>
            <w:tcW w:w="2915" w:type="dxa"/>
          </w:tcPr>
          <w:p>
            <w:pPr>
              <w:pStyle w:val="TableParagraph"/>
              <w:rPr>
                <w:rFonts w:ascii="Times New Roman"/>
                <w:sz w:val="10"/>
              </w:rPr>
            </w:pPr>
          </w:p>
        </w:tc>
        <w:tc>
          <w:tcPr>
            <w:tcW w:w="2622" w:type="dxa"/>
          </w:tcPr>
          <w:p>
            <w:pPr>
              <w:pStyle w:val="TableParagraph"/>
              <w:spacing w:before="14"/>
              <w:ind w:left="276"/>
              <w:rPr>
                <w:sz w:val="12"/>
              </w:rPr>
            </w:pPr>
            <w:r>
              <w:rPr>
                <w:color w:val="231F20"/>
                <w:spacing w:val="-2"/>
                <w:w w:val="105"/>
                <w:sz w:val="12"/>
              </w:rPr>
              <w:t>80NSSC20K0619</w:t>
            </w:r>
          </w:p>
        </w:tc>
        <w:tc>
          <w:tcPr>
            <w:tcW w:w="1087" w:type="dxa"/>
          </w:tcPr>
          <w:p>
            <w:pPr>
              <w:pStyle w:val="TableParagraph"/>
              <w:spacing w:line="132" w:lineRule="exact" w:before="20"/>
              <w:ind w:left="319"/>
              <w:rPr>
                <w:sz w:val="12"/>
              </w:rPr>
            </w:pPr>
            <w:r>
              <w:rPr>
                <w:color w:val="231F20"/>
                <w:spacing w:val="-2"/>
                <w:w w:val="105"/>
                <w:sz w:val="12"/>
              </w:rPr>
              <w:t>43.001</w:t>
            </w:r>
          </w:p>
        </w:tc>
        <w:tc>
          <w:tcPr>
            <w:tcW w:w="1132" w:type="dxa"/>
          </w:tcPr>
          <w:p>
            <w:pPr>
              <w:pStyle w:val="TableParagraph"/>
              <w:spacing w:line="132" w:lineRule="exact" w:before="20"/>
              <w:ind w:right="69"/>
              <w:jc w:val="right"/>
              <w:rPr>
                <w:sz w:val="12"/>
              </w:rPr>
            </w:pPr>
            <w:r>
              <w:rPr>
                <w:color w:val="231F20"/>
                <w:spacing w:val="-2"/>
                <w:w w:val="105"/>
                <w:sz w:val="12"/>
              </w:rPr>
              <w:t>90,026</w:t>
            </w:r>
          </w:p>
        </w:tc>
        <w:tc>
          <w:tcPr>
            <w:tcW w:w="153" w:type="dxa"/>
          </w:tcPr>
          <w:p>
            <w:pPr>
              <w:pStyle w:val="TableParagraph"/>
              <w:rPr>
                <w:rFonts w:ascii="Times New Roman"/>
                <w:sz w:val="10"/>
              </w:rPr>
            </w:pPr>
          </w:p>
        </w:tc>
        <w:tc>
          <w:tcPr>
            <w:tcW w:w="1147" w:type="dxa"/>
          </w:tcPr>
          <w:p>
            <w:pPr>
              <w:pStyle w:val="TableParagraph"/>
              <w:spacing w:line="132" w:lineRule="exact" w:before="20"/>
              <w:ind w:right="82"/>
              <w:jc w:val="right"/>
              <w:rPr>
                <w:sz w:val="12"/>
              </w:rPr>
            </w:pPr>
            <w:r>
              <w:rPr>
                <w:color w:val="231F20"/>
                <w:spacing w:val="-2"/>
                <w:w w:val="105"/>
                <w:sz w:val="12"/>
              </w:rPr>
              <w:t>159,737</w:t>
            </w:r>
          </w:p>
        </w:tc>
      </w:tr>
      <w:tr>
        <w:trPr>
          <w:trHeight w:val="171" w:hRule="atLeast"/>
        </w:trPr>
        <w:tc>
          <w:tcPr>
            <w:tcW w:w="4457" w:type="dxa"/>
          </w:tcPr>
          <w:p>
            <w:pPr>
              <w:pStyle w:val="TableParagraph"/>
              <w:spacing w:line="137" w:lineRule="exact" w:before="14"/>
              <w:ind w:left="374"/>
              <w:rPr>
                <w:sz w:val="12"/>
              </w:rPr>
            </w:pPr>
            <w:r>
              <w:rPr>
                <w:color w:val="231F20"/>
                <w:spacing w:val="-2"/>
                <w:w w:val="105"/>
                <w:sz w:val="12"/>
              </w:rPr>
              <w:t>Science</w:t>
            </w:r>
          </w:p>
        </w:tc>
        <w:tc>
          <w:tcPr>
            <w:tcW w:w="914" w:type="dxa"/>
          </w:tcPr>
          <w:p>
            <w:pPr>
              <w:pStyle w:val="TableParagraph"/>
              <w:spacing w:line="132" w:lineRule="exact" w:before="19"/>
              <w:ind w:left="324"/>
              <w:rPr>
                <w:sz w:val="12"/>
              </w:rPr>
            </w:pPr>
            <w:r>
              <w:rPr>
                <w:color w:val="231F20"/>
                <w:spacing w:val="-4"/>
                <w:w w:val="105"/>
                <w:sz w:val="12"/>
              </w:rPr>
              <w:t>YNEO2</w:t>
            </w:r>
          </w:p>
        </w:tc>
        <w:tc>
          <w:tcPr>
            <w:tcW w:w="2915" w:type="dxa"/>
          </w:tcPr>
          <w:p>
            <w:pPr>
              <w:pStyle w:val="TableParagraph"/>
              <w:rPr>
                <w:rFonts w:ascii="Times New Roman"/>
                <w:sz w:val="10"/>
              </w:rPr>
            </w:pPr>
          </w:p>
        </w:tc>
        <w:tc>
          <w:tcPr>
            <w:tcW w:w="2622" w:type="dxa"/>
          </w:tcPr>
          <w:p>
            <w:pPr>
              <w:pStyle w:val="TableParagraph"/>
              <w:spacing w:line="137" w:lineRule="exact" w:before="14"/>
              <w:ind w:left="277"/>
              <w:rPr>
                <w:sz w:val="12"/>
              </w:rPr>
            </w:pPr>
            <w:r>
              <w:rPr>
                <w:color w:val="231F20"/>
                <w:spacing w:val="-2"/>
                <w:w w:val="105"/>
                <w:sz w:val="12"/>
              </w:rPr>
              <w:t>80NSSC19K0425</w:t>
            </w:r>
          </w:p>
        </w:tc>
        <w:tc>
          <w:tcPr>
            <w:tcW w:w="1087" w:type="dxa"/>
          </w:tcPr>
          <w:p>
            <w:pPr>
              <w:pStyle w:val="TableParagraph"/>
              <w:spacing w:line="132" w:lineRule="exact" w:before="19"/>
              <w:ind w:left="319"/>
              <w:rPr>
                <w:sz w:val="12"/>
              </w:rPr>
            </w:pPr>
            <w:r>
              <w:rPr>
                <w:color w:val="231F20"/>
                <w:spacing w:val="-2"/>
                <w:w w:val="105"/>
                <w:sz w:val="12"/>
              </w:rPr>
              <w:t>43.001</w:t>
            </w:r>
          </w:p>
        </w:tc>
        <w:tc>
          <w:tcPr>
            <w:tcW w:w="1132" w:type="dxa"/>
          </w:tcPr>
          <w:p>
            <w:pPr>
              <w:pStyle w:val="TableParagraph"/>
              <w:spacing w:line="132" w:lineRule="exact" w:before="19"/>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19"/>
              <w:ind w:right="81"/>
              <w:jc w:val="right"/>
              <w:rPr>
                <w:sz w:val="12"/>
              </w:rPr>
            </w:pPr>
            <w:r>
              <w:rPr>
                <w:color w:val="231F20"/>
                <w:spacing w:val="-2"/>
                <w:w w:val="105"/>
                <w:sz w:val="12"/>
              </w:rPr>
              <w:t>249,012</w:t>
            </w:r>
          </w:p>
        </w:tc>
      </w:tr>
      <w:tr>
        <w:trPr>
          <w:trHeight w:val="172" w:hRule="atLeast"/>
        </w:trPr>
        <w:tc>
          <w:tcPr>
            <w:tcW w:w="4457" w:type="dxa"/>
          </w:tcPr>
          <w:p>
            <w:pPr>
              <w:pStyle w:val="TableParagraph"/>
              <w:spacing w:before="14"/>
              <w:ind w:left="374"/>
              <w:rPr>
                <w:sz w:val="12"/>
              </w:rPr>
            </w:pPr>
            <w:r>
              <w:rPr>
                <w:color w:val="231F20"/>
                <w:spacing w:val="-2"/>
                <w:w w:val="105"/>
                <w:sz w:val="12"/>
              </w:rPr>
              <w:t>Science</w:t>
            </w:r>
          </w:p>
        </w:tc>
        <w:tc>
          <w:tcPr>
            <w:tcW w:w="914" w:type="dxa"/>
          </w:tcPr>
          <w:p>
            <w:pPr>
              <w:pStyle w:val="TableParagraph"/>
              <w:spacing w:line="132" w:lineRule="exact" w:before="20"/>
              <w:ind w:left="352"/>
              <w:rPr>
                <w:sz w:val="12"/>
              </w:rPr>
            </w:pPr>
            <w:r>
              <w:rPr>
                <w:color w:val="231F20"/>
                <w:spacing w:val="-4"/>
                <w:w w:val="105"/>
                <w:sz w:val="12"/>
              </w:rPr>
              <w:t>YORG</w:t>
            </w:r>
          </w:p>
        </w:tc>
        <w:tc>
          <w:tcPr>
            <w:tcW w:w="2915" w:type="dxa"/>
          </w:tcPr>
          <w:p>
            <w:pPr>
              <w:pStyle w:val="TableParagraph"/>
              <w:rPr>
                <w:rFonts w:ascii="Times New Roman"/>
                <w:sz w:val="10"/>
              </w:rPr>
            </w:pPr>
          </w:p>
        </w:tc>
        <w:tc>
          <w:tcPr>
            <w:tcW w:w="2622" w:type="dxa"/>
          </w:tcPr>
          <w:p>
            <w:pPr>
              <w:pStyle w:val="TableParagraph"/>
              <w:spacing w:before="14"/>
              <w:ind w:left="277"/>
              <w:rPr>
                <w:sz w:val="12"/>
              </w:rPr>
            </w:pPr>
            <w:r>
              <w:rPr>
                <w:color w:val="231F20"/>
                <w:spacing w:val="-2"/>
                <w:w w:val="105"/>
                <w:sz w:val="12"/>
              </w:rPr>
              <w:t>80NSSC21M0214</w:t>
            </w:r>
          </w:p>
        </w:tc>
        <w:tc>
          <w:tcPr>
            <w:tcW w:w="1087" w:type="dxa"/>
          </w:tcPr>
          <w:p>
            <w:pPr>
              <w:pStyle w:val="TableParagraph"/>
              <w:spacing w:line="132" w:lineRule="exact" w:before="20"/>
              <w:ind w:left="319"/>
              <w:rPr>
                <w:sz w:val="12"/>
              </w:rPr>
            </w:pPr>
            <w:r>
              <w:rPr>
                <w:color w:val="231F20"/>
                <w:spacing w:val="-2"/>
                <w:w w:val="105"/>
                <w:sz w:val="12"/>
              </w:rPr>
              <w:t>43.001</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1"/>
              <w:jc w:val="right"/>
              <w:rPr>
                <w:sz w:val="12"/>
              </w:rPr>
            </w:pPr>
            <w:r>
              <w:rPr>
                <w:color w:val="231F20"/>
                <w:spacing w:val="-2"/>
                <w:w w:val="105"/>
                <w:sz w:val="12"/>
              </w:rPr>
              <w:t>23,468</w:t>
            </w:r>
          </w:p>
        </w:tc>
      </w:tr>
      <w:tr>
        <w:trPr>
          <w:trHeight w:val="171" w:hRule="atLeast"/>
        </w:trPr>
        <w:tc>
          <w:tcPr>
            <w:tcW w:w="4457" w:type="dxa"/>
          </w:tcPr>
          <w:p>
            <w:pPr>
              <w:pStyle w:val="TableParagraph"/>
              <w:spacing w:line="137" w:lineRule="exact" w:before="14"/>
              <w:ind w:left="374"/>
              <w:rPr>
                <w:sz w:val="12"/>
              </w:rPr>
            </w:pPr>
            <w:r>
              <w:rPr>
                <w:color w:val="231F20"/>
                <w:w w:val="105"/>
                <w:sz w:val="12"/>
              </w:rPr>
              <w:t>Space</w:t>
            </w:r>
            <w:r>
              <w:rPr>
                <w:color w:val="231F20"/>
                <w:spacing w:val="-8"/>
                <w:w w:val="105"/>
                <w:sz w:val="12"/>
              </w:rPr>
              <w:t> </w:t>
            </w:r>
            <w:r>
              <w:rPr>
                <w:color w:val="231F20"/>
                <w:spacing w:val="-2"/>
                <w:w w:val="105"/>
                <w:sz w:val="12"/>
              </w:rPr>
              <w:t>Technology</w:t>
            </w:r>
          </w:p>
        </w:tc>
        <w:tc>
          <w:tcPr>
            <w:tcW w:w="914" w:type="dxa"/>
          </w:tcPr>
          <w:p>
            <w:pPr>
              <w:pStyle w:val="TableParagraph"/>
              <w:spacing w:line="132" w:lineRule="exact" w:before="19"/>
              <w:ind w:left="366"/>
              <w:rPr>
                <w:sz w:val="12"/>
              </w:rPr>
            </w:pPr>
            <w:r>
              <w:rPr>
                <w:color w:val="231F20"/>
                <w:spacing w:val="-4"/>
                <w:w w:val="105"/>
                <w:sz w:val="12"/>
              </w:rPr>
              <w:t>YADP</w:t>
            </w:r>
          </w:p>
        </w:tc>
        <w:tc>
          <w:tcPr>
            <w:tcW w:w="2915" w:type="dxa"/>
          </w:tcPr>
          <w:p>
            <w:pPr>
              <w:pStyle w:val="TableParagraph"/>
              <w:rPr>
                <w:rFonts w:ascii="Times New Roman"/>
                <w:sz w:val="10"/>
              </w:rPr>
            </w:pPr>
          </w:p>
        </w:tc>
        <w:tc>
          <w:tcPr>
            <w:tcW w:w="2622" w:type="dxa"/>
          </w:tcPr>
          <w:p>
            <w:pPr>
              <w:pStyle w:val="TableParagraph"/>
              <w:spacing w:line="137" w:lineRule="exact" w:before="14"/>
              <w:ind w:left="277"/>
              <w:rPr>
                <w:sz w:val="12"/>
              </w:rPr>
            </w:pPr>
            <w:r>
              <w:rPr>
                <w:color w:val="231F20"/>
                <w:spacing w:val="-2"/>
                <w:w w:val="105"/>
                <w:sz w:val="12"/>
              </w:rPr>
              <w:t>80NSSC19K1188</w:t>
            </w:r>
          </w:p>
        </w:tc>
        <w:tc>
          <w:tcPr>
            <w:tcW w:w="1087" w:type="dxa"/>
          </w:tcPr>
          <w:p>
            <w:pPr>
              <w:pStyle w:val="TableParagraph"/>
              <w:spacing w:line="132" w:lineRule="exact" w:before="19"/>
              <w:ind w:left="319"/>
              <w:rPr>
                <w:sz w:val="12"/>
              </w:rPr>
            </w:pPr>
            <w:r>
              <w:rPr>
                <w:color w:val="231F20"/>
                <w:spacing w:val="-2"/>
                <w:w w:val="105"/>
                <w:sz w:val="12"/>
              </w:rPr>
              <w:t>43.012</w:t>
            </w:r>
          </w:p>
        </w:tc>
        <w:tc>
          <w:tcPr>
            <w:tcW w:w="1132" w:type="dxa"/>
          </w:tcPr>
          <w:p>
            <w:pPr>
              <w:pStyle w:val="TableParagraph"/>
              <w:spacing w:line="132" w:lineRule="exact" w:before="19"/>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19"/>
              <w:ind w:right="81"/>
              <w:jc w:val="right"/>
              <w:rPr>
                <w:sz w:val="12"/>
              </w:rPr>
            </w:pPr>
            <w:r>
              <w:rPr>
                <w:color w:val="231F20"/>
                <w:spacing w:val="-2"/>
                <w:w w:val="105"/>
                <w:sz w:val="12"/>
              </w:rPr>
              <w:t>19,783</w:t>
            </w:r>
          </w:p>
        </w:tc>
      </w:tr>
      <w:tr>
        <w:trPr>
          <w:trHeight w:val="172" w:hRule="atLeast"/>
        </w:trPr>
        <w:tc>
          <w:tcPr>
            <w:tcW w:w="4457" w:type="dxa"/>
          </w:tcPr>
          <w:p>
            <w:pPr>
              <w:pStyle w:val="TableParagraph"/>
              <w:spacing w:before="14"/>
              <w:ind w:left="374"/>
              <w:rPr>
                <w:sz w:val="12"/>
              </w:rPr>
            </w:pPr>
            <w:r>
              <w:rPr>
                <w:color w:val="231F20"/>
                <w:spacing w:val="-2"/>
                <w:w w:val="105"/>
                <w:sz w:val="12"/>
              </w:rPr>
              <w:t>Unknown</w:t>
            </w:r>
          </w:p>
        </w:tc>
        <w:tc>
          <w:tcPr>
            <w:tcW w:w="914" w:type="dxa"/>
          </w:tcPr>
          <w:p>
            <w:pPr>
              <w:pStyle w:val="TableParagraph"/>
              <w:spacing w:line="132" w:lineRule="exact" w:before="20"/>
              <w:ind w:left="353"/>
              <w:rPr>
                <w:sz w:val="12"/>
              </w:rPr>
            </w:pPr>
            <w:r>
              <w:rPr>
                <w:color w:val="231F20"/>
                <w:spacing w:val="-4"/>
                <w:w w:val="105"/>
                <w:sz w:val="12"/>
              </w:rPr>
              <w:t>YMND</w:t>
            </w:r>
          </w:p>
        </w:tc>
        <w:tc>
          <w:tcPr>
            <w:tcW w:w="2915" w:type="dxa"/>
          </w:tcPr>
          <w:p>
            <w:pPr>
              <w:pStyle w:val="TableParagraph"/>
              <w:rPr>
                <w:rFonts w:ascii="Times New Roman"/>
                <w:sz w:val="10"/>
              </w:rPr>
            </w:pPr>
          </w:p>
        </w:tc>
        <w:tc>
          <w:tcPr>
            <w:tcW w:w="2622" w:type="dxa"/>
          </w:tcPr>
          <w:p>
            <w:pPr>
              <w:pStyle w:val="TableParagraph"/>
              <w:spacing w:before="14"/>
              <w:ind w:left="277"/>
              <w:rPr>
                <w:sz w:val="12"/>
              </w:rPr>
            </w:pPr>
            <w:r>
              <w:rPr>
                <w:color w:val="231F20"/>
                <w:sz w:val="12"/>
              </w:rPr>
              <w:t>LETTER</w:t>
            </w:r>
            <w:r>
              <w:rPr>
                <w:color w:val="231F20"/>
                <w:spacing w:val="34"/>
                <w:sz w:val="12"/>
              </w:rPr>
              <w:t> </w:t>
            </w:r>
            <w:r>
              <w:rPr>
                <w:color w:val="231F20"/>
                <w:sz w:val="12"/>
              </w:rPr>
              <w:t>1/28/21-</w:t>
            </w:r>
            <w:r>
              <w:rPr>
                <w:color w:val="231F20"/>
                <w:spacing w:val="-2"/>
                <w:sz w:val="12"/>
              </w:rPr>
              <w:t>EBRAHIMKHANLOU</w:t>
            </w:r>
          </w:p>
        </w:tc>
        <w:tc>
          <w:tcPr>
            <w:tcW w:w="1087" w:type="dxa"/>
          </w:tcPr>
          <w:p>
            <w:pPr>
              <w:pStyle w:val="TableParagraph"/>
              <w:spacing w:line="132" w:lineRule="exact" w:before="20"/>
              <w:ind w:left="333"/>
              <w:rPr>
                <w:sz w:val="12"/>
              </w:rPr>
            </w:pPr>
            <w:r>
              <w:rPr>
                <w:color w:val="231F20"/>
                <w:spacing w:val="-2"/>
                <w:w w:val="105"/>
                <w:sz w:val="12"/>
              </w:rPr>
              <w:t>43.RD</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1"/>
              <w:jc w:val="right"/>
              <w:rPr>
                <w:sz w:val="12"/>
              </w:rPr>
            </w:pPr>
            <w:r>
              <w:rPr>
                <w:color w:val="231F20"/>
                <w:spacing w:val="-2"/>
                <w:w w:val="105"/>
                <w:sz w:val="12"/>
              </w:rPr>
              <w:t>1,141</w:t>
            </w:r>
          </w:p>
        </w:tc>
      </w:tr>
      <w:tr>
        <w:trPr>
          <w:trHeight w:val="165" w:hRule="atLeast"/>
        </w:trPr>
        <w:tc>
          <w:tcPr>
            <w:tcW w:w="4457" w:type="dxa"/>
          </w:tcPr>
          <w:p>
            <w:pPr>
              <w:pStyle w:val="TableParagraph"/>
              <w:spacing w:line="131" w:lineRule="exact" w:before="14"/>
              <w:ind w:left="374"/>
              <w:rPr>
                <w:sz w:val="12"/>
              </w:rPr>
            </w:pPr>
            <w:r>
              <w:rPr>
                <w:color w:val="231F20"/>
                <w:spacing w:val="-2"/>
                <w:w w:val="105"/>
                <w:sz w:val="12"/>
              </w:rPr>
              <w:t>Unknown</w:t>
            </w:r>
          </w:p>
        </w:tc>
        <w:tc>
          <w:tcPr>
            <w:tcW w:w="914" w:type="dxa"/>
          </w:tcPr>
          <w:p>
            <w:pPr>
              <w:pStyle w:val="TableParagraph"/>
              <w:spacing w:line="125" w:lineRule="exact" w:before="20"/>
              <w:ind w:left="318"/>
              <w:rPr>
                <w:sz w:val="12"/>
              </w:rPr>
            </w:pPr>
            <w:r>
              <w:rPr>
                <w:color w:val="231F20"/>
                <w:spacing w:val="-4"/>
                <w:w w:val="105"/>
                <w:sz w:val="12"/>
              </w:rPr>
              <w:t>YMND2</w:t>
            </w:r>
          </w:p>
        </w:tc>
        <w:tc>
          <w:tcPr>
            <w:tcW w:w="2915" w:type="dxa"/>
          </w:tcPr>
          <w:p>
            <w:pPr>
              <w:pStyle w:val="TableParagraph"/>
              <w:rPr>
                <w:rFonts w:ascii="Times New Roman"/>
                <w:sz w:val="10"/>
              </w:rPr>
            </w:pPr>
          </w:p>
        </w:tc>
        <w:tc>
          <w:tcPr>
            <w:tcW w:w="2622" w:type="dxa"/>
          </w:tcPr>
          <w:p>
            <w:pPr>
              <w:pStyle w:val="TableParagraph"/>
              <w:spacing w:line="131" w:lineRule="exact" w:before="14"/>
              <w:ind w:left="277"/>
              <w:rPr>
                <w:sz w:val="12"/>
              </w:rPr>
            </w:pPr>
            <w:r>
              <w:rPr>
                <w:color w:val="231F20"/>
                <w:sz w:val="12"/>
              </w:rPr>
              <w:t>LETTER</w:t>
            </w:r>
            <w:r>
              <w:rPr>
                <w:color w:val="231F20"/>
                <w:spacing w:val="34"/>
                <w:sz w:val="12"/>
              </w:rPr>
              <w:t> </w:t>
            </w:r>
            <w:r>
              <w:rPr>
                <w:color w:val="231F20"/>
                <w:sz w:val="12"/>
              </w:rPr>
              <w:t>1/28/21-</w:t>
            </w:r>
            <w:r>
              <w:rPr>
                <w:color w:val="231F20"/>
                <w:spacing w:val="-2"/>
                <w:sz w:val="12"/>
              </w:rPr>
              <w:t>HASSANALIAN</w:t>
            </w:r>
          </w:p>
        </w:tc>
        <w:tc>
          <w:tcPr>
            <w:tcW w:w="1087" w:type="dxa"/>
          </w:tcPr>
          <w:p>
            <w:pPr>
              <w:pStyle w:val="TableParagraph"/>
              <w:spacing w:line="125" w:lineRule="exact" w:before="20"/>
              <w:ind w:left="333"/>
              <w:rPr>
                <w:sz w:val="12"/>
              </w:rPr>
            </w:pPr>
            <w:r>
              <w:rPr>
                <w:color w:val="231F20"/>
                <w:spacing w:val="-2"/>
                <w:w w:val="105"/>
                <w:sz w:val="12"/>
              </w:rPr>
              <w:t>43.RD</w:t>
            </w:r>
          </w:p>
        </w:tc>
        <w:tc>
          <w:tcPr>
            <w:tcW w:w="1132" w:type="dxa"/>
            <w:tcBorders>
              <w:bottom w:val="single" w:sz="8" w:space="0" w:color="231F20"/>
            </w:tcBorders>
          </w:tcPr>
          <w:p>
            <w:pPr>
              <w:pStyle w:val="TableParagraph"/>
              <w:spacing w:line="125"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Borders>
              <w:bottom w:val="single" w:sz="8" w:space="0" w:color="231F20"/>
            </w:tcBorders>
          </w:tcPr>
          <w:p>
            <w:pPr>
              <w:pStyle w:val="TableParagraph"/>
              <w:spacing w:line="125" w:lineRule="exact" w:before="20"/>
              <w:ind w:right="81"/>
              <w:jc w:val="right"/>
              <w:rPr>
                <w:sz w:val="12"/>
              </w:rPr>
            </w:pPr>
            <w:r>
              <w:rPr>
                <w:color w:val="231F20"/>
                <w:spacing w:val="-2"/>
                <w:w w:val="105"/>
                <w:sz w:val="12"/>
              </w:rPr>
              <w:t>2,097</w:t>
            </w:r>
          </w:p>
        </w:tc>
      </w:tr>
      <w:tr>
        <w:trPr>
          <w:trHeight w:val="247" w:hRule="atLeast"/>
        </w:trPr>
        <w:tc>
          <w:tcPr>
            <w:tcW w:w="4457" w:type="dxa"/>
          </w:tcPr>
          <w:p>
            <w:pPr>
              <w:pStyle w:val="TableParagraph"/>
              <w:spacing w:before="6"/>
              <w:ind w:left="203"/>
              <w:rPr>
                <w:b/>
                <w:sz w:val="12"/>
              </w:rPr>
            </w:pPr>
            <w:r>
              <w:rPr>
                <w:b/>
                <w:color w:val="231F20"/>
                <w:spacing w:val="-2"/>
                <w:w w:val="105"/>
                <w:sz w:val="12"/>
              </w:rPr>
              <w:t>Total</w:t>
            </w:r>
            <w:r>
              <w:rPr>
                <w:b/>
                <w:color w:val="231F20"/>
                <w:spacing w:val="2"/>
                <w:w w:val="105"/>
                <w:sz w:val="12"/>
              </w:rPr>
              <w:t> </w:t>
            </w:r>
            <w:r>
              <w:rPr>
                <w:b/>
                <w:color w:val="231F20"/>
                <w:spacing w:val="-2"/>
                <w:w w:val="105"/>
                <w:sz w:val="12"/>
              </w:rPr>
              <w:t>Direct</w:t>
            </w:r>
            <w:r>
              <w:rPr>
                <w:b/>
                <w:color w:val="231F20"/>
                <w:spacing w:val="2"/>
                <w:w w:val="105"/>
                <w:sz w:val="12"/>
              </w:rPr>
              <w:t> </w:t>
            </w:r>
            <w:r>
              <w:rPr>
                <w:b/>
                <w:color w:val="231F20"/>
                <w:spacing w:val="-2"/>
                <w:w w:val="105"/>
                <w:sz w:val="12"/>
              </w:rPr>
              <w:t>National</w:t>
            </w:r>
            <w:r>
              <w:rPr>
                <w:b/>
                <w:color w:val="231F20"/>
                <w:spacing w:val="3"/>
                <w:w w:val="105"/>
                <w:sz w:val="12"/>
              </w:rPr>
              <w:t> </w:t>
            </w:r>
            <w:r>
              <w:rPr>
                <w:b/>
                <w:color w:val="231F20"/>
                <w:spacing w:val="-2"/>
                <w:w w:val="105"/>
                <w:sz w:val="12"/>
              </w:rPr>
              <w:t>Aeronautics</w:t>
            </w:r>
            <w:r>
              <w:rPr>
                <w:b/>
                <w:color w:val="231F20"/>
                <w:spacing w:val="3"/>
                <w:w w:val="105"/>
                <w:sz w:val="12"/>
              </w:rPr>
              <w:t> </w:t>
            </w:r>
            <w:r>
              <w:rPr>
                <w:b/>
                <w:color w:val="231F20"/>
                <w:spacing w:val="-2"/>
                <w:w w:val="105"/>
                <w:sz w:val="12"/>
              </w:rPr>
              <w:t>&amp;</w:t>
            </w:r>
            <w:r>
              <w:rPr>
                <w:b/>
                <w:color w:val="231F20"/>
                <w:spacing w:val="3"/>
                <w:w w:val="105"/>
                <w:sz w:val="12"/>
              </w:rPr>
              <w:t> </w:t>
            </w:r>
            <w:r>
              <w:rPr>
                <w:b/>
                <w:color w:val="231F20"/>
                <w:spacing w:val="-2"/>
                <w:w w:val="105"/>
                <w:sz w:val="12"/>
              </w:rPr>
              <w:t>Space</w:t>
            </w:r>
            <w:r>
              <w:rPr>
                <w:b/>
                <w:color w:val="231F20"/>
                <w:spacing w:val="2"/>
                <w:w w:val="105"/>
                <w:sz w:val="12"/>
              </w:rPr>
              <w:t> </w:t>
            </w:r>
            <w:r>
              <w:rPr>
                <w:b/>
                <w:color w:val="231F20"/>
                <w:spacing w:val="-2"/>
                <w:w w:val="105"/>
                <w:sz w:val="12"/>
              </w:rPr>
              <w:t>Administration</w:t>
            </w:r>
          </w:p>
        </w:tc>
        <w:tc>
          <w:tcPr>
            <w:tcW w:w="914" w:type="dxa"/>
          </w:tcPr>
          <w:p>
            <w:pPr>
              <w:pStyle w:val="TableParagraph"/>
              <w:rPr>
                <w:rFonts w:ascii="Times New Roman"/>
                <w:sz w:val="12"/>
              </w:rPr>
            </w:pPr>
          </w:p>
        </w:tc>
        <w:tc>
          <w:tcPr>
            <w:tcW w:w="2915" w:type="dxa"/>
          </w:tcPr>
          <w:p>
            <w:pPr>
              <w:pStyle w:val="TableParagraph"/>
              <w:rPr>
                <w:rFonts w:ascii="Times New Roman"/>
                <w:sz w:val="12"/>
              </w:rPr>
            </w:pPr>
          </w:p>
        </w:tc>
        <w:tc>
          <w:tcPr>
            <w:tcW w:w="2622" w:type="dxa"/>
          </w:tcPr>
          <w:p>
            <w:pPr>
              <w:pStyle w:val="TableParagraph"/>
              <w:rPr>
                <w:rFonts w:ascii="Times New Roman"/>
                <w:sz w:val="12"/>
              </w:rPr>
            </w:pPr>
          </w:p>
        </w:tc>
        <w:tc>
          <w:tcPr>
            <w:tcW w:w="1087" w:type="dxa"/>
          </w:tcPr>
          <w:p>
            <w:pPr>
              <w:pStyle w:val="TableParagraph"/>
              <w:rPr>
                <w:rFonts w:ascii="Times New Roman"/>
                <w:sz w:val="12"/>
              </w:rPr>
            </w:pPr>
          </w:p>
        </w:tc>
        <w:tc>
          <w:tcPr>
            <w:tcW w:w="1132" w:type="dxa"/>
            <w:tcBorders>
              <w:top w:val="single" w:sz="8" w:space="0" w:color="231F20"/>
            </w:tcBorders>
          </w:tcPr>
          <w:p>
            <w:pPr>
              <w:pStyle w:val="TableParagraph"/>
              <w:spacing w:before="6"/>
              <w:ind w:right="68"/>
              <w:jc w:val="right"/>
              <w:rPr>
                <w:b/>
                <w:sz w:val="12"/>
              </w:rPr>
            </w:pPr>
            <w:r>
              <w:rPr>
                <w:b/>
                <w:color w:val="231F20"/>
                <w:spacing w:val="-2"/>
                <w:w w:val="105"/>
                <w:sz w:val="12"/>
              </w:rPr>
              <w:t>90,026</w:t>
            </w:r>
          </w:p>
        </w:tc>
        <w:tc>
          <w:tcPr>
            <w:tcW w:w="153" w:type="dxa"/>
          </w:tcPr>
          <w:p>
            <w:pPr>
              <w:pStyle w:val="TableParagraph"/>
              <w:rPr>
                <w:rFonts w:ascii="Times New Roman"/>
                <w:sz w:val="12"/>
              </w:rPr>
            </w:pPr>
          </w:p>
        </w:tc>
        <w:tc>
          <w:tcPr>
            <w:tcW w:w="1147" w:type="dxa"/>
            <w:tcBorders>
              <w:top w:val="single" w:sz="8" w:space="0" w:color="231F20"/>
            </w:tcBorders>
          </w:tcPr>
          <w:p>
            <w:pPr>
              <w:pStyle w:val="TableParagraph"/>
              <w:spacing w:before="6"/>
              <w:ind w:right="82"/>
              <w:jc w:val="right"/>
              <w:rPr>
                <w:b/>
                <w:sz w:val="12"/>
              </w:rPr>
            </w:pPr>
            <w:r>
              <w:rPr>
                <w:b/>
                <w:color w:val="231F20"/>
                <w:spacing w:val="-2"/>
                <w:w w:val="105"/>
                <w:sz w:val="12"/>
              </w:rPr>
              <w:t>490,931</w:t>
            </w:r>
          </w:p>
        </w:tc>
      </w:tr>
      <w:tr>
        <w:trPr>
          <w:trHeight w:val="255" w:hRule="atLeast"/>
        </w:trPr>
        <w:tc>
          <w:tcPr>
            <w:tcW w:w="4457" w:type="dxa"/>
          </w:tcPr>
          <w:p>
            <w:pPr>
              <w:pStyle w:val="TableParagraph"/>
              <w:spacing w:line="132" w:lineRule="exact" w:before="103"/>
              <w:ind w:left="203"/>
              <w:rPr>
                <w:sz w:val="12"/>
              </w:rPr>
            </w:pPr>
            <w:r>
              <w:rPr>
                <w:color w:val="231F20"/>
                <w:sz w:val="12"/>
              </w:rPr>
              <w:t>Pass-</w:t>
            </w:r>
            <w:r>
              <w:rPr>
                <w:color w:val="231F20"/>
                <w:spacing w:val="-2"/>
                <w:w w:val="105"/>
                <w:sz w:val="12"/>
              </w:rPr>
              <w:t>through</w:t>
            </w:r>
          </w:p>
        </w:tc>
        <w:tc>
          <w:tcPr>
            <w:tcW w:w="914" w:type="dxa"/>
          </w:tcPr>
          <w:p>
            <w:pPr>
              <w:pStyle w:val="TableParagraph"/>
              <w:rPr>
                <w:rFonts w:ascii="Times New Roman"/>
                <w:sz w:val="12"/>
              </w:rPr>
            </w:pPr>
          </w:p>
        </w:tc>
        <w:tc>
          <w:tcPr>
            <w:tcW w:w="2915" w:type="dxa"/>
          </w:tcPr>
          <w:p>
            <w:pPr>
              <w:pStyle w:val="TableParagraph"/>
              <w:rPr>
                <w:rFonts w:ascii="Times New Roman"/>
                <w:sz w:val="12"/>
              </w:rPr>
            </w:pPr>
          </w:p>
        </w:tc>
        <w:tc>
          <w:tcPr>
            <w:tcW w:w="2622" w:type="dxa"/>
          </w:tcPr>
          <w:p>
            <w:pPr>
              <w:pStyle w:val="TableParagraph"/>
              <w:rPr>
                <w:rFonts w:ascii="Times New Roman"/>
                <w:sz w:val="12"/>
              </w:rPr>
            </w:pPr>
          </w:p>
        </w:tc>
        <w:tc>
          <w:tcPr>
            <w:tcW w:w="1087" w:type="dxa"/>
          </w:tcPr>
          <w:p>
            <w:pPr>
              <w:pStyle w:val="TableParagraph"/>
              <w:rPr>
                <w:rFonts w:ascii="Times New Roman"/>
                <w:sz w:val="12"/>
              </w:rPr>
            </w:pPr>
          </w:p>
        </w:tc>
        <w:tc>
          <w:tcPr>
            <w:tcW w:w="1132" w:type="dxa"/>
          </w:tcPr>
          <w:p>
            <w:pPr>
              <w:pStyle w:val="TableParagraph"/>
              <w:rPr>
                <w:rFonts w:ascii="Times New Roman"/>
                <w:sz w:val="12"/>
              </w:rPr>
            </w:pPr>
          </w:p>
        </w:tc>
        <w:tc>
          <w:tcPr>
            <w:tcW w:w="153" w:type="dxa"/>
          </w:tcPr>
          <w:p>
            <w:pPr>
              <w:pStyle w:val="TableParagraph"/>
              <w:rPr>
                <w:rFonts w:ascii="Times New Roman"/>
                <w:sz w:val="12"/>
              </w:rPr>
            </w:pPr>
          </w:p>
        </w:tc>
        <w:tc>
          <w:tcPr>
            <w:tcW w:w="1147" w:type="dxa"/>
          </w:tcPr>
          <w:p>
            <w:pPr>
              <w:pStyle w:val="TableParagraph"/>
              <w:rPr>
                <w:rFonts w:ascii="Times New Roman"/>
                <w:sz w:val="12"/>
              </w:rPr>
            </w:pPr>
          </w:p>
        </w:tc>
      </w:tr>
      <w:tr>
        <w:trPr>
          <w:trHeight w:val="172" w:hRule="atLeast"/>
        </w:trPr>
        <w:tc>
          <w:tcPr>
            <w:tcW w:w="4457" w:type="dxa"/>
          </w:tcPr>
          <w:p>
            <w:pPr>
              <w:pStyle w:val="TableParagraph"/>
              <w:spacing w:line="137" w:lineRule="exact" w:before="14"/>
              <w:ind w:left="374"/>
              <w:rPr>
                <w:sz w:val="12"/>
              </w:rPr>
            </w:pPr>
            <w:r>
              <w:rPr>
                <w:color w:val="231F20"/>
                <w:spacing w:val="-2"/>
                <w:w w:val="105"/>
                <w:sz w:val="12"/>
              </w:rPr>
              <w:t>Science</w:t>
            </w:r>
          </w:p>
        </w:tc>
        <w:tc>
          <w:tcPr>
            <w:tcW w:w="914" w:type="dxa"/>
          </w:tcPr>
          <w:p>
            <w:pPr>
              <w:pStyle w:val="TableParagraph"/>
              <w:spacing w:line="132" w:lineRule="exact" w:before="20"/>
              <w:ind w:left="348"/>
              <w:rPr>
                <w:sz w:val="12"/>
              </w:rPr>
            </w:pPr>
            <w:r>
              <w:rPr>
                <w:color w:val="231F20"/>
                <w:spacing w:val="-4"/>
                <w:w w:val="105"/>
                <w:sz w:val="12"/>
              </w:rPr>
              <w:t>MDVO</w:t>
            </w:r>
          </w:p>
        </w:tc>
        <w:tc>
          <w:tcPr>
            <w:tcW w:w="2915" w:type="dxa"/>
          </w:tcPr>
          <w:p>
            <w:pPr>
              <w:pStyle w:val="TableParagraph"/>
              <w:spacing w:line="137" w:lineRule="exact"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line="137" w:lineRule="exact" w:before="14"/>
              <w:ind w:left="276"/>
              <w:rPr>
                <w:sz w:val="12"/>
              </w:rPr>
            </w:pPr>
            <w:r>
              <w:rPr>
                <w:color w:val="231F20"/>
                <w:spacing w:val="-2"/>
                <w:w w:val="105"/>
                <w:sz w:val="12"/>
              </w:rPr>
              <w:t>Q02148</w:t>
            </w:r>
          </w:p>
        </w:tc>
        <w:tc>
          <w:tcPr>
            <w:tcW w:w="1087" w:type="dxa"/>
          </w:tcPr>
          <w:p>
            <w:pPr>
              <w:pStyle w:val="TableParagraph"/>
              <w:spacing w:line="132" w:lineRule="exact" w:before="20"/>
              <w:ind w:left="319"/>
              <w:rPr>
                <w:sz w:val="12"/>
              </w:rPr>
            </w:pPr>
            <w:r>
              <w:rPr>
                <w:color w:val="231F20"/>
                <w:spacing w:val="-2"/>
                <w:w w:val="105"/>
                <w:sz w:val="12"/>
              </w:rPr>
              <w:t>43.001</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1"/>
              <w:jc w:val="right"/>
              <w:rPr>
                <w:sz w:val="12"/>
              </w:rPr>
            </w:pPr>
            <w:r>
              <w:rPr>
                <w:color w:val="231F20"/>
                <w:spacing w:val="-2"/>
                <w:w w:val="105"/>
                <w:sz w:val="12"/>
              </w:rPr>
              <w:t>20,112</w:t>
            </w:r>
          </w:p>
        </w:tc>
      </w:tr>
      <w:tr>
        <w:trPr>
          <w:trHeight w:val="172" w:hRule="atLeast"/>
        </w:trPr>
        <w:tc>
          <w:tcPr>
            <w:tcW w:w="4457" w:type="dxa"/>
          </w:tcPr>
          <w:p>
            <w:pPr>
              <w:pStyle w:val="TableParagraph"/>
              <w:spacing w:before="14"/>
              <w:ind w:left="374"/>
              <w:rPr>
                <w:sz w:val="12"/>
              </w:rPr>
            </w:pPr>
            <w:r>
              <w:rPr>
                <w:color w:val="231F20"/>
                <w:w w:val="105"/>
                <w:sz w:val="12"/>
              </w:rPr>
              <w:t>Office</w:t>
            </w:r>
            <w:r>
              <w:rPr>
                <w:color w:val="231F20"/>
                <w:spacing w:val="-8"/>
                <w:w w:val="105"/>
                <w:sz w:val="12"/>
              </w:rPr>
              <w:t> </w:t>
            </w:r>
            <w:r>
              <w:rPr>
                <w:color w:val="231F20"/>
                <w:w w:val="105"/>
                <w:sz w:val="12"/>
              </w:rPr>
              <w:t>of</w:t>
            </w:r>
            <w:r>
              <w:rPr>
                <w:color w:val="231F20"/>
                <w:spacing w:val="-8"/>
                <w:w w:val="105"/>
                <w:sz w:val="12"/>
              </w:rPr>
              <w:t> </w:t>
            </w:r>
            <w:r>
              <w:rPr>
                <w:color w:val="231F20"/>
                <w:w w:val="105"/>
                <w:sz w:val="12"/>
              </w:rPr>
              <w:t>Stem</w:t>
            </w:r>
            <w:r>
              <w:rPr>
                <w:color w:val="231F20"/>
                <w:spacing w:val="-7"/>
                <w:w w:val="105"/>
                <w:sz w:val="12"/>
              </w:rPr>
              <w:t> </w:t>
            </w:r>
            <w:r>
              <w:rPr>
                <w:color w:val="231F20"/>
                <w:w w:val="105"/>
                <w:sz w:val="12"/>
              </w:rPr>
              <w:t>Engagement</w:t>
            </w:r>
            <w:r>
              <w:rPr>
                <w:color w:val="231F20"/>
                <w:spacing w:val="-7"/>
                <w:w w:val="105"/>
                <w:sz w:val="12"/>
              </w:rPr>
              <w:t> </w:t>
            </w:r>
            <w:r>
              <w:rPr>
                <w:color w:val="231F20"/>
                <w:spacing w:val="-2"/>
                <w:w w:val="105"/>
                <w:sz w:val="12"/>
              </w:rPr>
              <w:t>(OSTEM)</w:t>
            </w:r>
          </w:p>
        </w:tc>
        <w:tc>
          <w:tcPr>
            <w:tcW w:w="914" w:type="dxa"/>
          </w:tcPr>
          <w:p>
            <w:pPr>
              <w:pStyle w:val="TableParagraph"/>
              <w:spacing w:line="133" w:lineRule="exact" w:before="20"/>
              <w:ind w:left="340"/>
              <w:rPr>
                <w:sz w:val="12"/>
              </w:rPr>
            </w:pPr>
            <w:r>
              <w:rPr>
                <w:color w:val="231F20"/>
                <w:spacing w:val="-4"/>
                <w:w w:val="105"/>
                <w:sz w:val="12"/>
              </w:rPr>
              <w:t>MCOM</w:t>
            </w:r>
          </w:p>
        </w:tc>
        <w:tc>
          <w:tcPr>
            <w:tcW w:w="2915" w:type="dxa"/>
          </w:tcPr>
          <w:p>
            <w:pPr>
              <w:pStyle w:val="TableParagraph"/>
              <w:spacing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before="14"/>
              <w:ind w:left="276"/>
              <w:rPr>
                <w:sz w:val="12"/>
              </w:rPr>
            </w:pPr>
            <w:r>
              <w:rPr>
                <w:color w:val="231F20"/>
                <w:spacing w:val="-2"/>
                <w:w w:val="105"/>
                <w:sz w:val="12"/>
              </w:rPr>
              <w:t>Q02190</w:t>
            </w:r>
          </w:p>
        </w:tc>
        <w:tc>
          <w:tcPr>
            <w:tcW w:w="1087" w:type="dxa"/>
          </w:tcPr>
          <w:p>
            <w:pPr>
              <w:pStyle w:val="TableParagraph"/>
              <w:spacing w:line="133" w:lineRule="exact" w:before="20"/>
              <w:ind w:left="319"/>
              <w:rPr>
                <w:sz w:val="12"/>
              </w:rPr>
            </w:pPr>
            <w:r>
              <w:rPr>
                <w:color w:val="231F20"/>
                <w:spacing w:val="-2"/>
                <w:w w:val="105"/>
                <w:sz w:val="12"/>
              </w:rPr>
              <w:t>43.008</w:t>
            </w:r>
          </w:p>
        </w:tc>
        <w:tc>
          <w:tcPr>
            <w:tcW w:w="1132" w:type="dxa"/>
          </w:tcPr>
          <w:p>
            <w:pPr>
              <w:pStyle w:val="TableParagraph"/>
              <w:spacing w:line="133"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1"/>
              <w:ind w:right="82"/>
              <w:jc w:val="right"/>
              <w:rPr>
                <w:sz w:val="12"/>
              </w:rPr>
            </w:pPr>
            <w:r>
              <w:rPr>
                <w:color w:val="231F20"/>
                <w:spacing w:val="-5"/>
                <w:w w:val="105"/>
                <w:sz w:val="12"/>
              </w:rPr>
              <w:t>748</w:t>
            </w:r>
          </w:p>
        </w:tc>
      </w:tr>
      <w:tr>
        <w:trPr>
          <w:trHeight w:val="172" w:hRule="atLeast"/>
        </w:trPr>
        <w:tc>
          <w:tcPr>
            <w:tcW w:w="4457" w:type="dxa"/>
          </w:tcPr>
          <w:p>
            <w:pPr>
              <w:pStyle w:val="TableParagraph"/>
              <w:spacing w:line="137" w:lineRule="exact" w:before="14"/>
              <w:ind w:left="374"/>
              <w:rPr>
                <w:sz w:val="12"/>
              </w:rPr>
            </w:pPr>
            <w:r>
              <w:rPr>
                <w:color w:val="231F20"/>
                <w:w w:val="105"/>
                <w:sz w:val="12"/>
              </w:rPr>
              <w:t>Office</w:t>
            </w:r>
            <w:r>
              <w:rPr>
                <w:color w:val="231F20"/>
                <w:spacing w:val="-8"/>
                <w:w w:val="105"/>
                <w:sz w:val="12"/>
              </w:rPr>
              <w:t> </w:t>
            </w:r>
            <w:r>
              <w:rPr>
                <w:color w:val="231F20"/>
                <w:w w:val="105"/>
                <w:sz w:val="12"/>
              </w:rPr>
              <w:t>of</w:t>
            </w:r>
            <w:r>
              <w:rPr>
                <w:color w:val="231F20"/>
                <w:spacing w:val="-8"/>
                <w:w w:val="105"/>
                <w:sz w:val="12"/>
              </w:rPr>
              <w:t> </w:t>
            </w:r>
            <w:r>
              <w:rPr>
                <w:color w:val="231F20"/>
                <w:w w:val="105"/>
                <w:sz w:val="12"/>
              </w:rPr>
              <w:t>Stem</w:t>
            </w:r>
            <w:r>
              <w:rPr>
                <w:color w:val="231F20"/>
                <w:spacing w:val="-7"/>
                <w:w w:val="105"/>
                <w:sz w:val="12"/>
              </w:rPr>
              <w:t> </w:t>
            </w:r>
            <w:r>
              <w:rPr>
                <w:color w:val="231F20"/>
                <w:w w:val="105"/>
                <w:sz w:val="12"/>
              </w:rPr>
              <w:t>Engagement</w:t>
            </w:r>
            <w:r>
              <w:rPr>
                <w:color w:val="231F20"/>
                <w:spacing w:val="-7"/>
                <w:w w:val="105"/>
                <w:sz w:val="12"/>
              </w:rPr>
              <w:t> </w:t>
            </w:r>
            <w:r>
              <w:rPr>
                <w:color w:val="231F20"/>
                <w:spacing w:val="-2"/>
                <w:w w:val="105"/>
                <w:sz w:val="12"/>
              </w:rPr>
              <w:t>(OSTEM)</w:t>
            </w:r>
          </w:p>
        </w:tc>
        <w:tc>
          <w:tcPr>
            <w:tcW w:w="914" w:type="dxa"/>
          </w:tcPr>
          <w:p>
            <w:pPr>
              <w:pStyle w:val="TableParagraph"/>
              <w:spacing w:line="132" w:lineRule="exact" w:before="20"/>
              <w:ind w:left="350"/>
              <w:rPr>
                <w:sz w:val="12"/>
              </w:rPr>
            </w:pPr>
            <w:r>
              <w:rPr>
                <w:color w:val="231F20"/>
                <w:spacing w:val="-4"/>
                <w:w w:val="105"/>
                <w:sz w:val="12"/>
              </w:rPr>
              <w:t>MMPA</w:t>
            </w:r>
          </w:p>
        </w:tc>
        <w:tc>
          <w:tcPr>
            <w:tcW w:w="2915" w:type="dxa"/>
          </w:tcPr>
          <w:p>
            <w:pPr>
              <w:pStyle w:val="TableParagraph"/>
              <w:spacing w:line="137" w:lineRule="exact"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line="137" w:lineRule="exact" w:before="14"/>
              <w:ind w:left="276"/>
              <w:rPr>
                <w:sz w:val="12"/>
              </w:rPr>
            </w:pPr>
            <w:r>
              <w:rPr>
                <w:color w:val="231F20"/>
                <w:spacing w:val="-2"/>
                <w:w w:val="105"/>
                <w:sz w:val="12"/>
              </w:rPr>
              <w:t>Q02174</w:t>
            </w:r>
          </w:p>
        </w:tc>
        <w:tc>
          <w:tcPr>
            <w:tcW w:w="1087" w:type="dxa"/>
          </w:tcPr>
          <w:p>
            <w:pPr>
              <w:pStyle w:val="TableParagraph"/>
              <w:spacing w:line="132" w:lineRule="exact" w:before="20"/>
              <w:ind w:left="319"/>
              <w:rPr>
                <w:sz w:val="12"/>
              </w:rPr>
            </w:pPr>
            <w:r>
              <w:rPr>
                <w:color w:val="231F20"/>
                <w:spacing w:val="-2"/>
                <w:w w:val="105"/>
                <w:sz w:val="12"/>
              </w:rPr>
              <w:t>43.008</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1"/>
              <w:jc w:val="right"/>
              <w:rPr>
                <w:sz w:val="12"/>
              </w:rPr>
            </w:pPr>
            <w:r>
              <w:rPr>
                <w:color w:val="231F20"/>
                <w:spacing w:val="-2"/>
                <w:w w:val="105"/>
                <w:sz w:val="12"/>
              </w:rPr>
              <w:t>3,320</w:t>
            </w:r>
          </w:p>
        </w:tc>
      </w:tr>
      <w:tr>
        <w:trPr>
          <w:trHeight w:val="172" w:hRule="atLeast"/>
        </w:trPr>
        <w:tc>
          <w:tcPr>
            <w:tcW w:w="4457" w:type="dxa"/>
          </w:tcPr>
          <w:p>
            <w:pPr>
              <w:pStyle w:val="TableParagraph"/>
              <w:spacing w:before="14"/>
              <w:ind w:left="374"/>
              <w:rPr>
                <w:sz w:val="12"/>
              </w:rPr>
            </w:pPr>
            <w:r>
              <w:rPr>
                <w:color w:val="231F20"/>
                <w:w w:val="105"/>
                <w:sz w:val="12"/>
              </w:rPr>
              <w:t>Office</w:t>
            </w:r>
            <w:r>
              <w:rPr>
                <w:color w:val="231F20"/>
                <w:spacing w:val="-8"/>
                <w:w w:val="105"/>
                <w:sz w:val="12"/>
              </w:rPr>
              <w:t> </w:t>
            </w:r>
            <w:r>
              <w:rPr>
                <w:color w:val="231F20"/>
                <w:w w:val="105"/>
                <w:sz w:val="12"/>
              </w:rPr>
              <w:t>of</w:t>
            </w:r>
            <w:r>
              <w:rPr>
                <w:color w:val="231F20"/>
                <w:spacing w:val="-8"/>
                <w:w w:val="105"/>
                <w:sz w:val="12"/>
              </w:rPr>
              <w:t> </w:t>
            </w:r>
            <w:r>
              <w:rPr>
                <w:color w:val="231F20"/>
                <w:w w:val="105"/>
                <w:sz w:val="12"/>
              </w:rPr>
              <w:t>Stem</w:t>
            </w:r>
            <w:r>
              <w:rPr>
                <w:color w:val="231F20"/>
                <w:spacing w:val="-7"/>
                <w:w w:val="105"/>
                <w:sz w:val="12"/>
              </w:rPr>
              <w:t> </w:t>
            </w:r>
            <w:r>
              <w:rPr>
                <w:color w:val="231F20"/>
                <w:w w:val="105"/>
                <w:sz w:val="12"/>
              </w:rPr>
              <w:t>Engagement</w:t>
            </w:r>
            <w:r>
              <w:rPr>
                <w:color w:val="231F20"/>
                <w:spacing w:val="-7"/>
                <w:w w:val="105"/>
                <w:sz w:val="12"/>
              </w:rPr>
              <w:t> </w:t>
            </w:r>
            <w:r>
              <w:rPr>
                <w:color w:val="231F20"/>
                <w:spacing w:val="-2"/>
                <w:w w:val="105"/>
                <w:sz w:val="12"/>
              </w:rPr>
              <w:t>(OSTEM)</w:t>
            </w:r>
          </w:p>
        </w:tc>
        <w:tc>
          <w:tcPr>
            <w:tcW w:w="914" w:type="dxa"/>
          </w:tcPr>
          <w:p>
            <w:pPr>
              <w:pStyle w:val="TableParagraph"/>
              <w:spacing w:line="132" w:lineRule="exact" w:before="20"/>
              <w:ind w:left="346"/>
              <w:rPr>
                <w:sz w:val="12"/>
              </w:rPr>
            </w:pPr>
            <w:r>
              <w:rPr>
                <w:color w:val="231F20"/>
                <w:spacing w:val="-4"/>
                <w:w w:val="105"/>
                <w:sz w:val="12"/>
              </w:rPr>
              <w:t>MMRS</w:t>
            </w:r>
          </w:p>
        </w:tc>
        <w:tc>
          <w:tcPr>
            <w:tcW w:w="2915" w:type="dxa"/>
          </w:tcPr>
          <w:p>
            <w:pPr>
              <w:pStyle w:val="TableParagraph"/>
              <w:spacing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before="14"/>
              <w:ind w:left="276"/>
              <w:rPr>
                <w:sz w:val="12"/>
              </w:rPr>
            </w:pPr>
            <w:r>
              <w:rPr>
                <w:color w:val="231F20"/>
                <w:spacing w:val="-2"/>
                <w:w w:val="105"/>
                <w:sz w:val="12"/>
              </w:rPr>
              <w:t>Q02189</w:t>
            </w:r>
          </w:p>
        </w:tc>
        <w:tc>
          <w:tcPr>
            <w:tcW w:w="1087" w:type="dxa"/>
          </w:tcPr>
          <w:p>
            <w:pPr>
              <w:pStyle w:val="TableParagraph"/>
              <w:spacing w:line="132" w:lineRule="exact" w:before="20"/>
              <w:ind w:left="319"/>
              <w:rPr>
                <w:sz w:val="12"/>
              </w:rPr>
            </w:pPr>
            <w:r>
              <w:rPr>
                <w:color w:val="231F20"/>
                <w:spacing w:val="-2"/>
                <w:w w:val="105"/>
                <w:sz w:val="12"/>
              </w:rPr>
              <w:t>43.008</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2"/>
              <w:jc w:val="right"/>
              <w:rPr>
                <w:sz w:val="12"/>
              </w:rPr>
            </w:pPr>
            <w:r>
              <w:rPr>
                <w:color w:val="231F20"/>
                <w:spacing w:val="-5"/>
                <w:w w:val="105"/>
                <w:sz w:val="12"/>
              </w:rPr>
              <w:t>922</w:t>
            </w:r>
          </w:p>
        </w:tc>
      </w:tr>
      <w:tr>
        <w:trPr>
          <w:trHeight w:val="172" w:hRule="atLeast"/>
        </w:trPr>
        <w:tc>
          <w:tcPr>
            <w:tcW w:w="4457" w:type="dxa"/>
          </w:tcPr>
          <w:p>
            <w:pPr>
              <w:pStyle w:val="TableParagraph"/>
              <w:spacing w:line="137" w:lineRule="exact" w:before="14"/>
              <w:ind w:left="374"/>
              <w:rPr>
                <w:sz w:val="12"/>
              </w:rPr>
            </w:pPr>
            <w:r>
              <w:rPr>
                <w:color w:val="231F20"/>
                <w:w w:val="105"/>
                <w:sz w:val="12"/>
              </w:rPr>
              <w:t>Office</w:t>
            </w:r>
            <w:r>
              <w:rPr>
                <w:color w:val="231F20"/>
                <w:spacing w:val="-8"/>
                <w:w w:val="105"/>
                <w:sz w:val="12"/>
              </w:rPr>
              <w:t> </w:t>
            </w:r>
            <w:r>
              <w:rPr>
                <w:color w:val="231F20"/>
                <w:w w:val="105"/>
                <w:sz w:val="12"/>
              </w:rPr>
              <w:t>of</w:t>
            </w:r>
            <w:r>
              <w:rPr>
                <w:color w:val="231F20"/>
                <w:spacing w:val="-8"/>
                <w:w w:val="105"/>
                <w:sz w:val="12"/>
              </w:rPr>
              <w:t> </w:t>
            </w:r>
            <w:r>
              <w:rPr>
                <w:color w:val="231F20"/>
                <w:w w:val="105"/>
                <w:sz w:val="12"/>
              </w:rPr>
              <w:t>Stem</w:t>
            </w:r>
            <w:r>
              <w:rPr>
                <w:color w:val="231F20"/>
                <w:spacing w:val="-7"/>
                <w:w w:val="105"/>
                <w:sz w:val="12"/>
              </w:rPr>
              <w:t> </w:t>
            </w:r>
            <w:r>
              <w:rPr>
                <w:color w:val="231F20"/>
                <w:w w:val="105"/>
                <w:sz w:val="12"/>
              </w:rPr>
              <w:t>Engagement</w:t>
            </w:r>
            <w:r>
              <w:rPr>
                <w:color w:val="231F20"/>
                <w:spacing w:val="-7"/>
                <w:w w:val="105"/>
                <w:sz w:val="12"/>
              </w:rPr>
              <w:t> </w:t>
            </w:r>
            <w:r>
              <w:rPr>
                <w:color w:val="231F20"/>
                <w:spacing w:val="-2"/>
                <w:w w:val="105"/>
                <w:sz w:val="12"/>
              </w:rPr>
              <w:t>(OSTEM)</w:t>
            </w:r>
          </w:p>
        </w:tc>
        <w:tc>
          <w:tcPr>
            <w:tcW w:w="914" w:type="dxa"/>
          </w:tcPr>
          <w:p>
            <w:pPr>
              <w:pStyle w:val="TableParagraph"/>
              <w:spacing w:line="132" w:lineRule="exact" w:before="20"/>
              <w:ind w:left="346"/>
              <w:rPr>
                <w:sz w:val="12"/>
              </w:rPr>
            </w:pPr>
            <w:r>
              <w:rPr>
                <w:color w:val="231F20"/>
                <w:spacing w:val="-4"/>
                <w:w w:val="105"/>
                <w:sz w:val="12"/>
              </w:rPr>
              <w:t>MMSD</w:t>
            </w:r>
          </w:p>
        </w:tc>
        <w:tc>
          <w:tcPr>
            <w:tcW w:w="2915" w:type="dxa"/>
          </w:tcPr>
          <w:p>
            <w:pPr>
              <w:pStyle w:val="TableParagraph"/>
              <w:spacing w:line="137" w:lineRule="exact"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line="137" w:lineRule="exact" w:before="14"/>
              <w:ind w:left="276"/>
              <w:rPr>
                <w:sz w:val="12"/>
              </w:rPr>
            </w:pPr>
            <w:r>
              <w:rPr>
                <w:color w:val="231F20"/>
                <w:spacing w:val="-2"/>
                <w:w w:val="105"/>
                <w:sz w:val="12"/>
              </w:rPr>
              <w:t>Q02152</w:t>
            </w:r>
          </w:p>
        </w:tc>
        <w:tc>
          <w:tcPr>
            <w:tcW w:w="1087" w:type="dxa"/>
          </w:tcPr>
          <w:p>
            <w:pPr>
              <w:pStyle w:val="TableParagraph"/>
              <w:spacing w:line="132" w:lineRule="exact" w:before="20"/>
              <w:ind w:left="318"/>
              <w:rPr>
                <w:sz w:val="12"/>
              </w:rPr>
            </w:pPr>
            <w:r>
              <w:rPr>
                <w:color w:val="231F20"/>
                <w:spacing w:val="-2"/>
                <w:w w:val="105"/>
                <w:sz w:val="12"/>
              </w:rPr>
              <w:t>43.008</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2"/>
              <w:jc w:val="right"/>
              <w:rPr>
                <w:sz w:val="12"/>
              </w:rPr>
            </w:pPr>
            <w:r>
              <w:rPr>
                <w:color w:val="231F20"/>
                <w:spacing w:val="-5"/>
                <w:w w:val="105"/>
                <w:sz w:val="12"/>
              </w:rPr>
              <w:t>838</w:t>
            </w:r>
          </w:p>
        </w:tc>
      </w:tr>
      <w:tr>
        <w:trPr>
          <w:trHeight w:val="172" w:hRule="atLeast"/>
        </w:trPr>
        <w:tc>
          <w:tcPr>
            <w:tcW w:w="4457" w:type="dxa"/>
          </w:tcPr>
          <w:p>
            <w:pPr>
              <w:pStyle w:val="TableParagraph"/>
              <w:spacing w:before="14"/>
              <w:ind w:left="374"/>
              <w:rPr>
                <w:sz w:val="12"/>
              </w:rPr>
            </w:pPr>
            <w:r>
              <w:rPr>
                <w:color w:val="231F20"/>
                <w:w w:val="105"/>
                <w:sz w:val="12"/>
              </w:rPr>
              <w:t>Office</w:t>
            </w:r>
            <w:r>
              <w:rPr>
                <w:color w:val="231F20"/>
                <w:spacing w:val="-8"/>
                <w:w w:val="105"/>
                <w:sz w:val="12"/>
              </w:rPr>
              <w:t> </w:t>
            </w:r>
            <w:r>
              <w:rPr>
                <w:color w:val="231F20"/>
                <w:w w:val="105"/>
                <w:sz w:val="12"/>
              </w:rPr>
              <w:t>of</w:t>
            </w:r>
            <w:r>
              <w:rPr>
                <w:color w:val="231F20"/>
                <w:spacing w:val="-8"/>
                <w:w w:val="105"/>
                <w:sz w:val="12"/>
              </w:rPr>
              <w:t> </w:t>
            </w:r>
            <w:r>
              <w:rPr>
                <w:color w:val="231F20"/>
                <w:w w:val="105"/>
                <w:sz w:val="12"/>
              </w:rPr>
              <w:t>Stem</w:t>
            </w:r>
            <w:r>
              <w:rPr>
                <w:color w:val="231F20"/>
                <w:spacing w:val="-7"/>
                <w:w w:val="105"/>
                <w:sz w:val="12"/>
              </w:rPr>
              <w:t> </w:t>
            </w:r>
            <w:r>
              <w:rPr>
                <w:color w:val="231F20"/>
                <w:w w:val="105"/>
                <w:sz w:val="12"/>
              </w:rPr>
              <w:t>Engagement</w:t>
            </w:r>
            <w:r>
              <w:rPr>
                <w:color w:val="231F20"/>
                <w:spacing w:val="-7"/>
                <w:w w:val="105"/>
                <w:sz w:val="12"/>
              </w:rPr>
              <w:t> </w:t>
            </w:r>
            <w:r>
              <w:rPr>
                <w:color w:val="231F20"/>
                <w:spacing w:val="-2"/>
                <w:w w:val="105"/>
                <w:sz w:val="12"/>
              </w:rPr>
              <w:t>(OSTEM)</w:t>
            </w:r>
          </w:p>
        </w:tc>
        <w:tc>
          <w:tcPr>
            <w:tcW w:w="914" w:type="dxa"/>
          </w:tcPr>
          <w:p>
            <w:pPr>
              <w:pStyle w:val="TableParagraph"/>
              <w:spacing w:line="132" w:lineRule="exact" w:before="20"/>
              <w:ind w:left="348"/>
              <w:rPr>
                <w:sz w:val="12"/>
              </w:rPr>
            </w:pPr>
            <w:r>
              <w:rPr>
                <w:color w:val="231F20"/>
                <w:spacing w:val="-4"/>
                <w:w w:val="105"/>
                <w:sz w:val="12"/>
              </w:rPr>
              <w:t>MNGA</w:t>
            </w:r>
          </w:p>
        </w:tc>
        <w:tc>
          <w:tcPr>
            <w:tcW w:w="2915" w:type="dxa"/>
          </w:tcPr>
          <w:p>
            <w:pPr>
              <w:pStyle w:val="TableParagraph"/>
              <w:spacing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before="14"/>
              <w:ind w:left="276"/>
              <w:rPr>
                <w:sz w:val="12"/>
              </w:rPr>
            </w:pPr>
            <w:r>
              <w:rPr>
                <w:color w:val="231F20"/>
                <w:spacing w:val="-2"/>
                <w:w w:val="105"/>
                <w:sz w:val="12"/>
              </w:rPr>
              <w:t>Q02210</w:t>
            </w:r>
          </w:p>
        </w:tc>
        <w:tc>
          <w:tcPr>
            <w:tcW w:w="1087" w:type="dxa"/>
          </w:tcPr>
          <w:p>
            <w:pPr>
              <w:pStyle w:val="TableParagraph"/>
              <w:spacing w:line="132" w:lineRule="exact" w:before="20"/>
              <w:ind w:left="318"/>
              <w:rPr>
                <w:sz w:val="12"/>
              </w:rPr>
            </w:pPr>
            <w:r>
              <w:rPr>
                <w:color w:val="231F20"/>
                <w:spacing w:val="-2"/>
                <w:w w:val="105"/>
                <w:sz w:val="12"/>
              </w:rPr>
              <w:t>43.008</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1"/>
              <w:jc w:val="right"/>
              <w:rPr>
                <w:sz w:val="12"/>
              </w:rPr>
            </w:pPr>
            <w:r>
              <w:rPr>
                <w:color w:val="231F20"/>
                <w:spacing w:val="-2"/>
                <w:w w:val="105"/>
                <w:sz w:val="12"/>
              </w:rPr>
              <w:t>65,848</w:t>
            </w:r>
          </w:p>
        </w:tc>
      </w:tr>
      <w:tr>
        <w:trPr>
          <w:trHeight w:val="172" w:hRule="atLeast"/>
        </w:trPr>
        <w:tc>
          <w:tcPr>
            <w:tcW w:w="4457" w:type="dxa"/>
          </w:tcPr>
          <w:p>
            <w:pPr>
              <w:pStyle w:val="TableParagraph"/>
              <w:spacing w:line="137" w:lineRule="exact" w:before="14"/>
              <w:ind w:left="374"/>
              <w:rPr>
                <w:sz w:val="12"/>
              </w:rPr>
            </w:pPr>
            <w:r>
              <w:rPr>
                <w:color w:val="231F20"/>
                <w:w w:val="105"/>
                <w:sz w:val="12"/>
              </w:rPr>
              <w:t>Office</w:t>
            </w:r>
            <w:r>
              <w:rPr>
                <w:color w:val="231F20"/>
                <w:spacing w:val="-8"/>
                <w:w w:val="105"/>
                <w:sz w:val="12"/>
              </w:rPr>
              <w:t> </w:t>
            </w:r>
            <w:r>
              <w:rPr>
                <w:color w:val="231F20"/>
                <w:w w:val="105"/>
                <w:sz w:val="12"/>
              </w:rPr>
              <w:t>of</w:t>
            </w:r>
            <w:r>
              <w:rPr>
                <w:color w:val="231F20"/>
                <w:spacing w:val="-8"/>
                <w:w w:val="105"/>
                <w:sz w:val="12"/>
              </w:rPr>
              <w:t> </w:t>
            </w:r>
            <w:r>
              <w:rPr>
                <w:color w:val="231F20"/>
                <w:w w:val="105"/>
                <w:sz w:val="12"/>
              </w:rPr>
              <w:t>Stem</w:t>
            </w:r>
            <w:r>
              <w:rPr>
                <w:color w:val="231F20"/>
                <w:spacing w:val="-7"/>
                <w:w w:val="105"/>
                <w:sz w:val="12"/>
              </w:rPr>
              <w:t> </w:t>
            </w:r>
            <w:r>
              <w:rPr>
                <w:color w:val="231F20"/>
                <w:w w:val="105"/>
                <w:sz w:val="12"/>
              </w:rPr>
              <w:t>Engagement</w:t>
            </w:r>
            <w:r>
              <w:rPr>
                <w:color w:val="231F20"/>
                <w:spacing w:val="-7"/>
                <w:w w:val="105"/>
                <w:sz w:val="12"/>
              </w:rPr>
              <w:t> </w:t>
            </w:r>
            <w:r>
              <w:rPr>
                <w:color w:val="231F20"/>
                <w:spacing w:val="-2"/>
                <w:w w:val="105"/>
                <w:sz w:val="12"/>
              </w:rPr>
              <w:t>(OSTEM)</w:t>
            </w:r>
          </w:p>
        </w:tc>
        <w:tc>
          <w:tcPr>
            <w:tcW w:w="914" w:type="dxa"/>
          </w:tcPr>
          <w:p>
            <w:pPr>
              <w:pStyle w:val="TableParagraph"/>
              <w:spacing w:line="132" w:lineRule="exact" w:before="20"/>
              <w:ind w:left="345"/>
              <w:rPr>
                <w:sz w:val="12"/>
              </w:rPr>
            </w:pPr>
            <w:r>
              <w:rPr>
                <w:color w:val="231F20"/>
                <w:spacing w:val="-4"/>
                <w:w w:val="105"/>
                <w:sz w:val="12"/>
              </w:rPr>
              <w:t>MNGU</w:t>
            </w:r>
          </w:p>
        </w:tc>
        <w:tc>
          <w:tcPr>
            <w:tcW w:w="2915" w:type="dxa"/>
          </w:tcPr>
          <w:p>
            <w:pPr>
              <w:pStyle w:val="TableParagraph"/>
              <w:spacing w:line="137" w:lineRule="exact"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line="137" w:lineRule="exact" w:before="14"/>
              <w:ind w:left="276"/>
              <w:rPr>
                <w:sz w:val="12"/>
              </w:rPr>
            </w:pPr>
            <w:r>
              <w:rPr>
                <w:color w:val="231F20"/>
                <w:spacing w:val="-2"/>
                <w:w w:val="105"/>
                <w:sz w:val="12"/>
              </w:rPr>
              <w:t>Q01923</w:t>
            </w:r>
          </w:p>
        </w:tc>
        <w:tc>
          <w:tcPr>
            <w:tcW w:w="1087" w:type="dxa"/>
          </w:tcPr>
          <w:p>
            <w:pPr>
              <w:pStyle w:val="TableParagraph"/>
              <w:spacing w:line="132" w:lineRule="exact" w:before="20"/>
              <w:ind w:left="318"/>
              <w:rPr>
                <w:sz w:val="12"/>
              </w:rPr>
            </w:pPr>
            <w:r>
              <w:rPr>
                <w:color w:val="231F20"/>
                <w:spacing w:val="-2"/>
                <w:w w:val="105"/>
                <w:sz w:val="12"/>
              </w:rPr>
              <w:t>43.008</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1"/>
              <w:jc w:val="right"/>
              <w:rPr>
                <w:sz w:val="12"/>
              </w:rPr>
            </w:pPr>
            <w:r>
              <w:rPr>
                <w:color w:val="231F20"/>
                <w:spacing w:val="-2"/>
                <w:w w:val="105"/>
                <w:sz w:val="12"/>
              </w:rPr>
              <w:t>17,641</w:t>
            </w:r>
          </w:p>
        </w:tc>
      </w:tr>
      <w:tr>
        <w:trPr>
          <w:trHeight w:val="172" w:hRule="atLeast"/>
        </w:trPr>
        <w:tc>
          <w:tcPr>
            <w:tcW w:w="4457" w:type="dxa"/>
          </w:tcPr>
          <w:p>
            <w:pPr>
              <w:pStyle w:val="TableParagraph"/>
              <w:spacing w:before="14"/>
              <w:ind w:left="374"/>
              <w:rPr>
                <w:sz w:val="12"/>
              </w:rPr>
            </w:pPr>
            <w:r>
              <w:rPr>
                <w:color w:val="231F20"/>
                <w:w w:val="105"/>
                <w:sz w:val="12"/>
              </w:rPr>
              <w:t>Office</w:t>
            </w:r>
            <w:r>
              <w:rPr>
                <w:color w:val="231F20"/>
                <w:spacing w:val="-8"/>
                <w:w w:val="105"/>
                <w:sz w:val="12"/>
              </w:rPr>
              <w:t> </w:t>
            </w:r>
            <w:r>
              <w:rPr>
                <w:color w:val="231F20"/>
                <w:w w:val="105"/>
                <w:sz w:val="12"/>
              </w:rPr>
              <w:t>of</w:t>
            </w:r>
            <w:r>
              <w:rPr>
                <w:color w:val="231F20"/>
                <w:spacing w:val="-8"/>
                <w:w w:val="105"/>
                <w:sz w:val="12"/>
              </w:rPr>
              <w:t> </w:t>
            </w:r>
            <w:r>
              <w:rPr>
                <w:color w:val="231F20"/>
                <w:w w:val="105"/>
                <w:sz w:val="12"/>
              </w:rPr>
              <w:t>Stem</w:t>
            </w:r>
            <w:r>
              <w:rPr>
                <w:color w:val="231F20"/>
                <w:spacing w:val="-7"/>
                <w:w w:val="105"/>
                <w:sz w:val="12"/>
              </w:rPr>
              <w:t> </w:t>
            </w:r>
            <w:r>
              <w:rPr>
                <w:color w:val="231F20"/>
                <w:w w:val="105"/>
                <w:sz w:val="12"/>
              </w:rPr>
              <w:t>Engagement</w:t>
            </w:r>
            <w:r>
              <w:rPr>
                <w:color w:val="231F20"/>
                <w:spacing w:val="-7"/>
                <w:w w:val="105"/>
                <w:sz w:val="12"/>
              </w:rPr>
              <w:t> </w:t>
            </w:r>
            <w:r>
              <w:rPr>
                <w:color w:val="231F20"/>
                <w:spacing w:val="-2"/>
                <w:w w:val="105"/>
                <w:sz w:val="12"/>
              </w:rPr>
              <w:t>(OSTEM)</w:t>
            </w:r>
          </w:p>
        </w:tc>
        <w:tc>
          <w:tcPr>
            <w:tcW w:w="914" w:type="dxa"/>
          </w:tcPr>
          <w:p>
            <w:pPr>
              <w:pStyle w:val="TableParagraph"/>
              <w:spacing w:line="132" w:lineRule="exact" w:before="20"/>
              <w:ind w:left="348"/>
              <w:rPr>
                <w:sz w:val="12"/>
              </w:rPr>
            </w:pPr>
            <w:r>
              <w:rPr>
                <w:color w:val="231F20"/>
                <w:spacing w:val="-4"/>
                <w:w w:val="105"/>
                <w:sz w:val="12"/>
              </w:rPr>
              <w:t>MOHS</w:t>
            </w:r>
          </w:p>
        </w:tc>
        <w:tc>
          <w:tcPr>
            <w:tcW w:w="2915" w:type="dxa"/>
          </w:tcPr>
          <w:p>
            <w:pPr>
              <w:pStyle w:val="TableParagraph"/>
              <w:spacing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before="14"/>
              <w:ind w:left="276"/>
              <w:rPr>
                <w:sz w:val="12"/>
              </w:rPr>
            </w:pPr>
            <w:r>
              <w:rPr>
                <w:color w:val="231F20"/>
                <w:spacing w:val="-2"/>
                <w:w w:val="105"/>
                <w:sz w:val="12"/>
              </w:rPr>
              <w:t>Q01922</w:t>
            </w:r>
          </w:p>
        </w:tc>
        <w:tc>
          <w:tcPr>
            <w:tcW w:w="1087" w:type="dxa"/>
          </w:tcPr>
          <w:p>
            <w:pPr>
              <w:pStyle w:val="TableParagraph"/>
              <w:spacing w:line="132" w:lineRule="exact" w:before="20"/>
              <w:ind w:left="318"/>
              <w:rPr>
                <w:sz w:val="12"/>
              </w:rPr>
            </w:pPr>
            <w:r>
              <w:rPr>
                <w:color w:val="231F20"/>
                <w:spacing w:val="-2"/>
                <w:w w:val="105"/>
                <w:sz w:val="12"/>
              </w:rPr>
              <w:t>43.008</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2"/>
              <w:jc w:val="right"/>
              <w:rPr>
                <w:sz w:val="12"/>
              </w:rPr>
            </w:pPr>
            <w:r>
              <w:rPr>
                <w:color w:val="231F20"/>
                <w:spacing w:val="-2"/>
                <w:w w:val="105"/>
                <w:sz w:val="12"/>
              </w:rPr>
              <w:t>5,829</w:t>
            </w:r>
          </w:p>
        </w:tc>
      </w:tr>
      <w:tr>
        <w:trPr>
          <w:trHeight w:val="172" w:hRule="atLeast"/>
        </w:trPr>
        <w:tc>
          <w:tcPr>
            <w:tcW w:w="4457" w:type="dxa"/>
          </w:tcPr>
          <w:p>
            <w:pPr>
              <w:pStyle w:val="TableParagraph"/>
              <w:spacing w:line="137" w:lineRule="exact" w:before="14"/>
              <w:ind w:left="374"/>
              <w:rPr>
                <w:sz w:val="12"/>
              </w:rPr>
            </w:pPr>
            <w:r>
              <w:rPr>
                <w:color w:val="231F20"/>
                <w:w w:val="105"/>
                <w:sz w:val="12"/>
              </w:rPr>
              <w:t>Office</w:t>
            </w:r>
            <w:r>
              <w:rPr>
                <w:color w:val="231F20"/>
                <w:spacing w:val="-8"/>
                <w:w w:val="105"/>
                <w:sz w:val="12"/>
              </w:rPr>
              <w:t> </w:t>
            </w:r>
            <w:r>
              <w:rPr>
                <w:color w:val="231F20"/>
                <w:w w:val="105"/>
                <w:sz w:val="12"/>
              </w:rPr>
              <w:t>of</w:t>
            </w:r>
            <w:r>
              <w:rPr>
                <w:color w:val="231F20"/>
                <w:spacing w:val="-8"/>
                <w:w w:val="105"/>
                <w:sz w:val="12"/>
              </w:rPr>
              <w:t> </w:t>
            </w:r>
            <w:r>
              <w:rPr>
                <w:color w:val="231F20"/>
                <w:w w:val="105"/>
                <w:sz w:val="12"/>
              </w:rPr>
              <w:t>Stem</w:t>
            </w:r>
            <w:r>
              <w:rPr>
                <w:color w:val="231F20"/>
                <w:spacing w:val="-7"/>
                <w:w w:val="105"/>
                <w:sz w:val="12"/>
              </w:rPr>
              <w:t> </w:t>
            </w:r>
            <w:r>
              <w:rPr>
                <w:color w:val="231F20"/>
                <w:w w:val="105"/>
                <w:sz w:val="12"/>
              </w:rPr>
              <w:t>Engagement</w:t>
            </w:r>
            <w:r>
              <w:rPr>
                <w:color w:val="231F20"/>
                <w:spacing w:val="-7"/>
                <w:w w:val="105"/>
                <w:sz w:val="12"/>
              </w:rPr>
              <w:t> </w:t>
            </w:r>
            <w:r>
              <w:rPr>
                <w:color w:val="231F20"/>
                <w:spacing w:val="-2"/>
                <w:w w:val="105"/>
                <w:sz w:val="12"/>
              </w:rPr>
              <w:t>(OSTEM)</w:t>
            </w:r>
          </w:p>
        </w:tc>
        <w:tc>
          <w:tcPr>
            <w:tcW w:w="914" w:type="dxa"/>
          </w:tcPr>
          <w:p>
            <w:pPr>
              <w:pStyle w:val="TableParagraph"/>
              <w:spacing w:line="132" w:lineRule="exact" w:before="20"/>
              <w:ind w:left="355"/>
              <w:rPr>
                <w:sz w:val="12"/>
              </w:rPr>
            </w:pPr>
            <w:r>
              <w:rPr>
                <w:color w:val="231F20"/>
                <w:spacing w:val="-4"/>
                <w:w w:val="105"/>
                <w:sz w:val="12"/>
              </w:rPr>
              <w:t>MRDT</w:t>
            </w:r>
          </w:p>
        </w:tc>
        <w:tc>
          <w:tcPr>
            <w:tcW w:w="2915" w:type="dxa"/>
          </w:tcPr>
          <w:p>
            <w:pPr>
              <w:pStyle w:val="TableParagraph"/>
              <w:spacing w:line="137" w:lineRule="exact"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line="137" w:lineRule="exact" w:before="14"/>
              <w:ind w:left="276"/>
              <w:rPr>
                <w:sz w:val="12"/>
              </w:rPr>
            </w:pPr>
            <w:r>
              <w:rPr>
                <w:color w:val="231F20"/>
                <w:spacing w:val="-2"/>
                <w:w w:val="105"/>
                <w:sz w:val="12"/>
              </w:rPr>
              <w:t>Q02355</w:t>
            </w:r>
          </w:p>
        </w:tc>
        <w:tc>
          <w:tcPr>
            <w:tcW w:w="1087" w:type="dxa"/>
          </w:tcPr>
          <w:p>
            <w:pPr>
              <w:pStyle w:val="TableParagraph"/>
              <w:spacing w:line="132" w:lineRule="exact" w:before="20"/>
              <w:ind w:left="318"/>
              <w:rPr>
                <w:sz w:val="12"/>
              </w:rPr>
            </w:pPr>
            <w:r>
              <w:rPr>
                <w:color w:val="231F20"/>
                <w:spacing w:val="-2"/>
                <w:w w:val="105"/>
                <w:sz w:val="12"/>
              </w:rPr>
              <w:t>43.008</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2"/>
              <w:jc w:val="right"/>
              <w:rPr>
                <w:sz w:val="12"/>
              </w:rPr>
            </w:pPr>
            <w:r>
              <w:rPr>
                <w:color w:val="231F20"/>
                <w:spacing w:val="-2"/>
                <w:w w:val="105"/>
                <w:sz w:val="12"/>
              </w:rPr>
              <w:t>2,592</w:t>
            </w:r>
          </w:p>
        </w:tc>
      </w:tr>
      <w:tr>
        <w:trPr>
          <w:trHeight w:val="172" w:hRule="atLeast"/>
        </w:trPr>
        <w:tc>
          <w:tcPr>
            <w:tcW w:w="4457" w:type="dxa"/>
          </w:tcPr>
          <w:p>
            <w:pPr>
              <w:pStyle w:val="TableParagraph"/>
              <w:spacing w:before="14"/>
              <w:ind w:left="373"/>
              <w:rPr>
                <w:sz w:val="12"/>
              </w:rPr>
            </w:pPr>
            <w:r>
              <w:rPr>
                <w:color w:val="231F20"/>
                <w:w w:val="105"/>
                <w:sz w:val="12"/>
              </w:rPr>
              <w:t>Office</w:t>
            </w:r>
            <w:r>
              <w:rPr>
                <w:color w:val="231F20"/>
                <w:spacing w:val="-8"/>
                <w:w w:val="105"/>
                <w:sz w:val="12"/>
              </w:rPr>
              <w:t> </w:t>
            </w:r>
            <w:r>
              <w:rPr>
                <w:color w:val="231F20"/>
                <w:w w:val="105"/>
                <w:sz w:val="12"/>
              </w:rPr>
              <w:t>of</w:t>
            </w:r>
            <w:r>
              <w:rPr>
                <w:color w:val="231F20"/>
                <w:spacing w:val="-8"/>
                <w:w w:val="105"/>
                <w:sz w:val="12"/>
              </w:rPr>
              <w:t> </w:t>
            </w:r>
            <w:r>
              <w:rPr>
                <w:color w:val="231F20"/>
                <w:w w:val="105"/>
                <w:sz w:val="12"/>
              </w:rPr>
              <w:t>Stem</w:t>
            </w:r>
            <w:r>
              <w:rPr>
                <w:color w:val="231F20"/>
                <w:spacing w:val="-7"/>
                <w:w w:val="105"/>
                <w:sz w:val="12"/>
              </w:rPr>
              <w:t> </w:t>
            </w:r>
            <w:r>
              <w:rPr>
                <w:color w:val="231F20"/>
                <w:w w:val="105"/>
                <w:sz w:val="12"/>
              </w:rPr>
              <w:t>Engagement</w:t>
            </w:r>
            <w:r>
              <w:rPr>
                <w:color w:val="231F20"/>
                <w:spacing w:val="-7"/>
                <w:w w:val="105"/>
                <w:sz w:val="12"/>
              </w:rPr>
              <w:t> </w:t>
            </w:r>
            <w:r>
              <w:rPr>
                <w:color w:val="231F20"/>
                <w:spacing w:val="-2"/>
                <w:w w:val="105"/>
                <w:sz w:val="12"/>
              </w:rPr>
              <w:t>(OSTEM)</w:t>
            </w:r>
          </w:p>
        </w:tc>
        <w:tc>
          <w:tcPr>
            <w:tcW w:w="914" w:type="dxa"/>
          </w:tcPr>
          <w:p>
            <w:pPr>
              <w:pStyle w:val="TableParagraph"/>
              <w:spacing w:line="132" w:lineRule="exact" w:before="20"/>
              <w:ind w:left="383"/>
              <w:rPr>
                <w:sz w:val="12"/>
              </w:rPr>
            </w:pPr>
            <w:r>
              <w:rPr>
                <w:color w:val="231F20"/>
                <w:spacing w:val="-4"/>
                <w:w w:val="105"/>
                <w:sz w:val="12"/>
              </w:rPr>
              <w:t>MSSI</w:t>
            </w:r>
          </w:p>
        </w:tc>
        <w:tc>
          <w:tcPr>
            <w:tcW w:w="2915" w:type="dxa"/>
          </w:tcPr>
          <w:p>
            <w:pPr>
              <w:pStyle w:val="TableParagraph"/>
              <w:spacing w:before="14"/>
              <w:ind w:left="141"/>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622" w:type="dxa"/>
          </w:tcPr>
          <w:p>
            <w:pPr>
              <w:pStyle w:val="TableParagraph"/>
              <w:spacing w:before="14"/>
              <w:ind w:left="275"/>
              <w:rPr>
                <w:sz w:val="12"/>
              </w:rPr>
            </w:pPr>
            <w:r>
              <w:rPr>
                <w:color w:val="231F20"/>
                <w:spacing w:val="-2"/>
                <w:w w:val="105"/>
                <w:sz w:val="12"/>
              </w:rPr>
              <w:t>Q02271</w:t>
            </w:r>
          </w:p>
        </w:tc>
        <w:tc>
          <w:tcPr>
            <w:tcW w:w="1087" w:type="dxa"/>
          </w:tcPr>
          <w:p>
            <w:pPr>
              <w:pStyle w:val="TableParagraph"/>
              <w:spacing w:line="132" w:lineRule="exact" w:before="20"/>
              <w:ind w:left="318"/>
              <w:rPr>
                <w:sz w:val="12"/>
              </w:rPr>
            </w:pPr>
            <w:r>
              <w:rPr>
                <w:color w:val="231F20"/>
                <w:spacing w:val="-2"/>
                <w:w w:val="105"/>
                <w:sz w:val="12"/>
              </w:rPr>
              <w:t>43.008</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Pr>
          <w:p>
            <w:pPr>
              <w:pStyle w:val="TableParagraph"/>
              <w:spacing w:line="132" w:lineRule="exact" w:before="20"/>
              <w:ind w:right="81"/>
              <w:jc w:val="right"/>
              <w:rPr>
                <w:sz w:val="12"/>
              </w:rPr>
            </w:pPr>
            <w:r>
              <w:rPr>
                <w:color w:val="231F20"/>
                <w:spacing w:val="-2"/>
                <w:w w:val="105"/>
                <w:sz w:val="12"/>
              </w:rPr>
              <w:t>42,500</w:t>
            </w:r>
          </w:p>
        </w:tc>
      </w:tr>
      <w:tr>
        <w:trPr>
          <w:trHeight w:val="165" w:hRule="atLeast"/>
        </w:trPr>
        <w:tc>
          <w:tcPr>
            <w:tcW w:w="4457" w:type="dxa"/>
          </w:tcPr>
          <w:p>
            <w:pPr>
              <w:pStyle w:val="TableParagraph"/>
              <w:spacing w:line="131" w:lineRule="exact" w:before="14"/>
              <w:ind w:left="373"/>
              <w:rPr>
                <w:sz w:val="12"/>
              </w:rPr>
            </w:pPr>
            <w:r>
              <w:rPr>
                <w:color w:val="231F20"/>
                <w:spacing w:val="-2"/>
                <w:w w:val="105"/>
                <w:sz w:val="12"/>
              </w:rPr>
              <w:t>Unknown</w:t>
            </w:r>
          </w:p>
        </w:tc>
        <w:tc>
          <w:tcPr>
            <w:tcW w:w="914" w:type="dxa"/>
          </w:tcPr>
          <w:p>
            <w:pPr>
              <w:pStyle w:val="TableParagraph"/>
              <w:spacing w:line="125" w:lineRule="exact" w:before="20"/>
              <w:ind w:left="355"/>
              <w:rPr>
                <w:sz w:val="12"/>
              </w:rPr>
            </w:pPr>
            <w:r>
              <w:rPr>
                <w:color w:val="231F20"/>
                <w:spacing w:val="-4"/>
                <w:w w:val="105"/>
                <w:sz w:val="12"/>
              </w:rPr>
              <w:t>MSOF</w:t>
            </w:r>
          </w:p>
        </w:tc>
        <w:tc>
          <w:tcPr>
            <w:tcW w:w="2915" w:type="dxa"/>
          </w:tcPr>
          <w:p>
            <w:pPr>
              <w:pStyle w:val="TableParagraph"/>
              <w:spacing w:line="131" w:lineRule="exact" w:before="14"/>
              <w:ind w:left="141"/>
              <w:rPr>
                <w:sz w:val="12"/>
              </w:rPr>
            </w:pPr>
            <w:r>
              <w:rPr>
                <w:color w:val="231F20"/>
                <w:spacing w:val="-2"/>
                <w:w w:val="105"/>
                <w:sz w:val="12"/>
              </w:rPr>
              <w:t>Universities</w:t>
            </w:r>
            <w:r>
              <w:rPr>
                <w:color w:val="231F20"/>
                <w:spacing w:val="5"/>
                <w:w w:val="105"/>
                <w:sz w:val="12"/>
              </w:rPr>
              <w:t> </w:t>
            </w:r>
            <w:r>
              <w:rPr>
                <w:color w:val="231F20"/>
                <w:spacing w:val="-2"/>
                <w:w w:val="105"/>
                <w:sz w:val="12"/>
              </w:rPr>
              <w:t>Space</w:t>
            </w:r>
            <w:r>
              <w:rPr>
                <w:color w:val="231F20"/>
                <w:spacing w:val="5"/>
                <w:w w:val="105"/>
                <w:sz w:val="12"/>
              </w:rPr>
              <w:t> </w:t>
            </w:r>
            <w:r>
              <w:rPr>
                <w:color w:val="231F20"/>
                <w:spacing w:val="-2"/>
                <w:w w:val="105"/>
                <w:sz w:val="12"/>
              </w:rPr>
              <w:t>Research</w:t>
            </w:r>
            <w:r>
              <w:rPr>
                <w:color w:val="231F20"/>
                <w:spacing w:val="6"/>
                <w:w w:val="105"/>
                <w:sz w:val="12"/>
              </w:rPr>
              <w:t> </w:t>
            </w:r>
            <w:r>
              <w:rPr>
                <w:color w:val="231F20"/>
                <w:spacing w:val="-2"/>
                <w:w w:val="105"/>
                <w:sz w:val="12"/>
              </w:rPr>
              <w:t>Association</w:t>
            </w:r>
          </w:p>
        </w:tc>
        <w:tc>
          <w:tcPr>
            <w:tcW w:w="2622" w:type="dxa"/>
          </w:tcPr>
          <w:p>
            <w:pPr>
              <w:pStyle w:val="TableParagraph"/>
              <w:spacing w:line="131" w:lineRule="exact" w:before="14"/>
              <w:ind w:left="276"/>
              <w:rPr>
                <w:sz w:val="12"/>
              </w:rPr>
            </w:pPr>
            <w:r>
              <w:rPr>
                <w:color w:val="231F20"/>
                <w:spacing w:val="-2"/>
                <w:w w:val="105"/>
                <w:sz w:val="12"/>
              </w:rPr>
              <w:t>SOFIA</w:t>
            </w:r>
            <w:r>
              <w:rPr>
                <w:color w:val="231F20"/>
                <w:spacing w:val="2"/>
                <w:w w:val="105"/>
                <w:sz w:val="12"/>
              </w:rPr>
              <w:t> </w:t>
            </w:r>
            <w:r>
              <w:rPr>
                <w:color w:val="231F20"/>
                <w:spacing w:val="-2"/>
                <w:w w:val="105"/>
                <w:sz w:val="12"/>
              </w:rPr>
              <w:t>GRANT</w:t>
            </w:r>
            <w:r>
              <w:rPr>
                <w:color w:val="231F20"/>
                <w:spacing w:val="4"/>
                <w:w w:val="105"/>
                <w:sz w:val="12"/>
              </w:rPr>
              <w:t> </w:t>
            </w:r>
            <w:r>
              <w:rPr>
                <w:color w:val="231F20"/>
                <w:spacing w:val="-2"/>
                <w:w w:val="105"/>
                <w:sz w:val="12"/>
              </w:rPr>
              <w:t>08-</w:t>
            </w:r>
            <w:r>
              <w:rPr>
                <w:color w:val="231F20"/>
                <w:spacing w:val="-4"/>
                <w:w w:val="105"/>
                <w:sz w:val="12"/>
              </w:rPr>
              <w:t>0194</w:t>
            </w:r>
          </w:p>
        </w:tc>
        <w:tc>
          <w:tcPr>
            <w:tcW w:w="1087" w:type="dxa"/>
          </w:tcPr>
          <w:p>
            <w:pPr>
              <w:pStyle w:val="TableParagraph"/>
              <w:spacing w:line="125" w:lineRule="exact" w:before="20"/>
              <w:ind w:left="333"/>
              <w:rPr>
                <w:sz w:val="12"/>
              </w:rPr>
            </w:pPr>
            <w:r>
              <w:rPr>
                <w:color w:val="231F20"/>
                <w:spacing w:val="-2"/>
                <w:w w:val="105"/>
                <w:sz w:val="12"/>
              </w:rPr>
              <w:t>43.RD</w:t>
            </w:r>
          </w:p>
        </w:tc>
        <w:tc>
          <w:tcPr>
            <w:tcW w:w="1132" w:type="dxa"/>
            <w:tcBorders>
              <w:bottom w:val="single" w:sz="8" w:space="0" w:color="231F20"/>
            </w:tcBorders>
          </w:tcPr>
          <w:p>
            <w:pPr>
              <w:pStyle w:val="TableParagraph"/>
              <w:spacing w:line="125"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47" w:type="dxa"/>
            <w:tcBorders>
              <w:bottom w:val="single" w:sz="8" w:space="0" w:color="231F20"/>
            </w:tcBorders>
          </w:tcPr>
          <w:p>
            <w:pPr>
              <w:pStyle w:val="TableParagraph"/>
              <w:spacing w:line="125" w:lineRule="exact" w:before="20"/>
              <w:ind w:right="83"/>
              <w:jc w:val="right"/>
              <w:rPr>
                <w:sz w:val="12"/>
              </w:rPr>
            </w:pPr>
            <w:r>
              <w:rPr>
                <w:color w:val="231F20"/>
                <w:spacing w:val="-2"/>
                <w:w w:val="105"/>
                <w:sz w:val="12"/>
              </w:rPr>
              <w:t>17,716</w:t>
            </w:r>
          </w:p>
        </w:tc>
      </w:tr>
      <w:tr>
        <w:trPr>
          <w:trHeight w:val="152" w:hRule="atLeast"/>
        </w:trPr>
        <w:tc>
          <w:tcPr>
            <w:tcW w:w="4457" w:type="dxa"/>
          </w:tcPr>
          <w:p>
            <w:pPr>
              <w:pStyle w:val="TableParagraph"/>
              <w:spacing w:line="126" w:lineRule="exact" w:before="6"/>
              <w:ind w:left="203"/>
              <w:rPr>
                <w:b/>
                <w:sz w:val="12"/>
              </w:rPr>
            </w:pPr>
            <w:r>
              <w:rPr>
                <w:b/>
                <w:color w:val="231F20"/>
                <w:spacing w:val="-2"/>
                <w:w w:val="105"/>
                <w:sz w:val="12"/>
              </w:rPr>
              <w:t>Total</w:t>
            </w:r>
            <w:r>
              <w:rPr>
                <w:b/>
                <w:color w:val="231F20"/>
                <w:spacing w:val="2"/>
                <w:w w:val="105"/>
                <w:sz w:val="12"/>
              </w:rPr>
              <w:t> </w:t>
            </w:r>
            <w:r>
              <w:rPr>
                <w:b/>
                <w:color w:val="231F20"/>
                <w:spacing w:val="-2"/>
                <w:w w:val="105"/>
                <w:sz w:val="12"/>
              </w:rPr>
              <w:t>Pass-through</w:t>
            </w:r>
            <w:r>
              <w:rPr>
                <w:b/>
                <w:color w:val="231F20"/>
                <w:spacing w:val="3"/>
                <w:w w:val="105"/>
                <w:sz w:val="12"/>
              </w:rPr>
              <w:t> </w:t>
            </w:r>
            <w:r>
              <w:rPr>
                <w:b/>
                <w:color w:val="231F20"/>
                <w:spacing w:val="-2"/>
                <w:w w:val="105"/>
                <w:sz w:val="12"/>
              </w:rPr>
              <w:t>National</w:t>
            </w:r>
            <w:r>
              <w:rPr>
                <w:b/>
                <w:color w:val="231F20"/>
                <w:spacing w:val="4"/>
                <w:w w:val="105"/>
                <w:sz w:val="12"/>
              </w:rPr>
              <w:t> </w:t>
            </w:r>
            <w:r>
              <w:rPr>
                <w:b/>
                <w:color w:val="231F20"/>
                <w:spacing w:val="-2"/>
                <w:w w:val="105"/>
                <w:sz w:val="12"/>
              </w:rPr>
              <w:t>Aeronautics</w:t>
            </w:r>
            <w:r>
              <w:rPr>
                <w:b/>
                <w:color w:val="231F20"/>
                <w:spacing w:val="3"/>
                <w:w w:val="105"/>
                <w:sz w:val="12"/>
              </w:rPr>
              <w:t> </w:t>
            </w:r>
            <w:r>
              <w:rPr>
                <w:b/>
                <w:color w:val="231F20"/>
                <w:spacing w:val="-2"/>
                <w:w w:val="105"/>
                <w:sz w:val="12"/>
              </w:rPr>
              <w:t>&amp;</w:t>
            </w:r>
            <w:r>
              <w:rPr>
                <w:b/>
                <w:color w:val="231F20"/>
                <w:spacing w:val="3"/>
                <w:w w:val="105"/>
                <w:sz w:val="12"/>
              </w:rPr>
              <w:t> </w:t>
            </w:r>
            <w:r>
              <w:rPr>
                <w:b/>
                <w:color w:val="231F20"/>
                <w:spacing w:val="-2"/>
                <w:w w:val="105"/>
                <w:sz w:val="12"/>
              </w:rPr>
              <w:t>Space</w:t>
            </w:r>
            <w:r>
              <w:rPr>
                <w:b/>
                <w:color w:val="231F20"/>
                <w:spacing w:val="3"/>
                <w:w w:val="105"/>
                <w:sz w:val="12"/>
              </w:rPr>
              <w:t> </w:t>
            </w:r>
            <w:r>
              <w:rPr>
                <w:b/>
                <w:color w:val="231F20"/>
                <w:spacing w:val="-2"/>
                <w:w w:val="105"/>
                <w:sz w:val="12"/>
              </w:rPr>
              <w:t>Administration</w:t>
            </w:r>
          </w:p>
        </w:tc>
        <w:tc>
          <w:tcPr>
            <w:tcW w:w="914" w:type="dxa"/>
          </w:tcPr>
          <w:p>
            <w:pPr>
              <w:pStyle w:val="TableParagraph"/>
              <w:rPr>
                <w:rFonts w:ascii="Times New Roman"/>
                <w:sz w:val="8"/>
              </w:rPr>
            </w:pPr>
          </w:p>
        </w:tc>
        <w:tc>
          <w:tcPr>
            <w:tcW w:w="2915" w:type="dxa"/>
          </w:tcPr>
          <w:p>
            <w:pPr>
              <w:pStyle w:val="TableParagraph"/>
              <w:rPr>
                <w:rFonts w:ascii="Times New Roman"/>
                <w:sz w:val="8"/>
              </w:rPr>
            </w:pPr>
          </w:p>
        </w:tc>
        <w:tc>
          <w:tcPr>
            <w:tcW w:w="2622" w:type="dxa"/>
          </w:tcPr>
          <w:p>
            <w:pPr>
              <w:pStyle w:val="TableParagraph"/>
              <w:rPr>
                <w:rFonts w:ascii="Times New Roman"/>
                <w:sz w:val="8"/>
              </w:rPr>
            </w:pPr>
          </w:p>
        </w:tc>
        <w:tc>
          <w:tcPr>
            <w:tcW w:w="1087" w:type="dxa"/>
          </w:tcPr>
          <w:p>
            <w:pPr>
              <w:pStyle w:val="TableParagraph"/>
              <w:rPr>
                <w:rFonts w:ascii="Times New Roman"/>
                <w:sz w:val="8"/>
              </w:rPr>
            </w:pPr>
          </w:p>
        </w:tc>
        <w:tc>
          <w:tcPr>
            <w:tcW w:w="1132" w:type="dxa"/>
            <w:tcBorders>
              <w:top w:val="single" w:sz="8" w:space="0" w:color="231F20"/>
              <w:bottom w:val="single" w:sz="8" w:space="0" w:color="231F20"/>
            </w:tcBorders>
          </w:tcPr>
          <w:p>
            <w:pPr>
              <w:pStyle w:val="TableParagraph"/>
              <w:spacing w:line="126" w:lineRule="exact" w:before="6"/>
              <w:ind w:right="68"/>
              <w:jc w:val="right"/>
              <w:rPr>
                <w:b/>
                <w:sz w:val="12"/>
              </w:rPr>
            </w:pPr>
            <w:r>
              <w:rPr>
                <w:b/>
                <w:color w:val="231F20"/>
                <w:w w:val="104"/>
                <w:sz w:val="12"/>
              </w:rPr>
              <w:t>-</w:t>
            </w:r>
          </w:p>
        </w:tc>
        <w:tc>
          <w:tcPr>
            <w:tcW w:w="153" w:type="dxa"/>
          </w:tcPr>
          <w:p>
            <w:pPr>
              <w:pStyle w:val="TableParagraph"/>
              <w:rPr>
                <w:rFonts w:ascii="Times New Roman"/>
                <w:sz w:val="8"/>
              </w:rPr>
            </w:pPr>
          </w:p>
        </w:tc>
        <w:tc>
          <w:tcPr>
            <w:tcW w:w="1147" w:type="dxa"/>
            <w:tcBorders>
              <w:top w:val="single" w:sz="8" w:space="0" w:color="231F20"/>
              <w:bottom w:val="single" w:sz="8" w:space="0" w:color="231F20"/>
            </w:tcBorders>
          </w:tcPr>
          <w:p>
            <w:pPr>
              <w:pStyle w:val="TableParagraph"/>
              <w:spacing w:line="126" w:lineRule="exact" w:before="6"/>
              <w:ind w:right="81"/>
              <w:jc w:val="right"/>
              <w:rPr>
                <w:b/>
                <w:sz w:val="12"/>
              </w:rPr>
            </w:pPr>
            <w:r>
              <w:rPr>
                <w:b/>
                <w:color w:val="231F20"/>
                <w:spacing w:val="-2"/>
                <w:w w:val="105"/>
                <w:sz w:val="12"/>
              </w:rPr>
              <w:t>178,066</w:t>
            </w:r>
          </w:p>
        </w:tc>
      </w:tr>
      <w:tr>
        <w:trPr>
          <w:trHeight w:val="324" w:hRule="atLeast"/>
        </w:trPr>
        <w:tc>
          <w:tcPr>
            <w:tcW w:w="4457" w:type="dxa"/>
          </w:tcPr>
          <w:p>
            <w:pPr>
              <w:pStyle w:val="TableParagraph"/>
              <w:spacing w:before="5"/>
              <w:rPr>
                <w:b/>
                <w:sz w:val="15"/>
              </w:rPr>
            </w:pPr>
          </w:p>
          <w:p>
            <w:pPr>
              <w:pStyle w:val="TableParagraph"/>
              <w:spacing w:line="126" w:lineRule="exact" w:before="1"/>
              <w:ind w:left="33"/>
              <w:rPr>
                <w:b/>
                <w:sz w:val="12"/>
              </w:rPr>
            </w:pPr>
            <w:r>
              <w:rPr>
                <w:b/>
                <w:color w:val="231F20"/>
                <w:spacing w:val="-2"/>
                <w:w w:val="105"/>
                <w:sz w:val="12"/>
              </w:rPr>
              <w:t>Total</w:t>
            </w:r>
            <w:r>
              <w:rPr>
                <w:b/>
                <w:color w:val="231F20"/>
                <w:spacing w:val="3"/>
                <w:w w:val="105"/>
                <w:sz w:val="12"/>
              </w:rPr>
              <w:t> </w:t>
            </w:r>
            <w:r>
              <w:rPr>
                <w:b/>
                <w:color w:val="231F20"/>
                <w:spacing w:val="-2"/>
                <w:w w:val="105"/>
                <w:sz w:val="12"/>
              </w:rPr>
              <w:t>National</w:t>
            </w:r>
            <w:r>
              <w:rPr>
                <w:b/>
                <w:color w:val="231F20"/>
                <w:spacing w:val="3"/>
                <w:w w:val="105"/>
                <w:sz w:val="12"/>
              </w:rPr>
              <w:t> </w:t>
            </w:r>
            <w:r>
              <w:rPr>
                <w:b/>
                <w:color w:val="231F20"/>
                <w:spacing w:val="-2"/>
                <w:w w:val="105"/>
                <w:sz w:val="12"/>
              </w:rPr>
              <w:t>Aeronautics</w:t>
            </w:r>
            <w:r>
              <w:rPr>
                <w:b/>
                <w:color w:val="231F20"/>
                <w:spacing w:val="2"/>
                <w:w w:val="105"/>
                <w:sz w:val="12"/>
              </w:rPr>
              <w:t> </w:t>
            </w:r>
            <w:r>
              <w:rPr>
                <w:b/>
                <w:color w:val="231F20"/>
                <w:spacing w:val="-2"/>
                <w:w w:val="105"/>
                <w:sz w:val="12"/>
              </w:rPr>
              <w:t>&amp;</w:t>
            </w:r>
            <w:r>
              <w:rPr>
                <w:b/>
                <w:color w:val="231F20"/>
                <w:spacing w:val="3"/>
                <w:w w:val="105"/>
                <w:sz w:val="12"/>
              </w:rPr>
              <w:t> </w:t>
            </w:r>
            <w:r>
              <w:rPr>
                <w:b/>
                <w:color w:val="231F20"/>
                <w:spacing w:val="-2"/>
                <w:w w:val="105"/>
                <w:sz w:val="12"/>
              </w:rPr>
              <w:t>Space</w:t>
            </w:r>
            <w:r>
              <w:rPr>
                <w:b/>
                <w:color w:val="231F20"/>
                <w:spacing w:val="3"/>
                <w:w w:val="105"/>
                <w:sz w:val="12"/>
              </w:rPr>
              <w:t> </w:t>
            </w:r>
            <w:r>
              <w:rPr>
                <w:b/>
                <w:color w:val="231F20"/>
                <w:spacing w:val="-2"/>
                <w:w w:val="105"/>
                <w:sz w:val="12"/>
              </w:rPr>
              <w:t>Administration</w:t>
            </w:r>
          </w:p>
        </w:tc>
        <w:tc>
          <w:tcPr>
            <w:tcW w:w="914" w:type="dxa"/>
          </w:tcPr>
          <w:p>
            <w:pPr>
              <w:pStyle w:val="TableParagraph"/>
              <w:rPr>
                <w:rFonts w:ascii="Times New Roman"/>
                <w:sz w:val="12"/>
              </w:rPr>
            </w:pPr>
          </w:p>
        </w:tc>
        <w:tc>
          <w:tcPr>
            <w:tcW w:w="2915" w:type="dxa"/>
          </w:tcPr>
          <w:p>
            <w:pPr>
              <w:pStyle w:val="TableParagraph"/>
              <w:rPr>
                <w:rFonts w:ascii="Times New Roman"/>
                <w:sz w:val="12"/>
              </w:rPr>
            </w:pPr>
          </w:p>
        </w:tc>
        <w:tc>
          <w:tcPr>
            <w:tcW w:w="2622" w:type="dxa"/>
          </w:tcPr>
          <w:p>
            <w:pPr>
              <w:pStyle w:val="TableParagraph"/>
              <w:rPr>
                <w:rFonts w:ascii="Times New Roman"/>
                <w:sz w:val="12"/>
              </w:rPr>
            </w:pPr>
          </w:p>
        </w:tc>
        <w:tc>
          <w:tcPr>
            <w:tcW w:w="1087" w:type="dxa"/>
          </w:tcPr>
          <w:p>
            <w:pPr>
              <w:pStyle w:val="TableParagraph"/>
              <w:rPr>
                <w:rFonts w:ascii="Times New Roman"/>
                <w:sz w:val="12"/>
              </w:rPr>
            </w:pPr>
          </w:p>
        </w:tc>
        <w:tc>
          <w:tcPr>
            <w:tcW w:w="1132" w:type="dxa"/>
            <w:tcBorders>
              <w:top w:val="single" w:sz="8" w:space="0" w:color="231F20"/>
              <w:bottom w:val="single" w:sz="8" w:space="0" w:color="231F20"/>
            </w:tcBorders>
          </w:tcPr>
          <w:p>
            <w:pPr>
              <w:pStyle w:val="TableParagraph"/>
              <w:spacing w:before="5"/>
              <w:rPr>
                <w:b/>
                <w:sz w:val="15"/>
              </w:rPr>
            </w:pPr>
          </w:p>
          <w:p>
            <w:pPr>
              <w:pStyle w:val="TableParagraph"/>
              <w:spacing w:line="126" w:lineRule="exact" w:before="1"/>
              <w:ind w:right="69"/>
              <w:jc w:val="right"/>
              <w:rPr>
                <w:b/>
                <w:sz w:val="12"/>
              </w:rPr>
            </w:pPr>
            <w:r>
              <w:rPr>
                <w:b/>
                <w:color w:val="231F20"/>
                <w:spacing w:val="-2"/>
                <w:w w:val="105"/>
                <w:sz w:val="12"/>
              </w:rPr>
              <w:t>90,026</w:t>
            </w:r>
          </w:p>
        </w:tc>
        <w:tc>
          <w:tcPr>
            <w:tcW w:w="153" w:type="dxa"/>
          </w:tcPr>
          <w:p>
            <w:pPr>
              <w:pStyle w:val="TableParagraph"/>
              <w:rPr>
                <w:rFonts w:ascii="Times New Roman"/>
                <w:sz w:val="12"/>
              </w:rPr>
            </w:pPr>
          </w:p>
        </w:tc>
        <w:tc>
          <w:tcPr>
            <w:tcW w:w="1147" w:type="dxa"/>
            <w:tcBorders>
              <w:top w:val="single" w:sz="8" w:space="0" w:color="231F20"/>
              <w:bottom w:val="single" w:sz="8" w:space="0" w:color="231F20"/>
            </w:tcBorders>
          </w:tcPr>
          <w:p>
            <w:pPr>
              <w:pStyle w:val="TableParagraph"/>
              <w:spacing w:before="5"/>
              <w:rPr>
                <w:b/>
                <w:sz w:val="15"/>
              </w:rPr>
            </w:pPr>
          </w:p>
          <w:p>
            <w:pPr>
              <w:pStyle w:val="TableParagraph"/>
              <w:spacing w:line="126" w:lineRule="exact" w:before="1"/>
              <w:ind w:right="82"/>
              <w:jc w:val="right"/>
              <w:rPr>
                <w:b/>
                <w:sz w:val="12"/>
              </w:rPr>
            </w:pPr>
            <w:r>
              <w:rPr>
                <w:b/>
                <w:color w:val="231F20"/>
                <w:spacing w:val="-2"/>
                <w:w w:val="105"/>
                <w:sz w:val="12"/>
              </w:rPr>
              <w:t>668,997</w:t>
            </w:r>
          </w:p>
        </w:tc>
      </w:tr>
    </w:tbl>
    <w:p>
      <w:pPr>
        <w:spacing w:after="0" w:line="126" w:lineRule="exact"/>
        <w:jc w:val="right"/>
        <w:rPr>
          <w:sz w:val="12"/>
        </w:rPr>
        <w:sectPr>
          <w:pgSz w:w="15840" w:h="12240" w:orient="landscape"/>
          <w:pgMar w:header="934" w:footer="1097" w:top="1840" w:bottom="1280" w:left="560" w:right="560"/>
        </w:sectPr>
      </w:pPr>
    </w:p>
    <w:p>
      <w:pPr>
        <w:pStyle w:val="BodyText"/>
        <w:spacing w:before="3"/>
        <w:rPr>
          <w:b/>
          <w:sz w:val="24"/>
        </w:rPr>
      </w:pPr>
    </w:p>
    <w:p>
      <w:pPr>
        <w:pStyle w:val="BodyText"/>
        <w:spacing w:line="38" w:lineRule="exact"/>
        <w:ind w:left="169"/>
        <w:rPr>
          <w:sz w:val="3"/>
        </w:rPr>
      </w:pPr>
      <w:r>
        <w:rPr>
          <w:position w:val="0"/>
          <w:sz w:val="3"/>
        </w:rPr>
        <w:pict>
          <v:group style="width:720.2pt;height:1.95pt;mso-position-horizontal-relative:char;mso-position-vertical-relative:line" id="docshapegroup561" coordorigin="0,0" coordsize="14404,39">
            <v:rect style="position:absolute;left:0;top:0;width:14404;height:39" id="docshape562" filled="true" fillcolor="#231f20" stroked="false">
              <v:fill type="solid"/>
            </v:rect>
          </v:group>
        </w:pict>
      </w:r>
      <w:r>
        <w:rPr>
          <w:position w:val="0"/>
          <w:sz w:val="3"/>
        </w:rPr>
      </w:r>
    </w:p>
    <w:p>
      <w:pPr>
        <w:pStyle w:val="BodyText"/>
        <w:spacing w:before="5"/>
        <w:rPr>
          <w:b/>
          <w:sz w:val="18"/>
        </w:r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1"/>
        <w:gridCol w:w="1774"/>
        <w:gridCol w:w="2283"/>
        <w:gridCol w:w="2774"/>
        <w:gridCol w:w="1156"/>
        <w:gridCol w:w="1132"/>
        <w:gridCol w:w="153"/>
        <w:gridCol w:w="1132"/>
      </w:tblGrid>
      <w:tr>
        <w:trPr>
          <w:trHeight w:val="516" w:hRule="atLeast"/>
        </w:trPr>
        <w:tc>
          <w:tcPr>
            <w:tcW w:w="4001" w:type="dxa"/>
            <w:tcBorders>
              <w:bottom w:val="single" w:sz="18" w:space="0" w:color="231F20"/>
            </w:tcBorders>
          </w:tcPr>
          <w:p>
            <w:pPr>
              <w:pStyle w:val="TableParagraph"/>
              <w:rPr>
                <w:b/>
                <w:sz w:val="14"/>
              </w:rPr>
            </w:pPr>
          </w:p>
          <w:p>
            <w:pPr>
              <w:pStyle w:val="TableParagraph"/>
              <w:spacing w:before="8"/>
              <w:rPr>
                <w:b/>
                <w:sz w:val="17"/>
              </w:rPr>
            </w:pPr>
          </w:p>
          <w:p>
            <w:pPr>
              <w:pStyle w:val="TableParagraph"/>
              <w:spacing w:line="131" w:lineRule="exact" w:before="1"/>
              <w:ind w:left="26"/>
              <w:rPr>
                <w:b/>
                <w:sz w:val="12"/>
              </w:rPr>
            </w:pPr>
            <w:r>
              <w:rPr>
                <w:b/>
                <w:color w:val="231F20"/>
                <w:spacing w:val="-2"/>
                <w:w w:val="105"/>
                <w:sz w:val="12"/>
              </w:rPr>
              <w:t>Federal</w:t>
            </w:r>
            <w:r>
              <w:rPr>
                <w:b/>
                <w:color w:val="231F20"/>
                <w:spacing w:val="5"/>
                <w:w w:val="105"/>
                <w:sz w:val="12"/>
              </w:rPr>
              <w:t> </w:t>
            </w:r>
            <w:r>
              <w:rPr>
                <w:b/>
                <w:color w:val="231F20"/>
                <w:spacing w:val="-2"/>
                <w:w w:val="105"/>
                <w:sz w:val="12"/>
              </w:rPr>
              <w:t>Grantor/Program</w:t>
            </w:r>
            <w:r>
              <w:rPr>
                <w:b/>
                <w:color w:val="231F20"/>
                <w:spacing w:val="5"/>
                <w:w w:val="105"/>
                <w:sz w:val="12"/>
              </w:rPr>
              <w:t> </w:t>
            </w:r>
            <w:r>
              <w:rPr>
                <w:b/>
                <w:color w:val="231F20"/>
                <w:spacing w:val="-2"/>
                <w:w w:val="105"/>
                <w:sz w:val="12"/>
              </w:rPr>
              <w:t>Title</w:t>
            </w:r>
          </w:p>
        </w:tc>
        <w:tc>
          <w:tcPr>
            <w:tcW w:w="1774" w:type="dxa"/>
            <w:tcBorders>
              <w:bottom w:val="single" w:sz="18" w:space="0" w:color="231F20"/>
            </w:tcBorders>
          </w:tcPr>
          <w:p>
            <w:pPr>
              <w:pStyle w:val="TableParagraph"/>
              <w:spacing w:before="2"/>
              <w:rPr>
                <w:b/>
                <w:sz w:val="12"/>
              </w:rPr>
            </w:pPr>
          </w:p>
          <w:p>
            <w:pPr>
              <w:pStyle w:val="TableParagraph"/>
              <w:spacing w:line="170" w:lineRule="atLeast"/>
              <w:ind w:left="741" w:right="548" w:firstLine="63"/>
              <w:rPr>
                <w:b/>
                <w:sz w:val="12"/>
              </w:rPr>
            </w:pPr>
            <w:r>
              <w:rPr>
                <w:b/>
                <w:color w:val="231F20"/>
                <w:spacing w:val="-4"/>
                <w:w w:val="105"/>
                <w:sz w:val="12"/>
              </w:rPr>
              <w:t>Award</w:t>
            </w:r>
            <w:r>
              <w:rPr>
                <w:b/>
                <w:color w:val="231F20"/>
                <w:spacing w:val="40"/>
                <w:w w:val="105"/>
                <w:sz w:val="12"/>
              </w:rPr>
              <w:t> </w:t>
            </w:r>
            <w:r>
              <w:rPr>
                <w:b/>
                <w:color w:val="231F20"/>
                <w:spacing w:val="-2"/>
                <w:w w:val="105"/>
                <w:sz w:val="12"/>
              </w:rPr>
              <w:t>Number</w:t>
            </w:r>
          </w:p>
        </w:tc>
        <w:tc>
          <w:tcPr>
            <w:tcW w:w="2283" w:type="dxa"/>
            <w:tcBorders>
              <w:bottom w:val="single" w:sz="18" w:space="0" w:color="231F20"/>
            </w:tcBorders>
          </w:tcPr>
          <w:p>
            <w:pPr>
              <w:pStyle w:val="TableParagraph"/>
              <w:rPr>
                <w:b/>
                <w:sz w:val="14"/>
              </w:rPr>
            </w:pPr>
          </w:p>
          <w:p>
            <w:pPr>
              <w:pStyle w:val="TableParagraph"/>
              <w:spacing w:before="9"/>
              <w:rPr>
                <w:b/>
                <w:sz w:val="15"/>
              </w:rPr>
            </w:pPr>
          </w:p>
          <w:p>
            <w:pPr>
              <w:pStyle w:val="TableParagraph"/>
              <w:ind w:left="558"/>
              <w:rPr>
                <w:b/>
                <w:sz w:val="12"/>
              </w:rPr>
            </w:pPr>
            <w:r>
              <w:rPr>
                <w:b/>
                <w:color w:val="231F20"/>
                <w:sz w:val="12"/>
              </w:rPr>
              <w:t>Pass-Through</w:t>
            </w:r>
            <w:r>
              <w:rPr>
                <w:b/>
                <w:color w:val="231F20"/>
                <w:spacing w:val="22"/>
                <w:sz w:val="12"/>
              </w:rPr>
              <w:t> </w:t>
            </w:r>
            <w:r>
              <w:rPr>
                <w:b/>
                <w:color w:val="231F20"/>
                <w:spacing w:val="-2"/>
                <w:sz w:val="12"/>
              </w:rPr>
              <w:t>Entity</w:t>
            </w:r>
          </w:p>
        </w:tc>
        <w:tc>
          <w:tcPr>
            <w:tcW w:w="2774" w:type="dxa"/>
            <w:tcBorders>
              <w:bottom w:val="single" w:sz="18" w:space="0" w:color="231F20"/>
            </w:tcBorders>
          </w:tcPr>
          <w:p>
            <w:pPr>
              <w:pStyle w:val="TableParagraph"/>
              <w:spacing w:before="2"/>
              <w:rPr>
                <w:b/>
                <w:sz w:val="12"/>
              </w:rPr>
            </w:pPr>
          </w:p>
          <w:p>
            <w:pPr>
              <w:pStyle w:val="TableParagraph"/>
              <w:spacing w:line="170" w:lineRule="atLeast"/>
              <w:ind w:left="1022" w:right="231" w:hanging="287"/>
              <w:rPr>
                <w:b/>
                <w:sz w:val="12"/>
              </w:rPr>
            </w:pPr>
            <w:r>
              <w:rPr>
                <w:b/>
                <w:color w:val="231F20"/>
                <w:w w:val="105"/>
                <w:sz w:val="12"/>
              </w:rPr>
              <w:t>Funding</w:t>
            </w:r>
            <w:r>
              <w:rPr>
                <w:b/>
                <w:color w:val="231F20"/>
                <w:spacing w:val="-9"/>
                <w:w w:val="105"/>
                <w:sz w:val="12"/>
              </w:rPr>
              <w:t> </w:t>
            </w:r>
            <w:r>
              <w:rPr>
                <w:b/>
                <w:color w:val="231F20"/>
                <w:w w:val="105"/>
                <w:sz w:val="12"/>
              </w:rPr>
              <w:t>Agency</w:t>
            </w:r>
            <w:r>
              <w:rPr>
                <w:b/>
                <w:color w:val="231F20"/>
                <w:spacing w:val="-9"/>
                <w:w w:val="105"/>
                <w:sz w:val="12"/>
              </w:rPr>
              <w:t> </w:t>
            </w:r>
            <w:r>
              <w:rPr>
                <w:b/>
                <w:color w:val="231F20"/>
                <w:w w:val="105"/>
                <w:sz w:val="12"/>
              </w:rPr>
              <w:t>Identification</w:t>
            </w:r>
            <w:r>
              <w:rPr>
                <w:b/>
                <w:color w:val="231F20"/>
                <w:spacing w:val="40"/>
                <w:w w:val="105"/>
                <w:sz w:val="12"/>
              </w:rPr>
              <w:t> </w:t>
            </w:r>
            <w:r>
              <w:rPr>
                <w:b/>
                <w:color w:val="231F20"/>
                <w:w w:val="105"/>
                <w:sz w:val="12"/>
              </w:rPr>
              <w:t>Number/Contract</w:t>
            </w:r>
            <w:r>
              <w:rPr>
                <w:b/>
                <w:color w:val="231F20"/>
                <w:spacing w:val="-7"/>
                <w:w w:val="105"/>
                <w:sz w:val="12"/>
              </w:rPr>
              <w:t> </w:t>
            </w:r>
            <w:r>
              <w:rPr>
                <w:b/>
                <w:color w:val="231F20"/>
                <w:w w:val="105"/>
                <w:sz w:val="12"/>
              </w:rPr>
              <w:t>ID</w:t>
            </w:r>
          </w:p>
        </w:tc>
        <w:tc>
          <w:tcPr>
            <w:tcW w:w="1156" w:type="dxa"/>
            <w:tcBorders>
              <w:bottom w:val="single" w:sz="18" w:space="0" w:color="231F20"/>
            </w:tcBorders>
          </w:tcPr>
          <w:p>
            <w:pPr>
              <w:pStyle w:val="TableParagraph"/>
              <w:spacing w:line="295" w:lineRule="auto" w:before="3"/>
              <w:ind w:left="366" w:right="248" w:hanging="124"/>
              <w:rPr>
                <w:b/>
                <w:sz w:val="12"/>
              </w:rPr>
            </w:pPr>
            <w:r>
              <w:rPr>
                <w:b/>
                <w:color w:val="231F20"/>
                <w:spacing w:val="-2"/>
                <w:w w:val="105"/>
                <w:sz w:val="12"/>
              </w:rPr>
              <w:t>Assistance</w:t>
            </w:r>
            <w:r>
              <w:rPr>
                <w:b/>
                <w:color w:val="231F20"/>
                <w:spacing w:val="40"/>
                <w:w w:val="105"/>
                <w:sz w:val="12"/>
              </w:rPr>
              <w:t> </w:t>
            </w:r>
            <w:r>
              <w:rPr>
                <w:b/>
                <w:color w:val="231F20"/>
                <w:spacing w:val="-2"/>
                <w:w w:val="105"/>
                <w:sz w:val="12"/>
              </w:rPr>
              <w:t>Listing</w:t>
            </w:r>
          </w:p>
          <w:p>
            <w:pPr>
              <w:pStyle w:val="TableParagraph"/>
              <w:ind w:left="335"/>
              <w:rPr>
                <w:b/>
                <w:sz w:val="12"/>
              </w:rPr>
            </w:pPr>
            <w:r>
              <w:rPr>
                <w:b/>
                <w:color w:val="231F20"/>
                <w:spacing w:val="-2"/>
                <w:w w:val="105"/>
                <w:sz w:val="12"/>
              </w:rPr>
              <w:t>Number</w:t>
            </w:r>
          </w:p>
        </w:tc>
        <w:tc>
          <w:tcPr>
            <w:tcW w:w="1132" w:type="dxa"/>
            <w:tcBorders>
              <w:bottom w:val="single" w:sz="18" w:space="0" w:color="231F20"/>
            </w:tcBorders>
          </w:tcPr>
          <w:p>
            <w:pPr>
              <w:pStyle w:val="TableParagraph"/>
              <w:spacing w:line="295" w:lineRule="auto" w:before="2"/>
              <w:ind w:left="235" w:hanging="124"/>
              <w:rPr>
                <w:b/>
                <w:sz w:val="12"/>
              </w:rPr>
            </w:pPr>
            <w:r>
              <w:rPr>
                <w:b/>
                <w:color w:val="231F20"/>
                <w:spacing w:val="-2"/>
                <w:w w:val="105"/>
                <w:sz w:val="12"/>
              </w:rPr>
              <w:t>Amount</w:t>
            </w:r>
            <w:r>
              <w:rPr>
                <w:b/>
                <w:color w:val="231F20"/>
                <w:spacing w:val="-7"/>
                <w:w w:val="105"/>
                <w:sz w:val="12"/>
              </w:rPr>
              <w:t> </w:t>
            </w:r>
            <w:r>
              <w:rPr>
                <w:b/>
                <w:color w:val="231F20"/>
                <w:spacing w:val="-2"/>
                <w:w w:val="105"/>
                <w:sz w:val="12"/>
              </w:rPr>
              <w:t>Passed</w:t>
            </w:r>
            <w:r>
              <w:rPr>
                <w:b/>
                <w:color w:val="231F20"/>
                <w:spacing w:val="40"/>
                <w:w w:val="105"/>
                <w:sz w:val="12"/>
              </w:rPr>
              <w:t> </w:t>
            </w:r>
            <w:r>
              <w:rPr>
                <w:b/>
                <w:color w:val="231F20"/>
                <w:w w:val="105"/>
                <w:sz w:val="12"/>
              </w:rPr>
              <w:t>Through</w:t>
            </w:r>
            <w:r>
              <w:rPr>
                <w:b/>
                <w:color w:val="231F20"/>
                <w:spacing w:val="-7"/>
                <w:w w:val="105"/>
                <w:sz w:val="12"/>
              </w:rPr>
              <w:t> </w:t>
            </w:r>
            <w:r>
              <w:rPr>
                <w:b/>
                <w:color w:val="231F20"/>
                <w:w w:val="105"/>
                <w:sz w:val="12"/>
              </w:rPr>
              <w:t>to</w:t>
            </w:r>
          </w:p>
          <w:p>
            <w:pPr>
              <w:pStyle w:val="TableParagraph"/>
              <w:ind w:left="152"/>
              <w:rPr>
                <w:b/>
                <w:sz w:val="12"/>
              </w:rPr>
            </w:pPr>
            <w:r>
              <w:rPr>
                <w:b/>
                <w:color w:val="231F20"/>
                <w:spacing w:val="-2"/>
                <w:w w:val="105"/>
                <w:sz w:val="12"/>
              </w:rPr>
              <w:t>Subrecipients</w:t>
            </w:r>
          </w:p>
        </w:tc>
        <w:tc>
          <w:tcPr>
            <w:tcW w:w="153" w:type="dxa"/>
            <w:tcBorders>
              <w:bottom w:val="single" w:sz="18" w:space="0" w:color="231F20"/>
            </w:tcBorders>
          </w:tcPr>
          <w:p>
            <w:pPr>
              <w:pStyle w:val="TableParagraph"/>
              <w:rPr>
                <w:rFonts w:ascii="Times New Roman"/>
                <w:sz w:val="12"/>
              </w:rPr>
            </w:pPr>
          </w:p>
        </w:tc>
        <w:tc>
          <w:tcPr>
            <w:tcW w:w="1132" w:type="dxa"/>
            <w:tcBorders>
              <w:bottom w:val="single" w:sz="18" w:space="0" w:color="231F20"/>
            </w:tcBorders>
          </w:tcPr>
          <w:p>
            <w:pPr>
              <w:pStyle w:val="TableParagraph"/>
              <w:spacing w:before="1"/>
              <w:rPr>
                <w:b/>
                <w:sz w:val="12"/>
              </w:rPr>
            </w:pPr>
          </w:p>
          <w:p>
            <w:pPr>
              <w:pStyle w:val="TableParagraph"/>
              <w:spacing w:line="170" w:lineRule="atLeast" w:before="1"/>
              <w:ind w:left="168" w:right="144" w:firstLine="24"/>
              <w:rPr>
                <w:b/>
                <w:sz w:val="12"/>
              </w:rPr>
            </w:pPr>
            <w:r>
              <w:rPr>
                <w:b/>
                <w:color w:val="231F20"/>
                <w:w w:val="105"/>
                <w:sz w:val="12"/>
              </w:rPr>
              <w:t>Total</w:t>
            </w:r>
            <w:r>
              <w:rPr>
                <w:b/>
                <w:color w:val="231F20"/>
                <w:spacing w:val="-9"/>
                <w:w w:val="105"/>
                <w:sz w:val="12"/>
              </w:rPr>
              <w:t> </w:t>
            </w:r>
            <w:r>
              <w:rPr>
                <w:b/>
                <w:color w:val="231F20"/>
                <w:w w:val="105"/>
                <w:sz w:val="12"/>
              </w:rPr>
              <w:t>Federal</w:t>
            </w:r>
            <w:r>
              <w:rPr>
                <w:b/>
                <w:color w:val="231F20"/>
                <w:spacing w:val="40"/>
                <w:w w:val="105"/>
                <w:sz w:val="12"/>
              </w:rPr>
              <w:t> </w:t>
            </w:r>
            <w:r>
              <w:rPr>
                <w:b/>
                <w:color w:val="231F20"/>
                <w:spacing w:val="-2"/>
                <w:w w:val="105"/>
                <w:sz w:val="12"/>
              </w:rPr>
              <w:t>Expenditures</w:t>
            </w:r>
          </w:p>
        </w:tc>
      </w:tr>
      <w:tr>
        <w:trPr>
          <w:trHeight w:val="253" w:hRule="atLeast"/>
        </w:trPr>
        <w:tc>
          <w:tcPr>
            <w:tcW w:w="4001" w:type="dxa"/>
            <w:tcBorders>
              <w:top w:val="single" w:sz="18" w:space="0" w:color="231F20"/>
            </w:tcBorders>
          </w:tcPr>
          <w:p>
            <w:pPr>
              <w:pStyle w:val="TableParagraph"/>
              <w:spacing w:line="134" w:lineRule="exact" w:before="99"/>
              <w:ind w:left="26"/>
              <w:rPr>
                <w:b/>
                <w:sz w:val="12"/>
              </w:rPr>
            </w:pPr>
            <w:r>
              <w:rPr>
                <w:b/>
                <w:color w:val="231F20"/>
                <w:spacing w:val="-2"/>
                <w:w w:val="105"/>
                <w:sz w:val="12"/>
              </w:rPr>
              <w:t>National</w:t>
            </w:r>
            <w:r>
              <w:rPr>
                <w:b/>
                <w:color w:val="231F20"/>
                <w:spacing w:val="4"/>
                <w:w w:val="105"/>
                <w:sz w:val="12"/>
              </w:rPr>
              <w:t> </w:t>
            </w:r>
            <w:r>
              <w:rPr>
                <w:b/>
                <w:color w:val="231F20"/>
                <w:spacing w:val="-2"/>
                <w:w w:val="105"/>
                <w:sz w:val="12"/>
              </w:rPr>
              <w:t>Science</w:t>
            </w:r>
            <w:r>
              <w:rPr>
                <w:b/>
                <w:color w:val="231F20"/>
                <w:spacing w:val="4"/>
                <w:w w:val="105"/>
                <w:sz w:val="12"/>
              </w:rPr>
              <w:t> </w:t>
            </w:r>
            <w:r>
              <w:rPr>
                <w:b/>
                <w:color w:val="231F20"/>
                <w:spacing w:val="-2"/>
                <w:w w:val="105"/>
                <w:sz w:val="12"/>
              </w:rPr>
              <w:t>Foundation</w:t>
            </w:r>
          </w:p>
        </w:tc>
        <w:tc>
          <w:tcPr>
            <w:tcW w:w="1774" w:type="dxa"/>
            <w:tcBorders>
              <w:top w:val="single" w:sz="18" w:space="0" w:color="231F20"/>
            </w:tcBorders>
          </w:tcPr>
          <w:p>
            <w:pPr>
              <w:pStyle w:val="TableParagraph"/>
              <w:rPr>
                <w:rFonts w:ascii="Times New Roman"/>
                <w:sz w:val="12"/>
              </w:rPr>
            </w:pPr>
          </w:p>
        </w:tc>
        <w:tc>
          <w:tcPr>
            <w:tcW w:w="2283" w:type="dxa"/>
            <w:tcBorders>
              <w:top w:val="single" w:sz="18" w:space="0" w:color="231F20"/>
            </w:tcBorders>
          </w:tcPr>
          <w:p>
            <w:pPr>
              <w:pStyle w:val="TableParagraph"/>
              <w:rPr>
                <w:rFonts w:ascii="Times New Roman"/>
                <w:sz w:val="12"/>
              </w:rPr>
            </w:pPr>
          </w:p>
        </w:tc>
        <w:tc>
          <w:tcPr>
            <w:tcW w:w="2774" w:type="dxa"/>
            <w:tcBorders>
              <w:top w:val="single" w:sz="18" w:space="0" w:color="231F20"/>
            </w:tcBorders>
          </w:tcPr>
          <w:p>
            <w:pPr>
              <w:pStyle w:val="TableParagraph"/>
              <w:rPr>
                <w:rFonts w:ascii="Times New Roman"/>
                <w:sz w:val="12"/>
              </w:rPr>
            </w:pPr>
          </w:p>
        </w:tc>
        <w:tc>
          <w:tcPr>
            <w:tcW w:w="1156" w:type="dxa"/>
            <w:tcBorders>
              <w:top w:val="single" w:sz="18" w:space="0" w:color="231F20"/>
            </w:tcBorders>
          </w:tcPr>
          <w:p>
            <w:pPr>
              <w:pStyle w:val="TableParagraph"/>
              <w:rPr>
                <w:rFonts w:ascii="Times New Roman"/>
                <w:sz w:val="12"/>
              </w:rPr>
            </w:pPr>
          </w:p>
        </w:tc>
        <w:tc>
          <w:tcPr>
            <w:tcW w:w="1132" w:type="dxa"/>
            <w:tcBorders>
              <w:top w:val="single" w:sz="18" w:space="0" w:color="231F20"/>
            </w:tcBorders>
          </w:tcPr>
          <w:p>
            <w:pPr>
              <w:pStyle w:val="TableParagraph"/>
              <w:rPr>
                <w:rFonts w:ascii="Times New Roman"/>
                <w:sz w:val="12"/>
              </w:rPr>
            </w:pPr>
          </w:p>
        </w:tc>
        <w:tc>
          <w:tcPr>
            <w:tcW w:w="153" w:type="dxa"/>
            <w:tcBorders>
              <w:top w:val="single" w:sz="18" w:space="0" w:color="231F20"/>
            </w:tcBorders>
          </w:tcPr>
          <w:p>
            <w:pPr>
              <w:pStyle w:val="TableParagraph"/>
              <w:rPr>
                <w:rFonts w:ascii="Times New Roman"/>
                <w:sz w:val="12"/>
              </w:rPr>
            </w:pPr>
          </w:p>
        </w:tc>
        <w:tc>
          <w:tcPr>
            <w:tcW w:w="1132" w:type="dxa"/>
            <w:tcBorders>
              <w:top w:val="single" w:sz="18" w:space="0" w:color="231F20"/>
            </w:tcBorders>
          </w:tcPr>
          <w:p>
            <w:pPr>
              <w:pStyle w:val="TableParagraph"/>
              <w:rPr>
                <w:rFonts w:ascii="Times New Roman"/>
                <w:sz w:val="12"/>
              </w:rPr>
            </w:pPr>
          </w:p>
        </w:tc>
      </w:tr>
      <w:tr>
        <w:trPr>
          <w:trHeight w:val="168" w:hRule="atLeast"/>
        </w:trPr>
        <w:tc>
          <w:tcPr>
            <w:tcW w:w="4001" w:type="dxa"/>
          </w:tcPr>
          <w:p>
            <w:pPr>
              <w:pStyle w:val="TableParagraph"/>
              <w:spacing w:line="132" w:lineRule="exact" w:before="16"/>
              <w:ind w:left="196"/>
              <w:rPr>
                <w:sz w:val="12"/>
              </w:rPr>
            </w:pPr>
            <w:r>
              <w:rPr>
                <w:color w:val="231F20"/>
                <w:w w:val="105"/>
                <w:sz w:val="12"/>
              </w:rPr>
              <w:t>Direct</w:t>
            </w:r>
            <w:r>
              <w:rPr>
                <w:color w:val="231F20"/>
                <w:spacing w:val="-6"/>
                <w:w w:val="105"/>
                <w:sz w:val="12"/>
              </w:rPr>
              <w:t> </w:t>
            </w:r>
            <w:r>
              <w:rPr>
                <w:color w:val="231F20"/>
                <w:spacing w:val="-2"/>
                <w:w w:val="105"/>
                <w:sz w:val="12"/>
              </w:rPr>
              <w:t>Awards</w:t>
            </w:r>
          </w:p>
        </w:tc>
        <w:tc>
          <w:tcPr>
            <w:tcW w:w="1774" w:type="dxa"/>
          </w:tcPr>
          <w:p>
            <w:pPr>
              <w:pStyle w:val="TableParagraph"/>
              <w:rPr>
                <w:rFonts w:ascii="Times New Roman"/>
                <w:sz w:val="10"/>
              </w:rPr>
            </w:pPr>
          </w:p>
        </w:tc>
        <w:tc>
          <w:tcPr>
            <w:tcW w:w="2283" w:type="dxa"/>
          </w:tcPr>
          <w:p>
            <w:pPr>
              <w:pStyle w:val="TableParagraph"/>
              <w:rPr>
                <w:rFonts w:ascii="Times New Roman"/>
                <w:sz w:val="10"/>
              </w:rPr>
            </w:pPr>
          </w:p>
        </w:tc>
        <w:tc>
          <w:tcPr>
            <w:tcW w:w="2774" w:type="dxa"/>
          </w:tcPr>
          <w:p>
            <w:pPr>
              <w:pStyle w:val="TableParagraph"/>
              <w:rPr>
                <w:rFonts w:ascii="Times New Roman"/>
                <w:sz w:val="10"/>
              </w:rPr>
            </w:pPr>
          </w:p>
        </w:tc>
        <w:tc>
          <w:tcPr>
            <w:tcW w:w="1156" w:type="dxa"/>
          </w:tcPr>
          <w:p>
            <w:pPr>
              <w:pStyle w:val="TableParagraph"/>
              <w:rPr>
                <w:rFonts w:ascii="Times New Roman"/>
                <w:sz w:val="10"/>
              </w:rPr>
            </w:pPr>
          </w:p>
        </w:tc>
        <w:tc>
          <w:tcPr>
            <w:tcW w:w="1132" w:type="dxa"/>
          </w:tcPr>
          <w:p>
            <w:pPr>
              <w:pStyle w:val="TableParagraph"/>
              <w:rPr>
                <w:rFonts w:ascii="Times New Roman"/>
                <w:sz w:val="10"/>
              </w:rPr>
            </w:pPr>
          </w:p>
        </w:tc>
        <w:tc>
          <w:tcPr>
            <w:tcW w:w="153" w:type="dxa"/>
          </w:tcPr>
          <w:p>
            <w:pPr>
              <w:pStyle w:val="TableParagraph"/>
              <w:rPr>
                <w:rFonts w:ascii="Times New Roman"/>
                <w:sz w:val="10"/>
              </w:rPr>
            </w:pPr>
          </w:p>
        </w:tc>
        <w:tc>
          <w:tcPr>
            <w:tcW w:w="1132" w:type="dxa"/>
          </w:tcPr>
          <w:p>
            <w:pPr>
              <w:pStyle w:val="TableParagraph"/>
              <w:rPr>
                <w:rFonts w:ascii="Times New Roman"/>
                <w:sz w:val="10"/>
              </w:rPr>
            </w:pPr>
          </w:p>
        </w:tc>
      </w:tr>
      <w:tr>
        <w:trPr>
          <w:trHeight w:val="172" w:hRule="atLeast"/>
        </w:trPr>
        <w:tc>
          <w:tcPr>
            <w:tcW w:w="4001" w:type="dxa"/>
          </w:tcPr>
          <w:p>
            <w:pPr>
              <w:pStyle w:val="TableParagraph"/>
              <w:spacing w:line="138" w:lineRule="exact" w:before="14"/>
              <w:ind w:left="367"/>
              <w:rPr>
                <w:sz w:val="12"/>
              </w:rPr>
            </w:pPr>
            <w:r>
              <w:rPr>
                <w:color w:val="231F20"/>
                <w:spacing w:val="-2"/>
                <w:w w:val="105"/>
                <w:sz w:val="12"/>
              </w:rPr>
              <w:t>Engineering</w:t>
            </w:r>
          </w:p>
        </w:tc>
        <w:tc>
          <w:tcPr>
            <w:tcW w:w="1774" w:type="dxa"/>
          </w:tcPr>
          <w:p>
            <w:pPr>
              <w:pStyle w:val="TableParagraph"/>
              <w:spacing w:line="132" w:lineRule="exact" w:before="20"/>
              <w:ind w:left="843"/>
              <w:rPr>
                <w:sz w:val="12"/>
              </w:rPr>
            </w:pPr>
            <w:r>
              <w:rPr>
                <w:color w:val="231F20"/>
                <w:spacing w:val="-4"/>
                <w:w w:val="105"/>
                <w:sz w:val="12"/>
              </w:rPr>
              <w:t>SIES</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1757793</w:t>
            </w:r>
          </w:p>
        </w:tc>
        <w:tc>
          <w:tcPr>
            <w:tcW w:w="1156" w:type="dxa"/>
          </w:tcPr>
          <w:p>
            <w:pPr>
              <w:pStyle w:val="TableParagraph"/>
              <w:spacing w:line="132" w:lineRule="exact" w:before="20"/>
              <w:ind w:left="388"/>
              <w:rPr>
                <w:sz w:val="12"/>
              </w:rPr>
            </w:pPr>
            <w:r>
              <w:rPr>
                <w:color w:val="231F20"/>
                <w:spacing w:val="-2"/>
                <w:w w:val="105"/>
                <w:sz w:val="12"/>
              </w:rPr>
              <w:t>47.041</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95,181</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Engineering</w:t>
            </w:r>
          </w:p>
        </w:tc>
        <w:tc>
          <w:tcPr>
            <w:tcW w:w="1774" w:type="dxa"/>
          </w:tcPr>
          <w:p>
            <w:pPr>
              <w:pStyle w:val="TableParagraph"/>
              <w:spacing w:line="132" w:lineRule="exact" w:before="20"/>
              <w:ind w:left="802"/>
              <w:rPr>
                <w:sz w:val="12"/>
              </w:rPr>
            </w:pPr>
            <w:r>
              <w:rPr>
                <w:color w:val="231F20"/>
                <w:spacing w:val="-4"/>
                <w:w w:val="105"/>
                <w:sz w:val="12"/>
              </w:rPr>
              <w:t>SSTW</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1607711</w:t>
            </w:r>
          </w:p>
        </w:tc>
        <w:tc>
          <w:tcPr>
            <w:tcW w:w="1156" w:type="dxa"/>
          </w:tcPr>
          <w:p>
            <w:pPr>
              <w:pStyle w:val="TableParagraph"/>
              <w:spacing w:line="132" w:lineRule="exact" w:before="20"/>
              <w:ind w:left="388"/>
              <w:rPr>
                <w:sz w:val="12"/>
              </w:rPr>
            </w:pPr>
            <w:r>
              <w:rPr>
                <w:color w:val="231F20"/>
                <w:spacing w:val="-2"/>
                <w:w w:val="105"/>
                <w:sz w:val="12"/>
              </w:rPr>
              <w:t>47.041</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5"/>
                <w:w w:val="105"/>
                <w:sz w:val="12"/>
              </w:rPr>
              <w:t>688</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Mathematical</w:t>
            </w:r>
            <w:r>
              <w:rPr>
                <w:color w:val="231F20"/>
                <w:spacing w:val="4"/>
                <w:w w:val="105"/>
                <w:sz w:val="12"/>
              </w:rPr>
              <w:t> </w:t>
            </w:r>
            <w:r>
              <w:rPr>
                <w:color w:val="231F20"/>
                <w:spacing w:val="-2"/>
                <w:w w:val="105"/>
                <w:sz w:val="12"/>
              </w:rPr>
              <w:t>and</w:t>
            </w:r>
            <w:r>
              <w:rPr>
                <w:color w:val="231F20"/>
                <w:spacing w:val="5"/>
                <w:w w:val="105"/>
                <w:sz w:val="12"/>
              </w:rPr>
              <w:t> </w:t>
            </w:r>
            <w:r>
              <w:rPr>
                <w:color w:val="231F20"/>
                <w:spacing w:val="-2"/>
                <w:w w:val="105"/>
                <w:sz w:val="12"/>
              </w:rPr>
              <w:t>Physical</w:t>
            </w:r>
            <w:r>
              <w:rPr>
                <w:color w:val="231F20"/>
                <w:spacing w:val="5"/>
                <w:w w:val="105"/>
                <w:sz w:val="12"/>
              </w:rPr>
              <w:t> </w:t>
            </w:r>
            <w:r>
              <w:rPr>
                <w:color w:val="231F20"/>
                <w:spacing w:val="-2"/>
                <w:w w:val="105"/>
                <w:sz w:val="12"/>
              </w:rPr>
              <w:t>Sciences</w:t>
            </w:r>
          </w:p>
        </w:tc>
        <w:tc>
          <w:tcPr>
            <w:tcW w:w="1774" w:type="dxa"/>
          </w:tcPr>
          <w:p>
            <w:pPr>
              <w:pStyle w:val="TableParagraph"/>
              <w:spacing w:line="132" w:lineRule="exact" w:before="20"/>
              <w:ind w:left="815"/>
              <w:rPr>
                <w:sz w:val="12"/>
              </w:rPr>
            </w:pPr>
            <w:r>
              <w:rPr>
                <w:color w:val="231F20"/>
                <w:spacing w:val="-4"/>
                <w:w w:val="105"/>
                <w:sz w:val="12"/>
              </w:rPr>
              <w:t>SDBA</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2046670</w:t>
            </w:r>
          </w:p>
        </w:tc>
        <w:tc>
          <w:tcPr>
            <w:tcW w:w="1156" w:type="dxa"/>
          </w:tcPr>
          <w:p>
            <w:pPr>
              <w:pStyle w:val="TableParagraph"/>
              <w:spacing w:line="132" w:lineRule="exact" w:before="20"/>
              <w:ind w:left="387"/>
              <w:rPr>
                <w:sz w:val="12"/>
              </w:rPr>
            </w:pPr>
            <w:r>
              <w:rPr>
                <w:color w:val="231F20"/>
                <w:spacing w:val="-2"/>
                <w:w w:val="105"/>
                <w:sz w:val="12"/>
              </w:rPr>
              <w:t>47.049</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57,499</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Mathematical</w:t>
            </w:r>
            <w:r>
              <w:rPr>
                <w:color w:val="231F20"/>
                <w:spacing w:val="4"/>
                <w:w w:val="105"/>
                <w:sz w:val="12"/>
              </w:rPr>
              <w:t> </w:t>
            </w:r>
            <w:r>
              <w:rPr>
                <w:color w:val="231F20"/>
                <w:spacing w:val="-2"/>
                <w:w w:val="105"/>
                <w:sz w:val="12"/>
              </w:rPr>
              <w:t>and</w:t>
            </w:r>
            <w:r>
              <w:rPr>
                <w:color w:val="231F20"/>
                <w:spacing w:val="5"/>
                <w:w w:val="105"/>
                <w:sz w:val="12"/>
              </w:rPr>
              <w:t> </w:t>
            </w:r>
            <w:r>
              <w:rPr>
                <w:color w:val="231F20"/>
                <w:spacing w:val="-2"/>
                <w:w w:val="105"/>
                <w:sz w:val="12"/>
              </w:rPr>
              <w:t>Physical</w:t>
            </w:r>
            <w:r>
              <w:rPr>
                <w:color w:val="231F20"/>
                <w:spacing w:val="5"/>
                <w:w w:val="105"/>
                <w:sz w:val="12"/>
              </w:rPr>
              <w:t> </w:t>
            </w:r>
            <w:r>
              <w:rPr>
                <w:color w:val="231F20"/>
                <w:spacing w:val="-2"/>
                <w:w w:val="105"/>
                <w:sz w:val="12"/>
              </w:rPr>
              <w:t>Sciences</w:t>
            </w:r>
          </w:p>
        </w:tc>
        <w:tc>
          <w:tcPr>
            <w:tcW w:w="1774" w:type="dxa"/>
          </w:tcPr>
          <w:p>
            <w:pPr>
              <w:pStyle w:val="TableParagraph"/>
              <w:spacing w:line="132" w:lineRule="exact" w:before="20"/>
              <w:ind w:left="825"/>
              <w:rPr>
                <w:sz w:val="12"/>
              </w:rPr>
            </w:pPr>
            <w:r>
              <w:rPr>
                <w:color w:val="231F20"/>
                <w:spacing w:val="-4"/>
                <w:w w:val="105"/>
                <w:sz w:val="12"/>
              </w:rPr>
              <w:t>SFBT</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2104755</w:t>
            </w:r>
          </w:p>
        </w:tc>
        <w:tc>
          <w:tcPr>
            <w:tcW w:w="1156" w:type="dxa"/>
          </w:tcPr>
          <w:p>
            <w:pPr>
              <w:pStyle w:val="TableParagraph"/>
              <w:spacing w:line="132" w:lineRule="exact" w:before="20"/>
              <w:ind w:left="387"/>
              <w:rPr>
                <w:sz w:val="12"/>
              </w:rPr>
            </w:pPr>
            <w:r>
              <w:rPr>
                <w:color w:val="231F20"/>
                <w:spacing w:val="-2"/>
                <w:w w:val="105"/>
                <w:sz w:val="12"/>
              </w:rPr>
              <w:t>47.049</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37,906</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26"/>
              <w:rPr>
                <w:sz w:val="12"/>
              </w:rPr>
            </w:pPr>
            <w:r>
              <w:rPr>
                <w:color w:val="231F20"/>
                <w:spacing w:val="-4"/>
                <w:w w:val="105"/>
                <w:sz w:val="12"/>
              </w:rPr>
              <w:t>SAFZ</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2026858</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2"/>
                <w:w w:val="105"/>
                <w:sz w:val="12"/>
              </w:rPr>
              <w:t>46,659</w:t>
            </w:r>
          </w:p>
        </w:tc>
      </w:tr>
      <w:tr>
        <w:trPr>
          <w:trHeight w:val="171" w:hRule="atLeast"/>
        </w:trPr>
        <w:tc>
          <w:tcPr>
            <w:tcW w:w="4001" w:type="dxa"/>
          </w:tcPr>
          <w:p>
            <w:pPr>
              <w:pStyle w:val="TableParagraph"/>
              <w:spacing w:line="138" w:lineRule="exact" w:before="14"/>
              <w:ind w:left="366"/>
              <w:rPr>
                <w:sz w:val="12"/>
              </w:rPr>
            </w:pPr>
            <w:r>
              <w:rPr>
                <w:color w:val="231F20"/>
                <w:spacing w:val="-2"/>
                <w:w w:val="105"/>
                <w:sz w:val="12"/>
              </w:rPr>
              <w:t>Geosciences</w:t>
            </w:r>
          </w:p>
        </w:tc>
        <w:tc>
          <w:tcPr>
            <w:tcW w:w="1774" w:type="dxa"/>
          </w:tcPr>
          <w:p>
            <w:pPr>
              <w:pStyle w:val="TableParagraph"/>
              <w:spacing w:line="132" w:lineRule="exact" w:before="20"/>
              <w:ind w:left="815"/>
              <w:rPr>
                <w:sz w:val="12"/>
              </w:rPr>
            </w:pPr>
            <w:r>
              <w:rPr>
                <w:color w:val="231F20"/>
                <w:spacing w:val="-4"/>
                <w:w w:val="105"/>
                <w:sz w:val="12"/>
              </w:rPr>
              <w:t>SASR</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z w:val="12"/>
              </w:rPr>
              <w:t>EAR-</w:t>
            </w:r>
            <w:r>
              <w:rPr>
                <w:color w:val="231F20"/>
                <w:spacing w:val="-2"/>
                <w:sz w:val="12"/>
              </w:rPr>
              <w:t>1516680</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2"/>
                <w:w w:val="105"/>
                <w:sz w:val="12"/>
              </w:rPr>
              <w:t>94,907</w:t>
            </w:r>
          </w:p>
        </w:tc>
      </w:tr>
      <w:tr>
        <w:trPr>
          <w:trHeight w:val="171" w:hRule="atLeast"/>
        </w:trPr>
        <w:tc>
          <w:tcPr>
            <w:tcW w:w="4001" w:type="dxa"/>
          </w:tcPr>
          <w:p>
            <w:pPr>
              <w:pStyle w:val="TableParagraph"/>
              <w:spacing w:line="138" w:lineRule="exact" w:before="14"/>
              <w:ind w:left="366"/>
              <w:rPr>
                <w:sz w:val="12"/>
              </w:rPr>
            </w:pPr>
            <w:r>
              <w:rPr>
                <w:color w:val="231F20"/>
                <w:spacing w:val="-2"/>
                <w:w w:val="105"/>
                <w:sz w:val="12"/>
              </w:rPr>
              <w:t>Geosciences</w:t>
            </w:r>
          </w:p>
        </w:tc>
        <w:tc>
          <w:tcPr>
            <w:tcW w:w="1774" w:type="dxa"/>
          </w:tcPr>
          <w:p>
            <w:pPr>
              <w:pStyle w:val="TableParagraph"/>
              <w:spacing w:line="132" w:lineRule="exact" w:before="20"/>
              <w:ind w:left="811"/>
              <w:rPr>
                <w:sz w:val="12"/>
              </w:rPr>
            </w:pPr>
            <w:r>
              <w:rPr>
                <w:color w:val="231F20"/>
                <w:spacing w:val="-4"/>
                <w:w w:val="105"/>
                <w:sz w:val="12"/>
              </w:rPr>
              <w:t>SCAR</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2046043</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2"/>
                <w:w w:val="105"/>
                <w:sz w:val="12"/>
              </w:rPr>
              <w:t>96,498</w:t>
            </w:r>
          </w:p>
        </w:tc>
      </w:tr>
      <w:tr>
        <w:trPr>
          <w:trHeight w:val="171" w:hRule="atLeast"/>
        </w:trPr>
        <w:tc>
          <w:tcPr>
            <w:tcW w:w="4001" w:type="dxa"/>
          </w:tcPr>
          <w:p>
            <w:pPr>
              <w:pStyle w:val="TableParagraph"/>
              <w:spacing w:line="138" w:lineRule="exact" w:before="14"/>
              <w:ind w:left="366"/>
              <w:rPr>
                <w:sz w:val="12"/>
              </w:rPr>
            </w:pPr>
            <w:r>
              <w:rPr>
                <w:color w:val="231F20"/>
                <w:spacing w:val="-2"/>
                <w:w w:val="105"/>
                <w:sz w:val="12"/>
              </w:rPr>
              <w:t>Geosciences</w:t>
            </w:r>
          </w:p>
        </w:tc>
        <w:tc>
          <w:tcPr>
            <w:tcW w:w="1774" w:type="dxa"/>
          </w:tcPr>
          <w:p>
            <w:pPr>
              <w:pStyle w:val="TableParagraph"/>
              <w:spacing w:line="132" w:lineRule="exact" w:before="20"/>
              <w:ind w:left="815"/>
              <w:rPr>
                <w:sz w:val="12"/>
              </w:rPr>
            </w:pPr>
            <w:r>
              <w:rPr>
                <w:color w:val="231F20"/>
                <w:spacing w:val="-4"/>
                <w:w w:val="105"/>
                <w:sz w:val="12"/>
              </w:rPr>
              <w:t>SCAS</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2034896</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2"/>
                <w:w w:val="105"/>
                <w:sz w:val="12"/>
              </w:rPr>
              <w:t>113,554</w:t>
            </w:r>
          </w:p>
        </w:tc>
      </w:tr>
      <w:tr>
        <w:trPr>
          <w:trHeight w:val="171" w:hRule="atLeast"/>
        </w:trPr>
        <w:tc>
          <w:tcPr>
            <w:tcW w:w="4001" w:type="dxa"/>
          </w:tcPr>
          <w:p>
            <w:pPr>
              <w:pStyle w:val="TableParagraph"/>
              <w:spacing w:line="138" w:lineRule="exact" w:before="14"/>
              <w:ind w:left="366"/>
              <w:rPr>
                <w:sz w:val="12"/>
              </w:rPr>
            </w:pPr>
            <w:r>
              <w:rPr>
                <w:color w:val="231F20"/>
                <w:spacing w:val="-2"/>
                <w:w w:val="105"/>
                <w:sz w:val="12"/>
              </w:rPr>
              <w:t>Geosciences</w:t>
            </w:r>
          </w:p>
        </w:tc>
        <w:tc>
          <w:tcPr>
            <w:tcW w:w="1774" w:type="dxa"/>
          </w:tcPr>
          <w:p>
            <w:pPr>
              <w:pStyle w:val="TableParagraph"/>
              <w:spacing w:line="132" w:lineRule="exact" w:before="20"/>
              <w:ind w:left="804"/>
              <w:rPr>
                <w:sz w:val="12"/>
              </w:rPr>
            </w:pPr>
            <w:r>
              <w:rPr>
                <w:color w:val="231F20"/>
                <w:spacing w:val="-4"/>
                <w:w w:val="105"/>
                <w:sz w:val="12"/>
              </w:rPr>
              <w:t>SCOR</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1543454</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2"/>
                <w:w w:val="105"/>
                <w:sz w:val="12"/>
              </w:rPr>
              <w:t>1,987</w:t>
            </w:r>
          </w:p>
        </w:tc>
      </w:tr>
      <w:tr>
        <w:trPr>
          <w:trHeight w:val="171" w:hRule="atLeast"/>
        </w:trPr>
        <w:tc>
          <w:tcPr>
            <w:tcW w:w="4001" w:type="dxa"/>
          </w:tcPr>
          <w:p>
            <w:pPr>
              <w:pStyle w:val="TableParagraph"/>
              <w:spacing w:line="138" w:lineRule="exact" w:before="14"/>
              <w:ind w:left="366"/>
              <w:rPr>
                <w:sz w:val="12"/>
              </w:rPr>
            </w:pPr>
            <w:r>
              <w:rPr>
                <w:color w:val="231F20"/>
                <w:spacing w:val="-2"/>
                <w:w w:val="105"/>
                <w:sz w:val="12"/>
              </w:rPr>
              <w:t>Geosciences</w:t>
            </w:r>
          </w:p>
        </w:tc>
        <w:tc>
          <w:tcPr>
            <w:tcW w:w="1774" w:type="dxa"/>
          </w:tcPr>
          <w:p>
            <w:pPr>
              <w:pStyle w:val="TableParagraph"/>
              <w:spacing w:line="132" w:lineRule="exact" w:before="20"/>
              <w:ind w:left="811"/>
              <w:rPr>
                <w:sz w:val="12"/>
              </w:rPr>
            </w:pPr>
            <w:r>
              <w:rPr>
                <w:color w:val="231F20"/>
                <w:spacing w:val="-4"/>
                <w:w w:val="105"/>
                <w:sz w:val="12"/>
              </w:rPr>
              <w:t>SCPR</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1644234</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2"/>
                <w:w w:val="105"/>
                <w:sz w:val="12"/>
              </w:rPr>
              <w:t>86,767</w:t>
            </w:r>
          </w:p>
        </w:tc>
      </w:tr>
      <w:tr>
        <w:trPr>
          <w:trHeight w:val="171" w:hRule="atLeast"/>
        </w:trPr>
        <w:tc>
          <w:tcPr>
            <w:tcW w:w="4001" w:type="dxa"/>
          </w:tcPr>
          <w:p>
            <w:pPr>
              <w:pStyle w:val="TableParagraph"/>
              <w:spacing w:line="138" w:lineRule="exact" w:before="14"/>
              <w:ind w:left="366"/>
              <w:rPr>
                <w:sz w:val="12"/>
              </w:rPr>
            </w:pPr>
            <w:r>
              <w:rPr>
                <w:color w:val="231F20"/>
                <w:spacing w:val="-2"/>
                <w:w w:val="105"/>
                <w:sz w:val="12"/>
              </w:rPr>
              <w:t>Geosciences</w:t>
            </w:r>
          </w:p>
        </w:tc>
        <w:tc>
          <w:tcPr>
            <w:tcW w:w="1774" w:type="dxa"/>
          </w:tcPr>
          <w:p>
            <w:pPr>
              <w:pStyle w:val="TableParagraph"/>
              <w:spacing w:line="132" w:lineRule="exact" w:before="20"/>
              <w:ind w:left="815"/>
              <w:rPr>
                <w:sz w:val="12"/>
              </w:rPr>
            </w:pPr>
            <w:r>
              <w:rPr>
                <w:color w:val="231F20"/>
                <w:spacing w:val="-4"/>
                <w:w w:val="105"/>
                <w:sz w:val="12"/>
              </w:rPr>
              <w:t>SEFO</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1949185</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69"/>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2"/>
                <w:w w:val="105"/>
                <w:sz w:val="12"/>
              </w:rPr>
              <w:t>23,896</w:t>
            </w:r>
          </w:p>
        </w:tc>
      </w:tr>
      <w:tr>
        <w:trPr>
          <w:trHeight w:val="171" w:hRule="atLeast"/>
        </w:trPr>
        <w:tc>
          <w:tcPr>
            <w:tcW w:w="4001" w:type="dxa"/>
          </w:tcPr>
          <w:p>
            <w:pPr>
              <w:pStyle w:val="TableParagraph"/>
              <w:spacing w:line="138" w:lineRule="exact" w:before="14"/>
              <w:ind w:left="366"/>
              <w:rPr>
                <w:sz w:val="12"/>
              </w:rPr>
            </w:pPr>
            <w:r>
              <w:rPr>
                <w:color w:val="231F20"/>
                <w:spacing w:val="-2"/>
                <w:w w:val="105"/>
                <w:sz w:val="12"/>
              </w:rPr>
              <w:t>Geosciences</w:t>
            </w:r>
          </w:p>
        </w:tc>
        <w:tc>
          <w:tcPr>
            <w:tcW w:w="1774" w:type="dxa"/>
          </w:tcPr>
          <w:p>
            <w:pPr>
              <w:pStyle w:val="TableParagraph"/>
              <w:spacing w:line="132" w:lineRule="exact" w:before="20"/>
              <w:ind w:left="782"/>
              <w:rPr>
                <w:sz w:val="12"/>
              </w:rPr>
            </w:pPr>
            <w:r>
              <w:rPr>
                <w:color w:val="231F20"/>
                <w:spacing w:val="-4"/>
                <w:w w:val="105"/>
                <w:sz w:val="12"/>
              </w:rPr>
              <w:t>SGMW</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1745015</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69"/>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2"/>
                <w:w w:val="105"/>
                <w:sz w:val="12"/>
              </w:rPr>
              <w:t>19,914</w:t>
            </w:r>
          </w:p>
        </w:tc>
      </w:tr>
      <w:tr>
        <w:trPr>
          <w:trHeight w:val="171" w:hRule="atLeast"/>
        </w:trPr>
        <w:tc>
          <w:tcPr>
            <w:tcW w:w="4001" w:type="dxa"/>
          </w:tcPr>
          <w:p>
            <w:pPr>
              <w:pStyle w:val="TableParagraph"/>
              <w:spacing w:line="138" w:lineRule="exact" w:before="14"/>
              <w:ind w:left="366"/>
              <w:rPr>
                <w:sz w:val="12"/>
              </w:rPr>
            </w:pPr>
            <w:r>
              <w:rPr>
                <w:color w:val="231F20"/>
                <w:spacing w:val="-2"/>
                <w:w w:val="105"/>
                <w:sz w:val="12"/>
              </w:rPr>
              <w:t>Geosciences</w:t>
            </w:r>
          </w:p>
        </w:tc>
        <w:tc>
          <w:tcPr>
            <w:tcW w:w="1774" w:type="dxa"/>
          </w:tcPr>
          <w:p>
            <w:pPr>
              <w:pStyle w:val="TableParagraph"/>
              <w:spacing w:line="132" w:lineRule="exact" w:before="20"/>
              <w:ind w:left="838"/>
              <w:rPr>
                <w:sz w:val="12"/>
              </w:rPr>
            </w:pPr>
            <w:r>
              <w:rPr>
                <w:color w:val="231F20"/>
                <w:spacing w:val="-4"/>
                <w:w w:val="105"/>
                <w:sz w:val="12"/>
              </w:rPr>
              <w:t>SIOZ</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1650355</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70"/>
              <w:jc w:val="right"/>
              <w:rPr>
                <w:sz w:val="12"/>
              </w:rPr>
            </w:pPr>
            <w:r>
              <w:rPr>
                <w:color w:val="231F20"/>
                <w:spacing w:val="-2"/>
                <w:w w:val="105"/>
                <w:sz w:val="12"/>
              </w:rPr>
              <w:t>38,316</w:t>
            </w:r>
          </w:p>
        </w:tc>
        <w:tc>
          <w:tcPr>
            <w:tcW w:w="153" w:type="dxa"/>
          </w:tcPr>
          <w:p>
            <w:pPr>
              <w:pStyle w:val="TableParagraph"/>
              <w:rPr>
                <w:rFonts w:ascii="Times New Roman"/>
                <w:sz w:val="10"/>
              </w:rPr>
            </w:pPr>
          </w:p>
        </w:tc>
        <w:tc>
          <w:tcPr>
            <w:tcW w:w="1132" w:type="dxa"/>
          </w:tcPr>
          <w:p>
            <w:pPr>
              <w:pStyle w:val="TableParagraph"/>
              <w:spacing w:line="132" w:lineRule="exact" w:before="20"/>
              <w:ind w:right="68"/>
              <w:jc w:val="right"/>
              <w:rPr>
                <w:sz w:val="12"/>
              </w:rPr>
            </w:pPr>
            <w:r>
              <w:rPr>
                <w:color w:val="231F20"/>
                <w:spacing w:val="-2"/>
                <w:w w:val="105"/>
                <w:sz w:val="12"/>
              </w:rPr>
              <w:t>38,316</w:t>
            </w:r>
          </w:p>
        </w:tc>
      </w:tr>
      <w:tr>
        <w:trPr>
          <w:trHeight w:val="172" w:hRule="atLeast"/>
        </w:trPr>
        <w:tc>
          <w:tcPr>
            <w:tcW w:w="4001" w:type="dxa"/>
          </w:tcPr>
          <w:p>
            <w:pPr>
              <w:pStyle w:val="TableParagraph"/>
              <w:spacing w:before="14"/>
              <w:ind w:left="366"/>
              <w:rPr>
                <w:sz w:val="12"/>
              </w:rPr>
            </w:pPr>
            <w:r>
              <w:rPr>
                <w:color w:val="231F20"/>
                <w:spacing w:val="-2"/>
                <w:w w:val="105"/>
                <w:sz w:val="12"/>
              </w:rPr>
              <w:t>Geosciences</w:t>
            </w:r>
          </w:p>
        </w:tc>
        <w:tc>
          <w:tcPr>
            <w:tcW w:w="1774" w:type="dxa"/>
          </w:tcPr>
          <w:p>
            <w:pPr>
              <w:pStyle w:val="TableParagraph"/>
              <w:spacing w:line="132" w:lineRule="exact" w:before="20"/>
              <w:ind w:left="804"/>
              <w:rPr>
                <w:sz w:val="12"/>
              </w:rPr>
            </w:pPr>
            <w:r>
              <w:rPr>
                <w:color w:val="231F20"/>
                <w:spacing w:val="-4"/>
                <w:w w:val="105"/>
                <w:sz w:val="12"/>
              </w:rPr>
              <w:t>SMAD</w:t>
            </w:r>
          </w:p>
        </w:tc>
        <w:tc>
          <w:tcPr>
            <w:tcW w:w="2283" w:type="dxa"/>
          </w:tcPr>
          <w:p>
            <w:pPr>
              <w:pStyle w:val="TableParagraph"/>
              <w:rPr>
                <w:rFonts w:ascii="Times New Roman"/>
                <w:sz w:val="10"/>
              </w:rPr>
            </w:pPr>
          </w:p>
        </w:tc>
        <w:tc>
          <w:tcPr>
            <w:tcW w:w="2774" w:type="dxa"/>
          </w:tcPr>
          <w:p>
            <w:pPr>
              <w:pStyle w:val="TableParagraph"/>
              <w:spacing w:before="14"/>
              <w:ind w:left="497"/>
              <w:rPr>
                <w:sz w:val="12"/>
              </w:rPr>
            </w:pPr>
            <w:r>
              <w:rPr>
                <w:color w:val="231F20"/>
                <w:spacing w:val="-2"/>
                <w:w w:val="105"/>
                <w:sz w:val="12"/>
              </w:rPr>
              <w:t>2111939</w:t>
            </w:r>
          </w:p>
        </w:tc>
        <w:tc>
          <w:tcPr>
            <w:tcW w:w="1156" w:type="dxa"/>
          </w:tcPr>
          <w:p>
            <w:pPr>
              <w:pStyle w:val="TableParagraph"/>
              <w:spacing w:line="132" w:lineRule="exact" w:before="20"/>
              <w:ind w:left="387"/>
              <w:rPr>
                <w:sz w:val="12"/>
              </w:rPr>
            </w:pPr>
            <w:r>
              <w:rPr>
                <w:color w:val="231F20"/>
                <w:spacing w:val="-2"/>
                <w:w w:val="105"/>
                <w:sz w:val="12"/>
              </w:rPr>
              <w:t>47.050</w:t>
            </w:r>
          </w:p>
        </w:tc>
        <w:tc>
          <w:tcPr>
            <w:tcW w:w="1132" w:type="dxa"/>
          </w:tcPr>
          <w:p>
            <w:pPr>
              <w:pStyle w:val="TableParagraph"/>
              <w:spacing w:line="132" w:lineRule="exact" w:before="20"/>
              <w:ind w:right="69"/>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7"/>
              <w:jc w:val="right"/>
              <w:rPr>
                <w:sz w:val="12"/>
              </w:rPr>
            </w:pPr>
            <w:r>
              <w:rPr>
                <w:color w:val="231F20"/>
                <w:spacing w:val="-2"/>
                <w:w w:val="105"/>
                <w:sz w:val="12"/>
              </w:rPr>
              <w:t>24,456</w:t>
            </w:r>
          </w:p>
        </w:tc>
      </w:tr>
      <w:tr>
        <w:trPr>
          <w:trHeight w:val="171" w:hRule="atLeast"/>
        </w:trPr>
        <w:tc>
          <w:tcPr>
            <w:tcW w:w="4001" w:type="dxa"/>
          </w:tcPr>
          <w:p>
            <w:pPr>
              <w:pStyle w:val="TableParagraph"/>
              <w:spacing w:line="137" w:lineRule="exact" w:before="14"/>
              <w:ind w:left="366"/>
              <w:rPr>
                <w:sz w:val="12"/>
              </w:rPr>
            </w:pPr>
            <w:r>
              <w:rPr>
                <w:color w:val="231F20"/>
                <w:spacing w:val="-2"/>
                <w:w w:val="105"/>
                <w:sz w:val="12"/>
              </w:rPr>
              <w:t>Geosciences</w:t>
            </w:r>
          </w:p>
        </w:tc>
        <w:tc>
          <w:tcPr>
            <w:tcW w:w="1774" w:type="dxa"/>
          </w:tcPr>
          <w:p>
            <w:pPr>
              <w:pStyle w:val="TableParagraph"/>
              <w:spacing w:line="132" w:lineRule="exact" w:before="19"/>
              <w:ind w:left="811"/>
              <w:rPr>
                <w:sz w:val="12"/>
              </w:rPr>
            </w:pPr>
            <w:r>
              <w:rPr>
                <w:color w:val="231F20"/>
                <w:spacing w:val="-4"/>
                <w:w w:val="105"/>
                <w:sz w:val="12"/>
              </w:rPr>
              <w:t>SMAT</w:t>
            </w:r>
          </w:p>
        </w:tc>
        <w:tc>
          <w:tcPr>
            <w:tcW w:w="2283" w:type="dxa"/>
          </w:tcPr>
          <w:p>
            <w:pPr>
              <w:pStyle w:val="TableParagraph"/>
              <w:rPr>
                <w:rFonts w:ascii="Times New Roman"/>
                <w:sz w:val="10"/>
              </w:rPr>
            </w:pPr>
          </w:p>
        </w:tc>
        <w:tc>
          <w:tcPr>
            <w:tcW w:w="2774" w:type="dxa"/>
          </w:tcPr>
          <w:p>
            <w:pPr>
              <w:pStyle w:val="TableParagraph"/>
              <w:spacing w:line="137" w:lineRule="exact" w:before="14"/>
              <w:ind w:left="497"/>
              <w:rPr>
                <w:sz w:val="12"/>
              </w:rPr>
            </w:pPr>
            <w:r>
              <w:rPr>
                <w:color w:val="231F20"/>
                <w:sz w:val="12"/>
              </w:rPr>
              <w:t>AST-</w:t>
            </w:r>
            <w:r>
              <w:rPr>
                <w:color w:val="231F20"/>
                <w:spacing w:val="-2"/>
                <w:w w:val="105"/>
                <w:sz w:val="12"/>
              </w:rPr>
              <w:t>1814011</w:t>
            </w:r>
          </w:p>
        </w:tc>
        <w:tc>
          <w:tcPr>
            <w:tcW w:w="1156" w:type="dxa"/>
          </w:tcPr>
          <w:p>
            <w:pPr>
              <w:pStyle w:val="TableParagraph"/>
              <w:spacing w:line="132" w:lineRule="exact" w:before="19"/>
              <w:ind w:left="387"/>
              <w:rPr>
                <w:sz w:val="12"/>
              </w:rPr>
            </w:pPr>
            <w:r>
              <w:rPr>
                <w:color w:val="231F20"/>
                <w:spacing w:val="-2"/>
                <w:w w:val="105"/>
                <w:sz w:val="12"/>
              </w:rPr>
              <w:t>47.050</w:t>
            </w:r>
          </w:p>
        </w:tc>
        <w:tc>
          <w:tcPr>
            <w:tcW w:w="1132" w:type="dxa"/>
          </w:tcPr>
          <w:p>
            <w:pPr>
              <w:pStyle w:val="TableParagraph"/>
              <w:spacing w:line="132" w:lineRule="exact" w:before="19"/>
              <w:ind w:right="69"/>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19"/>
              <w:ind w:right="67"/>
              <w:jc w:val="right"/>
              <w:rPr>
                <w:sz w:val="12"/>
              </w:rPr>
            </w:pPr>
            <w:r>
              <w:rPr>
                <w:color w:val="231F20"/>
                <w:spacing w:val="-2"/>
                <w:w w:val="105"/>
                <w:sz w:val="12"/>
              </w:rPr>
              <w:t>56,107</w:t>
            </w:r>
          </w:p>
        </w:tc>
      </w:tr>
      <w:tr>
        <w:trPr>
          <w:trHeight w:val="171" w:hRule="atLeast"/>
        </w:trPr>
        <w:tc>
          <w:tcPr>
            <w:tcW w:w="4001" w:type="dxa"/>
          </w:tcPr>
          <w:p>
            <w:pPr>
              <w:pStyle w:val="TableParagraph"/>
              <w:spacing w:line="137" w:lineRule="exact" w:before="14"/>
              <w:ind w:left="366"/>
              <w:rPr>
                <w:sz w:val="12"/>
              </w:rPr>
            </w:pPr>
            <w:r>
              <w:rPr>
                <w:color w:val="231F20"/>
                <w:spacing w:val="-2"/>
                <w:w w:val="105"/>
                <w:sz w:val="12"/>
              </w:rPr>
              <w:t>Geosciences</w:t>
            </w:r>
          </w:p>
        </w:tc>
        <w:tc>
          <w:tcPr>
            <w:tcW w:w="1774" w:type="dxa"/>
          </w:tcPr>
          <w:p>
            <w:pPr>
              <w:pStyle w:val="TableParagraph"/>
              <w:spacing w:line="132" w:lineRule="exact" w:before="19"/>
              <w:ind w:left="811"/>
              <w:rPr>
                <w:sz w:val="12"/>
              </w:rPr>
            </w:pPr>
            <w:r>
              <w:rPr>
                <w:color w:val="231F20"/>
                <w:spacing w:val="-4"/>
                <w:w w:val="105"/>
                <w:sz w:val="12"/>
              </w:rPr>
              <w:t>SMBT</w:t>
            </w:r>
          </w:p>
        </w:tc>
        <w:tc>
          <w:tcPr>
            <w:tcW w:w="2283" w:type="dxa"/>
          </w:tcPr>
          <w:p>
            <w:pPr>
              <w:pStyle w:val="TableParagraph"/>
              <w:rPr>
                <w:rFonts w:ascii="Times New Roman"/>
                <w:sz w:val="10"/>
              </w:rPr>
            </w:pPr>
          </w:p>
        </w:tc>
        <w:tc>
          <w:tcPr>
            <w:tcW w:w="2774" w:type="dxa"/>
          </w:tcPr>
          <w:p>
            <w:pPr>
              <w:pStyle w:val="TableParagraph"/>
              <w:spacing w:line="137" w:lineRule="exact" w:before="14"/>
              <w:ind w:left="497"/>
              <w:rPr>
                <w:sz w:val="12"/>
              </w:rPr>
            </w:pPr>
            <w:r>
              <w:rPr>
                <w:color w:val="231F20"/>
                <w:spacing w:val="-2"/>
                <w:w w:val="105"/>
                <w:sz w:val="12"/>
              </w:rPr>
              <w:t>1852794</w:t>
            </w:r>
          </w:p>
        </w:tc>
        <w:tc>
          <w:tcPr>
            <w:tcW w:w="1156" w:type="dxa"/>
          </w:tcPr>
          <w:p>
            <w:pPr>
              <w:pStyle w:val="TableParagraph"/>
              <w:spacing w:line="132" w:lineRule="exact" w:before="19"/>
              <w:ind w:left="387"/>
              <w:rPr>
                <w:sz w:val="12"/>
              </w:rPr>
            </w:pPr>
            <w:r>
              <w:rPr>
                <w:color w:val="231F20"/>
                <w:spacing w:val="-2"/>
                <w:w w:val="105"/>
                <w:sz w:val="12"/>
              </w:rPr>
              <w:t>47.050</w:t>
            </w:r>
          </w:p>
        </w:tc>
        <w:tc>
          <w:tcPr>
            <w:tcW w:w="1132" w:type="dxa"/>
          </w:tcPr>
          <w:p>
            <w:pPr>
              <w:pStyle w:val="TableParagraph"/>
              <w:spacing w:line="132" w:lineRule="exact" w:before="19"/>
              <w:ind w:right="69"/>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19"/>
              <w:ind w:right="67"/>
              <w:jc w:val="right"/>
              <w:rPr>
                <w:sz w:val="12"/>
              </w:rPr>
            </w:pPr>
            <w:r>
              <w:rPr>
                <w:color w:val="231F20"/>
                <w:spacing w:val="-2"/>
                <w:w w:val="105"/>
                <w:sz w:val="12"/>
              </w:rPr>
              <w:t>129,654</w:t>
            </w:r>
          </w:p>
        </w:tc>
      </w:tr>
      <w:tr>
        <w:trPr>
          <w:trHeight w:val="171" w:hRule="atLeast"/>
        </w:trPr>
        <w:tc>
          <w:tcPr>
            <w:tcW w:w="4001" w:type="dxa"/>
          </w:tcPr>
          <w:p>
            <w:pPr>
              <w:pStyle w:val="TableParagraph"/>
              <w:spacing w:line="137" w:lineRule="exact" w:before="14"/>
              <w:ind w:left="366"/>
              <w:rPr>
                <w:sz w:val="12"/>
              </w:rPr>
            </w:pPr>
            <w:r>
              <w:rPr>
                <w:color w:val="231F20"/>
                <w:spacing w:val="-2"/>
                <w:w w:val="105"/>
                <w:sz w:val="12"/>
              </w:rPr>
              <w:t>Geosciences</w:t>
            </w:r>
          </w:p>
        </w:tc>
        <w:tc>
          <w:tcPr>
            <w:tcW w:w="1774" w:type="dxa"/>
          </w:tcPr>
          <w:p>
            <w:pPr>
              <w:pStyle w:val="TableParagraph"/>
              <w:spacing w:line="132" w:lineRule="exact" w:before="19"/>
              <w:ind w:left="813"/>
              <w:rPr>
                <w:sz w:val="12"/>
              </w:rPr>
            </w:pPr>
            <w:r>
              <w:rPr>
                <w:color w:val="231F20"/>
                <w:spacing w:val="-4"/>
                <w:w w:val="105"/>
                <w:sz w:val="12"/>
              </w:rPr>
              <w:t>SOTP</w:t>
            </w:r>
          </w:p>
        </w:tc>
        <w:tc>
          <w:tcPr>
            <w:tcW w:w="2283" w:type="dxa"/>
          </w:tcPr>
          <w:p>
            <w:pPr>
              <w:pStyle w:val="TableParagraph"/>
              <w:rPr>
                <w:rFonts w:ascii="Times New Roman"/>
                <w:sz w:val="10"/>
              </w:rPr>
            </w:pPr>
          </w:p>
        </w:tc>
        <w:tc>
          <w:tcPr>
            <w:tcW w:w="2774" w:type="dxa"/>
          </w:tcPr>
          <w:p>
            <w:pPr>
              <w:pStyle w:val="TableParagraph"/>
              <w:spacing w:line="137" w:lineRule="exact" w:before="14"/>
              <w:ind w:left="497"/>
              <w:rPr>
                <w:sz w:val="12"/>
              </w:rPr>
            </w:pPr>
            <w:r>
              <w:rPr>
                <w:color w:val="231F20"/>
                <w:spacing w:val="-2"/>
                <w:w w:val="105"/>
                <w:sz w:val="12"/>
              </w:rPr>
              <w:t>2034817</w:t>
            </w:r>
          </w:p>
        </w:tc>
        <w:tc>
          <w:tcPr>
            <w:tcW w:w="1156" w:type="dxa"/>
          </w:tcPr>
          <w:p>
            <w:pPr>
              <w:pStyle w:val="TableParagraph"/>
              <w:spacing w:line="132" w:lineRule="exact" w:before="19"/>
              <w:ind w:left="386"/>
              <w:rPr>
                <w:sz w:val="12"/>
              </w:rPr>
            </w:pPr>
            <w:r>
              <w:rPr>
                <w:color w:val="231F20"/>
                <w:spacing w:val="-2"/>
                <w:w w:val="105"/>
                <w:sz w:val="12"/>
              </w:rPr>
              <w:t>47.050</w:t>
            </w:r>
          </w:p>
        </w:tc>
        <w:tc>
          <w:tcPr>
            <w:tcW w:w="1132" w:type="dxa"/>
          </w:tcPr>
          <w:p>
            <w:pPr>
              <w:pStyle w:val="TableParagraph"/>
              <w:spacing w:line="132" w:lineRule="exact" w:before="19"/>
              <w:ind w:right="69"/>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19"/>
              <w:ind w:right="67"/>
              <w:jc w:val="right"/>
              <w:rPr>
                <w:sz w:val="12"/>
              </w:rPr>
            </w:pPr>
            <w:r>
              <w:rPr>
                <w:color w:val="231F20"/>
                <w:spacing w:val="-2"/>
                <w:w w:val="105"/>
                <w:sz w:val="12"/>
              </w:rPr>
              <w:t>74,247</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11"/>
              <w:rPr>
                <w:sz w:val="12"/>
              </w:rPr>
            </w:pPr>
            <w:r>
              <w:rPr>
                <w:color w:val="231F20"/>
                <w:spacing w:val="-4"/>
                <w:w w:val="105"/>
                <w:sz w:val="12"/>
              </w:rPr>
              <w:t>SOTR</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1758513</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121,605</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04"/>
              <w:rPr>
                <w:sz w:val="12"/>
              </w:rPr>
            </w:pPr>
            <w:r>
              <w:rPr>
                <w:color w:val="231F20"/>
                <w:spacing w:val="-4"/>
                <w:w w:val="105"/>
                <w:sz w:val="12"/>
              </w:rPr>
              <w:t>SRAM</w:t>
            </w:r>
          </w:p>
        </w:tc>
        <w:tc>
          <w:tcPr>
            <w:tcW w:w="2283" w:type="dxa"/>
          </w:tcPr>
          <w:p>
            <w:pPr>
              <w:pStyle w:val="TableParagraph"/>
              <w:rPr>
                <w:rFonts w:ascii="Times New Roman"/>
                <w:sz w:val="10"/>
              </w:rPr>
            </w:pPr>
          </w:p>
        </w:tc>
        <w:tc>
          <w:tcPr>
            <w:tcW w:w="2774" w:type="dxa"/>
          </w:tcPr>
          <w:p>
            <w:pPr>
              <w:pStyle w:val="TableParagraph"/>
              <w:spacing w:line="138" w:lineRule="exact" w:before="14"/>
              <w:ind w:left="497"/>
              <w:rPr>
                <w:sz w:val="12"/>
              </w:rPr>
            </w:pPr>
            <w:r>
              <w:rPr>
                <w:color w:val="231F20"/>
                <w:spacing w:val="-2"/>
                <w:w w:val="105"/>
                <w:sz w:val="12"/>
              </w:rPr>
              <w:t>2117061</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371,439</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12"/>
              <w:rPr>
                <w:sz w:val="12"/>
              </w:rPr>
            </w:pPr>
            <w:r>
              <w:rPr>
                <w:color w:val="231F20"/>
                <w:spacing w:val="-4"/>
                <w:w w:val="105"/>
                <w:sz w:val="12"/>
              </w:rPr>
              <w:t>SRED</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1917069</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137,777</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15"/>
              <w:rPr>
                <w:sz w:val="12"/>
              </w:rPr>
            </w:pPr>
            <w:r>
              <w:rPr>
                <w:color w:val="231F20"/>
                <w:spacing w:val="-4"/>
                <w:w w:val="105"/>
                <w:sz w:val="12"/>
              </w:rPr>
              <w:t>SREE</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2032761</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12,085</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781"/>
              <w:rPr>
                <w:sz w:val="12"/>
              </w:rPr>
            </w:pPr>
            <w:r>
              <w:rPr>
                <w:color w:val="231F20"/>
                <w:spacing w:val="-2"/>
                <w:w w:val="105"/>
                <w:sz w:val="12"/>
              </w:rPr>
              <w:t>SREE2</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2039674</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9"/>
              <w:jc w:val="right"/>
              <w:rPr>
                <w:sz w:val="12"/>
              </w:rPr>
            </w:pPr>
            <w:r>
              <w:rPr>
                <w:color w:val="231F20"/>
                <w:spacing w:val="-2"/>
                <w:w w:val="105"/>
                <w:sz w:val="12"/>
              </w:rPr>
              <w:t>2,239</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191,498</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16"/>
              <w:rPr>
                <w:sz w:val="12"/>
              </w:rPr>
            </w:pPr>
            <w:r>
              <w:rPr>
                <w:color w:val="231F20"/>
                <w:spacing w:val="-4"/>
                <w:w w:val="105"/>
                <w:sz w:val="12"/>
              </w:rPr>
              <w:t>SRES</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1925974</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229,592</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23"/>
              <w:rPr>
                <w:sz w:val="12"/>
              </w:rPr>
            </w:pPr>
            <w:r>
              <w:rPr>
                <w:color w:val="231F20"/>
                <w:spacing w:val="-4"/>
                <w:w w:val="105"/>
                <w:sz w:val="12"/>
              </w:rPr>
              <w:t>SSLH</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2022465</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7"/>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33,717</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22"/>
              <w:rPr>
                <w:sz w:val="12"/>
              </w:rPr>
            </w:pPr>
            <w:r>
              <w:rPr>
                <w:color w:val="231F20"/>
                <w:spacing w:val="-4"/>
                <w:w w:val="105"/>
                <w:sz w:val="12"/>
              </w:rPr>
              <w:t>SSTS</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1720600</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7"/>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5"/>
              <w:jc w:val="right"/>
              <w:rPr>
                <w:sz w:val="12"/>
              </w:rPr>
            </w:pPr>
            <w:r>
              <w:rPr>
                <w:color w:val="231F20"/>
                <w:spacing w:val="-2"/>
                <w:w w:val="105"/>
                <w:sz w:val="12"/>
              </w:rPr>
              <w:t>161,015</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18"/>
              <w:rPr>
                <w:sz w:val="12"/>
              </w:rPr>
            </w:pPr>
            <w:r>
              <w:rPr>
                <w:color w:val="231F20"/>
                <w:spacing w:val="-4"/>
                <w:w w:val="105"/>
                <w:sz w:val="12"/>
              </w:rPr>
              <w:t>STEC</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1824557</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7"/>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5"/>
              <w:jc w:val="right"/>
              <w:rPr>
                <w:sz w:val="12"/>
              </w:rPr>
            </w:pPr>
            <w:r>
              <w:rPr>
                <w:color w:val="231F20"/>
                <w:spacing w:val="-2"/>
                <w:w w:val="105"/>
                <w:sz w:val="12"/>
              </w:rPr>
              <w:t>26,492</w:t>
            </w:r>
          </w:p>
        </w:tc>
      </w:tr>
      <w:tr>
        <w:trPr>
          <w:trHeight w:val="171" w:hRule="atLeast"/>
        </w:trPr>
        <w:tc>
          <w:tcPr>
            <w:tcW w:w="4001" w:type="dxa"/>
          </w:tcPr>
          <w:p>
            <w:pPr>
              <w:pStyle w:val="TableParagraph"/>
              <w:spacing w:line="138" w:lineRule="exact" w:before="14"/>
              <w:ind w:left="367"/>
              <w:rPr>
                <w:sz w:val="12"/>
              </w:rPr>
            </w:pPr>
            <w:r>
              <w:rPr>
                <w:color w:val="231F20"/>
                <w:spacing w:val="-2"/>
                <w:w w:val="105"/>
                <w:sz w:val="12"/>
              </w:rPr>
              <w:t>Geosciences</w:t>
            </w:r>
          </w:p>
        </w:tc>
        <w:tc>
          <w:tcPr>
            <w:tcW w:w="1774" w:type="dxa"/>
          </w:tcPr>
          <w:p>
            <w:pPr>
              <w:pStyle w:val="TableParagraph"/>
              <w:spacing w:line="132" w:lineRule="exact" w:before="20"/>
              <w:ind w:left="820"/>
              <w:rPr>
                <w:sz w:val="12"/>
              </w:rPr>
            </w:pPr>
            <w:r>
              <w:rPr>
                <w:color w:val="231F20"/>
                <w:spacing w:val="-4"/>
                <w:w w:val="105"/>
                <w:sz w:val="12"/>
              </w:rPr>
              <w:t>SSEA</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w w:val="105"/>
                <w:sz w:val="12"/>
              </w:rPr>
              <w:t>EAR</w:t>
            </w:r>
            <w:r>
              <w:rPr>
                <w:color w:val="231F20"/>
                <w:spacing w:val="-6"/>
                <w:w w:val="105"/>
                <w:sz w:val="12"/>
              </w:rPr>
              <w:t> </w:t>
            </w:r>
            <w:r>
              <w:rPr>
                <w:color w:val="231F20"/>
                <w:spacing w:val="-2"/>
                <w:w w:val="105"/>
                <w:sz w:val="12"/>
              </w:rPr>
              <w:t>2054299</w:t>
            </w:r>
          </w:p>
        </w:tc>
        <w:tc>
          <w:tcPr>
            <w:tcW w:w="1156" w:type="dxa"/>
          </w:tcPr>
          <w:p>
            <w:pPr>
              <w:pStyle w:val="TableParagraph"/>
              <w:spacing w:line="132" w:lineRule="exact" w:before="20"/>
              <w:ind w:left="388"/>
              <w:rPr>
                <w:sz w:val="12"/>
              </w:rPr>
            </w:pPr>
            <w:r>
              <w:rPr>
                <w:color w:val="231F20"/>
                <w:spacing w:val="-2"/>
                <w:w w:val="105"/>
                <w:sz w:val="12"/>
              </w:rPr>
              <w:t>47.050</w:t>
            </w:r>
          </w:p>
        </w:tc>
        <w:tc>
          <w:tcPr>
            <w:tcW w:w="1132" w:type="dxa"/>
          </w:tcPr>
          <w:p>
            <w:pPr>
              <w:pStyle w:val="TableParagraph"/>
              <w:spacing w:line="132" w:lineRule="exact" w:before="20"/>
              <w:ind w:right="67"/>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5"/>
              <w:jc w:val="right"/>
              <w:rPr>
                <w:sz w:val="12"/>
              </w:rPr>
            </w:pPr>
            <w:r>
              <w:rPr>
                <w:color w:val="231F20"/>
                <w:spacing w:val="-2"/>
                <w:w w:val="105"/>
                <w:sz w:val="12"/>
              </w:rPr>
              <w:t>98,728</w:t>
            </w:r>
          </w:p>
        </w:tc>
      </w:tr>
      <w:tr>
        <w:trPr>
          <w:trHeight w:val="171" w:hRule="atLeast"/>
        </w:trPr>
        <w:tc>
          <w:tcPr>
            <w:tcW w:w="4001" w:type="dxa"/>
          </w:tcPr>
          <w:p>
            <w:pPr>
              <w:pStyle w:val="TableParagraph"/>
              <w:spacing w:line="138" w:lineRule="exact" w:before="14"/>
              <w:ind w:right="738"/>
              <w:jc w:val="right"/>
              <w:rPr>
                <w:sz w:val="12"/>
              </w:rPr>
            </w:pPr>
            <w:r>
              <w:rPr>
                <w:color w:val="231F20"/>
                <w:w w:val="105"/>
                <w:sz w:val="12"/>
              </w:rPr>
              <w:t>Computer</w:t>
            </w:r>
            <w:r>
              <w:rPr>
                <w:color w:val="231F20"/>
                <w:spacing w:val="-9"/>
                <w:w w:val="105"/>
                <w:sz w:val="12"/>
              </w:rPr>
              <w:t> </w:t>
            </w:r>
            <w:r>
              <w:rPr>
                <w:color w:val="231F20"/>
                <w:w w:val="105"/>
                <w:sz w:val="12"/>
              </w:rPr>
              <w:t>and</w:t>
            </w:r>
            <w:r>
              <w:rPr>
                <w:color w:val="231F20"/>
                <w:spacing w:val="-9"/>
                <w:w w:val="105"/>
                <w:sz w:val="12"/>
              </w:rPr>
              <w:t> </w:t>
            </w:r>
            <w:r>
              <w:rPr>
                <w:color w:val="231F20"/>
                <w:w w:val="105"/>
                <w:sz w:val="12"/>
              </w:rPr>
              <w:t>Information</w:t>
            </w:r>
            <w:r>
              <w:rPr>
                <w:color w:val="231F20"/>
                <w:spacing w:val="-7"/>
                <w:w w:val="105"/>
                <w:sz w:val="12"/>
              </w:rPr>
              <w:t> </w:t>
            </w:r>
            <w:r>
              <w:rPr>
                <w:color w:val="231F20"/>
                <w:w w:val="105"/>
                <w:sz w:val="12"/>
              </w:rPr>
              <w:t>Science</w:t>
            </w:r>
            <w:r>
              <w:rPr>
                <w:color w:val="231F20"/>
                <w:spacing w:val="-9"/>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1774" w:type="dxa"/>
          </w:tcPr>
          <w:p>
            <w:pPr>
              <w:pStyle w:val="TableParagraph"/>
              <w:spacing w:line="132" w:lineRule="exact" w:before="20"/>
              <w:ind w:left="816"/>
              <w:rPr>
                <w:sz w:val="12"/>
              </w:rPr>
            </w:pPr>
            <w:r>
              <w:rPr>
                <w:color w:val="231F20"/>
                <w:spacing w:val="-4"/>
                <w:w w:val="105"/>
                <w:sz w:val="12"/>
              </w:rPr>
              <w:t>SCYS</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2150145</w:t>
            </w:r>
          </w:p>
        </w:tc>
        <w:tc>
          <w:tcPr>
            <w:tcW w:w="1156" w:type="dxa"/>
          </w:tcPr>
          <w:p>
            <w:pPr>
              <w:pStyle w:val="TableParagraph"/>
              <w:spacing w:line="132" w:lineRule="exact" w:before="20"/>
              <w:ind w:left="389"/>
              <w:rPr>
                <w:sz w:val="12"/>
              </w:rPr>
            </w:pPr>
            <w:r>
              <w:rPr>
                <w:color w:val="231F20"/>
                <w:spacing w:val="-2"/>
                <w:w w:val="105"/>
                <w:sz w:val="12"/>
              </w:rPr>
              <w:t>47.070</w:t>
            </w:r>
          </w:p>
        </w:tc>
        <w:tc>
          <w:tcPr>
            <w:tcW w:w="1132" w:type="dxa"/>
          </w:tcPr>
          <w:p>
            <w:pPr>
              <w:pStyle w:val="TableParagraph"/>
              <w:spacing w:line="132" w:lineRule="exact" w:before="20"/>
              <w:ind w:right="67"/>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5"/>
              <w:jc w:val="right"/>
              <w:rPr>
                <w:sz w:val="12"/>
              </w:rPr>
            </w:pPr>
            <w:r>
              <w:rPr>
                <w:color w:val="231F20"/>
                <w:spacing w:val="-2"/>
                <w:w w:val="105"/>
                <w:sz w:val="12"/>
              </w:rPr>
              <w:t>68,523</w:t>
            </w:r>
          </w:p>
        </w:tc>
      </w:tr>
      <w:tr>
        <w:trPr>
          <w:trHeight w:val="171" w:hRule="atLeast"/>
        </w:trPr>
        <w:tc>
          <w:tcPr>
            <w:tcW w:w="4001" w:type="dxa"/>
          </w:tcPr>
          <w:p>
            <w:pPr>
              <w:pStyle w:val="TableParagraph"/>
              <w:spacing w:line="138" w:lineRule="exact" w:before="14"/>
              <w:ind w:right="738"/>
              <w:jc w:val="right"/>
              <w:rPr>
                <w:sz w:val="12"/>
              </w:rPr>
            </w:pPr>
            <w:r>
              <w:rPr>
                <w:color w:val="231F20"/>
                <w:w w:val="105"/>
                <w:sz w:val="12"/>
              </w:rPr>
              <w:t>Computer</w:t>
            </w:r>
            <w:r>
              <w:rPr>
                <w:color w:val="231F20"/>
                <w:spacing w:val="-9"/>
                <w:w w:val="105"/>
                <w:sz w:val="12"/>
              </w:rPr>
              <w:t> </w:t>
            </w:r>
            <w:r>
              <w:rPr>
                <w:color w:val="231F20"/>
                <w:w w:val="105"/>
                <w:sz w:val="12"/>
              </w:rPr>
              <w:t>and</w:t>
            </w:r>
            <w:r>
              <w:rPr>
                <w:color w:val="231F20"/>
                <w:spacing w:val="-9"/>
                <w:w w:val="105"/>
                <w:sz w:val="12"/>
              </w:rPr>
              <w:t> </w:t>
            </w:r>
            <w:r>
              <w:rPr>
                <w:color w:val="231F20"/>
                <w:w w:val="105"/>
                <w:sz w:val="12"/>
              </w:rPr>
              <w:t>Information</w:t>
            </w:r>
            <w:r>
              <w:rPr>
                <w:color w:val="231F20"/>
                <w:spacing w:val="-7"/>
                <w:w w:val="105"/>
                <w:sz w:val="12"/>
              </w:rPr>
              <w:t> </w:t>
            </w:r>
            <w:r>
              <w:rPr>
                <w:color w:val="231F20"/>
                <w:w w:val="105"/>
                <w:sz w:val="12"/>
              </w:rPr>
              <w:t>Science</w:t>
            </w:r>
            <w:r>
              <w:rPr>
                <w:color w:val="231F20"/>
                <w:spacing w:val="-9"/>
                <w:w w:val="105"/>
                <w:sz w:val="12"/>
              </w:rPr>
              <w:t> </w:t>
            </w:r>
            <w:r>
              <w:rPr>
                <w:color w:val="231F20"/>
                <w:w w:val="105"/>
                <w:sz w:val="12"/>
              </w:rPr>
              <w:t>and</w:t>
            </w:r>
            <w:r>
              <w:rPr>
                <w:color w:val="231F20"/>
                <w:spacing w:val="-8"/>
                <w:w w:val="105"/>
                <w:sz w:val="12"/>
              </w:rPr>
              <w:t> </w:t>
            </w:r>
            <w:r>
              <w:rPr>
                <w:color w:val="231F20"/>
                <w:spacing w:val="-2"/>
                <w:w w:val="105"/>
                <w:sz w:val="12"/>
              </w:rPr>
              <w:t>Engineering</w:t>
            </w:r>
          </w:p>
        </w:tc>
        <w:tc>
          <w:tcPr>
            <w:tcW w:w="1774" w:type="dxa"/>
          </w:tcPr>
          <w:p>
            <w:pPr>
              <w:pStyle w:val="TableParagraph"/>
              <w:spacing w:line="132" w:lineRule="exact" w:before="20"/>
              <w:ind w:left="840"/>
              <w:rPr>
                <w:sz w:val="12"/>
              </w:rPr>
            </w:pPr>
            <w:r>
              <w:rPr>
                <w:color w:val="231F20"/>
                <w:spacing w:val="-4"/>
                <w:w w:val="105"/>
                <w:sz w:val="12"/>
              </w:rPr>
              <w:t>SEIC</w:t>
            </w:r>
          </w:p>
        </w:tc>
        <w:tc>
          <w:tcPr>
            <w:tcW w:w="2283" w:type="dxa"/>
          </w:tcPr>
          <w:p>
            <w:pPr>
              <w:pStyle w:val="TableParagraph"/>
              <w:rPr>
                <w:rFonts w:ascii="Times New Roman"/>
                <w:sz w:val="10"/>
              </w:rPr>
            </w:pPr>
          </w:p>
        </w:tc>
        <w:tc>
          <w:tcPr>
            <w:tcW w:w="2774" w:type="dxa"/>
          </w:tcPr>
          <w:p>
            <w:pPr>
              <w:pStyle w:val="TableParagraph"/>
              <w:spacing w:line="138" w:lineRule="exact" w:before="14"/>
              <w:ind w:left="499"/>
              <w:rPr>
                <w:sz w:val="12"/>
              </w:rPr>
            </w:pPr>
            <w:r>
              <w:rPr>
                <w:color w:val="231F20"/>
                <w:spacing w:val="-2"/>
                <w:w w:val="105"/>
                <w:sz w:val="12"/>
              </w:rPr>
              <w:t>1757945</w:t>
            </w:r>
          </w:p>
        </w:tc>
        <w:tc>
          <w:tcPr>
            <w:tcW w:w="1156" w:type="dxa"/>
          </w:tcPr>
          <w:p>
            <w:pPr>
              <w:pStyle w:val="TableParagraph"/>
              <w:spacing w:line="132" w:lineRule="exact" w:before="20"/>
              <w:ind w:left="389"/>
              <w:rPr>
                <w:sz w:val="12"/>
              </w:rPr>
            </w:pPr>
            <w:r>
              <w:rPr>
                <w:color w:val="231F20"/>
                <w:spacing w:val="-2"/>
                <w:w w:val="105"/>
                <w:sz w:val="12"/>
              </w:rPr>
              <w:t>47.070</w:t>
            </w:r>
          </w:p>
        </w:tc>
        <w:tc>
          <w:tcPr>
            <w:tcW w:w="1132" w:type="dxa"/>
          </w:tcPr>
          <w:p>
            <w:pPr>
              <w:pStyle w:val="TableParagraph"/>
              <w:spacing w:line="132" w:lineRule="exact" w:before="20"/>
              <w:ind w:right="67"/>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5"/>
              <w:jc w:val="right"/>
              <w:rPr>
                <w:sz w:val="12"/>
              </w:rPr>
            </w:pPr>
            <w:r>
              <w:rPr>
                <w:color w:val="231F20"/>
                <w:spacing w:val="-2"/>
                <w:w w:val="105"/>
                <w:sz w:val="12"/>
              </w:rPr>
              <w:t>70,185</w:t>
            </w:r>
          </w:p>
        </w:tc>
      </w:tr>
      <w:tr>
        <w:trPr>
          <w:trHeight w:val="171" w:hRule="atLeast"/>
        </w:trPr>
        <w:tc>
          <w:tcPr>
            <w:tcW w:w="4001" w:type="dxa"/>
          </w:tcPr>
          <w:p>
            <w:pPr>
              <w:pStyle w:val="TableParagraph"/>
              <w:spacing w:line="138" w:lineRule="exact" w:before="14"/>
              <w:ind w:left="368"/>
              <w:rPr>
                <w:sz w:val="12"/>
              </w:rPr>
            </w:pPr>
            <w:r>
              <w:rPr>
                <w:color w:val="231F20"/>
                <w:spacing w:val="-2"/>
                <w:w w:val="105"/>
                <w:sz w:val="12"/>
              </w:rPr>
              <w:t>Biological</w:t>
            </w:r>
            <w:r>
              <w:rPr>
                <w:color w:val="231F20"/>
                <w:spacing w:val="7"/>
                <w:w w:val="105"/>
                <w:sz w:val="12"/>
              </w:rPr>
              <w:t> </w:t>
            </w:r>
            <w:r>
              <w:rPr>
                <w:color w:val="231F20"/>
                <w:spacing w:val="-2"/>
                <w:w w:val="105"/>
                <w:sz w:val="12"/>
              </w:rPr>
              <w:t>Sciences</w:t>
            </w:r>
          </w:p>
        </w:tc>
        <w:tc>
          <w:tcPr>
            <w:tcW w:w="1774" w:type="dxa"/>
          </w:tcPr>
          <w:p>
            <w:pPr>
              <w:pStyle w:val="TableParagraph"/>
              <w:spacing w:line="132" w:lineRule="exact" w:before="20"/>
              <w:ind w:left="809"/>
              <w:rPr>
                <w:sz w:val="12"/>
              </w:rPr>
            </w:pPr>
            <w:r>
              <w:rPr>
                <w:color w:val="231F20"/>
                <w:spacing w:val="-4"/>
                <w:w w:val="105"/>
                <w:sz w:val="12"/>
              </w:rPr>
              <w:t>SGCP</w:t>
            </w:r>
          </w:p>
        </w:tc>
        <w:tc>
          <w:tcPr>
            <w:tcW w:w="2283" w:type="dxa"/>
          </w:tcPr>
          <w:p>
            <w:pPr>
              <w:pStyle w:val="TableParagraph"/>
              <w:rPr>
                <w:rFonts w:ascii="Times New Roman"/>
                <w:sz w:val="10"/>
              </w:rPr>
            </w:pPr>
          </w:p>
        </w:tc>
        <w:tc>
          <w:tcPr>
            <w:tcW w:w="2774" w:type="dxa"/>
          </w:tcPr>
          <w:p>
            <w:pPr>
              <w:pStyle w:val="TableParagraph"/>
              <w:spacing w:line="138" w:lineRule="exact" w:before="14"/>
              <w:ind w:left="499"/>
              <w:rPr>
                <w:sz w:val="12"/>
              </w:rPr>
            </w:pPr>
            <w:r>
              <w:rPr>
                <w:color w:val="231F20"/>
                <w:spacing w:val="-2"/>
                <w:w w:val="105"/>
                <w:sz w:val="12"/>
              </w:rPr>
              <w:t>2145811</w:t>
            </w:r>
          </w:p>
        </w:tc>
        <w:tc>
          <w:tcPr>
            <w:tcW w:w="1156" w:type="dxa"/>
          </w:tcPr>
          <w:p>
            <w:pPr>
              <w:pStyle w:val="TableParagraph"/>
              <w:spacing w:line="132" w:lineRule="exact" w:before="20"/>
              <w:ind w:left="389"/>
              <w:rPr>
                <w:sz w:val="12"/>
              </w:rPr>
            </w:pPr>
            <w:r>
              <w:rPr>
                <w:color w:val="231F20"/>
                <w:spacing w:val="-2"/>
                <w:w w:val="105"/>
                <w:sz w:val="12"/>
              </w:rPr>
              <w:t>47.074</w:t>
            </w:r>
          </w:p>
        </w:tc>
        <w:tc>
          <w:tcPr>
            <w:tcW w:w="1132" w:type="dxa"/>
          </w:tcPr>
          <w:p>
            <w:pPr>
              <w:pStyle w:val="TableParagraph"/>
              <w:spacing w:line="132" w:lineRule="exact" w:before="20"/>
              <w:ind w:right="66"/>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5"/>
              <w:jc w:val="right"/>
              <w:rPr>
                <w:sz w:val="12"/>
              </w:rPr>
            </w:pPr>
            <w:r>
              <w:rPr>
                <w:color w:val="231F20"/>
                <w:spacing w:val="-2"/>
                <w:w w:val="105"/>
                <w:sz w:val="12"/>
              </w:rPr>
              <w:t>136,921</w:t>
            </w:r>
          </w:p>
        </w:tc>
      </w:tr>
      <w:tr>
        <w:trPr>
          <w:trHeight w:val="172" w:hRule="atLeast"/>
        </w:trPr>
        <w:tc>
          <w:tcPr>
            <w:tcW w:w="4001" w:type="dxa"/>
          </w:tcPr>
          <w:p>
            <w:pPr>
              <w:pStyle w:val="TableParagraph"/>
              <w:spacing w:before="14"/>
              <w:ind w:left="368"/>
              <w:rPr>
                <w:sz w:val="12"/>
              </w:rPr>
            </w:pPr>
            <w:r>
              <w:rPr>
                <w:color w:val="231F20"/>
                <w:w w:val="105"/>
                <w:sz w:val="12"/>
              </w:rPr>
              <w:t>Education</w:t>
            </w:r>
            <w:r>
              <w:rPr>
                <w:color w:val="231F20"/>
                <w:spacing w:val="-8"/>
                <w:w w:val="105"/>
                <w:sz w:val="12"/>
              </w:rPr>
              <w:t> </w:t>
            </w:r>
            <w:r>
              <w:rPr>
                <w:color w:val="231F20"/>
                <w:w w:val="105"/>
                <w:sz w:val="12"/>
              </w:rPr>
              <w:t>and</w:t>
            </w:r>
            <w:r>
              <w:rPr>
                <w:color w:val="231F20"/>
                <w:spacing w:val="-8"/>
                <w:w w:val="105"/>
                <w:sz w:val="12"/>
              </w:rPr>
              <w:t> </w:t>
            </w:r>
            <w:r>
              <w:rPr>
                <w:color w:val="231F20"/>
                <w:w w:val="105"/>
                <w:sz w:val="12"/>
              </w:rPr>
              <w:t>Human</w:t>
            </w:r>
            <w:r>
              <w:rPr>
                <w:color w:val="231F20"/>
                <w:spacing w:val="-8"/>
                <w:w w:val="105"/>
                <w:sz w:val="12"/>
              </w:rPr>
              <w:t> </w:t>
            </w:r>
            <w:r>
              <w:rPr>
                <w:color w:val="231F20"/>
                <w:spacing w:val="-2"/>
                <w:w w:val="105"/>
                <w:sz w:val="12"/>
              </w:rPr>
              <w:t>Resources</w:t>
            </w:r>
          </w:p>
        </w:tc>
        <w:tc>
          <w:tcPr>
            <w:tcW w:w="1774" w:type="dxa"/>
          </w:tcPr>
          <w:p>
            <w:pPr>
              <w:pStyle w:val="TableParagraph"/>
              <w:spacing w:line="132" w:lineRule="exact" w:before="20"/>
              <w:ind w:left="813"/>
              <w:rPr>
                <w:sz w:val="12"/>
              </w:rPr>
            </w:pPr>
            <w:r>
              <w:rPr>
                <w:color w:val="231F20"/>
                <w:spacing w:val="-4"/>
                <w:w w:val="105"/>
                <w:sz w:val="12"/>
              </w:rPr>
              <w:t>SCCE</w:t>
            </w:r>
          </w:p>
        </w:tc>
        <w:tc>
          <w:tcPr>
            <w:tcW w:w="2283" w:type="dxa"/>
          </w:tcPr>
          <w:p>
            <w:pPr>
              <w:pStyle w:val="TableParagraph"/>
              <w:rPr>
                <w:rFonts w:ascii="Times New Roman"/>
                <w:sz w:val="10"/>
              </w:rPr>
            </w:pPr>
          </w:p>
        </w:tc>
        <w:tc>
          <w:tcPr>
            <w:tcW w:w="2774" w:type="dxa"/>
          </w:tcPr>
          <w:p>
            <w:pPr>
              <w:pStyle w:val="TableParagraph"/>
              <w:spacing w:before="14"/>
              <w:ind w:left="499"/>
              <w:rPr>
                <w:sz w:val="12"/>
              </w:rPr>
            </w:pPr>
            <w:r>
              <w:rPr>
                <w:color w:val="231F20"/>
                <w:spacing w:val="-2"/>
                <w:w w:val="105"/>
                <w:sz w:val="12"/>
              </w:rPr>
              <w:t>1946650</w:t>
            </w:r>
          </w:p>
        </w:tc>
        <w:tc>
          <w:tcPr>
            <w:tcW w:w="1156" w:type="dxa"/>
          </w:tcPr>
          <w:p>
            <w:pPr>
              <w:pStyle w:val="TableParagraph"/>
              <w:spacing w:line="132" w:lineRule="exact" w:before="20"/>
              <w:ind w:left="389"/>
              <w:rPr>
                <w:sz w:val="12"/>
              </w:rPr>
            </w:pPr>
            <w:r>
              <w:rPr>
                <w:color w:val="231F20"/>
                <w:spacing w:val="-2"/>
                <w:w w:val="105"/>
                <w:sz w:val="12"/>
              </w:rPr>
              <w:t>47.076</w:t>
            </w:r>
          </w:p>
        </w:tc>
        <w:tc>
          <w:tcPr>
            <w:tcW w:w="1132" w:type="dxa"/>
          </w:tcPr>
          <w:p>
            <w:pPr>
              <w:pStyle w:val="TableParagraph"/>
              <w:spacing w:line="132" w:lineRule="exact" w:before="20"/>
              <w:ind w:right="66"/>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5"/>
              <w:jc w:val="right"/>
              <w:rPr>
                <w:sz w:val="12"/>
              </w:rPr>
            </w:pPr>
            <w:r>
              <w:rPr>
                <w:color w:val="231F20"/>
                <w:spacing w:val="-2"/>
                <w:w w:val="105"/>
                <w:sz w:val="12"/>
              </w:rPr>
              <w:t>43,118</w:t>
            </w:r>
          </w:p>
        </w:tc>
      </w:tr>
      <w:tr>
        <w:trPr>
          <w:trHeight w:val="171" w:hRule="atLeast"/>
        </w:trPr>
        <w:tc>
          <w:tcPr>
            <w:tcW w:w="4001" w:type="dxa"/>
          </w:tcPr>
          <w:p>
            <w:pPr>
              <w:pStyle w:val="TableParagraph"/>
              <w:spacing w:line="137" w:lineRule="exact" w:before="14"/>
              <w:ind w:left="368"/>
              <w:rPr>
                <w:sz w:val="12"/>
              </w:rPr>
            </w:pPr>
            <w:r>
              <w:rPr>
                <w:color w:val="231F20"/>
                <w:w w:val="105"/>
                <w:sz w:val="12"/>
              </w:rPr>
              <w:t>Education</w:t>
            </w:r>
            <w:r>
              <w:rPr>
                <w:color w:val="231F20"/>
                <w:spacing w:val="-8"/>
                <w:w w:val="105"/>
                <w:sz w:val="12"/>
              </w:rPr>
              <w:t> </w:t>
            </w:r>
            <w:r>
              <w:rPr>
                <w:color w:val="231F20"/>
                <w:w w:val="105"/>
                <w:sz w:val="12"/>
              </w:rPr>
              <w:t>and</w:t>
            </w:r>
            <w:r>
              <w:rPr>
                <w:color w:val="231F20"/>
                <w:spacing w:val="-8"/>
                <w:w w:val="105"/>
                <w:sz w:val="12"/>
              </w:rPr>
              <w:t> </w:t>
            </w:r>
            <w:r>
              <w:rPr>
                <w:color w:val="231F20"/>
                <w:w w:val="105"/>
                <w:sz w:val="12"/>
              </w:rPr>
              <w:t>Human</w:t>
            </w:r>
            <w:r>
              <w:rPr>
                <w:color w:val="231F20"/>
                <w:spacing w:val="-8"/>
                <w:w w:val="105"/>
                <w:sz w:val="12"/>
              </w:rPr>
              <w:t> </w:t>
            </w:r>
            <w:r>
              <w:rPr>
                <w:color w:val="231F20"/>
                <w:spacing w:val="-2"/>
                <w:w w:val="105"/>
                <w:sz w:val="12"/>
              </w:rPr>
              <w:t>Resources</w:t>
            </w:r>
          </w:p>
        </w:tc>
        <w:tc>
          <w:tcPr>
            <w:tcW w:w="1774" w:type="dxa"/>
          </w:tcPr>
          <w:p>
            <w:pPr>
              <w:pStyle w:val="TableParagraph"/>
              <w:spacing w:line="132" w:lineRule="exact" w:before="19"/>
              <w:ind w:left="813"/>
              <w:rPr>
                <w:sz w:val="12"/>
              </w:rPr>
            </w:pPr>
            <w:r>
              <w:rPr>
                <w:color w:val="231F20"/>
                <w:spacing w:val="-4"/>
                <w:w w:val="105"/>
                <w:sz w:val="12"/>
              </w:rPr>
              <w:t>SCYC</w:t>
            </w:r>
          </w:p>
        </w:tc>
        <w:tc>
          <w:tcPr>
            <w:tcW w:w="2283" w:type="dxa"/>
          </w:tcPr>
          <w:p>
            <w:pPr>
              <w:pStyle w:val="TableParagraph"/>
              <w:rPr>
                <w:rFonts w:ascii="Times New Roman"/>
                <w:sz w:val="10"/>
              </w:rPr>
            </w:pPr>
          </w:p>
        </w:tc>
        <w:tc>
          <w:tcPr>
            <w:tcW w:w="2774" w:type="dxa"/>
          </w:tcPr>
          <w:p>
            <w:pPr>
              <w:pStyle w:val="TableParagraph"/>
              <w:spacing w:line="137" w:lineRule="exact" w:before="14"/>
              <w:ind w:left="499"/>
              <w:rPr>
                <w:sz w:val="12"/>
              </w:rPr>
            </w:pPr>
            <w:r>
              <w:rPr>
                <w:color w:val="231F20"/>
                <w:sz w:val="12"/>
              </w:rPr>
              <w:t>DGE-</w:t>
            </w:r>
            <w:r>
              <w:rPr>
                <w:color w:val="231F20"/>
                <w:spacing w:val="-2"/>
                <w:sz w:val="12"/>
              </w:rPr>
              <w:t>1303051</w:t>
            </w:r>
          </w:p>
        </w:tc>
        <w:tc>
          <w:tcPr>
            <w:tcW w:w="1156" w:type="dxa"/>
          </w:tcPr>
          <w:p>
            <w:pPr>
              <w:pStyle w:val="TableParagraph"/>
              <w:spacing w:line="132" w:lineRule="exact" w:before="19"/>
              <w:ind w:left="389"/>
              <w:rPr>
                <w:sz w:val="12"/>
              </w:rPr>
            </w:pPr>
            <w:r>
              <w:rPr>
                <w:color w:val="231F20"/>
                <w:spacing w:val="-2"/>
                <w:w w:val="105"/>
                <w:sz w:val="12"/>
              </w:rPr>
              <w:t>47.076</w:t>
            </w:r>
          </w:p>
        </w:tc>
        <w:tc>
          <w:tcPr>
            <w:tcW w:w="1132" w:type="dxa"/>
          </w:tcPr>
          <w:p>
            <w:pPr>
              <w:pStyle w:val="TableParagraph"/>
              <w:spacing w:line="132" w:lineRule="exact" w:before="19"/>
              <w:ind w:right="66"/>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19"/>
              <w:ind w:right="64"/>
              <w:jc w:val="right"/>
              <w:rPr>
                <w:sz w:val="12"/>
              </w:rPr>
            </w:pPr>
            <w:r>
              <w:rPr>
                <w:color w:val="231F20"/>
                <w:spacing w:val="-2"/>
                <w:w w:val="105"/>
                <w:sz w:val="12"/>
              </w:rPr>
              <w:t>32,182</w:t>
            </w:r>
          </w:p>
        </w:tc>
      </w:tr>
      <w:tr>
        <w:trPr>
          <w:trHeight w:val="171" w:hRule="atLeast"/>
        </w:trPr>
        <w:tc>
          <w:tcPr>
            <w:tcW w:w="4001" w:type="dxa"/>
          </w:tcPr>
          <w:p>
            <w:pPr>
              <w:pStyle w:val="TableParagraph"/>
              <w:spacing w:line="137" w:lineRule="exact" w:before="14"/>
              <w:ind w:left="369"/>
              <w:rPr>
                <w:sz w:val="12"/>
              </w:rPr>
            </w:pPr>
            <w:r>
              <w:rPr>
                <w:color w:val="231F20"/>
                <w:w w:val="105"/>
                <w:sz w:val="12"/>
              </w:rPr>
              <w:t>Education</w:t>
            </w:r>
            <w:r>
              <w:rPr>
                <w:color w:val="231F20"/>
                <w:spacing w:val="-8"/>
                <w:w w:val="105"/>
                <w:sz w:val="12"/>
              </w:rPr>
              <w:t> </w:t>
            </w:r>
            <w:r>
              <w:rPr>
                <w:color w:val="231F20"/>
                <w:w w:val="105"/>
                <w:sz w:val="12"/>
              </w:rPr>
              <w:t>and</w:t>
            </w:r>
            <w:r>
              <w:rPr>
                <w:color w:val="231F20"/>
                <w:spacing w:val="-8"/>
                <w:w w:val="105"/>
                <w:sz w:val="12"/>
              </w:rPr>
              <w:t> </w:t>
            </w:r>
            <w:r>
              <w:rPr>
                <w:color w:val="231F20"/>
                <w:w w:val="105"/>
                <w:sz w:val="12"/>
              </w:rPr>
              <w:t>Human</w:t>
            </w:r>
            <w:r>
              <w:rPr>
                <w:color w:val="231F20"/>
                <w:spacing w:val="-8"/>
                <w:w w:val="105"/>
                <w:sz w:val="12"/>
              </w:rPr>
              <w:t> </w:t>
            </w:r>
            <w:r>
              <w:rPr>
                <w:color w:val="231F20"/>
                <w:spacing w:val="-2"/>
                <w:w w:val="105"/>
                <w:sz w:val="12"/>
              </w:rPr>
              <w:t>Resources</w:t>
            </w:r>
          </w:p>
        </w:tc>
        <w:tc>
          <w:tcPr>
            <w:tcW w:w="1774" w:type="dxa"/>
          </w:tcPr>
          <w:p>
            <w:pPr>
              <w:pStyle w:val="TableParagraph"/>
              <w:spacing w:line="132" w:lineRule="exact" w:before="19"/>
              <w:ind w:left="817"/>
              <w:rPr>
                <w:sz w:val="12"/>
              </w:rPr>
            </w:pPr>
            <w:r>
              <w:rPr>
                <w:color w:val="231F20"/>
                <w:spacing w:val="-4"/>
                <w:w w:val="105"/>
                <w:sz w:val="12"/>
              </w:rPr>
              <w:t>SGR2</w:t>
            </w:r>
          </w:p>
        </w:tc>
        <w:tc>
          <w:tcPr>
            <w:tcW w:w="2283" w:type="dxa"/>
          </w:tcPr>
          <w:p>
            <w:pPr>
              <w:pStyle w:val="TableParagraph"/>
              <w:rPr>
                <w:rFonts w:ascii="Times New Roman"/>
                <w:sz w:val="10"/>
              </w:rPr>
            </w:pPr>
          </w:p>
        </w:tc>
        <w:tc>
          <w:tcPr>
            <w:tcW w:w="2774" w:type="dxa"/>
          </w:tcPr>
          <w:p>
            <w:pPr>
              <w:pStyle w:val="TableParagraph"/>
              <w:spacing w:line="137" w:lineRule="exact" w:before="14"/>
              <w:ind w:left="499"/>
              <w:rPr>
                <w:sz w:val="12"/>
              </w:rPr>
            </w:pPr>
            <w:r>
              <w:rPr>
                <w:color w:val="231F20"/>
                <w:spacing w:val="-2"/>
                <w:w w:val="105"/>
                <w:sz w:val="12"/>
              </w:rPr>
              <w:t>2041852</w:t>
            </w:r>
          </w:p>
        </w:tc>
        <w:tc>
          <w:tcPr>
            <w:tcW w:w="1156" w:type="dxa"/>
          </w:tcPr>
          <w:p>
            <w:pPr>
              <w:pStyle w:val="TableParagraph"/>
              <w:spacing w:line="132" w:lineRule="exact" w:before="19"/>
              <w:ind w:left="389"/>
              <w:rPr>
                <w:sz w:val="12"/>
              </w:rPr>
            </w:pPr>
            <w:r>
              <w:rPr>
                <w:color w:val="231F20"/>
                <w:spacing w:val="-2"/>
                <w:w w:val="105"/>
                <w:sz w:val="12"/>
              </w:rPr>
              <w:t>47.076</w:t>
            </w:r>
          </w:p>
        </w:tc>
        <w:tc>
          <w:tcPr>
            <w:tcW w:w="1132" w:type="dxa"/>
          </w:tcPr>
          <w:p>
            <w:pPr>
              <w:pStyle w:val="TableParagraph"/>
              <w:spacing w:line="132" w:lineRule="exact" w:before="19"/>
              <w:ind w:right="66"/>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19"/>
              <w:ind w:right="64"/>
              <w:jc w:val="right"/>
              <w:rPr>
                <w:sz w:val="12"/>
              </w:rPr>
            </w:pPr>
            <w:r>
              <w:rPr>
                <w:color w:val="231F20"/>
                <w:spacing w:val="-2"/>
                <w:w w:val="105"/>
                <w:sz w:val="12"/>
              </w:rPr>
              <w:t>47,060</w:t>
            </w:r>
          </w:p>
        </w:tc>
      </w:tr>
      <w:tr>
        <w:trPr>
          <w:trHeight w:val="171" w:hRule="atLeast"/>
        </w:trPr>
        <w:tc>
          <w:tcPr>
            <w:tcW w:w="4001" w:type="dxa"/>
          </w:tcPr>
          <w:p>
            <w:pPr>
              <w:pStyle w:val="TableParagraph"/>
              <w:spacing w:line="137" w:lineRule="exact" w:before="14"/>
              <w:ind w:left="369"/>
              <w:rPr>
                <w:sz w:val="12"/>
              </w:rPr>
            </w:pPr>
            <w:r>
              <w:rPr>
                <w:color w:val="231F20"/>
                <w:w w:val="105"/>
                <w:sz w:val="12"/>
              </w:rPr>
              <w:t>Education</w:t>
            </w:r>
            <w:r>
              <w:rPr>
                <w:color w:val="231F20"/>
                <w:spacing w:val="-8"/>
                <w:w w:val="105"/>
                <w:sz w:val="12"/>
              </w:rPr>
              <w:t> </w:t>
            </w:r>
            <w:r>
              <w:rPr>
                <w:color w:val="231F20"/>
                <w:w w:val="105"/>
                <w:sz w:val="12"/>
              </w:rPr>
              <w:t>and</w:t>
            </w:r>
            <w:r>
              <w:rPr>
                <w:color w:val="231F20"/>
                <w:spacing w:val="-8"/>
                <w:w w:val="105"/>
                <w:sz w:val="12"/>
              </w:rPr>
              <w:t> </w:t>
            </w:r>
            <w:r>
              <w:rPr>
                <w:color w:val="231F20"/>
                <w:w w:val="105"/>
                <w:sz w:val="12"/>
              </w:rPr>
              <w:t>Human</w:t>
            </w:r>
            <w:r>
              <w:rPr>
                <w:color w:val="231F20"/>
                <w:spacing w:val="-8"/>
                <w:w w:val="105"/>
                <w:sz w:val="12"/>
              </w:rPr>
              <w:t> </w:t>
            </w:r>
            <w:r>
              <w:rPr>
                <w:color w:val="231F20"/>
                <w:spacing w:val="-2"/>
                <w:w w:val="105"/>
                <w:sz w:val="12"/>
              </w:rPr>
              <w:t>Resources</w:t>
            </w:r>
          </w:p>
        </w:tc>
        <w:tc>
          <w:tcPr>
            <w:tcW w:w="1774" w:type="dxa"/>
          </w:tcPr>
          <w:p>
            <w:pPr>
              <w:pStyle w:val="TableParagraph"/>
              <w:spacing w:line="132" w:lineRule="exact" w:before="19"/>
              <w:ind w:left="814"/>
              <w:rPr>
                <w:sz w:val="12"/>
              </w:rPr>
            </w:pPr>
            <w:r>
              <w:rPr>
                <w:color w:val="231F20"/>
                <w:spacing w:val="-4"/>
                <w:w w:val="105"/>
                <w:sz w:val="12"/>
              </w:rPr>
              <w:t>SSCH</w:t>
            </w:r>
          </w:p>
        </w:tc>
        <w:tc>
          <w:tcPr>
            <w:tcW w:w="2283" w:type="dxa"/>
          </w:tcPr>
          <w:p>
            <w:pPr>
              <w:pStyle w:val="TableParagraph"/>
              <w:rPr>
                <w:rFonts w:ascii="Times New Roman"/>
                <w:sz w:val="10"/>
              </w:rPr>
            </w:pPr>
          </w:p>
        </w:tc>
        <w:tc>
          <w:tcPr>
            <w:tcW w:w="2774" w:type="dxa"/>
          </w:tcPr>
          <w:p>
            <w:pPr>
              <w:pStyle w:val="TableParagraph"/>
              <w:spacing w:line="137" w:lineRule="exact" w:before="14"/>
              <w:ind w:left="500"/>
              <w:rPr>
                <w:sz w:val="12"/>
              </w:rPr>
            </w:pPr>
            <w:r>
              <w:rPr>
                <w:color w:val="231F20"/>
                <w:spacing w:val="-2"/>
                <w:w w:val="105"/>
                <w:sz w:val="12"/>
              </w:rPr>
              <w:t>2030677</w:t>
            </w:r>
          </w:p>
        </w:tc>
        <w:tc>
          <w:tcPr>
            <w:tcW w:w="1156" w:type="dxa"/>
          </w:tcPr>
          <w:p>
            <w:pPr>
              <w:pStyle w:val="TableParagraph"/>
              <w:spacing w:line="132" w:lineRule="exact" w:before="19"/>
              <w:ind w:left="390"/>
              <w:rPr>
                <w:sz w:val="12"/>
              </w:rPr>
            </w:pPr>
            <w:r>
              <w:rPr>
                <w:color w:val="231F20"/>
                <w:spacing w:val="-2"/>
                <w:w w:val="105"/>
                <w:sz w:val="12"/>
              </w:rPr>
              <w:t>47.076</w:t>
            </w:r>
          </w:p>
        </w:tc>
        <w:tc>
          <w:tcPr>
            <w:tcW w:w="1132" w:type="dxa"/>
          </w:tcPr>
          <w:p>
            <w:pPr>
              <w:pStyle w:val="TableParagraph"/>
              <w:spacing w:line="132" w:lineRule="exact" w:before="19"/>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19"/>
              <w:ind w:right="66"/>
              <w:jc w:val="right"/>
              <w:rPr>
                <w:sz w:val="12"/>
              </w:rPr>
            </w:pPr>
            <w:r>
              <w:rPr>
                <w:color w:val="231F20"/>
                <w:spacing w:val="-2"/>
                <w:w w:val="105"/>
                <w:sz w:val="12"/>
              </w:rPr>
              <w:t>114,564</w:t>
            </w:r>
          </w:p>
        </w:tc>
      </w:tr>
      <w:tr>
        <w:trPr>
          <w:trHeight w:val="171" w:hRule="atLeast"/>
        </w:trPr>
        <w:tc>
          <w:tcPr>
            <w:tcW w:w="4001" w:type="dxa"/>
          </w:tcPr>
          <w:p>
            <w:pPr>
              <w:pStyle w:val="TableParagraph"/>
              <w:spacing w:line="138" w:lineRule="exact" w:before="14"/>
              <w:ind w:left="367"/>
              <w:rPr>
                <w:sz w:val="12"/>
              </w:rPr>
            </w:pPr>
            <w:r>
              <w:rPr>
                <w:color w:val="231F20"/>
                <w:w w:val="105"/>
                <w:sz w:val="12"/>
              </w:rPr>
              <w:t>Education</w:t>
            </w:r>
            <w:r>
              <w:rPr>
                <w:color w:val="231F20"/>
                <w:spacing w:val="-8"/>
                <w:w w:val="105"/>
                <w:sz w:val="12"/>
              </w:rPr>
              <w:t> </w:t>
            </w:r>
            <w:r>
              <w:rPr>
                <w:color w:val="231F20"/>
                <w:w w:val="105"/>
                <w:sz w:val="12"/>
              </w:rPr>
              <w:t>and</w:t>
            </w:r>
            <w:r>
              <w:rPr>
                <w:color w:val="231F20"/>
                <w:spacing w:val="-8"/>
                <w:w w:val="105"/>
                <w:sz w:val="12"/>
              </w:rPr>
              <w:t> </w:t>
            </w:r>
            <w:r>
              <w:rPr>
                <w:color w:val="231F20"/>
                <w:w w:val="105"/>
                <w:sz w:val="12"/>
              </w:rPr>
              <w:t>Human</w:t>
            </w:r>
            <w:r>
              <w:rPr>
                <w:color w:val="231F20"/>
                <w:spacing w:val="-8"/>
                <w:w w:val="105"/>
                <w:sz w:val="12"/>
              </w:rPr>
              <w:t> </w:t>
            </w:r>
            <w:r>
              <w:rPr>
                <w:color w:val="231F20"/>
                <w:spacing w:val="-2"/>
                <w:w w:val="105"/>
                <w:sz w:val="12"/>
              </w:rPr>
              <w:t>Resources</w:t>
            </w:r>
          </w:p>
        </w:tc>
        <w:tc>
          <w:tcPr>
            <w:tcW w:w="1774" w:type="dxa"/>
          </w:tcPr>
          <w:p>
            <w:pPr>
              <w:pStyle w:val="TableParagraph"/>
              <w:spacing w:line="132" w:lineRule="exact" w:before="20"/>
              <w:ind w:left="823"/>
              <w:rPr>
                <w:sz w:val="12"/>
              </w:rPr>
            </w:pPr>
            <w:r>
              <w:rPr>
                <w:color w:val="231F20"/>
                <w:spacing w:val="-4"/>
                <w:w w:val="105"/>
                <w:sz w:val="12"/>
              </w:rPr>
              <w:t>SSFS</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1946650</w:t>
            </w:r>
          </w:p>
        </w:tc>
        <w:tc>
          <w:tcPr>
            <w:tcW w:w="1156" w:type="dxa"/>
          </w:tcPr>
          <w:p>
            <w:pPr>
              <w:pStyle w:val="TableParagraph"/>
              <w:spacing w:line="132" w:lineRule="exact" w:before="20"/>
              <w:ind w:left="388"/>
              <w:rPr>
                <w:sz w:val="12"/>
              </w:rPr>
            </w:pPr>
            <w:r>
              <w:rPr>
                <w:color w:val="231F20"/>
                <w:spacing w:val="-2"/>
                <w:w w:val="105"/>
                <w:sz w:val="12"/>
              </w:rPr>
              <w:t>47.076</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315,144</w:t>
            </w:r>
          </w:p>
        </w:tc>
      </w:tr>
      <w:tr>
        <w:trPr>
          <w:trHeight w:val="171" w:hRule="atLeast"/>
        </w:trPr>
        <w:tc>
          <w:tcPr>
            <w:tcW w:w="4001" w:type="dxa"/>
          </w:tcPr>
          <w:p>
            <w:pPr>
              <w:pStyle w:val="TableParagraph"/>
              <w:spacing w:line="138" w:lineRule="exact" w:before="14"/>
              <w:ind w:left="367"/>
              <w:rPr>
                <w:sz w:val="12"/>
              </w:rPr>
            </w:pPr>
            <w:r>
              <w:rPr>
                <w:color w:val="231F20"/>
                <w:w w:val="105"/>
                <w:sz w:val="12"/>
              </w:rPr>
              <w:t>Polar</w:t>
            </w:r>
            <w:r>
              <w:rPr>
                <w:color w:val="231F20"/>
                <w:spacing w:val="-8"/>
                <w:w w:val="105"/>
                <w:sz w:val="12"/>
              </w:rPr>
              <w:t> </w:t>
            </w:r>
            <w:r>
              <w:rPr>
                <w:color w:val="231F20"/>
                <w:spacing w:val="-2"/>
                <w:w w:val="105"/>
                <w:sz w:val="12"/>
              </w:rPr>
              <w:t>Programs</w:t>
            </w:r>
          </w:p>
        </w:tc>
        <w:tc>
          <w:tcPr>
            <w:tcW w:w="1774" w:type="dxa"/>
          </w:tcPr>
          <w:p>
            <w:pPr>
              <w:pStyle w:val="TableParagraph"/>
              <w:spacing w:line="132" w:lineRule="exact" w:before="20"/>
              <w:ind w:left="799"/>
              <w:rPr>
                <w:sz w:val="12"/>
              </w:rPr>
            </w:pPr>
            <w:r>
              <w:rPr>
                <w:color w:val="231F20"/>
                <w:spacing w:val="-4"/>
                <w:w w:val="105"/>
                <w:sz w:val="12"/>
              </w:rPr>
              <w:t>SWAE</w:t>
            </w:r>
          </w:p>
        </w:tc>
        <w:tc>
          <w:tcPr>
            <w:tcW w:w="2283" w:type="dxa"/>
          </w:tcPr>
          <w:p>
            <w:pPr>
              <w:pStyle w:val="TableParagraph"/>
              <w:rPr>
                <w:rFonts w:ascii="Times New Roman"/>
                <w:sz w:val="10"/>
              </w:rPr>
            </w:pPr>
          </w:p>
        </w:tc>
        <w:tc>
          <w:tcPr>
            <w:tcW w:w="2774" w:type="dxa"/>
          </w:tcPr>
          <w:p>
            <w:pPr>
              <w:pStyle w:val="TableParagraph"/>
              <w:spacing w:line="138" w:lineRule="exact" w:before="14"/>
              <w:ind w:left="498"/>
              <w:rPr>
                <w:sz w:val="12"/>
              </w:rPr>
            </w:pPr>
            <w:r>
              <w:rPr>
                <w:color w:val="231F20"/>
                <w:spacing w:val="-2"/>
                <w:w w:val="105"/>
                <w:sz w:val="12"/>
              </w:rPr>
              <w:t>2122248</w:t>
            </w:r>
          </w:p>
        </w:tc>
        <w:tc>
          <w:tcPr>
            <w:tcW w:w="1156" w:type="dxa"/>
          </w:tcPr>
          <w:p>
            <w:pPr>
              <w:pStyle w:val="TableParagraph"/>
              <w:spacing w:line="132" w:lineRule="exact" w:before="20"/>
              <w:ind w:left="388"/>
              <w:rPr>
                <w:sz w:val="12"/>
              </w:rPr>
            </w:pPr>
            <w:r>
              <w:rPr>
                <w:color w:val="231F20"/>
                <w:spacing w:val="-2"/>
                <w:w w:val="105"/>
                <w:sz w:val="12"/>
              </w:rPr>
              <w:t>47.078</w:t>
            </w:r>
          </w:p>
        </w:tc>
        <w:tc>
          <w:tcPr>
            <w:tcW w:w="1132" w:type="dxa"/>
          </w:tcPr>
          <w:p>
            <w:pPr>
              <w:pStyle w:val="TableParagraph"/>
              <w:spacing w:line="132" w:lineRule="exact" w:before="20"/>
              <w:ind w:right="68"/>
              <w:jc w:val="right"/>
              <w:rPr>
                <w:sz w:val="12"/>
              </w:rPr>
            </w:pPr>
            <w:r>
              <w:rPr>
                <w:color w:val="231F20"/>
                <w:w w:val="104"/>
                <w:sz w:val="12"/>
              </w:rPr>
              <w:t>-</w:t>
            </w:r>
          </w:p>
        </w:tc>
        <w:tc>
          <w:tcPr>
            <w:tcW w:w="153" w:type="dxa"/>
          </w:tcPr>
          <w:p>
            <w:pPr>
              <w:pStyle w:val="TableParagraph"/>
              <w:rPr>
                <w:rFonts w:ascii="Times New Roman"/>
                <w:sz w:val="10"/>
              </w:rPr>
            </w:pPr>
          </w:p>
        </w:tc>
        <w:tc>
          <w:tcPr>
            <w:tcW w:w="1132" w:type="dxa"/>
          </w:tcPr>
          <w:p>
            <w:pPr>
              <w:pStyle w:val="TableParagraph"/>
              <w:spacing w:line="132" w:lineRule="exact" w:before="20"/>
              <w:ind w:right="66"/>
              <w:jc w:val="right"/>
              <w:rPr>
                <w:sz w:val="12"/>
              </w:rPr>
            </w:pPr>
            <w:r>
              <w:rPr>
                <w:color w:val="231F20"/>
                <w:spacing w:val="-2"/>
                <w:w w:val="105"/>
                <w:sz w:val="12"/>
              </w:rPr>
              <w:t>23,368</w:t>
            </w:r>
          </w:p>
        </w:tc>
      </w:tr>
      <w:tr>
        <w:trPr>
          <w:trHeight w:val="164" w:hRule="atLeast"/>
        </w:trPr>
        <w:tc>
          <w:tcPr>
            <w:tcW w:w="4001" w:type="dxa"/>
          </w:tcPr>
          <w:p>
            <w:pPr>
              <w:pStyle w:val="TableParagraph"/>
              <w:spacing w:line="130" w:lineRule="exact" w:before="14"/>
              <w:ind w:left="367"/>
              <w:rPr>
                <w:sz w:val="12"/>
              </w:rPr>
            </w:pPr>
            <w:r>
              <w:rPr>
                <w:color w:val="231F20"/>
                <w:spacing w:val="-2"/>
                <w:w w:val="105"/>
                <w:sz w:val="12"/>
              </w:rPr>
              <w:t>Integrative</w:t>
            </w:r>
            <w:r>
              <w:rPr>
                <w:color w:val="231F20"/>
                <w:spacing w:val="6"/>
                <w:w w:val="105"/>
                <w:sz w:val="12"/>
              </w:rPr>
              <w:t> </w:t>
            </w:r>
            <w:r>
              <w:rPr>
                <w:color w:val="231F20"/>
                <w:spacing w:val="-2"/>
                <w:w w:val="105"/>
                <w:sz w:val="12"/>
              </w:rPr>
              <w:t>Activities</w:t>
            </w:r>
          </w:p>
        </w:tc>
        <w:tc>
          <w:tcPr>
            <w:tcW w:w="1774" w:type="dxa"/>
          </w:tcPr>
          <w:p>
            <w:pPr>
              <w:pStyle w:val="TableParagraph"/>
              <w:spacing w:line="124" w:lineRule="exact" w:before="20"/>
              <w:ind w:left="816"/>
              <w:rPr>
                <w:sz w:val="12"/>
              </w:rPr>
            </w:pPr>
            <w:r>
              <w:rPr>
                <w:color w:val="231F20"/>
                <w:spacing w:val="-4"/>
                <w:w w:val="105"/>
                <w:sz w:val="12"/>
              </w:rPr>
              <w:t>SHPE</w:t>
            </w:r>
          </w:p>
        </w:tc>
        <w:tc>
          <w:tcPr>
            <w:tcW w:w="2283" w:type="dxa"/>
          </w:tcPr>
          <w:p>
            <w:pPr>
              <w:pStyle w:val="TableParagraph"/>
              <w:rPr>
                <w:rFonts w:ascii="Times New Roman"/>
                <w:sz w:val="10"/>
              </w:rPr>
            </w:pPr>
          </w:p>
        </w:tc>
        <w:tc>
          <w:tcPr>
            <w:tcW w:w="2774" w:type="dxa"/>
          </w:tcPr>
          <w:p>
            <w:pPr>
              <w:pStyle w:val="TableParagraph"/>
              <w:spacing w:line="130" w:lineRule="exact" w:before="14"/>
              <w:ind w:left="498"/>
              <w:rPr>
                <w:sz w:val="12"/>
              </w:rPr>
            </w:pPr>
            <w:r>
              <w:rPr>
                <w:color w:val="231F20"/>
                <w:spacing w:val="-2"/>
                <w:w w:val="105"/>
                <w:sz w:val="12"/>
              </w:rPr>
              <w:t>1832813</w:t>
            </w:r>
          </w:p>
        </w:tc>
        <w:tc>
          <w:tcPr>
            <w:tcW w:w="1156" w:type="dxa"/>
          </w:tcPr>
          <w:p>
            <w:pPr>
              <w:pStyle w:val="TableParagraph"/>
              <w:spacing w:line="124" w:lineRule="exact" w:before="20"/>
              <w:ind w:left="388"/>
              <w:rPr>
                <w:sz w:val="12"/>
              </w:rPr>
            </w:pPr>
            <w:r>
              <w:rPr>
                <w:color w:val="231F20"/>
                <w:spacing w:val="-2"/>
                <w:w w:val="105"/>
                <w:sz w:val="12"/>
              </w:rPr>
              <w:t>47.083</w:t>
            </w:r>
          </w:p>
        </w:tc>
        <w:tc>
          <w:tcPr>
            <w:tcW w:w="1132" w:type="dxa"/>
            <w:tcBorders>
              <w:bottom w:val="single" w:sz="8" w:space="0" w:color="231F20"/>
            </w:tcBorders>
          </w:tcPr>
          <w:p>
            <w:pPr>
              <w:pStyle w:val="TableParagraph"/>
              <w:spacing w:line="124" w:lineRule="exact" w:before="20"/>
              <w:ind w:right="67"/>
              <w:jc w:val="right"/>
              <w:rPr>
                <w:sz w:val="12"/>
              </w:rPr>
            </w:pPr>
            <w:r>
              <w:rPr>
                <w:color w:val="231F20"/>
                <w:w w:val="104"/>
                <w:sz w:val="12"/>
              </w:rPr>
              <w:t>-</w:t>
            </w:r>
          </w:p>
        </w:tc>
        <w:tc>
          <w:tcPr>
            <w:tcW w:w="153" w:type="dxa"/>
          </w:tcPr>
          <w:p>
            <w:pPr>
              <w:pStyle w:val="TableParagraph"/>
              <w:rPr>
                <w:rFonts w:ascii="Times New Roman"/>
                <w:sz w:val="10"/>
              </w:rPr>
            </w:pPr>
          </w:p>
        </w:tc>
        <w:tc>
          <w:tcPr>
            <w:tcW w:w="1132" w:type="dxa"/>
            <w:tcBorders>
              <w:bottom w:val="single" w:sz="8" w:space="0" w:color="231F20"/>
            </w:tcBorders>
          </w:tcPr>
          <w:p>
            <w:pPr>
              <w:pStyle w:val="TableParagraph"/>
              <w:spacing w:line="124" w:lineRule="exact" w:before="20"/>
              <w:ind w:right="66"/>
              <w:jc w:val="right"/>
              <w:rPr>
                <w:sz w:val="12"/>
              </w:rPr>
            </w:pPr>
            <w:r>
              <w:rPr>
                <w:color w:val="231F20"/>
                <w:spacing w:val="-2"/>
                <w:w w:val="105"/>
                <w:sz w:val="12"/>
              </w:rPr>
              <w:t>61,179</w:t>
            </w:r>
          </w:p>
        </w:tc>
      </w:tr>
      <w:tr>
        <w:trPr>
          <w:trHeight w:val="146" w:hRule="atLeast"/>
        </w:trPr>
        <w:tc>
          <w:tcPr>
            <w:tcW w:w="4001" w:type="dxa"/>
          </w:tcPr>
          <w:p>
            <w:pPr>
              <w:pStyle w:val="TableParagraph"/>
              <w:spacing w:line="119" w:lineRule="exact" w:before="7"/>
              <w:ind w:left="197"/>
              <w:rPr>
                <w:b/>
                <w:sz w:val="12"/>
              </w:rPr>
            </w:pPr>
            <w:r>
              <w:rPr>
                <w:b/>
                <w:color w:val="231F20"/>
                <w:spacing w:val="-2"/>
                <w:w w:val="105"/>
                <w:sz w:val="12"/>
              </w:rPr>
              <w:t>Total</w:t>
            </w:r>
            <w:r>
              <w:rPr>
                <w:b/>
                <w:color w:val="231F20"/>
                <w:spacing w:val="3"/>
                <w:w w:val="105"/>
                <w:sz w:val="12"/>
              </w:rPr>
              <w:t> </w:t>
            </w:r>
            <w:r>
              <w:rPr>
                <w:b/>
                <w:color w:val="231F20"/>
                <w:spacing w:val="-2"/>
                <w:w w:val="105"/>
                <w:sz w:val="12"/>
              </w:rPr>
              <w:t>Direct</w:t>
            </w:r>
            <w:r>
              <w:rPr>
                <w:b/>
                <w:color w:val="231F20"/>
                <w:spacing w:val="4"/>
                <w:w w:val="105"/>
                <w:sz w:val="12"/>
              </w:rPr>
              <w:t> </w:t>
            </w:r>
            <w:r>
              <w:rPr>
                <w:b/>
                <w:color w:val="231F20"/>
                <w:spacing w:val="-2"/>
                <w:w w:val="105"/>
                <w:sz w:val="12"/>
              </w:rPr>
              <w:t>National</w:t>
            </w:r>
            <w:r>
              <w:rPr>
                <w:b/>
                <w:color w:val="231F20"/>
                <w:spacing w:val="4"/>
                <w:w w:val="105"/>
                <w:sz w:val="12"/>
              </w:rPr>
              <w:t> </w:t>
            </w:r>
            <w:r>
              <w:rPr>
                <w:b/>
                <w:color w:val="231F20"/>
                <w:spacing w:val="-2"/>
                <w:w w:val="105"/>
                <w:sz w:val="12"/>
              </w:rPr>
              <w:t>Science</w:t>
            </w:r>
            <w:r>
              <w:rPr>
                <w:b/>
                <w:color w:val="231F20"/>
                <w:spacing w:val="4"/>
                <w:w w:val="105"/>
                <w:sz w:val="12"/>
              </w:rPr>
              <w:t> </w:t>
            </w:r>
            <w:r>
              <w:rPr>
                <w:b/>
                <w:color w:val="231F20"/>
                <w:spacing w:val="-2"/>
                <w:w w:val="105"/>
                <w:sz w:val="12"/>
              </w:rPr>
              <w:t>Foundation</w:t>
            </w:r>
          </w:p>
        </w:tc>
        <w:tc>
          <w:tcPr>
            <w:tcW w:w="1774" w:type="dxa"/>
          </w:tcPr>
          <w:p>
            <w:pPr>
              <w:pStyle w:val="TableParagraph"/>
              <w:rPr>
                <w:rFonts w:ascii="Times New Roman"/>
                <w:sz w:val="8"/>
              </w:rPr>
            </w:pPr>
          </w:p>
        </w:tc>
        <w:tc>
          <w:tcPr>
            <w:tcW w:w="2283" w:type="dxa"/>
          </w:tcPr>
          <w:p>
            <w:pPr>
              <w:pStyle w:val="TableParagraph"/>
              <w:rPr>
                <w:rFonts w:ascii="Times New Roman"/>
                <w:sz w:val="8"/>
              </w:rPr>
            </w:pPr>
          </w:p>
        </w:tc>
        <w:tc>
          <w:tcPr>
            <w:tcW w:w="2774" w:type="dxa"/>
          </w:tcPr>
          <w:p>
            <w:pPr>
              <w:pStyle w:val="TableParagraph"/>
              <w:rPr>
                <w:rFonts w:ascii="Times New Roman"/>
                <w:sz w:val="8"/>
              </w:rPr>
            </w:pPr>
          </w:p>
        </w:tc>
        <w:tc>
          <w:tcPr>
            <w:tcW w:w="1156" w:type="dxa"/>
          </w:tcPr>
          <w:p>
            <w:pPr>
              <w:pStyle w:val="TableParagraph"/>
              <w:rPr>
                <w:rFonts w:ascii="Times New Roman"/>
                <w:sz w:val="8"/>
              </w:rPr>
            </w:pPr>
          </w:p>
        </w:tc>
        <w:tc>
          <w:tcPr>
            <w:tcW w:w="1132" w:type="dxa"/>
            <w:tcBorders>
              <w:top w:val="single" w:sz="8" w:space="0" w:color="231F20"/>
            </w:tcBorders>
          </w:tcPr>
          <w:p>
            <w:pPr>
              <w:pStyle w:val="TableParagraph"/>
              <w:spacing w:line="119" w:lineRule="exact" w:before="7"/>
              <w:ind w:right="68"/>
              <w:jc w:val="right"/>
              <w:rPr>
                <w:b/>
                <w:sz w:val="12"/>
              </w:rPr>
            </w:pPr>
            <w:r>
              <w:rPr>
                <w:b/>
                <w:color w:val="231F20"/>
                <w:spacing w:val="-2"/>
                <w:w w:val="105"/>
                <w:sz w:val="12"/>
              </w:rPr>
              <w:t>40,555</w:t>
            </w:r>
          </w:p>
        </w:tc>
        <w:tc>
          <w:tcPr>
            <w:tcW w:w="153" w:type="dxa"/>
          </w:tcPr>
          <w:p>
            <w:pPr>
              <w:pStyle w:val="TableParagraph"/>
              <w:rPr>
                <w:rFonts w:ascii="Times New Roman"/>
                <w:sz w:val="8"/>
              </w:rPr>
            </w:pPr>
          </w:p>
        </w:tc>
        <w:tc>
          <w:tcPr>
            <w:tcW w:w="1132" w:type="dxa"/>
            <w:tcBorders>
              <w:top w:val="single" w:sz="8" w:space="0" w:color="231F20"/>
            </w:tcBorders>
          </w:tcPr>
          <w:p>
            <w:pPr>
              <w:pStyle w:val="TableParagraph"/>
              <w:spacing w:line="119" w:lineRule="exact" w:before="7"/>
              <w:ind w:right="66"/>
              <w:jc w:val="right"/>
              <w:rPr>
                <w:b/>
                <w:sz w:val="12"/>
              </w:rPr>
            </w:pPr>
            <w:r>
              <w:rPr>
                <w:b/>
                <w:color w:val="231F20"/>
                <w:spacing w:val="-2"/>
                <w:w w:val="105"/>
                <w:sz w:val="12"/>
              </w:rPr>
              <w:t>3,294,428</w:t>
            </w:r>
          </w:p>
        </w:tc>
      </w:tr>
    </w:tbl>
    <w:p>
      <w:pPr>
        <w:spacing w:after="0" w:line="119" w:lineRule="exact"/>
        <w:jc w:val="right"/>
        <w:rPr>
          <w:sz w:val="12"/>
        </w:rPr>
        <w:sectPr>
          <w:pgSz w:w="15840" w:h="12240" w:orient="landscape"/>
          <w:pgMar w:header="934" w:footer="1097" w:top="1840" w:bottom="1280" w:left="560" w:right="560"/>
        </w:sectPr>
      </w:pPr>
    </w:p>
    <w:p>
      <w:pPr>
        <w:pStyle w:val="BodyText"/>
        <w:spacing w:before="3"/>
        <w:rPr>
          <w:b/>
          <w:sz w:val="24"/>
        </w:rPr>
      </w:pPr>
    </w:p>
    <w:p>
      <w:pPr>
        <w:pStyle w:val="BodyText"/>
        <w:spacing w:line="38" w:lineRule="exact"/>
        <w:ind w:left="169"/>
        <w:rPr>
          <w:sz w:val="3"/>
        </w:rPr>
      </w:pPr>
      <w:r>
        <w:rPr>
          <w:position w:val="0"/>
          <w:sz w:val="3"/>
        </w:rPr>
        <w:pict>
          <v:group style="width:720.2pt;height:1.95pt;mso-position-horizontal-relative:char;mso-position-vertical-relative:line" id="docshapegroup563" coordorigin="0,0" coordsize="14404,39">
            <v:rect style="position:absolute;left:0;top:0;width:14404;height:39" id="docshape564" filled="true" fillcolor="#231f20" stroked="false">
              <v:fill type="solid"/>
            </v:rect>
          </v:group>
        </w:pict>
      </w:r>
      <w:r>
        <w:rPr>
          <w:position w:val="0"/>
          <w:sz w:val="3"/>
        </w:rPr>
      </w:r>
    </w:p>
    <w:p>
      <w:pPr>
        <w:pStyle w:val="BodyText"/>
        <w:spacing w:before="8"/>
        <w:rPr>
          <w:b/>
          <w:sz w:val="9"/>
        </w:rPr>
      </w:pPr>
    </w:p>
    <w:p>
      <w:pPr>
        <w:spacing w:after="0"/>
        <w:rPr>
          <w:sz w:val="9"/>
        </w:rPr>
        <w:sectPr>
          <w:pgSz w:w="15840" w:h="12240" w:orient="landscape"/>
          <w:pgMar w:header="934" w:footer="1097" w:top="1840" w:bottom="1280" w:left="560" w:right="560"/>
        </w:sectPr>
      </w:pPr>
    </w:p>
    <w:p>
      <w:pPr>
        <w:pStyle w:val="BodyText"/>
        <w:rPr>
          <w:b/>
          <w:sz w:val="14"/>
        </w:rPr>
      </w:pPr>
    </w:p>
    <w:p>
      <w:pPr>
        <w:pStyle w:val="BodyText"/>
        <w:rPr>
          <w:b/>
          <w:sz w:val="14"/>
        </w:rPr>
      </w:pPr>
    </w:p>
    <w:p>
      <w:pPr>
        <w:pStyle w:val="BodyText"/>
        <w:spacing w:before="6"/>
        <w:rPr>
          <w:b/>
          <w:sz w:val="12"/>
        </w:rPr>
      </w:pPr>
    </w:p>
    <w:p>
      <w:pPr>
        <w:spacing w:before="0"/>
        <w:ind w:left="195" w:right="0" w:firstLine="0"/>
        <w:jc w:val="left"/>
        <w:rPr>
          <w:b/>
          <w:sz w:val="12"/>
        </w:rPr>
      </w:pPr>
      <w:r>
        <w:rPr>
          <w:b/>
          <w:color w:val="231F20"/>
          <w:spacing w:val="-2"/>
          <w:w w:val="105"/>
          <w:sz w:val="12"/>
        </w:rPr>
        <w:t>Federal</w:t>
      </w:r>
      <w:r>
        <w:rPr>
          <w:b/>
          <w:color w:val="231F20"/>
          <w:spacing w:val="5"/>
          <w:w w:val="105"/>
          <w:sz w:val="12"/>
        </w:rPr>
        <w:t> </w:t>
      </w:r>
      <w:r>
        <w:rPr>
          <w:b/>
          <w:color w:val="231F20"/>
          <w:spacing w:val="-2"/>
          <w:w w:val="105"/>
          <w:sz w:val="12"/>
        </w:rPr>
        <w:t>Grantor/Program</w:t>
      </w:r>
      <w:r>
        <w:rPr>
          <w:b/>
          <w:color w:val="231F20"/>
          <w:spacing w:val="5"/>
          <w:w w:val="105"/>
          <w:sz w:val="12"/>
        </w:rPr>
        <w:t> </w:t>
      </w:r>
      <w:r>
        <w:rPr>
          <w:b/>
          <w:color w:val="231F20"/>
          <w:spacing w:val="-2"/>
          <w:w w:val="105"/>
          <w:sz w:val="12"/>
        </w:rPr>
        <w:t>Title</w:t>
      </w:r>
    </w:p>
    <w:p>
      <w:pPr>
        <w:spacing w:line="240" w:lineRule="auto" w:before="0"/>
        <w:rPr>
          <w:b/>
          <w:sz w:val="14"/>
        </w:rPr>
      </w:pPr>
      <w:r>
        <w:rPr/>
        <w:br w:type="column"/>
      </w:r>
      <w:r>
        <w:rPr>
          <w:b/>
          <w:sz w:val="14"/>
        </w:rPr>
      </w:r>
    </w:p>
    <w:p>
      <w:pPr>
        <w:spacing w:before="112"/>
        <w:ind w:left="259" w:right="0" w:firstLine="0"/>
        <w:jc w:val="left"/>
        <w:rPr>
          <w:b/>
          <w:sz w:val="12"/>
        </w:rPr>
      </w:pPr>
      <w:r>
        <w:rPr>
          <w:b/>
          <w:color w:val="231F20"/>
          <w:spacing w:val="-2"/>
          <w:w w:val="105"/>
          <w:sz w:val="12"/>
        </w:rPr>
        <w:t>Award</w:t>
      </w:r>
    </w:p>
    <w:p>
      <w:pPr>
        <w:tabs>
          <w:tab w:pos="1787" w:val="left" w:leader="none"/>
        </w:tabs>
        <w:spacing w:before="32"/>
        <w:ind w:left="195" w:right="0" w:firstLine="0"/>
        <w:jc w:val="left"/>
        <w:rPr>
          <w:b/>
          <w:sz w:val="12"/>
        </w:rPr>
      </w:pPr>
      <w:r>
        <w:rPr>
          <w:b/>
          <w:color w:val="231F20"/>
          <w:spacing w:val="-2"/>
          <w:w w:val="105"/>
          <w:sz w:val="12"/>
        </w:rPr>
        <w:t>Number</w:t>
      </w:r>
      <w:r>
        <w:rPr>
          <w:b/>
          <w:color w:val="231F20"/>
          <w:sz w:val="12"/>
        </w:rPr>
        <w:tab/>
        <w:t>Pass-Through</w:t>
      </w:r>
      <w:r>
        <w:rPr>
          <w:b/>
          <w:color w:val="231F20"/>
          <w:spacing w:val="22"/>
          <w:sz w:val="12"/>
        </w:rPr>
        <w:t> </w:t>
      </w:r>
      <w:r>
        <w:rPr>
          <w:b/>
          <w:color w:val="231F20"/>
          <w:spacing w:val="-2"/>
          <w:sz w:val="12"/>
        </w:rPr>
        <w:t>Entity</w:t>
      </w:r>
    </w:p>
    <w:p>
      <w:pPr>
        <w:spacing w:line="240" w:lineRule="auto" w:before="0"/>
        <w:rPr>
          <w:b/>
          <w:sz w:val="14"/>
        </w:rPr>
      </w:pPr>
      <w:r>
        <w:rPr/>
        <w:br w:type="column"/>
      </w:r>
      <w:r>
        <w:rPr>
          <w:b/>
          <w:sz w:val="14"/>
        </w:rPr>
      </w:r>
    </w:p>
    <w:p>
      <w:pPr>
        <w:spacing w:line="295" w:lineRule="auto" w:before="112"/>
        <w:ind w:left="482" w:right="30" w:hanging="287"/>
        <w:jc w:val="left"/>
        <w:rPr>
          <w:b/>
          <w:sz w:val="12"/>
        </w:rPr>
      </w:pPr>
      <w:r>
        <w:rPr>
          <w:b/>
          <w:color w:val="231F20"/>
          <w:w w:val="105"/>
          <w:sz w:val="12"/>
        </w:rPr>
        <w:t>Funding</w:t>
      </w:r>
      <w:r>
        <w:rPr>
          <w:b/>
          <w:color w:val="231F20"/>
          <w:spacing w:val="-9"/>
          <w:w w:val="105"/>
          <w:sz w:val="12"/>
        </w:rPr>
        <w:t> </w:t>
      </w:r>
      <w:r>
        <w:rPr>
          <w:b/>
          <w:color w:val="231F20"/>
          <w:w w:val="105"/>
          <w:sz w:val="12"/>
        </w:rPr>
        <w:t>Agency</w:t>
      </w:r>
      <w:r>
        <w:rPr>
          <w:b/>
          <w:color w:val="231F20"/>
          <w:spacing w:val="-9"/>
          <w:w w:val="105"/>
          <w:sz w:val="12"/>
        </w:rPr>
        <w:t> </w:t>
      </w:r>
      <w:r>
        <w:rPr>
          <w:b/>
          <w:color w:val="231F20"/>
          <w:w w:val="105"/>
          <w:sz w:val="12"/>
        </w:rPr>
        <w:t>Identification</w:t>
      </w:r>
      <w:r>
        <w:rPr>
          <w:b/>
          <w:color w:val="231F20"/>
          <w:spacing w:val="40"/>
          <w:w w:val="105"/>
          <w:sz w:val="12"/>
        </w:rPr>
        <w:t> </w:t>
      </w:r>
      <w:r>
        <w:rPr>
          <w:b/>
          <w:color w:val="231F20"/>
          <w:w w:val="105"/>
          <w:sz w:val="12"/>
        </w:rPr>
        <w:t>Number/Contract</w:t>
      </w:r>
      <w:r>
        <w:rPr>
          <w:b/>
          <w:color w:val="231F20"/>
          <w:spacing w:val="-7"/>
          <w:w w:val="105"/>
          <w:sz w:val="12"/>
        </w:rPr>
        <w:t> </w:t>
      </w:r>
      <w:r>
        <w:rPr>
          <w:b/>
          <w:color w:val="231F20"/>
          <w:w w:val="105"/>
          <w:sz w:val="12"/>
        </w:rPr>
        <w:t>ID</w:t>
      </w:r>
    </w:p>
    <w:p>
      <w:pPr>
        <w:spacing w:line="295" w:lineRule="auto" w:before="103"/>
        <w:ind w:left="195" w:right="38" w:firstLine="0"/>
        <w:jc w:val="center"/>
        <w:rPr>
          <w:b/>
          <w:sz w:val="12"/>
        </w:rPr>
      </w:pPr>
      <w:r>
        <w:rPr/>
        <w:br w:type="column"/>
      </w:r>
      <w:r>
        <w:rPr>
          <w:b/>
          <w:color w:val="231F20"/>
          <w:spacing w:val="-2"/>
          <w:w w:val="105"/>
          <w:sz w:val="12"/>
        </w:rPr>
        <w:t>Assistance</w:t>
      </w:r>
      <w:r>
        <w:rPr>
          <w:b/>
          <w:color w:val="231F20"/>
          <w:spacing w:val="40"/>
          <w:w w:val="105"/>
          <w:sz w:val="12"/>
        </w:rPr>
        <w:t> </w:t>
      </w:r>
      <w:r>
        <w:rPr>
          <w:b/>
          <w:color w:val="231F20"/>
          <w:spacing w:val="-2"/>
          <w:w w:val="105"/>
          <w:sz w:val="12"/>
        </w:rPr>
        <w:t>Listing</w:t>
      </w:r>
      <w:r>
        <w:rPr>
          <w:b/>
          <w:color w:val="231F20"/>
          <w:spacing w:val="40"/>
          <w:w w:val="105"/>
          <w:sz w:val="12"/>
        </w:rPr>
        <w:t> </w:t>
      </w:r>
      <w:r>
        <w:rPr>
          <w:b/>
          <w:color w:val="231F20"/>
          <w:spacing w:val="-2"/>
          <w:w w:val="105"/>
          <w:sz w:val="12"/>
        </w:rPr>
        <w:t>Number</w:t>
      </w:r>
    </w:p>
    <w:p>
      <w:pPr>
        <w:spacing w:line="295" w:lineRule="auto" w:before="103"/>
        <w:ind w:left="195" w:right="38" w:firstLine="0"/>
        <w:jc w:val="center"/>
        <w:rPr>
          <w:b/>
          <w:sz w:val="12"/>
        </w:rPr>
      </w:pPr>
      <w:r>
        <w:rPr/>
        <w:br w:type="column"/>
      </w:r>
      <w:r>
        <w:rPr>
          <w:b/>
          <w:color w:val="231F20"/>
          <w:spacing w:val="-2"/>
          <w:w w:val="105"/>
          <w:sz w:val="12"/>
        </w:rPr>
        <w:t>Amount</w:t>
      </w:r>
      <w:r>
        <w:rPr>
          <w:b/>
          <w:color w:val="231F20"/>
          <w:spacing w:val="-7"/>
          <w:w w:val="105"/>
          <w:sz w:val="12"/>
        </w:rPr>
        <w:t> </w:t>
      </w:r>
      <w:r>
        <w:rPr>
          <w:b/>
          <w:color w:val="231F20"/>
          <w:spacing w:val="-2"/>
          <w:w w:val="105"/>
          <w:sz w:val="12"/>
        </w:rPr>
        <w:t>Passed</w:t>
      </w:r>
      <w:r>
        <w:rPr>
          <w:b/>
          <w:color w:val="231F20"/>
          <w:spacing w:val="40"/>
          <w:w w:val="105"/>
          <w:sz w:val="12"/>
        </w:rPr>
        <w:t> </w:t>
      </w:r>
      <w:r>
        <w:rPr>
          <w:b/>
          <w:color w:val="231F20"/>
          <w:w w:val="105"/>
          <w:sz w:val="12"/>
        </w:rPr>
        <w:t>Through</w:t>
      </w:r>
      <w:r>
        <w:rPr>
          <w:b/>
          <w:color w:val="231F20"/>
          <w:spacing w:val="-7"/>
          <w:w w:val="105"/>
          <w:sz w:val="12"/>
        </w:rPr>
        <w:t> </w:t>
      </w:r>
      <w:r>
        <w:rPr>
          <w:b/>
          <w:color w:val="231F20"/>
          <w:w w:val="105"/>
          <w:sz w:val="12"/>
        </w:rPr>
        <w:t>to</w:t>
      </w:r>
      <w:r>
        <w:rPr>
          <w:b/>
          <w:color w:val="231F20"/>
          <w:spacing w:val="40"/>
          <w:w w:val="105"/>
          <w:sz w:val="12"/>
        </w:rPr>
        <w:t> </w:t>
      </w:r>
      <w:r>
        <w:rPr>
          <w:b/>
          <w:color w:val="231F20"/>
          <w:spacing w:val="-2"/>
          <w:w w:val="105"/>
          <w:sz w:val="12"/>
        </w:rPr>
        <w:t>Subrecipients</w:t>
      </w:r>
    </w:p>
    <w:p>
      <w:pPr>
        <w:spacing w:line="240" w:lineRule="auto" w:before="0"/>
        <w:rPr>
          <w:b/>
          <w:sz w:val="14"/>
        </w:rPr>
      </w:pPr>
      <w:r>
        <w:rPr/>
        <w:br w:type="column"/>
      </w:r>
      <w:r>
        <w:rPr>
          <w:b/>
          <w:sz w:val="14"/>
        </w:rPr>
      </w:r>
    </w:p>
    <w:p>
      <w:pPr>
        <w:spacing w:line="295" w:lineRule="auto" w:before="112"/>
        <w:ind w:left="195" w:right="291" w:firstLine="24"/>
        <w:jc w:val="left"/>
        <w:rPr>
          <w:b/>
          <w:sz w:val="12"/>
        </w:rPr>
      </w:pPr>
      <w:r>
        <w:rPr>
          <w:b/>
          <w:color w:val="231F20"/>
          <w:w w:val="105"/>
          <w:sz w:val="12"/>
        </w:rPr>
        <w:t>Total</w:t>
      </w:r>
      <w:r>
        <w:rPr>
          <w:b/>
          <w:color w:val="231F20"/>
          <w:spacing w:val="-9"/>
          <w:w w:val="105"/>
          <w:sz w:val="12"/>
        </w:rPr>
        <w:t> </w:t>
      </w:r>
      <w:r>
        <w:rPr>
          <w:b/>
          <w:color w:val="231F20"/>
          <w:w w:val="105"/>
          <w:sz w:val="12"/>
        </w:rPr>
        <w:t>Federal</w:t>
      </w:r>
      <w:r>
        <w:rPr>
          <w:b/>
          <w:color w:val="231F20"/>
          <w:spacing w:val="40"/>
          <w:w w:val="105"/>
          <w:sz w:val="12"/>
        </w:rPr>
        <w:t> </w:t>
      </w:r>
      <w:r>
        <w:rPr>
          <w:b/>
          <w:color w:val="231F20"/>
          <w:spacing w:val="-2"/>
          <w:w w:val="105"/>
          <w:sz w:val="12"/>
        </w:rPr>
        <w:t>Expenditures</w:t>
      </w:r>
    </w:p>
    <w:p>
      <w:pPr>
        <w:spacing w:after="0" w:line="295" w:lineRule="auto"/>
        <w:jc w:val="left"/>
        <w:rPr>
          <w:sz w:val="12"/>
        </w:rPr>
        <w:sectPr>
          <w:type w:val="continuous"/>
          <w:pgSz w:w="15840" w:h="12240" w:orient="landscape"/>
          <w:pgMar w:header="934" w:footer="1097" w:top="1460" w:bottom="280" w:left="560" w:right="560"/>
          <w:cols w:num="6" w:equalWidth="0">
            <w:col w:w="2027" w:space="2689"/>
            <w:col w:w="3057" w:space="995"/>
            <w:col w:w="2033" w:space="247"/>
            <w:col w:w="897" w:space="129"/>
            <w:col w:w="1183" w:space="157"/>
            <w:col w:w="1306"/>
          </w:cols>
        </w:sectPr>
      </w:pPr>
    </w:p>
    <w:p>
      <w:pPr>
        <w:pStyle w:val="BodyText"/>
        <w:spacing w:line="37" w:lineRule="exact"/>
        <w:ind w:left="169"/>
        <w:rPr>
          <w:sz w:val="3"/>
        </w:rPr>
      </w:pPr>
      <w:r>
        <w:rPr>
          <w:position w:val="0"/>
          <w:sz w:val="3"/>
        </w:rPr>
        <w:pict>
          <v:group style="width:720.2pt;height:1.9pt;mso-position-horizontal-relative:char;mso-position-vertical-relative:line" id="docshapegroup565" coordorigin="0,0" coordsize="14404,38">
            <v:rect style="position:absolute;left:0;top:0;width:14404;height:38" id="docshape566" filled="true" fillcolor="#231f20" stroked="false">
              <v:fill type="solid"/>
            </v:rect>
          </v:group>
        </w:pict>
      </w:r>
      <w:r>
        <w:rPr>
          <w:position w:val="0"/>
          <w:sz w:val="3"/>
        </w:rPr>
      </w:r>
    </w:p>
    <w:p>
      <w:pPr>
        <w:spacing w:before="112" w:after="27"/>
        <w:ind w:left="366" w:right="0" w:firstLine="0"/>
        <w:jc w:val="left"/>
        <w:rPr>
          <w:sz w:val="12"/>
        </w:rPr>
      </w:pPr>
      <w:r>
        <w:rPr>
          <w:color w:val="231F20"/>
          <w:sz w:val="12"/>
        </w:rPr>
        <w:t>Pass-</w:t>
      </w:r>
      <w:r>
        <w:rPr>
          <w:color w:val="231F20"/>
          <w:spacing w:val="-2"/>
          <w:w w:val="105"/>
          <w:sz w:val="12"/>
        </w:rPr>
        <w:t>through</w:t>
      </w:r>
    </w:p>
    <w:tbl>
      <w:tblPr>
        <w:tblW w:w="0" w:type="auto"/>
        <w:jc w:val="left"/>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42"/>
        <w:gridCol w:w="1420"/>
        <w:gridCol w:w="3066"/>
        <w:gridCol w:w="2169"/>
        <w:gridCol w:w="1400"/>
        <w:gridCol w:w="1133"/>
        <w:gridCol w:w="154"/>
        <w:gridCol w:w="1133"/>
      </w:tblGrid>
      <w:tr>
        <w:trPr>
          <w:trHeight w:val="159" w:hRule="atLeast"/>
        </w:trPr>
        <w:tc>
          <w:tcPr>
            <w:tcW w:w="3942" w:type="dxa"/>
          </w:tcPr>
          <w:p>
            <w:pPr>
              <w:pStyle w:val="TableParagraph"/>
              <w:spacing w:line="138" w:lineRule="exact" w:before="1"/>
              <w:ind w:left="373"/>
              <w:rPr>
                <w:sz w:val="12"/>
              </w:rPr>
            </w:pPr>
            <w:r>
              <w:rPr>
                <w:color w:val="231F20"/>
                <w:spacing w:val="-2"/>
                <w:w w:val="105"/>
                <w:sz w:val="12"/>
              </w:rPr>
              <w:t>Engineering</w:t>
            </w:r>
          </w:p>
        </w:tc>
        <w:tc>
          <w:tcPr>
            <w:tcW w:w="1420" w:type="dxa"/>
          </w:tcPr>
          <w:p>
            <w:pPr>
              <w:pStyle w:val="TableParagraph"/>
              <w:spacing w:line="132" w:lineRule="exact" w:before="7"/>
              <w:ind w:right="182"/>
              <w:jc w:val="right"/>
              <w:rPr>
                <w:sz w:val="12"/>
              </w:rPr>
            </w:pPr>
            <w:r>
              <w:rPr>
                <w:color w:val="231F20"/>
                <w:spacing w:val="-4"/>
                <w:w w:val="105"/>
                <w:sz w:val="12"/>
              </w:rPr>
              <w:t>MRUS</w:t>
            </w:r>
          </w:p>
        </w:tc>
        <w:tc>
          <w:tcPr>
            <w:tcW w:w="3066" w:type="dxa"/>
          </w:tcPr>
          <w:p>
            <w:pPr>
              <w:pStyle w:val="TableParagraph"/>
              <w:spacing w:line="138" w:lineRule="exact" w:before="1"/>
              <w:ind w:left="149"/>
              <w:rPr>
                <w:sz w:val="12"/>
              </w:rPr>
            </w:pPr>
            <w:r>
              <w:rPr>
                <w:color w:val="231F20"/>
                <w:w w:val="105"/>
                <w:sz w:val="12"/>
              </w:rPr>
              <w:t>University</w:t>
            </w:r>
            <w:r>
              <w:rPr>
                <w:color w:val="231F20"/>
                <w:spacing w:val="-7"/>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spacing w:val="-2"/>
                <w:w w:val="105"/>
                <w:sz w:val="12"/>
              </w:rPr>
              <w:t>Mexico</w:t>
            </w:r>
          </w:p>
        </w:tc>
        <w:tc>
          <w:tcPr>
            <w:tcW w:w="2169" w:type="dxa"/>
          </w:tcPr>
          <w:p>
            <w:pPr>
              <w:pStyle w:val="TableParagraph"/>
              <w:spacing w:line="138" w:lineRule="exact" w:before="1"/>
              <w:ind w:left="133"/>
              <w:rPr>
                <w:sz w:val="12"/>
              </w:rPr>
            </w:pPr>
            <w:r>
              <w:rPr>
                <w:color w:val="231F20"/>
                <w:sz w:val="12"/>
              </w:rPr>
              <w:t>358007-</w:t>
            </w:r>
            <w:r>
              <w:rPr>
                <w:color w:val="231F20"/>
                <w:spacing w:val="-4"/>
                <w:w w:val="105"/>
                <w:sz w:val="12"/>
              </w:rPr>
              <w:t>8746</w:t>
            </w:r>
          </w:p>
        </w:tc>
        <w:tc>
          <w:tcPr>
            <w:tcW w:w="1400" w:type="dxa"/>
          </w:tcPr>
          <w:p>
            <w:pPr>
              <w:pStyle w:val="TableParagraph"/>
              <w:spacing w:line="132" w:lineRule="exact" w:before="7"/>
              <w:ind w:right="385"/>
              <w:jc w:val="right"/>
              <w:rPr>
                <w:sz w:val="12"/>
              </w:rPr>
            </w:pPr>
            <w:r>
              <w:rPr>
                <w:color w:val="231F20"/>
                <w:spacing w:val="-2"/>
                <w:w w:val="105"/>
                <w:sz w:val="12"/>
              </w:rPr>
              <w:t>47.041</w:t>
            </w:r>
          </w:p>
        </w:tc>
        <w:tc>
          <w:tcPr>
            <w:tcW w:w="1133" w:type="dxa"/>
          </w:tcPr>
          <w:p>
            <w:pPr>
              <w:pStyle w:val="TableParagraph"/>
              <w:spacing w:line="132" w:lineRule="exact" w:before="7"/>
              <w:ind w:right="72"/>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7"/>
              <w:ind w:right="72"/>
              <w:jc w:val="right"/>
              <w:rPr>
                <w:sz w:val="12"/>
              </w:rPr>
            </w:pPr>
            <w:r>
              <w:rPr>
                <w:color w:val="231F20"/>
                <w:spacing w:val="-2"/>
                <w:w w:val="105"/>
                <w:sz w:val="12"/>
              </w:rPr>
              <w:t>13,221</w:t>
            </w:r>
          </w:p>
        </w:tc>
      </w:tr>
      <w:tr>
        <w:trPr>
          <w:trHeight w:val="171" w:hRule="atLeast"/>
        </w:trPr>
        <w:tc>
          <w:tcPr>
            <w:tcW w:w="3942" w:type="dxa"/>
          </w:tcPr>
          <w:p>
            <w:pPr>
              <w:pStyle w:val="TableParagraph"/>
              <w:spacing w:line="138" w:lineRule="exact" w:before="14"/>
              <w:ind w:left="373"/>
              <w:rPr>
                <w:sz w:val="12"/>
              </w:rPr>
            </w:pPr>
            <w:r>
              <w:rPr>
                <w:color w:val="231F20"/>
                <w:spacing w:val="-2"/>
                <w:w w:val="105"/>
                <w:sz w:val="12"/>
              </w:rPr>
              <w:t>Mathematical</w:t>
            </w:r>
            <w:r>
              <w:rPr>
                <w:color w:val="231F20"/>
                <w:spacing w:val="4"/>
                <w:w w:val="105"/>
                <w:sz w:val="12"/>
              </w:rPr>
              <w:t> </w:t>
            </w:r>
            <w:r>
              <w:rPr>
                <w:color w:val="231F20"/>
                <w:spacing w:val="-2"/>
                <w:w w:val="105"/>
                <w:sz w:val="12"/>
              </w:rPr>
              <w:t>and</w:t>
            </w:r>
            <w:r>
              <w:rPr>
                <w:color w:val="231F20"/>
                <w:spacing w:val="5"/>
                <w:w w:val="105"/>
                <w:sz w:val="12"/>
              </w:rPr>
              <w:t> </w:t>
            </w:r>
            <w:r>
              <w:rPr>
                <w:color w:val="231F20"/>
                <w:spacing w:val="-2"/>
                <w:w w:val="105"/>
                <w:sz w:val="12"/>
              </w:rPr>
              <w:t>Physical</w:t>
            </w:r>
            <w:r>
              <w:rPr>
                <w:color w:val="231F20"/>
                <w:spacing w:val="5"/>
                <w:w w:val="105"/>
                <w:sz w:val="12"/>
              </w:rPr>
              <w:t> </w:t>
            </w:r>
            <w:r>
              <w:rPr>
                <w:color w:val="231F20"/>
                <w:spacing w:val="-2"/>
                <w:w w:val="105"/>
                <w:sz w:val="12"/>
              </w:rPr>
              <w:t>Sciences</w:t>
            </w:r>
          </w:p>
        </w:tc>
        <w:tc>
          <w:tcPr>
            <w:tcW w:w="1420" w:type="dxa"/>
          </w:tcPr>
          <w:p>
            <w:pPr>
              <w:pStyle w:val="TableParagraph"/>
              <w:spacing w:line="132" w:lineRule="exact" w:before="20"/>
              <w:ind w:right="200"/>
              <w:jc w:val="right"/>
              <w:rPr>
                <w:sz w:val="12"/>
              </w:rPr>
            </w:pPr>
            <w:r>
              <w:rPr>
                <w:color w:val="231F20"/>
                <w:spacing w:val="-4"/>
                <w:w w:val="105"/>
                <w:sz w:val="12"/>
              </w:rPr>
              <w:t>MTYL</w:t>
            </w:r>
          </w:p>
        </w:tc>
        <w:tc>
          <w:tcPr>
            <w:tcW w:w="3066" w:type="dxa"/>
          </w:tcPr>
          <w:p>
            <w:pPr>
              <w:pStyle w:val="TableParagraph"/>
              <w:spacing w:line="138" w:lineRule="exact" w:before="14"/>
              <w:ind w:left="149"/>
              <w:rPr>
                <w:sz w:val="12"/>
              </w:rPr>
            </w:pPr>
            <w:r>
              <w:rPr>
                <w:color w:val="231F20"/>
                <w:spacing w:val="-2"/>
                <w:w w:val="105"/>
                <w:sz w:val="12"/>
              </w:rPr>
              <w:t>National</w:t>
            </w:r>
            <w:r>
              <w:rPr>
                <w:color w:val="231F20"/>
                <w:spacing w:val="5"/>
                <w:w w:val="105"/>
                <w:sz w:val="12"/>
              </w:rPr>
              <w:t> </w:t>
            </w:r>
            <w:r>
              <w:rPr>
                <w:color w:val="231F20"/>
                <w:spacing w:val="-2"/>
                <w:w w:val="105"/>
                <w:sz w:val="12"/>
              </w:rPr>
              <w:t>Radio</w:t>
            </w:r>
            <w:r>
              <w:rPr>
                <w:color w:val="231F20"/>
                <w:spacing w:val="6"/>
                <w:w w:val="105"/>
                <w:sz w:val="12"/>
              </w:rPr>
              <w:t> </w:t>
            </w:r>
            <w:r>
              <w:rPr>
                <w:color w:val="231F20"/>
                <w:spacing w:val="-2"/>
                <w:w w:val="105"/>
                <w:sz w:val="12"/>
              </w:rPr>
              <w:t>Astronomy</w:t>
            </w:r>
            <w:r>
              <w:rPr>
                <w:color w:val="231F20"/>
                <w:spacing w:val="5"/>
                <w:w w:val="105"/>
                <w:sz w:val="12"/>
              </w:rPr>
              <w:t> </w:t>
            </w:r>
            <w:r>
              <w:rPr>
                <w:color w:val="231F20"/>
                <w:spacing w:val="-2"/>
                <w:w w:val="105"/>
                <w:sz w:val="12"/>
              </w:rPr>
              <w:t>Observatory</w:t>
            </w:r>
          </w:p>
        </w:tc>
        <w:tc>
          <w:tcPr>
            <w:tcW w:w="2169" w:type="dxa"/>
          </w:tcPr>
          <w:p>
            <w:pPr>
              <w:pStyle w:val="TableParagraph"/>
              <w:spacing w:line="138" w:lineRule="exact" w:before="14"/>
              <w:ind w:left="133"/>
              <w:rPr>
                <w:sz w:val="12"/>
              </w:rPr>
            </w:pPr>
            <w:r>
              <w:rPr>
                <w:color w:val="231F20"/>
                <w:w w:val="105"/>
                <w:sz w:val="12"/>
              </w:rPr>
              <w:t>PO</w:t>
            </w:r>
            <w:r>
              <w:rPr>
                <w:color w:val="231F20"/>
                <w:spacing w:val="-2"/>
                <w:w w:val="105"/>
                <w:sz w:val="12"/>
              </w:rPr>
              <w:t> 370274</w:t>
            </w:r>
          </w:p>
        </w:tc>
        <w:tc>
          <w:tcPr>
            <w:tcW w:w="1400" w:type="dxa"/>
          </w:tcPr>
          <w:p>
            <w:pPr>
              <w:pStyle w:val="TableParagraph"/>
              <w:spacing w:line="132" w:lineRule="exact" w:before="20"/>
              <w:ind w:right="385"/>
              <w:jc w:val="right"/>
              <w:rPr>
                <w:sz w:val="12"/>
              </w:rPr>
            </w:pPr>
            <w:r>
              <w:rPr>
                <w:color w:val="231F20"/>
                <w:spacing w:val="-2"/>
                <w:w w:val="105"/>
                <w:sz w:val="12"/>
              </w:rPr>
              <w:t>47.049</w:t>
            </w:r>
          </w:p>
        </w:tc>
        <w:tc>
          <w:tcPr>
            <w:tcW w:w="1133" w:type="dxa"/>
          </w:tcPr>
          <w:p>
            <w:pPr>
              <w:pStyle w:val="TableParagraph"/>
              <w:spacing w:line="132" w:lineRule="exact" w:before="20"/>
              <w:ind w:right="72"/>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2"/>
              <w:jc w:val="right"/>
              <w:rPr>
                <w:sz w:val="12"/>
              </w:rPr>
            </w:pPr>
            <w:r>
              <w:rPr>
                <w:color w:val="231F20"/>
                <w:spacing w:val="-2"/>
                <w:w w:val="105"/>
                <w:sz w:val="12"/>
              </w:rPr>
              <w:t>37,810</w:t>
            </w:r>
          </w:p>
        </w:tc>
      </w:tr>
      <w:tr>
        <w:trPr>
          <w:trHeight w:val="171" w:hRule="atLeast"/>
        </w:trPr>
        <w:tc>
          <w:tcPr>
            <w:tcW w:w="3942" w:type="dxa"/>
          </w:tcPr>
          <w:p>
            <w:pPr>
              <w:pStyle w:val="TableParagraph"/>
              <w:spacing w:line="138" w:lineRule="exact" w:before="14"/>
              <w:ind w:left="373"/>
              <w:rPr>
                <w:sz w:val="12"/>
              </w:rPr>
            </w:pPr>
            <w:r>
              <w:rPr>
                <w:color w:val="231F20"/>
                <w:spacing w:val="-2"/>
                <w:w w:val="105"/>
                <w:sz w:val="12"/>
              </w:rPr>
              <w:t>Mathematical</w:t>
            </w:r>
            <w:r>
              <w:rPr>
                <w:color w:val="231F20"/>
                <w:spacing w:val="4"/>
                <w:w w:val="105"/>
                <w:sz w:val="12"/>
              </w:rPr>
              <w:t> </w:t>
            </w:r>
            <w:r>
              <w:rPr>
                <w:color w:val="231F20"/>
                <w:spacing w:val="-2"/>
                <w:w w:val="105"/>
                <w:sz w:val="12"/>
              </w:rPr>
              <w:t>and</w:t>
            </w:r>
            <w:r>
              <w:rPr>
                <w:color w:val="231F20"/>
                <w:spacing w:val="5"/>
                <w:w w:val="105"/>
                <w:sz w:val="12"/>
              </w:rPr>
              <w:t> </w:t>
            </w:r>
            <w:r>
              <w:rPr>
                <w:color w:val="231F20"/>
                <w:spacing w:val="-2"/>
                <w:w w:val="105"/>
                <w:sz w:val="12"/>
              </w:rPr>
              <w:t>Physical</w:t>
            </w:r>
            <w:r>
              <w:rPr>
                <w:color w:val="231F20"/>
                <w:spacing w:val="5"/>
                <w:w w:val="105"/>
                <w:sz w:val="12"/>
              </w:rPr>
              <w:t> </w:t>
            </w:r>
            <w:r>
              <w:rPr>
                <w:color w:val="231F20"/>
                <w:spacing w:val="-2"/>
                <w:w w:val="105"/>
                <w:sz w:val="12"/>
              </w:rPr>
              <w:t>Sciences</w:t>
            </w:r>
          </w:p>
        </w:tc>
        <w:tc>
          <w:tcPr>
            <w:tcW w:w="1420" w:type="dxa"/>
          </w:tcPr>
          <w:p>
            <w:pPr>
              <w:pStyle w:val="TableParagraph"/>
              <w:spacing w:line="132" w:lineRule="exact" w:before="20"/>
              <w:ind w:right="184"/>
              <w:jc w:val="right"/>
              <w:rPr>
                <w:sz w:val="12"/>
              </w:rPr>
            </w:pPr>
            <w:r>
              <w:rPr>
                <w:color w:val="231F20"/>
                <w:spacing w:val="-4"/>
                <w:w w:val="105"/>
                <w:sz w:val="12"/>
              </w:rPr>
              <w:t>MDTC</w:t>
            </w:r>
          </w:p>
        </w:tc>
        <w:tc>
          <w:tcPr>
            <w:tcW w:w="3066" w:type="dxa"/>
          </w:tcPr>
          <w:p>
            <w:pPr>
              <w:pStyle w:val="TableParagraph"/>
              <w:rPr>
                <w:rFonts w:ascii="Times New Roman"/>
                <w:sz w:val="10"/>
              </w:rPr>
            </w:pPr>
          </w:p>
        </w:tc>
        <w:tc>
          <w:tcPr>
            <w:tcW w:w="2169" w:type="dxa"/>
          </w:tcPr>
          <w:p>
            <w:pPr>
              <w:pStyle w:val="TableParagraph"/>
              <w:spacing w:line="138" w:lineRule="exact" w:before="14"/>
              <w:ind w:left="133"/>
              <w:rPr>
                <w:sz w:val="12"/>
              </w:rPr>
            </w:pPr>
            <w:r>
              <w:rPr>
                <w:color w:val="231F20"/>
                <w:w w:val="105"/>
                <w:sz w:val="12"/>
              </w:rPr>
              <w:t>PO</w:t>
            </w:r>
            <w:r>
              <w:rPr>
                <w:color w:val="231F20"/>
                <w:spacing w:val="-3"/>
                <w:w w:val="105"/>
                <w:sz w:val="12"/>
              </w:rPr>
              <w:t> </w:t>
            </w:r>
            <w:r>
              <w:rPr>
                <w:color w:val="231F20"/>
                <w:spacing w:val="-2"/>
                <w:w w:val="105"/>
                <w:sz w:val="12"/>
              </w:rPr>
              <w:t>374753</w:t>
            </w:r>
          </w:p>
        </w:tc>
        <w:tc>
          <w:tcPr>
            <w:tcW w:w="1400" w:type="dxa"/>
          </w:tcPr>
          <w:p>
            <w:pPr>
              <w:pStyle w:val="TableParagraph"/>
              <w:spacing w:line="132" w:lineRule="exact" w:before="20"/>
              <w:ind w:right="385"/>
              <w:jc w:val="right"/>
              <w:rPr>
                <w:sz w:val="12"/>
              </w:rPr>
            </w:pPr>
            <w:r>
              <w:rPr>
                <w:color w:val="231F20"/>
                <w:spacing w:val="-2"/>
                <w:w w:val="105"/>
                <w:sz w:val="12"/>
              </w:rPr>
              <w:t>47.049</w:t>
            </w:r>
          </w:p>
        </w:tc>
        <w:tc>
          <w:tcPr>
            <w:tcW w:w="1133" w:type="dxa"/>
          </w:tcPr>
          <w:p>
            <w:pPr>
              <w:pStyle w:val="TableParagraph"/>
              <w:spacing w:line="132" w:lineRule="exact" w:before="20"/>
              <w:ind w:right="72"/>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3"/>
              <w:jc w:val="right"/>
              <w:rPr>
                <w:sz w:val="12"/>
              </w:rPr>
            </w:pPr>
            <w:r>
              <w:rPr>
                <w:color w:val="231F20"/>
                <w:spacing w:val="-2"/>
                <w:w w:val="105"/>
                <w:sz w:val="12"/>
              </w:rPr>
              <w:t>1,349</w:t>
            </w:r>
          </w:p>
        </w:tc>
      </w:tr>
      <w:tr>
        <w:trPr>
          <w:trHeight w:val="172" w:hRule="atLeast"/>
        </w:trPr>
        <w:tc>
          <w:tcPr>
            <w:tcW w:w="3942" w:type="dxa"/>
          </w:tcPr>
          <w:p>
            <w:pPr>
              <w:pStyle w:val="TableParagraph"/>
              <w:spacing w:before="14"/>
              <w:ind w:left="373"/>
              <w:rPr>
                <w:sz w:val="12"/>
              </w:rPr>
            </w:pPr>
            <w:r>
              <w:rPr>
                <w:color w:val="231F20"/>
                <w:spacing w:val="-2"/>
                <w:w w:val="105"/>
                <w:sz w:val="12"/>
              </w:rPr>
              <w:t>Mathematical</w:t>
            </w:r>
            <w:r>
              <w:rPr>
                <w:color w:val="231F20"/>
                <w:spacing w:val="4"/>
                <w:w w:val="105"/>
                <w:sz w:val="12"/>
              </w:rPr>
              <w:t> </w:t>
            </w:r>
            <w:r>
              <w:rPr>
                <w:color w:val="231F20"/>
                <w:spacing w:val="-2"/>
                <w:w w:val="105"/>
                <w:sz w:val="12"/>
              </w:rPr>
              <w:t>and</w:t>
            </w:r>
            <w:r>
              <w:rPr>
                <w:color w:val="231F20"/>
                <w:spacing w:val="5"/>
                <w:w w:val="105"/>
                <w:sz w:val="12"/>
              </w:rPr>
              <w:t> </w:t>
            </w:r>
            <w:r>
              <w:rPr>
                <w:color w:val="231F20"/>
                <w:spacing w:val="-2"/>
                <w:w w:val="105"/>
                <w:sz w:val="12"/>
              </w:rPr>
              <w:t>Physical</w:t>
            </w:r>
            <w:r>
              <w:rPr>
                <w:color w:val="231F20"/>
                <w:spacing w:val="5"/>
                <w:w w:val="105"/>
                <w:sz w:val="12"/>
              </w:rPr>
              <w:t> </w:t>
            </w:r>
            <w:r>
              <w:rPr>
                <w:color w:val="231F20"/>
                <w:spacing w:val="-2"/>
                <w:w w:val="105"/>
                <w:sz w:val="12"/>
              </w:rPr>
              <w:t>Sciences</w:t>
            </w:r>
          </w:p>
        </w:tc>
        <w:tc>
          <w:tcPr>
            <w:tcW w:w="1420" w:type="dxa"/>
          </w:tcPr>
          <w:p>
            <w:pPr>
              <w:pStyle w:val="TableParagraph"/>
              <w:spacing w:line="132" w:lineRule="exact" w:before="20"/>
              <w:ind w:right="189"/>
              <w:jc w:val="right"/>
              <w:rPr>
                <w:sz w:val="12"/>
              </w:rPr>
            </w:pPr>
            <w:r>
              <w:rPr>
                <w:color w:val="231F20"/>
                <w:spacing w:val="-4"/>
                <w:w w:val="105"/>
                <w:sz w:val="12"/>
              </w:rPr>
              <w:t>MGJD</w:t>
            </w:r>
          </w:p>
        </w:tc>
        <w:tc>
          <w:tcPr>
            <w:tcW w:w="3066" w:type="dxa"/>
          </w:tcPr>
          <w:p>
            <w:pPr>
              <w:pStyle w:val="TableParagraph"/>
              <w:spacing w:before="14"/>
              <w:ind w:left="149"/>
              <w:rPr>
                <w:sz w:val="12"/>
              </w:rPr>
            </w:pPr>
            <w:r>
              <w:rPr>
                <w:color w:val="231F20"/>
                <w:spacing w:val="-2"/>
                <w:w w:val="105"/>
                <w:sz w:val="12"/>
              </w:rPr>
              <w:t>National</w:t>
            </w:r>
            <w:r>
              <w:rPr>
                <w:color w:val="231F20"/>
                <w:spacing w:val="4"/>
                <w:w w:val="105"/>
                <w:sz w:val="12"/>
              </w:rPr>
              <w:t> </w:t>
            </w:r>
            <w:r>
              <w:rPr>
                <w:color w:val="231F20"/>
                <w:spacing w:val="-2"/>
                <w:w w:val="105"/>
                <w:sz w:val="12"/>
              </w:rPr>
              <w:t>Radio</w:t>
            </w:r>
            <w:r>
              <w:rPr>
                <w:color w:val="231F20"/>
                <w:spacing w:val="6"/>
                <w:w w:val="105"/>
                <w:sz w:val="12"/>
              </w:rPr>
              <w:t> </w:t>
            </w:r>
            <w:r>
              <w:rPr>
                <w:color w:val="231F20"/>
                <w:spacing w:val="-2"/>
                <w:w w:val="105"/>
                <w:sz w:val="12"/>
              </w:rPr>
              <w:t>Astronomy</w:t>
            </w:r>
            <w:r>
              <w:rPr>
                <w:color w:val="231F20"/>
                <w:spacing w:val="4"/>
                <w:w w:val="105"/>
                <w:sz w:val="12"/>
              </w:rPr>
              <w:t> </w:t>
            </w:r>
            <w:r>
              <w:rPr>
                <w:color w:val="231F20"/>
                <w:spacing w:val="-2"/>
                <w:w w:val="105"/>
                <w:sz w:val="12"/>
              </w:rPr>
              <w:t>Observatory</w:t>
            </w:r>
          </w:p>
        </w:tc>
        <w:tc>
          <w:tcPr>
            <w:tcW w:w="2169" w:type="dxa"/>
          </w:tcPr>
          <w:p>
            <w:pPr>
              <w:pStyle w:val="TableParagraph"/>
              <w:spacing w:before="14"/>
              <w:ind w:left="132"/>
              <w:rPr>
                <w:sz w:val="12"/>
              </w:rPr>
            </w:pPr>
            <w:r>
              <w:rPr>
                <w:color w:val="231F20"/>
                <w:spacing w:val="-2"/>
                <w:w w:val="105"/>
                <w:sz w:val="12"/>
              </w:rPr>
              <w:t>1519126</w:t>
            </w:r>
          </w:p>
        </w:tc>
        <w:tc>
          <w:tcPr>
            <w:tcW w:w="1400" w:type="dxa"/>
          </w:tcPr>
          <w:p>
            <w:pPr>
              <w:pStyle w:val="TableParagraph"/>
              <w:spacing w:line="132" w:lineRule="exact" w:before="20"/>
              <w:ind w:right="385"/>
              <w:jc w:val="right"/>
              <w:rPr>
                <w:sz w:val="12"/>
              </w:rPr>
            </w:pPr>
            <w:r>
              <w:rPr>
                <w:color w:val="231F20"/>
                <w:spacing w:val="-2"/>
                <w:w w:val="105"/>
                <w:sz w:val="12"/>
              </w:rPr>
              <w:t>47.049</w:t>
            </w:r>
          </w:p>
        </w:tc>
        <w:tc>
          <w:tcPr>
            <w:tcW w:w="1133" w:type="dxa"/>
          </w:tcPr>
          <w:p>
            <w:pPr>
              <w:pStyle w:val="TableParagraph"/>
              <w:spacing w:line="132" w:lineRule="exact" w:before="20"/>
              <w:ind w:right="72"/>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3"/>
              <w:jc w:val="right"/>
              <w:rPr>
                <w:sz w:val="12"/>
              </w:rPr>
            </w:pPr>
            <w:r>
              <w:rPr>
                <w:color w:val="231F20"/>
                <w:spacing w:val="-2"/>
                <w:w w:val="105"/>
                <w:sz w:val="12"/>
              </w:rPr>
              <w:t>5,861</w:t>
            </w:r>
          </w:p>
        </w:tc>
      </w:tr>
      <w:tr>
        <w:trPr>
          <w:trHeight w:val="172" w:hRule="atLeast"/>
        </w:trPr>
        <w:tc>
          <w:tcPr>
            <w:tcW w:w="3942" w:type="dxa"/>
          </w:tcPr>
          <w:p>
            <w:pPr>
              <w:pStyle w:val="TableParagraph"/>
              <w:spacing w:line="138" w:lineRule="exact" w:before="14"/>
              <w:ind w:left="372"/>
              <w:rPr>
                <w:sz w:val="12"/>
              </w:rPr>
            </w:pPr>
            <w:r>
              <w:rPr>
                <w:color w:val="231F20"/>
                <w:spacing w:val="-2"/>
                <w:w w:val="105"/>
                <w:sz w:val="12"/>
              </w:rPr>
              <w:t>Mathematical</w:t>
            </w:r>
            <w:r>
              <w:rPr>
                <w:color w:val="231F20"/>
                <w:spacing w:val="4"/>
                <w:w w:val="105"/>
                <w:sz w:val="12"/>
              </w:rPr>
              <w:t> </w:t>
            </w:r>
            <w:r>
              <w:rPr>
                <w:color w:val="231F20"/>
                <w:spacing w:val="-2"/>
                <w:w w:val="105"/>
                <w:sz w:val="12"/>
              </w:rPr>
              <w:t>and</w:t>
            </w:r>
            <w:r>
              <w:rPr>
                <w:color w:val="231F20"/>
                <w:spacing w:val="5"/>
                <w:w w:val="105"/>
                <w:sz w:val="12"/>
              </w:rPr>
              <w:t> </w:t>
            </w:r>
            <w:r>
              <w:rPr>
                <w:color w:val="231F20"/>
                <w:spacing w:val="-2"/>
                <w:w w:val="105"/>
                <w:sz w:val="12"/>
              </w:rPr>
              <w:t>Physical</w:t>
            </w:r>
            <w:r>
              <w:rPr>
                <w:color w:val="231F20"/>
                <w:spacing w:val="5"/>
                <w:w w:val="105"/>
                <w:sz w:val="12"/>
              </w:rPr>
              <w:t> </w:t>
            </w:r>
            <w:r>
              <w:rPr>
                <w:color w:val="231F20"/>
                <w:spacing w:val="-2"/>
                <w:w w:val="105"/>
                <w:sz w:val="12"/>
              </w:rPr>
              <w:t>Sciences</w:t>
            </w:r>
          </w:p>
        </w:tc>
        <w:tc>
          <w:tcPr>
            <w:tcW w:w="1420" w:type="dxa"/>
          </w:tcPr>
          <w:p>
            <w:pPr>
              <w:pStyle w:val="TableParagraph"/>
              <w:spacing w:line="132" w:lineRule="exact" w:before="20"/>
              <w:ind w:right="185"/>
              <w:jc w:val="right"/>
              <w:rPr>
                <w:sz w:val="12"/>
              </w:rPr>
            </w:pPr>
            <w:r>
              <w:rPr>
                <w:color w:val="231F20"/>
                <w:spacing w:val="-4"/>
                <w:w w:val="105"/>
                <w:sz w:val="12"/>
              </w:rPr>
              <w:t>MNTD</w:t>
            </w:r>
          </w:p>
        </w:tc>
        <w:tc>
          <w:tcPr>
            <w:tcW w:w="3066" w:type="dxa"/>
          </w:tcPr>
          <w:p>
            <w:pPr>
              <w:pStyle w:val="TableParagraph"/>
              <w:spacing w:line="138" w:lineRule="exact" w:before="14"/>
              <w:ind w:left="149"/>
              <w:rPr>
                <w:sz w:val="12"/>
              </w:rPr>
            </w:pPr>
            <w:r>
              <w:rPr>
                <w:color w:val="231F20"/>
                <w:spacing w:val="-2"/>
                <w:w w:val="105"/>
                <w:sz w:val="12"/>
              </w:rPr>
              <w:t>National</w:t>
            </w:r>
            <w:r>
              <w:rPr>
                <w:color w:val="231F20"/>
                <w:spacing w:val="5"/>
                <w:w w:val="105"/>
                <w:sz w:val="12"/>
              </w:rPr>
              <w:t> </w:t>
            </w:r>
            <w:r>
              <w:rPr>
                <w:color w:val="231F20"/>
                <w:spacing w:val="-2"/>
                <w:w w:val="105"/>
                <w:sz w:val="12"/>
              </w:rPr>
              <w:t>Radio</w:t>
            </w:r>
            <w:r>
              <w:rPr>
                <w:color w:val="231F20"/>
                <w:spacing w:val="6"/>
                <w:w w:val="105"/>
                <w:sz w:val="12"/>
              </w:rPr>
              <w:t> </w:t>
            </w:r>
            <w:r>
              <w:rPr>
                <w:color w:val="231F20"/>
                <w:spacing w:val="-2"/>
                <w:w w:val="105"/>
                <w:sz w:val="12"/>
              </w:rPr>
              <w:t>Astronomy</w:t>
            </w:r>
            <w:r>
              <w:rPr>
                <w:color w:val="231F20"/>
                <w:spacing w:val="5"/>
                <w:w w:val="105"/>
                <w:sz w:val="12"/>
              </w:rPr>
              <w:t> </w:t>
            </w:r>
            <w:r>
              <w:rPr>
                <w:color w:val="231F20"/>
                <w:spacing w:val="-2"/>
                <w:w w:val="105"/>
                <w:sz w:val="12"/>
              </w:rPr>
              <w:t>Observatory</w:t>
            </w:r>
          </w:p>
        </w:tc>
        <w:tc>
          <w:tcPr>
            <w:tcW w:w="2169" w:type="dxa"/>
          </w:tcPr>
          <w:p>
            <w:pPr>
              <w:pStyle w:val="TableParagraph"/>
              <w:spacing w:line="138" w:lineRule="exact" w:before="14"/>
              <w:ind w:left="133"/>
              <w:rPr>
                <w:sz w:val="12"/>
              </w:rPr>
            </w:pPr>
            <w:r>
              <w:rPr>
                <w:color w:val="231F20"/>
                <w:spacing w:val="-2"/>
                <w:w w:val="105"/>
                <w:sz w:val="12"/>
              </w:rPr>
              <w:t>367864</w:t>
            </w:r>
          </w:p>
        </w:tc>
        <w:tc>
          <w:tcPr>
            <w:tcW w:w="1400" w:type="dxa"/>
          </w:tcPr>
          <w:p>
            <w:pPr>
              <w:pStyle w:val="TableParagraph"/>
              <w:spacing w:line="132" w:lineRule="exact" w:before="20"/>
              <w:ind w:right="385"/>
              <w:jc w:val="right"/>
              <w:rPr>
                <w:sz w:val="12"/>
              </w:rPr>
            </w:pPr>
            <w:r>
              <w:rPr>
                <w:color w:val="231F20"/>
                <w:spacing w:val="-2"/>
                <w:w w:val="105"/>
                <w:sz w:val="12"/>
              </w:rPr>
              <w:t>47.049</w:t>
            </w:r>
          </w:p>
        </w:tc>
        <w:tc>
          <w:tcPr>
            <w:tcW w:w="1133" w:type="dxa"/>
          </w:tcPr>
          <w:p>
            <w:pPr>
              <w:pStyle w:val="TableParagraph"/>
              <w:spacing w:line="132" w:lineRule="exact" w:before="20"/>
              <w:ind w:right="72"/>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3"/>
              <w:jc w:val="right"/>
              <w:rPr>
                <w:sz w:val="12"/>
              </w:rPr>
            </w:pPr>
            <w:r>
              <w:rPr>
                <w:color w:val="231F20"/>
                <w:spacing w:val="-2"/>
                <w:w w:val="105"/>
                <w:sz w:val="12"/>
              </w:rPr>
              <w:t>5,610</w:t>
            </w:r>
          </w:p>
        </w:tc>
      </w:tr>
      <w:tr>
        <w:trPr>
          <w:trHeight w:val="171" w:hRule="atLeast"/>
        </w:trPr>
        <w:tc>
          <w:tcPr>
            <w:tcW w:w="3942" w:type="dxa"/>
          </w:tcPr>
          <w:p>
            <w:pPr>
              <w:pStyle w:val="TableParagraph"/>
              <w:spacing w:line="138" w:lineRule="exact" w:before="14"/>
              <w:ind w:left="372"/>
              <w:rPr>
                <w:sz w:val="12"/>
              </w:rPr>
            </w:pPr>
            <w:r>
              <w:rPr>
                <w:color w:val="231F20"/>
                <w:spacing w:val="-2"/>
                <w:w w:val="105"/>
                <w:sz w:val="12"/>
              </w:rPr>
              <w:t>Mathematical</w:t>
            </w:r>
            <w:r>
              <w:rPr>
                <w:color w:val="231F20"/>
                <w:spacing w:val="4"/>
                <w:w w:val="105"/>
                <w:sz w:val="12"/>
              </w:rPr>
              <w:t> </w:t>
            </w:r>
            <w:r>
              <w:rPr>
                <w:color w:val="231F20"/>
                <w:spacing w:val="-2"/>
                <w:w w:val="105"/>
                <w:sz w:val="12"/>
              </w:rPr>
              <w:t>and</w:t>
            </w:r>
            <w:r>
              <w:rPr>
                <w:color w:val="231F20"/>
                <w:spacing w:val="5"/>
                <w:w w:val="105"/>
                <w:sz w:val="12"/>
              </w:rPr>
              <w:t> </w:t>
            </w:r>
            <w:r>
              <w:rPr>
                <w:color w:val="231F20"/>
                <w:spacing w:val="-2"/>
                <w:w w:val="105"/>
                <w:sz w:val="12"/>
              </w:rPr>
              <w:t>Physical</w:t>
            </w:r>
            <w:r>
              <w:rPr>
                <w:color w:val="231F20"/>
                <w:spacing w:val="5"/>
                <w:w w:val="105"/>
                <w:sz w:val="12"/>
              </w:rPr>
              <w:t> </w:t>
            </w:r>
            <w:r>
              <w:rPr>
                <w:color w:val="231F20"/>
                <w:spacing w:val="-2"/>
                <w:w w:val="105"/>
                <w:sz w:val="12"/>
              </w:rPr>
              <w:t>Sciences</w:t>
            </w:r>
          </w:p>
        </w:tc>
        <w:tc>
          <w:tcPr>
            <w:tcW w:w="1420" w:type="dxa"/>
          </w:tcPr>
          <w:p>
            <w:pPr>
              <w:pStyle w:val="TableParagraph"/>
              <w:spacing w:line="132" w:lineRule="exact" w:before="20"/>
              <w:ind w:right="188"/>
              <w:jc w:val="right"/>
              <w:rPr>
                <w:sz w:val="12"/>
              </w:rPr>
            </w:pPr>
            <w:r>
              <w:rPr>
                <w:color w:val="231F20"/>
                <w:spacing w:val="-4"/>
                <w:w w:val="105"/>
                <w:sz w:val="12"/>
              </w:rPr>
              <w:t>MNTE</w:t>
            </w:r>
          </w:p>
        </w:tc>
        <w:tc>
          <w:tcPr>
            <w:tcW w:w="3066" w:type="dxa"/>
          </w:tcPr>
          <w:p>
            <w:pPr>
              <w:pStyle w:val="TableParagraph"/>
              <w:spacing w:line="138" w:lineRule="exact" w:before="14"/>
              <w:ind w:left="149"/>
              <w:rPr>
                <w:sz w:val="12"/>
              </w:rPr>
            </w:pPr>
            <w:r>
              <w:rPr>
                <w:color w:val="231F20"/>
                <w:spacing w:val="-2"/>
                <w:w w:val="105"/>
                <w:sz w:val="12"/>
              </w:rPr>
              <w:t>National</w:t>
            </w:r>
            <w:r>
              <w:rPr>
                <w:color w:val="231F20"/>
                <w:spacing w:val="4"/>
                <w:w w:val="105"/>
                <w:sz w:val="12"/>
              </w:rPr>
              <w:t> </w:t>
            </w:r>
            <w:r>
              <w:rPr>
                <w:color w:val="231F20"/>
                <w:spacing w:val="-2"/>
                <w:w w:val="105"/>
                <w:sz w:val="12"/>
              </w:rPr>
              <w:t>Radio</w:t>
            </w:r>
            <w:r>
              <w:rPr>
                <w:color w:val="231F20"/>
                <w:spacing w:val="6"/>
                <w:w w:val="105"/>
                <w:sz w:val="12"/>
              </w:rPr>
              <w:t> </w:t>
            </w:r>
            <w:r>
              <w:rPr>
                <w:color w:val="231F20"/>
                <w:spacing w:val="-2"/>
                <w:w w:val="105"/>
                <w:sz w:val="12"/>
              </w:rPr>
              <w:t>Astronomy</w:t>
            </w:r>
            <w:r>
              <w:rPr>
                <w:color w:val="231F20"/>
                <w:spacing w:val="4"/>
                <w:w w:val="105"/>
                <w:sz w:val="12"/>
              </w:rPr>
              <w:t> </w:t>
            </w:r>
            <w:r>
              <w:rPr>
                <w:color w:val="231F20"/>
                <w:spacing w:val="-2"/>
                <w:w w:val="105"/>
                <w:sz w:val="12"/>
              </w:rPr>
              <w:t>Observatory</w:t>
            </w:r>
          </w:p>
        </w:tc>
        <w:tc>
          <w:tcPr>
            <w:tcW w:w="2169" w:type="dxa"/>
          </w:tcPr>
          <w:p>
            <w:pPr>
              <w:pStyle w:val="TableParagraph"/>
              <w:spacing w:line="138" w:lineRule="exact" w:before="14"/>
              <w:ind w:left="132"/>
              <w:rPr>
                <w:sz w:val="12"/>
              </w:rPr>
            </w:pPr>
            <w:r>
              <w:rPr>
                <w:color w:val="231F20"/>
                <w:w w:val="105"/>
                <w:sz w:val="12"/>
              </w:rPr>
              <w:t>PO</w:t>
            </w:r>
            <w:r>
              <w:rPr>
                <w:color w:val="231F20"/>
                <w:spacing w:val="-2"/>
                <w:w w:val="105"/>
                <w:sz w:val="12"/>
              </w:rPr>
              <w:t> 369461</w:t>
            </w:r>
          </w:p>
        </w:tc>
        <w:tc>
          <w:tcPr>
            <w:tcW w:w="1400" w:type="dxa"/>
          </w:tcPr>
          <w:p>
            <w:pPr>
              <w:pStyle w:val="TableParagraph"/>
              <w:spacing w:line="132" w:lineRule="exact" w:before="20"/>
              <w:ind w:right="385"/>
              <w:jc w:val="right"/>
              <w:rPr>
                <w:sz w:val="12"/>
              </w:rPr>
            </w:pPr>
            <w:r>
              <w:rPr>
                <w:color w:val="231F20"/>
                <w:spacing w:val="-2"/>
                <w:w w:val="105"/>
                <w:sz w:val="12"/>
              </w:rPr>
              <w:t>47.049</w:t>
            </w:r>
          </w:p>
        </w:tc>
        <w:tc>
          <w:tcPr>
            <w:tcW w:w="1133" w:type="dxa"/>
          </w:tcPr>
          <w:p>
            <w:pPr>
              <w:pStyle w:val="TableParagraph"/>
              <w:spacing w:line="132" w:lineRule="exact" w:before="20"/>
              <w:ind w:right="72"/>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3"/>
              <w:jc w:val="right"/>
              <w:rPr>
                <w:sz w:val="12"/>
              </w:rPr>
            </w:pPr>
            <w:r>
              <w:rPr>
                <w:color w:val="231F20"/>
                <w:spacing w:val="-2"/>
                <w:w w:val="105"/>
                <w:sz w:val="12"/>
              </w:rPr>
              <w:t>32,737</w:t>
            </w:r>
          </w:p>
        </w:tc>
      </w:tr>
      <w:tr>
        <w:trPr>
          <w:trHeight w:val="171" w:hRule="atLeast"/>
        </w:trPr>
        <w:tc>
          <w:tcPr>
            <w:tcW w:w="3942" w:type="dxa"/>
          </w:tcPr>
          <w:p>
            <w:pPr>
              <w:pStyle w:val="TableParagraph"/>
              <w:spacing w:line="138" w:lineRule="exact" w:before="14"/>
              <w:ind w:left="372"/>
              <w:rPr>
                <w:sz w:val="12"/>
              </w:rPr>
            </w:pPr>
            <w:r>
              <w:rPr>
                <w:color w:val="231F20"/>
                <w:spacing w:val="-2"/>
                <w:w w:val="105"/>
                <w:sz w:val="12"/>
              </w:rPr>
              <w:t>Geosciences</w:t>
            </w:r>
          </w:p>
        </w:tc>
        <w:tc>
          <w:tcPr>
            <w:tcW w:w="1420" w:type="dxa"/>
          </w:tcPr>
          <w:p>
            <w:pPr>
              <w:pStyle w:val="TableParagraph"/>
              <w:spacing w:line="132" w:lineRule="exact" w:before="20"/>
              <w:ind w:right="207"/>
              <w:jc w:val="right"/>
              <w:rPr>
                <w:sz w:val="12"/>
              </w:rPr>
            </w:pPr>
            <w:r>
              <w:rPr>
                <w:color w:val="231F20"/>
                <w:spacing w:val="-4"/>
                <w:w w:val="105"/>
                <w:sz w:val="12"/>
              </w:rPr>
              <w:t>MEIG</w:t>
            </w:r>
          </w:p>
        </w:tc>
        <w:tc>
          <w:tcPr>
            <w:tcW w:w="3066" w:type="dxa"/>
          </w:tcPr>
          <w:p>
            <w:pPr>
              <w:pStyle w:val="TableParagraph"/>
              <w:spacing w:line="138" w:lineRule="exact" w:before="14"/>
              <w:ind w:left="149"/>
              <w:rPr>
                <w:sz w:val="12"/>
              </w:rPr>
            </w:pPr>
            <w:r>
              <w:rPr>
                <w:color w:val="231F20"/>
                <w:w w:val="105"/>
                <w:sz w:val="12"/>
              </w:rPr>
              <w:t>University</w:t>
            </w:r>
            <w:r>
              <w:rPr>
                <w:color w:val="231F20"/>
                <w:spacing w:val="-9"/>
                <w:w w:val="105"/>
                <w:sz w:val="12"/>
              </w:rPr>
              <w:t> </w:t>
            </w:r>
            <w:r>
              <w:rPr>
                <w:color w:val="231F20"/>
                <w:w w:val="105"/>
                <w:sz w:val="12"/>
              </w:rPr>
              <w:t>of</w:t>
            </w:r>
            <w:r>
              <w:rPr>
                <w:color w:val="231F20"/>
                <w:spacing w:val="-8"/>
                <w:w w:val="105"/>
                <w:sz w:val="12"/>
              </w:rPr>
              <w:t> </w:t>
            </w:r>
            <w:r>
              <w:rPr>
                <w:color w:val="231F20"/>
                <w:w w:val="105"/>
                <w:sz w:val="12"/>
              </w:rPr>
              <w:t>Wisconsin</w:t>
            </w:r>
            <w:r>
              <w:rPr>
                <w:color w:val="231F20"/>
                <w:spacing w:val="-7"/>
                <w:w w:val="105"/>
                <w:sz w:val="12"/>
              </w:rPr>
              <w:t> </w:t>
            </w:r>
            <w:r>
              <w:rPr>
                <w:color w:val="231F20"/>
                <w:spacing w:val="-2"/>
                <w:w w:val="105"/>
                <w:sz w:val="12"/>
              </w:rPr>
              <w:t>Madison</w:t>
            </w:r>
          </w:p>
        </w:tc>
        <w:tc>
          <w:tcPr>
            <w:tcW w:w="2169" w:type="dxa"/>
          </w:tcPr>
          <w:p>
            <w:pPr>
              <w:pStyle w:val="TableParagraph"/>
              <w:spacing w:line="138" w:lineRule="exact" w:before="14"/>
              <w:ind w:left="133"/>
              <w:rPr>
                <w:sz w:val="12"/>
              </w:rPr>
            </w:pPr>
            <w:r>
              <w:rPr>
                <w:color w:val="231F20"/>
                <w:spacing w:val="-2"/>
                <w:w w:val="105"/>
                <w:sz w:val="12"/>
              </w:rPr>
              <w:t>806K400</w:t>
            </w:r>
          </w:p>
        </w:tc>
        <w:tc>
          <w:tcPr>
            <w:tcW w:w="1400" w:type="dxa"/>
          </w:tcPr>
          <w:p>
            <w:pPr>
              <w:pStyle w:val="TableParagraph"/>
              <w:spacing w:line="132" w:lineRule="exact" w:before="20"/>
              <w:ind w:right="385"/>
              <w:jc w:val="right"/>
              <w:rPr>
                <w:sz w:val="12"/>
              </w:rPr>
            </w:pPr>
            <w:r>
              <w:rPr>
                <w:color w:val="231F20"/>
                <w:spacing w:val="-2"/>
                <w:w w:val="105"/>
                <w:sz w:val="12"/>
              </w:rPr>
              <w:t>47.050</w:t>
            </w:r>
          </w:p>
        </w:tc>
        <w:tc>
          <w:tcPr>
            <w:tcW w:w="1133" w:type="dxa"/>
          </w:tcPr>
          <w:p>
            <w:pPr>
              <w:pStyle w:val="TableParagraph"/>
              <w:spacing w:line="132" w:lineRule="exact" w:before="20"/>
              <w:ind w:right="72"/>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3"/>
              <w:jc w:val="right"/>
              <w:rPr>
                <w:sz w:val="12"/>
              </w:rPr>
            </w:pPr>
            <w:r>
              <w:rPr>
                <w:color w:val="231F20"/>
                <w:spacing w:val="-2"/>
                <w:w w:val="105"/>
                <w:sz w:val="12"/>
              </w:rPr>
              <w:t>11,317</w:t>
            </w:r>
          </w:p>
        </w:tc>
      </w:tr>
      <w:tr>
        <w:trPr>
          <w:trHeight w:val="172" w:hRule="atLeast"/>
        </w:trPr>
        <w:tc>
          <w:tcPr>
            <w:tcW w:w="3942" w:type="dxa"/>
          </w:tcPr>
          <w:p>
            <w:pPr>
              <w:pStyle w:val="TableParagraph"/>
              <w:spacing w:before="14"/>
              <w:ind w:left="372"/>
              <w:rPr>
                <w:sz w:val="12"/>
              </w:rPr>
            </w:pPr>
            <w:r>
              <w:rPr>
                <w:color w:val="231F20"/>
                <w:spacing w:val="-2"/>
                <w:w w:val="105"/>
                <w:sz w:val="12"/>
              </w:rPr>
              <w:t>Geosciences</w:t>
            </w:r>
          </w:p>
        </w:tc>
        <w:tc>
          <w:tcPr>
            <w:tcW w:w="1420" w:type="dxa"/>
          </w:tcPr>
          <w:p>
            <w:pPr>
              <w:pStyle w:val="TableParagraph"/>
              <w:spacing w:line="132" w:lineRule="exact" w:before="20"/>
              <w:ind w:right="171"/>
              <w:jc w:val="right"/>
              <w:rPr>
                <w:sz w:val="12"/>
              </w:rPr>
            </w:pPr>
            <w:r>
              <w:rPr>
                <w:color w:val="231F20"/>
                <w:spacing w:val="-4"/>
                <w:w w:val="105"/>
                <w:sz w:val="12"/>
              </w:rPr>
              <w:t>MGEM</w:t>
            </w:r>
          </w:p>
        </w:tc>
        <w:tc>
          <w:tcPr>
            <w:tcW w:w="3066" w:type="dxa"/>
          </w:tcPr>
          <w:p>
            <w:pPr>
              <w:pStyle w:val="TableParagraph"/>
              <w:spacing w:before="14"/>
              <w:ind w:left="148"/>
              <w:rPr>
                <w:sz w:val="12"/>
              </w:rPr>
            </w:pPr>
            <w:r>
              <w:rPr>
                <w:color w:val="231F20"/>
                <w:w w:val="105"/>
                <w:sz w:val="12"/>
              </w:rPr>
              <w:t>University</w:t>
            </w:r>
            <w:r>
              <w:rPr>
                <w:color w:val="231F20"/>
                <w:spacing w:val="-9"/>
                <w:w w:val="105"/>
                <w:sz w:val="12"/>
              </w:rPr>
              <w:t> </w:t>
            </w:r>
            <w:r>
              <w:rPr>
                <w:color w:val="231F20"/>
                <w:w w:val="105"/>
                <w:sz w:val="12"/>
              </w:rPr>
              <w:t>Of</w:t>
            </w:r>
            <w:r>
              <w:rPr>
                <w:color w:val="231F20"/>
                <w:spacing w:val="-8"/>
                <w:w w:val="105"/>
                <w:sz w:val="12"/>
              </w:rPr>
              <w:t> </w:t>
            </w:r>
            <w:r>
              <w:rPr>
                <w:color w:val="231F20"/>
                <w:spacing w:val="-2"/>
                <w:w w:val="105"/>
                <w:sz w:val="12"/>
              </w:rPr>
              <w:t>Florida</w:t>
            </w:r>
          </w:p>
        </w:tc>
        <w:tc>
          <w:tcPr>
            <w:tcW w:w="2169" w:type="dxa"/>
          </w:tcPr>
          <w:p>
            <w:pPr>
              <w:pStyle w:val="TableParagraph"/>
              <w:spacing w:before="14"/>
              <w:ind w:left="133"/>
              <w:rPr>
                <w:sz w:val="12"/>
              </w:rPr>
            </w:pPr>
            <w:r>
              <w:rPr>
                <w:color w:val="231F20"/>
                <w:spacing w:val="-2"/>
                <w:w w:val="105"/>
                <w:sz w:val="12"/>
              </w:rPr>
              <w:t>SUB00002033</w:t>
            </w:r>
          </w:p>
        </w:tc>
        <w:tc>
          <w:tcPr>
            <w:tcW w:w="1400" w:type="dxa"/>
          </w:tcPr>
          <w:p>
            <w:pPr>
              <w:pStyle w:val="TableParagraph"/>
              <w:spacing w:line="132" w:lineRule="exact" w:before="20"/>
              <w:ind w:right="385"/>
              <w:jc w:val="right"/>
              <w:rPr>
                <w:sz w:val="12"/>
              </w:rPr>
            </w:pPr>
            <w:r>
              <w:rPr>
                <w:color w:val="231F20"/>
                <w:spacing w:val="-2"/>
                <w:w w:val="105"/>
                <w:sz w:val="12"/>
              </w:rPr>
              <w:t>47.050</w:t>
            </w:r>
          </w:p>
        </w:tc>
        <w:tc>
          <w:tcPr>
            <w:tcW w:w="1133" w:type="dxa"/>
          </w:tcPr>
          <w:p>
            <w:pPr>
              <w:pStyle w:val="TableParagraph"/>
              <w:spacing w:line="132" w:lineRule="exact" w:before="20"/>
              <w:ind w:right="73"/>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3"/>
              <w:jc w:val="right"/>
              <w:rPr>
                <w:sz w:val="12"/>
              </w:rPr>
            </w:pPr>
            <w:r>
              <w:rPr>
                <w:color w:val="231F20"/>
                <w:spacing w:val="-2"/>
                <w:w w:val="105"/>
                <w:sz w:val="12"/>
              </w:rPr>
              <w:t>58,812</w:t>
            </w:r>
          </w:p>
        </w:tc>
      </w:tr>
      <w:tr>
        <w:trPr>
          <w:trHeight w:val="171" w:hRule="atLeast"/>
        </w:trPr>
        <w:tc>
          <w:tcPr>
            <w:tcW w:w="3942" w:type="dxa"/>
          </w:tcPr>
          <w:p>
            <w:pPr>
              <w:pStyle w:val="TableParagraph"/>
              <w:spacing w:line="137" w:lineRule="exact" w:before="14"/>
              <w:ind w:left="372"/>
              <w:rPr>
                <w:sz w:val="12"/>
              </w:rPr>
            </w:pPr>
            <w:r>
              <w:rPr>
                <w:color w:val="231F20"/>
                <w:spacing w:val="-2"/>
                <w:w w:val="105"/>
                <w:sz w:val="12"/>
              </w:rPr>
              <w:t>Geosciences</w:t>
            </w:r>
          </w:p>
        </w:tc>
        <w:tc>
          <w:tcPr>
            <w:tcW w:w="1420" w:type="dxa"/>
          </w:tcPr>
          <w:p>
            <w:pPr>
              <w:pStyle w:val="TableParagraph"/>
              <w:spacing w:line="132" w:lineRule="exact" w:before="19"/>
              <w:ind w:right="203"/>
              <w:jc w:val="right"/>
              <w:rPr>
                <w:sz w:val="12"/>
              </w:rPr>
            </w:pPr>
            <w:r>
              <w:rPr>
                <w:color w:val="231F20"/>
                <w:spacing w:val="-4"/>
                <w:w w:val="105"/>
                <w:sz w:val="12"/>
              </w:rPr>
              <w:t>MIGR</w:t>
            </w:r>
          </w:p>
        </w:tc>
        <w:tc>
          <w:tcPr>
            <w:tcW w:w="3066" w:type="dxa"/>
          </w:tcPr>
          <w:p>
            <w:pPr>
              <w:pStyle w:val="TableParagraph"/>
              <w:spacing w:line="137" w:lineRule="exact" w:before="14"/>
              <w:ind w:left="148"/>
              <w:rPr>
                <w:sz w:val="12"/>
              </w:rPr>
            </w:pPr>
            <w:r>
              <w:rPr>
                <w:color w:val="231F20"/>
                <w:w w:val="105"/>
                <w:sz w:val="12"/>
              </w:rPr>
              <w:t>University</w:t>
            </w:r>
            <w:r>
              <w:rPr>
                <w:color w:val="231F20"/>
                <w:spacing w:val="-8"/>
                <w:w w:val="105"/>
                <w:sz w:val="12"/>
              </w:rPr>
              <w:t> </w:t>
            </w:r>
            <w:r>
              <w:rPr>
                <w:color w:val="231F20"/>
                <w:w w:val="105"/>
                <w:sz w:val="12"/>
              </w:rPr>
              <w:t>of</w:t>
            </w:r>
            <w:r>
              <w:rPr>
                <w:color w:val="231F20"/>
                <w:spacing w:val="-8"/>
                <w:w w:val="105"/>
                <w:sz w:val="12"/>
              </w:rPr>
              <w:t> </w:t>
            </w:r>
            <w:r>
              <w:rPr>
                <w:color w:val="231F20"/>
                <w:spacing w:val="-4"/>
                <w:w w:val="105"/>
                <w:sz w:val="12"/>
              </w:rPr>
              <w:t>Utah</w:t>
            </w:r>
          </w:p>
        </w:tc>
        <w:tc>
          <w:tcPr>
            <w:tcW w:w="2169" w:type="dxa"/>
          </w:tcPr>
          <w:p>
            <w:pPr>
              <w:pStyle w:val="TableParagraph"/>
              <w:spacing w:line="137" w:lineRule="exact" w:before="14"/>
              <w:ind w:left="132"/>
              <w:rPr>
                <w:sz w:val="12"/>
              </w:rPr>
            </w:pPr>
            <w:r>
              <w:rPr>
                <w:color w:val="231F20"/>
                <w:spacing w:val="-2"/>
                <w:w w:val="105"/>
                <w:sz w:val="12"/>
              </w:rPr>
              <w:t>10050352/U000319890</w:t>
            </w:r>
          </w:p>
        </w:tc>
        <w:tc>
          <w:tcPr>
            <w:tcW w:w="1400" w:type="dxa"/>
          </w:tcPr>
          <w:p>
            <w:pPr>
              <w:pStyle w:val="TableParagraph"/>
              <w:spacing w:line="132" w:lineRule="exact" w:before="19"/>
              <w:ind w:right="385"/>
              <w:jc w:val="right"/>
              <w:rPr>
                <w:sz w:val="12"/>
              </w:rPr>
            </w:pPr>
            <w:r>
              <w:rPr>
                <w:color w:val="231F20"/>
                <w:spacing w:val="-2"/>
                <w:w w:val="105"/>
                <w:sz w:val="12"/>
              </w:rPr>
              <w:t>47.050</w:t>
            </w:r>
          </w:p>
        </w:tc>
        <w:tc>
          <w:tcPr>
            <w:tcW w:w="1133" w:type="dxa"/>
          </w:tcPr>
          <w:p>
            <w:pPr>
              <w:pStyle w:val="TableParagraph"/>
              <w:spacing w:line="132" w:lineRule="exact" w:before="19"/>
              <w:ind w:right="73"/>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19"/>
              <w:ind w:right="73"/>
              <w:jc w:val="right"/>
              <w:rPr>
                <w:sz w:val="12"/>
              </w:rPr>
            </w:pPr>
            <w:r>
              <w:rPr>
                <w:color w:val="231F20"/>
                <w:spacing w:val="-2"/>
                <w:w w:val="105"/>
                <w:sz w:val="12"/>
              </w:rPr>
              <w:t>72,723</w:t>
            </w:r>
          </w:p>
        </w:tc>
      </w:tr>
      <w:tr>
        <w:trPr>
          <w:trHeight w:val="176" w:hRule="atLeast"/>
        </w:trPr>
        <w:tc>
          <w:tcPr>
            <w:tcW w:w="3942" w:type="dxa"/>
          </w:tcPr>
          <w:p>
            <w:pPr>
              <w:pStyle w:val="TableParagraph"/>
              <w:spacing w:before="14"/>
              <w:ind w:left="372"/>
              <w:rPr>
                <w:sz w:val="12"/>
              </w:rPr>
            </w:pPr>
            <w:r>
              <w:rPr>
                <w:color w:val="231F20"/>
                <w:spacing w:val="-2"/>
                <w:w w:val="105"/>
                <w:sz w:val="12"/>
              </w:rPr>
              <w:t>Geosciences</w:t>
            </w:r>
          </w:p>
        </w:tc>
        <w:tc>
          <w:tcPr>
            <w:tcW w:w="1420" w:type="dxa"/>
          </w:tcPr>
          <w:p>
            <w:pPr>
              <w:pStyle w:val="TableParagraph"/>
              <w:spacing w:line="136" w:lineRule="exact" w:before="20"/>
              <w:ind w:right="175"/>
              <w:jc w:val="right"/>
              <w:rPr>
                <w:sz w:val="12"/>
              </w:rPr>
            </w:pPr>
            <w:r>
              <w:rPr>
                <w:color w:val="231F20"/>
                <w:spacing w:val="-4"/>
                <w:w w:val="105"/>
                <w:sz w:val="12"/>
              </w:rPr>
              <w:t>MMDV</w:t>
            </w:r>
          </w:p>
        </w:tc>
        <w:tc>
          <w:tcPr>
            <w:tcW w:w="3066" w:type="dxa"/>
          </w:tcPr>
          <w:p>
            <w:pPr>
              <w:pStyle w:val="TableParagraph"/>
              <w:spacing w:before="14"/>
              <w:ind w:left="148"/>
              <w:rPr>
                <w:sz w:val="12"/>
              </w:rPr>
            </w:pPr>
            <w:r>
              <w:rPr>
                <w:color w:val="231F20"/>
                <w:w w:val="105"/>
                <w:sz w:val="12"/>
              </w:rPr>
              <w:t>University</w:t>
            </w:r>
            <w:r>
              <w:rPr>
                <w:color w:val="231F20"/>
                <w:spacing w:val="-10"/>
                <w:w w:val="105"/>
                <w:sz w:val="12"/>
              </w:rPr>
              <w:t> </w:t>
            </w:r>
            <w:r>
              <w:rPr>
                <w:color w:val="231F20"/>
                <w:w w:val="105"/>
                <w:sz w:val="12"/>
              </w:rPr>
              <w:t>of</w:t>
            </w:r>
            <w:r>
              <w:rPr>
                <w:color w:val="231F20"/>
                <w:spacing w:val="-8"/>
                <w:w w:val="105"/>
                <w:sz w:val="12"/>
              </w:rPr>
              <w:t> </w:t>
            </w:r>
            <w:r>
              <w:rPr>
                <w:color w:val="231F20"/>
                <w:w w:val="105"/>
                <w:sz w:val="12"/>
              </w:rPr>
              <w:t>North</w:t>
            </w:r>
            <w:r>
              <w:rPr>
                <w:color w:val="231F20"/>
                <w:spacing w:val="-7"/>
                <w:w w:val="105"/>
                <w:sz w:val="12"/>
              </w:rPr>
              <w:t> </w:t>
            </w:r>
            <w:r>
              <w:rPr>
                <w:color w:val="231F20"/>
                <w:w w:val="105"/>
                <w:sz w:val="12"/>
              </w:rPr>
              <w:t>Carolina</w:t>
            </w:r>
            <w:r>
              <w:rPr>
                <w:color w:val="231F20"/>
                <w:spacing w:val="-7"/>
                <w:w w:val="105"/>
                <w:sz w:val="12"/>
              </w:rPr>
              <w:t> </w:t>
            </w:r>
            <w:r>
              <w:rPr>
                <w:color w:val="231F20"/>
                <w:w w:val="105"/>
                <w:sz w:val="12"/>
              </w:rPr>
              <w:t>at</w:t>
            </w:r>
            <w:r>
              <w:rPr>
                <w:color w:val="231F20"/>
                <w:spacing w:val="-7"/>
                <w:w w:val="105"/>
                <w:sz w:val="12"/>
              </w:rPr>
              <w:t> </w:t>
            </w:r>
            <w:r>
              <w:rPr>
                <w:color w:val="231F20"/>
                <w:spacing w:val="-2"/>
                <w:w w:val="105"/>
                <w:sz w:val="12"/>
              </w:rPr>
              <w:t>Charlotte</w:t>
            </w:r>
          </w:p>
        </w:tc>
        <w:tc>
          <w:tcPr>
            <w:tcW w:w="2169" w:type="dxa"/>
          </w:tcPr>
          <w:p>
            <w:pPr>
              <w:pStyle w:val="TableParagraph"/>
              <w:spacing w:before="14"/>
              <w:ind w:left="131"/>
              <w:rPr>
                <w:sz w:val="12"/>
              </w:rPr>
            </w:pPr>
            <w:r>
              <w:rPr>
                <w:color w:val="231F20"/>
                <w:sz w:val="12"/>
              </w:rPr>
              <w:t>20170784-01-</w:t>
            </w:r>
            <w:r>
              <w:rPr>
                <w:color w:val="231F20"/>
                <w:spacing w:val="-5"/>
                <w:sz w:val="12"/>
              </w:rPr>
              <w:t>NMI</w:t>
            </w:r>
          </w:p>
        </w:tc>
        <w:tc>
          <w:tcPr>
            <w:tcW w:w="1400" w:type="dxa"/>
          </w:tcPr>
          <w:p>
            <w:pPr>
              <w:pStyle w:val="TableParagraph"/>
              <w:spacing w:line="136" w:lineRule="exact" w:before="20"/>
              <w:ind w:right="385"/>
              <w:jc w:val="right"/>
              <w:rPr>
                <w:sz w:val="12"/>
              </w:rPr>
            </w:pPr>
            <w:r>
              <w:rPr>
                <w:color w:val="231F20"/>
                <w:spacing w:val="-2"/>
                <w:w w:val="105"/>
                <w:sz w:val="12"/>
              </w:rPr>
              <w:t>47.050</w:t>
            </w:r>
          </w:p>
        </w:tc>
        <w:tc>
          <w:tcPr>
            <w:tcW w:w="1133" w:type="dxa"/>
          </w:tcPr>
          <w:p>
            <w:pPr>
              <w:pStyle w:val="TableParagraph"/>
              <w:spacing w:line="136" w:lineRule="exact" w:before="20"/>
              <w:ind w:right="73"/>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6" w:lineRule="exact" w:before="20"/>
              <w:ind w:right="32"/>
              <w:jc w:val="right"/>
              <w:rPr>
                <w:sz w:val="12"/>
              </w:rPr>
            </w:pPr>
            <w:r>
              <w:rPr>
                <w:color w:val="231F20"/>
                <w:spacing w:val="-4"/>
                <w:w w:val="105"/>
                <w:sz w:val="12"/>
              </w:rPr>
              <w:t>(63)</w:t>
            </w:r>
          </w:p>
        </w:tc>
      </w:tr>
      <w:tr>
        <w:trPr>
          <w:trHeight w:val="338" w:hRule="atLeast"/>
        </w:trPr>
        <w:tc>
          <w:tcPr>
            <w:tcW w:w="3942" w:type="dxa"/>
          </w:tcPr>
          <w:p>
            <w:pPr>
              <w:pStyle w:val="TableParagraph"/>
              <w:spacing w:before="8"/>
              <w:rPr>
                <w:sz w:val="15"/>
              </w:rPr>
            </w:pPr>
          </w:p>
          <w:p>
            <w:pPr>
              <w:pStyle w:val="TableParagraph"/>
              <w:spacing w:line="137" w:lineRule="exact" w:before="1"/>
              <w:ind w:left="372"/>
              <w:rPr>
                <w:sz w:val="12"/>
              </w:rPr>
            </w:pPr>
            <w:r>
              <w:rPr>
                <w:color w:val="231F20"/>
                <w:spacing w:val="-2"/>
                <w:w w:val="105"/>
                <w:sz w:val="12"/>
              </w:rPr>
              <w:t>Geosciences</w:t>
            </w:r>
          </w:p>
        </w:tc>
        <w:tc>
          <w:tcPr>
            <w:tcW w:w="1420" w:type="dxa"/>
          </w:tcPr>
          <w:p>
            <w:pPr>
              <w:pStyle w:val="TableParagraph"/>
              <w:spacing w:before="3"/>
              <w:rPr>
                <w:sz w:val="16"/>
              </w:rPr>
            </w:pPr>
          </w:p>
          <w:p>
            <w:pPr>
              <w:pStyle w:val="TableParagraph"/>
              <w:spacing w:line="132" w:lineRule="exact"/>
              <w:ind w:right="154"/>
              <w:jc w:val="right"/>
              <w:rPr>
                <w:sz w:val="12"/>
              </w:rPr>
            </w:pPr>
            <w:r>
              <w:rPr>
                <w:color w:val="231F20"/>
                <w:spacing w:val="-2"/>
                <w:w w:val="105"/>
                <w:sz w:val="12"/>
              </w:rPr>
              <w:t>MSSP2</w:t>
            </w:r>
          </w:p>
        </w:tc>
        <w:tc>
          <w:tcPr>
            <w:tcW w:w="3066" w:type="dxa"/>
          </w:tcPr>
          <w:p>
            <w:pPr>
              <w:pStyle w:val="TableParagraph"/>
              <w:spacing w:line="164" w:lineRule="exact"/>
              <w:ind w:left="148"/>
              <w:rPr>
                <w:sz w:val="12"/>
              </w:rPr>
            </w:pPr>
            <w:r>
              <w:rPr>
                <w:color w:val="231F20"/>
                <w:w w:val="105"/>
                <w:sz w:val="12"/>
              </w:rPr>
              <w:t>The</w:t>
            </w:r>
            <w:r>
              <w:rPr>
                <w:color w:val="231F20"/>
                <w:spacing w:val="-6"/>
                <w:w w:val="105"/>
                <w:sz w:val="12"/>
              </w:rPr>
              <w:t> </w:t>
            </w:r>
            <w:r>
              <w:rPr>
                <w:color w:val="231F20"/>
                <w:w w:val="105"/>
                <w:sz w:val="12"/>
              </w:rPr>
              <w:t>Trustees</w:t>
            </w:r>
            <w:r>
              <w:rPr>
                <w:color w:val="231F20"/>
                <w:spacing w:val="-5"/>
                <w:w w:val="105"/>
                <w:sz w:val="12"/>
              </w:rPr>
              <w:t> </w:t>
            </w:r>
            <w:r>
              <w:rPr>
                <w:color w:val="231F20"/>
                <w:w w:val="105"/>
                <w:sz w:val="12"/>
              </w:rPr>
              <w:t>of</w:t>
            </w:r>
            <w:r>
              <w:rPr>
                <w:color w:val="231F20"/>
                <w:spacing w:val="-6"/>
                <w:w w:val="105"/>
                <w:sz w:val="12"/>
              </w:rPr>
              <w:t> </w:t>
            </w:r>
            <w:r>
              <w:rPr>
                <w:color w:val="231F20"/>
                <w:w w:val="105"/>
                <w:sz w:val="12"/>
              </w:rPr>
              <w:t>Columbia</w:t>
            </w:r>
            <w:r>
              <w:rPr>
                <w:color w:val="231F20"/>
                <w:spacing w:val="-6"/>
                <w:w w:val="105"/>
                <w:sz w:val="12"/>
              </w:rPr>
              <w:t> </w:t>
            </w:r>
            <w:r>
              <w:rPr>
                <w:color w:val="231F20"/>
                <w:w w:val="105"/>
                <w:sz w:val="12"/>
              </w:rPr>
              <w:t>University</w:t>
            </w:r>
            <w:r>
              <w:rPr>
                <w:color w:val="231F20"/>
                <w:spacing w:val="-7"/>
                <w:w w:val="105"/>
                <w:sz w:val="12"/>
              </w:rPr>
              <w:t> </w:t>
            </w:r>
            <w:r>
              <w:rPr>
                <w:color w:val="231F20"/>
                <w:w w:val="105"/>
                <w:sz w:val="12"/>
              </w:rPr>
              <w:t>in</w:t>
            </w:r>
            <w:r>
              <w:rPr>
                <w:color w:val="231F20"/>
                <w:spacing w:val="-5"/>
                <w:w w:val="105"/>
                <w:sz w:val="12"/>
              </w:rPr>
              <w:t> </w:t>
            </w:r>
            <w:r>
              <w:rPr>
                <w:color w:val="231F20"/>
                <w:w w:val="105"/>
                <w:sz w:val="12"/>
              </w:rPr>
              <w:t>the</w:t>
            </w:r>
            <w:r>
              <w:rPr>
                <w:color w:val="231F20"/>
                <w:spacing w:val="-6"/>
                <w:w w:val="105"/>
                <w:sz w:val="12"/>
              </w:rPr>
              <w:t> </w:t>
            </w:r>
            <w:r>
              <w:rPr>
                <w:color w:val="231F20"/>
                <w:w w:val="105"/>
                <w:sz w:val="12"/>
              </w:rPr>
              <w:t>City</w:t>
            </w:r>
            <w:r>
              <w:rPr>
                <w:color w:val="231F20"/>
                <w:spacing w:val="-7"/>
                <w:w w:val="105"/>
                <w:sz w:val="12"/>
              </w:rPr>
              <w:t> </w:t>
            </w:r>
            <w:r>
              <w:rPr>
                <w:color w:val="231F20"/>
                <w:w w:val="105"/>
                <w:sz w:val="12"/>
              </w:rPr>
              <w:t>of</w:t>
            </w:r>
            <w:r>
              <w:rPr>
                <w:color w:val="231F20"/>
                <w:spacing w:val="40"/>
                <w:w w:val="105"/>
                <w:sz w:val="12"/>
              </w:rPr>
              <w:t> </w:t>
            </w:r>
            <w:r>
              <w:rPr>
                <w:color w:val="231F20"/>
                <w:w w:val="105"/>
                <w:sz w:val="12"/>
              </w:rPr>
              <w:t>New</w:t>
            </w:r>
            <w:r>
              <w:rPr>
                <w:color w:val="231F20"/>
                <w:spacing w:val="-7"/>
                <w:w w:val="105"/>
                <w:sz w:val="12"/>
              </w:rPr>
              <w:t> </w:t>
            </w:r>
            <w:r>
              <w:rPr>
                <w:color w:val="231F20"/>
                <w:w w:val="105"/>
                <w:sz w:val="12"/>
              </w:rPr>
              <w:t>York</w:t>
            </w:r>
          </w:p>
        </w:tc>
        <w:tc>
          <w:tcPr>
            <w:tcW w:w="2169" w:type="dxa"/>
          </w:tcPr>
          <w:p>
            <w:pPr>
              <w:pStyle w:val="TableParagraph"/>
              <w:spacing w:before="8"/>
              <w:rPr>
                <w:sz w:val="15"/>
              </w:rPr>
            </w:pPr>
          </w:p>
          <w:p>
            <w:pPr>
              <w:pStyle w:val="TableParagraph"/>
              <w:spacing w:line="138" w:lineRule="exact" w:before="1"/>
              <w:ind w:left="133"/>
              <w:rPr>
                <w:sz w:val="12"/>
              </w:rPr>
            </w:pPr>
            <w:r>
              <w:rPr>
                <w:color w:val="231F20"/>
                <w:spacing w:val="-2"/>
                <w:w w:val="105"/>
                <w:sz w:val="12"/>
              </w:rPr>
              <w:t>51B(GG009393)/G11717</w:t>
            </w:r>
          </w:p>
        </w:tc>
        <w:tc>
          <w:tcPr>
            <w:tcW w:w="1400" w:type="dxa"/>
          </w:tcPr>
          <w:p>
            <w:pPr>
              <w:pStyle w:val="TableParagraph"/>
              <w:spacing w:before="3"/>
              <w:rPr>
                <w:sz w:val="16"/>
              </w:rPr>
            </w:pPr>
          </w:p>
          <w:p>
            <w:pPr>
              <w:pStyle w:val="TableParagraph"/>
              <w:spacing w:line="132" w:lineRule="exact"/>
              <w:ind w:right="386"/>
              <w:jc w:val="right"/>
              <w:rPr>
                <w:sz w:val="12"/>
              </w:rPr>
            </w:pPr>
            <w:r>
              <w:rPr>
                <w:color w:val="231F20"/>
                <w:spacing w:val="-2"/>
                <w:w w:val="105"/>
                <w:sz w:val="12"/>
              </w:rPr>
              <w:t>47.050</w:t>
            </w:r>
          </w:p>
        </w:tc>
        <w:tc>
          <w:tcPr>
            <w:tcW w:w="1133" w:type="dxa"/>
          </w:tcPr>
          <w:p>
            <w:pPr>
              <w:pStyle w:val="TableParagraph"/>
              <w:spacing w:before="3"/>
              <w:rPr>
                <w:sz w:val="16"/>
              </w:rPr>
            </w:pPr>
          </w:p>
          <w:p>
            <w:pPr>
              <w:pStyle w:val="TableParagraph"/>
              <w:spacing w:line="132" w:lineRule="exact"/>
              <w:ind w:right="73"/>
              <w:jc w:val="right"/>
              <w:rPr>
                <w:sz w:val="12"/>
              </w:rPr>
            </w:pPr>
            <w:r>
              <w:rPr>
                <w:color w:val="231F20"/>
                <w:w w:val="104"/>
                <w:sz w:val="12"/>
              </w:rPr>
              <w:t>-</w:t>
            </w:r>
          </w:p>
        </w:tc>
        <w:tc>
          <w:tcPr>
            <w:tcW w:w="154" w:type="dxa"/>
          </w:tcPr>
          <w:p>
            <w:pPr>
              <w:pStyle w:val="TableParagraph"/>
              <w:rPr>
                <w:rFonts w:ascii="Times New Roman"/>
                <w:sz w:val="12"/>
              </w:rPr>
            </w:pPr>
          </w:p>
        </w:tc>
        <w:tc>
          <w:tcPr>
            <w:tcW w:w="1133" w:type="dxa"/>
          </w:tcPr>
          <w:p>
            <w:pPr>
              <w:pStyle w:val="TableParagraph"/>
              <w:spacing w:before="3"/>
              <w:rPr>
                <w:sz w:val="16"/>
              </w:rPr>
            </w:pPr>
          </w:p>
          <w:p>
            <w:pPr>
              <w:pStyle w:val="TableParagraph"/>
              <w:spacing w:line="132" w:lineRule="exact"/>
              <w:ind w:right="73"/>
              <w:jc w:val="right"/>
              <w:rPr>
                <w:sz w:val="12"/>
              </w:rPr>
            </w:pPr>
            <w:r>
              <w:rPr>
                <w:color w:val="231F20"/>
                <w:spacing w:val="-2"/>
                <w:w w:val="105"/>
                <w:sz w:val="12"/>
              </w:rPr>
              <w:t>9,567</w:t>
            </w:r>
          </w:p>
        </w:tc>
      </w:tr>
      <w:tr>
        <w:trPr>
          <w:trHeight w:val="172" w:hRule="atLeast"/>
        </w:trPr>
        <w:tc>
          <w:tcPr>
            <w:tcW w:w="3942" w:type="dxa"/>
          </w:tcPr>
          <w:p>
            <w:pPr>
              <w:pStyle w:val="TableParagraph"/>
              <w:spacing w:before="14"/>
              <w:ind w:left="372"/>
              <w:rPr>
                <w:sz w:val="12"/>
              </w:rPr>
            </w:pPr>
            <w:r>
              <w:rPr>
                <w:color w:val="231F20"/>
                <w:spacing w:val="-2"/>
                <w:w w:val="105"/>
                <w:sz w:val="12"/>
              </w:rPr>
              <w:t>Geosciences</w:t>
            </w:r>
          </w:p>
        </w:tc>
        <w:tc>
          <w:tcPr>
            <w:tcW w:w="1420" w:type="dxa"/>
          </w:tcPr>
          <w:p>
            <w:pPr>
              <w:pStyle w:val="TableParagraph"/>
              <w:spacing w:line="132" w:lineRule="exact" w:before="20"/>
              <w:ind w:right="187"/>
              <w:jc w:val="right"/>
              <w:rPr>
                <w:sz w:val="12"/>
              </w:rPr>
            </w:pPr>
            <w:r>
              <w:rPr>
                <w:color w:val="231F20"/>
                <w:spacing w:val="-4"/>
                <w:w w:val="105"/>
                <w:sz w:val="12"/>
              </w:rPr>
              <w:t>MVAN</w:t>
            </w:r>
          </w:p>
        </w:tc>
        <w:tc>
          <w:tcPr>
            <w:tcW w:w="3066" w:type="dxa"/>
          </w:tcPr>
          <w:p>
            <w:pPr>
              <w:pStyle w:val="TableParagraph"/>
              <w:spacing w:before="14"/>
              <w:ind w:left="148"/>
              <w:rPr>
                <w:sz w:val="12"/>
              </w:rPr>
            </w:pPr>
            <w:r>
              <w:rPr>
                <w:color w:val="231F20"/>
                <w:spacing w:val="-2"/>
                <w:w w:val="105"/>
                <w:sz w:val="12"/>
              </w:rPr>
              <w:t>Vanderbilt</w:t>
            </w:r>
            <w:r>
              <w:rPr>
                <w:color w:val="231F20"/>
                <w:spacing w:val="6"/>
                <w:w w:val="105"/>
                <w:sz w:val="12"/>
              </w:rPr>
              <w:t> </w:t>
            </w:r>
            <w:r>
              <w:rPr>
                <w:color w:val="231F20"/>
                <w:spacing w:val="-2"/>
                <w:w w:val="105"/>
                <w:sz w:val="12"/>
              </w:rPr>
              <w:t>University</w:t>
            </w:r>
          </w:p>
        </w:tc>
        <w:tc>
          <w:tcPr>
            <w:tcW w:w="2169" w:type="dxa"/>
          </w:tcPr>
          <w:p>
            <w:pPr>
              <w:pStyle w:val="TableParagraph"/>
              <w:spacing w:before="14"/>
              <w:ind w:left="131"/>
              <w:rPr>
                <w:sz w:val="12"/>
              </w:rPr>
            </w:pPr>
            <w:r>
              <w:rPr>
                <w:color w:val="231F20"/>
                <w:spacing w:val="-2"/>
                <w:w w:val="105"/>
                <w:sz w:val="12"/>
              </w:rPr>
              <w:t>60300/P19014830</w:t>
            </w:r>
          </w:p>
        </w:tc>
        <w:tc>
          <w:tcPr>
            <w:tcW w:w="1400" w:type="dxa"/>
          </w:tcPr>
          <w:p>
            <w:pPr>
              <w:pStyle w:val="TableParagraph"/>
              <w:spacing w:line="132" w:lineRule="exact" w:before="20"/>
              <w:ind w:right="386"/>
              <w:jc w:val="right"/>
              <w:rPr>
                <w:sz w:val="12"/>
              </w:rPr>
            </w:pPr>
            <w:r>
              <w:rPr>
                <w:color w:val="231F20"/>
                <w:spacing w:val="-2"/>
                <w:w w:val="105"/>
                <w:sz w:val="12"/>
              </w:rPr>
              <w:t>47.050</w:t>
            </w:r>
          </w:p>
        </w:tc>
        <w:tc>
          <w:tcPr>
            <w:tcW w:w="1133" w:type="dxa"/>
          </w:tcPr>
          <w:p>
            <w:pPr>
              <w:pStyle w:val="TableParagraph"/>
              <w:spacing w:line="132" w:lineRule="exact" w:before="20"/>
              <w:ind w:right="73"/>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3"/>
              <w:jc w:val="right"/>
              <w:rPr>
                <w:sz w:val="12"/>
              </w:rPr>
            </w:pPr>
            <w:r>
              <w:rPr>
                <w:color w:val="231F20"/>
                <w:spacing w:val="-2"/>
                <w:w w:val="105"/>
                <w:sz w:val="12"/>
              </w:rPr>
              <w:t>74,269</w:t>
            </w:r>
          </w:p>
        </w:tc>
      </w:tr>
      <w:tr>
        <w:trPr>
          <w:trHeight w:val="257" w:hRule="atLeast"/>
        </w:trPr>
        <w:tc>
          <w:tcPr>
            <w:tcW w:w="3942" w:type="dxa"/>
          </w:tcPr>
          <w:p>
            <w:pPr>
              <w:pStyle w:val="TableParagraph"/>
              <w:spacing w:before="14"/>
              <w:ind w:left="371"/>
              <w:rPr>
                <w:sz w:val="12"/>
              </w:rPr>
            </w:pPr>
            <w:r>
              <w:rPr>
                <w:color w:val="231F20"/>
                <w:spacing w:val="-2"/>
                <w:w w:val="105"/>
                <w:sz w:val="12"/>
              </w:rPr>
              <w:t>Geosciences</w:t>
            </w:r>
          </w:p>
        </w:tc>
        <w:tc>
          <w:tcPr>
            <w:tcW w:w="1420" w:type="dxa"/>
          </w:tcPr>
          <w:p>
            <w:pPr>
              <w:pStyle w:val="TableParagraph"/>
              <w:spacing w:before="19"/>
              <w:ind w:right="166"/>
              <w:jc w:val="right"/>
              <w:rPr>
                <w:sz w:val="12"/>
              </w:rPr>
            </w:pPr>
            <w:r>
              <w:rPr>
                <w:color w:val="231F20"/>
                <w:spacing w:val="-4"/>
                <w:w w:val="105"/>
                <w:sz w:val="12"/>
              </w:rPr>
              <w:t>MWHE</w:t>
            </w:r>
          </w:p>
        </w:tc>
        <w:tc>
          <w:tcPr>
            <w:tcW w:w="3066" w:type="dxa"/>
          </w:tcPr>
          <w:p>
            <w:pPr>
              <w:pStyle w:val="TableParagraph"/>
              <w:spacing w:before="14"/>
              <w:ind w:left="148"/>
              <w:rPr>
                <w:sz w:val="12"/>
              </w:rPr>
            </w:pPr>
            <w:r>
              <w:rPr>
                <w:color w:val="231F20"/>
                <w:w w:val="105"/>
                <w:sz w:val="12"/>
              </w:rPr>
              <w:t>The</w:t>
            </w:r>
            <w:r>
              <w:rPr>
                <w:color w:val="231F20"/>
                <w:spacing w:val="-5"/>
                <w:w w:val="105"/>
                <w:sz w:val="12"/>
              </w:rPr>
              <w:t> </w:t>
            </w:r>
            <w:r>
              <w:rPr>
                <w:color w:val="231F20"/>
                <w:w w:val="105"/>
                <w:sz w:val="12"/>
              </w:rPr>
              <w:t>Trustees</w:t>
            </w:r>
            <w:r>
              <w:rPr>
                <w:color w:val="231F20"/>
                <w:spacing w:val="-4"/>
                <w:w w:val="105"/>
                <w:sz w:val="12"/>
              </w:rPr>
              <w:t> </w:t>
            </w:r>
            <w:r>
              <w:rPr>
                <w:color w:val="231F20"/>
                <w:w w:val="105"/>
                <w:sz w:val="12"/>
              </w:rPr>
              <w:t>of</w:t>
            </w:r>
            <w:r>
              <w:rPr>
                <w:color w:val="231F20"/>
                <w:spacing w:val="-5"/>
                <w:w w:val="105"/>
                <w:sz w:val="12"/>
              </w:rPr>
              <w:t> </w:t>
            </w:r>
            <w:r>
              <w:rPr>
                <w:color w:val="231F20"/>
                <w:w w:val="105"/>
                <w:sz w:val="12"/>
              </w:rPr>
              <w:t>Wheaton</w:t>
            </w:r>
            <w:r>
              <w:rPr>
                <w:color w:val="231F20"/>
                <w:spacing w:val="-4"/>
                <w:w w:val="105"/>
                <w:sz w:val="12"/>
              </w:rPr>
              <w:t> </w:t>
            </w:r>
            <w:r>
              <w:rPr>
                <w:color w:val="231F20"/>
                <w:spacing w:val="-2"/>
                <w:w w:val="105"/>
                <w:sz w:val="12"/>
              </w:rPr>
              <w:t>College</w:t>
            </w:r>
          </w:p>
        </w:tc>
        <w:tc>
          <w:tcPr>
            <w:tcW w:w="2169" w:type="dxa"/>
          </w:tcPr>
          <w:p>
            <w:pPr>
              <w:pStyle w:val="TableParagraph"/>
              <w:spacing w:before="14"/>
              <w:ind w:left="132"/>
              <w:rPr>
                <w:sz w:val="12"/>
              </w:rPr>
            </w:pPr>
            <w:r>
              <w:rPr>
                <w:color w:val="231F20"/>
                <w:spacing w:val="-2"/>
                <w:w w:val="105"/>
                <w:sz w:val="12"/>
              </w:rPr>
              <w:t>180801</w:t>
            </w:r>
          </w:p>
        </w:tc>
        <w:tc>
          <w:tcPr>
            <w:tcW w:w="1400" w:type="dxa"/>
          </w:tcPr>
          <w:p>
            <w:pPr>
              <w:pStyle w:val="TableParagraph"/>
              <w:spacing w:before="19"/>
              <w:ind w:right="386"/>
              <w:jc w:val="right"/>
              <w:rPr>
                <w:sz w:val="12"/>
              </w:rPr>
            </w:pPr>
            <w:r>
              <w:rPr>
                <w:color w:val="231F20"/>
                <w:spacing w:val="-2"/>
                <w:w w:val="105"/>
                <w:sz w:val="12"/>
              </w:rPr>
              <w:t>47.050</w:t>
            </w:r>
          </w:p>
        </w:tc>
        <w:tc>
          <w:tcPr>
            <w:tcW w:w="1133" w:type="dxa"/>
          </w:tcPr>
          <w:p>
            <w:pPr>
              <w:pStyle w:val="TableParagraph"/>
              <w:spacing w:before="19"/>
              <w:ind w:right="73"/>
              <w:jc w:val="right"/>
              <w:rPr>
                <w:sz w:val="12"/>
              </w:rPr>
            </w:pPr>
            <w:r>
              <w:rPr>
                <w:color w:val="231F20"/>
                <w:w w:val="104"/>
                <w:sz w:val="12"/>
              </w:rPr>
              <w:t>-</w:t>
            </w:r>
          </w:p>
        </w:tc>
        <w:tc>
          <w:tcPr>
            <w:tcW w:w="154" w:type="dxa"/>
          </w:tcPr>
          <w:p>
            <w:pPr>
              <w:pStyle w:val="TableParagraph"/>
              <w:rPr>
                <w:rFonts w:ascii="Times New Roman"/>
                <w:sz w:val="12"/>
              </w:rPr>
            </w:pPr>
          </w:p>
        </w:tc>
        <w:tc>
          <w:tcPr>
            <w:tcW w:w="1133" w:type="dxa"/>
          </w:tcPr>
          <w:p>
            <w:pPr>
              <w:pStyle w:val="TableParagraph"/>
              <w:spacing w:before="19"/>
              <w:ind w:right="74"/>
              <w:jc w:val="right"/>
              <w:rPr>
                <w:sz w:val="12"/>
              </w:rPr>
            </w:pPr>
            <w:r>
              <w:rPr>
                <w:color w:val="231F20"/>
                <w:spacing w:val="-2"/>
                <w:w w:val="105"/>
                <w:sz w:val="12"/>
              </w:rPr>
              <w:t>47,294</w:t>
            </w:r>
          </w:p>
        </w:tc>
      </w:tr>
      <w:tr>
        <w:trPr>
          <w:trHeight w:val="343" w:hRule="atLeast"/>
        </w:trPr>
        <w:tc>
          <w:tcPr>
            <w:tcW w:w="3942" w:type="dxa"/>
          </w:tcPr>
          <w:p>
            <w:pPr>
              <w:pStyle w:val="TableParagraph"/>
              <w:spacing w:before="100"/>
              <w:ind w:left="371"/>
              <w:rPr>
                <w:sz w:val="12"/>
              </w:rPr>
            </w:pPr>
            <w:r>
              <w:rPr>
                <w:color w:val="231F20"/>
                <w:spacing w:val="-2"/>
                <w:w w:val="105"/>
                <w:sz w:val="12"/>
              </w:rPr>
              <w:t>Geosciences</w:t>
            </w:r>
          </w:p>
        </w:tc>
        <w:tc>
          <w:tcPr>
            <w:tcW w:w="1420" w:type="dxa"/>
          </w:tcPr>
          <w:p>
            <w:pPr>
              <w:pStyle w:val="TableParagraph"/>
              <w:spacing w:before="106"/>
              <w:ind w:right="165"/>
              <w:jc w:val="right"/>
              <w:rPr>
                <w:sz w:val="12"/>
              </w:rPr>
            </w:pPr>
            <w:r>
              <w:rPr>
                <w:color w:val="231F20"/>
                <w:spacing w:val="-4"/>
                <w:w w:val="105"/>
                <w:sz w:val="12"/>
              </w:rPr>
              <w:t>PGLS2</w:t>
            </w:r>
          </w:p>
        </w:tc>
        <w:tc>
          <w:tcPr>
            <w:tcW w:w="3066" w:type="dxa"/>
          </w:tcPr>
          <w:p>
            <w:pPr>
              <w:pStyle w:val="TableParagraph"/>
              <w:spacing w:before="100"/>
              <w:ind w:left="148"/>
              <w:rPr>
                <w:sz w:val="12"/>
              </w:rPr>
            </w:pPr>
            <w:r>
              <w:rPr>
                <w:color w:val="231F20"/>
                <w:spacing w:val="-2"/>
                <w:w w:val="105"/>
                <w:sz w:val="12"/>
              </w:rPr>
              <w:t>Incorporated</w:t>
            </w:r>
            <w:r>
              <w:rPr>
                <w:color w:val="231F20"/>
                <w:spacing w:val="7"/>
                <w:w w:val="105"/>
                <w:sz w:val="12"/>
              </w:rPr>
              <w:t> </w:t>
            </w:r>
            <w:r>
              <w:rPr>
                <w:color w:val="231F20"/>
                <w:spacing w:val="-2"/>
                <w:w w:val="105"/>
                <w:sz w:val="12"/>
              </w:rPr>
              <w:t>Research</w:t>
            </w:r>
            <w:r>
              <w:rPr>
                <w:color w:val="231F20"/>
                <w:spacing w:val="7"/>
                <w:w w:val="105"/>
                <w:sz w:val="12"/>
              </w:rPr>
              <w:t> </w:t>
            </w:r>
            <w:r>
              <w:rPr>
                <w:color w:val="231F20"/>
                <w:spacing w:val="-2"/>
                <w:w w:val="105"/>
                <w:sz w:val="12"/>
              </w:rPr>
              <w:t>Institutions</w:t>
            </w:r>
            <w:r>
              <w:rPr>
                <w:color w:val="231F20"/>
                <w:spacing w:val="6"/>
                <w:w w:val="105"/>
                <w:sz w:val="12"/>
              </w:rPr>
              <w:t> </w:t>
            </w:r>
            <w:r>
              <w:rPr>
                <w:color w:val="231F20"/>
                <w:spacing w:val="-2"/>
                <w:w w:val="105"/>
                <w:sz w:val="12"/>
              </w:rPr>
              <w:t>for</w:t>
            </w:r>
            <w:r>
              <w:rPr>
                <w:color w:val="231F20"/>
                <w:spacing w:val="8"/>
                <w:w w:val="105"/>
                <w:sz w:val="12"/>
              </w:rPr>
              <w:t> </w:t>
            </w:r>
            <w:r>
              <w:rPr>
                <w:color w:val="231F20"/>
                <w:spacing w:val="-2"/>
                <w:w w:val="105"/>
                <w:sz w:val="12"/>
              </w:rPr>
              <w:t>Seismology</w:t>
            </w:r>
          </w:p>
        </w:tc>
        <w:tc>
          <w:tcPr>
            <w:tcW w:w="2169" w:type="dxa"/>
          </w:tcPr>
          <w:p>
            <w:pPr>
              <w:pStyle w:val="TableParagraph"/>
              <w:spacing w:before="100"/>
              <w:ind w:left="132"/>
              <w:rPr>
                <w:sz w:val="12"/>
              </w:rPr>
            </w:pPr>
            <w:r>
              <w:rPr>
                <w:color w:val="231F20"/>
                <w:sz w:val="12"/>
              </w:rPr>
              <w:t>95-NMT-</w:t>
            </w:r>
            <w:r>
              <w:rPr>
                <w:color w:val="231F20"/>
                <w:spacing w:val="-2"/>
                <w:sz w:val="12"/>
              </w:rPr>
              <w:t>GLISN2</w:t>
            </w:r>
          </w:p>
        </w:tc>
        <w:tc>
          <w:tcPr>
            <w:tcW w:w="1400" w:type="dxa"/>
          </w:tcPr>
          <w:p>
            <w:pPr>
              <w:pStyle w:val="TableParagraph"/>
              <w:spacing w:before="106"/>
              <w:ind w:right="386"/>
              <w:jc w:val="right"/>
              <w:rPr>
                <w:sz w:val="12"/>
              </w:rPr>
            </w:pPr>
            <w:r>
              <w:rPr>
                <w:color w:val="231F20"/>
                <w:spacing w:val="-2"/>
                <w:w w:val="105"/>
                <w:sz w:val="12"/>
              </w:rPr>
              <w:t>47.050</w:t>
            </w:r>
          </w:p>
        </w:tc>
        <w:tc>
          <w:tcPr>
            <w:tcW w:w="1133" w:type="dxa"/>
          </w:tcPr>
          <w:p>
            <w:pPr>
              <w:pStyle w:val="TableParagraph"/>
              <w:spacing w:before="106"/>
              <w:ind w:right="73"/>
              <w:jc w:val="right"/>
              <w:rPr>
                <w:sz w:val="12"/>
              </w:rPr>
            </w:pPr>
            <w:r>
              <w:rPr>
                <w:color w:val="231F20"/>
                <w:w w:val="104"/>
                <w:sz w:val="12"/>
              </w:rPr>
              <w:t>-</w:t>
            </w:r>
          </w:p>
        </w:tc>
        <w:tc>
          <w:tcPr>
            <w:tcW w:w="154" w:type="dxa"/>
          </w:tcPr>
          <w:p>
            <w:pPr>
              <w:pStyle w:val="TableParagraph"/>
              <w:rPr>
                <w:rFonts w:ascii="Times New Roman"/>
                <w:sz w:val="12"/>
              </w:rPr>
            </w:pPr>
          </w:p>
        </w:tc>
        <w:tc>
          <w:tcPr>
            <w:tcW w:w="1133" w:type="dxa"/>
          </w:tcPr>
          <w:p>
            <w:pPr>
              <w:pStyle w:val="TableParagraph"/>
              <w:spacing w:before="106"/>
              <w:ind w:right="74"/>
              <w:jc w:val="right"/>
              <w:rPr>
                <w:sz w:val="12"/>
              </w:rPr>
            </w:pPr>
            <w:r>
              <w:rPr>
                <w:color w:val="231F20"/>
                <w:spacing w:val="-2"/>
                <w:w w:val="105"/>
                <w:sz w:val="12"/>
              </w:rPr>
              <w:t>68,948</w:t>
            </w:r>
          </w:p>
        </w:tc>
      </w:tr>
      <w:tr>
        <w:trPr>
          <w:trHeight w:val="343" w:hRule="atLeast"/>
        </w:trPr>
        <w:tc>
          <w:tcPr>
            <w:tcW w:w="3942" w:type="dxa"/>
          </w:tcPr>
          <w:p>
            <w:pPr>
              <w:pStyle w:val="TableParagraph"/>
              <w:spacing w:before="100"/>
              <w:ind w:left="371"/>
              <w:rPr>
                <w:sz w:val="12"/>
              </w:rPr>
            </w:pPr>
            <w:r>
              <w:rPr>
                <w:color w:val="231F20"/>
                <w:spacing w:val="-2"/>
                <w:w w:val="105"/>
                <w:sz w:val="12"/>
              </w:rPr>
              <w:t>Geosciences</w:t>
            </w:r>
          </w:p>
        </w:tc>
        <w:tc>
          <w:tcPr>
            <w:tcW w:w="1420" w:type="dxa"/>
          </w:tcPr>
          <w:p>
            <w:pPr>
              <w:pStyle w:val="TableParagraph"/>
              <w:spacing w:before="105"/>
              <w:ind w:right="189"/>
              <w:jc w:val="right"/>
              <w:rPr>
                <w:sz w:val="12"/>
              </w:rPr>
            </w:pPr>
            <w:r>
              <w:rPr>
                <w:color w:val="231F20"/>
                <w:spacing w:val="-4"/>
                <w:w w:val="105"/>
                <w:sz w:val="12"/>
              </w:rPr>
              <w:t>PNGE</w:t>
            </w:r>
          </w:p>
        </w:tc>
        <w:tc>
          <w:tcPr>
            <w:tcW w:w="3066" w:type="dxa"/>
          </w:tcPr>
          <w:p>
            <w:pPr>
              <w:pStyle w:val="TableParagraph"/>
              <w:spacing w:before="100"/>
              <w:ind w:left="148"/>
              <w:rPr>
                <w:sz w:val="12"/>
              </w:rPr>
            </w:pPr>
            <w:r>
              <w:rPr>
                <w:color w:val="231F20"/>
                <w:spacing w:val="-2"/>
                <w:w w:val="105"/>
                <w:sz w:val="12"/>
              </w:rPr>
              <w:t>Incorporated</w:t>
            </w:r>
            <w:r>
              <w:rPr>
                <w:color w:val="231F20"/>
                <w:spacing w:val="7"/>
                <w:w w:val="105"/>
                <w:sz w:val="12"/>
              </w:rPr>
              <w:t> </w:t>
            </w:r>
            <w:r>
              <w:rPr>
                <w:color w:val="231F20"/>
                <w:spacing w:val="-2"/>
                <w:w w:val="105"/>
                <w:sz w:val="12"/>
              </w:rPr>
              <w:t>Research</w:t>
            </w:r>
            <w:r>
              <w:rPr>
                <w:color w:val="231F20"/>
                <w:spacing w:val="7"/>
                <w:w w:val="105"/>
                <w:sz w:val="12"/>
              </w:rPr>
              <w:t> </w:t>
            </w:r>
            <w:r>
              <w:rPr>
                <w:color w:val="231F20"/>
                <w:spacing w:val="-2"/>
                <w:w w:val="105"/>
                <w:sz w:val="12"/>
              </w:rPr>
              <w:t>Institutions</w:t>
            </w:r>
            <w:r>
              <w:rPr>
                <w:color w:val="231F20"/>
                <w:spacing w:val="6"/>
                <w:w w:val="105"/>
                <w:sz w:val="12"/>
              </w:rPr>
              <w:t> </w:t>
            </w:r>
            <w:r>
              <w:rPr>
                <w:color w:val="231F20"/>
                <w:spacing w:val="-2"/>
                <w:w w:val="105"/>
                <w:sz w:val="12"/>
              </w:rPr>
              <w:t>for</w:t>
            </w:r>
            <w:r>
              <w:rPr>
                <w:color w:val="231F20"/>
                <w:spacing w:val="8"/>
                <w:w w:val="105"/>
                <w:sz w:val="12"/>
              </w:rPr>
              <w:t> </w:t>
            </w:r>
            <w:r>
              <w:rPr>
                <w:color w:val="231F20"/>
                <w:spacing w:val="-2"/>
                <w:w w:val="105"/>
                <w:sz w:val="12"/>
              </w:rPr>
              <w:t>Seismology</w:t>
            </w:r>
          </w:p>
        </w:tc>
        <w:tc>
          <w:tcPr>
            <w:tcW w:w="2169" w:type="dxa"/>
          </w:tcPr>
          <w:p>
            <w:pPr>
              <w:pStyle w:val="TableParagraph"/>
              <w:spacing w:before="100"/>
              <w:ind w:left="133"/>
              <w:rPr>
                <w:sz w:val="12"/>
              </w:rPr>
            </w:pPr>
            <w:r>
              <w:rPr>
                <w:color w:val="231F20"/>
                <w:sz w:val="12"/>
              </w:rPr>
              <w:t>SU-19-1001-04-</w:t>
            </w:r>
            <w:r>
              <w:rPr>
                <w:color w:val="231F20"/>
                <w:spacing w:val="-5"/>
                <w:sz w:val="12"/>
              </w:rPr>
              <w:t>NMT</w:t>
            </w:r>
          </w:p>
        </w:tc>
        <w:tc>
          <w:tcPr>
            <w:tcW w:w="1400" w:type="dxa"/>
          </w:tcPr>
          <w:p>
            <w:pPr>
              <w:pStyle w:val="TableParagraph"/>
              <w:spacing w:before="105"/>
              <w:ind w:right="386"/>
              <w:jc w:val="right"/>
              <w:rPr>
                <w:sz w:val="12"/>
              </w:rPr>
            </w:pPr>
            <w:r>
              <w:rPr>
                <w:color w:val="231F20"/>
                <w:spacing w:val="-2"/>
                <w:w w:val="105"/>
                <w:sz w:val="12"/>
              </w:rPr>
              <w:t>47.050</w:t>
            </w:r>
          </w:p>
        </w:tc>
        <w:tc>
          <w:tcPr>
            <w:tcW w:w="1133" w:type="dxa"/>
          </w:tcPr>
          <w:p>
            <w:pPr>
              <w:pStyle w:val="TableParagraph"/>
              <w:spacing w:before="105"/>
              <w:ind w:right="73"/>
              <w:jc w:val="right"/>
              <w:rPr>
                <w:sz w:val="12"/>
              </w:rPr>
            </w:pPr>
            <w:r>
              <w:rPr>
                <w:color w:val="231F20"/>
                <w:w w:val="104"/>
                <w:sz w:val="12"/>
              </w:rPr>
              <w:t>-</w:t>
            </w:r>
          </w:p>
        </w:tc>
        <w:tc>
          <w:tcPr>
            <w:tcW w:w="154" w:type="dxa"/>
          </w:tcPr>
          <w:p>
            <w:pPr>
              <w:pStyle w:val="TableParagraph"/>
              <w:rPr>
                <w:rFonts w:ascii="Times New Roman"/>
                <w:sz w:val="12"/>
              </w:rPr>
            </w:pPr>
          </w:p>
        </w:tc>
        <w:tc>
          <w:tcPr>
            <w:tcW w:w="1133" w:type="dxa"/>
          </w:tcPr>
          <w:p>
            <w:pPr>
              <w:pStyle w:val="TableParagraph"/>
              <w:spacing w:before="105"/>
              <w:ind w:right="33"/>
              <w:jc w:val="right"/>
              <w:rPr>
                <w:sz w:val="12"/>
              </w:rPr>
            </w:pPr>
            <w:r>
              <w:rPr>
                <w:color w:val="231F20"/>
                <w:spacing w:val="-4"/>
                <w:w w:val="105"/>
                <w:sz w:val="12"/>
              </w:rPr>
              <w:t>(10)</w:t>
            </w:r>
          </w:p>
        </w:tc>
      </w:tr>
      <w:tr>
        <w:trPr>
          <w:trHeight w:val="343" w:hRule="atLeast"/>
        </w:trPr>
        <w:tc>
          <w:tcPr>
            <w:tcW w:w="3942" w:type="dxa"/>
          </w:tcPr>
          <w:p>
            <w:pPr>
              <w:pStyle w:val="TableParagraph"/>
              <w:spacing w:before="100"/>
              <w:ind w:left="371"/>
              <w:rPr>
                <w:sz w:val="12"/>
              </w:rPr>
            </w:pPr>
            <w:r>
              <w:rPr>
                <w:color w:val="231F20"/>
                <w:spacing w:val="-2"/>
                <w:w w:val="105"/>
                <w:sz w:val="12"/>
              </w:rPr>
              <w:t>Geosciences</w:t>
            </w:r>
          </w:p>
        </w:tc>
        <w:tc>
          <w:tcPr>
            <w:tcW w:w="1420" w:type="dxa"/>
          </w:tcPr>
          <w:p>
            <w:pPr>
              <w:pStyle w:val="TableParagraph"/>
              <w:spacing w:before="106"/>
              <w:ind w:right="154"/>
              <w:jc w:val="right"/>
              <w:rPr>
                <w:sz w:val="12"/>
              </w:rPr>
            </w:pPr>
            <w:r>
              <w:rPr>
                <w:color w:val="231F20"/>
                <w:spacing w:val="-2"/>
                <w:w w:val="105"/>
                <w:sz w:val="12"/>
              </w:rPr>
              <w:t>PNGE3</w:t>
            </w:r>
          </w:p>
        </w:tc>
        <w:tc>
          <w:tcPr>
            <w:tcW w:w="3066" w:type="dxa"/>
          </w:tcPr>
          <w:p>
            <w:pPr>
              <w:pStyle w:val="TableParagraph"/>
              <w:spacing w:before="100"/>
              <w:ind w:left="147"/>
              <w:rPr>
                <w:sz w:val="12"/>
              </w:rPr>
            </w:pPr>
            <w:r>
              <w:rPr>
                <w:color w:val="231F20"/>
                <w:spacing w:val="-2"/>
                <w:w w:val="105"/>
                <w:sz w:val="12"/>
              </w:rPr>
              <w:t>Incorporated</w:t>
            </w:r>
            <w:r>
              <w:rPr>
                <w:color w:val="231F20"/>
                <w:spacing w:val="7"/>
                <w:w w:val="105"/>
                <w:sz w:val="12"/>
              </w:rPr>
              <w:t> </w:t>
            </w:r>
            <w:r>
              <w:rPr>
                <w:color w:val="231F20"/>
                <w:spacing w:val="-2"/>
                <w:w w:val="105"/>
                <w:sz w:val="12"/>
              </w:rPr>
              <w:t>Research</w:t>
            </w:r>
            <w:r>
              <w:rPr>
                <w:color w:val="231F20"/>
                <w:spacing w:val="7"/>
                <w:w w:val="105"/>
                <w:sz w:val="12"/>
              </w:rPr>
              <w:t> </w:t>
            </w:r>
            <w:r>
              <w:rPr>
                <w:color w:val="231F20"/>
                <w:spacing w:val="-2"/>
                <w:w w:val="105"/>
                <w:sz w:val="12"/>
              </w:rPr>
              <w:t>Institutions</w:t>
            </w:r>
            <w:r>
              <w:rPr>
                <w:color w:val="231F20"/>
                <w:spacing w:val="6"/>
                <w:w w:val="105"/>
                <w:sz w:val="12"/>
              </w:rPr>
              <w:t> </w:t>
            </w:r>
            <w:r>
              <w:rPr>
                <w:color w:val="231F20"/>
                <w:spacing w:val="-2"/>
                <w:w w:val="105"/>
                <w:sz w:val="12"/>
              </w:rPr>
              <w:t>for</w:t>
            </w:r>
            <w:r>
              <w:rPr>
                <w:color w:val="231F20"/>
                <w:spacing w:val="8"/>
                <w:w w:val="105"/>
                <w:sz w:val="12"/>
              </w:rPr>
              <w:t> </w:t>
            </w:r>
            <w:r>
              <w:rPr>
                <w:color w:val="231F20"/>
                <w:spacing w:val="-2"/>
                <w:w w:val="105"/>
                <w:sz w:val="12"/>
              </w:rPr>
              <w:t>Seismology</w:t>
            </w:r>
          </w:p>
        </w:tc>
        <w:tc>
          <w:tcPr>
            <w:tcW w:w="2169" w:type="dxa"/>
          </w:tcPr>
          <w:p>
            <w:pPr>
              <w:pStyle w:val="TableParagraph"/>
              <w:spacing w:before="100"/>
              <w:ind w:left="133"/>
              <w:rPr>
                <w:sz w:val="12"/>
              </w:rPr>
            </w:pPr>
            <w:r>
              <w:rPr>
                <w:color w:val="231F20"/>
                <w:sz w:val="12"/>
              </w:rPr>
              <w:t>SU-19-1001-04-</w:t>
            </w:r>
            <w:r>
              <w:rPr>
                <w:color w:val="231F20"/>
                <w:spacing w:val="-5"/>
                <w:sz w:val="12"/>
              </w:rPr>
              <w:t>NMT</w:t>
            </w:r>
          </w:p>
        </w:tc>
        <w:tc>
          <w:tcPr>
            <w:tcW w:w="1400" w:type="dxa"/>
          </w:tcPr>
          <w:p>
            <w:pPr>
              <w:pStyle w:val="TableParagraph"/>
              <w:spacing w:before="106"/>
              <w:ind w:right="386"/>
              <w:jc w:val="right"/>
              <w:rPr>
                <w:sz w:val="12"/>
              </w:rPr>
            </w:pPr>
            <w:r>
              <w:rPr>
                <w:color w:val="231F20"/>
                <w:spacing w:val="-2"/>
                <w:w w:val="105"/>
                <w:sz w:val="12"/>
              </w:rPr>
              <w:t>47.050</w:t>
            </w:r>
          </w:p>
        </w:tc>
        <w:tc>
          <w:tcPr>
            <w:tcW w:w="1133" w:type="dxa"/>
          </w:tcPr>
          <w:p>
            <w:pPr>
              <w:pStyle w:val="TableParagraph"/>
              <w:spacing w:before="106"/>
              <w:ind w:right="73"/>
              <w:jc w:val="right"/>
              <w:rPr>
                <w:sz w:val="12"/>
              </w:rPr>
            </w:pPr>
            <w:r>
              <w:rPr>
                <w:color w:val="231F20"/>
                <w:w w:val="104"/>
                <w:sz w:val="12"/>
              </w:rPr>
              <w:t>-</w:t>
            </w:r>
          </w:p>
        </w:tc>
        <w:tc>
          <w:tcPr>
            <w:tcW w:w="154" w:type="dxa"/>
          </w:tcPr>
          <w:p>
            <w:pPr>
              <w:pStyle w:val="TableParagraph"/>
              <w:rPr>
                <w:rFonts w:ascii="Times New Roman"/>
                <w:sz w:val="12"/>
              </w:rPr>
            </w:pPr>
          </w:p>
        </w:tc>
        <w:tc>
          <w:tcPr>
            <w:tcW w:w="1133" w:type="dxa"/>
          </w:tcPr>
          <w:p>
            <w:pPr>
              <w:pStyle w:val="TableParagraph"/>
              <w:spacing w:before="106"/>
              <w:ind w:right="74"/>
              <w:jc w:val="right"/>
              <w:rPr>
                <w:sz w:val="12"/>
              </w:rPr>
            </w:pPr>
            <w:r>
              <w:rPr>
                <w:color w:val="231F20"/>
                <w:spacing w:val="-2"/>
                <w:w w:val="105"/>
                <w:sz w:val="12"/>
              </w:rPr>
              <w:t>1,295,719</w:t>
            </w:r>
          </w:p>
        </w:tc>
      </w:tr>
      <w:tr>
        <w:trPr>
          <w:trHeight w:val="344" w:hRule="atLeast"/>
        </w:trPr>
        <w:tc>
          <w:tcPr>
            <w:tcW w:w="3942" w:type="dxa"/>
          </w:tcPr>
          <w:p>
            <w:pPr>
              <w:pStyle w:val="TableParagraph"/>
              <w:spacing w:before="100"/>
              <w:ind w:left="371"/>
              <w:rPr>
                <w:sz w:val="12"/>
              </w:rPr>
            </w:pPr>
            <w:r>
              <w:rPr>
                <w:color w:val="231F20"/>
                <w:spacing w:val="-2"/>
                <w:w w:val="105"/>
                <w:sz w:val="12"/>
              </w:rPr>
              <w:t>Geosciences</w:t>
            </w:r>
          </w:p>
        </w:tc>
        <w:tc>
          <w:tcPr>
            <w:tcW w:w="1420" w:type="dxa"/>
          </w:tcPr>
          <w:p>
            <w:pPr>
              <w:pStyle w:val="TableParagraph"/>
              <w:spacing w:before="105"/>
              <w:ind w:right="154"/>
              <w:jc w:val="right"/>
              <w:rPr>
                <w:sz w:val="12"/>
              </w:rPr>
            </w:pPr>
            <w:r>
              <w:rPr>
                <w:color w:val="231F20"/>
                <w:spacing w:val="-2"/>
                <w:w w:val="105"/>
                <w:sz w:val="12"/>
              </w:rPr>
              <w:t>PNGE4</w:t>
            </w:r>
          </w:p>
        </w:tc>
        <w:tc>
          <w:tcPr>
            <w:tcW w:w="3066" w:type="dxa"/>
          </w:tcPr>
          <w:p>
            <w:pPr>
              <w:pStyle w:val="TableParagraph"/>
              <w:spacing w:before="100"/>
              <w:ind w:left="147"/>
              <w:rPr>
                <w:sz w:val="12"/>
              </w:rPr>
            </w:pPr>
            <w:r>
              <w:rPr>
                <w:color w:val="231F20"/>
                <w:spacing w:val="-2"/>
                <w:w w:val="105"/>
                <w:sz w:val="12"/>
              </w:rPr>
              <w:t>Incorporated</w:t>
            </w:r>
            <w:r>
              <w:rPr>
                <w:color w:val="231F20"/>
                <w:spacing w:val="7"/>
                <w:w w:val="105"/>
                <w:sz w:val="12"/>
              </w:rPr>
              <w:t> </w:t>
            </w:r>
            <w:r>
              <w:rPr>
                <w:color w:val="231F20"/>
                <w:spacing w:val="-2"/>
                <w:w w:val="105"/>
                <w:sz w:val="12"/>
              </w:rPr>
              <w:t>Research</w:t>
            </w:r>
            <w:r>
              <w:rPr>
                <w:color w:val="231F20"/>
                <w:spacing w:val="7"/>
                <w:w w:val="105"/>
                <w:sz w:val="12"/>
              </w:rPr>
              <w:t> </w:t>
            </w:r>
            <w:r>
              <w:rPr>
                <w:color w:val="231F20"/>
                <w:spacing w:val="-2"/>
                <w:w w:val="105"/>
                <w:sz w:val="12"/>
              </w:rPr>
              <w:t>Institutions</w:t>
            </w:r>
            <w:r>
              <w:rPr>
                <w:color w:val="231F20"/>
                <w:spacing w:val="6"/>
                <w:w w:val="105"/>
                <w:sz w:val="12"/>
              </w:rPr>
              <w:t> </w:t>
            </w:r>
            <w:r>
              <w:rPr>
                <w:color w:val="231F20"/>
                <w:spacing w:val="-2"/>
                <w:w w:val="105"/>
                <w:sz w:val="12"/>
              </w:rPr>
              <w:t>for</w:t>
            </w:r>
            <w:r>
              <w:rPr>
                <w:color w:val="231F20"/>
                <w:spacing w:val="8"/>
                <w:w w:val="105"/>
                <w:sz w:val="12"/>
              </w:rPr>
              <w:t> </w:t>
            </w:r>
            <w:r>
              <w:rPr>
                <w:color w:val="231F20"/>
                <w:spacing w:val="-2"/>
                <w:w w:val="105"/>
                <w:sz w:val="12"/>
              </w:rPr>
              <w:t>Seismology</w:t>
            </w:r>
          </w:p>
        </w:tc>
        <w:tc>
          <w:tcPr>
            <w:tcW w:w="2169" w:type="dxa"/>
          </w:tcPr>
          <w:p>
            <w:pPr>
              <w:pStyle w:val="TableParagraph"/>
              <w:spacing w:before="100"/>
              <w:ind w:left="133"/>
              <w:rPr>
                <w:sz w:val="12"/>
              </w:rPr>
            </w:pPr>
            <w:r>
              <w:rPr>
                <w:color w:val="231F20"/>
                <w:sz w:val="12"/>
              </w:rPr>
              <w:t>SU-19-1001-04-</w:t>
            </w:r>
            <w:r>
              <w:rPr>
                <w:color w:val="231F20"/>
                <w:spacing w:val="-5"/>
                <w:sz w:val="12"/>
              </w:rPr>
              <w:t>NMT</w:t>
            </w:r>
          </w:p>
        </w:tc>
        <w:tc>
          <w:tcPr>
            <w:tcW w:w="1400" w:type="dxa"/>
          </w:tcPr>
          <w:p>
            <w:pPr>
              <w:pStyle w:val="TableParagraph"/>
              <w:spacing w:before="106"/>
              <w:ind w:right="386"/>
              <w:jc w:val="right"/>
              <w:rPr>
                <w:sz w:val="12"/>
              </w:rPr>
            </w:pPr>
            <w:r>
              <w:rPr>
                <w:color w:val="231F20"/>
                <w:spacing w:val="-2"/>
                <w:w w:val="105"/>
                <w:sz w:val="12"/>
              </w:rPr>
              <w:t>47.050</w:t>
            </w:r>
          </w:p>
        </w:tc>
        <w:tc>
          <w:tcPr>
            <w:tcW w:w="1133" w:type="dxa"/>
          </w:tcPr>
          <w:p>
            <w:pPr>
              <w:pStyle w:val="TableParagraph"/>
              <w:spacing w:before="106"/>
              <w:ind w:right="74"/>
              <w:jc w:val="right"/>
              <w:rPr>
                <w:sz w:val="12"/>
              </w:rPr>
            </w:pPr>
            <w:r>
              <w:rPr>
                <w:color w:val="231F20"/>
                <w:w w:val="104"/>
                <w:sz w:val="12"/>
              </w:rPr>
              <w:t>-</w:t>
            </w:r>
          </w:p>
        </w:tc>
        <w:tc>
          <w:tcPr>
            <w:tcW w:w="154" w:type="dxa"/>
          </w:tcPr>
          <w:p>
            <w:pPr>
              <w:pStyle w:val="TableParagraph"/>
              <w:rPr>
                <w:rFonts w:ascii="Times New Roman"/>
                <w:sz w:val="12"/>
              </w:rPr>
            </w:pPr>
          </w:p>
        </w:tc>
        <w:tc>
          <w:tcPr>
            <w:tcW w:w="1133" w:type="dxa"/>
          </w:tcPr>
          <w:p>
            <w:pPr>
              <w:pStyle w:val="TableParagraph"/>
              <w:spacing w:before="106"/>
              <w:ind w:right="73"/>
              <w:jc w:val="right"/>
              <w:rPr>
                <w:sz w:val="12"/>
              </w:rPr>
            </w:pPr>
            <w:r>
              <w:rPr>
                <w:color w:val="231F20"/>
                <w:spacing w:val="-2"/>
                <w:w w:val="105"/>
                <w:sz w:val="12"/>
              </w:rPr>
              <w:t>2,658,201</w:t>
            </w:r>
          </w:p>
        </w:tc>
      </w:tr>
      <w:tr>
        <w:trPr>
          <w:trHeight w:val="257" w:hRule="atLeast"/>
        </w:trPr>
        <w:tc>
          <w:tcPr>
            <w:tcW w:w="3942" w:type="dxa"/>
          </w:tcPr>
          <w:p>
            <w:pPr>
              <w:pStyle w:val="TableParagraph"/>
              <w:spacing w:line="138" w:lineRule="exact" w:before="100"/>
              <w:ind w:left="373"/>
              <w:rPr>
                <w:sz w:val="12"/>
              </w:rPr>
            </w:pPr>
            <w:r>
              <w:rPr>
                <w:color w:val="231F20"/>
                <w:spacing w:val="-2"/>
                <w:w w:val="105"/>
                <w:sz w:val="12"/>
              </w:rPr>
              <w:t>Geosciences</w:t>
            </w:r>
          </w:p>
        </w:tc>
        <w:tc>
          <w:tcPr>
            <w:tcW w:w="1420" w:type="dxa"/>
          </w:tcPr>
          <w:p>
            <w:pPr>
              <w:pStyle w:val="TableParagraph"/>
              <w:spacing w:line="132" w:lineRule="exact" w:before="106"/>
              <w:ind w:right="190"/>
              <w:jc w:val="right"/>
              <w:rPr>
                <w:sz w:val="12"/>
              </w:rPr>
            </w:pPr>
            <w:r>
              <w:rPr>
                <w:color w:val="231F20"/>
                <w:spacing w:val="-4"/>
                <w:w w:val="105"/>
                <w:sz w:val="12"/>
              </w:rPr>
              <w:t>PSAG</w:t>
            </w:r>
          </w:p>
        </w:tc>
        <w:tc>
          <w:tcPr>
            <w:tcW w:w="3066" w:type="dxa"/>
          </w:tcPr>
          <w:p>
            <w:pPr>
              <w:pStyle w:val="TableParagraph"/>
              <w:spacing w:line="138" w:lineRule="exact" w:before="100"/>
              <w:ind w:left="149"/>
              <w:rPr>
                <w:sz w:val="12"/>
              </w:rPr>
            </w:pPr>
            <w:r>
              <w:rPr>
                <w:color w:val="231F20"/>
                <w:spacing w:val="-2"/>
                <w:w w:val="105"/>
                <w:sz w:val="12"/>
              </w:rPr>
              <w:t>Incorporated</w:t>
            </w:r>
            <w:r>
              <w:rPr>
                <w:color w:val="231F20"/>
                <w:spacing w:val="7"/>
                <w:w w:val="105"/>
                <w:sz w:val="12"/>
              </w:rPr>
              <w:t> </w:t>
            </w:r>
            <w:r>
              <w:rPr>
                <w:color w:val="231F20"/>
                <w:spacing w:val="-2"/>
                <w:w w:val="105"/>
                <w:sz w:val="12"/>
              </w:rPr>
              <w:t>Research</w:t>
            </w:r>
            <w:r>
              <w:rPr>
                <w:color w:val="231F20"/>
                <w:spacing w:val="7"/>
                <w:w w:val="105"/>
                <w:sz w:val="12"/>
              </w:rPr>
              <w:t> </w:t>
            </w:r>
            <w:r>
              <w:rPr>
                <w:color w:val="231F20"/>
                <w:spacing w:val="-2"/>
                <w:w w:val="105"/>
                <w:sz w:val="12"/>
              </w:rPr>
              <w:t>Institutions</w:t>
            </w:r>
            <w:r>
              <w:rPr>
                <w:color w:val="231F20"/>
                <w:spacing w:val="6"/>
                <w:w w:val="105"/>
                <w:sz w:val="12"/>
              </w:rPr>
              <w:t> </w:t>
            </w:r>
            <w:r>
              <w:rPr>
                <w:color w:val="231F20"/>
                <w:spacing w:val="-2"/>
                <w:w w:val="105"/>
                <w:sz w:val="12"/>
              </w:rPr>
              <w:t>for</w:t>
            </w:r>
            <w:r>
              <w:rPr>
                <w:color w:val="231F20"/>
                <w:spacing w:val="8"/>
                <w:w w:val="105"/>
                <w:sz w:val="12"/>
              </w:rPr>
              <w:t> </w:t>
            </w:r>
            <w:r>
              <w:rPr>
                <w:color w:val="231F20"/>
                <w:spacing w:val="-2"/>
                <w:w w:val="105"/>
                <w:sz w:val="12"/>
              </w:rPr>
              <w:t>Seismology</w:t>
            </w:r>
          </w:p>
        </w:tc>
        <w:tc>
          <w:tcPr>
            <w:tcW w:w="2169" w:type="dxa"/>
          </w:tcPr>
          <w:p>
            <w:pPr>
              <w:pStyle w:val="TableParagraph"/>
              <w:spacing w:line="138" w:lineRule="exact" w:before="100"/>
              <w:ind w:left="134"/>
              <w:rPr>
                <w:sz w:val="12"/>
              </w:rPr>
            </w:pPr>
            <w:r>
              <w:rPr>
                <w:color w:val="231F20"/>
                <w:sz w:val="12"/>
              </w:rPr>
              <w:t>04-NMT-</w:t>
            </w:r>
            <w:r>
              <w:rPr>
                <w:color w:val="231F20"/>
                <w:spacing w:val="-4"/>
                <w:sz w:val="12"/>
              </w:rPr>
              <w:t>SAGE</w:t>
            </w:r>
          </w:p>
        </w:tc>
        <w:tc>
          <w:tcPr>
            <w:tcW w:w="1400" w:type="dxa"/>
          </w:tcPr>
          <w:p>
            <w:pPr>
              <w:pStyle w:val="TableParagraph"/>
              <w:spacing w:line="132" w:lineRule="exact" w:before="106"/>
              <w:ind w:right="385"/>
              <w:jc w:val="right"/>
              <w:rPr>
                <w:sz w:val="12"/>
              </w:rPr>
            </w:pPr>
            <w:r>
              <w:rPr>
                <w:color w:val="231F20"/>
                <w:spacing w:val="-2"/>
                <w:w w:val="105"/>
                <w:sz w:val="12"/>
              </w:rPr>
              <w:t>47.050</w:t>
            </w:r>
          </w:p>
        </w:tc>
        <w:tc>
          <w:tcPr>
            <w:tcW w:w="1133" w:type="dxa"/>
          </w:tcPr>
          <w:p>
            <w:pPr>
              <w:pStyle w:val="TableParagraph"/>
              <w:spacing w:line="132" w:lineRule="exact" w:before="106"/>
              <w:ind w:right="72"/>
              <w:jc w:val="right"/>
              <w:rPr>
                <w:sz w:val="12"/>
              </w:rPr>
            </w:pPr>
            <w:r>
              <w:rPr>
                <w:color w:val="231F20"/>
                <w:w w:val="104"/>
                <w:sz w:val="12"/>
              </w:rPr>
              <w:t>-</w:t>
            </w:r>
          </w:p>
        </w:tc>
        <w:tc>
          <w:tcPr>
            <w:tcW w:w="154" w:type="dxa"/>
          </w:tcPr>
          <w:p>
            <w:pPr>
              <w:pStyle w:val="TableParagraph"/>
              <w:rPr>
                <w:rFonts w:ascii="Times New Roman"/>
                <w:sz w:val="12"/>
              </w:rPr>
            </w:pPr>
          </w:p>
        </w:tc>
        <w:tc>
          <w:tcPr>
            <w:tcW w:w="1133" w:type="dxa"/>
          </w:tcPr>
          <w:p>
            <w:pPr>
              <w:pStyle w:val="TableParagraph"/>
              <w:spacing w:line="132" w:lineRule="exact" w:before="106"/>
              <w:ind w:right="72"/>
              <w:jc w:val="right"/>
              <w:rPr>
                <w:sz w:val="12"/>
              </w:rPr>
            </w:pPr>
            <w:r>
              <w:rPr>
                <w:color w:val="231F20"/>
                <w:spacing w:val="-2"/>
                <w:w w:val="105"/>
                <w:sz w:val="12"/>
              </w:rPr>
              <w:t>28,200</w:t>
            </w:r>
          </w:p>
        </w:tc>
      </w:tr>
      <w:tr>
        <w:trPr>
          <w:trHeight w:val="171" w:hRule="atLeast"/>
        </w:trPr>
        <w:tc>
          <w:tcPr>
            <w:tcW w:w="3942" w:type="dxa"/>
          </w:tcPr>
          <w:p>
            <w:pPr>
              <w:pStyle w:val="TableParagraph"/>
              <w:spacing w:line="138" w:lineRule="exact" w:before="14"/>
              <w:ind w:left="373"/>
              <w:rPr>
                <w:sz w:val="12"/>
              </w:rPr>
            </w:pPr>
            <w:r>
              <w:rPr>
                <w:color w:val="231F20"/>
                <w:w w:val="105"/>
                <w:sz w:val="12"/>
              </w:rPr>
              <w:t>Education</w:t>
            </w:r>
            <w:r>
              <w:rPr>
                <w:color w:val="231F20"/>
                <w:spacing w:val="-8"/>
                <w:w w:val="105"/>
                <w:sz w:val="12"/>
              </w:rPr>
              <w:t> </w:t>
            </w:r>
            <w:r>
              <w:rPr>
                <w:color w:val="231F20"/>
                <w:w w:val="105"/>
                <w:sz w:val="12"/>
              </w:rPr>
              <w:t>and</w:t>
            </w:r>
            <w:r>
              <w:rPr>
                <w:color w:val="231F20"/>
                <w:spacing w:val="-8"/>
                <w:w w:val="105"/>
                <w:sz w:val="12"/>
              </w:rPr>
              <w:t> </w:t>
            </w:r>
            <w:r>
              <w:rPr>
                <w:color w:val="231F20"/>
                <w:w w:val="105"/>
                <w:sz w:val="12"/>
              </w:rPr>
              <w:t>Human</w:t>
            </w:r>
            <w:r>
              <w:rPr>
                <w:color w:val="231F20"/>
                <w:spacing w:val="-8"/>
                <w:w w:val="105"/>
                <w:sz w:val="12"/>
              </w:rPr>
              <w:t> </w:t>
            </w:r>
            <w:r>
              <w:rPr>
                <w:color w:val="231F20"/>
                <w:spacing w:val="-2"/>
                <w:w w:val="105"/>
                <w:sz w:val="12"/>
              </w:rPr>
              <w:t>Resources</w:t>
            </w:r>
          </w:p>
        </w:tc>
        <w:tc>
          <w:tcPr>
            <w:tcW w:w="1420" w:type="dxa"/>
          </w:tcPr>
          <w:p>
            <w:pPr>
              <w:pStyle w:val="TableParagraph"/>
              <w:spacing w:line="132" w:lineRule="exact" w:before="20"/>
              <w:ind w:right="178"/>
              <w:jc w:val="right"/>
              <w:rPr>
                <w:sz w:val="12"/>
              </w:rPr>
            </w:pPr>
            <w:r>
              <w:rPr>
                <w:color w:val="231F20"/>
                <w:spacing w:val="-4"/>
                <w:w w:val="105"/>
                <w:sz w:val="12"/>
              </w:rPr>
              <w:t>MHQS</w:t>
            </w:r>
          </w:p>
        </w:tc>
        <w:tc>
          <w:tcPr>
            <w:tcW w:w="3066" w:type="dxa"/>
          </w:tcPr>
          <w:p>
            <w:pPr>
              <w:pStyle w:val="TableParagraph"/>
              <w:spacing w:line="138" w:lineRule="exact" w:before="14"/>
              <w:ind w:left="149"/>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169" w:type="dxa"/>
          </w:tcPr>
          <w:p>
            <w:pPr>
              <w:pStyle w:val="TableParagraph"/>
              <w:spacing w:line="138" w:lineRule="exact" w:before="14"/>
              <w:ind w:left="133"/>
              <w:rPr>
                <w:sz w:val="12"/>
              </w:rPr>
            </w:pPr>
            <w:r>
              <w:rPr>
                <w:color w:val="231F20"/>
                <w:spacing w:val="-2"/>
                <w:w w:val="105"/>
                <w:sz w:val="12"/>
              </w:rPr>
              <w:t>Q02015</w:t>
            </w:r>
          </w:p>
        </w:tc>
        <w:tc>
          <w:tcPr>
            <w:tcW w:w="1400" w:type="dxa"/>
          </w:tcPr>
          <w:p>
            <w:pPr>
              <w:pStyle w:val="TableParagraph"/>
              <w:spacing w:line="132" w:lineRule="exact" w:before="20"/>
              <w:ind w:right="384"/>
              <w:jc w:val="right"/>
              <w:rPr>
                <w:sz w:val="12"/>
              </w:rPr>
            </w:pPr>
            <w:r>
              <w:rPr>
                <w:color w:val="231F20"/>
                <w:spacing w:val="-2"/>
                <w:w w:val="105"/>
                <w:sz w:val="12"/>
              </w:rPr>
              <w:t>47.076</w:t>
            </w:r>
          </w:p>
        </w:tc>
        <w:tc>
          <w:tcPr>
            <w:tcW w:w="1133" w:type="dxa"/>
          </w:tcPr>
          <w:p>
            <w:pPr>
              <w:pStyle w:val="TableParagraph"/>
              <w:spacing w:line="132" w:lineRule="exact" w:before="20"/>
              <w:ind w:right="73"/>
              <w:jc w:val="right"/>
              <w:rPr>
                <w:sz w:val="12"/>
              </w:rPr>
            </w:pPr>
            <w:r>
              <w:rPr>
                <w:color w:val="231F20"/>
                <w:spacing w:val="-2"/>
                <w:w w:val="105"/>
                <w:sz w:val="12"/>
              </w:rPr>
              <w:t>8,543</w:t>
            </w:r>
          </w:p>
        </w:tc>
        <w:tc>
          <w:tcPr>
            <w:tcW w:w="154" w:type="dxa"/>
          </w:tcPr>
          <w:p>
            <w:pPr>
              <w:pStyle w:val="TableParagraph"/>
              <w:rPr>
                <w:rFonts w:ascii="Times New Roman"/>
                <w:sz w:val="10"/>
              </w:rPr>
            </w:pPr>
          </w:p>
        </w:tc>
        <w:tc>
          <w:tcPr>
            <w:tcW w:w="1133" w:type="dxa"/>
          </w:tcPr>
          <w:p>
            <w:pPr>
              <w:pStyle w:val="TableParagraph"/>
              <w:spacing w:line="132" w:lineRule="exact" w:before="20"/>
              <w:ind w:right="72"/>
              <w:jc w:val="right"/>
              <w:rPr>
                <w:sz w:val="12"/>
              </w:rPr>
            </w:pPr>
            <w:r>
              <w:rPr>
                <w:color w:val="231F20"/>
                <w:spacing w:val="-2"/>
                <w:w w:val="105"/>
                <w:sz w:val="12"/>
              </w:rPr>
              <w:t>218,853</w:t>
            </w:r>
          </w:p>
        </w:tc>
      </w:tr>
      <w:tr>
        <w:trPr>
          <w:trHeight w:val="171" w:hRule="atLeast"/>
        </w:trPr>
        <w:tc>
          <w:tcPr>
            <w:tcW w:w="3942" w:type="dxa"/>
          </w:tcPr>
          <w:p>
            <w:pPr>
              <w:pStyle w:val="TableParagraph"/>
              <w:spacing w:line="138" w:lineRule="exact" w:before="14"/>
              <w:ind w:left="373"/>
              <w:rPr>
                <w:sz w:val="12"/>
              </w:rPr>
            </w:pPr>
            <w:r>
              <w:rPr>
                <w:color w:val="231F20"/>
                <w:w w:val="105"/>
                <w:sz w:val="12"/>
              </w:rPr>
              <w:t>Education</w:t>
            </w:r>
            <w:r>
              <w:rPr>
                <w:color w:val="231F20"/>
                <w:spacing w:val="-8"/>
                <w:w w:val="105"/>
                <w:sz w:val="12"/>
              </w:rPr>
              <w:t> </w:t>
            </w:r>
            <w:r>
              <w:rPr>
                <w:color w:val="231F20"/>
                <w:w w:val="105"/>
                <w:sz w:val="12"/>
              </w:rPr>
              <w:t>and</w:t>
            </w:r>
            <w:r>
              <w:rPr>
                <w:color w:val="231F20"/>
                <w:spacing w:val="-8"/>
                <w:w w:val="105"/>
                <w:sz w:val="12"/>
              </w:rPr>
              <w:t> </w:t>
            </w:r>
            <w:r>
              <w:rPr>
                <w:color w:val="231F20"/>
                <w:w w:val="105"/>
                <w:sz w:val="12"/>
              </w:rPr>
              <w:t>Human</w:t>
            </w:r>
            <w:r>
              <w:rPr>
                <w:color w:val="231F20"/>
                <w:spacing w:val="-8"/>
                <w:w w:val="105"/>
                <w:sz w:val="12"/>
              </w:rPr>
              <w:t> </w:t>
            </w:r>
            <w:r>
              <w:rPr>
                <w:color w:val="231F20"/>
                <w:spacing w:val="-2"/>
                <w:w w:val="105"/>
                <w:sz w:val="12"/>
              </w:rPr>
              <w:t>Resources</w:t>
            </w:r>
          </w:p>
        </w:tc>
        <w:tc>
          <w:tcPr>
            <w:tcW w:w="1420" w:type="dxa"/>
          </w:tcPr>
          <w:p>
            <w:pPr>
              <w:pStyle w:val="TableParagraph"/>
              <w:spacing w:line="132" w:lineRule="exact" w:before="20"/>
              <w:ind w:right="146"/>
              <w:jc w:val="right"/>
              <w:rPr>
                <w:sz w:val="12"/>
              </w:rPr>
            </w:pPr>
            <w:r>
              <w:rPr>
                <w:color w:val="231F20"/>
                <w:spacing w:val="-2"/>
                <w:w w:val="105"/>
                <w:sz w:val="12"/>
              </w:rPr>
              <w:t>MAMT6</w:t>
            </w:r>
          </w:p>
        </w:tc>
        <w:tc>
          <w:tcPr>
            <w:tcW w:w="3066" w:type="dxa"/>
          </w:tcPr>
          <w:p>
            <w:pPr>
              <w:pStyle w:val="TableParagraph"/>
              <w:spacing w:line="138" w:lineRule="exact" w:before="14"/>
              <w:ind w:left="149"/>
              <w:rPr>
                <w:sz w:val="12"/>
              </w:rPr>
            </w:pPr>
            <w:r>
              <w:rPr>
                <w:color w:val="231F20"/>
                <w:w w:val="105"/>
                <w:sz w:val="12"/>
              </w:rPr>
              <w:t>Regents</w:t>
            </w:r>
            <w:r>
              <w:rPr>
                <w:color w:val="231F20"/>
                <w:spacing w:val="-6"/>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5"/>
                <w:w w:val="105"/>
                <w:sz w:val="12"/>
              </w:rPr>
              <w:t> </w:t>
            </w:r>
            <w:r>
              <w:rPr>
                <w:color w:val="231F20"/>
                <w:spacing w:val="-2"/>
                <w:w w:val="105"/>
                <w:sz w:val="12"/>
              </w:rPr>
              <w:t>University</w:t>
            </w:r>
          </w:p>
        </w:tc>
        <w:tc>
          <w:tcPr>
            <w:tcW w:w="2169" w:type="dxa"/>
          </w:tcPr>
          <w:p>
            <w:pPr>
              <w:pStyle w:val="TableParagraph"/>
              <w:spacing w:line="138" w:lineRule="exact" w:before="14"/>
              <w:ind w:left="133"/>
              <w:rPr>
                <w:sz w:val="12"/>
              </w:rPr>
            </w:pPr>
            <w:r>
              <w:rPr>
                <w:color w:val="231F20"/>
                <w:spacing w:val="-2"/>
                <w:w w:val="105"/>
                <w:sz w:val="12"/>
              </w:rPr>
              <w:t>Q02003</w:t>
            </w:r>
          </w:p>
        </w:tc>
        <w:tc>
          <w:tcPr>
            <w:tcW w:w="1400" w:type="dxa"/>
          </w:tcPr>
          <w:p>
            <w:pPr>
              <w:pStyle w:val="TableParagraph"/>
              <w:spacing w:line="132" w:lineRule="exact" w:before="20"/>
              <w:ind w:right="385"/>
              <w:jc w:val="right"/>
              <w:rPr>
                <w:sz w:val="12"/>
              </w:rPr>
            </w:pPr>
            <w:r>
              <w:rPr>
                <w:color w:val="231F20"/>
                <w:spacing w:val="-2"/>
                <w:w w:val="105"/>
                <w:sz w:val="12"/>
              </w:rPr>
              <w:t>47.076</w:t>
            </w:r>
          </w:p>
        </w:tc>
        <w:tc>
          <w:tcPr>
            <w:tcW w:w="1133" w:type="dxa"/>
          </w:tcPr>
          <w:p>
            <w:pPr>
              <w:pStyle w:val="TableParagraph"/>
              <w:spacing w:line="132" w:lineRule="exact" w:before="20"/>
              <w:ind w:right="72"/>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2"/>
              <w:jc w:val="right"/>
              <w:rPr>
                <w:sz w:val="12"/>
              </w:rPr>
            </w:pPr>
            <w:r>
              <w:rPr>
                <w:color w:val="231F20"/>
                <w:spacing w:val="-2"/>
                <w:w w:val="105"/>
                <w:sz w:val="12"/>
              </w:rPr>
              <w:t>44,997</w:t>
            </w:r>
          </w:p>
        </w:tc>
      </w:tr>
      <w:tr>
        <w:trPr>
          <w:trHeight w:val="172" w:hRule="atLeast"/>
        </w:trPr>
        <w:tc>
          <w:tcPr>
            <w:tcW w:w="3942" w:type="dxa"/>
          </w:tcPr>
          <w:p>
            <w:pPr>
              <w:pStyle w:val="TableParagraph"/>
              <w:spacing w:before="14"/>
              <w:ind w:left="373"/>
              <w:rPr>
                <w:sz w:val="12"/>
              </w:rPr>
            </w:pPr>
            <w:r>
              <w:rPr>
                <w:color w:val="231F20"/>
                <w:spacing w:val="-2"/>
                <w:w w:val="105"/>
                <w:sz w:val="12"/>
              </w:rPr>
              <w:t>Integrative</w:t>
            </w:r>
            <w:r>
              <w:rPr>
                <w:color w:val="231F20"/>
                <w:spacing w:val="6"/>
                <w:w w:val="105"/>
                <w:sz w:val="12"/>
              </w:rPr>
              <w:t> </w:t>
            </w:r>
            <w:r>
              <w:rPr>
                <w:color w:val="231F20"/>
                <w:spacing w:val="-2"/>
                <w:w w:val="105"/>
                <w:sz w:val="12"/>
              </w:rPr>
              <w:t>Activities</w:t>
            </w:r>
          </w:p>
        </w:tc>
        <w:tc>
          <w:tcPr>
            <w:tcW w:w="1420" w:type="dxa"/>
          </w:tcPr>
          <w:p>
            <w:pPr>
              <w:pStyle w:val="TableParagraph"/>
              <w:spacing w:line="132" w:lineRule="exact" w:before="20"/>
              <w:ind w:right="174"/>
              <w:jc w:val="right"/>
              <w:rPr>
                <w:sz w:val="12"/>
              </w:rPr>
            </w:pPr>
            <w:r>
              <w:rPr>
                <w:color w:val="231F20"/>
                <w:spacing w:val="-4"/>
                <w:w w:val="105"/>
                <w:sz w:val="12"/>
              </w:rPr>
              <w:t>MGRD</w:t>
            </w:r>
          </w:p>
        </w:tc>
        <w:tc>
          <w:tcPr>
            <w:tcW w:w="3066" w:type="dxa"/>
          </w:tcPr>
          <w:p>
            <w:pPr>
              <w:pStyle w:val="TableParagraph"/>
              <w:spacing w:before="14"/>
              <w:ind w:left="149"/>
              <w:rPr>
                <w:sz w:val="12"/>
              </w:rPr>
            </w:pPr>
            <w:r>
              <w:rPr>
                <w:color w:val="231F20"/>
                <w:w w:val="105"/>
                <w:sz w:val="12"/>
              </w:rPr>
              <w:t>University</w:t>
            </w:r>
            <w:r>
              <w:rPr>
                <w:color w:val="231F20"/>
                <w:spacing w:val="-7"/>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spacing w:val="-2"/>
                <w:w w:val="105"/>
                <w:sz w:val="12"/>
              </w:rPr>
              <w:t>Mexico</w:t>
            </w:r>
          </w:p>
        </w:tc>
        <w:tc>
          <w:tcPr>
            <w:tcW w:w="2169" w:type="dxa"/>
          </w:tcPr>
          <w:p>
            <w:pPr>
              <w:pStyle w:val="TableParagraph"/>
              <w:spacing w:before="14"/>
              <w:ind w:left="134"/>
              <w:rPr>
                <w:sz w:val="12"/>
              </w:rPr>
            </w:pPr>
            <w:r>
              <w:rPr>
                <w:color w:val="231F20"/>
                <w:sz w:val="12"/>
              </w:rPr>
              <w:t>063049-</w:t>
            </w:r>
            <w:r>
              <w:rPr>
                <w:color w:val="231F20"/>
                <w:spacing w:val="-4"/>
                <w:w w:val="105"/>
                <w:sz w:val="12"/>
              </w:rPr>
              <w:t>8746</w:t>
            </w:r>
          </w:p>
        </w:tc>
        <w:tc>
          <w:tcPr>
            <w:tcW w:w="1400" w:type="dxa"/>
          </w:tcPr>
          <w:p>
            <w:pPr>
              <w:pStyle w:val="TableParagraph"/>
              <w:spacing w:line="132" w:lineRule="exact" w:before="20"/>
              <w:ind w:right="384"/>
              <w:jc w:val="right"/>
              <w:rPr>
                <w:sz w:val="12"/>
              </w:rPr>
            </w:pPr>
            <w:r>
              <w:rPr>
                <w:color w:val="231F20"/>
                <w:spacing w:val="-2"/>
                <w:w w:val="105"/>
                <w:sz w:val="12"/>
              </w:rPr>
              <w:t>47.083</w:t>
            </w:r>
          </w:p>
        </w:tc>
        <w:tc>
          <w:tcPr>
            <w:tcW w:w="1133" w:type="dxa"/>
          </w:tcPr>
          <w:p>
            <w:pPr>
              <w:pStyle w:val="TableParagraph"/>
              <w:spacing w:line="132" w:lineRule="exact" w:before="20"/>
              <w:ind w:right="71"/>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2"/>
              <w:jc w:val="right"/>
              <w:rPr>
                <w:sz w:val="12"/>
              </w:rPr>
            </w:pPr>
            <w:r>
              <w:rPr>
                <w:color w:val="231F20"/>
                <w:spacing w:val="-2"/>
                <w:w w:val="105"/>
                <w:sz w:val="12"/>
              </w:rPr>
              <w:t>335,933</w:t>
            </w:r>
          </w:p>
        </w:tc>
      </w:tr>
      <w:tr>
        <w:trPr>
          <w:trHeight w:val="172" w:hRule="atLeast"/>
        </w:trPr>
        <w:tc>
          <w:tcPr>
            <w:tcW w:w="3942" w:type="dxa"/>
          </w:tcPr>
          <w:p>
            <w:pPr>
              <w:pStyle w:val="TableParagraph"/>
              <w:spacing w:line="138" w:lineRule="exact" w:before="14"/>
              <w:ind w:left="373"/>
              <w:rPr>
                <w:sz w:val="12"/>
              </w:rPr>
            </w:pPr>
            <w:r>
              <w:rPr>
                <w:color w:val="231F20"/>
                <w:spacing w:val="-2"/>
                <w:w w:val="105"/>
                <w:sz w:val="12"/>
              </w:rPr>
              <w:t>Integrative</w:t>
            </w:r>
            <w:r>
              <w:rPr>
                <w:color w:val="231F20"/>
                <w:spacing w:val="6"/>
                <w:w w:val="105"/>
                <w:sz w:val="12"/>
              </w:rPr>
              <w:t> </w:t>
            </w:r>
            <w:r>
              <w:rPr>
                <w:color w:val="231F20"/>
                <w:spacing w:val="-2"/>
                <w:w w:val="105"/>
                <w:sz w:val="12"/>
              </w:rPr>
              <w:t>Activities</w:t>
            </w:r>
          </w:p>
        </w:tc>
        <w:tc>
          <w:tcPr>
            <w:tcW w:w="1420" w:type="dxa"/>
          </w:tcPr>
          <w:p>
            <w:pPr>
              <w:pStyle w:val="TableParagraph"/>
              <w:spacing w:line="132" w:lineRule="exact" w:before="20"/>
              <w:ind w:right="182"/>
              <w:jc w:val="right"/>
              <w:rPr>
                <w:sz w:val="12"/>
              </w:rPr>
            </w:pPr>
            <w:r>
              <w:rPr>
                <w:color w:val="231F20"/>
                <w:spacing w:val="-4"/>
                <w:w w:val="105"/>
                <w:sz w:val="12"/>
              </w:rPr>
              <w:t>MHAN</w:t>
            </w:r>
          </w:p>
        </w:tc>
        <w:tc>
          <w:tcPr>
            <w:tcW w:w="3066" w:type="dxa"/>
          </w:tcPr>
          <w:p>
            <w:pPr>
              <w:pStyle w:val="TableParagraph"/>
              <w:spacing w:line="138" w:lineRule="exact" w:before="14"/>
              <w:ind w:left="149"/>
              <w:rPr>
                <w:sz w:val="12"/>
              </w:rPr>
            </w:pPr>
            <w:r>
              <w:rPr>
                <w:color w:val="231F20"/>
                <w:w w:val="105"/>
                <w:sz w:val="12"/>
              </w:rPr>
              <w:t>University</w:t>
            </w:r>
            <w:r>
              <w:rPr>
                <w:color w:val="231F20"/>
                <w:spacing w:val="-7"/>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spacing w:val="-2"/>
                <w:w w:val="105"/>
                <w:sz w:val="12"/>
              </w:rPr>
              <w:t>Mexico</w:t>
            </w:r>
          </w:p>
        </w:tc>
        <w:tc>
          <w:tcPr>
            <w:tcW w:w="2169" w:type="dxa"/>
          </w:tcPr>
          <w:p>
            <w:pPr>
              <w:pStyle w:val="TableParagraph"/>
              <w:spacing w:line="138" w:lineRule="exact" w:before="14"/>
              <w:ind w:left="134"/>
              <w:rPr>
                <w:sz w:val="12"/>
              </w:rPr>
            </w:pPr>
            <w:r>
              <w:rPr>
                <w:color w:val="231F20"/>
                <w:sz w:val="12"/>
              </w:rPr>
              <w:t>063053-</w:t>
            </w:r>
            <w:r>
              <w:rPr>
                <w:color w:val="231F20"/>
                <w:spacing w:val="-4"/>
                <w:w w:val="105"/>
                <w:sz w:val="12"/>
              </w:rPr>
              <w:t>8746</w:t>
            </w:r>
          </w:p>
        </w:tc>
        <w:tc>
          <w:tcPr>
            <w:tcW w:w="1400" w:type="dxa"/>
          </w:tcPr>
          <w:p>
            <w:pPr>
              <w:pStyle w:val="TableParagraph"/>
              <w:spacing w:line="132" w:lineRule="exact" w:before="20"/>
              <w:ind w:right="384"/>
              <w:jc w:val="right"/>
              <w:rPr>
                <w:sz w:val="12"/>
              </w:rPr>
            </w:pPr>
            <w:r>
              <w:rPr>
                <w:color w:val="231F20"/>
                <w:spacing w:val="-2"/>
                <w:w w:val="105"/>
                <w:sz w:val="12"/>
              </w:rPr>
              <w:t>47.083</w:t>
            </w:r>
          </w:p>
        </w:tc>
        <w:tc>
          <w:tcPr>
            <w:tcW w:w="1133" w:type="dxa"/>
          </w:tcPr>
          <w:p>
            <w:pPr>
              <w:pStyle w:val="TableParagraph"/>
              <w:spacing w:line="132" w:lineRule="exact" w:before="20"/>
              <w:ind w:right="71"/>
              <w:jc w:val="right"/>
              <w:rPr>
                <w:sz w:val="12"/>
              </w:rPr>
            </w:pPr>
            <w:r>
              <w:rPr>
                <w:color w:val="231F20"/>
                <w:w w:val="104"/>
                <w:sz w:val="12"/>
              </w:rPr>
              <w:t>-</w:t>
            </w:r>
          </w:p>
        </w:tc>
        <w:tc>
          <w:tcPr>
            <w:tcW w:w="154" w:type="dxa"/>
          </w:tcPr>
          <w:p>
            <w:pPr>
              <w:pStyle w:val="TableParagraph"/>
              <w:rPr>
                <w:rFonts w:ascii="Times New Roman"/>
                <w:sz w:val="10"/>
              </w:rPr>
            </w:pPr>
          </w:p>
        </w:tc>
        <w:tc>
          <w:tcPr>
            <w:tcW w:w="1133" w:type="dxa"/>
          </w:tcPr>
          <w:p>
            <w:pPr>
              <w:pStyle w:val="TableParagraph"/>
              <w:spacing w:line="132" w:lineRule="exact" w:before="20"/>
              <w:ind w:right="72"/>
              <w:jc w:val="right"/>
              <w:rPr>
                <w:sz w:val="12"/>
              </w:rPr>
            </w:pPr>
            <w:r>
              <w:rPr>
                <w:color w:val="231F20"/>
                <w:spacing w:val="-2"/>
                <w:w w:val="105"/>
                <w:sz w:val="12"/>
              </w:rPr>
              <w:t>50,093</w:t>
            </w:r>
          </w:p>
        </w:tc>
      </w:tr>
      <w:tr>
        <w:trPr>
          <w:trHeight w:val="164" w:hRule="atLeast"/>
        </w:trPr>
        <w:tc>
          <w:tcPr>
            <w:tcW w:w="3942" w:type="dxa"/>
          </w:tcPr>
          <w:p>
            <w:pPr>
              <w:pStyle w:val="TableParagraph"/>
              <w:spacing w:line="130" w:lineRule="exact" w:before="14"/>
              <w:ind w:left="373"/>
              <w:rPr>
                <w:sz w:val="12"/>
              </w:rPr>
            </w:pPr>
            <w:r>
              <w:rPr>
                <w:color w:val="231F20"/>
                <w:spacing w:val="-2"/>
                <w:w w:val="105"/>
                <w:sz w:val="12"/>
              </w:rPr>
              <w:t>Integrative</w:t>
            </w:r>
            <w:r>
              <w:rPr>
                <w:color w:val="231F20"/>
                <w:spacing w:val="6"/>
                <w:w w:val="105"/>
                <w:sz w:val="12"/>
              </w:rPr>
              <w:t> </w:t>
            </w:r>
            <w:r>
              <w:rPr>
                <w:color w:val="231F20"/>
                <w:spacing w:val="-2"/>
                <w:w w:val="105"/>
                <w:sz w:val="12"/>
              </w:rPr>
              <w:t>Activities</w:t>
            </w:r>
          </w:p>
        </w:tc>
        <w:tc>
          <w:tcPr>
            <w:tcW w:w="1420" w:type="dxa"/>
          </w:tcPr>
          <w:p>
            <w:pPr>
              <w:pStyle w:val="TableParagraph"/>
              <w:spacing w:line="124" w:lineRule="exact" w:before="20"/>
              <w:ind w:right="165"/>
              <w:jc w:val="right"/>
              <w:rPr>
                <w:sz w:val="12"/>
              </w:rPr>
            </w:pPr>
            <w:r>
              <w:rPr>
                <w:color w:val="231F20"/>
                <w:spacing w:val="-4"/>
                <w:w w:val="105"/>
                <w:sz w:val="12"/>
              </w:rPr>
              <w:t>MOMO</w:t>
            </w:r>
          </w:p>
        </w:tc>
        <w:tc>
          <w:tcPr>
            <w:tcW w:w="3066" w:type="dxa"/>
          </w:tcPr>
          <w:p>
            <w:pPr>
              <w:pStyle w:val="TableParagraph"/>
              <w:spacing w:line="130" w:lineRule="exact" w:before="14"/>
              <w:ind w:left="150"/>
              <w:rPr>
                <w:sz w:val="12"/>
              </w:rPr>
            </w:pPr>
            <w:r>
              <w:rPr>
                <w:color w:val="231F20"/>
                <w:w w:val="105"/>
                <w:sz w:val="12"/>
              </w:rPr>
              <w:t>University</w:t>
            </w:r>
            <w:r>
              <w:rPr>
                <w:color w:val="231F20"/>
                <w:spacing w:val="-7"/>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6"/>
                <w:w w:val="105"/>
                <w:sz w:val="12"/>
              </w:rPr>
              <w:t> </w:t>
            </w:r>
            <w:r>
              <w:rPr>
                <w:color w:val="231F20"/>
                <w:spacing w:val="-2"/>
                <w:w w:val="105"/>
                <w:sz w:val="12"/>
              </w:rPr>
              <w:t>Mexico</w:t>
            </w:r>
          </w:p>
        </w:tc>
        <w:tc>
          <w:tcPr>
            <w:tcW w:w="2169" w:type="dxa"/>
          </w:tcPr>
          <w:p>
            <w:pPr>
              <w:pStyle w:val="TableParagraph"/>
              <w:spacing w:line="130" w:lineRule="exact" w:before="14"/>
              <w:ind w:left="134"/>
              <w:rPr>
                <w:sz w:val="12"/>
              </w:rPr>
            </w:pPr>
            <w:r>
              <w:rPr>
                <w:color w:val="231F20"/>
                <w:sz w:val="12"/>
              </w:rPr>
              <w:t>063051-</w:t>
            </w:r>
            <w:r>
              <w:rPr>
                <w:color w:val="231F20"/>
                <w:spacing w:val="-4"/>
                <w:w w:val="105"/>
                <w:sz w:val="12"/>
              </w:rPr>
              <w:t>8746</w:t>
            </w:r>
          </w:p>
        </w:tc>
        <w:tc>
          <w:tcPr>
            <w:tcW w:w="1400" w:type="dxa"/>
          </w:tcPr>
          <w:p>
            <w:pPr>
              <w:pStyle w:val="TableParagraph"/>
              <w:spacing w:line="124" w:lineRule="exact" w:before="20"/>
              <w:ind w:right="384"/>
              <w:jc w:val="right"/>
              <w:rPr>
                <w:sz w:val="12"/>
              </w:rPr>
            </w:pPr>
            <w:r>
              <w:rPr>
                <w:color w:val="231F20"/>
                <w:spacing w:val="-2"/>
                <w:w w:val="105"/>
                <w:sz w:val="12"/>
              </w:rPr>
              <w:t>47.083</w:t>
            </w:r>
          </w:p>
        </w:tc>
        <w:tc>
          <w:tcPr>
            <w:tcW w:w="1133" w:type="dxa"/>
            <w:tcBorders>
              <w:bottom w:val="single" w:sz="8" w:space="0" w:color="231F20"/>
            </w:tcBorders>
          </w:tcPr>
          <w:p>
            <w:pPr>
              <w:pStyle w:val="TableParagraph"/>
              <w:spacing w:line="124" w:lineRule="exact" w:before="20"/>
              <w:ind w:right="71"/>
              <w:jc w:val="right"/>
              <w:rPr>
                <w:sz w:val="12"/>
              </w:rPr>
            </w:pPr>
            <w:r>
              <w:rPr>
                <w:color w:val="231F20"/>
                <w:w w:val="104"/>
                <w:sz w:val="12"/>
              </w:rPr>
              <w:t>-</w:t>
            </w:r>
          </w:p>
        </w:tc>
        <w:tc>
          <w:tcPr>
            <w:tcW w:w="154" w:type="dxa"/>
          </w:tcPr>
          <w:p>
            <w:pPr>
              <w:pStyle w:val="TableParagraph"/>
              <w:rPr>
                <w:rFonts w:ascii="Times New Roman"/>
                <w:sz w:val="10"/>
              </w:rPr>
            </w:pPr>
          </w:p>
        </w:tc>
        <w:tc>
          <w:tcPr>
            <w:tcW w:w="1133" w:type="dxa"/>
            <w:tcBorders>
              <w:bottom w:val="single" w:sz="8" w:space="0" w:color="231F20"/>
            </w:tcBorders>
          </w:tcPr>
          <w:p>
            <w:pPr>
              <w:pStyle w:val="TableParagraph"/>
              <w:spacing w:line="124" w:lineRule="exact" w:before="20"/>
              <w:ind w:right="72"/>
              <w:jc w:val="right"/>
              <w:rPr>
                <w:sz w:val="12"/>
              </w:rPr>
            </w:pPr>
            <w:r>
              <w:rPr>
                <w:color w:val="231F20"/>
                <w:spacing w:val="-2"/>
                <w:w w:val="105"/>
                <w:sz w:val="12"/>
              </w:rPr>
              <w:t>16,622</w:t>
            </w:r>
          </w:p>
        </w:tc>
      </w:tr>
      <w:tr>
        <w:trPr>
          <w:trHeight w:val="151" w:hRule="atLeast"/>
        </w:trPr>
        <w:tc>
          <w:tcPr>
            <w:tcW w:w="3942" w:type="dxa"/>
          </w:tcPr>
          <w:p>
            <w:pPr>
              <w:pStyle w:val="TableParagraph"/>
              <w:spacing w:line="124" w:lineRule="exact" w:before="7"/>
              <w:ind w:left="203"/>
              <w:rPr>
                <w:b/>
                <w:sz w:val="12"/>
              </w:rPr>
            </w:pPr>
            <w:r>
              <w:rPr>
                <w:b/>
                <w:color w:val="231F20"/>
                <w:spacing w:val="-2"/>
                <w:w w:val="105"/>
                <w:sz w:val="12"/>
              </w:rPr>
              <w:t>Total</w:t>
            </w:r>
            <w:r>
              <w:rPr>
                <w:b/>
                <w:color w:val="231F20"/>
                <w:spacing w:val="3"/>
                <w:w w:val="105"/>
                <w:sz w:val="12"/>
              </w:rPr>
              <w:t> </w:t>
            </w:r>
            <w:r>
              <w:rPr>
                <w:b/>
                <w:color w:val="231F20"/>
                <w:spacing w:val="-2"/>
                <w:w w:val="105"/>
                <w:sz w:val="12"/>
              </w:rPr>
              <w:t>Pass-through</w:t>
            </w:r>
            <w:r>
              <w:rPr>
                <w:b/>
                <w:color w:val="231F20"/>
                <w:spacing w:val="4"/>
                <w:w w:val="105"/>
                <w:sz w:val="12"/>
              </w:rPr>
              <w:t> </w:t>
            </w:r>
            <w:r>
              <w:rPr>
                <w:b/>
                <w:color w:val="231F20"/>
                <w:spacing w:val="-2"/>
                <w:w w:val="105"/>
                <w:sz w:val="12"/>
              </w:rPr>
              <w:t>National</w:t>
            </w:r>
            <w:r>
              <w:rPr>
                <w:b/>
                <w:color w:val="231F20"/>
                <w:spacing w:val="4"/>
                <w:w w:val="105"/>
                <w:sz w:val="12"/>
              </w:rPr>
              <w:t> </w:t>
            </w:r>
            <w:r>
              <w:rPr>
                <w:b/>
                <w:color w:val="231F20"/>
                <w:spacing w:val="-2"/>
                <w:w w:val="105"/>
                <w:sz w:val="12"/>
              </w:rPr>
              <w:t>Science</w:t>
            </w:r>
            <w:r>
              <w:rPr>
                <w:b/>
                <w:color w:val="231F20"/>
                <w:spacing w:val="5"/>
                <w:w w:val="105"/>
                <w:sz w:val="12"/>
              </w:rPr>
              <w:t> </w:t>
            </w:r>
            <w:r>
              <w:rPr>
                <w:b/>
                <w:color w:val="231F20"/>
                <w:spacing w:val="-2"/>
                <w:w w:val="105"/>
                <w:sz w:val="12"/>
              </w:rPr>
              <w:t>Foundation</w:t>
            </w:r>
          </w:p>
        </w:tc>
        <w:tc>
          <w:tcPr>
            <w:tcW w:w="1420" w:type="dxa"/>
          </w:tcPr>
          <w:p>
            <w:pPr>
              <w:pStyle w:val="TableParagraph"/>
              <w:rPr>
                <w:rFonts w:ascii="Times New Roman"/>
                <w:sz w:val="8"/>
              </w:rPr>
            </w:pPr>
          </w:p>
        </w:tc>
        <w:tc>
          <w:tcPr>
            <w:tcW w:w="3066" w:type="dxa"/>
          </w:tcPr>
          <w:p>
            <w:pPr>
              <w:pStyle w:val="TableParagraph"/>
              <w:rPr>
                <w:rFonts w:ascii="Times New Roman"/>
                <w:sz w:val="8"/>
              </w:rPr>
            </w:pPr>
          </w:p>
        </w:tc>
        <w:tc>
          <w:tcPr>
            <w:tcW w:w="2169" w:type="dxa"/>
          </w:tcPr>
          <w:p>
            <w:pPr>
              <w:pStyle w:val="TableParagraph"/>
              <w:rPr>
                <w:rFonts w:ascii="Times New Roman"/>
                <w:sz w:val="8"/>
              </w:rPr>
            </w:pPr>
          </w:p>
        </w:tc>
        <w:tc>
          <w:tcPr>
            <w:tcW w:w="1400" w:type="dxa"/>
          </w:tcPr>
          <w:p>
            <w:pPr>
              <w:pStyle w:val="TableParagraph"/>
              <w:rPr>
                <w:rFonts w:ascii="Times New Roman"/>
                <w:sz w:val="8"/>
              </w:rPr>
            </w:pPr>
          </w:p>
        </w:tc>
        <w:tc>
          <w:tcPr>
            <w:tcW w:w="1133" w:type="dxa"/>
            <w:tcBorders>
              <w:top w:val="single" w:sz="8" w:space="0" w:color="231F20"/>
              <w:bottom w:val="single" w:sz="8" w:space="0" w:color="231F20"/>
            </w:tcBorders>
          </w:tcPr>
          <w:p>
            <w:pPr>
              <w:pStyle w:val="TableParagraph"/>
              <w:spacing w:line="124" w:lineRule="exact" w:before="7"/>
              <w:ind w:right="72"/>
              <w:jc w:val="right"/>
              <w:rPr>
                <w:b/>
                <w:sz w:val="12"/>
              </w:rPr>
            </w:pPr>
            <w:r>
              <w:rPr>
                <w:b/>
                <w:color w:val="231F20"/>
                <w:spacing w:val="-2"/>
                <w:w w:val="105"/>
                <w:sz w:val="12"/>
              </w:rPr>
              <w:t>8,543</w:t>
            </w:r>
          </w:p>
        </w:tc>
        <w:tc>
          <w:tcPr>
            <w:tcW w:w="154" w:type="dxa"/>
          </w:tcPr>
          <w:p>
            <w:pPr>
              <w:pStyle w:val="TableParagraph"/>
              <w:rPr>
                <w:rFonts w:ascii="Times New Roman"/>
                <w:sz w:val="8"/>
              </w:rPr>
            </w:pPr>
          </w:p>
        </w:tc>
        <w:tc>
          <w:tcPr>
            <w:tcW w:w="1133" w:type="dxa"/>
            <w:tcBorders>
              <w:top w:val="single" w:sz="8" w:space="0" w:color="231F20"/>
              <w:bottom w:val="single" w:sz="8" w:space="0" w:color="231F20"/>
            </w:tcBorders>
          </w:tcPr>
          <w:p>
            <w:pPr>
              <w:pStyle w:val="TableParagraph"/>
              <w:spacing w:line="124" w:lineRule="exact" w:before="7"/>
              <w:ind w:right="72"/>
              <w:jc w:val="right"/>
              <w:rPr>
                <w:b/>
                <w:sz w:val="12"/>
              </w:rPr>
            </w:pPr>
            <w:r>
              <w:rPr>
                <w:b/>
                <w:color w:val="231F20"/>
                <w:spacing w:val="-2"/>
                <w:w w:val="105"/>
                <w:sz w:val="12"/>
              </w:rPr>
              <w:t>5,088,063</w:t>
            </w:r>
          </w:p>
        </w:tc>
      </w:tr>
      <w:tr>
        <w:trPr>
          <w:trHeight w:val="324" w:hRule="atLeast"/>
        </w:trPr>
        <w:tc>
          <w:tcPr>
            <w:tcW w:w="3942" w:type="dxa"/>
          </w:tcPr>
          <w:p>
            <w:pPr>
              <w:pStyle w:val="TableParagraph"/>
              <w:spacing w:before="6"/>
              <w:rPr>
                <w:sz w:val="15"/>
              </w:rPr>
            </w:pPr>
          </w:p>
          <w:p>
            <w:pPr>
              <w:pStyle w:val="TableParagraph"/>
              <w:spacing w:line="126" w:lineRule="exact"/>
              <w:ind w:left="33"/>
              <w:rPr>
                <w:b/>
                <w:sz w:val="12"/>
              </w:rPr>
            </w:pPr>
            <w:r>
              <w:rPr>
                <w:b/>
                <w:color w:val="231F20"/>
                <w:spacing w:val="-2"/>
                <w:w w:val="105"/>
                <w:sz w:val="12"/>
              </w:rPr>
              <w:t>Total</w:t>
            </w:r>
            <w:r>
              <w:rPr>
                <w:b/>
                <w:color w:val="231F20"/>
                <w:spacing w:val="5"/>
                <w:w w:val="105"/>
                <w:sz w:val="12"/>
              </w:rPr>
              <w:t> </w:t>
            </w:r>
            <w:r>
              <w:rPr>
                <w:b/>
                <w:color w:val="231F20"/>
                <w:spacing w:val="-2"/>
                <w:w w:val="105"/>
                <w:sz w:val="12"/>
              </w:rPr>
              <w:t>National</w:t>
            </w:r>
            <w:r>
              <w:rPr>
                <w:b/>
                <w:color w:val="231F20"/>
                <w:spacing w:val="3"/>
                <w:w w:val="105"/>
                <w:sz w:val="12"/>
              </w:rPr>
              <w:t> </w:t>
            </w:r>
            <w:r>
              <w:rPr>
                <w:b/>
                <w:color w:val="231F20"/>
                <w:spacing w:val="-2"/>
                <w:w w:val="105"/>
                <w:sz w:val="12"/>
              </w:rPr>
              <w:t>Science</w:t>
            </w:r>
            <w:r>
              <w:rPr>
                <w:b/>
                <w:color w:val="231F20"/>
                <w:spacing w:val="4"/>
                <w:w w:val="105"/>
                <w:sz w:val="12"/>
              </w:rPr>
              <w:t> </w:t>
            </w:r>
            <w:r>
              <w:rPr>
                <w:b/>
                <w:color w:val="231F20"/>
                <w:spacing w:val="-2"/>
                <w:w w:val="105"/>
                <w:sz w:val="12"/>
              </w:rPr>
              <w:t>Foundation</w:t>
            </w:r>
          </w:p>
        </w:tc>
        <w:tc>
          <w:tcPr>
            <w:tcW w:w="1420" w:type="dxa"/>
          </w:tcPr>
          <w:p>
            <w:pPr>
              <w:pStyle w:val="TableParagraph"/>
              <w:rPr>
                <w:rFonts w:ascii="Times New Roman"/>
                <w:sz w:val="12"/>
              </w:rPr>
            </w:pPr>
          </w:p>
        </w:tc>
        <w:tc>
          <w:tcPr>
            <w:tcW w:w="3066" w:type="dxa"/>
          </w:tcPr>
          <w:p>
            <w:pPr>
              <w:pStyle w:val="TableParagraph"/>
              <w:rPr>
                <w:rFonts w:ascii="Times New Roman"/>
                <w:sz w:val="12"/>
              </w:rPr>
            </w:pPr>
          </w:p>
        </w:tc>
        <w:tc>
          <w:tcPr>
            <w:tcW w:w="2169" w:type="dxa"/>
          </w:tcPr>
          <w:p>
            <w:pPr>
              <w:pStyle w:val="TableParagraph"/>
              <w:rPr>
                <w:rFonts w:ascii="Times New Roman"/>
                <w:sz w:val="12"/>
              </w:rPr>
            </w:pPr>
          </w:p>
        </w:tc>
        <w:tc>
          <w:tcPr>
            <w:tcW w:w="1400" w:type="dxa"/>
          </w:tcPr>
          <w:p>
            <w:pPr>
              <w:pStyle w:val="TableParagraph"/>
              <w:rPr>
                <w:rFonts w:ascii="Times New Roman"/>
                <w:sz w:val="12"/>
              </w:rPr>
            </w:pPr>
          </w:p>
        </w:tc>
        <w:tc>
          <w:tcPr>
            <w:tcW w:w="1133" w:type="dxa"/>
            <w:tcBorders>
              <w:top w:val="single" w:sz="8" w:space="0" w:color="231F20"/>
              <w:bottom w:val="single" w:sz="8" w:space="0" w:color="231F20"/>
            </w:tcBorders>
          </w:tcPr>
          <w:p>
            <w:pPr>
              <w:pStyle w:val="TableParagraph"/>
              <w:spacing w:before="6"/>
              <w:rPr>
                <w:sz w:val="15"/>
              </w:rPr>
            </w:pPr>
          </w:p>
          <w:p>
            <w:pPr>
              <w:pStyle w:val="TableParagraph"/>
              <w:spacing w:line="126" w:lineRule="exact"/>
              <w:ind w:right="72"/>
              <w:jc w:val="right"/>
              <w:rPr>
                <w:b/>
                <w:sz w:val="12"/>
              </w:rPr>
            </w:pPr>
            <w:r>
              <w:rPr>
                <w:b/>
                <w:color w:val="231F20"/>
                <w:spacing w:val="-2"/>
                <w:w w:val="105"/>
                <w:sz w:val="12"/>
              </w:rPr>
              <w:t>49,098</w:t>
            </w:r>
          </w:p>
        </w:tc>
        <w:tc>
          <w:tcPr>
            <w:tcW w:w="154" w:type="dxa"/>
          </w:tcPr>
          <w:p>
            <w:pPr>
              <w:pStyle w:val="TableParagraph"/>
              <w:rPr>
                <w:rFonts w:ascii="Times New Roman"/>
                <w:sz w:val="12"/>
              </w:rPr>
            </w:pPr>
          </w:p>
        </w:tc>
        <w:tc>
          <w:tcPr>
            <w:tcW w:w="1133" w:type="dxa"/>
            <w:tcBorders>
              <w:top w:val="single" w:sz="8" w:space="0" w:color="231F20"/>
              <w:bottom w:val="single" w:sz="8" w:space="0" w:color="231F20"/>
            </w:tcBorders>
          </w:tcPr>
          <w:p>
            <w:pPr>
              <w:pStyle w:val="TableParagraph"/>
              <w:spacing w:before="6"/>
              <w:rPr>
                <w:sz w:val="15"/>
              </w:rPr>
            </w:pPr>
          </w:p>
          <w:p>
            <w:pPr>
              <w:pStyle w:val="TableParagraph"/>
              <w:spacing w:line="126" w:lineRule="exact"/>
              <w:ind w:right="72"/>
              <w:jc w:val="right"/>
              <w:rPr>
                <w:b/>
                <w:sz w:val="12"/>
              </w:rPr>
            </w:pPr>
            <w:r>
              <w:rPr>
                <w:b/>
                <w:color w:val="231F20"/>
                <w:spacing w:val="-2"/>
                <w:w w:val="105"/>
                <w:sz w:val="12"/>
              </w:rPr>
              <w:t>8,382,491</w:t>
            </w:r>
          </w:p>
        </w:tc>
      </w:tr>
    </w:tbl>
    <w:p>
      <w:pPr>
        <w:spacing w:after="0" w:line="126" w:lineRule="exact"/>
        <w:jc w:val="right"/>
        <w:rPr>
          <w:sz w:val="12"/>
        </w:rPr>
        <w:sectPr>
          <w:type w:val="continuous"/>
          <w:pgSz w:w="15840" w:h="12240" w:orient="landscape"/>
          <w:pgMar w:header="934" w:footer="1097" w:top="1460" w:bottom="280" w:left="560" w:right="560"/>
        </w:sectPr>
      </w:pPr>
    </w:p>
    <w:p>
      <w:pPr>
        <w:pStyle w:val="BodyText"/>
        <w:spacing w:before="1" w:after="1"/>
        <w:rPr>
          <w:sz w:val="23"/>
        </w:rPr>
      </w:pPr>
    </w:p>
    <w:p>
      <w:pPr>
        <w:pStyle w:val="BodyText"/>
        <w:spacing w:line="27" w:lineRule="exact"/>
        <w:ind w:left="169"/>
        <w:rPr>
          <w:sz w:val="2"/>
        </w:rPr>
      </w:pPr>
      <w:r>
        <w:rPr>
          <w:position w:val="0"/>
          <w:sz w:val="2"/>
        </w:rPr>
        <w:pict>
          <v:group style="width:717.2pt;height:1.4pt;mso-position-horizontal-relative:char;mso-position-vertical-relative:line" id="docshapegroup567" coordorigin="0,0" coordsize="14344,28">
            <v:rect style="position:absolute;left:0;top:0;width:14344;height:28" id="docshape568" filled="true" fillcolor="#231f20" stroked="false">
              <v:fill type="solid"/>
            </v:rect>
          </v:group>
        </w:pict>
      </w:r>
      <w:r>
        <w:rPr>
          <w:position w:val="0"/>
          <w:sz w:val="2"/>
        </w:rPr>
      </w:r>
    </w:p>
    <w:p>
      <w:pPr>
        <w:pStyle w:val="BodyText"/>
        <w:spacing w:before="7"/>
        <w:rPr>
          <w:sz w:val="13"/>
        </w:rPr>
      </w:pPr>
    </w:p>
    <w:tbl>
      <w:tblPr>
        <w:tblW w:w="0" w:type="auto"/>
        <w:jc w:val="left"/>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8"/>
        <w:gridCol w:w="887"/>
        <w:gridCol w:w="2777"/>
        <w:gridCol w:w="2669"/>
        <w:gridCol w:w="1150"/>
        <w:gridCol w:w="1126"/>
        <w:gridCol w:w="152"/>
        <w:gridCol w:w="1126"/>
      </w:tblGrid>
      <w:tr>
        <w:trPr>
          <w:trHeight w:val="383" w:hRule="atLeast"/>
        </w:trPr>
        <w:tc>
          <w:tcPr>
            <w:tcW w:w="4458" w:type="dxa"/>
            <w:tcBorders>
              <w:bottom w:val="single" w:sz="12" w:space="0" w:color="231F20"/>
            </w:tcBorders>
          </w:tcPr>
          <w:p>
            <w:pPr>
              <w:pStyle w:val="TableParagraph"/>
              <w:rPr>
                <w:sz w:val="10"/>
              </w:rPr>
            </w:pPr>
          </w:p>
          <w:p>
            <w:pPr>
              <w:pStyle w:val="TableParagraph"/>
              <w:spacing w:before="5"/>
              <w:rPr>
                <w:sz w:val="13"/>
              </w:rPr>
            </w:pPr>
          </w:p>
          <w:p>
            <w:pPr>
              <w:pStyle w:val="TableParagraph"/>
              <w:spacing w:line="94" w:lineRule="exact"/>
              <w:ind w:left="32"/>
              <w:rPr>
                <w:b/>
                <w:sz w:val="9"/>
              </w:rPr>
            </w:pPr>
            <w:r>
              <w:rPr>
                <w:b/>
                <w:color w:val="231F20"/>
                <w:w w:val="140"/>
                <w:sz w:val="9"/>
              </w:rPr>
              <w:t>Federal</w:t>
            </w:r>
            <w:r>
              <w:rPr>
                <w:b/>
                <w:color w:val="231F20"/>
                <w:spacing w:val="-8"/>
                <w:w w:val="140"/>
                <w:sz w:val="9"/>
              </w:rPr>
              <w:t> </w:t>
            </w:r>
            <w:r>
              <w:rPr>
                <w:b/>
                <w:color w:val="231F20"/>
                <w:w w:val="140"/>
                <w:sz w:val="9"/>
              </w:rPr>
              <w:t>Grantor/Program</w:t>
            </w:r>
            <w:r>
              <w:rPr>
                <w:b/>
                <w:color w:val="231F20"/>
                <w:spacing w:val="-9"/>
                <w:w w:val="140"/>
                <w:sz w:val="9"/>
              </w:rPr>
              <w:t> </w:t>
            </w:r>
            <w:r>
              <w:rPr>
                <w:b/>
                <w:color w:val="231F20"/>
                <w:spacing w:val="-2"/>
                <w:w w:val="140"/>
                <w:sz w:val="9"/>
              </w:rPr>
              <w:t>Title</w:t>
            </w:r>
          </w:p>
        </w:tc>
        <w:tc>
          <w:tcPr>
            <w:tcW w:w="887" w:type="dxa"/>
            <w:tcBorders>
              <w:bottom w:val="single" w:sz="12" w:space="0" w:color="231F20"/>
            </w:tcBorders>
          </w:tcPr>
          <w:p>
            <w:pPr>
              <w:pStyle w:val="TableParagraph"/>
              <w:spacing w:before="6"/>
              <w:rPr>
                <w:sz w:val="9"/>
              </w:rPr>
            </w:pPr>
          </w:p>
          <w:p>
            <w:pPr>
              <w:pStyle w:val="TableParagraph"/>
              <w:spacing w:line="120" w:lineRule="atLeast"/>
              <w:ind w:left="270" w:right="132" w:firstLine="63"/>
              <w:rPr>
                <w:b/>
                <w:sz w:val="9"/>
              </w:rPr>
            </w:pPr>
            <w:r>
              <w:rPr>
                <w:b/>
                <w:color w:val="231F20"/>
                <w:spacing w:val="-4"/>
                <w:w w:val="140"/>
                <w:sz w:val="9"/>
              </w:rPr>
              <w:t>Award</w:t>
            </w:r>
            <w:r>
              <w:rPr>
                <w:b/>
                <w:color w:val="231F20"/>
                <w:spacing w:val="40"/>
                <w:w w:val="140"/>
                <w:sz w:val="9"/>
              </w:rPr>
              <w:t> </w:t>
            </w:r>
            <w:r>
              <w:rPr>
                <w:b/>
                <w:color w:val="231F20"/>
                <w:spacing w:val="-2"/>
                <w:w w:val="140"/>
                <w:sz w:val="9"/>
              </w:rPr>
              <w:t>Number</w:t>
            </w:r>
          </w:p>
        </w:tc>
        <w:tc>
          <w:tcPr>
            <w:tcW w:w="2777" w:type="dxa"/>
            <w:tcBorders>
              <w:bottom w:val="single" w:sz="12" w:space="0" w:color="231F20"/>
            </w:tcBorders>
          </w:tcPr>
          <w:p>
            <w:pPr>
              <w:pStyle w:val="TableParagraph"/>
              <w:rPr>
                <w:sz w:val="10"/>
              </w:rPr>
            </w:pPr>
          </w:p>
          <w:p>
            <w:pPr>
              <w:pStyle w:val="TableParagraph"/>
              <w:spacing w:before="10"/>
              <w:rPr>
                <w:sz w:val="11"/>
              </w:rPr>
            </w:pPr>
          </w:p>
          <w:p>
            <w:pPr>
              <w:pStyle w:val="TableParagraph"/>
              <w:ind w:left="967"/>
              <w:rPr>
                <w:b/>
                <w:sz w:val="9"/>
              </w:rPr>
            </w:pPr>
            <w:r>
              <w:rPr>
                <w:b/>
                <w:color w:val="231F20"/>
                <w:spacing w:val="-2"/>
                <w:w w:val="140"/>
                <w:sz w:val="9"/>
              </w:rPr>
              <w:t>Pass-Through</w:t>
            </w:r>
            <w:r>
              <w:rPr>
                <w:b/>
                <w:color w:val="231F20"/>
                <w:spacing w:val="14"/>
                <w:w w:val="140"/>
                <w:sz w:val="9"/>
              </w:rPr>
              <w:t> </w:t>
            </w:r>
            <w:r>
              <w:rPr>
                <w:b/>
                <w:color w:val="231F20"/>
                <w:spacing w:val="-2"/>
                <w:w w:val="140"/>
                <w:sz w:val="9"/>
              </w:rPr>
              <w:t>Entity</w:t>
            </w:r>
          </w:p>
        </w:tc>
        <w:tc>
          <w:tcPr>
            <w:tcW w:w="2669" w:type="dxa"/>
            <w:tcBorders>
              <w:bottom w:val="single" w:sz="12" w:space="0" w:color="231F20"/>
            </w:tcBorders>
          </w:tcPr>
          <w:p>
            <w:pPr>
              <w:pStyle w:val="TableParagraph"/>
              <w:spacing w:before="6"/>
              <w:rPr>
                <w:sz w:val="9"/>
              </w:rPr>
            </w:pPr>
          </w:p>
          <w:p>
            <w:pPr>
              <w:pStyle w:val="TableParagraph"/>
              <w:spacing w:line="120" w:lineRule="atLeast"/>
              <w:ind w:left="927" w:hanging="286"/>
              <w:rPr>
                <w:b/>
                <w:sz w:val="9"/>
              </w:rPr>
            </w:pPr>
            <w:r>
              <w:rPr>
                <w:b/>
                <w:color w:val="231F20"/>
                <w:spacing w:val="-2"/>
                <w:w w:val="140"/>
                <w:sz w:val="9"/>
              </w:rPr>
              <w:t>Funding Agency </w:t>
            </w:r>
            <w:r>
              <w:rPr>
                <w:b/>
                <w:color w:val="231F20"/>
                <w:spacing w:val="-2"/>
                <w:w w:val="140"/>
                <w:sz w:val="9"/>
              </w:rPr>
              <w:t>Identification</w:t>
            </w:r>
            <w:r>
              <w:rPr>
                <w:b/>
                <w:color w:val="231F20"/>
                <w:spacing w:val="40"/>
                <w:w w:val="140"/>
                <w:sz w:val="9"/>
              </w:rPr>
              <w:t> </w:t>
            </w:r>
            <w:r>
              <w:rPr>
                <w:b/>
                <w:color w:val="231F20"/>
                <w:w w:val="140"/>
                <w:sz w:val="9"/>
              </w:rPr>
              <w:t>Number/Contract</w:t>
            </w:r>
            <w:r>
              <w:rPr>
                <w:b/>
                <w:color w:val="231F20"/>
                <w:spacing w:val="-8"/>
                <w:w w:val="140"/>
                <w:sz w:val="9"/>
              </w:rPr>
              <w:t> </w:t>
            </w:r>
            <w:r>
              <w:rPr>
                <w:b/>
                <w:color w:val="231F20"/>
                <w:w w:val="140"/>
                <w:sz w:val="9"/>
              </w:rPr>
              <w:t>ID</w:t>
            </w:r>
          </w:p>
        </w:tc>
        <w:tc>
          <w:tcPr>
            <w:tcW w:w="1150" w:type="dxa"/>
            <w:tcBorders>
              <w:bottom w:val="single" w:sz="12" w:space="0" w:color="231F20"/>
            </w:tcBorders>
          </w:tcPr>
          <w:p>
            <w:pPr>
              <w:pStyle w:val="TableParagraph"/>
              <w:ind w:left="367" w:hanging="125"/>
              <w:rPr>
                <w:b/>
                <w:sz w:val="9"/>
              </w:rPr>
            </w:pPr>
            <w:r>
              <w:rPr>
                <w:b/>
                <w:color w:val="231F20"/>
                <w:spacing w:val="-2"/>
                <w:w w:val="140"/>
                <w:sz w:val="9"/>
              </w:rPr>
              <w:t>Assistance</w:t>
            </w:r>
          </w:p>
          <w:p>
            <w:pPr>
              <w:pStyle w:val="TableParagraph"/>
              <w:spacing w:line="120" w:lineRule="atLeast" w:before="6"/>
              <w:ind w:left="335" w:right="330" w:firstLine="32"/>
              <w:rPr>
                <w:b/>
                <w:sz w:val="9"/>
              </w:rPr>
            </w:pPr>
            <w:r>
              <w:rPr>
                <w:b/>
                <w:color w:val="231F20"/>
                <w:spacing w:val="-2"/>
                <w:w w:val="140"/>
                <w:sz w:val="9"/>
              </w:rPr>
              <w:t>Listing</w:t>
            </w:r>
            <w:r>
              <w:rPr>
                <w:b/>
                <w:color w:val="231F20"/>
                <w:spacing w:val="40"/>
                <w:w w:val="140"/>
                <w:sz w:val="9"/>
              </w:rPr>
              <w:t> </w:t>
            </w:r>
            <w:r>
              <w:rPr>
                <w:b/>
                <w:color w:val="231F20"/>
                <w:spacing w:val="-2"/>
                <w:w w:val="140"/>
                <w:sz w:val="9"/>
              </w:rPr>
              <w:t>Number</w:t>
            </w:r>
          </w:p>
        </w:tc>
        <w:tc>
          <w:tcPr>
            <w:tcW w:w="1126" w:type="dxa"/>
            <w:tcBorders>
              <w:bottom w:val="single" w:sz="12" w:space="0" w:color="231F20"/>
            </w:tcBorders>
          </w:tcPr>
          <w:p>
            <w:pPr>
              <w:pStyle w:val="TableParagraph"/>
              <w:ind w:left="237" w:hanging="124"/>
              <w:rPr>
                <w:b/>
                <w:sz w:val="9"/>
              </w:rPr>
            </w:pPr>
            <w:r>
              <w:rPr>
                <w:b/>
                <w:color w:val="231F20"/>
                <w:spacing w:val="-2"/>
                <w:w w:val="140"/>
                <w:sz w:val="9"/>
              </w:rPr>
              <w:t>Amount</w:t>
            </w:r>
            <w:r>
              <w:rPr>
                <w:b/>
                <w:color w:val="231F20"/>
                <w:spacing w:val="2"/>
                <w:w w:val="140"/>
                <w:sz w:val="9"/>
              </w:rPr>
              <w:t> </w:t>
            </w:r>
            <w:r>
              <w:rPr>
                <w:b/>
                <w:color w:val="231F20"/>
                <w:spacing w:val="-2"/>
                <w:w w:val="140"/>
                <w:sz w:val="9"/>
              </w:rPr>
              <w:t>Passed</w:t>
            </w:r>
          </w:p>
          <w:p>
            <w:pPr>
              <w:pStyle w:val="TableParagraph"/>
              <w:spacing w:line="120" w:lineRule="atLeast" w:before="6"/>
              <w:ind w:left="153" w:firstLine="84"/>
              <w:rPr>
                <w:b/>
                <w:sz w:val="9"/>
              </w:rPr>
            </w:pPr>
            <w:r>
              <w:rPr>
                <w:b/>
                <w:color w:val="231F20"/>
                <w:w w:val="140"/>
                <w:sz w:val="9"/>
              </w:rPr>
              <w:t>Through</w:t>
            </w:r>
            <w:r>
              <w:rPr>
                <w:b/>
                <w:color w:val="231F20"/>
                <w:spacing w:val="-9"/>
                <w:w w:val="140"/>
                <w:sz w:val="9"/>
              </w:rPr>
              <w:t> </w:t>
            </w:r>
            <w:r>
              <w:rPr>
                <w:b/>
                <w:color w:val="231F20"/>
                <w:w w:val="140"/>
                <w:sz w:val="9"/>
              </w:rPr>
              <w:t>to</w:t>
            </w:r>
            <w:r>
              <w:rPr>
                <w:b/>
                <w:color w:val="231F20"/>
                <w:spacing w:val="40"/>
                <w:w w:val="140"/>
                <w:sz w:val="9"/>
              </w:rPr>
              <w:t> </w:t>
            </w:r>
            <w:r>
              <w:rPr>
                <w:b/>
                <w:color w:val="231F20"/>
                <w:spacing w:val="-2"/>
                <w:w w:val="135"/>
                <w:sz w:val="9"/>
              </w:rPr>
              <w:t>Subrecipients</w:t>
            </w:r>
          </w:p>
        </w:tc>
        <w:tc>
          <w:tcPr>
            <w:tcW w:w="1278" w:type="dxa"/>
            <w:gridSpan w:val="2"/>
            <w:tcBorders>
              <w:bottom w:val="single" w:sz="12" w:space="0" w:color="231F20"/>
            </w:tcBorders>
          </w:tcPr>
          <w:p>
            <w:pPr>
              <w:pStyle w:val="TableParagraph"/>
              <w:spacing w:before="6"/>
              <w:rPr>
                <w:sz w:val="9"/>
              </w:rPr>
            </w:pPr>
          </w:p>
          <w:p>
            <w:pPr>
              <w:pStyle w:val="TableParagraph"/>
              <w:spacing w:line="120" w:lineRule="atLeast"/>
              <w:ind w:left="323" w:firstLine="24"/>
              <w:rPr>
                <w:b/>
                <w:sz w:val="9"/>
              </w:rPr>
            </w:pPr>
            <w:r>
              <w:rPr>
                <w:b/>
                <w:color w:val="231F20"/>
                <w:spacing w:val="-2"/>
                <w:w w:val="140"/>
                <w:sz w:val="9"/>
              </w:rPr>
              <w:t>Total</w:t>
            </w:r>
            <w:r>
              <w:rPr>
                <w:b/>
                <w:color w:val="231F20"/>
                <w:spacing w:val="-7"/>
                <w:w w:val="140"/>
                <w:sz w:val="9"/>
              </w:rPr>
              <w:t> </w:t>
            </w:r>
            <w:r>
              <w:rPr>
                <w:b/>
                <w:color w:val="231F20"/>
                <w:spacing w:val="-2"/>
                <w:w w:val="140"/>
                <w:sz w:val="9"/>
              </w:rPr>
              <w:t>Federal</w:t>
            </w:r>
            <w:r>
              <w:rPr>
                <w:b/>
                <w:color w:val="231F20"/>
                <w:spacing w:val="40"/>
                <w:w w:val="140"/>
                <w:sz w:val="9"/>
              </w:rPr>
              <w:t> </w:t>
            </w:r>
            <w:r>
              <w:rPr>
                <w:b/>
                <w:color w:val="231F20"/>
                <w:spacing w:val="-2"/>
                <w:w w:val="140"/>
                <w:sz w:val="9"/>
              </w:rPr>
              <w:t>Expenditures</w:t>
            </w:r>
          </w:p>
        </w:tc>
      </w:tr>
      <w:tr>
        <w:trPr>
          <w:trHeight w:val="221" w:hRule="atLeast"/>
        </w:trPr>
        <w:tc>
          <w:tcPr>
            <w:tcW w:w="4458" w:type="dxa"/>
            <w:tcBorders>
              <w:top w:val="single" w:sz="12" w:space="0" w:color="231F20"/>
            </w:tcBorders>
          </w:tcPr>
          <w:p>
            <w:pPr>
              <w:pStyle w:val="TableParagraph"/>
              <w:spacing w:line="119" w:lineRule="exact" w:before="82"/>
              <w:ind w:left="32"/>
              <w:rPr>
                <w:b/>
                <w:sz w:val="12"/>
              </w:rPr>
            </w:pPr>
            <w:r>
              <w:rPr>
                <w:b/>
                <w:color w:val="231F20"/>
                <w:w w:val="105"/>
                <w:sz w:val="12"/>
              </w:rPr>
              <w:t>U.S</w:t>
            </w:r>
            <w:r>
              <w:rPr>
                <w:b/>
                <w:color w:val="231F20"/>
                <w:spacing w:val="-6"/>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6"/>
                <w:w w:val="105"/>
                <w:sz w:val="12"/>
              </w:rPr>
              <w:t> </w:t>
            </w:r>
            <w:r>
              <w:rPr>
                <w:b/>
                <w:color w:val="231F20"/>
                <w:spacing w:val="-2"/>
                <w:w w:val="105"/>
                <w:sz w:val="12"/>
              </w:rPr>
              <w:t>Energy</w:t>
            </w:r>
          </w:p>
        </w:tc>
        <w:tc>
          <w:tcPr>
            <w:tcW w:w="887" w:type="dxa"/>
            <w:tcBorders>
              <w:top w:val="single" w:sz="12" w:space="0" w:color="231F20"/>
            </w:tcBorders>
          </w:tcPr>
          <w:p>
            <w:pPr>
              <w:pStyle w:val="TableParagraph"/>
              <w:rPr>
                <w:rFonts w:ascii="Times New Roman"/>
                <w:sz w:val="12"/>
              </w:rPr>
            </w:pPr>
          </w:p>
        </w:tc>
        <w:tc>
          <w:tcPr>
            <w:tcW w:w="2777" w:type="dxa"/>
            <w:tcBorders>
              <w:top w:val="single" w:sz="12" w:space="0" w:color="231F20"/>
            </w:tcBorders>
          </w:tcPr>
          <w:p>
            <w:pPr>
              <w:pStyle w:val="TableParagraph"/>
              <w:rPr>
                <w:rFonts w:ascii="Times New Roman"/>
                <w:sz w:val="12"/>
              </w:rPr>
            </w:pPr>
          </w:p>
        </w:tc>
        <w:tc>
          <w:tcPr>
            <w:tcW w:w="2669" w:type="dxa"/>
            <w:tcBorders>
              <w:top w:val="single" w:sz="12" w:space="0" w:color="231F20"/>
            </w:tcBorders>
          </w:tcPr>
          <w:p>
            <w:pPr>
              <w:pStyle w:val="TableParagraph"/>
              <w:rPr>
                <w:rFonts w:ascii="Times New Roman"/>
                <w:sz w:val="12"/>
              </w:rPr>
            </w:pPr>
          </w:p>
        </w:tc>
        <w:tc>
          <w:tcPr>
            <w:tcW w:w="1150" w:type="dxa"/>
            <w:tcBorders>
              <w:top w:val="single" w:sz="12" w:space="0" w:color="231F20"/>
            </w:tcBorders>
          </w:tcPr>
          <w:p>
            <w:pPr>
              <w:pStyle w:val="TableParagraph"/>
              <w:rPr>
                <w:rFonts w:ascii="Times New Roman"/>
                <w:sz w:val="12"/>
              </w:rPr>
            </w:pPr>
          </w:p>
        </w:tc>
        <w:tc>
          <w:tcPr>
            <w:tcW w:w="1126" w:type="dxa"/>
            <w:tcBorders>
              <w:top w:val="single" w:sz="12" w:space="0" w:color="231F20"/>
            </w:tcBorders>
          </w:tcPr>
          <w:p>
            <w:pPr>
              <w:pStyle w:val="TableParagraph"/>
              <w:rPr>
                <w:rFonts w:ascii="Times New Roman"/>
                <w:sz w:val="12"/>
              </w:rPr>
            </w:pPr>
          </w:p>
        </w:tc>
        <w:tc>
          <w:tcPr>
            <w:tcW w:w="1278" w:type="dxa"/>
            <w:gridSpan w:val="2"/>
            <w:tcBorders>
              <w:top w:val="single" w:sz="12" w:space="0" w:color="231F20"/>
            </w:tcBorders>
          </w:tcPr>
          <w:p>
            <w:pPr>
              <w:pStyle w:val="TableParagraph"/>
              <w:rPr>
                <w:rFonts w:ascii="Times New Roman"/>
                <w:sz w:val="12"/>
              </w:rPr>
            </w:pPr>
          </w:p>
        </w:tc>
      </w:tr>
      <w:tr>
        <w:trPr>
          <w:trHeight w:val="171" w:hRule="atLeast"/>
        </w:trPr>
        <w:tc>
          <w:tcPr>
            <w:tcW w:w="4458" w:type="dxa"/>
          </w:tcPr>
          <w:p>
            <w:pPr>
              <w:pStyle w:val="TableParagraph"/>
              <w:spacing w:line="119" w:lineRule="exact" w:before="32"/>
              <w:ind w:left="201"/>
              <w:rPr>
                <w:sz w:val="12"/>
              </w:rPr>
            </w:pPr>
            <w:r>
              <w:rPr>
                <w:color w:val="231F20"/>
                <w:w w:val="105"/>
                <w:sz w:val="12"/>
              </w:rPr>
              <w:t>Direct</w:t>
            </w:r>
            <w:r>
              <w:rPr>
                <w:color w:val="231F20"/>
                <w:spacing w:val="-7"/>
                <w:w w:val="105"/>
                <w:sz w:val="12"/>
              </w:rPr>
              <w:t> </w:t>
            </w:r>
            <w:r>
              <w:rPr>
                <w:color w:val="231F20"/>
                <w:spacing w:val="-2"/>
                <w:w w:val="105"/>
                <w:sz w:val="12"/>
              </w:rPr>
              <w:t>Awards</w:t>
            </w:r>
          </w:p>
        </w:tc>
        <w:tc>
          <w:tcPr>
            <w:tcW w:w="887" w:type="dxa"/>
          </w:tcPr>
          <w:p>
            <w:pPr>
              <w:pStyle w:val="TableParagraph"/>
              <w:rPr>
                <w:rFonts w:ascii="Times New Roman"/>
                <w:sz w:val="10"/>
              </w:rPr>
            </w:pPr>
          </w:p>
        </w:tc>
        <w:tc>
          <w:tcPr>
            <w:tcW w:w="2777" w:type="dxa"/>
          </w:tcPr>
          <w:p>
            <w:pPr>
              <w:pStyle w:val="TableParagraph"/>
              <w:rPr>
                <w:rFonts w:ascii="Times New Roman"/>
                <w:sz w:val="10"/>
              </w:rPr>
            </w:pPr>
          </w:p>
        </w:tc>
        <w:tc>
          <w:tcPr>
            <w:tcW w:w="2669" w:type="dxa"/>
          </w:tcPr>
          <w:p>
            <w:pPr>
              <w:pStyle w:val="TableParagraph"/>
              <w:rPr>
                <w:rFonts w:ascii="Times New Roman"/>
                <w:sz w:val="10"/>
              </w:rPr>
            </w:pPr>
          </w:p>
        </w:tc>
        <w:tc>
          <w:tcPr>
            <w:tcW w:w="1150" w:type="dxa"/>
          </w:tcPr>
          <w:p>
            <w:pPr>
              <w:pStyle w:val="TableParagraph"/>
              <w:rPr>
                <w:rFonts w:ascii="Times New Roman"/>
                <w:sz w:val="10"/>
              </w:rPr>
            </w:pPr>
          </w:p>
        </w:tc>
        <w:tc>
          <w:tcPr>
            <w:tcW w:w="1126" w:type="dxa"/>
          </w:tcPr>
          <w:p>
            <w:pPr>
              <w:pStyle w:val="TableParagraph"/>
              <w:rPr>
                <w:rFonts w:ascii="Times New Roman"/>
                <w:sz w:val="10"/>
              </w:rPr>
            </w:pPr>
          </w:p>
        </w:tc>
        <w:tc>
          <w:tcPr>
            <w:tcW w:w="1278" w:type="dxa"/>
            <w:gridSpan w:val="2"/>
          </w:tcPr>
          <w:p>
            <w:pPr>
              <w:pStyle w:val="TableParagraph"/>
              <w:rPr>
                <w:rFonts w:ascii="Times New Roman"/>
                <w:sz w:val="10"/>
              </w:rPr>
            </w:pPr>
          </w:p>
        </w:tc>
      </w:tr>
      <w:tr>
        <w:trPr>
          <w:trHeight w:val="183" w:hRule="atLeast"/>
        </w:trPr>
        <w:tc>
          <w:tcPr>
            <w:tcW w:w="4458" w:type="dxa"/>
          </w:tcPr>
          <w:p>
            <w:pPr>
              <w:pStyle w:val="TableParagraph"/>
              <w:spacing w:line="137" w:lineRule="exact" w:before="26"/>
              <w:ind w:left="371"/>
              <w:rPr>
                <w:sz w:val="12"/>
              </w:rPr>
            </w:pPr>
            <w:r>
              <w:rPr>
                <w:color w:val="231F20"/>
                <w:spacing w:val="-2"/>
                <w:w w:val="105"/>
                <w:sz w:val="12"/>
              </w:rPr>
              <w:t>Office</w:t>
            </w:r>
            <w:r>
              <w:rPr>
                <w:color w:val="231F20"/>
                <w:spacing w:val="3"/>
                <w:w w:val="105"/>
                <w:sz w:val="12"/>
              </w:rPr>
              <w:t> </w:t>
            </w:r>
            <w:r>
              <w:rPr>
                <w:color w:val="231F20"/>
                <w:spacing w:val="-2"/>
                <w:w w:val="105"/>
                <w:sz w:val="12"/>
              </w:rPr>
              <w:t>of</w:t>
            </w:r>
            <w:r>
              <w:rPr>
                <w:color w:val="231F20"/>
                <w:spacing w:val="4"/>
                <w:w w:val="105"/>
                <w:sz w:val="12"/>
              </w:rPr>
              <w:t> </w:t>
            </w:r>
            <w:r>
              <w:rPr>
                <w:color w:val="231F20"/>
                <w:spacing w:val="-2"/>
                <w:w w:val="105"/>
                <w:sz w:val="12"/>
              </w:rPr>
              <w:t>Science</w:t>
            </w:r>
            <w:r>
              <w:rPr>
                <w:color w:val="231F20"/>
                <w:spacing w:val="4"/>
                <w:w w:val="105"/>
                <w:sz w:val="12"/>
              </w:rPr>
              <w:t> </w:t>
            </w:r>
            <w:r>
              <w:rPr>
                <w:color w:val="231F20"/>
                <w:spacing w:val="-2"/>
                <w:w w:val="105"/>
                <w:sz w:val="12"/>
              </w:rPr>
              <w:t>Financial</w:t>
            </w:r>
            <w:r>
              <w:rPr>
                <w:color w:val="231F20"/>
                <w:spacing w:val="4"/>
                <w:w w:val="105"/>
                <w:sz w:val="12"/>
              </w:rPr>
              <w:t> </w:t>
            </w:r>
            <w:r>
              <w:rPr>
                <w:color w:val="231F20"/>
                <w:spacing w:val="-2"/>
                <w:w w:val="105"/>
                <w:sz w:val="12"/>
              </w:rPr>
              <w:t>Assistance</w:t>
            </w:r>
            <w:r>
              <w:rPr>
                <w:color w:val="231F20"/>
                <w:spacing w:val="4"/>
                <w:w w:val="105"/>
                <w:sz w:val="12"/>
              </w:rPr>
              <w:t> </w:t>
            </w:r>
            <w:r>
              <w:rPr>
                <w:color w:val="231F20"/>
                <w:spacing w:val="-2"/>
                <w:w w:val="105"/>
                <w:sz w:val="12"/>
              </w:rPr>
              <w:t>Program</w:t>
            </w:r>
          </w:p>
        </w:tc>
        <w:tc>
          <w:tcPr>
            <w:tcW w:w="887" w:type="dxa"/>
          </w:tcPr>
          <w:p>
            <w:pPr>
              <w:pStyle w:val="TableParagraph"/>
              <w:spacing w:line="131" w:lineRule="exact" w:before="32"/>
              <w:ind w:right="198"/>
              <w:jc w:val="right"/>
              <w:rPr>
                <w:sz w:val="12"/>
              </w:rPr>
            </w:pPr>
            <w:r>
              <w:rPr>
                <w:color w:val="231F20"/>
                <w:spacing w:val="-4"/>
                <w:w w:val="105"/>
                <w:sz w:val="12"/>
              </w:rPr>
              <w:t>DDRT</w:t>
            </w:r>
          </w:p>
        </w:tc>
        <w:tc>
          <w:tcPr>
            <w:tcW w:w="5446" w:type="dxa"/>
            <w:gridSpan w:val="2"/>
          </w:tcPr>
          <w:p>
            <w:pPr>
              <w:pStyle w:val="TableParagraph"/>
              <w:spacing w:line="137" w:lineRule="exact" w:before="26"/>
              <w:ind w:left="3182"/>
              <w:rPr>
                <w:sz w:val="12"/>
              </w:rPr>
            </w:pPr>
            <w:r>
              <w:rPr>
                <w:color w:val="231F20"/>
                <w:sz w:val="12"/>
              </w:rPr>
              <w:t>DE-</w:t>
            </w:r>
            <w:r>
              <w:rPr>
                <w:color w:val="231F20"/>
                <w:spacing w:val="-2"/>
                <w:w w:val="105"/>
                <w:sz w:val="12"/>
              </w:rPr>
              <w:t>SC0022261</w:t>
            </w:r>
          </w:p>
        </w:tc>
        <w:tc>
          <w:tcPr>
            <w:tcW w:w="1150" w:type="dxa"/>
          </w:tcPr>
          <w:p>
            <w:pPr>
              <w:pStyle w:val="TableParagraph"/>
              <w:spacing w:line="131" w:lineRule="exact" w:before="32"/>
              <w:ind w:left="372" w:right="363"/>
              <w:jc w:val="center"/>
              <w:rPr>
                <w:sz w:val="12"/>
              </w:rPr>
            </w:pPr>
            <w:r>
              <w:rPr>
                <w:color w:val="231F20"/>
                <w:spacing w:val="-2"/>
                <w:w w:val="105"/>
                <w:sz w:val="12"/>
              </w:rPr>
              <w:t>81.049</w:t>
            </w:r>
          </w:p>
        </w:tc>
        <w:tc>
          <w:tcPr>
            <w:tcW w:w="1126" w:type="dxa"/>
          </w:tcPr>
          <w:p>
            <w:pPr>
              <w:pStyle w:val="TableParagraph"/>
              <w:spacing w:line="131" w:lineRule="exact" w:before="32"/>
              <w:ind w:right="63"/>
              <w:jc w:val="right"/>
              <w:rPr>
                <w:sz w:val="12"/>
              </w:rPr>
            </w:pPr>
            <w:r>
              <w:rPr>
                <w:color w:val="231F20"/>
                <w:w w:val="104"/>
                <w:sz w:val="12"/>
              </w:rPr>
              <w:t>-</w:t>
            </w:r>
          </w:p>
        </w:tc>
        <w:tc>
          <w:tcPr>
            <w:tcW w:w="152" w:type="dxa"/>
          </w:tcPr>
          <w:p>
            <w:pPr>
              <w:pStyle w:val="TableParagraph"/>
              <w:rPr>
                <w:rFonts w:ascii="Times New Roman"/>
                <w:sz w:val="12"/>
              </w:rPr>
            </w:pPr>
          </w:p>
        </w:tc>
        <w:tc>
          <w:tcPr>
            <w:tcW w:w="1126" w:type="dxa"/>
          </w:tcPr>
          <w:p>
            <w:pPr>
              <w:pStyle w:val="TableParagraph"/>
              <w:spacing w:line="131" w:lineRule="exact" w:before="32"/>
              <w:ind w:right="61"/>
              <w:jc w:val="right"/>
              <w:rPr>
                <w:sz w:val="12"/>
              </w:rPr>
            </w:pPr>
            <w:r>
              <w:rPr>
                <w:color w:val="231F20"/>
                <w:spacing w:val="-2"/>
                <w:w w:val="105"/>
                <w:sz w:val="12"/>
              </w:rPr>
              <w:t>145,053</w:t>
            </w:r>
          </w:p>
        </w:tc>
      </w:tr>
      <w:tr>
        <w:trPr>
          <w:trHeight w:val="171" w:hRule="atLeast"/>
        </w:trPr>
        <w:tc>
          <w:tcPr>
            <w:tcW w:w="4458" w:type="dxa"/>
          </w:tcPr>
          <w:p>
            <w:pPr>
              <w:pStyle w:val="TableParagraph"/>
              <w:spacing w:before="13"/>
              <w:ind w:left="371"/>
              <w:rPr>
                <w:sz w:val="12"/>
              </w:rPr>
            </w:pPr>
            <w:r>
              <w:rPr>
                <w:color w:val="231F20"/>
                <w:spacing w:val="-2"/>
                <w:w w:val="105"/>
                <w:sz w:val="12"/>
              </w:rPr>
              <w:t>Office</w:t>
            </w:r>
            <w:r>
              <w:rPr>
                <w:color w:val="231F20"/>
                <w:spacing w:val="3"/>
                <w:w w:val="105"/>
                <w:sz w:val="12"/>
              </w:rPr>
              <w:t> </w:t>
            </w:r>
            <w:r>
              <w:rPr>
                <w:color w:val="231F20"/>
                <w:spacing w:val="-2"/>
                <w:w w:val="105"/>
                <w:sz w:val="12"/>
              </w:rPr>
              <w:t>of</w:t>
            </w:r>
            <w:r>
              <w:rPr>
                <w:color w:val="231F20"/>
                <w:spacing w:val="4"/>
                <w:w w:val="105"/>
                <w:sz w:val="12"/>
              </w:rPr>
              <w:t> </w:t>
            </w:r>
            <w:r>
              <w:rPr>
                <w:color w:val="231F20"/>
                <w:spacing w:val="-2"/>
                <w:w w:val="105"/>
                <w:sz w:val="12"/>
              </w:rPr>
              <w:t>Science</w:t>
            </w:r>
            <w:r>
              <w:rPr>
                <w:color w:val="231F20"/>
                <w:spacing w:val="4"/>
                <w:w w:val="105"/>
                <w:sz w:val="12"/>
              </w:rPr>
              <w:t> </w:t>
            </w:r>
            <w:r>
              <w:rPr>
                <w:color w:val="231F20"/>
                <w:spacing w:val="-2"/>
                <w:w w:val="105"/>
                <w:sz w:val="12"/>
              </w:rPr>
              <w:t>Financial</w:t>
            </w:r>
            <w:r>
              <w:rPr>
                <w:color w:val="231F20"/>
                <w:spacing w:val="4"/>
                <w:w w:val="105"/>
                <w:sz w:val="12"/>
              </w:rPr>
              <w:t> </w:t>
            </w:r>
            <w:r>
              <w:rPr>
                <w:color w:val="231F20"/>
                <w:spacing w:val="-2"/>
                <w:w w:val="105"/>
                <w:sz w:val="12"/>
              </w:rPr>
              <w:t>Assistance</w:t>
            </w:r>
            <w:r>
              <w:rPr>
                <w:color w:val="231F20"/>
                <w:spacing w:val="4"/>
                <w:w w:val="105"/>
                <w:sz w:val="12"/>
              </w:rPr>
              <w:t> </w:t>
            </w:r>
            <w:r>
              <w:rPr>
                <w:color w:val="231F20"/>
                <w:spacing w:val="-2"/>
                <w:w w:val="105"/>
                <w:sz w:val="12"/>
              </w:rPr>
              <w:t>Program</w:t>
            </w:r>
          </w:p>
        </w:tc>
        <w:tc>
          <w:tcPr>
            <w:tcW w:w="887" w:type="dxa"/>
          </w:tcPr>
          <w:p>
            <w:pPr>
              <w:pStyle w:val="TableParagraph"/>
              <w:spacing w:line="132" w:lineRule="exact" w:before="19"/>
              <w:ind w:right="219"/>
              <w:jc w:val="right"/>
              <w:rPr>
                <w:sz w:val="12"/>
              </w:rPr>
            </w:pPr>
            <w:r>
              <w:rPr>
                <w:color w:val="231F20"/>
                <w:spacing w:val="-4"/>
                <w:w w:val="105"/>
                <w:sz w:val="12"/>
              </w:rPr>
              <w:t>DIPR</w:t>
            </w:r>
          </w:p>
        </w:tc>
        <w:tc>
          <w:tcPr>
            <w:tcW w:w="5446" w:type="dxa"/>
            <w:gridSpan w:val="2"/>
          </w:tcPr>
          <w:p>
            <w:pPr>
              <w:pStyle w:val="TableParagraph"/>
              <w:spacing w:before="13"/>
              <w:ind w:left="3182"/>
              <w:rPr>
                <w:sz w:val="12"/>
              </w:rPr>
            </w:pPr>
            <w:r>
              <w:rPr>
                <w:color w:val="231F20"/>
                <w:sz w:val="12"/>
              </w:rPr>
              <w:t>DE-</w:t>
            </w:r>
            <w:r>
              <w:rPr>
                <w:color w:val="231F20"/>
                <w:spacing w:val="-2"/>
                <w:w w:val="105"/>
                <w:sz w:val="12"/>
              </w:rPr>
              <w:t>SC0019411</w:t>
            </w:r>
          </w:p>
        </w:tc>
        <w:tc>
          <w:tcPr>
            <w:tcW w:w="1150" w:type="dxa"/>
          </w:tcPr>
          <w:p>
            <w:pPr>
              <w:pStyle w:val="TableParagraph"/>
              <w:spacing w:line="132" w:lineRule="exact" w:before="19"/>
              <w:ind w:left="372" w:right="363"/>
              <w:jc w:val="center"/>
              <w:rPr>
                <w:sz w:val="12"/>
              </w:rPr>
            </w:pPr>
            <w:r>
              <w:rPr>
                <w:color w:val="231F20"/>
                <w:spacing w:val="-2"/>
                <w:w w:val="105"/>
                <w:sz w:val="12"/>
              </w:rPr>
              <w:t>81.049</w:t>
            </w:r>
          </w:p>
        </w:tc>
        <w:tc>
          <w:tcPr>
            <w:tcW w:w="1126" w:type="dxa"/>
          </w:tcPr>
          <w:p>
            <w:pPr>
              <w:pStyle w:val="TableParagraph"/>
              <w:spacing w:line="132" w:lineRule="exact" w:before="19"/>
              <w:ind w:right="63"/>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2" w:lineRule="exact" w:before="19"/>
              <w:ind w:right="19"/>
              <w:jc w:val="right"/>
              <w:rPr>
                <w:sz w:val="12"/>
              </w:rPr>
            </w:pPr>
            <w:r>
              <w:rPr>
                <w:color w:val="231F20"/>
                <w:spacing w:val="-2"/>
                <w:w w:val="105"/>
                <w:sz w:val="12"/>
              </w:rPr>
              <w:t>(5,604)</w:t>
            </w:r>
          </w:p>
        </w:tc>
      </w:tr>
      <w:tr>
        <w:trPr>
          <w:trHeight w:val="171" w:hRule="atLeast"/>
        </w:trPr>
        <w:tc>
          <w:tcPr>
            <w:tcW w:w="4458" w:type="dxa"/>
          </w:tcPr>
          <w:p>
            <w:pPr>
              <w:pStyle w:val="TableParagraph"/>
              <w:spacing w:before="14"/>
              <w:ind w:left="371"/>
              <w:rPr>
                <w:sz w:val="12"/>
              </w:rPr>
            </w:pPr>
            <w:r>
              <w:rPr>
                <w:color w:val="231F20"/>
                <w:spacing w:val="-2"/>
                <w:w w:val="105"/>
                <w:sz w:val="12"/>
              </w:rPr>
              <w:t>Office</w:t>
            </w:r>
            <w:r>
              <w:rPr>
                <w:color w:val="231F20"/>
                <w:spacing w:val="3"/>
                <w:w w:val="105"/>
                <w:sz w:val="12"/>
              </w:rPr>
              <w:t> </w:t>
            </w:r>
            <w:r>
              <w:rPr>
                <w:color w:val="231F20"/>
                <w:spacing w:val="-2"/>
                <w:w w:val="105"/>
                <w:sz w:val="12"/>
              </w:rPr>
              <w:t>of</w:t>
            </w:r>
            <w:r>
              <w:rPr>
                <w:color w:val="231F20"/>
                <w:spacing w:val="4"/>
                <w:w w:val="105"/>
                <w:sz w:val="12"/>
              </w:rPr>
              <w:t> </w:t>
            </w:r>
            <w:r>
              <w:rPr>
                <w:color w:val="231F20"/>
                <w:spacing w:val="-2"/>
                <w:w w:val="105"/>
                <w:sz w:val="12"/>
              </w:rPr>
              <w:t>Science</w:t>
            </w:r>
            <w:r>
              <w:rPr>
                <w:color w:val="231F20"/>
                <w:spacing w:val="4"/>
                <w:w w:val="105"/>
                <w:sz w:val="12"/>
              </w:rPr>
              <w:t> </w:t>
            </w:r>
            <w:r>
              <w:rPr>
                <w:color w:val="231F20"/>
                <w:spacing w:val="-2"/>
                <w:w w:val="105"/>
                <w:sz w:val="12"/>
              </w:rPr>
              <w:t>Financial</w:t>
            </w:r>
            <w:r>
              <w:rPr>
                <w:color w:val="231F20"/>
                <w:spacing w:val="4"/>
                <w:w w:val="105"/>
                <w:sz w:val="12"/>
              </w:rPr>
              <w:t> </w:t>
            </w:r>
            <w:r>
              <w:rPr>
                <w:color w:val="231F20"/>
                <w:spacing w:val="-2"/>
                <w:w w:val="105"/>
                <w:sz w:val="12"/>
              </w:rPr>
              <w:t>Assistance</w:t>
            </w:r>
            <w:r>
              <w:rPr>
                <w:color w:val="231F20"/>
                <w:spacing w:val="4"/>
                <w:w w:val="105"/>
                <w:sz w:val="12"/>
              </w:rPr>
              <w:t> </w:t>
            </w:r>
            <w:r>
              <w:rPr>
                <w:color w:val="231F20"/>
                <w:spacing w:val="-2"/>
                <w:w w:val="105"/>
                <w:sz w:val="12"/>
              </w:rPr>
              <w:t>Program</w:t>
            </w:r>
          </w:p>
        </w:tc>
        <w:tc>
          <w:tcPr>
            <w:tcW w:w="887" w:type="dxa"/>
          </w:tcPr>
          <w:p>
            <w:pPr>
              <w:pStyle w:val="TableParagraph"/>
              <w:spacing w:line="132" w:lineRule="exact" w:before="20"/>
              <w:ind w:right="194"/>
              <w:jc w:val="right"/>
              <w:rPr>
                <w:sz w:val="12"/>
              </w:rPr>
            </w:pPr>
            <w:r>
              <w:rPr>
                <w:color w:val="231F20"/>
                <w:spacing w:val="-4"/>
                <w:w w:val="105"/>
                <w:sz w:val="12"/>
              </w:rPr>
              <w:t>DREE</w:t>
            </w:r>
          </w:p>
        </w:tc>
        <w:tc>
          <w:tcPr>
            <w:tcW w:w="5446" w:type="dxa"/>
            <w:gridSpan w:val="2"/>
          </w:tcPr>
          <w:p>
            <w:pPr>
              <w:pStyle w:val="TableParagraph"/>
              <w:spacing w:before="14"/>
              <w:ind w:left="3182"/>
              <w:rPr>
                <w:sz w:val="12"/>
              </w:rPr>
            </w:pPr>
            <w:r>
              <w:rPr>
                <w:color w:val="231F20"/>
                <w:sz w:val="12"/>
              </w:rPr>
              <w:t>DE-</w:t>
            </w:r>
            <w:r>
              <w:rPr>
                <w:color w:val="231F20"/>
                <w:spacing w:val="-2"/>
                <w:w w:val="105"/>
                <w:sz w:val="12"/>
              </w:rPr>
              <w:t>SC0022269</w:t>
            </w:r>
          </w:p>
        </w:tc>
        <w:tc>
          <w:tcPr>
            <w:tcW w:w="1150" w:type="dxa"/>
          </w:tcPr>
          <w:p>
            <w:pPr>
              <w:pStyle w:val="TableParagraph"/>
              <w:spacing w:line="132" w:lineRule="exact" w:before="20"/>
              <w:ind w:left="372" w:right="363"/>
              <w:jc w:val="center"/>
              <w:rPr>
                <w:sz w:val="12"/>
              </w:rPr>
            </w:pPr>
            <w:r>
              <w:rPr>
                <w:color w:val="231F20"/>
                <w:spacing w:val="-2"/>
                <w:w w:val="105"/>
                <w:sz w:val="12"/>
              </w:rPr>
              <w:t>81.049</w:t>
            </w:r>
          </w:p>
        </w:tc>
        <w:tc>
          <w:tcPr>
            <w:tcW w:w="1126" w:type="dxa"/>
          </w:tcPr>
          <w:p>
            <w:pPr>
              <w:pStyle w:val="TableParagraph"/>
              <w:spacing w:line="132" w:lineRule="exact" w:before="20"/>
              <w:ind w:right="64"/>
              <w:jc w:val="right"/>
              <w:rPr>
                <w:sz w:val="12"/>
              </w:rPr>
            </w:pPr>
            <w:r>
              <w:rPr>
                <w:color w:val="231F20"/>
                <w:spacing w:val="-5"/>
                <w:w w:val="105"/>
                <w:sz w:val="12"/>
              </w:rPr>
              <w:t>442</w:t>
            </w:r>
          </w:p>
        </w:tc>
        <w:tc>
          <w:tcPr>
            <w:tcW w:w="152" w:type="dxa"/>
          </w:tcPr>
          <w:p>
            <w:pPr>
              <w:pStyle w:val="TableParagraph"/>
              <w:rPr>
                <w:rFonts w:ascii="Times New Roman"/>
                <w:sz w:val="10"/>
              </w:rPr>
            </w:pPr>
          </w:p>
        </w:tc>
        <w:tc>
          <w:tcPr>
            <w:tcW w:w="1126" w:type="dxa"/>
          </w:tcPr>
          <w:p>
            <w:pPr>
              <w:pStyle w:val="TableParagraph"/>
              <w:spacing w:line="132" w:lineRule="exact" w:before="20"/>
              <w:ind w:right="61"/>
              <w:jc w:val="right"/>
              <w:rPr>
                <w:sz w:val="12"/>
              </w:rPr>
            </w:pPr>
            <w:r>
              <w:rPr>
                <w:color w:val="231F20"/>
                <w:spacing w:val="-2"/>
                <w:w w:val="105"/>
                <w:sz w:val="12"/>
              </w:rPr>
              <w:t>163,899</w:t>
            </w:r>
          </w:p>
        </w:tc>
      </w:tr>
      <w:tr>
        <w:trPr>
          <w:trHeight w:val="171" w:hRule="atLeast"/>
        </w:trPr>
        <w:tc>
          <w:tcPr>
            <w:tcW w:w="4458" w:type="dxa"/>
          </w:tcPr>
          <w:p>
            <w:pPr>
              <w:pStyle w:val="TableParagraph"/>
              <w:spacing w:line="137" w:lineRule="exact" w:before="14"/>
              <w:ind w:left="371"/>
              <w:rPr>
                <w:sz w:val="12"/>
              </w:rPr>
            </w:pPr>
            <w:r>
              <w:rPr>
                <w:color w:val="231F20"/>
                <w:spacing w:val="-2"/>
                <w:w w:val="105"/>
                <w:sz w:val="12"/>
              </w:rPr>
              <w:t>Office</w:t>
            </w:r>
            <w:r>
              <w:rPr>
                <w:color w:val="231F20"/>
                <w:spacing w:val="3"/>
                <w:w w:val="105"/>
                <w:sz w:val="12"/>
              </w:rPr>
              <w:t> </w:t>
            </w:r>
            <w:r>
              <w:rPr>
                <w:color w:val="231F20"/>
                <w:spacing w:val="-2"/>
                <w:w w:val="105"/>
                <w:sz w:val="12"/>
              </w:rPr>
              <w:t>of</w:t>
            </w:r>
            <w:r>
              <w:rPr>
                <w:color w:val="231F20"/>
                <w:spacing w:val="4"/>
                <w:w w:val="105"/>
                <w:sz w:val="12"/>
              </w:rPr>
              <w:t> </w:t>
            </w:r>
            <w:r>
              <w:rPr>
                <w:color w:val="231F20"/>
                <w:spacing w:val="-2"/>
                <w:w w:val="105"/>
                <w:sz w:val="12"/>
              </w:rPr>
              <w:t>Science</w:t>
            </w:r>
            <w:r>
              <w:rPr>
                <w:color w:val="231F20"/>
                <w:spacing w:val="4"/>
                <w:w w:val="105"/>
                <w:sz w:val="12"/>
              </w:rPr>
              <w:t> </w:t>
            </w:r>
            <w:r>
              <w:rPr>
                <w:color w:val="231F20"/>
                <w:spacing w:val="-2"/>
                <w:w w:val="105"/>
                <w:sz w:val="12"/>
              </w:rPr>
              <w:t>Financial</w:t>
            </w:r>
            <w:r>
              <w:rPr>
                <w:color w:val="231F20"/>
                <w:spacing w:val="4"/>
                <w:w w:val="105"/>
                <w:sz w:val="12"/>
              </w:rPr>
              <w:t> </w:t>
            </w:r>
            <w:r>
              <w:rPr>
                <w:color w:val="231F20"/>
                <w:spacing w:val="-2"/>
                <w:w w:val="105"/>
                <w:sz w:val="12"/>
              </w:rPr>
              <w:t>Assistance</w:t>
            </w:r>
            <w:r>
              <w:rPr>
                <w:color w:val="231F20"/>
                <w:spacing w:val="4"/>
                <w:w w:val="105"/>
                <w:sz w:val="12"/>
              </w:rPr>
              <w:t> </w:t>
            </w:r>
            <w:r>
              <w:rPr>
                <w:color w:val="231F20"/>
                <w:spacing w:val="-2"/>
                <w:w w:val="105"/>
                <w:sz w:val="12"/>
              </w:rPr>
              <w:t>Program</w:t>
            </w:r>
          </w:p>
        </w:tc>
        <w:tc>
          <w:tcPr>
            <w:tcW w:w="887" w:type="dxa"/>
          </w:tcPr>
          <w:p>
            <w:pPr>
              <w:pStyle w:val="TableParagraph"/>
              <w:spacing w:line="131" w:lineRule="exact" w:before="20"/>
              <w:ind w:right="198"/>
              <w:jc w:val="right"/>
              <w:rPr>
                <w:sz w:val="12"/>
              </w:rPr>
            </w:pPr>
            <w:r>
              <w:rPr>
                <w:color w:val="231F20"/>
                <w:spacing w:val="-4"/>
                <w:w w:val="105"/>
                <w:sz w:val="12"/>
              </w:rPr>
              <w:t>DTDB</w:t>
            </w:r>
          </w:p>
        </w:tc>
        <w:tc>
          <w:tcPr>
            <w:tcW w:w="5446" w:type="dxa"/>
            <w:gridSpan w:val="2"/>
          </w:tcPr>
          <w:p>
            <w:pPr>
              <w:pStyle w:val="TableParagraph"/>
              <w:spacing w:line="137" w:lineRule="exact" w:before="14"/>
              <w:ind w:left="3182"/>
              <w:rPr>
                <w:sz w:val="12"/>
              </w:rPr>
            </w:pPr>
            <w:r>
              <w:rPr>
                <w:color w:val="231F20"/>
                <w:sz w:val="12"/>
              </w:rPr>
              <w:t>DE-</w:t>
            </w:r>
            <w:r>
              <w:rPr>
                <w:color w:val="231F20"/>
                <w:spacing w:val="-2"/>
                <w:w w:val="105"/>
                <w:sz w:val="12"/>
              </w:rPr>
              <w:t>SC0021106</w:t>
            </w:r>
          </w:p>
        </w:tc>
        <w:tc>
          <w:tcPr>
            <w:tcW w:w="1150" w:type="dxa"/>
          </w:tcPr>
          <w:p>
            <w:pPr>
              <w:pStyle w:val="TableParagraph"/>
              <w:spacing w:line="131" w:lineRule="exact" w:before="20"/>
              <w:ind w:left="372" w:right="363"/>
              <w:jc w:val="center"/>
              <w:rPr>
                <w:sz w:val="12"/>
              </w:rPr>
            </w:pPr>
            <w:r>
              <w:rPr>
                <w:color w:val="231F20"/>
                <w:spacing w:val="-2"/>
                <w:w w:val="105"/>
                <w:sz w:val="12"/>
              </w:rPr>
              <w:t>81.049</w:t>
            </w:r>
          </w:p>
        </w:tc>
        <w:tc>
          <w:tcPr>
            <w:tcW w:w="1126" w:type="dxa"/>
          </w:tcPr>
          <w:p>
            <w:pPr>
              <w:pStyle w:val="TableParagraph"/>
              <w:spacing w:line="131" w:lineRule="exact" w:before="20"/>
              <w:ind w:right="63"/>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1" w:lineRule="exact" w:before="20"/>
              <w:ind w:right="61"/>
              <w:jc w:val="right"/>
              <w:rPr>
                <w:sz w:val="12"/>
              </w:rPr>
            </w:pPr>
            <w:r>
              <w:rPr>
                <w:color w:val="231F20"/>
                <w:spacing w:val="-2"/>
                <w:w w:val="105"/>
                <w:sz w:val="12"/>
              </w:rPr>
              <w:t>317,335</w:t>
            </w:r>
          </w:p>
        </w:tc>
      </w:tr>
      <w:tr>
        <w:trPr>
          <w:trHeight w:val="171" w:hRule="atLeast"/>
        </w:trPr>
        <w:tc>
          <w:tcPr>
            <w:tcW w:w="4458" w:type="dxa"/>
          </w:tcPr>
          <w:p>
            <w:pPr>
              <w:pStyle w:val="TableParagraph"/>
              <w:spacing w:before="13"/>
              <w:ind w:left="371"/>
              <w:rPr>
                <w:sz w:val="12"/>
              </w:rPr>
            </w:pPr>
            <w:r>
              <w:rPr>
                <w:color w:val="231F20"/>
                <w:w w:val="105"/>
                <w:sz w:val="12"/>
              </w:rPr>
              <w:t>Fossil</w:t>
            </w:r>
            <w:r>
              <w:rPr>
                <w:color w:val="231F20"/>
                <w:spacing w:val="-9"/>
                <w:w w:val="105"/>
                <w:sz w:val="12"/>
              </w:rPr>
              <w:t> </w:t>
            </w:r>
            <w:r>
              <w:rPr>
                <w:color w:val="231F20"/>
                <w:w w:val="105"/>
                <w:sz w:val="12"/>
              </w:rPr>
              <w:t>Energy</w:t>
            </w:r>
            <w:r>
              <w:rPr>
                <w:color w:val="231F20"/>
                <w:spacing w:val="-9"/>
                <w:w w:val="105"/>
                <w:sz w:val="12"/>
              </w:rPr>
              <w:t> </w:t>
            </w:r>
            <w:r>
              <w:rPr>
                <w:color w:val="231F20"/>
                <w:w w:val="105"/>
                <w:sz w:val="12"/>
              </w:rPr>
              <w:t>Research</w:t>
            </w:r>
            <w:r>
              <w:rPr>
                <w:color w:val="231F20"/>
                <w:spacing w:val="-9"/>
                <w:w w:val="105"/>
                <w:sz w:val="12"/>
              </w:rPr>
              <w:t> </w:t>
            </w:r>
            <w:r>
              <w:rPr>
                <w:color w:val="231F20"/>
                <w:w w:val="105"/>
                <w:sz w:val="12"/>
              </w:rPr>
              <w:t>and</w:t>
            </w:r>
            <w:r>
              <w:rPr>
                <w:color w:val="231F20"/>
                <w:spacing w:val="-8"/>
                <w:w w:val="105"/>
                <w:sz w:val="12"/>
              </w:rPr>
              <w:t> </w:t>
            </w:r>
            <w:r>
              <w:rPr>
                <w:color w:val="231F20"/>
                <w:spacing w:val="-2"/>
                <w:w w:val="105"/>
                <w:sz w:val="12"/>
              </w:rPr>
              <w:t>Development</w:t>
            </w:r>
          </w:p>
        </w:tc>
        <w:tc>
          <w:tcPr>
            <w:tcW w:w="887" w:type="dxa"/>
          </w:tcPr>
          <w:p>
            <w:pPr>
              <w:pStyle w:val="TableParagraph"/>
              <w:spacing w:line="132" w:lineRule="exact" w:before="19"/>
              <w:ind w:right="198"/>
              <w:jc w:val="right"/>
              <w:rPr>
                <w:sz w:val="12"/>
              </w:rPr>
            </w:pPr>
            <w:r>
              <w:rPr>
                <w:color w:val="231F20"/>
                <w:spacing w:val="-4"/>
                <w:w w:val="105"/>
                <w:sz w:val="12"/>
              </w:rPr>
              <w:t>DACF</w:t>
            </w:r>
          </w:p>
        </w:tc>
        <w:tc>
          <w:tcPr>
            <w:tcW w:w="5446" w:type="dxa"/>
            <w:gridSpan w:val="2"/>
          </w:tcPr>
          <w:p>
            <w:pPr>
              <w:pStyle w:val="TableParagraph"/>
              <w:spacing w:before="13"/>
              <w:ind w:left="3182"/>
              <w:rPr>
                <w:sz w:val="12"/>
              </w:rPr>
            </w:pPr>
            <w:r>
              <w:rPr>
                <w:color w:val="231F20"/>
                <w:sz w:val="12"/>
              </w:rPr>
              <w:t>DE-</w:t>
            </w:r>
            <w:r>
              <w:rPr>
                <w:color w:val="231F20"/>
                <w:spacing w:val="-2"/>
                <w:w w:val="105"/>
                <w:sz w:val="12"/>
              </w:rPr>
              <w:t>FE0032064</w:t>
            </w:r>
          </w:p>
        </w:tc>
        <w:tc>
          <w:tcPr>
            <w:tcW w:w="1150" w:type="dxa"/>
          </w:tcPr>
          <w:p>
            <w:pPr>
              <w:pStyle w:val="TableParagraph"/>
              <w:spacing w:line="132" w:lineRule="exact" w:before="19"/>
              <w:ind w:left="372" w:right="363"/>
              <w:jc w:val="center"/>
              <w:rPr>
                <w:sz w:val="12"/>
              </w:rPr>
            </w:pPr>
            <w:r>
              <w:rPr>
                <w:color w:val="231F20"/>
                <w:spacing w:val="-2"/>
                <w:w w:val="105"/>
                <w:sz w:val="12"/>
              </w:rPr>
              <w:t>81.089</w:t>
            </w:r>
          </w:p>
        </w:tc>
        <w:tc>
          <w:tcPr>
            <w:tcW w:w="1126" w:type="dxa"/>
          </w:tcPr>
          <w:p>
            <w:pPr>
              <w:pStyle w:val="TableParagraph"/>
              <w:spacing w:line="132" w:lineRule="exact" w:before="19"/>
              <w:ind w:right="64"/>
              <w:jc w:val="right"/>
              <w:rPr>
                <w:sz w:val="12"/>
              </w:rPr>
            </w:pPr>
            <w:r>
              <w:rPr>
                <w:color w:val="231F20"/>
                <w:spacing w:val="-2"/>
                <w:w w:val="105"/>
                <w:sz w:val="12"/>
              </w:rPr>
              <w:t>204,707</w:t>
            </w:r>
          </w:p>
        </w:tc>
        <w:tc>
          <w:tcPr>
            <w:tcW w:w="152" w:type="dxa"/>
          </w:tcPr>
          <w:p>
            <w:pPr>
              <w:pStyle w:val="TableParagraph"/>
              <w:rPr>
                <w:rFonts w:ascii="Times New Roman"/>
                <w:sz w:val="10"/>
              </w:rPr>
            </w:pPr>
          </w:p>
        </w:tc>
        <w:tc>
          <w:tcPr>
            <w:tcW w:w="1126" w:type="dxa"/>
          </w:tcPr>
          <w:p>
            <w:pPr>
              <w:pStyle w:val="TableParagraph"/>
              <w:spacing w:line="132" w:lineRule="exact" w:before="19"/>
              <w:ind w:right="61"/>
              <w:jc w:val="right"/>
              <w:rPr>
                <w:sz w:val="12"/>
              </w:rPr>
            </w:pPr>
            <w:r>
              <w:rPr>
                <w:color w:val="231F20"/>
                <w:spacing w:val="-2"/>
                <w:w w:val="105"/>
                <w:sz w:val="12"/>
              </w:rPr>
              <w:t>364,007</w:t>
            </w:r>
          </w:p>
        </w:tc>
      </w:tr>
      <w:tr>
        <w:trPr>
          <w:trHeight w:val="171" w:hRule="atLeast"/>
        </w:trPr>
        <w:tc>
          <w:tcPr>
            <w:tcW w:w="4458" w:type="dxa"/>
          </w:tcPr>
          <w:p>
            <w:pPr>
              <w:pStyle w:val="TableParagraph"/>
              <w:spacing w:before="14"/>
              <w:ind w:left="371"/>
              <w:rPr>
                <w:sz w:val="12"/>
              </w:rPr>
            </w:pPr>
            <w:r>
              <w:rPr>
                <w:color w:val="231F20"/>
                <w:w w:val="105"/>
                <w:sz w:val="12"/>
              </w:rPr>
              <w:t>Fossil</w:t>
            </w:r>
            <w:r>
              <w:rPr>
                <w:color w:val="231F20"/>
                <w:spacing w:val="-9"/>
                <w:w w:val="105"/>
                <w:sz w:val="12"/>
              </w:rPr>
              <w:t> </w:t>
            </w:r>
            <w:r>
              <w:rPr>
                <w:color w:val="231F20"/>
                <w:w w:val="105"/>
                <w:sz w:val="12"/>
              </w:rPr>
              <w:t>Energy</w:t>
            </w:r>
            <w:r>
              <w:rPr>
                <w:color w:val="231F20"/>
                <w:spacing w:val="-9"/>
                <w:w w:val="105"/>
                <w:sz w:val="12"/>
              </w:rPr>
              <w:t> </w:t>
            </w:r>
            <w:r>
              <w:rPr>
                <w:color w:val="231F20"/>
                <w:w w:val="105"/>
                <w:sz w:val="12"/>
              </w:rPr>
              <w:t>Research</w:t>
            </w:r>
            <w:r>
              <w:rPr>
                <w:color w:val="231F20"/>
                <w:spacing w:val="-9"/>
                <w:w w:val="105"/>
                <w:sz w:val="12"/>
              </w:rPr>
              <w:t> </w:t>
            </w:r>
            <w:r>
              <w:rPr>
                <w:color w:val="231F20"/>
                <w:w w:val="105"/>
                <w:sz w:val="12"/>
              </w:rPr>
              <w:t>and</w:t>
            </w:r>
            <w:r>
              <w:rPr>
                <w:color w:val="231F20"/>
                <w:spacing w:val="-8"/>
                <w:w w:val="105"/>
                <w:sz w:val="12"/>
              </w:rPr>
              <w:t> </w:t>
            </w:r>
            <w:r>
              <w:rPr>
                <w:color w:val="231F20"/>
                <w:spacing w:val="-2"/>
                <w:w w:val="105"/>
                <w:sz w:val="12"/>
              </w:rPr>
              <w:t>Development</w:t>
            </w:r>
          </w:p>
        </w:tc>
        <w:tc>
          <w:tcPr>
            <w:tcW w:w="887" w:type="dxa"/>
          </w:tcPr>
          <w:p>
            <w:pPr>
              <w:pStyle w:val="TableParagraph"/>
              <w:spacing w:line="132" w:lineRule="exact" w:before="20"/>
              <w:ind w:right="194"/>
              <w:jc w:val="right"/>
              <w:rPr>
                <w:sz w:val="12"/>
              </w:rPr>
            </w:pPr>
            <w:r>
              <w:rPr>
                <w:color w:val="231F20"/>
                <w:spacing w:val="-4"/>
                <w:w w:val="105"/>
                <w:sz w:val="12"/>
              </w:rPr>
              <w:t>DBRS</w:t>
            </w:r>
          </w:p>
        </w:tc>
        <w:tc>
          <w:tcPr>
            <w:tcW w:w="5446" w:type="dxa"/>
            <w:gridSpan w:val="2"/>
          </w:tcPr>
          <w:p>
            <w:pPr>
              <w:pStyle w:val="TableParagraph"/>
              <w:spacing w:before="14"/>
              <w:ind w:left="3182"/>
              <w:rPr>
                <w:sz w:val="12"/>
              </w:rPr>
            </w:pPr>
            <w:r>
              <w:rPr>
                <w:color w:val="231F20"/>
                <w:sz w:val="12"/>
              </w:rPr>
              <w:t>DE-</w:t>
            </w:r>
            <w:r>
              <w:rPr>
                <w:color w:val="231F20"/>
                <w:spacing w:val="-2"/>
                <w:w w:val="105"/>
                <w:sz w:val="12"/>
              </w:rPr>
              <w:t>FE0031684</w:t>
            </w:r>
          </w:p>
        </w:tc>
        <w:tc>
          <w:tcPr>
            <w:tcW w:w="1150" w:type="dxa"/>
          </w:tcPr>
          <w:p>
            <w:pPr>
              <w:pStyle w:val="TableParagraph"/>
              <w:spacing w:line="132" w:lineRule="exact" w:before="20"/>
              <w:ind w:left="372" w:right="363"/>
              <w:jc w:val="center"/>
              <w:rPr>
                <w:sz w:val="12"/>
              </w:rPr>
            </w:pPr>
            <w:r>
              <w:rPr>
                <w:color w:val="231F20"/>
                <w:spacing w:val="-2"/>
                <w:w w:val="105"/>
                <w:sz w:val="12"/>
              </w:rPr>
              <w:t>81.089</w:t>
            </w:r>
          </w:p>
        </w:tc>
        <w:tc>
          <w:tcPr>
            <w:tcW w:w="1126" w:type="dxa"/>
          </w:tcPr>
          <w:p>
            <w:pPr>
              <w:pStyle w:val="TableParagraph"/>
              <w:spacing w:line="132" w:lineRule="exact" w:before="20"/>
              <w:ind w:right="63"/>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2" w:lineRule="exact" w:before="20"/>
              <w:ind w:right="61"/>
              <w:jc w:val="right"/>
              <w:rPr>
                <w:sz w:val="12"/>
              </w:rPr>
            </w:pPr>
            <w:r>
              <w:rPr>
                <w:color w:val="231F20"/>
                <w:spacing w:val="-2"/>
                <w:w w:val="105"/>
                <w:sz w:val="12"/>
              </w:rPr>
              <w:t>115,978</w:t>
            </w:r>
          </w:p>
        </w:tc>
      </w:tr>
      <w:tr>
        <w:trPr>
          <w:trHeight w:val="170" w:hRule="atLeast"/>
        </w:trPr>
        <w:tc>
          <w:tcPr>
            <w:tcW w:w="4458" w:type="dxa"/>
          </w:tcPr>
          <w:p>
            <w:pPr>
              <w:pStyle w:val="TableParagraph"/>
              <w:spacing w:line="137" w:lineRule="exact" w:before="14"/>
              <w:ind w:left="371"/>
              <w:rPr>
                <w:sz w:val="12"/>
              </w:rPr>
            </w:pPr>
            <w:r>
              <w:rPr>
                <w:color w:val="231F20"/>
                <w:w w:val="105"/>
                <w:sz w:val="12"/>
              </w:rPr>
              <w:t>Fossil</w:t>
            </w:r>
            <w:r>
              <w:rPr>
                <w:color w:val="231F20"/>
                <w:spacing w:val="-9"/>
                <w:w w:val="105"/>
                <w:sz w:val="12"/>
              </w:rPr>
              <w:t> </w:t>
            </w:r>
            <w:r>
              <w:rPr>
                <w:color w:val="231F20"/>
                <w:w w:val="105"/>
                <w:sz w:val="12"/>
              </w:rPr>
              <w:t>Energy</w:t>
            </w:r>
            <w:r>
              <w:rPr>
                <w:color w:val="231F20"/>
                <w:spacing w:val="-9"/>
                <w:w w:val="105"/>
                <w:sz w:val="12"/>
              </w:rPr>
              <w:t> </w:t>
            </w:r>
            <w:r>
              <w:rPr>
                <w:color w:val="231F20"/>
                <w:w w:val="105"/>
                <w:sz w:val="12"/>
              </w:rPr>
              <w:t>Research</w:t>
            </w:r>
            <w:r>
              <w:rPr>
                <w:color w:val="231F20"/>
                <w:spacing w:val="-9"/>
                <w:w w:val="105"/>
                <w:sz w:val="12"/>
              </w:rPr>
              <w:t> </w:t>
            </w:r>
            <w:r>
              <w:rPr>
                <w:color w:val="231F20"/>
                <w:w w:val="105"/>
                <w:sz w:val="12"/>
              </w:rPr>
              <w:t>and</w:t>
            </w:r>
            <w:r>
              <w:rPr>
                <w:color w:val="231F20"/>
                <w:spacing w:val="-8"/>
                <w:w w:val="105"/>
                <w:sz w:val="12"/>
              </w:rPr>
              <w:t> </w:t>
            </w:r>
            <w:r>
              <w:rPr>
                <w:color w:val="231F20"/>
                <w:spacing w:val="-2"/>
                <w:w w:val="105"/>
                <w:sz w:val="12"/>
              </w:rPr>
              <w:t>Development</w:t>
            </w:r>
          </w:p>
        </w:tc>
        <w:tc>
          <w:tcPr>
            <w:tcW w:w="887" w:type="dxa"/>
          </w:tcPr>
          <w:p>
            <w:pPr>
              <w:pStyle w:val="TableParagraph"/>
              <w:spacing w:line="132" w:lineRule="exact" w:before="18"/>
              <w:ind w:right="191"/>
              <w:jc w:val="right"/>
              <w:rPr>
                <w:sz w:val="12"/>
              </w:rPr>
            </w:pPr>
            <w:r>
              <w:rPr>
                <w:color w:val="231F20"/>
                <w:spacing w:val="-4"/>
                <w:w w:val="105"/>
                <w:sz w:val="12"/>
              </w:rPr>
              <w:t>DCAR</w:t>
            </w:r>
          </w:p>
        </w:tc>
        <w:tc>
          <w:tcPr>
            <w:tcW w:w="5446" w:type="dxa"/>
            <w:gridSpan w:val="2"/>
          </w:tcPr>
          <w:p>
            <w:pPr>
              <w:pStyle w:val="TableParagraph"/>
              <w:spacing w:line="137" w:lineRule="exact" w:before="14"/>
              <w:ind w:left="3182"/>
              <w:rPr>
                <w:sz w:val="12"/>
              </w:rPr>
            </w:pPr>
            <w:r>
              <w:rPr>
                <w:color w:val="231F20"/>
                <w:sz w:val="12"/>
              </w:rPr>
              <w:t>DE-</w:t>
            </w:r>
            <w:r>
              <w:rPr>
                <w:color w:val="231F20"/>
                <w:spacing w:val="-2"/>
                <w:w w:val="105"/>
                <w:sz w:val="12"/>
              </w:rPr>
              <w:t>FE0031890</w:t>
            </w:r>
          </w:p>
        </w:tc>
        <w:tc>
          <w:tcPr>
            <w:tcW w:w="1150" w:type="dxa"/>
          </w:tcPr>
          <w:p>
            <w:pPr>
              <w:pStyle w:val="TableParagraph"/>
              <w:spacing w:line="132" w:lineRule="exact" w:before="18"/>
              <w:ind w:left="372" w:right="363"/>
              <w:jc w:val="center"/>
              <w:rPr>
                <w:sz w:val="12"/>
              </w:rPr>
            </w:pPr>
            <w:r>
              <w:rPr>
                <w:color w:val="231F20"/>
                <w:spacing w:val="-2"/>
                <w:w w:val="105"/>
                <w:sz w:val="12"/>
              </w:rPr>
              <w:t>81.089</w:t>
            </w:r>
          </w:p>
        </w:tc>
        <w:tc>
          <w:tcPr>
            <w:tcW w:w="1126" w:type="dxa"/>
          </w:tcPr>
          <w:p>
            <w:pPr>
              <w:pStyle w:val="TableParagraph"/>
              <w:spacing w:line="132" w:lineRule="exact" w:before="18"/>
              <w:ind w:right="64"/>
              <w:jc w:val="right"/>
              <w:rPr>
                <w:sz w:val="12"/>
              </w:rPr>
            </w:pPr>
            <w:r>
              <w:rPr>
                <w:color w:val="231F20"/>
                <w:spacing w:val="-2"/>
                <w:w w:val="105"/>
                <w:sz w:val="12"/>
              </w:rPr>
              <w:t>429,840</w:t>
            </w:r>
          </w:p>
        </w:tc>
        <w:tc>
          <w:tcPr>
            <w:tcW w:w="152" w:type="dxa"/>
          </w:tcPr>
          <w:p>
            <w:pPr>
              <w:pStyle w:val="TableParagraph"/>
              <w:rPr>
                <w:rFonts w:ascii="Times New Roman"/>
                <w:sz w:val="10"/>
              </w:rPr>
            </w:pPr>
          </w:p>
        </w:tc>
        <w:tc>
          <w:tcPr>
            <w:tcW w:w="1126" w:type="dxa"/>
          </w:tcPr>
          <w:p>
            <w:pPr>
              <w:pStyle w:val="TableParagraph"/>
              <w:spacing w:line="132" w:lineRule="exact" w:before="18"/>
              <w:ind w:right="61"/>
              <w:jc w:val="right"/>
              <w:rPr>
                <w:sz w:val="12"/>
              </w:rPr>
            </w:pPr>
            <w:r>
              <w:rPr>
                <w:color w:val="231F20"/>
                <w:spacing w:val="-2"/>
                <w:w w:val="105"/>
                <w:sz w:val="12"/>
              </w:rPr>
              <w:t>2,275,837</w:t>
            </w:r>
          </w:p>
        </w:tc>
      </w:tr>
      <w:tr>
        <w:trPr>
          <w:trHeight w:val="171" w:hRule="atLeast"/>
        </w:trPr>
        <w:tc>
          <w:tcPr>
            <w:tcW w:w="4458" w:type="dxa"/>
          </w:tcPr>
          <w:p>
            <w:pPr>
              <w:pStyle w:val="TableParagraph"/>
              <w:spacing w:before="14"/>
              <w:ind w:left="371"/>
              <w:rPr>
                <w:sz w:val="12"/>
              </w:rPr>
            </w:pPr>
            <w:r>
              <w:rPr>
                <w:color w:val="231F20"/>
                <w:w w:val="105"/>
                <w:sz w:val="12"/>
              </w:rPr>
              <w:t>Fossil</w:t>
            </w:r>
            <w:r>
              <w:rPr>
                <w:color w:val="231F20"/>
                <w:spacing w:val="-9"/>
                <w:w w:val="105"/>
                <w:sz w:val="12"/>
              </w:rPr>
              <w:t> </w:t>
            </w:r>
            <w:r>
              <w:rPr>
                <w:color w:val="231F20"/>
                <w:w w:val="105"/>
                <w:sz w:val="12"/>
              </w:rPr>
              <w:t>Energy</w:t>
            </w:r>
            <w:r>
              <w:rPr>
                <w:color w:val="231F20"/>
                <w:spacing w:val="-9"/>
                <w:w w:val="105"/>
                <w:sz w:val="12"/>
              </w:rPr>
              <w:t> </w:t>
            </w:r>
            <w:r>
              <w:rPr>
                <w:color w:val="231F20"/>
                <w:w w:val="105"/>
                <w:sz w:val="12"/>
              </w:rPr>
              <w:t>Research</w:t>
            </w:r>
            <w:r>
              <w:rPr>
                <w:color w:val="231F20"/>
                <w:spacing w:val="-9"/>
                <w:w w:val="105"/>
                <w:sz w:val="12"/>
              </w:rPr>
              <w:t> </w:t>
            </w:r>
            <w:r>
              <w:rPr>
                <w:color w:val="231F20"/>
                <w:w w:val="105"/>
                <w:sz w:val="12"/>
              </w:rPr>
              <w:t>and</w:t>
            </w:r>
            <w:r>
              <w:rPr>
                <w:color w:val="231F20"/>
                <w:spacing w:val="-8"/>
                <w:w w:val="105"/>
                <w:sz w:val="12"/>
              </w:rPr>
              <w:t> </w:t>
            </w:r>
            <w:r>
              <w:rPr>
                <w:color w:val="231F20"/>
                <w:spacing w:val="-2"/>
                <w:w w:val="105"/>
                <w:sz w:val="12"/>
              </w:rPr>
              <w:t>Development</w:t>
            </w:r>
          </w:p>
        </w:tc>
        <w:tc>
          <w:tcPr>
            <w:tcW w:w="887" w:type="dxa"/>
          </w:tcPr>
          <w:p>
            <w:pPr>
              <w:pStyle w:val="TableParagraph"/>
              <w:spacing w:line="132" w:lineRule="exact" w:before="20"/>
              <w:ind w:right="184"/>
              <w:jc w:val="right"/>
              <w:rPr>
                <w:sz w:val="12"/>
              </w:rPr>
            </w:pPr>
            <w:r>
              <w:rPr>
                <w:color w:val="231F20"/>
                <w:spacing w:val="-4"/>
                <w:w w:val="105"/>
                <w:sz w:val="12"/>
              </w:rPr>
              <w:t>DCOR</w:t>
            </w:r>
          </w:p>
        </w:tc>
        <w:tc>
          <w:tcPr>
            <w:tcW w:w="5446" w:type="dxa"/>
            <w:gridSpan w:val="2"/>
          </w:tcPr>
          <w:p>
            <w:pPr>
              <w:pStyle w:val="TableParagraph"/>
              <w:spacing w:before="14"/>
              <w:ind w:left="3182"/>
              <w:rPr>
                <w:sz w:val="12"/>
              </w:rPr>
            </w:pPr>
            <w:r>
              <w:rPr>
                <w:color w:val="231F20"/>
                <w:sz w:val="12"/>
              </w:rPr>
              <w:t>DE-</w:t>
            </w:r>
            <w:r>
              <w:rPr>
                <w:color w:val="231F20"/>
                <w:spacing w:val="-2"/>
                <w:w w:val="105"/>
                <w:sz w:val="12"/>
              </w:rPr>
              <w:t>FE0032051</w:t>
            </w:r>
          </w:p>
        </w:tc>
        <w:tc>
          <w:tcPr>
            <w:tcW w:w="1150" w:type="dxa"/>
          </w:tcPr>
          <w:p>
            <w:pPr>
              <w:pStyle w:val="TableParagraph"/>
              <w:spacing w:line="132" w:lineRule="exact" w:before="20"/>
              <w:ind w:left="372" w:right="363"/>
              <w:jc w:val="center"/>
              <w:rPr>
                <w:sz w:val="12"/>
              </w:rPr>
            </w:pPr>
            <w:r>
              <w:rPr>
                <w:color w:val="231F20"/>
                <w:spacing w:val="-2"/>
                <w:w w:val="105"/>
                <w:sz w:val="12"/>
              </w:rPr>
              <w:t>81.089</w:t>
            </w:r>
          </w:p>
        </w:tc>
        <w:tc>
          <w:tcPr>
            <w:tcW w:w="1126" w:type="dxa"/>
          </w:tcPr>
          <w:p>
            <w:pPr>
              <w:pStyle w:val="TableParagraph"/>
              <w:spacing w:line="132" w:lineRule="exact" w:before="20"/>
              <w:ind w:right="64"/>
              <w:jc w:val="right"/>
              <w:rPr>
                <w:sz w:val="12"/>
              </w:rPr>
            </w:pPr>
            <w:r>
              <w:rPr>
                <w:color w:val="231F20"/>
                <w:spacing w:val="-2"/>
                <w:w w:val="105"/>
                <w:sz w:val="12"/>
              </w:rPr>
              <w:t>81,032</w:t>
            </w:r>
          </w:p>
        </w:tc>
        <w:tc>
          <w:tcPr>
            <w:tcW w:w="152" w:type="dxa"/>
          </w:tcPr>
          <w:p>
            <w:pPr>
              <w:pStyle w:val="TableParagraph"/>
              <w:rPr>
                <w:rFonts w:ascii="Times New Roman"/>
                <w:sz w:val="10"/>
              </w:rPr>
            </w:pPr>
          </w:p>
        </w:tc>
        <w:tc>
          <w:tcPr>
            <w:tcW w:w="1126" w:type="dxa"/>
          </w:tcPr>
          <w:p>
            <w:pPr>
              <w:pStyle w:val="TableParagraph"/>
              <w:spacing w:line="132" w:lineRule="exact" w:before="20"/>
              <w:ind w:right="61"/>
              <w:jc w:val="right"/>
              <w:rPr>
                <w:sz w:val="12"/>
              </w:rPr>
            </w:pPr>
            <w:r>
              <w:rPr>
                <w:color w:val="231F20"/>
                <w:spacing w:val="-2"/>
                <w:w w:val="105"/>
                <w:sz w:val="12"/>
              </w:rPr>
              <w:t>252,309</w:t>
            </w:r>
          </w:p>
        </w:tc>
      </w:tr>
      <w:tr>
        <w:trPr>
          <w:trHeight w:val="171" w:hRule="atLeast"/>
        </w:trPr>
        <w:tc>
          <w:tcPr>
            <w:tcW w:w="4458" w:type="dxa"/>
          </w:tcPr>
          <w:p>
            <w:pPr>
              <w:pStyle w:val="TableParagraph"/>
              <w:spacing w:line="137" w:lineRule="exact" w:before="14"/>
              <w:ind w:left="371"/>
              <w:rPr>
                <w:sz w:val="12"/>
              </w:rPr>
            </w:pPr>
            <w:r>
              <w:rPr>
                <w:color w:val="231F20"/>
                <w:w w:val="105"/>
                <w:sz w:val="12"/>
              </w:rPr>
              <w:t>Fossil</w:t>
            </w:r>
            <w:r>
              <w:rPr>
                <w:color w:val="231F20"/>
                <w:spacing w:val="-9"/>
                <w:w w:val="105"/>
                <w:sz w:val="12"/>
              </w:rPr>
              <w:t> </w:t>
            </w:r>
            <w:r>
              <w:rPr>
                <w:color w:val="231F20"/>
                <w:w w:val="105"/>
                <w:sz w:val="12"/>
              </w:rPr>
              <w:t>Energy</w:t>
            </w:r>
            <w:r>
              <w:rPr>
                <w:color w:val="231F20"/>
                <w:spacing w:val="-9"/>
                <w:w w:val="105"/>
                <w:sz w:val="12"/>
              </w:rPr>
              <w:t> </w:t>
            </w:r>
            <w:r>
              <w:rPr>
                <w:color w:val="231F20"/>
                <w:w w:val="105"/>
                <w:sz w:val="12"/>
              </w:rPr>
              <w:t>Research</w:t>
            </w:r>
            <w:r>
              <w:rPr>
                <w:color w:val="231F20"/>
                <w:spacing w:val="-9"/>
                <w:w w:val="105"/>
                <w:sz w:val="12"/>
              </w:rPr>
              <w:t> </w:t>
            </w:r>
            <w:r>
              <w:rPr>
                <w:color w:val="231F20"/>
                <w:w w:val="105"/>
                <w:sz w:val="12"/>
              </w:rPr>
              <w:t>and</w:t>
            </w:r>
            <w:r>
              <w:rPr>
                <w:color w:val="231F20"/>
                <w:spacing w:val="-8"/>
                <w:w w:val="105"/>
                <w:sz w:val="12"/>
              </w:rPr>
              <w:t> </w:t>
            </w:r>
            <w:r>
              <w:rPr>
                <w:color w:val="231F20"/>
                <w:spacing w:val="-2"/>
                <w:w w:val="105"/>
                <w:sz w:val="12"/>
              </w:rPr>
              <w:t>Development</w:t>
            </w:r>
          </w:p>
        </w:tc>
        <w:tc>
          <w:tcPr>
            <w:tcW w:w="887" w:type="dxa"/>
          </w:tcPr>
          <w:p>
            <w:pPr>
              <w:pStyle w:val="TableParagraph"/>
              <w:spacing w:line="131" w:lineRule="exact" w:before="20"/>
              <w:ind w:right="191"/>
              <w:jc w:val="right"/>
              <w:rPr>
                <w:sz w:val="12"/>
              </w:rPr>
            </w:pPr>
            <w:r>
              <w:rPr>
                <w:color w:val="231F20"/>
                <w:spacing w:val="-4"/>
                <w:w w:val="105"/>
                <w:sz w:val="12"/>
              </w:rPr>
              <w:t>DCUS</w:t>
            </w:r>
          </w:p>
        </w:tc>
        <w:tc>
          <w:tcPr>
            <w:tcW w:w="5446" w:type="dxa"/>
            <w:gridSpan w:val="2"/>
          </w:tcPr>
          <w:p>
            <w:pPr>
              <w:pStyle w:val="TableParagraph"/>
              <w:spacing w:line="137" w:lineRule="exact" w:before="14"/>
              <w:ind w:left="3182"/>
              <w:rPr>
                <w:sz w:val="12"/>
              </w:rPr>
            </w:pPr>
            <w:r>
              <w:rPr>
                <w:color w:val="231F20"/>
                <w:sz w:val="12"/>
              </w:rPr>
              <w:t>DE-</w:t>
            </w:r>
            <w:r>
              <w:rPr>
                <w:color w:val="231F20"/>
                <w:spacing w:val="-2"/>
                <w:w w:val="105"/>
                <w:sz w:val="12"/>
              </w:rPr>
              <w:t>FE0031837</w:t>
            </w:r>
          </w:p>
        </w:tc>
        <w:tc>
          <w:tcPr>
            <w:tcW w:w="1150" w:type="dxa"/>
          </w:tcPr>
          <w:p>
            <w:pPr>
              <w:pStyle w:val="TableParagraph"/>
              <w:spacing w:line="131" w:lineRule="exact" w:before="20"/>
              <w:ind w:left="372" w:right="363"/>
              <w:jc w:val="center"/>
              <w:rPr>
                <w:sz w:val="12"/>
              </w:rPr>
            </w:pPr>
            <w:r>
              <w:rPr>
                <w:color w:val="231F20"/>
                <w:spacing w:val="-2"/>
                <w:w w:val="105"/>
                <w:sz w:val="12"/>
              </w:rPr>
              <w:t>81.089</w:t>
            </w:r>
          </w:p>
        </w:tc>
        <w:tc>
          <w:tcPr>
            <w:tcW w:w="1126" w:type="dxa"/>
          </w:tcPr>
          <w:p>
            <w:pPr>
              <w:pStyle w:val="TableParagraph"/>
              <w:spacing w:line="131" w:lineRule="exact" w:before="20"/>
              <w:ind w:right="64"/>
              <w:jc w:val="right"/>
              <w:rPr>
                <w:sz w:val="12"/>
              </w:rPr>
            </w:pPr>
            <w:r>
              <w:rPr>
                <w:color w:val="231F20"/>
                <w:spacing w:val="-2"/>
                <w:w w:val="105"/>
                <w:sz w:val="12"/>
              </w:rPr>
              <w:t>1,566,658</w:t>
            </w:r>
          </w:p>
        </w:tc>
        <w:tc>
          <w:tcPr>
            <w:tcW w:w="152" w:type="dxa"/>
          </w:tcPr>
          <w:p>
            <w:pPr>
              <w:pStyle w:val="TableParagraph"/>
              <w:rPr>
                <w:rFonts w:ascii="Times New Roman"/>
                <w:sz w:val="10"/>
              </w:rPr>
            </w:pPr>
          </w:p>
        </w:tc>
        <w:tc>
          <w:tcPr>
            <w:tcW w:w="1126" w:type="dxa"/>
          </w:tcPr>
          <w:p>
            <w:pPr>
              <w:pStyle w:val="TableParagraph"/>
              <w:spacing w:line="131" w:lineRule="exact" w:before="20"/>
              <w:ind w:right="62"/>
              <w:jc w:val="right"/>
              <w:rPr>
                <w:sz w:val="12"/>
              </w:rPr>
            </w:pPr>
            <w:r>
              <w:rPr>
                <w:color w:val="231F20"/>
                <w:spacing w:val="-2"/>
                <w:w w:val="105"/>
                <w:sz w:val="12"/>
              </w:rPr>
              <w:t>2,228,392</w:t>
            </w:r>
          </w:p>
        </w:tc>
      </w:tr>
      <w:tr>
        <w:trPr>
          <w:trHeight w:val="163" w:hRule="atLeast"/>
        </w:trPr>
        <w:tc>
          <w:tcPr>
            <w:tcW w:w="4458" w:type="dxa"/>
          </w:tcPr>
          <w:p>
            <w:pPr>
              <w:pStyle w:val="TableParagraph"/>
              <w:spacing w:line="130" w:lineRule="exact" w:before="13"/>
              <w:ind w:left="371"/>
              <w:rPr>
                <w:sz w:val="12"/>
              </w:rPr>
            </w:pPr>
            <w:r>
              <w:rPr>
                <w:color w:val="231F20"/>
                <w:w w:val="105"/>
                <w:sz w:val="12"/>
              </w:rPr>
              <w:t>Fossil</w:t>
            </w:r>
            <w:r>
              <w:rPr>
                <w:color w:val="231F20"/>
                <w:spacing w:val="-9"/>
                <w:w w:val="105"/>
                <w:sz w:val="12"/>
              </w:rPr>
              <w:t> </w:t>
            </w:r>
            <w:r>
              <w:rPr>
                <w:color w:val="231F20"/>
                <w:w w:val="105"/>
                <w:sz w:val="12"/>
              </w:rPr>
              <w:t>Energy</w:t>
            </w:r>
            <w:r>
              <w:rPr>
                <w:color w:val="231F20"/>
                <w:spacing w:val="-9"/>
                <w:w w:val="105"/>
                <w:sz w:val="12"/>
              </w:rPr>
              <w:t> </w:t>
            </w:r>
            <w:r>
              <w:rPr>
                <w:color w:val="231F20"/>
                <w:w w:val="105"/>
                <w:sz w:val="12"/>
              </w:rPr>
              <w:t>Research</w:t>
            </w:r>
            <w:r>
              <w:rPr>
                <w:color w:val="231F20"/>
                <w:spacing w:val="-9"/>
                <w:w w:val="105"/>
                <w:sz w:val="12"/>
              </w:rPr>
              <w:t> </w:t>
            </w:r>
            <w:r>
              <w:rPr>
                <w:color w:val="231F20"/>
                <w:w w:val="105"/>
                <w:sz w:val="12"/>
              </w:rPr>
              <w:t>and</w:t>
            </w:r>
            <w:r>
              <w:rPr>
                <w:color w:val="231F20"/>
                <w:spacing w:val="-8"/>
                <w:w w:val="105"/>
                <w:sz w:val="12"/>
              </w:rPr>
              <w:t> </w:t>
            </w:r>
            <w:r>
              <w:rPr>
                <w:color w:val="231F20"/>
                <w:spacing w:val="-2"/>
                <w:w w:val="105"/>
                <w:sz w:val="12"/>
              </w:rPr>
              <w:t>Development</w:t>
            </w:r>
          </w:p>
        </w:tc>
        <w:tc>
          <w:tcPr>
            <w:tcW w:w="887" w:type="dxa"/>
          </w:tcPr>
          <w:p>
            <w:pPr>
              <w:pStyle w:val="TableParagraph"/>
              <w:spacing w:line="124" w:lineRule="exact" w:before="19"/>
              <w:ind w:right="184"/>
              <w:jc w:val="right"/>
              <w:rPr>
                <w:sz w:val="12"/>
              </w:rPr>
            </w:pPr>
            <w:r>
              <w:rPr>
                <w:color w:val="231F20"/>
                <w:spacing w:val="-4"/>
                <w:w w:val="105"/>
                <w:sz w:val="12"/>
              </w:rPr>
              <w:t>DSWT</w:t>
            </w:r>
          </w:p>
        </w:tc>
        <w:tc>
          <w:tcPr>
            <w:tcW w:w="5446" w:type="dxa"/>
            <w:gridSpan w:val="2"/>
          </w:tcPr>
          <w:p>
            <w:pPr>
              <w:pStyle w:val="TableParagraph"/>
              <w:spacing w:line="130" w:lineRule="exact" w:before="13"/>
              <w:ind w:left="3182"/>
              <w:rPr>
                <w:sz w:val="12"/>
              </w:rPr>
            </w:pPr>
            <w:r>
              <w:rPr>
                <w:color w:val="231F20"/>
                <w:sz w:val="12"/>
              </w:rPr>
              <w:t>DE-FC26-</w:t>
            </w:r>
            <w:r>
              <w:rPr>
                <w:color w:val="231F20"/>
                <w:spacing w:val="-2"/>
                <w:sz w:val="12"/>
              </w:rPr>
              <w:t>05NT42591</w:t>
            </w:r>
          </w:p>
        </w:tc>
        <w:tc>
          <w:tcPr>
            <w:tcW w:w="1150" w:type="dxa"/>
          </w:tcPr>
          <w:p>
            <w:pPr>
              <w:pStyle w:val="TableParagraph"/>
              <w:spacing w:line="124" w:lineRule="exact" w:before="19"/>
              <w:ind w:left="372" w:right="363"/>
              <w:jc w:val="center"/>
              <w:rPr>
                <w:sz w:val="12"/>
              </w:rPr>
            </w:pPr>
            <w:r>
              <w:rPr>
                <w:color w:val="231F20"/>
                <w:spacing w:val="-2"/>
                <w:w w:val="105"/>
                <w:sz w:val="12"/>
              </w:rPr>
              <w:t>81.089</w:t>
            </w:r>
          </w:p>
        </w:tc>
        <w:tc>
          <w:tcPr>
            <w:tcW w:w="1126" w:type="dxa"/>
            <w:tcBorders>
              <w:bottom w:val="single" w:sz="8" w:space="0" w:color="231F20"/>
            </w:tcBorders>
          </w:tcPr>
          <w:p>
            <w:pPr>
              <w:pStyle w:val="TableParagraph"/>
              <w:spacing w:line="124" w:lineRule="exact" w:before="19"/>
              <w:ind w:right="64"/>
              <w:jc w:val="right"/>
              <w:rPr>
                <w:sz w:val="12"/>
              </w:rPr>
            </w:pPr>
            <w:r>
              <w:rPr>
                <w:color w:val="231F20"/>
                <w:spacing w:val="-2"/>
                <w:w w:val="105"/>
                <w:sz w:val="12"/>
              </w:rPr>
              <w:t>493,884</w:t>
            </w:r>
          </w:p>
        </w:tc>
        <w:tc>
          <w:tcPr>
            <w:tcW w:w="152" w:type="dxa"/>
          </w:tcPr>
          <w:p>
            <w:pPr>
              <w:pStyle w:val="TableParagraph"/>
              <w:rPr>
                <w:rFonts w:ascii="Times New Roman"/>
                <w:sz w:val="10"/>
              </w:rPr>
            </w:pPr>
          </w:p>
        </w:tc>
        <w:tc>
          <w:tcPr>
            <w:tcW w:w="1126" w:type="dxa"/>
            <w:tcBorders>
              <w:bottom w:val="single" w:sz="8" w:space="0" w:color="231F20"/>
            </w:tcBorders>
          </w:tcPr>
          <w:p>
            <w:pPr>
              <w:pStyle w:val="TableParagraph"/>
              <w:spacing w:line="124" w:lineRule="exact" w:before="19"/>
              <w:ind w:right="61"/>
              <w:jc w:val="right"/>
              <w:rPr>
                <w:sz w:val="12"/>
              </w:rPr>
            </w:pPr>
            <w:r>
              <w:rPr>
                <w:color w:val="231F20"/>
                <w:spacing w:val="-2"/>
                <w:w w:val="105"/>
                <w:sz w:val="12"/>
              </w:rPr>
              <w:t>1,216,944</w:t>
            </w:r>
          </w:p>
        </w:tc>
      </w:tr>
      <w:tr>
        <w:trPr>
          <w:trHeight w:val="146" w:hRule="atLeast"/>
        </w:trPr>
        <w:tc>
          <w:tcPr>
            <w:tcW w:w="4458" w:type="dxa"/>
          </w:tcPr>
          <w:p>
            <w:pPr>
              <w:pStyle w:val="TableParagraph"/>
              <w:spacing w:line="124" w:lineRule="exact" w:before="2"/>
              <w:ind w:left="371"/>
              <w:rPr>
                <w:b/>
                <w:sz w:val="12"/>
              </w:rPr>
            </w:pPr>
            <w:r>
              <w:rPr>
                <w:b/>
                <w:color w:val="231F20"/>
                <w:w w:val="105"/>
                <w:sz w:val="12"/>
              </w:rPr>
              <w:t>Total</w:t>
            </w:r>
            <w:r>
              <w:rPr>
                <w:b/>
                <w:color w:val="231F20"/>
                <w:spacing w:val="-5"/>
                <w:w w:val="105"/>
                <w:sz w:val="12"/>
              </w:rPr>
              <w:t> </w:t>
            </w:r>
            <w:r>
              <w:rPr>
                <w:b/>
                <w:color w:val="231F20"/>
                <w:w w:val="105"/>
                <w:sz w:val="12"/>
              </w:rPr>
              <w:t>Direct</w:t>
            </w:r>
            <w:r>
              <w:rPr>
                <w:b/>
                <w:color w:val="231F20"/>
                <w:spacing w:val="-6"/>
                <w:w w:val="105"/>
                <w:sz w:val="12"/>
              </w:rPr>
              <w:t> </w:t>
            </w:r>
            <w:r>
              <w:rPr>
                <w:b/>
                <w:color w:val="231F20"/>
                <w:w w:val="105"/>
                <w:sz w:val="12"/>
              </w:rPr>
              <w:t>U.S.</w:t>
            </w:r>
            <w:r>
              <w:rPr>
                <w:b/>
                <w:color w:val="231F20"/>
                <w:spacing w:val="-4"/>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4"/>
                <w:w w:val="105"/>
                <w:sz w:val="12"/>
              </w:rPr>
              <w:t> </w:t>
            </w:r>
            <w:r>
              <w:rPr>
                <w:b/>
                <w:color w:val="231F20"/>
                <w:spacing w:val="-2"/>
                <w:w w:val="105"/>
                <w:sz w:val="12"/>
              </w:rPr>
              <w:t>Energy</w:t>
            </w:r>
          </w:p>
        </w:tc>
        <w:tc>
          <w:tcPr>
            <w:tcW w:w="887" w:type="dxa"/>
          </w:tcPr>
          <w:p>
            <w:pPr>
              <w:pStyle w:val="TableParagraph"/>
              <w:rPr>
                <w:rFonts w:ascii="Times New Roman"/>
                <w:sz w:val="8"/>
              </w:rPr>
            </w:pPr>
          </w:p>
        </w:tc>
        <w:tc>
          <w:tcPr>
            <w:tcW w:w="5446" w:type="dxa"/>
            <w:gridSpan w:val="2"/>
          </w:tcPr>
          <w:p>
            <w:pPr>
              <w:pStyle w:val="TableParagraph"/>
              <w:rPr>
                <w:rFonts w:ascii="Times New Roman"/>
                <w:sz w:val="8"/>
              </w:rPr>
            </w:pPr>
          </w:p>
        </w:tc>
        <w:tc>
          <w:tcPr>
            <w:tcW w:w="1150" w:type="dxa"/>
          </w:tcPr>
          <w:p>
            <w:pPr>
              <w:pStyle w:val="TableParagraph"/>
              <w:rPr>
                <w:rFonts w:ascii="Times New Roman"/>
                <w:sz w:val="8"/>
              </w:rPr>
            </w:pPr>
          </w:p>
        </w:tc>
        <w:tc>
          <w:tcPr>
            <w:tcW w:w="1126" w:type="dxa"/>
            <w:tcBorders>
              <w:top w:val="single" w:sz="8" w:space="0" w:color="231F20"/>
            </w:tcBorders>
          </w:tcPr>
          <w:p>
            <w:pPr>
              <w:pStyle w:val="TableParagraph"/>
              <w:spacing w:line="119" w:lineRule="exact" w:before="7"/>
              <w:ind w:right="64"/>
              <w:jc w:val="right"/>
              <w:rPr>
                <w:b/>
                <w:sz w:val="12"/>
              </w:rPr>
            </w:pPr>
            <w:r>
              <w:rPr>
                <w:b/>
                <w:color w:val="231F20"/>
                <w:spacing w:val="-2"/>
                <w:w w:val="105"/>
                <w:sz w:val="12"/>
              </w:rPr>
              <w:t>2,776,563</w:t>
            </w:r>
          </w:p>
        </w:tc>
        <w:tc>
          <w:tcPr>
            <w:tcW w:w="152" w:type="dxa"/>
          </w:tcPr>
          <w:p>
            <w:pPr>
              <w:pStyle w:val="TableParagraph"/>
              <w:rPr>
                <w:rFonts w:ascii="Times New Roman"/>
                <w:sz w:val="8"/>
              </w:rPr>
            </w:pPr>
          </w:p>
        </w:tc>
        <w:tc>
          <w:tcPr>
            <w:tcW w:w="1126" w:type="dxa"/>
            <w:tcBorders>
              <w:top w:val="single" w:sz="8" w:space="0" w:color="231F20"/>
            </w:tcBorders>
          </w:tcPr>
          <w:p>
            <w:pPr>
              <w:pStyle w:val="TableParagraph"/>
              <w:spacing w:line="119" w:lineRule="exact" w:before="7"/>
              <w:ind w:right="61"/>
              <w:jc w:val="right"/>
              <w:rPr>
                <w:b/>
                <w:sz w:val="12"/>
              </w:rPr>
            </w:pPr>
            <w:r>
              <w:rPr>
                <w:b/>
                <w:color w:val="231F20"/>
                <w:spacing w:val="-2"/>
                <w:w w:val="105"/>
                <w:sz w:val="12"/>
              </w:rPr>
              <w:t>7,074,150</w:t>
            </w:r>
          </w:p>
        </w:tc>
      </w:tr>
      <w:tr>
        <w:trPr>
          <w:trHeight w:val="342" w:hRule="atLeast"/>
        </w:trPr>
        <w:tc>
          <w:tcPr>
            <w:tcW w:w="4458" w:type="dxa"/>
          </w:tcPr>
          <w:p>
            <w:pPr>
              <w:pStyle w:val="TableParagraph"/>
              <w:spacing w:before="7"/>
              <w:rPr>
                <w:sz w:val="17"/>
              </w:rPr>
            </w:pPr>
          </w:p>
          <w:p>
            <w:pPr>
              <w:pStyle w:val="TableParagraph"/>
              <w:spacing w:line="119" w:lineRule="exact"/>
              <w:ind w:left="201"/>
              <w:rPr>
                <w:sz w:val="12"/>
              </w:rPr>
            </w:pPr>
            <w:r>
              <w:rPr>
                <w:color w:val="231F20"/>
                <w:sz w:val="12"/>
              </w:rPr>
              <w:t>Pass-</w:t>
            </w:r>
            <w:r>
              <w:rPr>
                <w:color w:val="231F20"/>
                <w:spacing w:val="-2"/>
                <w:w w:val="105"/>
                <w:sz w:val="12"/>
              </w:rPr>
              <w:t>through</w:t>
            </w:r>
          </w:p>
        </w:tc>
        <w:tc>
          <w:tcPr>
            <w:tcW w:w="887" w:type="dxa"/>
          </w:tcPr>
          <w:p>
            <w:pPr>
              <w:pStyle w:val="TableParagraph"/>
              <w:rPr>
                <w:rFonts w:ascii="Times New Roman"/>
                <w:sz w:val="12"/>
              </w:rPr>
            </w:pPr>
          </w:p>
        </w:tc>
        <w:tc>
          <w:tcPr>
            <w:tcW w:w="2777" w:type="dxa"/>
          </w:tcPr>
          <w:p>
            <w:pPr>
              <w:pStyle w:val="TableParagraph"/>
              <w:rPr>
                <w:rFonts w:ascii="Times New Roman"/>
                <w:sz w:val="12"/>
              </w:rPr>
            </w:pPr>
          </w:p>
        </w:tc>
        <w:tc>
          <w:tcPr>
            <w:tcW w:w="2669" w:type="dxa"/>
          </w:tcPr>
          <w:p>
            <w:pPr>
              <w:pStyle w:val="TableParagraph"/>
              <w:rPr>
                <w:rFonts w:ascii="Times New Roman"/>
                <w:sz w:val="12"/>
              </w:rPr>
            </w:pPr>
          </w:p>
        </w:tc>
        <w:tc>
          <w:tcPr>
            <w:tcW w:w="1150" w:type="dxa"/>
          </w:tcPr>
          <w:p>
            <w:pPr>
              <w:pStyle w:val="TableParagraph"/>
              <w:rPr>
                <w:rFonts w:ascii="Times New Roman"/>
                <w:sz w:val="12"/>
              </w:rPr>
            </w:pPr>
          </w:p>
        </w:tc>
        <w:tc>
          <w:tcPr>
            <w:tcW w:w="1126" w:type="dxa"/>
          </w:tcPr>
          <w:p>
            <w:pPr>
              <w:pStyle w:val="TableParagraph"/>
              <w:rPr>
                <w:rFonts w:ascii="Times New Roman"/>
                <w:sz w:val="12"/>
              </w:rPr>
            </w:pPr>
          </w:p>
        </w:tc>
        <w:tc>
          <w:tcPr>
            <w:tcW w:w="152" w:type="dxa"/>
          </w:tcPr>
          <w:p>
            <w:pPr>
              <w:pStyle w:val="TableParagraph"/>
              <w:rPr>
                <w:rFonts w:ascii="Times New Roman"/>
                <w:sz w:val="12"/>
              </w:rPr>
            </w:pPr>
          </w:p>
        </w:tc>
        <w:tc>
          <w:tcPr>
            <w:tcW w:w="1126" w:type="dxa"/>
          </w:tcPr>
          <w:p>
            <w:pPr>
              <w:pStyle w:val="TableParagraph"/>
              <w:rPr>
                <w:rFonts w:ascii="Times New Roman"/>
                <w:sz w:val="12"/>
              </w:rPr>
            </w:pPr>
          </w:p>
        </w:tc>
      </w:tr>
      <w:tr>
        <w:trPr>
          <w:trHeight w:val="187" w:hRule="atLeast"/>
        </w:trPr>
        <w:tc>
          <w:tcPr>
            <w:tcW w:w="4458" w:type="dxa"/>
          </w:tcPr>
          <w:p>
            <w:pPr>
              <w:pStyle w:val="TableParagraph"/>
              <w:spacing w:before="26"/>
              <w:ind w:left="371"/>
              <w:rPr>
                <w:sz w:val="12"/>
              </w:rPr>
            </w:pPr>
            <w:r>
              <w:rPr>
                <w:color w:val="231F20"/>
                <w:w w:val="105"/>
                <w:sz w:val="12"/>
              </w:rPr>
              <w:t>Fossil</w:t>
            </w:r>
            <w:r>
              <w:rPr>
                <w:color w:val="231F20"/>
                <w:spacing w:val="-9"/>
                <w:w w:val="105"/>
                <w:sz w:val="12"/>
              </w:rPr>
              <w:t> </w:t>
            </w:r>
            <w:r>
              <w:rPr>
                <w:color w:val="231F20"/>
                <w:w w:val="105"/>
                <w:sz w:val="12"/>
              </w:rPr>
              <w:t>Energy</w:t>
            </w:r>
            <w:r>
              <w:rPr>
                <w:color w:val="231F20"/>
                <w:spacing w:val="-9"/>
                <w:w w:val="105"/>
                <w:sz w:val="12"/>
              </w:rPr>
              <w:t> </w:t>
            </w:r>
            <w:r>
              <w:rPr>
                <w:color w:val="231F20"/>
                <w:w w:val="105"/>
                <w:sz w:val="12"/>
              </w:rPr>
              <w:t>Research</w:t>
            </w:r>
            <w:r>
              <w:rPr>
                <w:color w:val="231F20"/>
                <w:spacing w:val="-9"/>
                <w:w w:val="105"/>
                <w:sz w:val="12"/>
              </w:rPr>
              <w:t> </w:t>
            </w:r>
            <w:r>
              <w:rPr>
                <w:color w:val="231F20"/>
                <w:w w:val="105"/>
                <w:sz w:val="12"/>
              </w:rPr>
              <w:t>and</w:t>
            </w:r>
            <w:r>
              <w:rPr>
                <w:color w:val="231F20"/>
                <w:spacing w:val="-8"/>
                <w:w w:val="105"/>
                <w:sz w:val="12"/>
              </w:rPr>
              <w:t> </w:t>
            </w:r>
            <w:r>
              <w:rPr>
                <w:color w:val="231F20"/>
                <w:spacing w:val="-2"/>
                <w:w w:val="105"/>
                <w:sz w:val="12"/>
              </w:rPr>
              <w:t>Development</w:t>
            </w:r>
          </w:p>
        </w:tc>
        <w:tc>
          <w:tcPr>
            <w:tcW w:w="887" w:type="dxa"/>
          </w:tcPr>
          <w:p>
            <w:pPr>
              <w:pStyle w:val="TableParagraph"/>
              <w:spacing w:line="135" w:lineRule="exact" w:before="32"/>
              <w:ind w:right="196"/>
              <w:jc w:val="right"/>
              <w:rPr>
                <w:sz w:val="12"/>
              </w:rPr>
            </w:pPr>
            <w:r>
              <w:rPr>
                <w:color w:val="231F20"/>
                <w:spacing w:val="-4"/>
                <w:w w:val="105"/>
                <w:sz w:val="12"/>
              </w:rPr>
              <w:t>MFEP</w:t>
            </w:r>
          </w:p>
        </w:tc>
        <w:tc>
          <w:tcPr>
            <w:tcW w:w="2777" w:type="dxa"/>
          </w:tcPr>
          <w:p>
            <w:pPr>
              <w:pStyle w:val="TableParagraph"/>
              <w:spacing w:before="26"/>
              <w:ind w:left="179"/>
              <w:rPr>
                <w:sz w:val="12"/>
              </w:rPr>
            </w:pPr>
            <w:r>
              <w:rPr>
                <w:color w:val="231F20"/>
                <w:spacing w:val="-2"/>
                <w:w w:val="105"/>
                <w:sz w:val="12"/>
              </w:rPr>
              <w:t>University</w:t>
            </w:r>
            <w:r>
              <w:rPr>
                <w:color w:val="231F20"/>
                <w:spacing w:val="3"/>
                <w:w w:val="105"/>
                <w:sz w:val="12"/>
              </w:rPr>
              <w:t> </w:t>
            </w:r>
            <w:r>
              <w:rPr>
                <w:color w:val="231F20"/>
                <w:spacing w:val="-2"/>
                <w:w w:val="105"/>
                <w:sz w:val="12"/>
              </w:rPr>
              <w:t>of</w:t>
            </w:r>
            <w:r>
              <w:rPr>
                <w:color w:val="231F20"/>
                <w:spacing w:val="2"/>
                <w:w w:val="105"/>
                <w:sz w:val="12"/>
              </w:rPr>
              <w:t> </w:t>
            </w:r>
            <w:r>
              <w:rPr>
                <w:color w:val="231F20"/>
                <w:spacing w:val="-2"/>
                <w:w w:val="105"/>
                <w:sz w:val="12"/>
              </w:rPr>
              <w:t>Alaska</w:t>
            </w:r>
          </w:p>
        </w:tc>
        <w:tc>
          <w:tcPr>
            <w:tcW w:w="2669" w:type="dxa"/>
          </w:tcPr>
          <w:p>
            <w:pPr>
              <w:pStyle w:val="TableParagraph"/>
              <w:spacing w:before="26"/>
              <w:ind w:left="405"/>
              <w:rPr>
                <w:sz w:val="12"/>
              </w:rPr>
            </w:pPr>
            <w:r>
              <w:rPr>
                <w:color w:val="231F20"/>
                <w:spacing w:val="-2"/>
                <w:w w:val="105"/>
                <w:sz w:val="12"/>
              </w:rPr>
              <w:t>UAF</w:t>
            </w:r>
            <w:r>
              <w:rPr>
                <w:color w:val="231F20"/>
                <w:spacing w:val="1"/>
                <w:w w:val="105"/>
                <w:sz w:val="12"/>
              </w:rPr>
              <w:t> </w:t>
            </w:r>
            <w:r>
              <w:rPr>
                <w:color w:val="231F20"/>
                <w:spacing w:val="-2"/>
                <w:w w:val="105"/>
                <w:sz w:val="12"/>
              </w:rPr>
              <w:t>19-</w:t>
            </w:r>
            <w:r>
              <w:rPr>
                <w:color w:val="231F20"/>
                <w:spacing w:val="-4"/>
                <w:w w:val="105"/>
                <w:sz w:val="12"/>
              </w:rPr>
              <w:t>0012</w:t>
            </w:r>
          </w:p>
        </w:tc>
        <w:tc>
          <w:tcPr>
            <w:tcW w:w="1150" w:type="dxa"/>
          </w:tcPr>
          <w:p>
            <w:pPr>
              <w:pStyle w:val="TableParagraph"/>
              <w:spacing w:line="135" w:lineRule="exact" w:before="32"/>
              <w:ind w:left="372" w:right="363"/>
              <w:jc w:val="center"/>
              <w:rPr>
                <w:sz w:val="12"/>
              </w:rPr>
            </w:pPr>
            <w:r>
              <w:rPr>
                <w:color w:val="231F20"/>
                <w:spacing w:val="-2"/>
                <w:w w:val="105"/>
                <w:sz w:val="12"/>
              </w:rPr>
              <w:t>81.089</w:t>
            </w:r>
          </w:p>
        </w:tc>
        <w:tc>
          <w:tcPr>
            <w:tcW w:w="1126" w:type="dxa"/>
          </w:tcPr>
          <w:p>
            <w:pPr>
              <w:pStyle w:val="TableParagraph"/>
              <w:spacing w:line="135" w:lineRule="exact" w:before="32"/>
              <w:ind w:right="63"/>
              <w:jc w:val="right"/>
              <w:rPr>
                <w:sz w:val="12"/>
              </w:rPr>
            </w:pPr>
            <w:r>
              <w:rPr>
                <w:color w:val="231F20"/>
                <w:w w:val="104"/>
                <w:sz w:val="12"/>
              </w:rPr>
              <w:t>-</w:t>
            </w:r>
          </w:p>
        </w:tc>
        <w:tc>
          <w:tcPr>
            <w:tcW w:w="152" w:type="dxa"/>
          </w:tcPr>
          <w:p>
            <w:pPr>
              <w:pStyle w:val="TableParagraph"/>
              <w:rPr>
                <w:rFonts w:ascii="Times New Roman"/>
                <w:sz w:val="12"/>
              </w:rPr>
            </w:pPr>
          </w:p>
        </w:tc>
        <w:tc>
          <w:tcPr>
            <w:tcW w:w="1126" w:type="dxa"/>
          </w:tcPr>
          <w:p>
            <w:pPr>
              <w:pStyle w:val="TableParagraph"/>
              <w:spacing w:line="135" w:lineRule="exact" w:before="32"/>
              <w:ind w:right="61"/>
              <w:jc w:val="right"/>
              <w:rPr>
                <w:sz w:val="12"/>
              </w:rPr>
            </w:pPr>
            <w:r>
              <w:rPr>
                <w:color w:val="231F20"/>
                <w:spacing w:val="-2"/>
                <w:w w:val="105"/>
                <w:sz w:val="12"/>
              </w:rPr>
              <w:t>154,114</w:t>
            </w:r>
          </w:p>
        </w:tc>
      </w:tr>
      <w:tr>
        <w:trPr>
          <w:trHeight w:val="338" w:hRule="atLeast"/>
        </w:trPr>
        <w:tc>
          <w:tcPr>
            <w:tcW w:w="4458" w:type="dxa"/>
          </w:tcPr>
          <w:p>
            <w:pPr>
              <w:pStyle w:val="TableParagraph"/>
              <w:spacing w:before="17"/>
              <w:ind w:left="371"/>
              <w:rPr>
                <w:sz w:val="12"/>
              </w:rPr>
            </w:pPr>
            <w:r>
              <w:rPr>
                <w:color w:val="231F20"/>
                <w:spacing w:val="-2"/>
                <w:w w:val="105"/>
                <w:sz w:val="12"/>
              </w:rPr>
              <w:t>National</w:t>
            </w:r>
            <w:r>
              <w:rPr>
                <w:color w:val="231F20"/>
                <w:spacing w:val="5"/>
                <w:w w:val="105"/>
                <w:sz w:val="12"/>
              </w:rPr>
              <w:t> </w:t>
            </w:r>
            <w:r>
              <w:rPr>
                <w:color w:val="231F20"/>
                <w:spacing w:val="-2"/>
                <w:w w:val="105"/>
                <w:sz w:val="12"/>
              </w:rPr>
              <w:t>Nuclear</w:t>
            </w:r>
            <w:r>
              <w:rPr>
                <w:color w:val="231F20"/>
                <w:spacing w:val="5"/>
                <w:w w:val="105"/>
                <w:sz w:val="12"/>
              </w:rPr>
              <w:t> </w:t>
            </w:r>
            <w:r>
              <w:rPr>
                <w:color w:val="231F20"/>
                <w:spacing w:val="-2"/>
                <w:w w:val="105"/>
                <w:sz w:val="12"/>
              </w:rPr>
              <w:t>Security</w:t>
            </w:r>
            <w:r>
              <w:rPr>
                <w:color w:val="231F20"/>
                <w:spacing w:val="5"/>
                <w:w w:val="105"/>
                <w:sz w:val="12"/>
              </w:rPr>
              <w:t> </w:t>
            </w:r>
            <w:r>
              <w:rPr>
                <w:color w:val="231F20"/>
                <w:spacing w:val="-2"/>
                <w:w w:val="105"/>
                <w:sz w:val="12"/>
              </w:rPr>
              <w:t>Administration</w:t>
            </w:r>
            <w:r>
              <w:rPr>
                <w:color w:val="231F20"/>
                <w:spacing w:val="6"/>
                <w:w w:val="105"/>
                <w:sz w:val="12"/>
              </w:rPr>
              <w:t> </w:t>
            </w:r>
            <w:r>
              <w:rPr>
                <w:color w:val="231F20"/>
                <w:spacing w:val="-2"/>
                <w:w w:val="105"/>
                <w:sz w:val="12"/>
              </w:rPr>
              <w:t>(NNSA)</w:t>
            </w:r>
            <w:r>
              <w:rPr>
                <w:color w:val="231F20"/>
                <w:spacing w:val="6"/>
                <w:w w:val="105"/>
                <w:sz w:val="12"/>
              </w:rPr>
              <w:t> </w:t>
            </w:r>
            <w:r>
              <w:rPr>
                <w:color w:val="231F20"/>
                <w:spacing w:val="-2"/>
                <w:w w:val="105"/>
                <w:sz w:val="12"/>
              </w:rPr>
              <w:t>Minority</w:t>
            </w:r>
            <w:r>
              <w:rPr>
                <w:color w:val="231F20"/>
                <w:spacing w:val="5"/>
                <w:w w:val="105"/>
                <w:sz w:val="12"/>
              </w:rPr>
              <w:t> </w:t>
            </w:r>
            <w:r>
              <w:rPr>
                <w:color w:val="231F20"/>
                <w:spacing w:val="-2"/>
                <w:w w:val="105"/>
                <w:sz w:val="12"/>
              </w:rPr>
              <w:t>Serving</w:t>
            </w:r>
          </w:p>
          <w:p>
            <w:pPr>
              <w:pStyle w:val="TableParagraph"/>
              <w:spacing w:before="25"/>
              <w:ind w:left="371"/>
              <w:rPr>
                <w:sz w:val="12"/>
              </w:rPr>
            </w:pPr>
            <w:r>
              <w:rPr>
                <w:color w:val="231F20"/>
                <w:w w:val="105"/>
                <w:sz w:val="12"/>
              </w:rPr>
              <w:t>Institutions</w:t>
            </w:r>
            <w:r>
              <w:rPr>
                <w:color w:val="231F20"/>
                <w:spacing w:val="-9"/>
                <w:w w:val="105"/>
                <w:sz w:val="12"/>
              </w:rPr>
              <w:t> </w:t>
            </w:r>
            <w:r>
              <w:rPr>
                <w:color w:val="231F20"/>
                <w:w w:val="105"/>
                <w:sz w:val="12"/>
              </w:rPr>
              <w:t>(MSI)</w:t>
            </w:r>
            <w:r>
              <w:rPr>
                <w:color w:val="231F20"/>
                <w:spacing w:val="-6"/>
                <w:w w:val="105"/>
                <w:sz w:val="12"/>
              </w:rPr>
              <w:t> </w:t>
            </w:r>
            <w:r>
              <w:rPr>
                <w:color w:val="231F20"/>
                <w:spacing w:val="-2"/>
                <w:w w:val="105"/>
                <w:sz w:val="12"/>
              </w:rPr>
              <w:t>Program</w:t>
            </w:r>
          </w:p>
        </w:tc>
        <w:tc>
          <w:tcPr>
            <w:tcW w:w="887" w:type="dxa"/>
          </w:tcPr>
          <w:p>
            <w:pPr>
              <w:pStyle w:val="TableParagraph"/>
              <w:spacing w:before="2"/>
              <w:rPr>
                <w:sz w:val="16"/>
              </w:rPr>
            </w:pPr>
          </w:p>
          <w:p>
            <w:pPr>
              <w:pStyle w:val="TableParagraph"/>
              <w:spacing w:line="132" w:lineRule="exact"/>
              <w:ind w:right="191"/>
              <w:jc w:val="right"/>
              <w:rPr>
                <w:sz w:val="12"/>
              </w:rPr>
            </w:pPr>
            <w:r>
              <w:rPr>
                <w:color w:val="231F20"/>
                <w:spacing w:val="-4"/>
                <w:w w:val="105"/>
                <w:sz w:val="12"/>
              </w:rPr>
              <w:t>MTED</w:t>
            </w:r>
          </w:p>
        </w:tc>
        <w:tc>
          <w:tcPr>
            <w:tcW w:w="2777" w:type="dxa"/>
          </w:tcPr>
          <w:p>
            <w:pPr>
              <w:pStyle w:val="TableParagraph"/>
              <w:spacing w:before="8"/>
              <w:rPr>
                <w:sz w:val="15"/>
              </w:rPr>
            </w:pPr>
          </w:p>
          <w:p>
            <w:pPr>
              <w:pStyle w:val="TableParagraph"/>
              <w:ind w:left="179"/>
              <w:rPr>
                <w:sz w:val="12"/>
              </w:rPr>
            </w:pPr>
            <w:r>
              <w:rPr>
                <w:color w:val="231F20"/>
                <w:w w:val="105"/>
                <w:sz w:val="12"/>
              </w:rPr>
              <w:t>Texas</w:t>
            </w:r>
            <w:r>
              <w:rPr>
                <w:color w:val="231F20"/>
                <w:spacing w:val="-6"/>
                <w:w w:val="105"/>
                <w:sz w:val="12"/>
              </w:rPr>
              <w:t> </w:t>
            </w:r>
            <w:r>
              <w:rPr>
                <w:color w:val="231F20"/>
                <w:w w:val="105"/>
                <w:sz w:val="12"/>
              </w:rPr>
              <w:t>Tech</w:t>
            </w:r>
            <w:r>
              <w:rPr>
                <w:color w:val="231F20"/>
                <w:spacing w:val="-6"/>
                <w:w w:val="105"/>
                <w:sz w:val="12"/>
              </w:rPr>
              <w:t> </w:t>
            </w:r>
            <w:r>
              <w:rPr>
                <w:color w:val="231F20"/>
                <w:spacing w:val="-2"/>
                <w:w w:val="105"/>
                <w:sz w:val="12"/>
              </w:rPr>
              <w:t>University</w:t>
            </w:r>
          </w:p>
        </w:tc>
        <w:tc>
          <w:tcPr>
            <w:tcW w:w="2669" w:type="dxa"/>
          </w:tcPr>
          <w:p>
            <w:pPr>
              <w:pStyle w:val="TableParagraph"/>
              <w:spacing w:before="8"/>
              <w:rPr>
                <w:sz w:val="15"/>
              </w:rPr>
            </w:pPr>
          </w:p>
          <w:p>
            <w:pPr>
              <w:pStyle w:val="TableParagraph"/>
              <w:ind w:left="405"/>
              <w:rPr>
                <w:sz w:val="12"/>
              </w:rPr>
            </w:pPr>
            <w:r>
              <w:rPr>
                <w:color w:val="231F20"/>
                <w:sz w:val="12"/>
              </w:rPr>
              <w:t>21E002-</w:t>
            </w:r>
            <w:r>
              <w:rPr>
                <w:color w:val="231F20"/>
                <w:spacing w:val="-5"/>
                <w:w w:val="105"/>
                <w:sz w:val="12"/>
              </w:rPr>
              <w:t>02</w:t>
            </w:r>
          </w:p>
        </w:tc>
        <w:tc>
          <w:tcPr>
            <w:tcW w:w="1150" w:type="dxa"/>
          </w:tcPr>
          <w:p>
            <w:pPr>
              <w:pStyle w:val="TableParagraph"/>
              <w:spacing w:before="2"/>
              <w:rPr>
                <w:sz w:val="16"/>
              </w:rPr>
            </w:pPr>
          </w:p>
          <w:p>
            <w:pPr>
              <w:pStyle w:val="TableParagraph"/>
              <w:spacing w:line="132" w:lineRule="exact"/>
              <w:ind w:left="372" w:right="363"/>
              <w:jc w:val="center"/>
              <w:rPr>
                <w:sz w:val="12"/>
              </w:rPr>
            </w:pPr>
            <w:r>
              <w:rPr>
                <w:color w:val="231F20"/>
                <w:spacing w:val="-2"/>
                <w:w w:val="105"/>
                <w:sz w:val="12"/>
              </w:rPr>
              <w:t>81.123</w:t>
            </w:r>
          </w:p>
        </w:tc>
        <w:tc>
          <w:tcPr>
            <w:tcW w:w="1126" w:type="dxa"/>
          </w:tcPr>
          <w:p>
            <w:pPr>
              <w:pStyle w:val="TableParagraph"/>
              <w:spacing w:before="2"/>
              <w:rPr>
                <w:sz w:val="16"/>
              </w:rPr>
            </w:pPr>
          </w:p>
          <w:p>
            <w:pPr>
              <w:pStyle w:val="TableParagraph"/>
              <w:spacing w:line="132" w:lineRule="exact"/>
              <w:ind w:right="63"/>
              <w:jc w:val="right"/>
              <w:rPr>
                <w:sz w:val="12"/>
              </w:rPr>
            </w:pPr>
            <w:r>
              <w:rPr>
                <w:color w:val="231F20"/>
                <w:w w:val="104"/>
                <w:sz w:val="12"/>
              </w:rPr>
              <w:t>-</w:t>
            </w:r>
          </w:p>
        </w:tc>
        <w:tc>
          <w:tcPr>
            <w:tcW w:w="152" w:type="dxa"/>
          </w:tcPr>
          <w:p>
            <w:pPr>
              <w:pStyle w:val="TableParagraph"/>
              <w:rPr>
                <w:rFonts w:ascii="Times New Roman"/>
                <w:sz w:val="12"/>
              </w:rPr>
            </w:pPr>
          </w:p>
        </w:tc>
        <w:tc>
          <w:tcPr>
            <w:tcW w:w="1126" w:type="dxa"/>
          </w:tcPr>
          <w:p>
            <w:pPr>
              <w:pStyle w:val="TableParagraph"/>
              <w:spacing w:before="2"/>
              <w:rPr>
                <w:sz w:val="16"/>
              </w:rPr>
            </w:pPr>
          </w:p>
          <w:p>
            <w:pPr>
              <w:pStyle w:val="TableParagraph"/>
              <w:spacing w:line="132" w:lineRule="exact"/>
              <w:ind w:right="61"/>
              <w:jc w:val="right"/>
              <w:rPr>
                <w:sz w:val="12"/>
              </w:rPr>
            </w:pPr>
            <w:r>
              <w:rPr>
                <w:color w:val="231F20"/>
                <w:spacing w:val="-2"/>
                <w:w w:val="105"/>
                <w:sz w:val="12"/>
              </w:rPr>
              <w:t>352,913</w:t>
            </w:r>
          </w:p>
        </w:tc>
      </w:tr>
      <w:tr>
        <w:trPr>
          <w:trHeight w:val="171" w:hRule="atLeast"/>
        </w:trPr>
        <w:tc>
          <w:tcPr>
            <w:tcW w:w="4458" w:type="dxa"/>
          </w:tcPr>
          <w:p>
            <w:pPr>
              <w:pStyle w:val="TableParagraph"/>
              <w:spacing w:line="137" w:lineRule="exact" w:before="14"/>
              <w:ind w:left="371"/>
              <w:rPr>
                <w:sz w:val="12"/>
              </w:rPr>
            </w:pPr>
            <w:r>
              <w:rPr>
                <w:color w:val="231F20"/>
                <w:spacing w:val="-2"/>
                <w:w w:val="105"/>
                <w:sz w:val="12"/>
              </w:rPr>
              <w:t>Unknown</w:t>
            </w:r>
          </w:p>
        </w:tc>
        <w:tc>
          <w:tcPr>
            <w:tcW w:w="887" w:type="dxa"/>
          </w:tcPr>
          <w:p>
            <w:pPr>
              <w:pStyle w:val="TableParagraph"/>
              <w:spacing w:line="131" w:lineRule="exact" w:before="20"/>
              <w:ind w:right="197"/>
              <w:jc w:val="right"/>
              <w:rPr>
                <w:sz w:val="12"/>
              </w:rPr>
            </w:pPr>
            <w:r>
              <w:rPr>
                <w:color w:val="231F20"/>
                <w:spacing w:val="-4"/>
                <w:w w:val="105"/>
                <w:sz w:val="12"/>
              </w:rPr>
              <w:t>PCRF</w:t>
            </w:r>
          </w:p>
        </w:tc>
        <w:tc>
          <w:tcPr>
            <w:tcW w:w="2777" w:type="dxa"/>
          </w:tcPr>
          <w:p>
            <w:pPr>
              <w:pStyle w:val="TableParagraph"/>
              <w:spacing w:line="137" w:lineRule="exact" w:before="14"/>
              <w:ind w:left="179"/>
              <w:rPr>
                <w:sz w:val="12"/>
              </w:rPr>
            </w:pPr>
            <w:r>
              <w:rPr>
                <w:color w:val="231F20"/>
                <w:w w:val="105"/>
                <w:sz w:val="12"/>
              </w:rPr>
              <w:t>NMC,</w:t>
            </w:r>
            <w:r>
              <w:rPr>
                <w:color w:val="231F20"/>
                <w:spacing w:val="-7"/>
                <w:w w:val="105"/>
                <w:sz w:val="12"/>
              </w:rPr>
              <w:t> </w:t>
            </w:r>
            <w:r>
              <w:rPr>
                <w:color w:val="231F20"/>
                <w:spacing w:val="-4"/>
                <w:w w:val="105"/>
                <w:sz w:val="12"/>
              </w:rPr>
              <w:t>Inc.</w:t>
            </w:r>
          </w:p>
        </w:tc>
        <w:tc>
          <w:tcPr>
            <w:tcW w:w="2669" w:type="dxa"/>
          </w:tcPr>
          <w:p>
            <w:pPr>
              <w:pStyle w:val="TableParagraph"/>
              <w:spacing w:line="137" w:lineRule="exact" w:before="14"/>
              <w:ind w:left="406"/>
              <w:rPr>
                <w:sz w:val="12"/>
              </w:rPr>
            </w:pPr>
            <w:r>
              <w:rPr>
                <w:color w:val="231F20"/>
                <w:spacing w:val="-2"/>
                <w:w w:val="105"/>
                <w:sz w:val="12"/>
              </w:rPr>
              <w:t>28857</w:t>
            </w:r>
          </w:p>
        </w:tc>
        <w:tc>
          <w:tcPr>
            <w:tcW w:w="1150" w:type="dxa"/>
          </w:tcPr>
          <w:p>
            <w:pPr>
              <w:pStyle w:val="TableParagraph"/>
              <w:spacing w:line="131" w:lineRule="exact" w:before="20"/>
              <w:ind w:left="372" w:right="362"/>
              <w:jc w:val="center"/>
              <w:rPr>
                <w:sz w:val="12"/>
              </w:rPr>
            </w:pPr>
            <w:r>
              <w:rPr>
                <w:color w:val="231F20"/>
                <w:spacing w:val="-2"/>
                <w:w w:val="105"/>
                <w:sz w:val="12"/>
              </w:rPr>
              <w:t>81.RD</w:t>
            </w:r>
          </w:p>
        </w:tc>
        <w:tc>
          <w:tcPr>
            <w:tcW w:w="1126" w:type="dxa"/>
          </w:tcPr>
          <w:p>
            <w:pPr>
              <w:pStyle w:val="TableParagraph"/>
              <w:spacing w:line="131" w:lineRule="exact" w:before="20"/>
              <w:ind w:right="63"/>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1" w:lineRule="exact" w:before="20"/>
              <w:ind w:right="60"/>
              <w:jc w:val="right"/>
              <w:rPr>
                <w:sz w:val="12"/>
              </w:rPr>
            </w:pPr>
            <w:r>
              <w:rPr>
                <w:color w:val="231F20"/>
                <w:spacing w:val="-2"/>
                <w:w w:val="105"/>
                <w:sz w:val="12"/>
              </w:rPr>
              <w:t>9,732</w:t>
            </w:r>
          </w:p>
        </w:tc>
      </w:tr>
      <w:tr>
        <w:trPr>
          <w:trHeight w:val="171" w:hRule="atLeast"/>
        </w:trPr>
        <w:tc>
          <w:tcPr>
            <w:tcW w:w="4458" w:type="dxa"/>
          </w:tcPr>
          <w:p>
            <w:pPr>
              <w:pStyle w:val="TableParagraph"/>
              <w:spacing w:before="13"/>
              <w:ind w:left="371"/>
              <w:rPr>
                <w:sz w:val="12"/>
              </w:rPr>
            </w:pPr>
            <w:r>
              <w:rPr>
                <w:color w:val="231F20"/>
                <w:spacing w:val="-2"/>
                <w:w w:val="105"/>
                <w:sz w:val="12"/>
              </w:rPr>
              <w:t>Unknown</w:t>
            </w:r>
          </w:p>
        </w:tc>
        <w:tc>
          <w:tcPr>
            <w:tcW w:w="887" w:type="dxa"/>
          </w:tcPr>
          <w:p>
            <w:pPr>
              <w:pStyle w:val="TableParagraph"/>
              <w:spacing w:line="132" w:lineRule="exact" w:before="19"/>
              <w:ind w:right="191"/>
              <w:jc w:val="right"/>
              <w:rPr>
                <w:sz w:val="12"/>
              </w:rPr>
            </w:pPr>
            <w:r>
              <w:rPr>
                <w:color w:val="231F20"/>
                <w:spacing w:val="-4"/>
                <w:w w:val="105"/>
                <w:sz w:val="12"/>
              </w:rPr>
              <w:t>PCRH</w:t>
            </w:r>
          </w:p>
        </w:tc>
        <w:tc>
          <w:tcPr>
            <w:tcW w:w="2777" w:type="dxa"/>
          </w:tcPr>
          <w:p>
            <w:pPr>
              <w:pStyle w:val="TableParagraph"/>
              <w:spacing w:before="13"/>
              <w:ind w:left="179"/>
              <w:rPr>
                <w:sz w:val="12"/>
              </w:rPr>
            </w:pPr>
            <w:r>
              <w:rPr>
                <w:color w:val="231F20"/>
                <w:w w:val="105"/>
                <w:sz w:val="12"/>
              </w:rPr>
              <w:t>NMC,</w:t>
            </w:r>
            <w:r>
              <w:rPr>
                <w:color w:val="231F20"/>
                <w:spacing w:val="-7"/>
                <w:w w:val="105"/>
                <w:sz w:val="12"/>
              </w:rPr>
              <w:t> </w:t>
            </w:r>
            <w:r>
              <w:rPr>
                <w:color w:val="231F20"/>
                <w:spacing w:val="-4"/>
                <w:w w:val="105"/>
                <w:sz w:val="12"/>
              </w:rPr>
              <w:t>Inc.</w:t>
            </w:r>
          </w:p>
        </w:tc>
        <w:tc>
          <w:tcPr>
            <w:tcW w:w="2669" w:type="dxa"/>
          </w:tcPr>
          <w:p>
            <w:pPr>
              <w:pStyle w:val="TableParagraph"/>
              <w:spacing w:before="13"/>
              <w:ind w:left="406"/>
              <w:rPr>
                <w:sz w:val="12"/>
              </w:rPr>
            </w:pPr>
            <w:r>
              <w:rPr>
                <w:color w:val="231F20"/>
                <w:spacing w:val="-2"/>
                <w:w w:val="105"/>
                <w:sz w:val="12"/>
              </w:rPr>
              <w:t>32657</w:t>
            </w:r>
          </w:p>
        </w:tc>
        <w:tc>
          <w:tcPr>
            <w:tcW w:w="1150" w:type="dxa"/>
          </w:tcPr>
          <w:p>
            <w:pPr>
              <w:pStyle w:val="TableParagraph"/>
              <w:spacing w:line="132" w:lineRule="exact" w:before="19"/>
              <w:ind w:left="372" w:right="362"/>
              <w:jc w:val="center"/>
              <w:rPr>
                <w:sz w:val="12"/>
              </w:rPr>
            </w:pPr>
            <w:r>
              <w:rPr>
                <w:color w:val="231F20"/>
                <w:spacing w:val="-2"/>
                <w:w w:val="105"/>
                <w:sz w:val="12"/>
              </w:rPr>
              <w:t>81.RD</w:t>
            </w:r>
          </w:p>
        </w:tc>
        <w:tc>
          <w:tcPr>
            <w:tcW w:w="1126" w:type="dxa"/>
          </w:tcPr>
          <w:p>
            <w:pPr>
              <w:pStyle w:val="TableParagraph"/>
              <w:spacing w:line="132" w:lineRule="exact" w:before="19"/>
              <w:ind w:right="63"/>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2" w:lineRule="exact" w:before="19"/>
              <w:ind w:right="60"/>
              <w:jc w:val="right"/>
              <w:rPr>
                <w:sz w:val="12"/>
              </w:rPr>
            </w:pPr>
            <w:r>
              <w:rPr>
                <w:color w:val="231F20"/>
                <w:spacing w:val="-2"/>
                <w:w w:val="105"/>
                <w:sz w:val="12"/>
              </w:rPr>
              <w:t>19,929</w:t>
            </w:r>
          </w:p>
        </w:tc>
      </w:tr>
      <w:tr>
        <w:trPr>
          <w:trHeight w:val="171" w:hRule="atLeast"/>
        </w:trPr>
        <w:tc>
          <w:tcPr>
            <w:tcW w:w="4458" w:type="dxa"/>
          </w:tcPr>
          <w:p>
            <w:pPr>
              <w:pStyle w:val="TableParagraph"/>
              <w:spacing w:before="14"/>
              <w:ind w:left="371"/>
              <w:rPr>
                <w:sz w:val="12"/>
              </w:rPr>
            </w:pPr>
            <w:r>
              <w:rPr>
                <w:color w:val="231F20"/>
                <w:spacing w:val="-2"/>
                <w:w w:val="105"/>
                <w:sz w:val="12"/>
              </w:rPr>
              <w:t>Unknown</w:t>
            </w:r>
          </w:p>
        </w:tc>
        <w:tc>
          <w:tcPr>
            <w:tcW w:w="887" w:type="dxa"/>
          </w:tcPr>
          <w:p>
            <w:pPr>
              <w:pStyle w:val="TableParagraph"/>
              <w:spacing w:line="132" w:lineRule="exact" w:before="20"/>
              <w:ind w:right="227"/>
              <w:jc w:val="right"/>
              <w:rPr>
                <w:sz w:val="12"/>
              </w:rPr>
            </w:pPr>
            <w:r>
              <w:rPr>
                <w:color w:val="231F20"/>
                <w:spacing w:val="-4"/>
                <w:w w:val="105"/>
                <w:sz w:val="12"/>
              </w:rPr>
              <w:t>PRIT</w:t>
            </w:r>
          </w:p>
        </w:tc>
        <w:tc>
          <w:tcPr>
            <w:tcW w:w="2777" w:type="dxa"/>
          </w:tcPr>
          <w:p>
            <w:pPr>
              <w:pStyle w:val="TableParagraph"/>
              <w:spacing w:before="14"/>
              <w:ind w:left="179"/>
              <w:rPr>
                <w:sz w:val="12"/>
              </w:rPr>
            </w:pPr>
            <w:r>
              <w:rPr>
                <w:color w:val="231F20"/>
                <w:w w:val="105"/>
                <w:sz w:val="12"/>
              </w:rPr>
              <w:t>NMC,</w:t>
            </w:r>
            <w:r>
              <w:rPr>
                <w:color w:val="231F20"/>
                <w:spacing w:val="-7"/>
                <w:w w:val="105"/>
                <w:sz w:val="12"/>
              </w:rPr>
              <w:t> </w:t>
            </w:r>
            <w:r>
              <w:rPr>
                <w:color w:val="231F20"/>
                <w:spacing w:val="-4"/>
                <w:w w:val="105"/>
                <w:sz w:val="12"/>
              </w:rPr>
              <w:t>Inc.</w:t>
            </w:r>
          </w:p>
        </w:tc>
        <w:tc>
          <w:tcPr>
            <w:tcW w:w="2669" w:type="dxa"/>
          </w:tcPr>
          <w:p>
            <w:pPr>
              <w:pStyle w:val="TableParagraph"/>
              <w:spacing w:before="14"/>
              <w:ind w:left="406"/>
              <w:rPr>
                <w:sz w:val="12"/>
              </w:rPr>
            </w:pPr>
            <w:r>
              <w:rPr>
                <w:color w:val="231F20"/>
                <w:spacing w:val="-2"/>
                <w:w w:val="105"/>
                <w:sz w:val="12"/>
              </w:rPr>
              <w:t>31332</w:t>
            </w:r>
          </w:p>
        </w:tc>
        <w:tc>
          <w:tcPr>
            <w:tcW w:w="1150" w:type="dxa"/>
          </w:tcPr>
          <w:p>
            <w:pPr>
              <w:pStyle w:val="TableParagraph"/>
              <w:spacing w:line="132" w:lineRule="exact" w:before="20"/>
              <w:ind w:left="372" w:right="362"/>
              <w:jc w:val="center"/>
              <w:rPr>
                <w:sz w:val="12"/>
              </w:rPr>
            </w:pPr>
            <w:r>
              <w:rPr>
                <w:color w:val="231F20"/>
                <w:spacing w:val="-2"/>
                <w:w w:val="105"/>
                <w:sz w:val="12"/>
              </w:rPr>
              <w:t>81.RD</w:t>
            </w:r>
          </w:p>
        </w:tc>
        <w:tc>
          <w:tcPr>
            <w:tcW w:w="1126" w:type="dxa"/>
          </w:tcPr>
          <w:p>
            <w:pPr>
              <w:pStyle w:val="TableParagraph"/>
              <w:spacing w:line="132" w:lineRule="exact" w:before="20"/>
              <w:ind w:right="64"/>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2" w:lineRule="exact" w:before="20"/>
              <w:ind w:right="60"/>
              <w:jc w:val="right"/>
              <w:rPr>
                <w:sz w:val="12"/>
              </w:rPr>
            </w:pPr>
            <w:r>
              <w:rPr>
                <w:color w:val="231F20"/>
                <w:spacing w:val="-2"/>
                <w:w w:val="105"/>
                <w:sz w:val="12"/>
              </w:rPr>
              <w:t>18,139</w:t>
            </w:r>
          </w:p>
        </w:tc>
      </w:tr>
      <w:tr>
        <w:trPr>
          <w:trHeight w:val="170" w:hRule="atLeast"/>
        </w:trPr>
        <w:tc>
          <w:tcPr>
            <w:tcW w:w="4458" w:type="dxa"/>
          </w:tcPr>
          <w:p>
            <w:pPr>
              <w:pStyle w:val="TableParagraph"/>
              <w:spacing w:line="137" w:lineRule="exact" w:before="14"/>
              <w:ind w:left="371"/>
              <w:rPr>
                <w:sz w:val="12"/>
              </w:rPr>
            </w:pPr>
            <w:r>
              <w:rPr>
                <w:color w:val="231F20"/>
                <w:spacing w:val="-2"/>
                <w:w w:val="105"/>
                <w:sz w:val="12"/>
              </w:rPr>
              <w:t>Unknown</w:t>
            </w:r>
          </w:p>
        </w:tc>
        <w:tc>
          <w:tcPr>
            <w:tcW w:w="887" w:type="dxa"/>
          </w:tcPr>
          <w:p>
            <w:pPr>
              <w:pStyle w:val="TableParagraph"/>
              <w:spacing w:line="131" w:lineRule="exact" w:before="20"/>
              <w:ind w:right="191"/>
              <w:jc w:val="right"/>
              <w:rPr>
                <w:sz w:val="12"/>
              </w:rPr>
            </w:pPr>
            <w:r>
              <w:rPr>
                <w:color w:val="231F20"/>
                <w:spacing w:val="-4"/>
                <w:w w:val="105"/>
                <w:sz w:val="12"/>
              </w:rPr>
              <w:t>PRIT2</w:t>
            </w:r>
          </w:p>
        </w:tc>
        <w:tc>
          <w:tcPr>
            <w:tcW w:w="2777" w:type="dxa"/>
          </w:tcPr>
          <w:p>
            <w:pPr>
              <w:pStyle w:val="TableParagraph"/>
              <w:spacing w:line="137" w:lineRule="exact" w:before="14"/>
              <w:ind w:left="179"/>
              <w:rPr>
                <w:sz w:val="12"/>
              </w:rPr>
            </w:pPr>
            <w:r>
              <w:rPr>
                <w:color w:val="231F20"/>
                <w:w w:val="105"/>
                <w:sz w:val="12"/>
              </w:rPr>
              <w:t>NMC,</w:t>
            </w:r>
            <w:r>
              <w:rPr>
                <w:color w:val="231F20"/>
                <w:spacing w:val="-7"/>
                <w:w w:val="105"/>
                <w:sz w:val="12"/>
              </w:rPr>
              <w:t> </w:t>
            </w:r>
            <w:r>
              <w:rPr>
                <w:color w:val="231F20"/>
                <w:spacing w:val="-4"/>
                <w:w w:val="105"/>
                <w:sz w:val="12"/>
              </w:rPr>
              <w:t>Inc.</w:t>
            </w:r>
          </w:p>
        </w:tc>
        <w:tc>
          <w:tcPr>
            <w:tcW w:w="2669" w:type="dxa"/>
          </w:tcPr>
          <w:p>
            <w:pPr>
              <w:pStyle w:val="TableParagraph"/>
              <w:spacing w:line="137" w:lineRule="exact" w:before="14"/>
              <w:ind w:left="406"/>
              <w:rPr>
                <w:sz w:val="12"/>
              </w:rPr>
            </w:pPr>
            <w:r>
              <w:rPr>
                <w:color w:val="231F20"/>
                <w:spacing w:val="-2"/>
                <w:w w:val="105"/>
                <w:sz w:val="12"/>
              </w:rPr>
              <w:t>32699</w:t>
            </w:r>
          </w:p>
        </w:tc>
        <w:tc>
          <w:tcPr>
            <w:tcW w:w="1150" w:type="dxa"/>
          </w:tcPr>
          <w:p>
            <w:pPr>
              <w:pStyle w:val="TableParagraph"/>
              <w:spacing w:line="131" w:lineRule="exact" w:before="20"/>
              <w:ind w:left="372" w:right="362"/>
              <w:jc w:val="center"/>
              <w:rPr>
                <w:sz w:val="12"/>
              </w:rPr>
            </w:pPr>
            <w:r>
              <w:rPr>
                <w:color w:val="231F20"/>
                <w:spacing w:val="-2"/>
                <w:w w:val="105"/>
                <w:sz w:val="12"/>
              </w:rPr>
              <w:t>81.RD</w:t>
            </w:r>
          </w:p>
        </w:tc>
        <w:tc>
          <w:tcPr>
            <w:tcW w:w="1126" w:type="dxa"/>
          </w:tcPr>
          <w:p>
            <w:pPr>
              <w:pStyle w:val="TableParagraph"/>
              <w:spacing w:line="131" w:lineRule="exact" w:before="20"/>
              <w:ind w:right="62"/>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1" w:lineRule="exact" w:before="19"/>
              <w:ind w:right="62"/>
              <w:jc w:val="right"/>
              <w:rPr>
                <w:sz w:val="12"/>
              </w:rPr>
            </w:pPr>
            <w:r>
              <w:rPr>
                <w:color w:val="231F20"/>
                <w:spacing w:val="-2"/>
                <w:w w:val="105"/>
                <w:sz w:val="12"/>
              </w:rPr>
              <w:t>7,637</w:t>
            </w:r>
          </w:p>
        </w:tc>
      </w:tr>
      <w:tr>
        <w:trPr>
          <w:trHeight w:val="163" w:hRule="atLeast"/>
        </w:trPr>
        <w:tc>
          <w:tcPr>
            <w:tcW w:w="4458" w:type="dxa"/>
          </w:tcPr>
          <w:p>
            <w:pPr>
              <w:pStyle w:val="TableParagraph"/>
              <w:spacing w:line="130" w:lineRule="exact" w:before="13"/>
              <w:ind w:left="371"/>
              <w:rPr>
                <w:sz w:val="12"/>
              </w:rPr>
            </w:pPr>
            <w:r>
              <w:rPr>
                <w:color w:val="231F20"/>
                <w:spacing w:val="-2"/>
                <w:w w:val="105"/>
                <w:sz w:val="12"/>
              </w:rPr>
              <w:t>Unknown</w:t>
            </w:r>
          </w:p>
        </w:tc>
        <w:tc>
          <w:tcPr>
            <w:tcW w:w="887" w:type="dxa"/>
          </w:tcPr>
          <w:p>
            <w:pPr>
              <w:pStyle w:val="TableParagraph"/>
              <w:spacing w:line="124" w:lineRule="exact" w:before="19"/>
              <w:ind w:right="205"/>
              <w:jc w:val="right"/>
              <w:rPr>
                <w:sz w:val="12"/>
              </w:rPr>
            </w:pPr>
            <w:r>
              <w:rPr>
                <w:color w:val="231F20"/>
                <w:spacing w:val="-4"/>
                <w:w w:val="105"/>
                <w:sz w:val="12"/>
              </w:rPr>
              <w:t>PULP</w:t>
            </w:r>
          </w:p>
        </w:tc>
        <w:tc>
          <w:tcPr>
            <w:tcW w:w="2777" w:type="dxa"/>
          </w:tcPr>
          <w:p>
            <w:pPr>
              <w:pStyle w:val="TableParagraph"/>
              <w:spacing w:line="130" w:lineRule="exact" w:before="13"/>
              <w:ind w:left="178"/>
              <w:rPr>
                <w:sz w:val="12"/>
              </w:rPr>
            </w:pPr>
            <w:r>
              <w:rPr>
                <w:color w:val="231F20"/>
                <w:w w:val="105"/>
                <w:sz w:val="12"/>
              </w:rPr>
              <w:t>NMC,</w:t>
            </w:r>
            <w:r>
              <w:rPr>
                <w:color w:val="231F20"/>
                <w:spacing w:val="-7"/>
                <w:w w:val="105"/>
                <w:sz w:val="12"/>
              </w:rPr>
              <w:t> </w:t>
            </w:r>
            <w:r>
              <w:rPr>
                <w:color w:val="231F20"/>
                <w:spacing w:val="-4"/>
                <w:w w:val="105"/>
                <w:sz w:val="12"/>
              </w:rPr>
              <w:t>Inc.</w:t>
            </w:r>
          </w:p>
        </w:tc>
        <w:tc>
          <w:tcPr>
            <w:tcW w:w="2669" w:type="dxa"/>
          </w:tcPr>
          <w:p>
            <w:pPr>
              <w:pStyle w:val="TableParagraph"/>
              <w:spacing w:line="130" w:lineRule="exact" w:before="13"/>
              <w:ind w:left="406"/>
              <w:rPr>
                <w:sz w:val="12"/>
              </w:rPr>
            </w:pPr>
            <w:r>
              <w:rPr>
                <w:color w:val="231F20"/>
                <w:spacing w:val="-2"/>
                <w:w w:val="105"/>
                <w:sz w:val="12"/>
              </w:rPr>
              <w:t>032150,</w:t>
            </w:r>
            <w:r>
              <w:rPr>
                <w:color w:val="231F20"/>
                <w:spacing w:val="1"/>
                <w:w w:val="105"/>
                <w:sz w:val="12"/>
              </w:rPr>
              <w:t> </w:t>
            </w:r>
            <w:r>
              <w:rPr>
                <w:color w:val="231F20"/>
                <w:spacing w:val="-2"/>
                <w:w w:val="105"/>
                <w:sz w:val="12"/>
              </w:rPr>
              <w:t>031664</w:t>
            </w:r>
          </w:p>
        </w:tc>
        <w:tc>
          <w:tcPr>
            <w:tcW w:w="1150" w:type="dxa"/>
          </w:tcPr>
          <w:p>
            <w:pPr>
              <w:pStyle w:val="TableParagraph"/>
              <w:spacing w:line="124" w:lineRule="exact" w:before="19"/>
              <w:ind w:left="372" w:right="363"/>
              <w:jc w:val="center"/>
              <w:rPr>
                <w:sz w:val="12"/>
              </w:rPr>
            </w:pPr>
            <w:r>
              <w:rPr>
                <w:color w:val="231F20"/>
                <w:spacing w:val="-2"/>
                <w:w w:val="105"/>
                <w:sz w:val="12"/>
              </w:rPr>
              <w:t>81.RD</w:t>
            </w:r>
          </w:p>
        </w:tc>
        <w:tc>
          <w:tcPr>
            <w:tcW w:w="1126" w:type="dxa"/>
            <w:tcBorders>
              <w:bottom w:val="single" w:sz="8" w:space="0" w:color="231F20"/>
            </w:tcBorders>
          </w:tcPr>
          <w:p>
            <w:pPr>
              <w:pStyle w:val="TableParagraph"/>
              <w:spacing w:line="124" w:lineRule="exact" w:before="19"/>
              <w:ind w:right="63"/>
              <w:jc w:val="right"/>
              <w:rPr>
                <w:sz w:val="12"/>
              </w:rPr>
            </w:pPr>
            <w:r>
              <w:rPr>
                <w:color w:val="231F20"/>
                <w:w w:val="104"/>
                <w:sz w:val="12"/>
              </w:rPr>
              <w:t>-</w:t>
            </w:r>
          </w:p>
        </w:tc>
        <w:tc>
          <w:tcPr>
            <w:tcW w:w="152" w:type="dxa"/>
          </w:tcPr>
          <w:p>
            <w:pPr>
              <w:pStyle w:val="TableParagraph"/>
              <w:rPr>
                <w:rFonts w:ascii="Times New Roman"/>
                <w:sz w:val="10"/>
              </w:rPr>
            </w:pPr>
          </w:p>
        </w:tc>
        <w:tc>
          <w:tcPr>
            <w:tcW w:w="1126" w:type="dxa"/>
            <w:tcBorders>
              <w:bottom w:val="single" w:sz="8" w:space="0" w:color="231F20"/>
            </w:tcBorders>
          </w:tcPr>
          <w:p>
            <w:pPr>
              <w:pStyle w:val="TableParagraph"/>
              <w:spacing w:line="124" w:lineRule="exact" w:before="19"/>
              <w:ind w:right="61"/>
              <w:jc w:val="right"/>
              <w:rPr>
                <w:sz w:val="12"/>
              </w:rPr>
            </w:pPr>
            <w:r>
              <w:rPr>
                <w:color w:val="231F20"/>
                <w:spacing w:val="-2"/>
                <w:w w:val="105"/>
                <w:sz w:val="12"/>
              </w:rPr>
              <w:t>38,504</w:t>
            </w:r>
          </w:p>
        </w:tc>
      </w:tr>
      <w:tr>
        <w:trPr>
          <w:trHeight w:val="151" w:hRule="atLeast"/>
        </w:trPr>
        <w:tc>
          <w:tcPr>
            <w:tcW w:w="4458" w:type="dxa"/>
          </w:tcPr>
          <w:p>
            <w:pPr>
              <w:pStyle w:val="TableParagraph"/>
              <w:spacing w:line="124" w:lineRule="exact" w:before="7"/>
              <w:ind w:left="201"/>
              <w:rPr>
                <w:b/>
                <w:sz w:val="12"/>
              </w:rPr>
            </w:pPr>
            <w:r>
              <w:rPr>
                <w:b/>
                <w:color w:val="231F20"/>
                <w:w w:val="105"/>
                <w:sz w:val="12"/>
              </w:rPr>
              <w:t>Total</w:t>
            </w:r>
            <w:r>
              <w:rPr>
                <w:b/>
                <w:color w:val="231F20"/>
                <w:spacing w:val="-7"/>
                <w:w w:val="105"/>
                <w:sz w:val="12"/>
              </w:rPr>
              <w:t> </w:t>
            </w:r>
            <w:r>
              <w:rPr>
                <w:b/>
                <w:color w:val="231F20"/>
                <w:w w:val="105"/>
                <w:sz w:val="12"/>
              </w:rPr>
              <w:t>Pass-through</w:t>
            </w:r>
            <w:r>
              <w:rPr>
                <w:b/>
                <w:color w:val="231F20"/>
                <w:spacing w:val="-7"/>
                <w:w w:val="105"/>
                <w:sz w:val="12"/>
              </w:rPr>
              <w:t> </w:t>
            </w:r>
            <w:r>
              <w:rPr>
                <w:b/>
                <w:color w:val="231F20"/>
                <w:w w:val="105"/>
                <w:sz w:val="12"/>
              </w:rPr>
              <w:t>U.S.</w:t>
            </w:r>
            <w:r>
              <w:rPr>
                <w:b/>
                <w:color w:val="231F20"/>
                <w:spacing w:val="-6"/>
                <w:w w:val="105"/>
                <w:sz w:val="12"/>
              </w:rPr>
              <w:t> </w:t>
            </w:r>
            <w:r>
              <w:rPr>
                <w:b/>
                <w:color w:val="231F20"/>
                <w:w w:val="105"/>
                <w:sz w:val="12"/>
              </w:rPr>
              <w:t>Department</w:t>
            </w:r>
            <w:r>
              <w:rPr>
                <w:b/>
                <w:color w:val="231F20"/>
                <w:spacing w:val="-7"/>
                <w:w w:val="105"/>
                <w:sz w:val="12"/>
              </w:rPr>
              <w:t> </w:t>
            </w:r>
            <w:r>
              <w:rPr>
                <w:b/>
                <w:color w:val="231F20"/>
                <w:w w:val="105"/>
                <w:sz w:val="12"/>
              </w:rPr>
              <w:t>of</w:t>
            </w:r>
            <w:r>
              <w:rPr>
                <w:b/>
                <w:color w:val="231F20"/>
                <w:spacing w:val="-7"/>
                <w:w w:val="105"/>
                <w:sz w:val="12"/>
              </w:rPr>
              <w:t> </w:t>
            </w:r>
            <w:r>
              <w:rPr>
                <w:b/>
                <w:color w:val="231F20"/>
                <w:spacing w:val="-2"/>
                <w:w w:val="105"/>
                <w:sz w:val="12"/>
              </w:rPr>
              <w:t>Energy</w:t>
            </w:r>
          </w:p>
        </w:tc>
        <w:tc>
          <w:tcPr>
            <w:tcW w:w="887" w:type="dxa"/>
          </w:tcPr>
          <w:p>
            <w:pPr>
              <w:pStyle w:val="TableParagraph"/>
              <w:rPr>
                <w:rFonts w:ascii="Times New Roman"/>
                <w:sz w:val="8"/>
              </w:rPr>
            </w:pPr>
          </w:p>
        </w:tc>
        <w:tc>
          <w:tcPr>
            <w:tcW w:w="2777" w:type="dxa"/>
          </w:tcPr>
          <w:p>
            <w:pPr>
              <w:pStyle w:val="TableParagraph"/>
              <w:rPr>
                <w:rFonts w:ascii="Times New Roman"/>
                <w:sz w:val="8"/>
              </w:rPr>
            </w:pPr>
          </w:p>
        </w:tc>
        <w:tc>
          <w:tcPr>
            <w:tcW w:w="2669" w:type="dxa"/>
          </w:tcPr>
          <w:p>
            <w:pPr>
              <w:pStyle w:val="TableParagraph"/>
              <w:rPr>
                <w:rFonts w:ascii="Times New Roman"/>
                <w:sz w:val="8"/>
              </w:rPr>
            </w:pPr>
          </w:p>
        </w:tc>
        <w:tc>
          <w:tcPr>
            <w:tcW w:w="1150" w:type="dxa"/>
          </w:tcPr>
          <w:p>
            <w:pPr>
              <w:pStyle w:val="TableParagraph"/>
              <w:rPr>
                <w:rFonts w:ascii="Times New Roman"/>
                <w:sz w:val="8"/>
              </w:rPr>
            </w:pPr>
          </w:p>
        </w:tc>
        <w:tc>
          <w:tcPr>
            <w:tcW w:w="1126" w:type="dxa"/>
            <w:tcBorders>
              <w:top w:val="single" w:sz="8" w:space="0" w:color="231F20"/>
              <w:bottom w:val="single" w:sz="8" w:space="0" w:color="231F20"/>
            </w:tcBorders>
          </w:tcPr>
          <w:p>
            <w:pPr>
              <w:pStyle w:val="TableParagraph"/>
              <w:spacing w:line="124" w:lineRule="exact" w:before="7"/>
              <w:ind w:right="63"/>
              <w:jc w:val="right"/>
              <w:rPr>
                <w:b/>
                <w:sz w:val="12"/>
              </w:rPr>
            </w:pPr>
            <w:r>
              <w:rPr>
                <w:b/>
                <w:color w:val="231F20"/>
                <w:w w:val="104"/>
                <w:sz w:val="12"/>
              </w:rPr>
              <w:t>-</w:t>
            </w:r>
          </w:p>
        </w:tc>
        <w:tc>
          <w:tcPr>
            <w:tcW w:w="152" w:type="dxa"/>
          </w:tcPr>
          <w:p>
            <w:pPr>
              <w:pStyle w:val="TableParagraph"/>
              <w:rPr>
                <w:rFonts w:ascii="Times New Roman"/>
                <w:sz w:val="8"/>
              </w:rPr>
            </w:pPr>
          </w:p>
        </w:tc>
        <w:tc>
          <w:tcPr>
            <w:tcW w:w="1126" w:type="dxa"/>
            <w:tcBorders>
              <w:top w:val="single" w:sz="8" w:space="0" w:color="231F20"/>
              <w:bottom w:val="single" w:sz="8" w:space="0" w:color="231F20"/>
            </w:tcBorders>
          </w:tcPr>
          <w:p>
            <w:pPr>
              <w:pStyle w:val="TableParagraph"/>
              <w:spacing w:line="124" w:lineRule="exact" w:before="7"/>
              <w:ind w:right="61"/>
              <w:jc w:val="right"/>
              <w:rPr>
                <w:b/>
                <w:sz w:val="12"/>
              </w:rPr>
            </w:pPr>
            <w:r>
              <w:rPr>
                <w:b/>
                <w:color w:val="231F20"/>
                <w:spacing w:val="-2"/>
                <w:w w:val="105"/>
                <w:sz w:val="12"/>
              </w:rPr>
              <w:t>600,968</w:t>
            </w:r>
          </w:p>
        </w:tc>
      </w:tr>
      <w:tr>
        <w:trPr>
          <w:trHeight w:val="264" w:hRule="atLeast"/>
        </w:trPr>
        <w:tc>
          <w:tcPr>
            <w:tcW w:w="4458" w:type="dxa"/>
          </w:tcPr>
          <w:p>
            <w:pPr>
              <w:pStyle w:val="TableParagraph"/>
              <w:spacing w:line="123" w:lineRule="exact" w:before="121"/>
              <w:ind w:left="32"/>
              <w:rPr>
                <w:b/>
                <w:sz w:val="12"/>
              </w:rPr>
            </w:pPr>
            <w:r>
              <w:rPr>
                <w:b/>
                <w:color w:val="231F20"/>
                <w:w w:val="105"/>
                <w:sz w:val="12"/>
              </w:rPr>
              <w:t>Total</w:t>
            </w:r>
            <w:r>
              <w:rPr>
                <w:b/>
                <w:color w:val="231F20"/>
                <w:spacing w:val="-5"/>
                <w:w w:val="105"/>
                <w:sz w:val="12"/>
              </w:rPr>
              <w:t> </w:t>
            </w:r>
            <w:r>
              <w:rPr>
                <w:b/>
                <w:color w:val="231F20"/>
                <w:w w:val="105"/>
                <w:sz w:val="12"/>
              </w:rPr>
              <w:t>U.S</w:t>
            </w:r>
            <w:r>
              <w:rPr>
                <w:b/>
                <w:color w:val="231F20"/>
                <w:spacing w:val="-6"/>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5"/>
                <w:w w:val="105"/>
                <w:sz w:val="12"/>
              </w:rPr>
              <w:t> </w:t>
            </w:r>
            <w:r>
              <w:rPr>
                <w:b/>
                <w:color w:val="231F20"/>
                <w:spacing w:val="-2"/>
                <w:w w:val="105"/>
                <w:sz w:val="12"/>
              </w:rPr>
              <w:t>Energy</w:t>
            </w:r>
          </w:p>
        </w:tc>
        <w:tc>
          <w:tcPr>
            <w:tcW w:w="887" w:type="dxa"/>
          </w:tcPr>
          <w:p>
            <w:pPr>
              <w:pStyle w:val="TableParagraph"/>
              <w:rPr>
                <w:rFonts w:ascii="Times New Roman"/>
                <w:sz w:val="12"/>
              </w:rPr>
            </w:pPr>
          </w:p>
        </w:tc>
        <w:tc>
          <w:tcPr>
            <w:tcW w:w="2777" w:type="dxa"/>
          </w:tcPr>
          <w:p>
            <w:pPr>
              <w:pStyle w:val="TableParagraph"/>
              <w:rPr>
                <w:rFonts w:ascii="Times New Roman"/>
                <w:sz w:val="12"/>
              </w:rPr>
            </w:pPr>
          </w:p>
        </w:tc>
        <w:tc>
          <w:tcPr>
            <w:tcW w:w="2669" w:type="dxa"/>
          </w:tcPr>
          <w:p>
            <w:pPr>
              <w:pStyle w:val="TableParagraph"/>
              <w:rPr>
                <w:rFonts w:ascii="Times New Roman"/>
                <w:sz w:val="12"/>
              </w:rPr>
            </w:pPr>
          </w:p>
        </w:tc>
        <w:tc>
          <w:tcPr>
            <w:tcW w:w="1150" w:type="dxa"/>
          </w:tcPr>
          <w:p>
            <w:pPr>
              <w:pStyle w:val="TableParagraph"/>
              <w:rPr>
                <w:rFonts w:ascii="Times New Roman"/>
                <w:sz w:val="12"/>
              </w:rPr>
            </w:pPr>
          </w:p>
        </w:tc>
        <w:tc>
          <w:tcPr>
            <w:tcW w:w="1126" w:type="dxa"/>
            <w:tcBorders>
              <w:top w:val="single" w:sz="8" w:space="0" w:color="231F20"/>
              <w:bottom w:val="single" w:sz="8" w:space="0" w:color="231F20"/>
            </w:tcBorders>
          </w:tcPr>
          <w:p>
            <w:pPr>
              <w:pStyle w:val="TableParagraph"/>
              <w:spacing w:line="123" w:lineRule="exact" w:before="121"/>
              <w:ind w:right="64"/>
              <w:jc w:val="right"/>
              <w:rPr>
                <w:b/>
                <w:sz w:val="12"/>
              </w:rPr>
            </w:pPr>
            <w:r>
              <w:rPr>
                <w:b/>
                <w:color w:val="231F20"/>
                <w:spacing w:val="-2"/>
                <w:w w:val="105"/>
                <w:sz w:val="12"/>
              </w:rPr>
              <w:t>2,776,563</w:t>
            </w:r>
          </w:p>
        </w:tc>
        <w:tc>
          <w:tcPr>
            <w:tcW w:w="152" w:type="dxa"/>
          </w:tcPr>
          <w:p>
            <w:pPr>
              <w:pStyle w:val="TableParagraph"/>
              <w:rPr>
                <w:rFonts w:ascii="Times New Roman"/>
                <w:sz w:val="12"/>
              </w:rPr>
            </w:pPr>
          </w:p>
        </w:tc>
        <w:tc>
          <w:tcPr>
            <w:tcW w:w="1126" w:type="dxa"/>
            <w:tcBorders>
              <w:top w:val="single" w:sz="8" w:space="0" w:color="231F20"/>
              <w:bottom w:val="single" w:sz="8" w:space="0" w:color="231F20"/>
            </w:tcBorders>
          </w:tcPr>
          <w:p>
            <w:pPr>
              <w:pStyle w:val="TableParagraph"/>
              <w:spacing w:line="123" w:lineRule="exact" w:before="121"/>
              <w:ind w:right="61"/>
              <w:jc w:val="right"/>
              <w:rPr>
                <w:b/>
                <w:sz w:val="12"/>
              </w:rPr>
            </w:pPr>
            <w:r>
              <w:rPr>
                <w:b/>
                <w:color w:val="231F20"/>
                <w:spacing w:val="-2"/>
                <w:w w:val="105"/>
                <w:sz w:val="12"/>
              </w:rPr>
              <w:t>7,675,118</w:t>
            </w:r>
          </w:p>
        </w:tc>
      </w:tr>
      <w:tr>
        <w:trPr>
          <w:trHeight w:val="260" w:hRule="atLeast"/>
        </w:trPr>
        <w:tc>
          <w:tcPr>
            <w:tcW w:w="4458" w:type="dxa"/>
          </w:tcPr>
          <w:p>
            <w:pPr>
              <w:pStyle w:val="TableParagraph"/>
              <w:spacing w:line="119" w:lineRule="exact" w:before="121"/>
              <w:ind w:left="32"/>
              <w:rPr>
                <w:b/>
                <w:sz w:val="12"/>
              </w:rPr>
            </w:pPr>
            <w:r>
              <w:rPr>
                <w:b/>
                <w:color w:val="231F20"/>
                <w:w w:val="105"/>
                <w:sz w:val="12"/>
              </w:rPr>
              <w:t>U.S.</w:t>
            </w:r>
            <w:r>
              <w:rPr>
                <w:b/>
                <w:color w:val="231F20"/>
                <w:spacing w:val="-7"/>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6"/>
                <w:w w:val="105"/>
                <w:sz w:val="12"/>
              </w:rPr>
              <w:t> </w:t>
            </w:r>
            <w:r>
              <w:rPr>
                <w:b/>
                <w:color w:val="231F20"/>
                <w:w w:val="105"/>
                <w:sz w:val="12"/>
              </w:rPr>
              <w:t>Health</w:t>
            </w:r>
            <w:r>
              <w:rPr>
                <w:b/>
                <w:color w:val="231F20"/>
                <w:spacing w:val="-6"/>
                <w:w w:val="105"/>
                <w:sz w:val="12"/>
              </w:rPr>
              <w:t> </w:t>
            </w:r>
            <w:r>
              <w:rPr>
                <w:b/>
                <w:color w:val="231F20"/>
                <w:w w:val="105"/>
                <w:sz w:val="12"/>
              </w:rPr>
              <w:t>and</w:t>
            </w:r>
            <w:r>
              <w:rPr>
                <w:b/>
                <w:color w:val="231F20"/>
                <w:spacing w:val="-5"/>
                <w:w w:val="105"/>
                <w:sz w:val="12"/>
              </w:rPr>
              <w:t> </w:t>
            </w:r>
            <w:r>
              <w:rPr>
                <w:b/>
                <w:color w:val="231F20"/>
                <w:w w:val="105"/>
                <w:sz w:val="12"/>
              </w:rPr>
              <w:t>Human</w:t>
            </w:r>
            <w:r>
              <w:rPr>
                <w:b/>
                <w:color w:val="231F20"/>
                <w:spacing w:val="-4"/>
                <w:w w:val="105"/>
                <w:sz w:val="12"/>
              </w:rPr>
              <w:t> </w:t>
            </w:r>
            <w:r>
              <w:rPr>
                <w:b/>
                <w:color w:val="231F20"/>
                <w:spacing w:val="-2"/>
                <w:w w:val="105"/>
                <w:sz w:val="12"/>
              </w:rPr>
              <w:t>Services</w:t>
            </w:r>
          </w:p>
        </w:tc>
        <w:tc>
          <w:tcPr>
            <w:tcW w:w="887" w:type="dxa"/>
          </w:tcPr>
          <w:p>
            <w:pPr>
              <w:pStyle w:val="TableParagraph"/>
              <w:rPr>
                <w:rFonts w:ascii="Times New Roman"/>
                <w:sz w:val="12"/>
              </w:rPr>
            </w:pPr>
          </w:p>
        </w:tc>
        <w:tc>
          <w:tcPr>
            <w:tcW w:w="2777" w:type="dxa"/>
          </w:tcPr>
          <w:p>
            <w:pPr>
              <w:pStyle w:val="TableParagraph"/>
              <w:rPr>
                <w:rFonts w:ascii="Times New Roman"/>
                <w:sz w:val="12"/>
              </w:rPr>
            </w:pPr>
          </w:p>
        </w:tc>
        <w:tc>
          <w:tcPr>
            <w:tcW w:w="2669" w:type="dxa"/>
          </w:tcPr>
          <w:p>
            <w:pPr>
              <w:pStyle w:val="TableParagraph"/>
              <w:rPr>
                <w:rFonts w:ascii="Times New Roman"/>
                <w:sz w:val="12"/>
              </w:rPr>
            </w:pPr>
          </w:p>
        </w:tc>
        <w:tc>
          <w:tcPr>
            <w:tcW w:w="1150" w:type="dxa"/>
          </w:tcPr>
          <w:p>
            <w:pPr>
              <w:pStyle w:val="TableParagraph"/>
              <w:rPr>
                <w:rFonts w:ascii="Times New Roman"/>
                <w:sz w:val="12"/>
              </w:rPr>
            </w:pPr>
          </w:p>
        </w:tc>
        <w:tc>
          <w:tcPr>
            <w:tcW w:w="1126" w:type="dxa"/>
            <w:tcBorders>
              <w:top w:val="single" w:sz="8" w:space="0" w:color="231F20"/>
            </w:tcBorders>
          </w:tcPr>
          <w:p>
            <w:pPr>
              <w:pStyle w:val="TableParagraph"/>
              <w:rPr>
                <w:rFonts w:ascii="Times New Roman"/>
                <w:sz w:val="12"/>
              </w:rPr>
            </w:pPr>
          </w:p>
        </w:tc>
        <w:tc>
          <w:tcPr>
            <w:tcW w:w="152" w:type="dxa"/>
          </w:tcPr>
          <w:p>
            <w:pPr>
              <w:pStyle w:val="TableParagraph"/>
              <w:rPr>
                <w:rFonts w:ascii="Times New Roman"/>
                <w:sz w:val="12"/>
              </w:rPr>
            </w:pPr>
          </w:p>
        </w:tc>
        <w:tc>
          <w:tcPr>
            <w:tcW w:w="1126" w:type="dxa"/>
            <w:tcBorders>
              <w:top w:val="single" w:sz="8" w:space="0" w:color="231F20"/>
            </w:tcBorders>
          </w:tcPr>
          <w:p>
            <w:pPr>
              <w:pStyle w:val="TableParagraph"/>
              <w:rPr>
                <w:rFonts w:ascii="Times New Roman"/>
                <w:sz w:val="12"/>
              </w:rPr>
            </w:pPr>
          </w:p>
        </w:tc>
      </w:tr>
      <w:tr>
        <w:trPr>
          <w:trHeight w:val="171" w:hRule="atLeast"/>
        </w:trPr>
        <w:tc>
          <w:tcPr>
            <w:tcW w:w="4458" w:type="dxa"/>
          </w:tcPr>
          <w:p>
            <w:pPr>
              <w:pStyle w:val="TableParagraph"/>
              <w:spacing w:line="119" w:lineRule="exact" w:before="32"/>
              <w:ind w:left="202"/>
              <w:rPr>
                <w:sz w:val="12"/>
              </w:rPr>
            </w:pPr>
            <w:r>
              <w:rPr>
                <w:color w:val="231F20"/>
                <w:w w:val="105"/>
                <w:sz w:val="12"/>
              </w:rPr>
              <w:t>Direct</w:t>
            </w:r>
            <w:r>
              <w:rPr>
                <w:color w:val="231F20"/>
                <w:spacing w:val="-7"/>
                <w:w w:val="105"/>
                <w:sz w:val="12"/>
              </w:rPr>
              <w:t> </w:t>
            </w:r>
            <w:r>
              <w:rPr>
                <w:color w:val="231F20"/>
                <w:spacing w:val="-2"/>
                <w:w w:val="105"/>
                <w:sz w:val="12"/>
              </w:rPr>
              <w:t>Awards</w:t>
            </w:r>
          </w:p>
        </w:tc>
        <w:tc>
          <w:tcPr>
            <w:tcW w:w="887" w:type="dxa"/>
          </w:tcPr>
          <w:p>
            <w:pPr>
              <w:pStyle w:val="TableParagraph"/>
              <w:rPr>
                <w:rFonts w:ascii="Times New Roman"/>
                <w:sz w:val="10"/>
              </w:rPr>
            </w:pPr>
          </w:p>
        </w:tc>
        <w:tc>
          <w:tcPr>
            <w:tcW w:w="2777" w:type="dxa"/>
          </w:tcPr>
          <w:p>
            <w:pPr>
              <w:pStyle w:val="TableParagraph"/>
              <w:rPr>
                <w:rFonts w:ascii="Times New Roman"/>
                <w:sz w:val="10"/>
              </w:rPr>
            </w:pPr>
          </w:p>
        </w:tc>
        <w:tc>
          <w:tcPr>
            <w:tcW w:w="2669" w:type="dxa"/>
          </w:tcPr>
          <w:p>
            <w:pPr>
              <w:pStyle w:val="TableParagraph"/>
              <w:rPr>
                <w:rFonts w:ascii="Times New Roman"/>
                <w:sz w:val="10"/>
              </w:rPr>
            </w:pPr>
          </w:p>
        </w:tc>
        <w:tc>
          <w:tcPr>
            <w:tcW w:w="1150" w:type="dxa"/>
          </w:tcPr>
          <w:p>
            <w:pPr>
              <w:pStyle w:val="TableParagraph"/>
              <w:rPr>
                <w:rFonts w:ascii="Times New Roman"/>
                <w:sz w:val="10"/>
              </w:rPr>
            </w:pPr>
          </w:p>
        </w:tc>
        <w:tc>
          <w:tcPr>
            <w:tcW w:w="1126" w:type="dxa"/>
          </w:tcPr>
          <w:p>
            <w:pPr>
              <w:pStyle w:val="TableParagraph"/>
              <w:rPr>
                <w:rFonts w:ascii="Times New Roman"/>
                <w:sz w:val="10"/>
              </w:rPr>
            </w:pPr>
          </w:p>
        </w:tc>
        <w:tc>
          <w:tcPr>
            <w:tcW w:w="152" w:type="dxa"/>
          </w:tcPr>
          <w:p>
            <w:pPr>
              <w:pStyle w:val="TableParagraph"/>
              <w:rPr>
                <w:rFonts w:ascii="Times New Roman"/>
                <w:sz w:val="10"/>
              </w:rPr>
            </w:pPr>
          </w:p>
        </w:tc>
        <w:tc>
          <w:tcPr>
            <w:tcW w:w="1126" w:type="dxa"/>
          </w:tcPr>
          <w:p>
            <w:pPr>
              <w:pStyle w:val="TableParagraph"/>
              <w:rPr>
                <w:rFonts w:ascii="Times New Roman"/>
                <w:sz w:val="10"/>
              </w:rPr>
            </w:pPr>
          </w:p>
        </w:tc>
      </w:tr>
      <w:tr>
        <w:trPr>
          <w:trHeight w:val="183" w:hRule="atLeast"/>
        </w:trPr>
        <w:tc>
          <w:tcPr>
            <w:tcW w:w="4458" w:type="dxa"/>
          </w:tcPr>
          <w:p>
            <w:pPr>
              <w:pStyle w:val="TableParagraph"/>
              <w:spacing w:line="137" w:lineRule="exact" w:before="26"/>
              <w:ind w:left="371"/>
              <w:rPr>
                <w:sz w:val="12"/>
              </w:rPr>
            </w:pPr>
            <w:r>
              <w:rPr>
                <w:color w:val="231F20"/>
                <w:spacing w:val="-2"/>
                <w:w w:val="105"/>
                <w:sz w:val="12"/>
              </w:rPr>
              <w:t>Occupational</w:t>
            </w:r>
            <w:r>
              <w:rPr>
                <w:color w:val="231F20"/>
                <w:spacing w:val="3"/>
                <w:w w:val="105"/>
                <w:sz w:val="12"/>
              </w:rPr>
              <w:t> </w:t>
            </w:r>
            <w:r>
              <w:rPr>
                <w:color w:val="231F20"/>
                <w:spacing w:val="-2"/>
                <w:w w:val="105"/>
                <w:sz w:val="12"/>
              </w:rPr>
              <w:t>Safety</w:t>
            </w:r>
            <w:r>
              <w:rPr>
                <w:color w:val="231F20"/>
                <w:spacing w:val="3"/>
                <w:w w:val="105"/>
                <w:sz w:val="12"/>
              </w:rPr>
              <w:t> </w:t>
            </w:r>
            <w:r>
              <w:rPr>
                <w:color w:val="231F20"/>
                <w:spacing w:val="-2"/>
                <w:w w:val="105"/>
                <w:sz w:val="12"/>
              </w:rPr>
              <w:t>and</w:t>
            </w:r>
            <w:r>
              <w:rPr>
                <w:color w:val="231F20"/>
                <w:spacing w:val="3"/>
                <w:w w:val="105"/>
                <w:sz w:val="12"/>
              </w:rPr>
              <w:t> </w:t>
            </w:r>
            <w:r>
              <w:rPr>
                <w:color w:val="231F20"/>
                <w:spacing w:val="-2"/>
                <w:w w:val="105"/>
                <w:sz w:val="12"/>
              </w:rPr>
              <w:t>Health</w:t>
            </w:r>
            <w:r>
              <w:rPr>
                <w:color w:val="231F20"/>
                <w:spacing w:val="4"/>
                <w:w w:val="105"/>
                <w:sz w:val="12"/>
              </w:rPr>
              <w:t> </w:t>
            </w:r>
            <w:r>
              <w:rPr>
                <w:color w:val="231F20"/>
                <w:spacing w:val="-2"/>
                <w:w w:val="105"/>
                <w:sz w:val="12"/>
              </w:rPr>
              <w:t>Program</w:t>
            </w:r>
          </w:p>
        </w:tc>
        <w:tc>
          <w:tcPr>
            <w:tcW w:w="887" w:type="dxa"/>
          </w:tcPr>
          <w:p>
            <w:pPr>
              <w:pStyle w:val="TableParagraph"/>
              <w:spacing w:line="131" w:lineRule="exact" w:before="32"/>
              <w:ind w:right="185"/>
              <w:jc w:val="right"/>
              <w:rPr>
                <w:sz w:val="12"/>
              </w:rPr>
            </w:pPr>
            <w:r>
              <w:rPr>
                <w:color w:val="231F20"/>
                <w:spacing w:val="-4"/>
                <w:w w:val="105"/>
                <w:sz w:val="12"/>
              </w:rPr>
              <w:t>RMER</w:t>
            </w:r>
          </w:p>
        </w:tc>
        <w:tc>
          <w:tcPr>
            <w:tcW w:w="5446" w:type="dxa"/>
            <w:gridSpan w:val="2"/>
          </w:tcPr>
          <w:p>
            <w:pPr>
              <w:pStyle w:val="TableParagraph"/>
              <w:spacing w:line="137" w:lineRule="exact" w:before="26"/>
              <w:ind w:left="3182"/>
              <w:rPr>
                <w:sz w:val="12"/>
              </w:rPr>
            </w:pPr>
            <w:r>
              <w:rPr>
                <w:color w:val="231F20"/>
                <w:sz w:val="12"/>
              </w:rPr>
              <w:t>1</w:t>
            </w:r>
            <w:r>
              <w:rPr>
                <w:color w:val="231F20"/>
                <w:spacing w:val="29"/>
                <w:sz w:val="12"/>
              </w:rPr>
              <w:t> </w:t>
            </w:r>
            <w:r>
              <w:rPr>
                <w:color w:val="231F20"/>
                <w:sz w:val="12"/>
              </w:rPr>
              <w:t>U60OH012351-01-</w:t>
            </w:r>
            <w:r>
              <w:rPr>
                <w:color w:val="231F20"/>
                <w:spacing w:val="-7"/>
                <w:sz w:val="12"/>
              </w:rPr>
              <w:t>00</w:t>
            </w:r>
          </w:p>
        </w:tc>
        <w:tc>
          <w:tcPr>
            <w:tcW w:w="1150" w:type="dxa"/>
          </w:tcPr>
          <w:p>
            <w:pPr>
              <w:pStyle w:val="TableParagraph"/>
              <w:spacing w:line="131" w:lineRule="exact" w:before="32"/>
              <w:ind w:left="372" w:right="363"/>
              <w:jc w:val="center"/>
              <w:rPr>
                <w:sz w:val="12"/>
              </w:rPr>
            </w:pPr>
            <w:r>
              <w:rPr>
                <w:color w:val="231F20"/>
                <w:spacing w:val="-2"/>
                <w:w w:val="105"/>
                <w:sz w:val="12"/>
              </w:rPr>
              <w:t>93.262</w:t>
            </w:r>
          </w:p>
        </w:tc>
        <w:tc>
          <w:tcPr>
            <w:tcW w:w="1126" w:type="dxa"/>
          </w:tcPr>
          <w:p>
            <w:pPr>
              <w:pStyle w:val="TableParagraph"/>
              <w:spacing w:line="131" w:lineRule="exact" w:before="32"/>
              <w:ind w:right="64"/>
              <w:jc w:val="right"/>
              <w:rPr>
                <w:sz w:val="12"/>
              </w:rPr>
            </w:pPr>
            <w:r>
              <w:rPr>
                <w:color w:val="231F20"/>
                <w:spacing w:val="-2"/>
                <w:w w:val="105"/>
                <w:sz w:val="12"/>
              </w:rPr>
              <w:t>57,464</w:t>
            </w:r>
          </w:p>
        </w:tc>
        <w:tc>
          <w:tcPr>
            <w:tcW w:w="152" w:type="dxa"/>
          </w:tcPr>
          <w:p>
            <w:pPr>
              <w:pStyle w:val="TableParagraph"/>
              <w:rPr>
                <w:rFonts w:ascii="Times New Roman"/>
                <w:sz w:val="12"/>
              </w:rPr>
            </w:pPr>
          </w:p>
        </w:tc>
        <w:tc>
          <w:tcPr>
            <w:tcW w:w="1126" w:type="dxa"/>
          </w:tcPr>
          <w:p>
            <w:pPr>
              <w:pStyle w:val="TableParagraph"/>
              <w:spacing w:line="131" w:lineRule="exact" w:before="32"/>
              <w:ind w:right="61"/>
              <w:jc w:val="right"/>
              <w:rPr>
                <w:sz w:val="12"/>
              </w:rPr>
            </w:pPr>
            <w:r>
              <w:rPr>
                <w:color w:val="231F20"/>
                <w:spacing w:val="-2"/>
                <w:w w:val="105"/>
                <w:sz w:val="12"/>
              </w:rPr>
              <w:t>441,067</w:t>
            </w:r>
          </w:p>
        </w:tc>
      </w:tr>
      <w:tr>
        <w:trPr>
          <w:trHeight w:val="171" w:hRule="atLeast"/>
        </w:trPr>
        <w:tc>
          <w:tcPr>
            <w:tcW w:w="4458" w:type="dxa"/>
          </w:tcPr>
          <w:p>
            <w:pPr>
              <w:pStyle w:val="TableParagraph"/>
              <w:spacing w:before="13"/>
              <w:ind w:left="371"/>
              <w:rPr>
                <w:sz w:val="12"/>
              </w:rPr>
            </w:pPr>
            <w:r>
              <w:rPr>
                <w:color w:val="231F20"/>
                <w:spacing w:val="-2"/>
                <w:w w:val="105"/>
                <w:sz w:val="12"/>
              </w:rPr>
              <w:t>Biomedical</w:t>
            </w:r>
            <w:r>
              <w:rPr>
                <w:color w:val="231F20"/>
                <w:spacing w:val="4"/>
                <w:w w:val="105"/>
                <w:sz w:val="12"/>
              </w:rPr>
              <w:t> </w:t>
            </w:r>
            <w:r>
              <w:rPr>
                <w:color w:val="231F20"/>
                <w:spacing w:val="-2"/>
                <w:w w:val="105"/>
                <w:sz w:val="12"/>
              </w:rPr>
              <w:t>Research</w:t>
            </w:r>
            <w:r>
              <w:rPr>
                <w:color w:val="231F20"/>
                <w:spacing w:val="4"/>
                <w:w w:val="105"/>
                <w:sz w:val="12"/>
              </w:rPr>
              <w:t> </w:t>
            </w:r>
            <w:r>
              <w:rPr>
                <w:color w:val="231F20"/>
                <w:spacing w:val="-2"/>
                <w:w w:val="105"/>
                <w:sz w:val="12"/>
              </w:rPr>
              <w:t>and</w:t>
            </w:r>
            <w:r>
              <w:rPr>
                <w:color w:val="231F20"/>
                <w:spacing w:val="3"/>
                <w:w w:val="105"/>
                <w:sz w:val="12"/>
              </w:rPr>
              <w:t> </w:t>
            </w:r>
            <w:r>
              <w:rPr>
                <w:color w:val="231F20"/>
                <w:spacing w:val="-2"/>
                <w:w w:val="105"/>
                <w:sz w:val="12"/>
              </w:rPr>
              <w:t>Research</w:t>
            </w:r>
            <w:r>
              <w:rPr>
                <w:color w:val="231F20"/>
                <w:spacing w:val="4"/>
                <w:w w:val="105"/>
                <w:sz w:val="12"/>
              </w:rPr>
              <w:t> </w:t>
            </w:r>
            <w:r>
              <w:rPr>
                <w:color w:val="231F20"/>
                <w:spacing w:val="-2"/>
                <w:w w:val="105"/>
                <w:sz w:val="12"/>
              </w:rPr>
              <w:t>Training</w:t>
            </w:r>
          </w:p>
        </w:tc>
        <w:tc>
          <w:tcPr>
            <w:tcW w:w="887" w:type="dxa"/>
          </w:tcPr>
          <w:p>
            <w:pPr>
              <w:pStyle w:val="TableParagraph"/>
              <w:spacing w:line="132" w:lineRule="exact" w:before="19"/>
              <w:ind w:right="203"/>
              <w:jc w:val="right"/>
              <w:rPr>
                <w:sz w:val="12"/>
              </w:rPr>
            </w:pPr>
            <w:r>
              <w:rPr>
                <w:color w:val="231F20"/>
                <w:spacing w:val="-4"/>
                <w:w w:val="105"/>
                <w:sz w:val="12"/>
              </w:rPr>
              <w:t>RPRL</w:t>
            </w:r>
          </w:p>
        </w:tc>
        <w:tc>
          <w:tcPr>
            <w:tcW w:w="5446" w:type="dxa"/>
            <w:gridSpan w:val="2"/>
          </w:tcPr>
          <w:p>
            <w:pPr>
              <w:pStyle w:val="TableParagraph"/>
              <w:spacing w:before="13"/>
              <w:ind w:left="3182"/>
              <w:rPr>
                <w:sz w:val="12"/>
              </w:rPr>
            </w:pPr>
            <w:r>
              <w:rPr>
                <w:color w:val="231F20"/>
                <w:sz w:val="12"/>
              </w:rPr>
              <w:t>1R15GM128071-</w:t>
            </w:r>
            <w:r>
              <w:rPr>
                <w:color w:val="231F20"/>
                <w:spacing w:val="-4"/>
                <w:w w:val="105"/>
                <w:sz w:val="12"/>
              </w:rPr>
              <w:t>01A1</w:t>
            </w:r>
          </w:p>
        </w:tc>
        <w:tc>
          <w:tcPr>
            <w:tcW w:w="1150" w:type="dxa"/>
          </w:tcPr>
          <w:p>
            <w:pPr>
              <w:pStyle w:val="TableParagraph"/>
              <w:spacing w:line="132" w:lineRule="exact" w:before="19"/>
              <w:ind w:left="372" w:right="363"/>
              <w:jc w:val="center"/>
              <w:rPr>
                <w:sz w:val="12"/>
              </w:rPr>
            </w:pPr>
            <w:r>
              <w:rPr>
                <w:color w:val="231F20"/>
                <w:spacing w:val="-2"/>
                <w:w w:val="105"/>
                <w:sz w:val="12"/>
              </w:rPr>
              <w:t>93.859</w:t>
            </w:r>
          </w:p>
        </w:tc>
        <w:tc>
          <w:tcPr>
            <w:tcW w:w="1126" w:type="dxa"/>
          </w:tcPr>
          <w:p>
            <w:pPr>
              <w:pStyle w:val="TableParagraph"/>
              <w:spacing w:line="132" w:lineRule="exact" w:before="19"/>
              <w:ind w:right="63"/>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2" w:lineRule="exact" w:before="19"/>
              <w:ind w:right="61"/>
              <w:jc w:val="right"/>
              <w:rPr>
                <w:sz w:val="12"/>
              </w:rPr>
            </w:pPr>
            <w:r>
              <w:rPr>
                <w:color w:val="231F20"/>
                <w:spacing w:val="-2"/>
                <w:w w:val="105"/>
                <w:sz w:val="12"/>
              </w:rPr>
              <w:t>68,980</w:t>
            </w:r>
          </w:p>
        </w:tc>
      </w:tr>
      <w:tr>
        <w:trPr>
          <w:trHeight w:val="163" w:hRule="atLeast"/>
        </w:trPr>
        <w:tc>
          <w:tcPr>
            <w:tcW w:w="4458" w:type="dxa"/>
          </w:tcPr>
          <w:p>
            <w:pPr>
              <w:pStyle w:val="TableParagraph"/>
              <w:spacing w:line="130" w:lineRule="exact" w:before="14"/>
              <w:ind w:left="371"/>
              <w:rPr>
                <w:sz w:val="12"/>
              </w:rPr>
            </w:pPr>
            <w:r>
              <w:rPr>
                <w:color w:val="231F20"/>
                <w:spacing w:val="-2"/>
                <w:w w:val="105"/>
                <w:sz w:val="12"/>
              </w:rPr>
              <w:t>Biomedical</w:t>
            </w:r>
            <w:r>
              <w:rPr>
                <w:color w:val="231F20"/>
                <w:spacing w:val="4"/>
                <w:w w:val="105"/>
                <w:sz w:val="12"/>
              </w:rPr>
              <w:t> </w:t>
            </w:r>
            <w:r>
              <w:rPr>
                <w:color w:val="231F20"/>
                <w:spacing w:val="-2"/>
                <w:w w:val="105"/>
                <w:sz w:val="12"/>
              </w:rPr>
              <w:t>Research</w:t>
            </w:r>
            <w:r>
              <w:rPr>
                <w:color w:val="231F20"/>
                <w:spacing w:val="4"/>
                <w:w w:val="105"/>
                <w:sz w:val="12"/>
              </w:rPr>
              <w:t> </w:t>
            </w:r>
            <w:r>
              <w:rPr>
                <w:color w:val="231F20"/>
                <w:spacing w:val="-2"/>
                <w:w w:val="105"/>
                <w:sz w:val="12"/>
              </w:rPr>
              <w:t>and</w:t>
            </w:r>
            <w:r>
              <w:rPr>
                <w:color w:val="231F20"/>
                <w:spacing w:val="3"/>
                <w:w w:val="105"/>
                <w:sz w:val="12"/>
              </w:rPr>
              <w:t> </w:t>
            </w:r>
            <w:r>
              <w:rPr>
                <w:color w:val="231F20"/>
                <w:spacing w:val="-2"/>
                <w:w w:val="105"/>
                <w:sz w:val="12"/>
              </w:rPr>
              <w:t>Research</w:t>
            </w:r>
            <w:r>
              <w:rPr>
                <w:color w:val="231F20"/>
                <w:spacing w:val="4"/>
                <w:w w:val="105"/>
                <w:sz w:val="12"/>
              </w:rPr>
              <w:t> </w:t>
            </w:r>
            <w:r>
              <w:rPr>
                <w:color w:val="231F20"/>
                <w:spacing w:val="-2"/>
                <w:w w:val="105"/>
                <w:sz w:val="12"/>
              </w:rPr>
              <w:t>Training</w:t>
            </w:r>
          </w:p>
        </w:tc>
        <w:tc>
          <w:tcPr>
            <w:tcW w:w="887" w:type="dxa"/>
          </w:tcPr>
          <w:p>
            <w:pPr>
              <w:pStyle w:val="TableParagraph"/>
              <w:spacing w:line="124" w:lineRule="exact" w:before="20"/>
              <w:ind w:right="194"/>
              <w:jc w:val="right"/>
              <w:rPr>
                <w:sz w:val="12"/>
              </w:rPr>
            </w:pPr>
            <w:r>
              <w:rPr>
                <w:color w:val="231F20"/>
                <w:spacing w:val="-4"/>
                <w:w w:val="105"/>
                <w:sz w:val="12"/>
              </w:rPr>
              <w:t>RSAR</w:t>
            </w:r>
          </w:p>
        </w:tc>
        <w:tc>
          <w:tcPr>
            <w:tcW w:w="5446" w:type="dxa"/>
            <w:gridSpan w:val="2"/>
          </w:tcPr>
          <w:p>
            <w:pPr>
              <w:pStyle w:val="TableParagraph"/>
              <w:spacing w:line="130" w:lineRule="exact" w:before="14"/>
              <w:ind w:left="3182"/>
              <w:rPr>
                <w:sz w:val="12"/>
              </w:rPr>
            </w:pPr>
            <w:r>
              <w:rPr>
                <w:color w:val="231F20"/>
                <w:sz w:val="12"/>
              </w:rPr>
              <w:t>1R15GM124620-</w:t>
            </w:r>
            <w:r>
              <w:rPr>
                <w:color w:val="231F20"/>
                <w:spacing w:val="-4"/>
                <w:w w:val="105"/>
                <w:sz w:val="12"/>
              </w:rPr>
              <w:t>01A1</w:t>
            </w:r>
          </w:p>
        </w:tc>
        <w:tc>
          <w:tcPr>
            <w:tcW w:w="1150" w:type="dxa"/>
          </w:tcPr>
          <w:p>
            <w:pPr>
              <w:pStyle w:val="TableParagraph"/>
              <w:spacing w:line="124" w:lineRule="exact" w:before="20"/>
              <w:ind w:left="372" w:right="363"/>
              <w:jc w:val="center"/>
              <w:rPr>
                <w:sz w:val="12"/>
              </w:rPr>
            </w:pPr>
            <w:r>
              <w:rPr>
                <w:color w:val="231F20"/>
                <w:spacing w:val="-2"/>
                <w:w w:val="105"/>
                <w:sz w:val="12"/>
              </w:rPr>
              <w:t>93.859</w:t>
            </w:r>
          </w:p>
        </w:tc>
        <w:tc>
          <w:tcPr>
            <w:tcW w:w="1126" w:type="dxa"/>
            <w:tcBorders>
              <w:bottom w:val="single" w:sz="8" w:space="0" w:color="231F20"/>
            </w:tcBorders>
          </w:tcPr>
          <w:p>
            <w:pPr>
              <w:pStyle w:val="TableParagraph"/>
              <w:spacing w:line="124" w:lineRule="exact" w:before="20"/>
              <w:ind w:right="64"/>
              <w:jc w:val="right"/>
              <w:rPr>
                <w:sz w:val="12"/>
              </w:rPr>
            </w:pPr>
            <w:r>
              <w:rPr>
                <w:color w:val="231F20"/>
                <w:spacing w:val="-2"/>
                <w:w w:val="105"/>
                <w:sz w:val="12"/>
              </w:rPr>
              <w:t>18,364</w:t>
            </w:r>
          </w:p>
        </w:tc>
        <w:tc>
          <w:tcPr>
            <w:tcW w:w="152" w:type="dxa"/>
          </w:tcPr>
          <w:p>
            <w:pPr>
              <w:pStyle w:val="TableParagraph"/>
              <w:rPr>
                <w:rFonts w:ascii="Times New Roman"/>
                <w:sz w:val="10"/>
              </w:rPr>
            </w:pPr>
          </w:p>
        </w:tc>
        <w:tc>
          <w:tcPr>
            <w:tcW w:w="1126" w:type="dxa"/>
            <w:tcBorders>
              <w:bottom w:val="single" w:sz="8" w:space="0" w:color="231F20"/>
            </w:tcBorders>
          </w:tcPr>
          <w:p>
            <w:pPr>
              <w:pStyle w:val="TableParagraph"/>
              <w:spacing w:line="124" w:lineRule="exact" w:before="20"/>
              <w:ind w:right="61"/>
              <w:jc w:val="right"/>
              <w:rPr>
                <w:sz w:val="12"/>
              </w:rPr>
            </w:pPr>
            <w:r>
              <w:rPr>
                <w:color w:val="231F20"/>
                <w:spacing w:val="-2"/>
                <w:w w:val="105"/>
                <w:sz w:val="12"/>
              </w:rPr>
              <w:t>87,113</w:t>
            </w:r>
          </w:p>
        </w:tc>
      </w:tr>
      <w:tr>
        <w:trPr>
          <w:trHeight w:val="317" w:hRule="atLeast"/>
        </w:trPr>
        <w:tc>
          <w:tcPr>
            <w:tcW w:w="4458" w:type="dxa"/>
          </w:tcPr>
          <w:p>
            <w:pPr>
              <w:pStyle w:val="TableParagraph"/>
              <w:rPr>
                <w:sz w:val="15"/>
              </w:rPr>
            </w:pPr>
          </w:p>
          <w:p>
            <w:pPr>
              <w:pStyle w:val="TableParagraph"/>
              <w:spacing w:line="124" w:lineRule="exact"/>
              <w:ind w:left="371"/>
              <w:rPr>
                <w:b/>
                <w:sz w:val="12"/>
              </w:rPr>
            </w:pPr>
            <w:r>
              <w:rPr>
                <w:b/>
                <w:color w:val="231F20"/>
                <w:w w:val="105"/>
                <w:sz w:val="12"/>
              </w:rPr>
              <w:t>Total</w:t>
            </w:r>
            <w:r>
              <w:rPr>
                <w:b/>
                <w:color w:val="231F20"/>
                <w:spacing w:val="-5"/>
                <w:w w:val="105"/>
                <w:sz w:val="12"/>
              </w:rPr>
              <w:t> </w:t>
            </w:r>
            <w:r>
              <w:rPr>
                <w:b/>
                <w:color w:val="231F20"/>
                <w:w w:val="105"/>
                <w:sz w:val="12"/>
              </w:rPr>
              <w:t>Direct</w:t>
            </w:r>
            <w:r>
              <w:rPr>
                <w:b/>
                <w:color w:val="231F20"/>
                <w:spacing w:val="-6"/>
                <w:w w:val="105"/>
                <w:sz w:val="12"/>
              </w:rPr>
              <w:t> </w:t>
            </w:r>
            <w:r>
              <w:rPr>
                <w:b/>
                <w:color w:val="231F20"/>
                <w:w w:val="105"/>
                <w:sz w:val="12"/>
              </w:rPr>
              <w:t>U.S.</w:t>
            </w:r>
            <w:r>
              <w:rPr>
                <w:b/>
                <w:color w:val="231F20"/>
                <w:spacing w:val="-4"/>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4"/>
                <w:w w:val="105"/>
                <w:sz w:val="12"/>
              </w:rPr>
              <w:t> </w:t>
            </w:r>
            <w:r>
              <w:rPr>
                <w:b/>
                <w:color w:val="231F20"/>
                <w:w w:val="105"/>
                <w:sz w:val="12"/>
              </w:rPr>
              <w:t>Health</w:t>
            </w:r>
            <w:r>
              <w:rPr>
                <w:b/>
                <w:color w:val="231F20"/>
                <w:spacing w:val="-5"/>
                <w:w w:val="105"/>
                <w:sz w:val="12"/>
              </w:rPr>
              <w:t> </w:t>
            </w:r>
            <w:r>
              <w:rPr>
                <w:b/>
                <w:color w:val="231F20"/>
                <w:w w:val="105"/>
                <w:sz w:val="12"/>
              </w:rPr>
              <w:t>and</w:t>
            </w:r>
            <w:r>
              <w:rPr>
                <w:b/>
                <w:color w:val="231F20"/>
                <w:spacing w:val="-5"/>
                <w:w w:val="105"/>
                <w:sz w:val="12"/>
              </w:rPr>
              <w:t> </w:t>
            </w:r>
            <w:r>
              <w:rPr>
                <w:b/>
                <w:color w:val="231F20"/>
                <w:w w:val="105"/>
                <w:sz w:val="12"/>
              </w:rPr>
              <w:t>Human</w:t>
            </w:r>
            <w:r>
              <w:rPr>
                <w:b/>
                <w:color w:val="231F20"/>
                <w:spacing w:val="-4"/>
                <w:w w:val="105"/>
                <w:sz w:val="12"/>
              </w:rPr>
              <w:t> </w:t>
            </w:r>
            <w:r>
              <w:rPr>
                <w:b/>
                <w:color w:val="231F20"/>
                <w:spacing w:val="-2"/>
                <w:w w:val="105"/>
                <w:sz w:val="12"/>
              </w:rPr>
              <w:t>Services</w:t>
            </w:r>
          </w:p>
        </w:tc>
        <w:tc>
          <w:tcPr>
            <w:tcW w:w="887" w:type="dxa"/>
          </w:tcPr>
          <w:p>
            <w:pPr>
              <w:pStyle w:val="TableParagraph"/>
              <w:rPr>
                <w:rFonts w:ascii="Times New Roman"/>
                <w:sz w:val="12"/>
              </w:rPr>
            </w:pPr>
          </w:p>
        </w:tc>
        <w:tc>
          <w:tcPr>
            <w:tcW w:w="5446" w:type="dxa"/>
            <w:gridSpan w:val="2"/>
          </w:tcPr>
          <w:p>
            <w:pPr>
              <w:pStyle w:val="TableParagraph"/>
              <w:rPr>
                <w:rFonts w:ascii="Times New Roman"/>
                <w:sz w:val="12"/>
              </w:rPr>
            </w:pPr>
          </w:p>
        </w:tc>
        <w:tc>
          <w:tcPr>
            <w:tcW w:w="1150" w:type="dxa"/>
          </w:tcPr>
          <w:p>
            <w:pPr>
              <w:pStyle w:val="TableParagraph"/>
              <w:rPr>
                <w:rFonts w:ascii="Times New Roman"/>
                <w:sz w:val="12"/>
              </w:rPr>
            </w:pPr>
          </w:p>
        </w:tc>
        <w:tc>
          <w:tcPr>
            <w:tcW w:w="1126" w:type="dxa"/>
            <w:tcBorders>
              <w:top w:val="single" w:sz="8" w:space="0" w:color="231F20"/>
            </w:tcBorders>
          </w:tcPr>
          <w:p>
            <w:pPr>
              <w:pStyle w:val="TableParagraph"/>
              <w:spacing w:before="5"/>
              <w:rPr>
                <w:sz w:val="15"/>
              </w:rPr>
            </w:pPr>
          </w:p>
          <w:p>
            <w:pPr>
              <w:pStyle w:val="TableParagraph"/>
              <w:spacing w:line="119" w:lineRule="exact"/>
              <w:ind w:right="63"/>
              <w:jc w:val="right"/>
              <w:rPr>
                <w:b/>
                <w:sz w:val="12"/>
              </w:rPr>
            </w:pPr>
            <w:r>
              <w:rPr>
                <w:b/>
                <w:color w:val="231F20"/>
                <w:spacing w:val="-2"/>
                <w:w w:val="105"/>
                <w:sz w:val="12"/>
              </w:rPr>
              <w:t>75,828</w:t>
            </w:r>
          </w:p>
        </w:tc>
        <w:tc>
          <w:tcPr>
            <w:tcW w:w="152" w:type="dxa"/>
          </w:tcPr>
          <w:p>
            <w:pPr>
              <w:pStyle w:val="TableParagraph"/>
              <w:rPr>
                <w:rFonts w:ascii="Times New Roman"/>
                <w:sz w:val="12"/>
              </w:rPr>
            </w:pPr>
          </w:p>
        </w:tc>
        <w:tc>
          <w:tcPr>
            <w:tcW w:w="1126" w:type="dxa"/>
            <w:tcBorders>
              <w:top w:val="single" w:sz="8" w:space="0" w:color="231F20"/>
            </w:tcBorders>
          </w:tcPr>
          <w:p>
            <w:pPr>
              <w:pStyle w:val="TableParagraph"/>
              <w:spacing w:before="5"/>
              <w:rPr>
                <w:sz w:val="15"/>
              </w:rPr>
            </w:pPr>
          </w:p>
          <w:p>
            <w:pPr>
              <w:pStyle w:val="TableParagraph"/>
              <w:spacing w:line="119" w:lineRule="exact"/>
              <w:ind w:right="61"/>
              <w:jc w:val="right"/>
              <w:rPr>
                <w:b/>
                <w:sz w:val="12"/>
              </w:rPr>
            </w:pPr>
            <w:r>
              <w:rPr>
                <w:b/>
                <w:color w:val="231F20"/>
                <w:spacing w:val="-2"/>
                <w:w w:val="105"/>
                <w:sz w:val="12"/>
              </w:rPr>
              <w:t>597,160</w:t>
            </w:r>
          </w:p>
        </w:tc>
      </w:tr>
      <w:tr>
        <w:trPr>
          <w:trHeight w:val="342" w:hRule="atLeast"/>
        </w:trPr>
        <w:tc>
          <w:tcPr>
            <w:tcW w:w="4458" w:type="dxa"/>
          </w:tcPr>
          <w:p>
            <w:pPr>
              <w:pStyle w:val="TableParagraph"/>
              <w:spacing w:before="7"/>
              <w:rPr>
                <w:sz w:val="17"/>
              </w:rPr>
            </w:pPr>
          </w:p>
          <w:p>
            <w:pPr>
              <w:pStyle w:val="TableParagraph"/>
              <w:spacing w:line="119" w:lineRule="exact"/>
              <w:ind w:left="202"/>
              <w:rPr>
                <w:sz w:val="12"/>
              </w:rPr>
            </w:pPr>
            <w:r>
              <w:rPr>
                <w:color w:val="231F20"/>
                <w:sz w:val="12"/>
              </w:rPr>
              <w:t>Pass-</w:t>
            </w:r>
            <w:r>
              <w:rPr>
                <w:color w:val="231F20"/>
                <w:spacing w:val="-2"/>
                <w:w w:val="105"/>
                <w:sz w:val="12"/>
              </w:rPr>
              <w:t>through</w:t>
            </w:r>
          </w:p>
        </w:tc>
        <w:tc>
          <w:tcPr>
            <w:tcW w:w="887" w:type="dxa"/>
          </w:tcPr>
          <w:p>
            <w:pPr>
              <w:pStyle w:val="TableParagraph"/>
              <w:rPr>
                <w:rFonts w:ascii="Times New Roman"/>
                <w:sz w:val="12"/>
              </w:rPr>
            </w:pPr>
          </w:p>
        </w:tc>
        <w:tc>
          <w:tcPr>
            <w:tcW w:w="2777" w:type="dxa"/>
          </w:tcPr>
          <w:p>
            <w:pPr>
              <w:pStyle w:val="TableParagraph"/>
              <w:rPr>
                <w:rFonts w:ascii="Times New Roman"/>
                <w:sz w:val="12"/>
              </w:rPr>
            </w:pPr>
          </w:p>
        </w:tc>
        <w:tc>
          <w:tcPr>
            <w:tcW w:w="2669" w:type="dxa"/>
          </w:tcPr>
          <w:p>
            <w:pPr>
              <w:pStyle w:val="TableParagraph"/>
              <w:rPr>
                <w:rFonts w:ascii="Times New Roman"/>
                <w:sz w:val="12"/>
              </w:rPr>
            </w:pPr>
          </w:p>
        </w:tc>
        <w:tc>
          <w:tcPr>
            <w:tcW w:w="1150" w:type="dxa"/>
          </w:tcPr>
          <w:p>
            <w:pPr>
              <w:pStyle w:val="TableParagraph"/>
              <w:rPr>
                <w:rFonts w:ascii="Times New Roman"/>
                <w:sz w:val="12"/>
              </w:rPr>
            </w:pPr>
          </w:p>
        </w:tc>
        <w:tc>
          <w:tcPr>
            <w:tcW w:w="1126" w:type="dxa"/>
          </w:tcPr>
          <w:p>
            <w:pPr>
              <w:pStyle w:val="TableParagraph"/>
              <w:rPr>
                <w:rFonts w:ascii="Times New Roman"/>
                <w:sz w:val="12"/>
              </w:rPr>
            </w:pPr>
          </w:p>
        </w:tc>
        <w:tc>
          <w:tcPr>
            <w:tcW w:w="152" w:type="dxa"/>
          </w:tcPr>
          <w:p>
            <w:pPr>
              <w:pStyle w:val="TableParagraph"/>
              <w:rPr>
                <w:rFonts w:ascii="Times New Roman"/>
                <w:sz w:val="12"/>
              </w:rPr>
            </w:pPr>
          </w:p>
        </w:tc>
        <w:tc>
          <w:tcPr>
            <w:tcW w:w="1126" w:type="dxa"/>
          </w:tcPr>
          <w:p>
            <w:pPr>
              <w:pStyle w:val="TableParagraph"/>
              <w:rPr>
                <w:rFonts w:ascii="Times New Roman"/>
                <w:sz w:val="12"/>
              </w:rPr>
            </w:pPr>
          </w:p>
        </w:tc>
      </w:tr>
      <w:tr>
        <w:trPr>
          <w:trHeight w:val="184" w:hRule="atLeast"/>
        </w:trPr>
        <w:tc>
          <w:tcPr>
            <w:tcW w:w="4458" w:type="dxa"/>
          </w:tcPr>
          <w:p>
            <w:pPr>
              <w:pStyle w:val="TableParagraph"/>
              <w:spacing w:before="26"/>
              <w:ind w:left="371"/>
              <w:rPr>
                <w:sz w:val="12"/>
              </w:rPr>
            </w:pPr>
            <w:r>
              <w:rPr>
                <w:color w:val="231F20"/>
                <w:spacing w:val="-2"/>
                <w:w w:val="105"/>
                <w:sz w:val="12"/>
              </w:rPr>
              <w:t>Biomedical</w:t>
            </w:r>
            <w:r>
              <w:rPr>
                <w:color w:val="231F20"/>
                <w:spacing w:val="4"/>
                <w:w w:val="105"/>
                <w:sz w:val="12"/>
              </w:rPr>
              <w:t> </w:t>
            </w:r>
            <w:r>
              <w:rPr>
                <w:color w:val="231F20"/>
                <w:spacing w:val="-2"/>
                <w:w w:val="105"/>
                <w:sz w:val="12"/>
              </w:rPr>
              <w:t>Research</w:t>
            </w:r>
            <w:r>
              <w:rPr>
                <w:color w:val="231F20"/>
                <w:spacing w:val="4"/>
                <w:w w:val="105"/>
                <w:sz w:val="12"/>
              </w:rPr>
              <w:t> </w:t>
            </w:r>
            <w:r>
              <w:rPr>
                <w:color w:val="231F20"/>
                <w:spacing w:val="-2"/>
                <w:w w:val="105"/>
                <w:sz w:val="12"/>
              </w:rPr>
              <w:t>and</w:t>
            </w:r>
            <w:r>
              <w:rPr>
                <w:color w:val="231F20"/>
                <w:spacing w:val="3"/>
                <w:w w:val="105"/>
                <w:sz w:val="12"/>
              </w:rPr>
              <w:t> </w:t>
            </w:r>
            <w:r>
              <w:rPr>
                <w:color w:val="231F20"/>
                <w:spacing w:val="-2"/>
                <w:w w:val="105"/>
                <w:sz w:val="12"/>
              </w:rPr>
              <w:t>Research</w:t>
            </w:r>
            <w:r>
              <w:rPr>
                <w:color w:val="231F20"/>
                <w:spacing w:val="4"/>
                <w:w w:val="105"/>
                <w:sz w:val="12"/>
              </w:rPr>
              <w:t> </w:t>
            </w:r>
            <w:r>
              <w:rPr>
                <w:color w:val="231F20"/>
                <w:spacing w:val="-2"/>
                <w:w w:val="105"/>
                <w:sz w:val="12"/>
              </w:rPr>
              <w:t>Training</w:t>
            </w:r>
          </w:p>
        </w:tc>
        <w:tc>
          <w:tcPr>
            <w:tcW w:w="887" w:type="dxa"/>
          </w:tcPr>
          <w:p>
            <w:pPr>
              <w:pStyle w:val="TableParagraph"/>
              <w:spacing w:line="132" w:lineRule="exact" w:before="32"/>
              <w:ind w:right="210"/>
              <w:jc w:val="right"/>
              <w:rPr>
                <w:sz w:val="12"/>
              </w:rPr>
            </w:pPr>
            <w:r>
              <w:rPr>
                <w:color w:val="231F20"/>
                <w:spacing w:val="-4"/>
                <w:w w:val="105"/>
                <w:sz w:val="12"/>
              </w:rPr>
              <w:t>M68F</w:t>
            </w:r>
          </w:p>
        </w:tc>
        <w:tc>
          <w:tcPr>
            <w:tcW w:w="2777" w:type="dxa"/>
          </w:tcPr>
          <w:p>
            <w:pPr>
              <w:pStyle w:val="TableParagraph"/>
              <w:spacing w:before="26"/>
              <w:ind w:left="144"/>
              <w:rPr>
                <w:sz w:val="12"/>
              </w:rPr>
            </w:pPr>
            <w:r>
              <w:rPr>
                <w:color w:val="231F20"/>
                <w:w w:val="105"/>
                <w:sz w:val="12"/>
              </w:rPr>
              <w:t>Regents</w:t>
            </w:r>
            <w:r>
              <w:rPr>
                <w:color w:val="231F20"/>
                <w:spacing w:val="-8"/>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8"/>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7"/>
                <w:w w:val="105"/>
                <w:sz w:val="12"/>
              </w:rPr>
              <w:t> </w:t>
            </w:r>
            <w:r>
              <w:rPr>
                <w:color w:val="231F20"/>
                <w:spacing w:val="-2"/>
                <w:w w:val="105"/>
                <w:sz w:val="12"/>
              </w:rPr>
              <w:t>University</w:t>
            </w:r>
          </w:p>
        </w:tc>
        <w:tc>
          <w:tcPr>
            <w:tcW w:w="2669" w:type="dxa"/>
          </w:tcPr>
          <w:p>
            <w:pPr>
              <w:pStyle w:val="TableParagraph"/>
              <w:spacing w:before="26"/>
              <w:ind w:left="405"/>
              <w:rPr>
                <w:sz w:val="12"/>
              </w:rPr>
            </w:pPr>
            <w:r>
              <w:rPr>
                <w:color w:val="231F20"/>
                <w:spacing w:val="-2"/>
                <w:w w:val="105"/>
                <w:sz w:val="12"/>
              </w:rPr>
              <w:t>Q02068F</w:t>
            </w:r>
          </w:p>
        </w:tc>
        <w:tc>
          <w:tcPr>
            <w:tcW w:w="1150" w:type="dxa"/>
          </w:tcPr>
          <w:p>
            <w:pPr>
              <w:pStyle w:val="TableParagraph"/>
              <w:spacing w:line="132" w:lineRule="exact" w:before="32"/>
              <w:ind w:left="372" w:right="363"/>
              <w:jc w:val="center"/>
              <w:rPr>
                <w:sz w:val="12"/>
              </w:rPr>
            </w:pPr>
            <w:r>
              <w:rPr>
                <w:color w:val="231F20"/>
                <w:spacing w:val="-2"/>
                <w:w w:val="105"/>
                <w:sz w:val="12"/>
              </w:rPr>
              <w:t>93.859</w:t>
            </w:r>
          </w:p>
        </w:tc>
        <w:tc>
          <w:tcPr>
            <w:tcW w:w="1126" w:type="dxa"/>
          </w:tcPr>
          <w:p>
            <w:pPr>
              <w:pStyle w:val="TableParagraph"/>
              <w:spacing w:line="132" w:lineRule="exact" w:before="32"/>
              <w:ind w:right="63"/>
              <w:jc w:val="right"/>
              <w:rPr>
                <w:sz w:val="12"/>
              </w:rPr>
            </w:pPr>
            <w:r>
              <w:rPr>
                <w:color w:val="231F20"/>
                <w:w w:val="104"/>
                <w:sz w:val="12"/>
              </w:rPr>
              <w:t>-</w:t>
            </w:r>
          </w:p>
        </w:tc>
        <w:tc>
          <w:tcPr>
            <w:tcW w:w="152" w:type="dxa"/>
          </w:tcPr>
          <w:p>
            <w:pPr>
              <w:pStyle w:val="TableParagraph"/>
              <w:rPr>
                <w:rFonts w:ascii="Times New Roman"/>
                <w:sz w:val="12"/>
              </w:rPr>
            </w:pPr>
          </w:p>
        </w:tc>
        <w:tc>
          <w:tcPr>
            <w:tcW w:w="1126" w:type="dxa"/>
          </w:tcPr>
          <w:p>
            <w:pPr>
              <w:pStyle w:val="TableParagraph"/>
              <w:spacing w:line="132" w:lineRule="exact" w:before="32"/>
              <w:ind w:right="60"/>
              <w:jc w:val="right"/>
              <w:rPr>
                <w:sz w:val="12"/>
              </w:rPr>
            </w:pPr>
            <w:r>
              <w:rPr>
                <w:color w:val="231F20"/>
                <w:spacing w:val="-2"/>
                <w:w w:val="105"/>
                <w:sz w:val="12"/>
              </w:rPr>
              <w:t>119,895</w:t>
            </w:r>
          </w:p>
        </w:tc>
      </w:tr>
      <w:tr>
        <w:trPr>
          <w:trHeight w:val="171" w:hRule="atLeast"/>
        </w:trPr>
        <w:tc>
          <w:tcPr>
            <w:tcW w:w="4458" w:type="dxa"/>
          </w:tcPr>
          <w:p>
            <w:pPr>
              <w:pStyle w:val="TableParagraph"/>
              <w:spacing w:line="137" w:lineRule="exact" w:before="14"/>
              <w:ind w:left="371"/>
              <w:rPr>
                <w:sz w:val="12"/>
              </w:rPr>
            </w:pPr>
            <w:r>
              <w:rPr>
                <w:color w:val="231F20"/>
                <w:spacing w:val="-2"/>
                <w:w w:val="105"/>
                <w:sz w:val="12"/>
              </w:rPr>
              <w:t>Biomedical</w:t>
            </w:r>
            <w:r>
              <w:rPr>
                <w:color w:val="231F20"/>
                <w:spacing w:val="4"/>
                <w:w w:val="105"/>
                <w:sz w:val="12"/>
              </w:rPr>
              <w:t> </w:t>
            </w:r>
            <w:r>
              <w:rPr>
                <w:color w:val="231F20"/>
                <w:spacing w:val="-2"/>
                <w:w w:val="105"/>
                <w:sz w:val="12"/>
              </w:rPr>
              <w:t>Research</w:t>
            </w:r>
            <w:r>
              <w:rPr>
                <w:color w:val="231F20"/>
                <w:spacing w:val="4"/>
                <w:w w:val="105"/>
                <w:sz w:val="12"/>
              </w:rPr>
              <w:t> </w:t>
            </w:r>
            <w:r>
              <w:rPr>
                <w:color w:val="231F20"/>
                <w:spacing w:val="-2"/>
                <w:w w:val="105"/>
                <w:sz w:val="12"/>
              </w:rPr>
              <w:t>and</w:t>
            </w:r>
            <w:r>
              <w:rPr>
                <w:color w:val="231F20"/>
                <w:spacing w:val="3"/>
                <w:w w:val="105"/>
                <w:sz w:val="12"/>
              </w:rPr>
              <w:t> </w:t>
            </w:r>
            <w:r>
              <w:rPr>
                <w:color w:val="231F20"/>
                <w:spacing w:val="-2"/>
                <w:w w:val="105"/>
                <w:sz w:val="12"/>
              </w:rPr>
              <w:t>Research</w:t>
            </w:r>
            <w:r>
              <w:rPr>
                <w:color w:val="231F20"/>
                <w:spacing w:val="4"/>
                <w:w w:val="105"/>
                <w:sz w:val="12"/>
              </w:rPr>
              <w:t> </w:t>
            </w:r>
            <w:r>
              <w:rPr>
                <w:color w:val="231F20"/>
                <w:spacing w:val="-2"/>
                <w:w w:val="105"/>
                <w:sz w:val="12"/>
              </w:rPr>
              <w:t>Training</w:t>
            </w:r>
          </w:p>
        </w:tc>
        <w:tc>
          <w:tcPr>
            <w:tcW w:w="887" w:type="dxa"/>
          </w:tcPr>
          <w:p>
            <w:pPr>
              <w:pStyle w:val="TableParagraph"/>
              <w:spacing w:line="131" w:lineRule="exact" w:before="20"/>
              <w:ind w:right="200"/>
              <w:jc w:val="right"/>
              <w:rPr>
                <w:sz w:val="12"/>
              </w:rPr>
            </w:pPr>
            <w:r>
              <w:rPr>
                <w:color w:val="231F20"/>
                <w:spacing w:val="-4"/>
                <w:w w:val="105"/>
                <w:sz w:val="12"/>
              </w:rPr>
              <w:t>M68G</w:t>
            </w:r>
          </w:p>
        </w:tc>
        <w:tc>
          <w:tcPr>
            <w:tcW w:w="2777" w:type="dxa"/>
          </w:tcPr>
          <w:p>
            <w:pPr>
              <w:pStyle w:val="TableParagraph"/>
              <w:spacing w:line="137" w:lineRule="exact" w:before="14"/>
              <w:ind w:left="144"/>
              <w:rPr>
                <w:sz w:val="12"/>
              </w:rPr>
            </w:pPr>
            <w:r>
              <w:rPr>
                <w:color w:val="231F20"/>
                <w:w w:val="105"/>
                <w:sz w:val="12"/>
              </w:rPr>
              <w:t>Regents</w:t>
            </w:r>
            <w:r>
              <w:rPr>
                <w:color w:val="231F20"/>
                <w:spacing w:val="-8"/>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8"/>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7"/>
                <w:w w:val="105"/>
                <w:sz w:val="12"/>
              </w:rPr>
              <w:t> </w:t>
            </w:r>
            <w:r>
              <w:rPr>
                <w:color w:val="231F20"/>
                <w:spacing w:val="-2"/>
                <w:w w:val="105"/>
                <w:sz w:val="12"/>
              </w:rPr>
              <w:t>University</w:t>
            </w:r>
          </w:p>
        </w:tc>
        <w:tc>
          <w:tcPr>
            <w:tcW w:w="2669" w:type="dxa"/>
          </w:tcPr>
          <w:p>
            <w:pPr>
              <w:pStyle w:val="TableParagraph"/>
              <w:spacing w:line="137" w:lineRule="exact" w:before="14"/>
              <w:ind w:left="405"/>
              <w:rPr>
                <w:sz w:val="12"/>
              </w:rPr>
            </w:pPr>
            <w:r>
              <w:rPr>
                <w:color w:val="231F20"/>
                <w:spacing w:val="-2"/>
                <w:w w:val="105"/>
                <w:sz w:val="12"/>
              </w:rPr>
              <w:t>Q02068G</w:t>
            </w:r>
          </w:p>
        </w:tc>
        <w:tc>
          <w:tcPr>
            <w:tcW w:w="1150" w:type="dxa"/>
          </w:tcPr>
          <w:p>
            <w:pPr>
              <w:pStyle w:val="TableParagraph"/>
              <w:spacing w:line="131" w:lineRule="exact" w:before="20"/>
              <w:ind w:left="372" w:right="362"/>
              <w:jc w:val="center"/>
              <w:rPr>
                <w:sz w:val="12"/>
              </w:rPr>
            </w:pPr>
            <w:r>
              <w:rPr>
                <w:color w:val="231F20"/>
                <w:spacing w:val="-2"/>
                <w:w w:val="105"/>
                <w:sz w:val="12"/>
              </w:rPr>
              <w:t>93.859</w:t>
            </w:r>
          </w:p>
        </w:tc>
        <w:tc>
          <w:tcPr>
            <w:tcW w:w="1126" w:type="dxa"/>
          </w:tcPr>
          <w:p>
            <w:pPr>
              <w:pStyle w:val="TableParagraph"/>
              <w:spacing w:line="131" w:lineRule="exact" w:before="20"/>
              <w:ind w:right="62"/>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1" w:lineRule="exact" w:before="20"/>
              <w:ind w:right="60"/>
              <w:jc w:val="right"/>
              <w:rPr>
                <w:sz w:val="12"/>
              </w:rPr>
            </w:pPr>
            <w:r>
              <w:rPr>
                <w:color w:val="231F20"/>
                <w:spacing w:val="-2"/>
                <w:w w:val="105"/>
                <w:sz w:val="12"/>
              </w:rPr>
              <w:t>26,178</w:t>
            </w:r>
          </w:p>
        </w:tc>
      </w:tr>
      <w:tr>
        <w:trPr>
          <w:trHeight w:val="171" w:hRule="atLeast"/>
        </w:trPr>
        <w:tc>
          <w:tcPr>
            <w:tcW w:w="4458" w:type="dxa"/>
          </w:tcPr>
          <w:p>
            <w:pPr>
              <w:pStyle w:val="TableParagraph"/>
              <w:spacing w:before="13"/>
              <w:ind w:left="371"/>
              <w:rPr>
                <w:sz w:val="12"/>
              </w:rPr>
            </w:pPr>
            <w:r>
              <w:rPr>
                <w:color w:val="231F20"/>
                <w:spacing w:val="-2"/>
                <w:w w:val="105"/>
                <w:sz w:val="12"/>
              </w:rPr>
              <w:t>Biomedical</w:t>
            </w:r>
            <w:r>
              <w:rPr>
                <w:color w:val="231F20"/>
                <w:spacing w:val="4"/>
                <w:w w:val="105"/>
                <w:sz w:val="12"/>
              </w:rPr>
              <w:t> </w:t>
            </w:r>
            <w:r>
              <w:rPr>
                <w:color w:val="231F20"/>
                <w:spacing w:val="-2"/>
                <w:w w:val="105"/>
                <w:sz w:val="12"/>
              </w:rPr>
              <w:t>Research</w:t>
            </w:r>
            <w:r>
              <w:rPr>
                <w:color w:val="231F20"/>
                <w:spacing w:val="4"/>
                <w:w w:val="105"/>
                <w:sz w:val="12"/>
              </w:rPr>
              <w:t> </w:t>
            </w:r>
            <w:r>
              <w:rPr>
                <w:color w:val="231F20"/>
                <w:spacing w:val="-2"/>
                <w:w w:val="105"/>
                <w:sz w:val="12"/>
              </w:rPr>
              <w:t>and</w:t>
            </w:r>
            <w:r>
              <w:rPr>
                <w:color w:val="231F20"/>
                <w:spacing w:val="3"/>
                <w:w w:val="105"/>
                <w:sz w:val="12"/>
              </w:rPr>
              <w:t> </w:t>
            </w:r>
            <w:r>
              <w:rPr>
                <w:color w:val="231F20"/>
                <w:spacing w:val="-2"/>
                <w:w w:val="105"/>
                <w:sz w:val="12"/>
              </w:rPr>
              <w:t>Research</w:t>
            </w:r>
            <w:r>
              <w:rPr>
                <w:color w:val="231F20"/>
                <w:spacing w:val="4"/>
                <w:w w:val="105"/>
                <w:sz w:val="12"/>
              </w:rPr>
              <w:t> </w:t>
            </w:r>
            <w:r>
              <w:rPr>
                <w:color w:val="231F20"/>
                <w:spacing w:val="-2"/>
                <w:w w:val="105"/>
                <w:sz w:val="12"/>
              </w:rPr>
              <w:t>Training</w:t>
            </w:r>
          </w:p>
        </w:tc>
        <w:tc>
          <w:tcPr>
            <w:tcW w:w="887" w:type="dxa"/>
          </w:tcPr>
          <w:p>
            <w:pPr>
              <w:pStyle w:val="TableParagraph"/>
              <w:spacing w:line="132" w:lineRule="exact" w:before="19"/>
              <w:ind w:right="203"/>
              <w:jc w:val="right"/>
              <w:rPr>
                <w:sz w:val="12"/>
              </w:rPr>
            </w:pPr>
            <w:r>
              <w:rPr>
                <w:color w:val="231F20"/>
                <w:spacing w:val="-4"/>
                <w:w w:val="105"/>
                <w:sz w:val="12"/>
              </w:rPr>
              <w:t>M68H</w:t>
            </w:r>
          </w:p>
        </w:tc>
        <w:tc>
          <w:tcPr>
            <w:tcW w:w="2777" w:type="dxa"/>
          </w:tcPr>
          <w:p>
            <w:pPr>
              <w:pStyle w:val="TableParagraph"/>
              <w:spacing w:before="13"/>
              <w:ind w:left="144"/>
              <w:rPr>
                <w:sz w:val="12"/>
              </w:rPr>
            </w:pPr>
            <w:r>
              <w:rPr>
                <w:color w:val="231F20"/>
                <w:w w:val="105"/>
                <w:sz w:val="12"/>
              </w:rPr>
              <w:t>Regents</w:t>
            </w:r>
            <w:r>
              <w:rPr>
                <w:color w:val="231F20"/>
                <w:spacing w:val="-8"/>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8"/>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7"/>
                <w:w w:val="105"/>
                <w:sz w:val="12"/>
              </w:rPr>
              <w:t> </w:t>
            </w:r>
            <w:r>
              <w:rPr>
                <w:color w:val="231F20"/>
                <w:spacing w:val="-2"/>
                <w:w w:val="105"/>
                <w:sz w:val="12"/>
              </w:rPr>
              <w:t>University</w:t>
            </w:r>
          </w:p>
        </w:tc>
        <w:tc>
          <w:tcPr>
            <w:tcW w:w="2669" w:type="dxa"/>
          </w:tcPr>
          <w:p>
            <w:pPr>
              <w:pStyle w:val="TableParagraph"/>
              <w:spacing w:before="13"/>
              <w:ind w:left="405"/>
              <w:rPr>
                <w:sz w:val="12"/>
              </w:rPr>
            </w:pPr>
            <w:r>
              <w:rPr>
                <w:color w:val="231F20"/>
                <w:spacing w:val="-2"/>
                <w:w w:val="105"/>
                <w:sz w:val="12"/>
              </w:rPr>
              <w:t>Q02068I</w:t>
            </w:r>
          </w:p>
        </w:tc>
        <w:tc>
          <w:tcPr>
            <w:tcW w:w="1150" w:type="dxa"/>
          </w:tcPr>
          <w:p>
            <w:pPr>
              <w:pStyle w:val="TableParagraph"/>
              <w:spacing w:line="132" w:lineRule="exact" w:before="19"/>
              <w:ind w:left="372" w:right="362"/>
              <w:jc w:val="center"/>
              <w:rPr>
                <w:sz w:val="12"/>
              </w:rPr>
            </w:pPr>
            <w:r>
              <w:rPr>
                <w:color w:val="231F20"/>
                <w:spacing w:val="-2"/>
                <w:w w:val="105"/>
                <w:sz w:val="12"/>
              </w:rPr>
              <w:t>93.859</w:t>
            </w:r>
          </w:p>
        </w:tc>
        <w:tc>
          <w:tcPr>
            <w:tcW w:w="1126" w:type="dxa"/>
          </w:tcPr>
          <w:p>
            <w:pPr>
              <w:pStyle w:val="TableParagraph"/>
              <w:spacing w:line="132" w:lineRule="exact" w:before="19"/>
              <w:ind w:right="62"/>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2" w:lineRule="exact" w:before="19"/>
              <w:ind w:right="60"/>
              <w:jc w:val="right"/>
              <w:rPr>
                <w:sz w:val="12"/>
              </w:rPr>
            </w:pPr>
            <w:r>
              <w:rPr>
                <w:color w:val="231F20"/>
                <w:spacing w:val="-2"/>
                <w:w w:val="105"/>
                <w:sz w:val="12"/>
              </w:rPr>
              <w:t>34,456</w:t>
            </w:r>
          </w:p>
        </w:tc>
      </w:tr>
      <w:tr>
        <w:trPr>
          <w:trHeight w:val="171" w:hRule="atLeast"/>
        </w:trPr>
        <w:tc>
          <w:tcPr>
            <w:tcW w:w="4458" w:type="dxa"/>
          </w:tcPr>
          <w:p>
            <w:pPr>
              <w:pStyle w:val="TableParagraph"/>
              <w:spacing w:before="14"/>
              <w:ind w:left="371"/>
              <w:rPr>
                <w:sz w:val="12"/>
              </w:rPr>
            </w:pPr>
            <w:r>
              <w:rPr>
                <w:color w:val="231F20"/>
                <w:spacing w:val="-2"/>
                <w:w w:val="105"/>
                <w:sz w:val="12"/>
              </w:rPr>
              <w:t>Biomedical</w:t>
            </w:r>
            <w:r>
              <w:rPr>
                <w:color w:val="231F20"/>
                <w:spacing w:val="4"/>
                <w:w w:val="105"/>
                <w:sz w:val="12"/>
              </w:rPr>
              <w:t> </w:t>
            </w:r>
            <w:r>
              <w:rPr>
                <w:color w:val="231F20"/>
                <w:spacing w:val="-2"/>
                <w:w w:val="105"/>
                <w:sz w:val="12"/>
              </w:rPr>
              <w:t>Research</w:t>
            </w:r>
            <w:r>
              <w:rPr>
                <w:color w:val="231F20"/>
                <w:spacing w:val="4"/>
                <w:w w:val="105"/>
                <w:sz w:val="12"/>
              </w:rPr>
              <w:t> </w:t>
            </w:r>
            <w:r>
              <w:rPr>
                <w:color w:val="231F20"/>
                <w:spacing w:val="-2"/>
                <w:w w:val="105"/>
                <w:sz w:val="12"/>
              </w:rPr>
              <w:t>and</w:t>
            </w:r>
            <w:r>
              <w:rPr>
                <w:color w:val="231F20"/>
                <w:spacing w:val="3"/>
                <w:w w:val="105"/>
                <w:sz w:val="12"/>
              </w:rPr>
              <w:t> </w:t>
            </w:r>
            <w:r>
              <w:rPr>
                <w:color w:val="231F20"/>
                <w:spacing w:val="-2"/>
                <w:w w:val="105"/>
                <w:sz w:val="12"/>
              </w:rPr>
              <w:t>Research</w:t>
            </w:r>
            <w:r>
              <w:rPr>
                <w:color w:val="231F20"/>
                <w:spacing w:val="4"/>
                <w:w w:val="105"/>
                <w:sz w:val="12"/>
              </w:rPr>
              <w:t> </w:t>
            </w:r>
            <w:r>
              <w:rPr>
                <w:color w:val="231F20"/>
                <w:spacing w:val="-2"/>
                <w:w w:val="105"/>
                <w:sz w:val="12"/>
              </w:rPr>
              <w:t>Training</w:t>
            </w:r>
          </w:p>
        </w:tc>
        <w:tc>
          <w:tcPr>
            <w:tcW w:w="887" w:type="dxa"/>
          </w:tcPr>
          <w:p>
            <w:pPr>
              <w:pStyle w:val="TableParagraph"/>
              <w:spacing w:line="132" w:lineRule="exact" w:before="20"/>
              <w:ind w:right="206"/>
              <w:jc w:val="right"/>
              <w:rPr>
                <w:sz w:val="12"/>
              </w:rPr>
            </w:pPr>
            <w:r>
              <w:rPr>
                <w:color w:val="231F20"/>
                <w:spacing w:val="-4"/>
                <w:w w:val="105"/>
                <w:sz w:val="12"/>
              </w:rPr>
              <w:t>M68K</w:t>
            </w:r>
          </w:p>
        </w:tc>
        <w:tc>
          <w:tcPr>
            <w:tcW w:w="2777" w:type="dxa"/>
          </w:tcPr>
          <w:p>
            <w:pPr>
              <w:pStyle w:val="TableParagraph"/>
              <w:spacing w:before="14"/>
              <w:ind w:left="144"/>
              <w:rPr>
                <w:sz w:val="12"/>
              </w:rPr>
            </w:pPr>
            <w:r>
              <w:rPr>
                <w:color w:val="231F20"/>
                <w:w w:val="105"/>
                <w:sz w:val="12"/>
              </w:rPr>
              <w:t>Regents</w:t>
            </w:r>
            <w:r>
              <w:rPr>
                <w:color w:val="231F20"/>
                <w:spacing w:val="-8"/>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8"/>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7"/>
                <w:w w:val="105"/>
                <w:sz w:val="12"/>
              </w:rPr>
              <w:t> </w:t>
            </w:r>
            <w:r>
              <w:rPr>
                <w:color w:val="231F20"/>
                <w:spacing w:val="-2"/>
                <w:w w:val="105"/>
                <w:sz w:val="12"/>
              </w:rPr>
              <w:t>University</w:t>
            </w:r>
          </w:p>
        </w:tc>
        <w:tc>
          <w:tcPr>
            <w:tcW w:w="2669" w:type="dxa"/>
          </w:tcPr>
          <w:p>
            <w:pPr>
              <w:pStyle w:val="TableParagraph"/>
              <w:spacing w:before="14"/>
              <w:ind w:left="405"/>
              <w:rPr>
                <w:sz w:val="12"/>
              </w:rPr>
            </w:pPr>
            <w:r>
              <w:rPr>
                <w:color w:val="231F20"/>
                <w:spacing w:val="-2"/>
                <w:w w:val="105"/>
                <w:sz w:val="12"/>
              </w:rPr>
              <w:t>Q02068K</w:t>
            </w:r>
          </w:p>
        </w:tc>
        <w:tc>
          <w:tcPr>
            <w:tcW w:w="1150" w:type="dxa"/>
          </w:tcPr>
          <w:p>
            <w:pPr>
              <w:pStyle w:val="TableParagraph"/>
              <w:spacing w:line="132" w:lineRule="exact" w:before="20"/>
              <w:ind w:left="372" w:right="362"/>
              <w:jc w:val="center"/>
              <w:rPr>
                <w:sz w:val="12"/>
              </w:rPr>
            </w:pPr>
            <w:r>
              <w:rPr>
                <w:color w:val="231F20"/>
                <w:spacing w:val="-2"/>
                <w:w w:val="105"/>
                <w:sz w:val="12"/>
              </w:rPr>
              <w:t>93.859</w:t>
            </w:r>
          </w:p>
        </w:tc>
        <w:tc>
          <w:tcPr>
            <w:tcW w:w="1126" w:type="dxa"/>
          </w:tcPr>
          <w:p>
            <w:pPr>
              <w:pStyle w:val="TableParagraph"/>
              <w:spacing w:line="132" w:lineRule="exact" w:before="20"/>
              <w:ind w:right="62"/>
              <w:jc w:val="right"/>
              <w:rPr>
                <w:sz w:val="12"/>
              </w:rPr>
            </w:pPr>
            <w:r>
              <w:rPr>
                <w:color w:val="231F20"/>
                <w:w w:val="104"/>
                <w:sz w:val="12"/>
              </w:rPr>
              <w:t>-</w:t>
            </w:r>
          </w:p>
        </w:tc>
        <w:tc>
          <w:tcPr>
            <w:tcW w:w="152" w:type="dxa"/>
          </w:tcPr>
          <w:p>
            <w:pPr>
              <w:pStyle w:val="TableParagraph"/>
              <w:rPr>
                <w:rFonts w:ascii="Times New Roman"/>
                <w:sz w:val="10"/>
              </w:rPr>
            </w:pPr>
          </w:p>
        </w:tc>
        <w:tc>
          <w:tcPr>
            <w:tcW w:w="1126" w:type="dxa"/>
          </w:tcPr>
          <w:p>
            <w:pPr>
              <w:pStyle w:val="TableParagraph"/>
              <w:spacing w:line="132" w:lineRule="exact" w:before="20"/>
              <w:ind w:right="60"/>
              <w:jc w:val="right"/>
              <w:rPr>
                <w:sz w:val="12"/>
              </w:rPr>
            </w:pPr>
            <w:r>
              <w:rPr>
                <w:color w:val="231F20"/>
                <w:spacing w:val="-2"/>
                <w:w w:val="105"/>
                <w:sz w:val="12"/>
              </w:rPr>
              <w:t>13,960</w:t>
            </w:r>
          </w:p>
        </w:tc>
      </w:tr>
      <w:tr>
        <w:trPr>
          <w:trHeight w:val="162" w:hRule="atLeast"/>
        </w:trPr>
        <w:tc>
          <w:tcPr>
            <w:tcW w:w="4458" w:type="dxa"/>
          </w:tcPr>
          <w:p>
            <w:pPr>
              <w:pStyle w:val="TableParagraph"/>
              <w:spacing w:line="129" w:lineRule="exact" w:before="14"/>
              <w:ind w:left="371"/>
              <w:rPr>
                <w:sz w:val="12"/>
              </w:rPr>
            </w:pPr>
            <w:r>
              <w:rPr>
                <w:color w:val="231F20"/>
                <w:spacing w:val="-2"/>
                <w:w w:val="105"/>
                <w:sz w:val="12"/>
              </w:rPr>
              <w:t>Biomedical</w:t>
            </w:r>
            <w:r>
              <w:rPr>
                <w:color w:val="231F20"/>
                <w:spacing w:val="4"/>
                <w:w w:val="105"/>
                <w:sz w:val="12"/>
              </w:rPr>
              <w:t> </w:t>
            </w:r>
            <w:r>
              <w:rPr>
                <w:color w:val="231F20"/>
                <w:spacing w:val="-2"/>
                <w:w w:val="105"/>
                <w:sz w:val="12"/>
              </w:rPr>
              <w:t>Research</w:t>
            </w:r>
            <w:r>
              <w:rPr>
                <w:color w:val="231F20"/>
                <w:spacing w:val="4"/>
                <w:w w:val="105"/>
                <w:sz w:val="12"/>
              </w:rPr>
              <w:t> </w:t>
            </w:r>
            <w:r>
              <w:rPr>
                <w:color w:val="231F20"/>
                <w:spacing w:val="-2"/>
                <w:w w:val="105"/>
                <w:sz w:val="12"/>
              </w:rPr>
              <w:t>and</w:t>
            </w:r>
            <w:r>
              <w:rPr>
                <w:color w:val="231F20"/>
                <w:spacing w:val="3"/>
                <w:w w:val="105"/>
                <w:sz w:val="12"/>
              </w:rPr>
              <w:t> </w:t>
            </w:r>
            <w:r>
              <w:rPr>
                <w:color w:val="231F20"/>
                <w:spacing w:val="-2"/>
                <w:w w:val="105"/>
                <w:sz w:val="12"/>
              </w:rPr>
              <w:t>Research</w:t>
            </w:r>
            <w:r>
              <w:rPr>
                <w:color w:val="231F20"/>
                <w:spacing w:val="4"/>
                <w:w w:val="105"/>
                <w:sz w:val="12"/>
              </w:rPr>
              <w:t> </w:t>
            </w:r>
            <w:r>
              <w:rPr>
                <w:color w:val="231F20"/>
                <w:spacing w:val="-2"/>
                <w:w w:val="105"/>
                <w:sz w:val="12"/>
              </w:rPr>
              <w:t>Training</w:t>
            </w:r>
          </w:p>
        </w:tc>
        <w:tc>
          <w:tcPr>
            <w:tcW w:w="887" w:type="dxa"/>
          </w:tcPr>
          <w:p>
            <w:pPr>
              <w:pStyle w:val="TableParagraph"/>
              <w:spacing w:line="124" w:lineRule="exact" w:before="18"/>
              <w:ind w:right="216"/>
              <w:jc w:val="right"/>
              <w:rPr>
                <w:sz w:val="12"/>
              </w:rPr>
            </w:pPr>
            <w:r>
              <w:rPr>
                <w:color w:val="231F20"/>
                <w:spacing w:val="-4"/>
                <w:w w:val="105"/>
                <w:sz w:val="12"/>
              </w:rPr>
              <w:t>M68J</w:t>
            </w:r>
          </w:p>
        </w:tc>
        <w:tc>
          <w:tcPr>
            <w:tcW w:w="2777" w:type="dxa"/>
          </w:tcPr>
          <w:p>
            <w:pPr>
              <w:pStyle w:val="TableParagraph"/>
              <w:spacing w:line="129" w:lineRule="exact" w:before="14"/>
              <w:ind w:left="144"/>
              <w:rPr>
                <w:sz w:val="12"/>
              </w:rPr>
            </w:pPr>
            <w:r>
              <w:rPr>
                <w:color w:val="231F20"/>
                <w:w w:val="105"/>
                <w:sz w:val="12"/>
              </w:rPr>
              <w:t>Regents</w:t>
            </w:r>
            <w:r>
              <w:rPr>
                <w:color w:val="231F20"/>
                <w:spacing w:val="-8"/>
                <w:w w:val="105"/>
                <w:sz w:val="12"/>
              </w:rPr>
              <w:t> </w:t>
            </w:r>
            <w:r>
              <w:rPr>
                <w:color w:val="231F20"/>
                <w:w w:val="105"/>
                <w:sz w:val="12"/>
              </w:rPr>
              <w:t>of</w:t>
            </w:r>
            <w:r>
              <w:rPr>
                <w:color w:val="231F20"/>
                <w:spacing w:val="-7"/>
                <w:w w:val="105"/>
                <w:sz w:val="12"/>
              </w:rPr>
              <w:t> </w:t>
            </w:r>
            <w:r>
              <w:rPr>
                <w:color w:val="231F20"/>
                <w:w w:val="105"/>
                <w:sz w:val="12"/>
              </w:rPr>
              <w:t>New</w:t>
            </w:r>
            <w:r>
              <w:rPr>
                <w:color w:val="231F20"/>
                <w:spacing w:val="-8"/>
                <w:w w:val="105"/>
                <w:sz w:val="12"/>
              </w:rPr>
              <w:t> </w:t>
            </w:r>
            <w:r>
              <w:rPr>
                <w:color w:val="231F20"/>
                <w:w w:val="105"/>
                <w:sz w:val="12"/>
              </w:rPr>
              <w:t>Mexico</w:t>
            </w:r>
            <w:r>
              <w:rPr>
                <w:color w:val="231F20"/>
                <w:spacing w:val="-7"/>
                <w:w w:val="105"/>
                <w:sz w:val="12"/>
              </w:rPr>
              <w:t> </w:t>
            </w:r>
            <w:r>
              <w:rPr>
                <w:color w:val="231F20"/>
                <w:w w:val="105"/>
                <w:sz w:val="12"/>
              </w:rPr>
              <w:t>State</w:t>
            </w:r>
            <w:r>
              <w:rPr>
                <w:color w:val="231F20"/>
                <w:spacing w:val="-7"/>
                <w:w w:val="105"/>
                <w:sz w:val="12"/>
              </w:rPr>
              <w:t> </w:t>
            </w:r>
            <w:r>
              <w:rPr>
                <w:color w:val="231F20"/>
                <w:spacing w:val="-2"/>
                <w:w w:val="105"/>
                <w:sz w:val="12"/>
              </w:rPr>
              <w:t>University</w:t>
            </w:r>
          </w:p>
        </w:tc>
        <w:tc>
          <w:tcPr>
            <w:tcW w:w="2669" w:type="dxa"/>
          </w:tcPr>
          <w:p>
            <w:pPr>
              <w:pStyle w:val="TableParagraph"/>
              <w:spacing w:line="129" w:lineRule="exact" w:before="14"/>
              <w:ind w:left="405"/>
              <w:rPr>
                <w:sz w:val="12"/>
              </w:rPr>
            </w:pPr>
            <w:r>
              <w:rPr>
                <w:color w:val="231F20"/>
                <w:spacing w:val="-2"/>
                <w:w w:val="105"/>
                <w:sz w:val="12"/>
              </w:rPr>
              <w:t>Q02068J</w:t>
            </w:r>
          </w:p>
        </w:tc>
        <w:tc>
          <w:tcPr>
            <w:tcW w:w="1150" w:type="dxa"/>
          </w:tcPr>
          <w:p>
            <w:pPr>
              <w:pStyle w:val="TableParagraph"/>
              <w:spacing w:line="124" w:lineRule="exact" w:before="18"/>
              <w:ind w:left="372" w:right="362"/>
              <w:jc w:val="center"/>
              <w:rPr>
                <w:sz w:val="12"/>
              </w:rPr>
            </w:pPr>
            <w:r>
              <w:rPr>
                <w:color w:val="231F20"/>
                <w:spacing w:val="-2"/>
                <w:w w:val="105"/>
                <w:sz w:val="12"/>
              </w:rPr>
              <w:t>93.859</w:t>
            </w:r>
          </w:p>
        </w:tc>
        <w:tc>
          <w:tcPr>
            <w:tcW w:w="1126" w:type="dxa"/>
            <w:tcBorders>
              <w:bottom w:val="single" w:sz="8" w:space="0" w:color="231F20"/>
            </w:tcBorders>
          </w:tcPr>
          <w:p>
            <w:pPr>
              <w:pStyle w:val="TableParagraph"/>
              <w:spacing w:line="124" w:lineRule="exact" w:before="18"/>
              <w:ind w:right="62"/>
              <w:jc w:val="right"/>
              <w:rPr>
                <w:sz w:val="12"/>
              </w:rPr>
            </w:pPr>
            <w:r>
              <w:rPr>
                <w:color w:val="231F20"/>
                <w:w w:val="104"/>
                <w:sz w:val="12"/>
              </w:rPr>
              <w:t>-</w:t>
            </w:r>
          </w:p>
        </w:tc>
        <w:tc>
          <w:tcPr>
            <w:tcW w:w="152" w:type="dxa"/>
          </w:tcPr>
          <w:p>
            <w:pPr>
              <w:pStyle w:val="TableParagraph"/>
              <w:rPr>
                <w:rFonts w:ascii="Times New Roman"/>
                <w:sz w:val="10"/>
              </w:rPr>
            </w:pPr>
          </w:p>
        </w:tc>
        <w:tc>
          <w:tcPr>
            <w:tcW w:w="1126" w:type="dxa"/>
            <w:tcBorders>
              <w:bottom w:val="single" w:sz="8" w:space="0" w:color="231F20"/>
            </w:tcBorders>
          </w:tcPr>
          <w:p>
            <w:pPr>
              <w:pStyle w:val="TableParagraph"/>
              <w:spacing w:line="124" w:lineRule="exact" w:before="18"/>
              <w:ind w:right="60"/>
              <w:jc w:val="right"/>
              <w:rPr>
                <w:sz w:val="12"/>
              </w:rPr>
            </w:pPr>
            <w:r>
              <w:rPr>
                <w:color w:val="231F20"/>
                <w:spacing w:val="-2"/>
                <w:w w:val="105"/>
                <w:sz w:val="12"/>
              </w:rPr>
              <w:t>6,662</w:t>
            </w:r>
          </w:p>
        </w:tc>
      </w:tr>
      <w:tr>
        <w:trPr>
          <w:trHeight w:val="151" w:hRule="atLeast"/>
        </w:trPr>
        <w:tc>
          <w:tcPr>
            <w:tcW w:w="4458" w:type="dxa"/>
          </w:tcPr>
          <w:p>
            <w:pPr>
              <w:pStyle w:val="TableParagraph"/>
              <w:spacing w:line="124" w:lineRule="exact" w:before="7"/>
              <w:ind w:left="202"/>
              <w:rPr>
                <w:b/>
                <w:sz w:val="12"/>
              </w:rPr>
            </w:pPr>
            <w:r>
              <w:rPr>
                <w:b/>
                <w:color w:val="231F20"/>
                <w:w w:val="105"/>
                <w:sz w:val="12"/>
              </w:rPr>
              <w:t>Total</w:t>
            </w:r>
            <w:r>
              <w:rPr>
                <w:b/>
                <w:color w:val="231F20"/>
                <w:spacing w:val="-6"/>
                <w:w w:val="105"/>
                <w:sz w:val="12"/>
              </w:rPr>
              <w:t> </w:t>
            </w:r>
            <w:r>
              <w:rPr>
                <w:b/>
                <w:color w:val="231F20"/>
                <w:w w:val="105"/>
                <w:sz w:val="12"/>
              </w:rPr>
              <w:t>Pass-through</w:t>
            </w:r>
            <w:r>
              <w:rPr>
                <w:b/>
                <w:color w:val="231F20"/>
                <w:spacing w:val="-6"/>
                <w:w w:val="105"/>
                <w:sz w:val="12"/>
              </w:rPr>
              <w:t> </w:t>
            </w:r>
            <w:r>
              <w:rPr>
                <w:b/>
                <w:color w:val="231F20"/>
                <w:w w:val="105"/>
                <w:sz w:val="12"/>
              </w:rPr>
              <w:t>U.S.</w:t>
            </w:r>
            <w:r>
              <w:rPr>
                <w:b/>
                <w:color w:val="231F20"/>
                <w:spacing w:val="-6"/>
                <w:w w:val="105"/>
                <w:sz w:val="12"/>
              </w:rPr>
              <w:t> </w:t>
            </w:r>
            <w:r>
              <w:rPr>
                <w:b/>
                <w:color w:val="231F20"/>
                <w:w w:val="105"/>
                <w:sz w:val="12"/>
              </w:rPr>
              <w:t>Department</w:t>
            </w:r>
            <w:r>
              <w:rPr>
                <w:b/>
                <w:color w:val="231F20"/>
                <w:spacing w:val="-6"/>
                <w:w w:val="105"/>
                <w:sz w:val="12"/>
              </w:rPr>
              <w:t> </w:t>
            </w:r>
            <w:r>
              <w:rPr>
                <w:b/>
                <w:color w:val="231F20"/>
                <w:w w:val="105"/>
                <w:sz w:val="12"/>
              </w:rPr>
              <w:t>of</w:t>
            </w:r>
            <w:r>
              <w:rPr>
                <w:b/>
                <w:color w:val="231F20"/>
                <w:spacing w:val="-6"/>
                <w:w w:val="105"/>
                <w:sz w:val="12"/>
              </w:rPr>
              <w:t> </w:t>
            </w:r>
            <w:r>
              <w:rPr>
                <w:b/>
                <w:color w:val="231F20"/>
                <w:w w:val="105"/>
                <w:sz w:val="12"/>
              </w:rPr>
              <w:t>Health</w:t>
            </w:r>
            <w:r>
              <w:rPr>
                <w:b/>
                <w:color w:val="231F20"/>
                <w:spacing w:val="-7"/>
                <w:w w:val="105"/>
                <w:sz w:val="12"/>
              </w:rPr>
              <w:t> </w:t>
            </w:r>
            <w:r>
              <w:rPr>
                <w:b/>
                <w:color w:val="231F20"/>
                <w:w w:val="105"/>
                <w:sz w:val="12"/>
              </w:rPr>
              <w:t>and</w:t>
            </w:r>
            <w:r>
              <w:rPr>
                <w:b/>
                <w:color w:val="231F20"/>
                <w:spacing w:val="-6"/>
                <w:w w:val="105"/>
                <w:sz w:val="12"/>
              </w:rPr>
              <w:t> </w:t>
            </w:r>
            <w:r>
              <w:rPr>
                <w:b/>
                <w:color w:val="231F20"/>
                <w:w w:val="105"/>
                <w:sz w:val="12"/>
              </w:rPr>
              <w:t>Human</w:t>
            </w:r>
            <w:r>
              <w:rPr>
                <w:b/>
                <w:color w:val="231F20"/>
                <w:spacing w:val="-5"/>
                <w:w w:val="105"/>
                <w:sz w:val="12"/>
              </w:rPr>
              <w:t> </w:t>
            </w:r>
            <w:r>
              <w:rPr>
                <w:b/>
                <w:color w:val="231F20"/>
                <w:spacing w:val="-2"/>
                <w:w w:val="105"/>
                <w:sz w:val="12"/>
              </w:rPr>
              <w:t>Services</w:t>
            </w:r>
          </w:p>
        </w:tc>
        <w:tc>
          <w:tcPr>
            <w:tcW w:w="887" w:type="dxa"/>
          </w:tcPr>
          <w:p>
            <w:pPr>
              <w:pStyle w:val="TableParagraph"/>
              <w:rPr>
                <w:rFonts w:ascii="Times New Roman"/>
                <w:sz w:val="8"/>
              </w:rPr>
            </w:pPr>
          </w:p>
        </w:tc>
        <w:tc>
          <w:tcPr>
            <w:tcW w:w="2777" w:type="dxa"/>
          </w:tcPr>
          <w:p>
            <w:pPr>
              <w:pStyle w:val="TableParagraph"/>
              <w:rPr>
                <w:rFonts w:ascii="Times New Roman"/>
                <w:sz w:val="8"/>
              </w:rPr>
            </w:pPr>
          </w:p>
        </w:tc>
        <w:tc>
          <w:tcPr>
            <w:tcW w:w="2669" w:type="dxa"/>
          </w:tcPr>
          <w:p>
            <w:pPr>
              <w:pStyle w:val="TableParagraph"/>
              <w:rPr>
                <w:rFonts w:ascii="Times New Roman"/>
                <w:sz w:val="8"/>
              </w:rPr>
            </w:pPr>
          </w:p>
        </w:tc>
        <w:tc>
          <w:tcPr>
            <w:tcW w:w="1150" w:type="dxa"/>
          </w:tcPr>
          <w:p>
            <w:pPr>
              <w:pStyle w:val="TableParagraph"/>
              <w:rPr>
                <w:rFonts w:ascii="Times New Roman"/>
                <w:sz w:val="8"/>
              </w:rPr>
            </w:pPr>
          </w:p>
        </w:tc>
        <w:tc>
          <w:tcPr>
            <w:tcW w:w="1126" w:type="dxa"/>
            <w:tcBorders>
              <w:top w:val="single" w:sz="8" w:space="0" w:color="231F20"/>
              <w:bottom w:val="single" w:sz="8" w:space="0" w:color="231F20"/>
            </w:tcBorders>
          </w:tcPr>
          <w:p>
            <w:pPr>
              <w:pStyle w:val="TableParagraph"/>
              <w:spacing w:line="124" w:lineRule="exact" w:before="7"/>
              <w:ind w:right="62"/>
              <w:jc w:val="right"/>
              <w:rPr>
                <w:b/>
                <w:sz w:val="12"/>
              </w:rPr>
            </w:pPr>
            <w:r>
              <w:rPr>
                <w:b/>
                <w:color w:val="231F20"/>
                <w:w w:val="104"/>
                <w:sz w:val="12"/>
              </w:rPr>
              <w:t>-</w:t>
            </w:r>
          </w:p>
        </w:tc>
        <w:tc>
          <w:tcPr>
            <w:tcW w:w="152" w:type="dxa"/>
          </w:tcPr>
          <w:p>
            <w:pPr>
              <w:pStyle w:val="TableParagraph"/>
              <w:rPr>
                <w:rFonts w:ascii="Times New Roman"/>
                <w:sz w:val="8"/>
              </w:rPr>
            </w:pPr>
          </w:p>
        </w:tc>
        <w:tc>
          <w:tcPr>
            <w:tcW w:w="1126" w:type="dxa"/>
            <w:tcBorders>
              <w:top w:val="single" w:sz="8" w:space="0" w:color="231F20"/>
              <w:bottom w:val="single" w:sz="8" w:space="0" w:color="231F20"/>
            </w:tcBorders>
          </w:tcPr>
          <w:p>
            <w:pPr>
              <w:pStyle w:val="TableParagraph"/>
              <w:spacing w:line="124" w:lineRule="exact" w:before="7"/>
              <w:ind w:right="60"/>
              <w:jc w:val="right"/>
              <w:rPr>
                <w:b/>
                <w:sz w:val="12"/>
              </w:rPr>
            </w:pPr>
            <w:r>
              <w:rPr>
                <w:b/>
                <w:color w:val="231F20"/>
                <w:spacing w:val="-2"/>
                <w:w w:val="105"/>
                <w:sz w:val="12"/>
              </w:rPr>
              <w:t>201,151</w:t>
            </w:r>
          </w:p>
        </w:tc>
      </w:tr>
      <w:tr>
        <w:trPr>
          <w:trHeight w:val="322" w:hRule="atLeast"/>
        </w:trPr>
        <w:tc>
          <w:tcPr>
            <w:tcW w:w="4458" w:type="dxa"/>
          </w:tcPr>
          <w:p>
            <w:pPr>
              <w:pStyle w:val="TableParagraph"/>
              <w:spacing w:before="5"/>
              <w:rPr>
                <w:sz w:val="15"/>
              </w:rPr>
            </w:pPr>
          </w:p>
          <w:p>
            <w:pPr>
              <w:pStyle w:val="TableParagraph"/>
              <w:spacing w:line="124" w:lineRule="exact"/>
              <w:ind w:left="33"/>
              <w:rPr>
                <w:b/>
                <w:sz w:val="12"/>
              </w:rPr>
            </w:pPr>
            <w:r>
              <w:rPr>
                <w:b/>
                <w:color w:val="231F20"/>
                <w:w w:val="105"/>
                <w:sz w:val="12"/>
              </w:rPr>
              <w:t>Total</w:t>
            </w:r>
            <w:r>
              <w:rPr>
                <w:b/>
                <w:color w:val="231F20"/>
                <w:spacing w:val="-5"/>
                <w:w w:val="105"/>
                <w:sz w:val="12"/>
              </w:rPr>
              <w:t> </w:t>
            </w:r>
            <w:r>
              <w:rPr>
                <w:b/>
                <w:color w:val="231F20"/>
                <w:w w:val="105"/>
                <w:sz w:val="12"/>
              </w:rPr>
              <w:t>U.S.</w:t>
            </w:r>
            <w:r>
              <w:rPr>
                <w:b/>
                <w:color w:val="231F20"/>
                <w:spacing w:val="-5"/>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5"/>
                <w:w w:val="105"/>
                <w:sz w:val="12"/>
              </w:rPr>
              <w:t> </w:t>
            </w:r>
            <w:r>
              <w:rPr>
                <w:b/>
                <w:color w:val="231F20"/>
                <w:w w:val="105"/>
                <w:sz w:val="12"/>
              </w:rPr>
              <w:t>Health</w:t>
            </w:r>
            <w:r>
              <w:rPr>
                <w:b/>
                <w:color w:val="231F20"/>
                <w:spacing w:val="-5"/>
                <w:w w:val="105"/>
                <w:sz w:val="12"/>
              </w:rPr>
              <w:t> </w:t>
            </w:r>
            <w:r>
              <w:rPr>
                <w:b/>
                <w:color w:val="231F20"/>
                <w:w w:val="105"/>
                <w:sz w:val="12"/>
              </w:rPr>
              <w:t>and</w:t>
            </w:r>
            <w:r>
              <w:rPr>
                <w:b/>
                <w:color w:val="231F20"/>
                <w:spacing w:val="-5"/>
                <w:w w:val="105"/>
                <w:sz w:val="12"/>
              </w:rPr>
              <w:t> </w:t>
            </w:r>
            <w:r>
              <w:rPr>
                <w:b/>
                <w:color w:val="231F20"/>
                <w:w w:val="105"/>
                <w:sz w:val="12"/>
              </w:rPr>
              <w:t>Human</w:t>
            </w:r>
            <w:r>
              <w:rPr>
                <w:b/>
                <w:color w:val="231F20"/>
                <w:spacing w:val="-5"/>
                <w:w w:val="105"/>
                <w:sz w:val="12"/>
              </w:rPr>
              <w:t> </w:t>
            </w:r>
            <w:r>
              <w:rPr>
                <w:b/>
                <w:color w:val="231F20"/>
                <w:spacing w:val="-2"/>
                <w:w w:val="105"/>
                <w:sz w:val="12"/>
              </w:rPr>
              <w:t>Services</w:t>
            </w:r>
          </w:p>
        </w:tc>
        <w:tc>
          <w:tcPr>
            <w:tcW w:w="887" w:type="dxa"/>
          </w:tcPr>
          <w:p>
            <w:pPr>
              <w:pStyle w:val="TableParagraph"/>
              <w:rPr>
                <w:rFonts w:ascii="Times New Roman"/>
                <w:sz w:val="12"/>
              </w:rPr>
            </w:pPr>
          </w:p>
        </w:tc>
        <w:tc>
          <w:tcPr>
            <w:tcW w:w="2777" w:type="dxa"/>
          </w:tcPr>
          <w:p>
            <w:pPr>
              <w:pStyle w:val="TableParagraph"/>
              <w:rPr>
                <w:rFonts w:ascii="Times New Roman"/>
                <w:sz w:val="12"/>
              </w:rPr>
            </w:pPr>
          </w:p>
        </w:tc>
        <w:tc>
          <w:tcPr>
            <w:tcW w:w="2669" w:type="dxa"/>
          </w:tcPr>
          <w:p>
            <w:pPr>
              <w:pStyle w:val="TableParagraph"/>
              <w:rPr>
                <w:rFonts w:ascii="Times New Roman"/>
                <w:sz w:val="12"/>
              </w:rPr>
            </w:pPr>
          </w:p>
        </w:tc>
        <w:tc>
          <w:tcPr>
            <w:tcW w:w="1150" w:type="dxa"/>
          </w:tcPr>
          <w:p>
            <w:pPr>
              <w:pStyle w:val="TableParagraph"/>
              <w:rPr>
                <w:rFonts w:ascii="Times New Roman"/>
                <w:sz w:val="12"/>
              </w:rPr>
            </w:pPr>
          </w:p>
        </w:tc>
        <w:tc>
          <w:tcPr>
            <w:tcW w:w="1126" w:type="dxa"/>
            <w:tcBorders>
              <w:top w:val="single" w:sz="8" w:space="0" w:color="231F20"/>
              <w:bottom w:val="single" w:sz="8" w:space="0" w:color="231F20"/>
            </w:tcBorders>
          </w:tcPr>
          <w:p>
            <w:pPr>
              <w:pStyle w:val="TableParagraph"/>
              <w:spacing w:before="5"/>
              <w:rPr>
                <w:sz w:val="15"/>
              </w:rPr>
            </w:pPr>
          </w:p>
          <w:p>
            <w:pPr>
              <w:pStyle w:val="TableParagraph"/>
              <w:spacing w:line="124" w:lineRule="exact"/>
              <w:ind w:right="63"/>
              <w:jc w:val="right"/>
              <w:rPr>
                <w:sz w:val="12"/>
              </w:rPr>
            </w:pPr>
            <w:r>
              <w:rPr>
                <w:color w:val="231F20"/>
                <w:spacing w:val="-2"/>
                <w:w w:val="105"/>
                <w:sz w:val="12"/>
              </w:rPr>
              <w:t>75,828</w:t>
            </w:r>
          </w:p>
        </w:tc>
        <w:tc>
          <w:tcPr>
            <w:tcW w:w="152" w:type="dxa"/>
          </w:tcPr>
          <w:p>
            <w:pPr>
              <w:pStyle w:val="TableParagraph"/>
              <w:rPr>
                <w:rFonts w:ascii="Times New Roman"/>
                <w:sz w:val="12"/>
              </w:rPr>
            </w:pPr>
          </w:p>
        </w:tc>
        <w:tc>
          <w:tcPr>
            <w:tcW w:w="1126" w:type="dxa"/>
            <w:tcBorders>
              <w:top w:val="single" w:sz="8" w:space="0" w:color="231F20"/>
              <w:bottom w:val="single" w:sz="8" w:space="0" w:color="231F20"/>
            </w:tcBorders>
          </w:tcPr>
          <w:p>
            <w:pPr>
              <w:pStyle w:val="TableParagraph"/>
              <w:spacing w:before="5"/>
              <w:rPr>
                <w:sz w:val="15"/>
              </w:rPr>
            </w:pPr>
          </w:p>
          <w:p>
            <w:pPr>
              <w:pStyle w:val="TableParagraph"/>
              <w:spacing w:line="124" w:lineRule="exact"/>
              <w:ind w:right="60"/>
              <w:jc w:val="right"/>
              <w:rPr>
                <w:sz w:val="12"/>
              </w:rPr>
            </w:pPr>
            <w:r>
              <w:rPr>
                <w:color w:val="231F20"/>
                <w:spacing w:val="-2"/>
                <w:w w:val="105"/>
                <w:sz w:val="12"/>
              </w:rPr>
              <w:t>798,311</w:t>
            </w:r>
          </w:p>
        </w:tc>
      </w:tr>
      <w:tr>
        <w:trPr>
          <w:trHeight w:val="318" w:hRule="atLeast"/>
        </w:trPr>
        <w:tc>
          <w:tcPr>
            <w:tcW w:w="4458" w:type="dxa"/>
          </w:tcPr>
          <w:p>
            <w:pPr>
              <w:pStyle w:val="TableParagraph"/>
              <w:spacing w:before="1"/>
              <w:rPr>
                <w:sz w:val="15"/>
              </w:rPr>
            </w:pPr>
          </w:p>
          <w:p>
            <w:pPr>
              <w:pStyle w:val="TableParagraph"/>
              <w:spacing w:line="124" w:lineRule="exact" w:before="1"/>
              <w:ind w:left="33"/>
              <w:rPr>
                <w:b/>
                <w:sz w:val="12"/>
              </w:rPr>
            </w:pPr>
            <w:r>
              <w:rPr>
                <w:b/>
                <w:color w:val="231F20"/>
                <w:spacing w:val="-2"/>
                <w:w w:val="105"/>
                <w:sz w:val="12"/>
              </w:rPr>
              <w:t>TOTAL</w:t>
            </w:r>
            <w:r>
              <w:rPr>
                <w:b/>
                <w:color w:val="231F20"/>
                <w:spacing w:val="1"/>
                <w:w w:val="105"/>
                <w:sz w:val="12"/>
              </w:rPr>
              <w:t> </w:t>
            </w:r>
            <w:r>
              <w:rPr>
                <w:b/>
                <w:color w:val="231F20"/>
                <w:spacing w:val="-2"/>
                <w:w w:val="105"/>
                <w:sz w:val="12"/>
              </w:rPr>
              <w:t>RESEARCH</w:t>
            </w:r>
            <w:r>
              <w:rPr>
                <w:b/>
                <w:color w:val="231F20"/>
                <w:spacing w:val="4"/>
                <w:w w:val="105"/>
                <w:sz w:val="12"/>
              </w:rPr>
              <w:t> </w:t>
            </w:r>
            <w:r>
              <w:rPr>
                <w:b/>
                <w:color w:val="231F20"/>
                <w:spacing w:val="-2"/>
                <w:w w:val="105"/>
                <w:sz w:val="12"/>
              </w:rPr>
              <w:t>AND</w:t>
            </w:r>
            <w:r>
              <w:rPr>
                <w:b/>
                <w:color w:val="231F20"/>
                <w:w w:val="105"/>
                <w:sz w:val="12"/>
              </w:rPr>
              <w:t> </w:t>
            </w:r>
            <w:r>
              <w:rPr>
                <w:b/>
                <w:color w:val="231F20"/>
                <w:spacing w:val="-2"/>
                <w:w w:val="105"/>
                <w:sz w:val="12"/>
              </w:rPr>
              <w:t>DEVELOPMENT</w:t>
            </w:r>
            <w:r>
              <w:rPr>
                <w:b/>
                <w:color w:val="231F20"/>
                <w:spacing w:val="2"/>
                <w:w w:val="105"/>
                <w:sz w:val="12"/>
              </w:rPr>
              <w:t> </w:t>
            </w:r>
            <w:r>
              <w:rPr>
                <w:b/>
                <w:color w:val="231F20"/>
                <w:spacing w:val="-2"/>
                <w:w w:val="105"/>
                <w:sz w:val="12"/>
              </w:rPr>
              <w:t>CLUSTER</w:t>
            </w:r>
          </w:p>
        </w:tc>
        <w:tc>
          <w:tcPr>
            <w:tcW w:w="887" w:type="dxa"/>
          </w:tcPr>
          <w:p>
            <w:pPr>
              <w:pStyle w:val="TableParagraph"/>
              <w:rPr>
                <w:rFonts w:ascii="Times New Roman"/>
                <w:sz w:val="12"/>
              </w:rPr>
            </w:pPr>
          </w:p>
        </w:tc>
        <w:tc>
          <w:tcPr>
            <w:tcW w:w="2777" w:type="dxa"/>
          </w:tcPr>
          <w:p>
            <w:pPr>
              <w:pStyle w:val="TableParagraph"/>
              <w:rPr>
                <w:rFonts w:ascii="Times New Roman"/>
                <w:sz w:val="12"/>
              </w:rPr>
            </w:pPr>
          </w:p>
        </w:tc>
        <w:tc>
          <w:tcPr>
            <w:tcW w:w="2669" w:type="dxa"/>
          </w:tcPr>
          <w:p>
            <w:pPr>
              <w:pStyle w:val="TableParagraph"/>
              <w:rPr>
                <w:rFonts w:ascii="Times New Roman"/>
                <w:sz w:val="12"/>
              </w:rPr>
            </w:pPr>
          </w:p>
        </w:tc>
        <w:tc>
          <w:tcPr>
            <w:tcW w:w="1150" w:type="dxa"/>
          </w:tcPr>
          <w:p>
            <w:pPr>
              <w:pStyle w:val="TableParagraph"/>
              <w:rPr>
                <w:rFonts w:ascii="Times New Roman"/>
                <w:sz w:val="12"/>
              </w:rPr>
            </w:pPr>
          </w:p>
        </w:tc>
        <w:tc>
          <w:tcPr>
            <w:tcW w:w="1126" w:type="dxa"/>
            <w:tcBorders>
              <w:top w:val="single" w:sz="8" w:space="0" w:color="231F20"/>
              <w:bottom w:val="single" w:sz="8" w:space="0" w:color="231F20"/>
            </w:tcBorders>
          </w:tcPr>
          <w:p>
            <w:pPr>
              <w:pStyle w:val="TableParagraph"/>
              <w:spacing w:before="1"/>
              <w:rPr>
                <w:sz w:val="15"/>
              </w:rPr>
            </w:pPr>
          </w:p>
          <w:p>
            <w:pPr>
              <w:pStyle w:val="TableParagraph"/>
              <w:spacing w:line="124" w:lineRule="exact" w:before="1"/>
              <w:ind w:right="63"/>
              <w:jc w:val="right"/>
              <w:rPr>
                <w:b/>
                <w:sz w:val="12"/>
              </w:rPr>
            </w:pPr>
            <w:r>
              <w:rPr>
                <w:b/>
                <w:color w:val="231F20"/>
                <w:spacing w:val="-2"/>
                <w:w w:val="105"/>
                <w:sz w:val="12"/>
              </w:rPr>
              <w:t>5,001,401</w:t>
            </w:r>
          </w:p>
        </w:tc>
        <w:tc>
          <w:tcPr>
            <w:tcW w:w="152" w:type="dxa"/>
          </w:tcPr>
          <w:p>
            <w:pPr>
              <w:pStyle w:val="TableParagraph"/>
              <w:rPr>
                <w:rFonts w:ascii="Times New Roman"/>
                <w:sz w:val="12"/>
              </w:rPr>
            </w:pPr>
          </w:p>
        </w:tc>
        <w:tc>
          <w:tcPr>
            <w:tcW w:w="1126" w:type="dxa"/>
            <w:tcBorders>
              <w:top w:val="single" w:sz="8" w:space="0" w:color="231F20"/>
              <w:bottom w:val="single" w:sz="8" w:space="0" w:color="231F20"/>
            </w:tcBorders>
          </w:tcPr>
          <w:p>
            <w:pPr>
              <w:pStyle w:val="TableParagraph"/>
              <w:spacing w:before="1"/>
              <w:rPr>
                <w:sz w:val="15"/>
              </w:rPr>
            </w:pPr>
          </w:p>
          <w:p>
            <w:pPr>
              <w:pStyle w:val="TableParagraph"/>
              <w:spacing w:line="124" w:lineRule="exact" w:before="1"/>
              <w:ind w:right="61"/>
              <w:jc w:val="right"/>
              <w:rPr>
                <w:b/>
                <w:sz w:val="12"/>
              </w:rPr>
            </w:pPr>
            <w:r>
              <w:rPr>
                <w:b/>
                <w:color w:val="231F20"/>
                <w:spacing w:val="-2"/>
                <w:w w:val="105"/>
                <w:sz w:val="12"/>
              </w:rPr>
              <w:t>24,793,849</w:t>
            </w:r>
          </w:p>
        </w:tc>
      </w:tr>
      <w:tr>
        <w:trPr>
          <w:trHeight w:val="17" w:hRule="atLeast"/>
        </w:trPr>
        <w:tc>
          <w:tcPr>
            <w:tcW w:w="4458" w:type="dxa"/>
          </w:tcPr>
          <w:p>
            <w:pPr>
              <w:pStyle w:val="TableParagraph"/>
              <w:rPr>
                <w:rFonts w:ascii="Times New Roman"/>
                <w:sz w:val="2"/>
              </w:rPr>
            </w:pPr>
          </w:p>
        </w:tc>
        <w:tc>
          <w:tcPr>
            <w:tcW w:w="887" w:type="dxa"/>
          </w:tcPr>
          <w:p>
            <w:pPr>
              <w:pStyle w:val="TableParagraph"/>
              <w:rPr>
                <w:rFonts w:ascii="Times New Roman"/>
                <w:sz w:val="2"/>
              </w:rPr>
            </w:pPr>
          </w:p>
        </w:tc>
        <w:tc>
          <w:tcPr>
            <w:tcW w:w="2777" w:type="dxa"/>
          </w:tcPr>
          <w:p>
            <w:pPr>
              <w:pStyle w:val="TableParagraph"/>
              <w:rPr>
                <w:rFonts w:ascii="Times New Roman"/>
                <w:sz w:val="2"/>
              </w:rPr>
            </w:pPr>
          </w:p>
        </w:tc>
        <w:tc>
          <w:tcPr>
            <w:tcW w:w="2669" w:type="dxa"/>
          </w:tcPr>
          <w:p>
            <w:pPr>
              <w:pStyle w:val="TableParagraph"/>
              <w:rPr>
                <w:rFonts w:ascii="Times New Roman"/>
                <w:sz w:val="2"/>
              </w:rPr>
            </w:pPr>
          </w:p>
        </w:tc>
        <w:tc>
          <w:tcPr>
            <w:tcW w:w="1150" w:type="dxa"/>
          </w:tcPr>
          <w:p>
            <w:pPr>
              <w:pStyle w:val="TableParagraph"/>
              <w:rPr>
                <w:rFonts w:ascii="Times New Roman"/>
                <w:sz w:val="2"/>
              </w:rPr>
            </w:pPr>
          </w:p>
        </w:tc>
        <w:tc>
          <w:tcPr>
            <w:tcW w:w="1126" w:type="dxa"/>
            <w:tcBorders>
              <w:top w:val="single" w:sz="8" w:space="0" w:color="231F20"/>
              <w:bottom w:val="single" w:sz="8" w:space="0" w:color="231F20"/>
            </w:tcBorders>
          </w:tcPr>
          <w:p>
            <w:pPr>
              <w:pStyle w:val="TableParagraph"/>
              <w:rPr>
                <w:rFonts w:ascii="Times New Roman"/>
                <w:sz w:val="2"/>
              </w:rPr>
            </w:pPr>
          </w:p>
        </w:tc>
        <w:tc>
          <w:tcPr>
            <w:tcW w:w="152" w:type="dxa"/>
          </w:tcPr>
          <w:p>
            <w:pPr>
              <w:pStyle w:val="TableParagraph"/>
              <w:rPr>
                <w:rFonts w:ascii="Times New Roman"/>
                <w:sz w:val="2"/>
              </w:rPr>
            </w:pPr>
          </w:p>
        </w:tc>
        <w:tc>
          <w:tcPr>
            <w:tcW w:w="1126" w:type="dxa"/>
            <w:tcBorders>
              <w:top w:val="single" w:sz="8" w:space="0" w:color="231F20"/>
              <w:bottom w:val="single" w:sz="8" w:space="0" w:color="231F20"/>
            </w:tcBorders>
          </w:tcPr>
          <w:p>
            <w:pPr>
              <w:pStyle w:val="TableParagraph"/>
              <w:rPr>
                <w:rFonts w:ascii="Times New Roman"/>
                <w:sz w:val="2"/>
              </w:rPr>
            </w:pPr>
          </w:p>
        </w:tc>
      </w:tr>
    </w:tbl>
    <w:p>
      <w:pPr>
        <w:spacing w:after="0"/>
        <w:rPr>
          <w:rFonts w:ascii="Times New Roman"/>
          <w:sz w:val="2"/>
        </w:rPr>
        <w:sectPr>
          <w:pgSz w:w="15840" w:h="12240" w:orient="landscape"/>
          <w:pgMar w:header="934" w:footer="1097" w:top="1840" w:bottom="1280" w:left="560" w:right="560"/>
        </w:sectPr>
      </w:pPr>
    </w:p>
    <w:p>
      <w:pPr>
        <w:pStyle w:val="BodyText"/>
        <w:spacing w:before="3"/>
        <w:rPr>
          <w:sz w:val="24"/>
        </w:rPr>
      </w:pPr>
    </w:p>
    <w:p>
      <w:pPr>
        <w:pStyle w:val="BodyText"/>
        <w:spacing w:line="38" w:lineRule="exact"/>
        <w:ind w:left="169"/>
        <w:rPr>
          <w:sz w:val="3"/>
        </w:rPr>
      </w:pPr>
      <w:r>
        <w:rPr>
          <w:position w:val="0"/>
          <w:sz w:val="3"/>
        </w:rPr>
        <w:pict>
          <v:group style="width:721.7pt;height:1.95pt;mso-position-horizontal-relative:char;mso-position-vertical-relative:line" id="docshapegroup569" coordorigin="0,0" coordsize="14434,39">
            <v:rect style="position:absolute;left:0;top:0;width:14434;height:39" id="docshape570" filled="true" fillcolor="#231f20" stroked="false">
              <v:fill type="solid"/>
            </v:rect>
          </v:group>
        </w:pict>
      </w:r>
      <w:r>
        <w:rPr>
          <w:position w:val="0"/>
          <w:sz w:val="3"/>
        </w:rPr>
      </w:r>
    </w:p>
    <w:p>
      <w:pPr>
        <w:pStyle w:val="BodyText"/>
        <w:spacing w:before="5"/>
        <w:rPr>
          <w:sz w:val="18"/>
        </w:rPr>
      </w:pPr>
    </w:p>
    <w:tbl>
      <w:tblPr>
        <w:tblW w:w="0" w:type="auto"/>
        <w:jc w:val="left"/>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28"/>
        <w:gridCol w:w="952"/>
        <w:gridCol w:w="2703"/>
        <w:gridCol w:w="2779"/>
        <w:gridCol w:w="1159"/>
        <w:gridCol w:w="1134"/>
        <w:gridCol w:w="152"/>
        <w:gridCol w:w="1134"/>
      </w:tblGrid>
      <w:tr>
        <w:trPr>
          <w:trHeight w:val="517" w:hRule="atLeast"/>
        </w:trPr>
        <w:tc>
          <w:tcPr>
            <w:tcW w:w="4428" w:type="dxa"/>
            <w:tcBorders>
              <w:bottom w:val="single" w:sz="18" w:space="0" w:color="231F20"/>
            </w:tcBorders>
          </w:tcPr>
          <w:p>
            <w:pPr>
              <w:pStyle w:val="TableParagraph"/>
              <w:rPr>
                <w:sz w:val="14"/>
              </w:rPr>
            </w:pPr>
          </w:p>
          <w:p>
            <w:pPr>
              <w:pStyle w:val="TableParagraph"/>
              <w:spacing w:before="10"/>
              <w:rPr>
                <w:sz w:val="17"/>
              </w:rPr>
            </w:pPr>
          </w:p>
          <w:p>
            <w:pPr>
              <w:pStyle w:val="TableParagraph"/>
              <w:spacing w:line="131" w:lineRule="exact"/>
              <w:ind w:left="33"/>
              <w:rPr>
                <w:b/>
                <w:sz w:val="12"/>
              </w:rPr>
            </w:pPr>
            <w:r>
              <w:rPr>
                <w:b/>
                <w:color w:val="231F20"/>
                <w:w w:val="105"/>
                <w:sz w:val="12"/>
              </w:rPr>
              <w:t>Federal</w:t>
            </w:r>
            <w:r>
              <w:rPr>
                <w:b/>
                <w:color w:val="231F20"/>
                <w:spacing w:val="-8"/>
                <w:w w:val="105"/>
                <w:sz w:val="12"/>
              </w:rPr>
              <w:t> </w:t>
            </w:r>
            <w:r>
              <w:rPr>
                <w:b/>
                <w:color w:val="231F20"/>
                <w:w w:val="105"/>
                <w:sz w:val="12"/>
              </w:rPr>
              <w:t>Grantor/Program</w:t>
            </w:r>
            <w:r>
              <w:rPr>
                <w:b/>
                <w:color w:val="231F20"/>
                <w:spacing w:val="-9"/>
                <w:w w:val="105"/>
                <w:sz w:val="12"/>
              </w:rPr>
              <w:t> </w:t>
            </w:r>
            <w:r>
              <w:rPr>
                <w:b/>
                <w:color w:val="231F20"/>
                <w:spacing w:val="-2"/>
                <w:w w:val="105"/>
                <w:sz w:val="12"/>
              </w:rPr>
              <w:t>Title</w:t>
            </w:r>
          </w:p>
        </w:tc>
        <w:tc>
          <w:tcPr>
            <w:tcW w:w="952" w:type="dxa"/>
            <w:tcBorders>
              <w:bottom w:val="single" w:sz="18" w:space="0" w:color="231F20"/>
            </w:tcBorders>
          </w:tcPr>
          <w:p>
            <w:pPr>
              <w:pStyle w:val="TableParagraph"/>
              <w:spacing w:before="3"/>
              <w:rPr>
                <w:sz w:val="12"/>
              </w:rPr>
            </w:pPr>
          </w:p>
          <w:p>
            <w:pPr>
              <w:pStyle w:val="TableParagraph"/>
              <w:spacing w:line="170" w:lineRule="atLeast"/>
              <w:ind w:left="330" w:right="137" w:firstLine="64"/>
              <w:rPr>
                <w:b/>
                <w:sz w:val="12"/>
              </w:rPr>
            </w:pPr>
            <w:r>
              <w:rPr>
                <w:b/>
                <w:color w:val="231F20"/>
                <w:spacing w:val="-2"/>
                <w:w w:val="105"/>
                <w:sz w:val="12"/>
              </w:rPr>
              <w:t>Award</w:t>
            </w:r>
            <w:r>
              <w:rPr>
                <w:b/>
                <w:color w:val="231F20"/>
                <w:spacing w:val="40"/>
                <w:w w:val="105"/>
                <w:sz w:val="12"/>
              </w:rPr>
              <w:t> </w:t>
            </w:r>
            <w:r>
              <w:rPr>
                <w:b/>
                <w:color w:val="231F20"/>
                <w:spacing w:val="-2"/>
                <w:w w:val="105"/>
                <w:sz w:val="12"/>
              </w:rPr>
              <w:t>Number</w:t>
            </w:r>
          </w:p>
        </w:tc>
        <w:tc>
          <w:tcPr>
            <w:tcW w:w="2703" w:type="dxa"/>
            <w:tcBorders>
              <w:bottom w:val="single" w:sz="18" w:space="0" w:color="231F20"/>
            </w:tcBorders>
          </w:tcPr>
          <w:p>
            <w:pPr>
              <w:pStyle w:val="TableParagraph"/>
              <w:rPr>
                <w:sz w:val="14"/>
              </w:rPr>
            </w:pPr>
          </w:p>
          <w:p>
            <w:pPr>
              <w:pStyle w:val="TableParagraph"/>
              <w:spacing w:before="8"/>
              <w:rPr>
                <w:sz w:val="15"/>
              </w:rPr>
            </w:pPr>
          </w:p>
          <w:p>
            <w:pPr>
              <w:pStyle w:val="TableParagraph"/>
              <w:spacing w:before="1"/>
              <w:ind w:right="496"/>
              <w:jc w:val="right"/>
              <w:rPr>
                <w:b/>
                <w:sz w:val="12"/>
              </w:rPr>
            </w:pPr>
            <w:r>
              <w:rPr>
                <w:b/>
                <w:color w:val="231F20"/>
                <w:spacing w:val="-2"/>
                <w:w w:val="105"/>
                <w:sz w:val="12"/>
              </w:rPr>
              <w:t>Pass-Through</w:t>
            </w:r>
            <w:r>
              <w:rPr>
                <w:b/>
                <w:color w:val="231F20"/>
                <w:spacing w:val="14"/>
                <w:w w:val="105"/>
                <w:sz w:val="12"/>
              </w:rPr>
              <w:t> </w:t>
            </w:r>
            <w:r>
              <w:rPr>
                <w:b/>
                <w:color w:val="231F20"/>
                <w:spacing w:val="-2"/>
                <w:w w:val="105"/>
                <w:sz w:val="12"/>
              </w:rPr>
              <w:t>Entity</w:t>
            </w:r>
          </w:p>
        </w:tc>
        <w:tc>
          <w:tcPr>
            <w:tcW w:w="2779" w:type="dxa"/>
            <w:tcBorders>
              <w:bottom w:val="single" w:sz="18" w:space="0" w:color="231F20"/>
            </w:tcBorders>
          </w:tcPr>
          <w:p>
            <w:pPr>
              <w:pStyle w:val="TableParagraph"/>
              <w:spacing w:before="3"/>
              <w:rPr>
                <w:sz w:val="12"/>
              </w:rPr>
            </w:pPr>
          </w:p>
          <w:p>
            <w:pPr>
              <w:pStyle w:val="TableParagraph"/>
              <w:spacing w:line="170" w:lineRule="atLeast"/>
              <w:ind w:left="1023" w:right="235" w:hanging="287"/>
              <w:rPr>
                <w:b/>
                <w:sz w:val="12"/>
              </w:rPr>
            </w:pPr>
            <w:r>
              <w:rPr>
                <w:b/>
                <w:color w:val="231F20"/>
                <w:w w:val="105"/>
                <w:sz w:val="12"/>
              </w:rPr>
              <w:t>Funding</w:t>
            </w:r>
            <w:r>
              <w:rPr>
                <w:b/>
                <w:color w:val="231F20"/>
                <w:spacing w:val="-9"/>
                <w:w w:val="105"/>
                <w:sz w:val="12"/>
              </w:rPr>
              <w:t> </w:t>
            </w:r>
            <w:r>
              <w:rPr>
                <w:b/>
                <w:color w:val="231F20"/>
                <w:w w:val="105"/>
                <w:sz w:val="12"/>
              </w:rPr>
              <w:t>Agency</w:t>
            </w:r>
            <w:r>
              <w:rPr>
                <w:b/>
                <w:color w:val="231F20"/>
                <w:spacing w:val="-9"/>
                <w:w w:val="105"/>
                <w:sz w:val="12"/>
              </w:rPr>
              <w:t> </w:t>
            </w:r>
            <w:r>
              <w:rPr>
                <w:b/>
                <w:color w:val="231F20"/>
                <w:w w:val="105"/>
                <w:sz w:val="12"/>
              </w:rPr>
              <w:t>Identification</w:t>
            </w:r>
            <w:r>
              <w:rPr>
                <w:b/>
                <w:color w:val="231F20"/>
                <w:spacing w:val="40"/>
                <w:w w:val="105"/>
                <w:sz w:val="12"/>
              </w:rPr>
              <w:t> </w:t>
            </w:r>
            <w:r>
              <w:rPr>
                <w:b/>
                <w:color w:val="231F20"/>
                <w:w w:val="105"/>
                <w:sz w:val="12"/>
              </w:rPr>
              <w:t>Number/Contract</w:t>
            </w:r>
            <w:r>
              <w:rPr>
                <w:b/>
                <w:color w:val="231F20"/>
                <w:spacing w:val="-7"/>
                <w:w w:val="105"/>
                <w:sz w:val="12"/>
              </w:rPr>
              <w:t> </w:t>
            </w:r>
            <w:r>
              <w:rPr>
                <w:b/>
                <w:color w:val="231F20"/>
                <w:w w:val="105"/>
                <w:sz w:val="12"/>
              </w:rPr>
              <w:t>ID</w:t>
            </w:r>
          </w:p>
        </w:tc>
        <w:tc>
          <w:tcPr>
            <w:tcW w:w="1159" w:type="dxa"/>
            <w:tcBorders>
              <w:bottom w:val="single" w:sz="18" w:space="0" w:color="231F20"/>
            </w:tcBorders>
          </w:tcPr>
          <w:p>
            <w:pPr>
              <w:pStyle w:val="TableParagraph"/>
              <w:spacing w:before="3"/>
              <w:ind w:left="367" w:hanging="125"/>
              <w:rPr>
                <w:b/>
                <w:sz w:val="12"/>
              </w:rPr>
            </w:pPr>
            <w:r>
              <w:rPr>
                <w:b/>
                <w:color w:val="231F20"/>
                <w:spacing w:val="-2"/>
                <w:w w:val="105"/>
                <w:sz w:val="12"/>
              </w:rPr>
              <w:t>Assistance</w:t>
            </w:r>
          </w:p>
          <w:p>
            <w:pPr>
              <w:pStyle w:val="TableParagraph"/>
              <w:spacing w:line="170" w:lineRule="atLeast"/>
              <w:ind w:left="335" w:right="339" w:firstLine="31"/>
              <w:rPr>
                <w:b/>
                <w:sz w:val="12"/>
              </w:rPr>
            </w:pPr>
            <w:r>
              <w:rPr>
                <w:b/>
                <w:color w:val="231F20"/>
                <w:spacing w:val="-2"/>
                <w:w w:val="105"/>
                <w:sz w:val="12"/>
              </w:rPr>
              <w:t>Listing</w:t>
            </w:r>
            <w:r>
              <w:rPr>
                <w:b/>
                <w:color w:val="231F20"/>
                <w:spacing w:val="40"/>
                <w:w w:val="105"/>
                <w:sz w:val="12"/>
              </w:rPr>
              <w:t> </w:t>
            </w:r>
            <w:r>
              <w:rPr>
                <w:b/>
                <w:color w:val="231F20"/>
                <w:spacing w:val="-2"/>
                <w:w w:val="105"/>
                <w:sz w:val="12"/>
              </w:rPr>
              <w:t>Number</w:t>
            </w:r>
          </w:p>
        </w:tc>
        <w:tc>
          <w:tcPr>
            <w:tcW w:w="1134" w:type="dxa"/>
            <w:tcBorders>
              <w:bottom w:val="single" w:sz="18" w:space="0" w:color="231F20"/>
            </w:tcBorders>
          </w:tcPr>
          <w:p>
            <w:pPr>
              <w:pStyle w:val="TableParagraph"/>
              <w:spacing w:before="3"/>
              <w:ind w:left="235" w:hanging="125"/>
              <w:rPr>
                <w:b/>
                <w:sz w:val="12"/>
              </w:rPr>
            </w:pPr>
            <w:r>
              <w:rPr>
                <w:b/>
                <w:color w:val="231F20"/>
                <w:w w:val="105"/>
                <w:sz w:val="12"/>
              </w:rPr>
              <w:t>Amount</w:t>
            </w:r>
            <w:r>
              <w:rPr>
                <w:b/>
                <w:color w:val="231F20"/>
                <w:spacing w:val="-7"/>
                <w:w w:val="105"/>
                <w:sz w:val="12"/>
              </w:rPr>
              <w:t> </w:t>
            </w:r>
            <w:r>
              <w:rPr>
                <w:b/>
                <w:color w:val="231F20"/>
                <w:spacing w:val="-2"/>
                <w:w w:val="105"/>
                <w:sz w:val="12"/>
              </w:rPr>
              <w:t>Passed</w:t>
            </w:r>
          </w:p>
          <w:p>
            <w:pPr>
              <w:pStyle w:val="TableParagraph"/>
              <w:spacing w:line="170" w:lineRule="atLeast"/>
              <w:ind w:left="151" w:firstLine="83"/>
              <w:rPr>
                <w:b/>
                <w:sz w:val="12"/>
              </w:rPr>
            </w:pPr>
            <w:r>
              <w:rPr>
                <w:b/>
                <w:color w:val="231F20"/>
                <w:w w:val="105"/>
                <w:sz w:val="12"/>
              </w:rPr>
              <w:t>Through</w:t>
            </w:r>
            <w:r>
              <w:rPr>
                <w:b/>
                <w:color w:val="231F20"/>
                <w:spacing w:val="-5"/>
                <w:w w:val="105"/>
                <w:sz w:val="12"/>
              </w:rPr>
              <w:t> </w:t>
            </w:r>
            <w:r>
              <w:rPr>
                <w:b/>
                <w:color w:val="231F20"/>
                <w:w w:val="105"/>
                <w:sz w:val="12"/>
              </w:rPr>
              <w:t>to</w:t>
            </w:r>
            <w:r>
              <w:rPr>
                <w:b/>
                <w:color w:val="231F20"/>
                <w:spacing w:val="40"/>
                <w:w w:val="105"/>
                <w:sz w:val="12"/>
              </w:rPr>
              <w:t> </w:t>
            </w:r>
            <w:r>
              <w:rPr>
                <w:b/>
                <w:color w:val="231F20"/>
                <w:spacing w:val="-2"/>
                <w:w w:val="105"/>
                <w:sz w:val="12"/>
              </w:rPr>
              <w:t>Subrecipients</w:t>
            </w:r>
          </w:p>
        </w:tc>
        <w:tc>
          <w:tcPr>
            <w:tcW w:w="1286" w:type="dxa"/>
            <w:gridSpan w:val="2"/>
            <w:tcBorders>
              <w:bottom w:val="single" w:sz="18" w:space="0" w:color="231F20"/>
            </w:tcBorders>
          </w:tcPr>
          <w:p>
            <w:pPr>
              <w:pStyle w:val="TableParagraph"/>
              <w:spacing w:before="3"/>
              <w:rPr>
                <w:sz w:val="12"/>
              </w:rPr>
            </w:pPr>
          </w:p>
          <w:p>
            <w:pPr>
              <w:pStyle w:val="TableParagraph"/>
              <w:spacing w:line="170" w:lineRule="atLeast"/>
              <w:ind w:left="320" w:right="146" w:firstLine="24"/>
              <w:rPr>
                <w:b/>
                <w:sz w:val="12"/>
              </w:rPr>
            </w:pPr>
            <w:r>
              <w:rPr>
                <w:b/>
                <w:color w:val="231F20"/>
                <w:w w:val="105"/>
                <w:sz w:val="12"/>
              </w:rPr>
              <w:t>Total</w:t>
            </w:r>
            <w:r>
              <w:rPr>
                <w:b/>
                <w:color w:val="231F20"/>
                <w:spacing w:val="-9"/>
                <w:w w:val="105"/>
                <w:sz w:val="12"/>
              </w:rPr>
              <w:t> </w:t>
            </w:r>
            <w:r>
              <w:rPr>
                <w:b/>
                <w:color w:val="231F20"/>
                <w:w w:val="105"/>
                <w:sz w:val="12"/>
              </w:rPr>
              <w:t>Federal</w:t>
            </w:r>
            <w:r>
              <w:rPr>
                <w:b/>
                <w:color w:val="231F20"/>
                <w:spacing w:val="40"/>
                <w:w w:val="105"/>
                <w:sz w:val="12"/>
              </w:rPr>
              <w:t> </w:t>
            </w:r>
            <w:r>
              <w:rPr>
                <w:b/>
                <w:color w:val="231F20"/>
                <w:spacing w:val="-2"/>
                <w:w w:val="105"/>
                <w:sz w:val="12"/>
              </w:rPr>
              <w:t>Expenditures</w:t>
            </w:r>
          </w:p>
        </w:tc>
      </w:tr>
      <w:tr>
        <w:trPr>
          <w:trHeight w:val="240" w:hRule="atLeast"/>
        </w:trPr>
        <w:tc>
          <w:tcPr>
            <w:tcW w:w="4428" w:type="dxa"/>
            <w:tcBorders>
              <w:top w:val="single" w:sz="18" w:space="0" w:color="231F20"/>
            </w:tcBorders>
          </w:tcPr>
          <w:p>
            <w:pPr>
              <w:pStyle w:val="TableParagraph"/>
              <w:spacing w:line="119" w:lineRule="exact" w:before="100"/>
              <w:ind w:left="33"/>
              <w:rPr>
                <w:b/>
                <w:sz w:val="12"/>
              </w:rPr>
            </w:pPr>
            <w:r>
              <w:rPr>
                <w:b/>
                <w:color w:val="231F20"/>
                <w:w w:val="105"/>
                <w:sz w:val="12"/>
              </w:rPr>
              <w:t>U.S.</w:t>
            </w:r>
            <w:r>
              <w:rPr>
                <w:b/>
                <w:color w:val="231F20"/>
                <w:spacing w:val="-6"/>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3"/>
                <w:w w:val="105"/>
                <w:sz w:val="12"/>
              </w:rPr>
              <w:t> </w:t>
            </w:r>
            <w:r>
              <w:rPr>
                <w:b/>
                <w:color w:val="231F20"/>
                <w:spacing w:val="-2"/>
                <w:w w:val="105"/>
                <w:sz w:val="12"/>
              </w:rPr>
              <w:t>Defense</w:t>
            </w:r>
          </w:p>
        </w:tc>
        <w:tc>
          <w:tcPr>
            <w:tcW w:w="952" w:type="dxa"/>
            <w:tcBorders>
              <w:top w:val="single" w:sz="18" w:space="0" w:color="231F20"/>
            </w:tcBorders>
          </w:tcPr>
          <w:p>
            <w:pPr>
              <w:pStyle w:val="TableParagraph"/>
              <w:rPr>
                <w:rFonts w:ascii="Times New Roman"/>
                <w:sz w:val="12"/>
              </w:rPr>
            </w:pPr>
          </w:p>
        </w:tc>
        <w:tc>
          <w:tcPr>
            <w:tcW w:w="2703" w:type="dxa"/>
            <w:tcBorders>
              <w:top w:val="single" w:sz="18" w:space="0" w:color="231F20"/>
            </w:tcBorders>
          </w:tcPr>
          <w:p>
            <w:pPr>
              <w:pStyle w:val="TableParagraph"/>
              <w:rPr>
                <w:rFonts w:ascii="Times New Roman"/>
                <w:sz w:val="12"/>
              </w:rPr>
            </w:pPr>
          </w:p>
        </w:tc>
        <w:tc>
          <w:tcPr>
            <w:tcW w:w="2779" w:type="dxa"/>
            <w:tcBorders>
              <w:top w:val="single" w:sz="18" w:space="0" w:color="231F20"/>
            </w:tcBorders>
          </w:tcPr>
          <w:p>
            <w:pPr>
              <w:pStyle w:val="TableParagraph"/>
              <w:rPr>
                <w:rFonts w:ascii="Times New Roman"/>
                <w:sz w:val="12"/>
              </w:rPr>
            </w:pPr>
          </w:p>
        </w:tc>
        <w:tc>
          <w:tcPr>
            <w:tcW w:w="1159" w:type="dxa"/>
            <w:tcBorders>
              <w:top w:val="single" w:sz="18" w:space="0" w:color="231F20"/>
            </w:tcBorders>
          </w:tcPr>
          <w:p>
            <w:pPr>
              <w:pStyle w:val="TableParagraph"/>
              <w:rPr>
                <w:rFonts w:ascii="Times New Roman"/>
                <w:sz w:val="12"/>
              </w:rPr>
            </w:pPr>
          </w:p>
        </w:tc>
        <w:tc>
          <w:tcPr>
            <w:tcW w:w="1134" w:type="dxa"/>
            <w:tcBorders>
              <w:top w:val="single" w:sz="18" w:space="0" w:color="231F20"/>
            </w:tcBorders>
          </w:tcPr>
          <w:p>
            <w:pPr>
              <w:pStyle w:val="TableParagraph"/>
              <w:rPr>
                <w:rFonts w:ascii="Times New Roman"/>
                <w:sz w:val="12"/>
              </w:rPr>
            </w:pPr>
          </w:p>
        </w:tc>
        <w:tc>
          <w:tcPr>
            <w:tcW w:w="1286" w:type="dxa"/>
            <w:gridSpan w:val="2"/>
            <w:tcBorders>
              <w:top w:val="single" w:sz="18" w:space="0" w:color="231F20"/>
            </w:tcBorders>
          </w:tcPr>
          <w:p>
            <w:pPr>
              <w:pStyle w:val="TableParagraph"/>
              <w:rPr>
                <w:rFonts w:ascii="Times New Roman"/>
                <w:sz w:val="12"/>
              </w:rPr>
            </w:pPr>
          </w:p>
        </w:tc>
      </w:tr>
      <w:tr>
        <w:trPr>
          <w:trHeight w:val="171" w:hRule="atLeast"/>
        </w:trPr>
        <w:tc>
          <w:tcPr>
            <w:tcW w:w="4428" w:type="dxa"/>
          </w:tcPr>
          <w:p>
            <w:pPr>
              <w:pStyle w:val="TableParagraph"/>
              <w:spacing w:line="119" w:lineRule="exact" w:before="32"/>
              <w:ind w:left="203"/>
              <w:rPr>
                <w:sz w:val="12"/>
              </w:rPr>
            </w:pPr>
            <w:r>
              <w:rPr>
                <w:color w:val="231F20"/>
                <w:w w:val="105"/>
                <w:sz w:val="12"/>
              </w:rPr>
              <w:t>Direct</w:t>
            </w:r>
            <w:r>
              <w:rPr>
                <w:color w:val="231F20"/>
                <w:spacing w:val="-4"/>
                <w:w w:val="105"/>
                <w:sz w:val="12"/>
              </w:rPr>
              <w:t> </w:t>
            </w:r>
            <w:r>
              <w:rPr>
                <w:color w:val="231F20"/>
                <w:spacing w:val="-2"/>
                <w:w w:val="105"/>
                <w:sz w:val="12"/>
              </w:rPr>
              <w:t>Awards</w:t>
            </w:r>
          </w:p>
        </w:tc>
        <w:tc>
          <w:tcPr>
            <w:tcW w:w="952" w:type="dxa"/>
          </w:tcPr>
          <w:p>
            <w:pPr>
              <w:pStyle w:val="TableParagraph"/>
              <w:rPr>
                <w:rFonts w:ascii="Times New Roman"/>
                <w:sz w:val="10"/>
              </w:rPr>
            </w:pPr>
          </w:p>
        </w:tc>
        <w:tc>
          <w:tcPr>
            <w:tcW w:w="2703" w:type="dxa"/>
          </w:tcPr>
          <w:p>
            <w:pPr>
              <w:pStyle w:val="TableParagraph"/>
              <w:rPr>
                <w:rFonts w:ascii="Times New Roman"/>
                <w:sz w:val="10"/>
              </w:rPr>
            </w:pPr>
          </w:p>
        </w:tc>
        <w:tc>
          <w:tcPr>
            <w:tcW w:w="2779" w:type="dxa"/>
          </w:tcPr>
          <w:p>
            <w:pPr>
              <w:pStyle w:val="TableParagraph"/>
              <w:rPr>
                <w:rFonts w:ascii="Times New Roman"/>
                <w:sz w:val="10"/>
              </w:rPr>
            </w:pPr>
          </w:p>
        </w:tc>
        <w:tc>
          <w:tcPr>
            <w:tcW w:w="1159" w:type="dxa"/>
          </w:tcPr>
          <w:p>
            <w:pPr>
              <w:pStyle w:val="TableParagraph"/>
              <w:rPr>
                <w:rFonts w:ascii="Times New Roman"/>
                <w:sz w:val="10"/>
              </w:rPr>
            </w:pPr>
          </w:p>
        </w:tc>
        <w:tc>
          <w:tcPr>
            <w:tcW w:w="1134" w:type="dxa"/>
          </w:tcPr>
          <w:p>
            <w:pPr>
              <w:pStyle w:val="TableParagraph"/>
              <w:rPr>
                <w:rFonts w:ascii="Times New Roman"/>
                <w:sz w:val="10"/>
              </w:rPr>
            </w:pPr>
          </w:p>
        </w:tc>
        <w:tc>
          <w:tcPr>
            <w:tcW w:w="1286" w:type="dxa"/>
            <w:gridSpan w:val="2"/>
          </w:tcPr>
          <w:p>
            <w:pPr>
              <w:pStyle w:val="TableParagraph"/>
              <w:rPr>
                <w:rFonts w:ascii="Times New Roman"/>
                <w:sz w:val="10"/>
              </w:rPr>
            </w:pPr>
          </w:p>
        </w:tc>
      </w:tr>
      <w:tr>
        <w:trPr>
          <w:trHeight w:val="183" w:hRule="atLeast"/>
        </w:trPr>
        <w:tc>
          <w:tcPr>
            <w:tcW w:w="4428" w:type="dxa"/>
          </w:tcPr>
          <w:p>
            <w:pPr>
              <w:pStyle w:val="TableParagraph"/>
              <w:spacing w:line="138" w:lineRule="exact" w:before="26"/>
              <w:ind w:left="373"/>
              <w:rPr>
                <w:sz w:val="12"/>
              </w:rPr>
            </w:pPr>
            <w:r>
              <w:rPr>
                <w:color w:val="231F20"/>
                <w:w w:val="105"/>
                <w:sz w:val="12"/>
              </w:rPr>
              <w:t>Research</w:t>
            </w:r>
            <w:r>
              <w:rPr>
                <w:color w:val="231F20"/>
                <w:spacing w:val="-5"/>
                <w:w w:val="105"/>
                <w:sz w:val="12"/>
              </w:rPr>
              <w:t> </w:t>
            </w:r>
            <w:r>
              <w:rPr>
                <w:color w:val="231F20"/>
                <w:w w:val="105"/>
                <w:sz w:val="12"/>
              </w:rPr>
              <w:t>and</w:t>
            </w:r>
            <w:r>
              <w:rPr>
                <w:color w:val="231F20"/>
                <w:spacing w:val="-3"/>
                <w:w w:val="105"/>
                <w:sz w:val="12"/>
              </w:rPr>
              <w:t> </w:t>
            </w:r>
            <w:r>
              <w:rPr>
                <w:color w:val="231F20"/>
                <w:w w:val="105"/>
                <w:sz w:val="12"/>
              </w:rPr>
              <w:t>Technical</w:t>
            </w:r>
            <w:r>
              <w:rPr>
                <w:color w:val="231F20"/>
                <w:spacing w:val="-3"/>
                <w:w w:val="105"/>
                <w:sz w:val="12"/>
              </w:rPr>
              <w:t> </w:t>
            </w:r>
            <w:r>
              <w:rPr>
                <w:color w:val="231F20"/>
                <w:spacing w:val="-2"/>
                <w:w w:val="105"/>
                <w:sz w:val="12"/>
              </w:rPr>
              <w:t>Assistance</w:t>
            </w:r>
          </w:p>
        </w:tc>
        <w:tc>
          <w:tcPr>
            <w:tcW w:w="952" w:type="dxa"/>
          </w:tcPr>
          <w:p>
            <w:pPr>
              <w:pStyle w:val="TableParagraph"/>
              <w:spacing w:line="132" w:lineRule="exact" w:before="32"/>
              <w:ind w:left="418"/>
              <w:rPr>
                <w:sz w:val="12"/>
              </w:rPr>
            </w:pPr>
            <w:r>
              <w:rPr>
                <w:color w:val="231F20"/>
                <w:spacing w:val="-4"/>
                <w:w w:val="105"/>
                <w:sz w:val="12"/>
              </w:rPr>
              <w:t>FT2C</w:t>
            </w:r>
          </w:p>
        </w:tc>
        <w:tc>
          <w:tcPr>
            <w:tcW w:w="2703" w:type="dxa"/>
          </w:tcPr>
          <w:p>
            <w:pPr>
              <w:pStyle w:val="TableParagraph"/>
              <w:rPr>
                <w:rFonts w:ascii="Times New Roman"/>
                <w:sz w:val="12"/>
              </w:rPr>
            </w:pPr>
          </w:p>
        </w:tc>
        <w:tc>
          <w:tcPr>
            <w:tcW w:w="2779" w:type="dxa"/>
          </w:tcPr>
          <w:p>
            <w:pPr>
              <w:pStyle w:val="TableParagraph"/>
              <w:spacing w:line="138" w:lineRule="exact" w:before="26"/>
              <w:ind w:left="497"/>
              <w:rPr>
                <w:sz w:val="12"/>
              </w:rPr>
            </w:pPr>
            <w:r>
              <w:rPr>
                <w:color w:val="231F20"/>
                <w:spacing w:val="-2"/>
                <w:w w:val="105"/>
                <w:sz w:val="12"/>
              </w:rPr>
              <w:t>FA9453-18-3-</w:t>
            </w:r>
            <w:r>
              <w:rPr>
                <w:color w:val="231F20"/>
                <w:spacing w:val="-4"/>
                <w:w w:val="105"/>
                <w:sz w:val="12"/>
              </w:rPr>
              <w:t>0073</w:t>
            </w:r>
          </w:p>
        </w:tc>
        <w:tc>
          <w:tcPr>
            <w:tcW w:w="1159" w:type="dxa"/>
          </w:tcPr>
          <w:p>
            <w:pPr>
              <w:pStyle w:val="TableParagraph"/>
              <w:spacing w:line="132" w:lineRule="exact" w:before="32"/>
              <w:ind w:left="372" w:right="371"/>
              <w:jc w:val="center"/>
              <w:rPr>
                <w:sz w:val="12"/>
              </w:rPr>
            </w:pPr>
            <w:r>
              <w:rPr>
                <w:color w:val="231F20"/>
                <w:spacing w:val="-2"/>
                <w:w w:val="105"/>
                <w:sz w:val="12"/>
              </w:rPr>
              <w:t>12.615</w:t>
            </w:r>
          </w:p>
        </w:tc>
        <w:tc>
          <w:tcPr>
            <w:tcW w:w="1134" w:type="dxa"/>
          </w:tcPr>
          <w:p>
            <w:pPr>
              <w:pStyle w:val="TableParagraph"/>
              <w:spacing w:line="132" w:lineRule="exact" w:before="32"/>
              <w:ind w:right="28"/>
              <w:jc w:val="right"/>
              <w:rPr>
                <w:sz w:val="12"/>
              </w:rPr>
            </w:pPr>
            <w:r>
              <w:rPr>
                <w:color w:val="231F20"/>
                <w:spacing w:val="-2"/>
                <w:w w:val="105"/>
                <w:sz w:val="12"/>
              </w:rPr>
              <w:t>(5,298)</w:t>
            </w:r>
          </w:p>
        </w:tc>
        <w:tc>
          <w:tcPr>
            <w:tcW w:w="152" w:type="dxa"/>
          </w:tcPr>
          <w:p>
            <w:pPr>
              <w:pStyle w:val="TableParagraph"/>
              <w:rPr>
                <w:rFonts w:ascii="Times New Roman"/>
                <w:sz w:val="12"/>
              </w:rPr>
            </w:pPr>
          </w:p>
        </w:tc>
        <w:tc>
          <w:tcPr>
            <w:tcW w:w="1134" w:type="dxa"/>
          </w:tcPr>
          <w:p>
            <w:pPr>
              <w:pStyle w:val="TableParagraph"/>
              <w:spacing w:line="132" w:lineRule="exact" w:before="32"/>
              <w:ind w:right="65"/>
              <w:jc w:val="right"/>
              <w:rPr>
                <w:sz w:val="12"/>
              </w:rPr>
            </w:pPr>
            <w:r>
              <w:rPr>
                <w:color w:val="231F20"/>
                <w:spacing w:val="-2"/>
                <w:w w:val="105"/>
                <w:sz w:val="12"/>
              </w:rPr>
              <w:t>1,103,849</w:t>
            </w:r>
          </w:p>
        </w:tc>
      </w:tr>
      <w:tr>
        <w:trPr>
          <w:trHeight w:val="171" w:hRule="atLeast"/>
        </w:trPr>
        <w:tc>
          <w:tcPr>
            <w:tcW w:w="4428" w:type="dxa"/>
          </w:tcPr>
          <w:p>
            <w:pPr>
              <w:pStyle w:val="TableParagraph"/>
              <w:spacing w:line="138" w:lineRule="exact" w:before="14"/>
              <w:ind w:left="373"/>
              <w:rPr>
                <w:sz w:val="12"/>
              </w:rPr>
            </w:pPr>
            <w:r>
              <w:rPr>
                <w:color w:val="231F20"/>
                <w:w w:val="105"/>
                <w:sz w:val="12"/>
              </w:rPr>
              <w:t>Air</w:t>
            </w:r>
            <w:r>
              <w:rPr>
                <w:color w:val="231F20"/>
                <w:spacing w:val="-5"/>
                <w:w w:val="105"/>
                <w:sz w:val="12"/>
              </w:rPr>
              <w:t> </w:t>
            </w:r>
            <w:r>
              <w:rPr>
                <w:color w:val="231F20"/>
                <w:w w:val="105"/>
                <w:sz w:val="12"/>
              </w:rPr>
              <w:t>Force</w:t>
            </w:r>
            <w:r>
              <w:rPr>
                <w:color w:val="231F20"/>
                <w:spacing w:val="-4"/>
                <w:w w:val="105"/>
                <w:sz w:val="12"/>
              </w:rPr>
              <w:t> </w:t>
            </w:r>
            <w:r>
              <w:rPr>
                <w:color w:val="231F20"/>
                <w:w w:val="105"/>
                <w:sz w:val="12"/>
              </w:rPr>
              <w:t>Defense</w:t>
            </w:r>
            <w:r>
              <w:rPr>
                <w:color w:val="231F20"/>
                <w:spacing w:val="-4"/>
                <w:w w:val="105"/>
                <w:sz w:val="12"/>
              </w:rPr>
              <w:t> </w:t>
            </w:r>
            <w:r>
              <w:rPr>
                <w:color w:val="231F20"/>
                <w:w w:val="105"/>
                <w:sz w:val="12"/>
              </w:rPr>
              <w:t>Research</w:t>
            </w:r>
            <w:r>
              <w:rPr>
                <w:color w:val="231F20"/>
                <w:spacing w:val="-3"/>
                <w:w w:val="105"/>
                <w:sz w:val="12"/>
              </w:rPr>
              <w:t> </w:t>
            </w:r>
            <w:r>
              <w:rPr>
                <w:color w:val="231F20"/>
                <w:w w:val="105"/>
                <w:sz w:val="12"/>
              </w:rPr>
              <w:t>Sciences</w:t>
            </w:r>
            <w:r>
              <w:rPr>
                <w:color w:val="231F20"/>
                <w:spacing w:val="-4"/>
                <w:w w:val="105"/>
                <w:sz w:val="12"/>
              </w:rPr>
              <w:t> </w:t>
            </w:r>
            <w:r>
              <w:rPr>
                <w:color w:val="231F20"/>
                <w:spacing w:val="-2"/>
                <w:w w:val="105"/>
                <w:sz w:val="12"/>
              </w:rPr>
              <w:t>Program</w:t>
            </w:r>
          </w:p>
        </w:tc>
        <w:tc>
          <w:tcPr>
            <w:tcW w:w="952" w:type="dxa"/>
          </w:tcPr>
          <w:p>
            <w:pPr>
              <w:pStyle w:val="TableParagraph"/>
              <w:spacing w:line="132" w:lineRule="exact" w:before="20"/>
              <w:ind w:left="407"/>
              <w:rPr>
                <w:sz w:val="12"/>
              </w:rPr>
            </w:pPr>
            <w:r>
              <w:rPr>
                <w:color w:val="231F20"/>
                <w:spacing w:val="-4"/>
                <w:w w:val="105"/>
                <w:sz w:val="12"/>
              </w:rPr>
              <w:t>FSTO</w:t>
            </w:r>
          </w:p>
        </w:tc>
        <w:tc>
          <w:tcPr>
            <w:tcW w:w="2703" w:type="dxa"/>
          </w:tcPr>
          <w:p>
            <w:pPr>
              <w:pStyle w:val="TableParagraph"/>
              <w:rPr>
                <w:rFonts w:ascii="Times New Roman"/>
                <w:sz w:val="10"/>
              </w:rPr>
            </w:pPr>
          </w:p>
        </w:tc>
        <w:tc>
          <w:tcPr>
            <w:tcW w:w="2779" w:type="dxa"/>
          </w:tcPr>
          <w:p>
            <w:pPr>
              <w:pStyle w:val="TableParagraph"/>
              <w:spacing w:line="138" w:lineRule="exact" w:before="14"/>
              <w:ind w:left="497"/>
              <w:rPr>
                <w:sz w:val="12"/>
              </w:rPr>
            </w:pPr>
            <w:r>
              <w:rPr>
                <w:color w:val="231F20"/>
                <w:spacing w:val="-2"/>
                <w:w w:val="105"/>
                <w:sz w:val="12"/>
              </w:rPr>
              <w:t>FA9453-17-3-</w:t>
            </w:r>
            <w:r>
              <w:rPr>
                <w:color w:val="231F20"/>
                <w:spacing w:val="-4"/>
                <w:w w:val="105"/>
                <w:sz w:val="12"/>
              </w:rPr>
              <w:t>0072</w:t>
            </w:r>
          </w:p>
        </w:tc>
        <w:tc>
          <w:tcPr>
            <w:tcW w:w="1159" w:type="dxa"/>
          </w:tcPr>
          <w:p>
            <w:pPr>
              <w:pStyle w:val="TableParagraph"/>
              <w:spacing w:line="132" w:lineRule="exact" w:before="20"/>
              <w:ind w:left="372" w:right="371"/>
              <w:jc w:val="center"/>
              <w:rPr>
                <w:sz w:val="12"/>
              </w:rPr>
            </w:pPr>
            <w:r>
              <w:rPr>
                <w:color w:val="231F20"/>
                <w:spacing w:val="-2"/>
                <w:w w:val="105"/>
                <w:sz w:val="12"/>
              </w:rPr>
              <w:t>12.800</w:t>
            </w:r>
          </w:p>
        </w:tc>
        <w:tc>
          <w:tcPr>
            <w:tcW w:w="1134" w:type="dxa"/>
          </w:tcPr>
          <w:p>
            <w:pPr>
              <w:pStyle w:val="TableParagraph"/>
              <w:spacing w:line="132" w:lineRule="exact" w:before="20"/>
              <w:ind w:right="69"/>
              <w:jc w:val="right"/>
              <w:rPr>
                <w:sz w:val="12"/>
              </w:rPr>
            </w:pPr>
            <w:r>
              <w:rPr>
                <w:color w:val="231F20"/>
                <w:spacing w:val="-2"/>
                <w:w w:val="105"/>
                <w:sz w:val="12"/>
              </w:rPr>
              <w:t>111,799</w:t>
            </w:r>
          </w:p>
        </w:tc>
        <w:tc>
          <w:tcPr>
            <w:tcW w:w="152" w:type="dxa"/>
          </w:tcPr>
          <w:p>
            <w:pPr>
              <w:pStyle w:val="TableParagraph"/>
              <w:rPr>
                <w:rFonts w:ascii="Times New Roman"/>
                <w:sz w:val="10"/>
              </w:rPr>
            </w:pPr>
          </w:p>
        </w:tc>
        <w:tc>
          <w:tcPr>
            <w:tcW w:w="1134" w:type="dxa"/>
          </w:tcPr>
          <w:p>
            <w:pPr>
              <w:pStyle w:val="TableParagraph"/>
              <w:spacing w:line="132" w:lineRule="exact" w:before="20"/>
              <w:ind w:right="65"/>
              <w:jc w:val="right"/>
              <w:rPr>
                <w:sz w:val="12"/>
              </w:rPr>
            </w:pPr>
            <w:r>
              <w:rPr>
                <w:color w:val="231F20"/>
                <w:spacing w:val="-2"/>
                <w:w w:val="105"/>
                <w:sz w:val="12"/>
              </w:rPr>
              <w:t>1,575,486</w:t>
            </w:r>
          </w:p>
        </w:tc>
      </w:tr>
      <w:tr>
        <w:trPr>
          <w:trHeight w:val="172" w:hRule="atLeast"/>
        </w:trPr>
        <w:tc>
          <w:tcPr>
            <w:tcW w:w="4428" w:type="dxa"/>
          </w:tcPr>
          <w:p>
            <w:pPr>
              <w:pStyle w:val="TableParagraph"/>
              <w:spacing w:before="14"/>
              <w:ind w:left="373"/>
              <w:rPr>
                <w:sz w:val="12"/>
              </w:rPr>
            </w:pPr>
            <w:r>
              <w:rPr>
                <w:color w:val="231F20"/>
                <w:w w:val="105"/>
                <w:sz w:val="12"/>
              </w:rPr>
              <w:t>Air</w:t>
            </w:r>
            <w:r>
              <w:rPr>
                <w:color w:val="231F20"/>
                <w:spacing w:val="-5"/>
                <w:w w:val="105"/>
                <w:sz w:val="12"/>
              </w:rPr>
              <w:t> </w:t>
            </w:r>
            <w:r>
              <w:rPr>
                <w:color w:val="231F20"/>
                <w:w w:val="105"/>
                <w:sz w:val="12"/>
              </w:rPr>
              <w:t>Force</w:t>
            </w:r>
            <w:r>
              <w:rPr>
                <w:color w:val="231F20"/>
                <w:spacing w:val="-4"/>
                <w:w w:val="105"/>
                <w:sz w:val="12"/>
              </w:rPr>
              <w:t> </w:t>
            </w:r>
            <w:r>
              <w:rPr>
                <w:color w:val="231F20"/>
                <w:w w:val="105"/>
                <w:sz w:val="12"/>
              </w:rPr>
              <w:t>Defense</w:t>
            </w:r>
            <w:r>
              <w:rPr>
                <w:color w:val="231F20"/>
                <w:spacing w:val="-4"/>
                <w:w w:val="105"/>
                <w:sz w:val="12"/>
              </w:rPr>
              <w:t> </w:t>
            </w:r>
            <w:r>
              <w:rPr>
                <w:color w:val="231F20"/>
                <w:w w:val="105"/>
                <w:sz w:val="12"/>
              </w:rPr>
              <w:t>Research</w:t>
            </w:r>
            <w:r>
              <w:rPr>
                <w:color w:val="231F20"/>
                <w:spacing w:val="-3"/>
                <w:w w:val="105"/>
                <w:sz w:val="12"/>
              </w:rPr>
              <w:t> </w:t>
            </w:r>
            <w:r>
              <w:rPr>
                <w:color w:val="231F20"/>
                <w:w w:val="105"/>
                <w:sz w:val="12"/>
              </w:rPr>
              <w:t>Sciences</w:t>
            </w:r>
            <w:r>
              <w:rPr>
                <w:color w:val="231F20"/>
                <w:spacing w:val="-4"/>
                <w:w w:val="105"/>
                <w:sz w:val="12"/>
              </w:rPr>
              <w:t> </w:t>
            </w:r>
            <w:r>
              <w:rPr>
                <w:color w:val="231F20"/>
                <w:spacing w:val="-2"/>
                <w:w w:val="105"/>
                <w:sz w:val="12"/>
              </w:rPr>
              <w:t>Program</w:t>
            </w:r>
          </w:p>
        </w:tc>
        <w:tc>
          <w:tcPr>
            <w:tcW w:w="952" w:type="dxa"/>
          </w:tcPr>
          <w:p>
            <w:pPr>
              <w:pStyle w:val="TableParagraph"/>
              <w:spacing w:line="132" w:lineRule="exact" w:before="20"/>
              <w:ind w:left="417"/>
              <w:rPr>
                <w:sz w:val="12"/>
              </w:rPr>
            </w:pPr>
            <w:r>
              <w:rPr>
                <w:color w:val="231F20"/>
                <w:spacing w:val="-4"/>
                <w:w w:val="105"/>
                <w:sz w:val="12"/>
              </w:rPr>
              <w:t>FSWI</w:t>
            </w:r>
          </w:p>
        </w:tc>
        <w:tc>
          <w:tcPr>
            <w:tcW w:w="2703" w:type="dxa"/>
          </w:tcPr>
          <w:p>
            <w:pPr>
              <w:pStyle w:val="TableParagraph"/>
              <w:rPr>
                <w:rFonts w:ascii="Times New Roman"/>
                <w:sz w:val="10"/>
              </w:rPr>
            </w:pPr>
          </w:p>
        </w:tc>
        <w:tc>
          <w:tcPr>
            <w:tcW w:w="2779" w:type="dxa"/>
          </w:tcPr>
          <w:p>
            <w:pPr>
              <w:pStyle w:val="TableParagraph"/>
              <w:spacing w:before="14"/>
              <w:ind w:left="497"/>
              <w:rPr>
                <w:sz w:val="12"/>
              </w:rPr>
            </w:pPr>
            <w:r>
              <w:rPr>
                <w:color w:val="231F20"/>
                <w:spacing w:val="-2"/>
                <w:w w:val="105"/>
                <w:sz w:val="12"/>
              </w:rPr>
              <w:t>FA9453-22-3-</w:t>
            </w:r>
            <w:r>
              <w:rPr>
                <w:color w:val="231F20"/>
                <w:spacing w:val="-4"/>
                <w:w w:val="105"/>
                <w:sz w:val="12"/>
              </w:rPr>
              <w:t>0002</w:t>
            </w:r>
          </w:p>
        </w:tc>
        <w:tc>
          <w:tcPr>
            <w:tcW w:w="1159" w:type="dxa"/>
          </w:tcPr>
          <w:p>
            <w:pPr>
              <w:pStyle w:val="TableParagraph"/>
              <w:spacing w:line="132" w:lineRule="exact" w:before="20"/>
              <w:ind w:left="372" w:right="371"/>
              <w:jc w:val="center"/>
              <w:rPr>
                <w:sz w:val="12"/>
              </w:rPr>
            </w:pPr>
            <w:r>
              <w:rPr>
                <w:color w:val="231F20"/>
                <w:spacing w:val="-2"/>
                <w:w w:val="105"/>
                <w:sz w:val="12"/>
              </w:rPr>
              <w:t>12.800</w:t>
            </w:r>
          </w:p>
        </w:tc>
        <w:tc>
          <w:tcPr>
            <w:tcW w:w="1134" w:type="dxa"/>
          </w:tcPr>
          <w:p>
            <w:pPr>
              <w:pStyle w:val="TableParagraph"/>
              <w:spacing w:line="132" w:lineRule="exact" w:before="20"/>
              <w:ind w:right="69"/>
              <w:jc w:val="right"/>
              <w:rPr>
                <w:sz w:val="12"/>
              </w:rPr>
            </w:pPr>
            <w:r>
              <w:rPr>
                <w:color w:val="231F20"/>
                <w:w w:val="105"/>
                <w:sz w:val="12"/>
              </w:rPr>
              <w:t>-</w:t>
            </w:r>
          </w:p>
        </w:tc>
        <w:tc>
          <w:tcPr>
            <w:tcW w:w="152" w:type="dxa"/>
          </w:tcPr>
          <w:p>
            <w:pPr>
              <w:pStyle w:val="TableParagraph"/>
              <w:rPr>
                <w:rFonts w:ascii="Times New Roman"/>
                <w:sz w:val="10"/>
              </w:rPr>
            </w:pPr>
          </w:p>
        </w:tc>
        <w:tc>
          <w:tcPr>
            <w:tcW w:w="1134" w:type="dxa"/>
          </w:tcPr>
          <w:p>
            <w:pPr>
              <w:pStyle w:val="TableParagraph"/>
              <w:spacing w:line="132" w:lineRule="exact" w:before="20"/>
              <w:ind w:right="65"/>
              <w:jc w:val="right"/>
              <w:rPr>
                <w:sz w:val="12"/>
              </w:rPr>
            </w:pPr>
            <w:r>
              <w:rPr>
                <w:color w:val="231F20"/>
                <w:spacing w:val="-2"/>
                <w:w w:val="105"/>
                <w:sz w:val="12"/>
              </w:rPr>
              <w:t>1,188,142</w:t>
            </w:r>
          </w:p>
        </w:tc>
      </w:tr>
      <w:tr>
        <w:trPr>
          <w:trHeight w:val="172" w:hRule="atLeast"/>
        </w:trPr>
        <w:tc>
          <w:tcPr>
            <w:tcW w:w="4428" w:type="dxa"/>
          </w:tcPr>
          <w:p>
            <w:pPr>
              <w:pStyle w:val="TableParagraph"/>
              <w:spacing w:line="138" w:lineRule="exact" w:before="14"/>
              <w:ind w:left="374"/>
              <w:rPr>
                <w:sz w:val="12"/>
              </w:rPr>
            </w:pPr>
            <w:r>
              <w:rPr>
                <w:color w:val="231F20"/>
                <w:w w:val="105"/>
                <w:sz w:val="12"/>
              </w:rPr>
              <w:t>Research</w:t>
            </w:r>
            <w:r>
              <w:rPr>
                <w:color w:val="231F20"/>
                <w:spacing w:val="-5"/>
                <w:w w:val="105"/>
                <w:sz w:val="12"/>
              </w:rPr>
              <w:t> </w:t>
            </w:r>
            <w:r>
              <w:rPr>
                <w:color w:val="231F20"/>
                <w:w w:val="105"/>
                <w:sz w:val="12"/>
              </w:rPr>
              <w:t>and</w:t>
            </w:r>
            <w:r>
              <w:rPr>
                <w:color w:val="231F20"/>
                <w:spacing w:val="-3"/>
                <w:w w:val="105"/>
                <w:sz w:val="12"/>
              </w:rPr>
              <w:t> </w:t>
            </w:r>
            <w:r>
              <w:rPr>
                <w:color w:val="231F20"/>
                <w:w w:val="105"/>
                <w:sz w:val="12"/>
              </w:rPr>
              <w:t>Technology</w:t>
            </w:r>
            <w:r>
              <w:rPr>
                <w:color w:val="231F20"/>
                <w:spacing w:val="-3"/>
                <w:w w:val="105"/>
                <w:sz w:val="12"/>
              </w:rPr>
              <w:t> </w:t>
            </w:r>
            <w:r>
              <w:rPr>
                <w:color w:val="231F20"/>
                <w:spacing w:val="-2"/>
                <w:w w:val="105"/>
                <w:sz w:val="12"/>
              </w:rPr>
              <w:t>Development</w:t>
            </w:r>
          </w:p>
        </w:tc>
        <w:tc>
          <w:tcPr>
            <w:tcW w:w="952" w:type="dxa"/>
          </w:tcPr>
          <w:p>
            <w:pPr>
              <w:pStyle w:val="TableParagraph"/>
              <w:spacing w:line="132" w:lineRule="exact" w:before="20"/>
              <w:ind w:left="438"/>
              <w:rPr>
                <w:sz w:val="12"/>
              </w:rPr>
            </w:pPr>
            <w:r>
              <w:rPr>
                <w:color w:val="231F20"/>
                <w:spacing w:val="-4"/>
                <w:w w:val="105"/>
                <w:sz w:val="12"/>
              </w:rPr>
              <w:t>FITP</w:t>
            </w:r>
          </w:p>
        </w:tc>
        <w:tc>
          <w:tcPr>
            <w:tcW w:w="2703" w:type="dxa"/>
          </w:tcPr>
          <w:p>
            <w:pPr>
              <w:pStyle w:val="TableParagraph"/>
              <w:rPr>
                <w:rFonts w:ascii="Times New Roman"/>
                <w:sz w:val="10"/>
              </w:rPr>
            </w:pPr>
          </w:p>
        </w:tc>
        <w:tc>
          <w:tcPr>
            <w:tcW w:w="2779" w:type="dxa"/>
          </w:tcPr>
          <w:p>
            <w:pPr>
              <w:pStyle w:val="TableParagraph"/>
              <w:spacing w:line="138" w:lineRule="exact" w:before="14"/>
              <w:ind w:left="497"/>
              <w:rPr>
                <w:sz w:val="12"/>
              </w:rPr>
            </w:pPr>
            <w:r>
              <w:rPr>
                <w:color w:val="231F20"/>
                <w:spacing w:val="-2"/>
                <w:w w:val="105"/>
                <w:sz w:val="12"/>
              </w:rPr>
              <w:t>FA9453-22-2-</w:t>
            </w:r>
            <w:r>
              <w:rPr>
                <w:color w:val="231F20"/>
                <w:spacing w:val="-4"/>
                <w:w w:val="105"/>
                <w:sz w:val="12"/>
              </w:rPr>
              <w:t>0040</w:t>
            </w:r>
          </w:p>
        </w:tc>
        <w:tc>
          <w:tcPr>
            <w:tcW w:w="1159" w:type="dxa"/>
          </w:tcPr>
          <w:p>
            <w:pPr>
              <w:pStyle w:val="TableParagraph"/>
              <w:spacing w:line="132" w:lineRule="exact" w:before="20"/>
              <w:ind w:left="372" w:right="371"/>
              <w:jc w:val="center"/>
              <w:rPr>
                <w:sz w:val="12"/>
              </w:rPr>
            </w:pPr>
            <w:r>
              <w:rPr>
                <w:color w:val="231F20"/>
                <w:spacing w:val="-2"/>
                <w:w w:val="105"/>
                <w:sz w:val="12"/>
              </w:rPr>
              <w:t>12.910</w:t>
            </w:r>
          </w:p>
        </w:tc>
        <w:tc>
          <w:tcPr>
            <w:tcW w:w="1134" w:type="dxa"/>
          </w:tcPr>
          <w:p>
            <w:pPr>
              <w:pStyle w:val="TableParagraph"/>
              <w:spacing w:line="132" w:lineRule="exact" w:before="20"/>
              <w:ind w:right="69"/>
              <w:jc w:val="right"/>
              <w:rPr>
                <w:sz w:val="12"/>
              </w:rPr>
            </w:pPr>
            <w:r>
              <w:rPr>
                <w:color w:val="231F20"/>
                <w:spacing w:val="-2"/>
                <w:w w:val="105"/>
                <w:sz w:val="12"/>
              </w:rPr>
              <w:t>20,615</w:t>
            </w:r>
          </w:p>
        </w:tc>
        <w:tc>
          <w:tcPr>
            <w:tcW w:w="152" w:type="dxa"/>
          </w:tcPr>
          <w:p>
            <w:pPr>
              <w:pStyle w:val="TableParagraph"/>
              <w:rPr>
                <w:rFonts w:ascii="Times New Roman"/>
                <w:sz w:val="10"/>
              </w:rPr>
            </w:pPr>
          </w:p>
        </w:tc>
        <w:tc>
          <w:tcPr>
            <w:tcW w:w="1134" w:type="dxa"/>
          </w:tcPr>
          <w:p>
            <w:pPr>
              <w:pStyle w:val="TableParagraph"/>
              <w:spacing w:line="132" w:lineRule="exact" w:before="20"/>
              <w:ind w:right="66"/>
              <w:jc w:val="right"/>
              <w:rPr>
                <w:sz w:val="12"/>
              </w:rPr>
            </w:pPr>
            <w:r>
              <w:rPr>
                <w:color w:val="231F20"/>
                <w:spacing w:val="-2"/>
                <w:w w:val="105"/>
                <w:sz w:val="12"/>
              </w:rPr>
              <w:t>334,103</w:t>
            </w:r>
          </w:p>
        </w:tc>
      </w:tr>
      <w:tr>
        <w:trPr>
          <w:trHeight w:val="164" w:hRule="atLeast"/>
        </w:trPr>
        <w:tc>
          <w:tcPr>
            <w:tcW w:w="4428" w:type="dxa"/>
          </w:tcPr>
          <w:p>
            <w:pPr>
              <w:pStyle w:val="TableParagraph"/>
              <w:spacing w:line="130" w:lineRule="exact" w:before="14"/>
              <w:ind w:left="374"/>
              <w:rPr>
                <w:sz w:val="12"/>
              </w:rPr>
            </w:pPr>
            <w:r>
              <w:rPr>
                <w:color w:val="231F20"/>
                <w:w w:val="105"/>
                <w:sz w:val="12"/>
              </w:rPr>
              <w:t>Research</w:t>
            </w:r>
            <w:r>
              <w:rPr>
                <w:color w:val="231F20"/>
                <w:spacing w:val="-5"/>
                <w:w w:val="105"/>
                <w:sz w:val="12"/>
              </w:rPr>
              <w:t> </w:t>
            </w:r>
            <w:r>
              <w:rPr>
                <w:color w:val="231F20"/>
                <w:w w:val="105"/>
                <w:sz w:val="12"/>
              </w:rPr>
              <w:t>and</w:t>
            </w:r>
            <w:r>
              <w:rPr>
                <w:color w:val="231F20"/>
                <w:spacing w:val="-3"/>
                <w:w w:val="105"/>
                <w:sz w:val="12"/>
              </w:rPr>
              <w:t> </w:t>
            </w:r>
            <w:r>
              <w:rPr>
                <w:color w:val="231F20"/>
                <w:w w:val="105"/>
                <w:sz w:val="12"/>
              </w:rPr>
              <w:t>Technology</w:t>
            </w:r>
            <w:r>
              <w:rPr>
                <w:color w:val="231F20"/>
                <w:spacing w:val="-3"/>
                <w:w w:val="105"/>
                <w:sz w:val="12"/>
              </w:rPr>
              <w:t> </w:t>
            </w:r>
            <w:r>
              <w:rPr>
                <w:color w:val="231F20"/>
                <w:spacing w:val="-2"/>
                <w:w w:val="105"/>
                <w:sz w:val="12"/>
              </w:rPr>
              <w:t>Development</w:t>
            </w:r>
          </w:p>
        </w:tc>
        <w:tc>
          <w:tcPr>
            <w:tcW w:w="952" w:type="dxa"/>
          </w:tcPr>
          <w:p>
            <w:pPr>
              <w:pStyle w:val="TableParagraph"/>
              <w:spacing w:line="124" w:lineRule="exact" w:before="20"/>
              <w:ind w:left="392"/>
              <w:rPr>
                <w:sz w:val="12"/>
              </w:rPr>
            </w:pPr>
            <w:r>
              <w:rPr>
                <w:color w:val="231F20"/>
                <w:spacing w:val="-4"/>
                <w:w w:val="105"/>
                <w:sz w:val="12"/>
              </w:rPr>
              <w:t>FMRO</w:t>
            </w:r>
          </w:p>
        </w:tc>
        <w:tc>
          <w:tcPr>
            <w:tcW w:w="2703" w:type="dxa"/>
          </w:tcPr>
          <w:p>
            <w:pPr>
              <w:pStyle w:val="TableParagraph"/>
              <w:rPr>
                <w:rFonts w:ascii="Times New Roman"/>
                <w:sz w:val="10"/>
              </w:rPr>
            </w:pPr>
          </w:p>
        </w:tc>
        <w:tc>
          <w:tcPr>
            <w:tcW w:w="2779" w:type="dxa"/>
          </w:tcPr>
          <w:p>
            <w:pPr>
              <w:pStyle w:val="TableParagraph"/>
              <w:spacing w:line="130" w:lineRule="exact" w:before="14"/>
              <w:ind w:left="497"/>
              <w:rPr>
                <w:sz w:val="12"/>
              </w:rPr>
            </w:pPr>
            <w:r>
              <w:rPr>
                <w:color w:val="231F20"/>
                <w:spacing w:val="-2"/>
                <w:w w:val="105"/>
                <w:sz w:val="12"/>
              </w:rPr>
              <w:t>FA9453-22-2-</w:t>
            </w:r>
            <w:r>
              <w:rPr>
                <w:color w:val="231F20"/>
                <w:spacing w:val="-4"/>
                <w:w w:val="105"/>
                <w:sz w:val="12"/>
              </w:rPr>
              <w:t>0040</w:t>
            </w:r>
          </w:p>
        </w:tc>
        <w:tc>
          <w:tcPr>
            <w:tcW w:w="1159" w:type="dxa"/>
          </w:tcPr>
          <w:p>
            <w:pPr>
              <w:pStyle w:val="TableParagraph"/>
              <w:spacing w:line="124" w:lineRule="exact" w:before="20"/>
              <w:ind w:left="372" w:right="371"/>
              <w:jc w:val="center"/>
              <w:rPr>
                <w:sz w:val="12"/>
              </w:rPr>
            </w:pPr>
            <w:r>
              <w:rPr>
                <w:color w:val="231F20"/>
                <w:spacing w:val="-2"/>
                <w:w w:val="105"/>
                <w:sz w:val="12"/>
              </w:rPr>
              <w:t>12.910</w:t>
            </w:r>
          </w:p>
        </w:tc>
        <w:tc>
          <w:tcPr>
            <w:tcW w:w="1134" w:type="dxa"/>
            <w:tcBorders>
              <w:bottom w:val="single" w:sz="8" w:space="0" w:color="231F20"/>
            </w:tcBorders>
          </w:tcPr>
          <w:p>
            <w:pPr>
              <w:pStyle w:val="TableParagraph"/>
              <w:spacing w:line="124" w:lineRule="exact" w:before="20"/>
              <w:ind w:right="69"/>
              <w:jc w:val="right"/>
              <w:rPr>
                <w:sz w:val="12"/>
              </w:rPr>
            </w:pPr>
            <w:r>
              <w:rPr>
                <w:color w:val="231F20"/>
                <w:spacing w:val="-2"/>
                <w:w w:val="105"/>
                <w:sz w:val="12"/>
              </w:rPr>
              <w:t>7,546</w:t>
            </w:r>
          </w:p>
        </w:tc>
        <w:tc>
          <w:tcPr>
            <w:tcW w:w="152" w:type="dxa"/>
          </w:tcPr>
          <w:p>
            <w:pPr>
              <w:pStyle w:val="TableParagraph"/>
              <w:rPr>
                <w:rFonts w:ascii="Times New Roman"/>
                <w:sz w:val="10"/>
              </w:rPr>
            </w:pPr>
          </w:p>
        </w:tc>
        <w:tc>
          <w:tcPr>
            <w:tcW w:w="1134" w:type="dxa"/>
            <w:tcBorders>
              <w:bottom w:val="single" w:sz="8" w:space="0" w:color="231F20"/>
            </w:tcBorders>
          </w:tcPr>
          <w:p>
            <w:pPr>
              <w:pStyle w:val="TableParagraph"/>
              <w:spacing w:line="124" w:lineRule="exact" w:before="20"/>
              <w:ind w:right="65"/>
              <w:jc w:val="right"/>
              <w:rPr>
                <w:sz w:val="12"/>
              </w:rPr>
            </w:pPr>
            <w:r>
              <w:rPr>
                <w:color w:val="231F20"/>
                <w:spacing w:val="-2"/>
                <w:w w:val="105"/>
                <w:sz w:val="12"/>
              </w:rPr>
              <w:t>1,389,345</w:t>
            </w:r>
          </w:p>
        </w:tc>
      </w:tr>
      <w:tr>
        <w:trPr>
          <w:trHeight w:val="151" w:hRule="atLeast"/>
        </w:trPr>
        <w:tc>
          <w:tcPr>
            <w:tcW w:w="4428" w:type="dxa"/>
          </w:tcPr>
          <w:p>
            <w:pPr>
              <w:pStyle w:val="TableParagraph"/>
              <w:spacing w:line="124" w:lineRule="exact" w:before="7"/>
              <w:ind w:left="203"/>
              <w:rPr>
                <w:b/>
                <w:sz w:val="12"/>
              </w:rPr>
            </w:pPr>
            <w:r>
              <w:rPr>
                <w:b/>
                <w:color w:val="231F20"/>
                <w:w w:val="105"/>
                <w:sz w:val="12"/>
              </w:rPr>
              <w:t>Total</w:t>
            </w:r>
            <w:r>
              <w:rPr>
                <w:b/>
                <w:color w:val="231F20"/>
                <w:spacing w:val="-5"/>
                <w:w w:val="105"/>
                <w:sz w:val="12"/>
              </w:rPr>
              <w:t> </w:t>
            </w:r>
            <w:r>
              <w:rPr>
                <w:b/>
                <w:color w:val="231F20"/>
                <w:w w:val="105"/>
                <w:sz w:val="12"/>
              </w:rPr>
              <w:t>Direct</w:t>
            </w:r>
            <w:r>
              <w:rPr>
                <w:b/>
                <w:color w:val="231F20"/>
                <w:spacing w:val="-4"/>
                <w:w w:val="105"/>
                <w:sz w:val="12"/>
              </w:rPr>
              <w:t> </w:t>
            </w:r>
            <w:r>
              <w:rPr>
                <w:b/>
                <w:color w:val="231F20"/>
                <w:w w:val="105"/>
                <w:sz w:val="12"/>
              </w:rPr>
              <w:t>U.S.</w:t>
            </w:r>
            <w:r>
              <w:rPr>
                <w:b/>
                <w:color w:val="231F20"/>
                <w:spacing w:val="-4"/>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3"/>
                <w:w w:val="105"/>
                <w:sz w:val="12"/>
              </w:rPr>
              <w:t> </w:t>
            </w:r>
            <w:r>
              <w:rPr>
                <w:b/>
                <w:color w:val="231F20"/>
                <w:spacing w:val="-2"/>
                <w:w w:val="105"/>
                <w:sz w:val="12"/>
              </w:rPr>
              <w:t>Defense</w:t>
            </w:r>
          </w:p>
        </w:tc>
        <w:tc>
          <w:tcPr>
            <w:tcW w:w="952" w:type="dxa"/>
          </w:tcPr>
          <w:p>
            <w:pPr>
              <w:pStyle w:val="TableParagraph"/>
              <w:rPr>
                <w:rFonts w:ascii="Times New Roman"/>
                <w:sz w:val="8"/>
              </w:rPr>
            </w:pPr>
          </w:p>
        </w:tc>
        <w:tc>
          <w:tcPr>
            <w:tcW w:w="2703" w:type="dxa"/>
          </w:tcPr>
          <w:p>
            <w:pPr>
              <w:pStyle w:val="TableParagraph"/>
              <w:rPr>
                <w:rFonts w:ascii="Times New Roman"/>
                <w:sz w:val="8"/>
              </w:rPr>
            </w:pPr>
          </w:p>
        </w:tc>
        <w:tc>
          <w:tcPr>
            <w:tcW w:w="2779" w:type="dxa"/>
          </w:tcPr>
          <w:p>
            <w:pPr>
              <w:pStyle w:val="TableParagraph"/>
              <w:rPr>
                <w:rFonts w:ascii="Times New Roman"/>
                <w:sz w:val="8"/>
              </w:rPr>
            </w:pPr>
          </w:p>
        </w:tc>
        <w:tc>
          <w:tcPr>
            <w:tcW w:w="1159" w:type="dxa"/>
          </w:tcPr>
          <w:p>
            <w:pPr>
              <w:pStyle w:val="TableParagraph"/>
              <w:rPr>
                <w:rFonts w:ascii="Times New Roman"/>
                <w:sz w:val="8"/>
              </w:rPr>
            </w:pPr>
          </w:p>
        </w:tc>
        <w:tc>
          <w:tcPr>
            <w:tcW w:w="1134" w:type="dxa"/>
            <w:tcBorders>
              <w:top w:val="single" w:sz="8" w:space="0" w:color="231F20"/>
              <w:bottom w:val="single" w:sz="8" w:space="0" w:color="231F20"/>
            </w:tcBorders>
          </w:tcPr>
          <w:p>
            <w:pPr>
              <w:pStyle w:val="TableParagraph"/>
              <w:spacing w:line="124" w:lineRule="exact" w:before="7"/>
              <w:ind w:right="69"/>
              <w:jc w:val="right"/>
              <w:rPr>
                <w:b/>
                <w:sz w:val="12"/>
              </w:rPr>
            </w:pPr>
            <w:r>
              <w:rPr>
                <w:b/>
                <w:color w:val="231F20"/>
                <w:spacing w:val="-2"/>
                <w:w w:val="105"/>
                <w:sz w:val="12"/>
              </w:rPr>
              <w:t>134,662</w:t>
            </w:r>
          </w:p>
        </w:tc>
        <w:tc>
          <w:tcPr>
            <w:tcW w:w="152" w:type="dxa"/>
          </w:tcPr>
          <w:p>
            <w:pPr>
              <w:pStyle w:val="TableParagraph"/>
              <w:rPr>
                <w:rFonts w:ascii="Times New Roman"/>
                <w:sz w:val="8"/>
              </w:rPr>
            </w:pPr>
          </w:p>
        </w:tc>
        <w:tc>
          <w:tcPr>
            <w:tcW w:w="1134" w:type="dxa"/>
            <w:tcBorders>
              <w:top w:val="single" w:sz="8" w:space="0" w:color="231F20"/>
              <w:bottom w:val="single" w:sz="8" w:space="0" w:color="231F20"/>
            </w:tcBorders>
          </w:tcPr>
          <w:p>
            <w:pPr>
              <w:pStyle w:val="TableParagraph"/>
              <w:spacing w:line="124" w:lineRule="exact" w:before="7"/>
              <w:ind w:right="65"/>
              <w:jc w:val="right"/>
              <w:rPr>
                <w:b/>
                <w:sz w:val="12"/>
              </w:rPr>
            </w:pPr>
            <w:r>
              <w:rPr>
                <w:b/>
                <w:color w:val="231F20"/>
                <w:spacing w:val="-2"/>
                <w:w w:val="105"/>
                <w:sz w:val="12"/>
              </w:rPr>
              <w:t>5,590,925</w:t>
            </w:r>
          </w:p>
        </w:tc>
      </w:tr>
      <w:tr>
        <w:trPr>
          <w:trHeight w:val="330" w:hRule="atLeast"/>
        </w:trPr>
        <w:tc>
          <w:tcPr>
            <w:tcW w:w="4428" w:type="dxa"/>
          </w:tcPr>
          <w:p>
            <w:pPr>
              <w:pStyle w:val="TableParagraph"/>
              <w:spacing w:before="6"/>
              <w:rPr>
                <w:sz w:val="15"/>
              </w:rPr>
            </w:pPr>
          </w:p>
          <w:p>
            <w:pPr>
              <w:pStyle w:val="TableParagraph"/>
              <w:spacing w:line="132" w:lineRule="exact"/>
              <w:ind w:left="203"/>
              <w:rPr>
                <w:sz w:val="12"/>
              </w:rPr>
            </w:pPr>
            <w:r>
              <w:rPr>
                <w:color w:val="231F20"/>
                <w:spacing w:val="-2"/>
                <w:w w:val="105"/>
                <w:sz w:val="12"/>
              </w:rPr>
              <w:t>Pass-through</w:t>
            </w:r>
          </w:p>
        </w:tc>
        <w:tc>
          <w:tcPr>
            <w:tcW w:w="952" w:type="dxa"/>
          </w:tcPr>
          <w:p>
            <w:pPr>
              <w:pStyle w:val="TableParagraph"/>
              <w:rPr>
                <w:rFonts w:ascii="Times New Roman"/>
                <w:sz w:val="12"/>
              </w:rPr>
            </w:pPr>
          </w:p>
        </w:tc>
        <w:tc>
          <w:tcPr>
            <w:tcW w:w="2703" w:type="dxa"/>
          </w:tcPr>
          <w:p>
            <w:pPr>
              <w:pStyle w:val="TableParagraph"/>
              <w:rPr>
                <w:rFonts w:ascii="Times New Roman"/>
                <w:sz w:val="12"/>
              </w:rPr>
            </w:pPr>
          </w:p>
        </w:tc>
        <w:tc>
          <w:tcPr>
            <w:tcW w:w="2779" w:type="dxa"/>
          </w:tcPr>
          <w:p>
            <w:pPr>
              <w:pStyle w:val="TableParagraph"/>
              <w:rPr>
                <w:rFonts w:ascii="Times New Roman"/>
                <w:sz w:val="12"/>
              </w:rPr>
            </w:pPr>
          </w:p>
        </w:tc>
        <w:tc>
          <w:tcPr>
            <w:tcW w:w="1159" w:type="dxa"/>
          </w:tcPr>
          <w:p>
            <w:pPr>
              <w:pStyle w:val="TableParagraph"/>
              <w:rPr>
                <w:rFonts w:ascii="Times New Roman"/>
                <w:sz w:val="12"/>
              </w:rPr>
            </w:pPr>
          </w:p>
        </w:tc>
        <w:tc>
          <w:tcPr>
            <w:tcW w:w="1134" w:type="dxa"/>
            <w:tcBorders>
              <w:top w:val="single" w:sz="8" w:space="0" w:color="231F20"/>
            </w:tcBorders>
          </w:tcPr>
          <w:p>
            <w:pPr>
              <w:pStyle w:val="TableParagraph"/>
              <w:rPr>
                <w:rFonts w:ascii="Times New Roman"/>
                <w:sz w:val="12"/>
              </w:rPr>
            </w:pPr>
          </w:p>
        </w:tc>
        <w:tc>
          <w:tcPr>
            <w:tcW w:w="152" w:type="dxa"/>
          </w:tcPr>
          <w:p>
            <w:pPr>
              <w:pStyle w:val="TableParagraph"/>
              <w:rPr>
                <w:rFonts w:ascii="Times New Roman"/>
                <w:sz w:val="12"/>
              </w:rPr>
            </w:pPr>
          </w:p>
        </w:tc>
        <w:tc>
          <w:tcPr>
            <w:tcW w:w="1134" w:type="dxa"/>
            <w:tcBorders>
              <w:top w:val="single" w:sz="8" w:space="0" w:color="231F20"/>
            </w:tcBorders>
          </w:tcPr>
          <w:p>
            <w:pPr>
              <w:pStyle w:val="TableParagraph"/>
              <w:rPr>
                <w:rFonts w:ascii="Times New Roman"/>
                <w:sz w:val="12"/>
              </w:rPr>
            </w:pPr>
          </w:p>
        </w:tc>
      </w:tr>
      <w:tr>
        <w:trPr>
          <w:trHeight w:val="165" w:hRule="atLeast"/>
        </w:trPr>
        <w:tc>
          <w:tcPr>
            <w:tcW w:w="4428" w:type="dxa"/>
          </w:tcPr>
          <w:p>
            <w:pPr>
              <w:pStyle w:val="TableParagraph"/>
              <w:spacing w:line="131" w:lineRule="exact" w:before="14"/>
              <w:ind w:left="374"/>
              <w:rPr>
                <w:sz w:val="12"/>
              </w:rPr>
            </w:pPr>
            <w:r>
              <w:rPr>
                <w:color w:val="231F20"/>
                <w:w w:val="105"/>
                <w:sz w:val="12"/>
              </w:rPr>
              <w:t>Economic</w:t>
            </w:r>
            <w:r>
              <w:rPr>
                <w:color w:val="231F20"/>
                <w:spacing w:val="-5"/>
                <w:w w:val="105"/>
                <w:sz w:val="12"/>
              </w:rPr>
              <w:t> </w:t>
            </w:r>
            <w:r>
              <w:rPr>
                <w:color w:val="231F20"/>
                <w:w w:val="105"/>
                <w:sz w:val="12"/>
              </w:rPr>
              <w:t>Adjustment</w:t>
            </w:r>
            <w:r>
              <w:rPr>
                <w:color w:val="231F20"/>
                <w:spacing w:val="-4"/>
                <w:w w:val="105"/>
                <w:sz w:val="12"/>
              </w:rPr>
              <w:t> </w:t>
            </w:r>
            <w:r>
              <w:rPr>
                <w:color w:val="231F20"/>
                <w:w w:val="105"/>
                <w:sz w:val="12"/>
              </w:rPr>
              <w:t>Assistance</w:t>
            </w:r>
            <w:r>
              <w:rPr>
                <w:color w:val="231F20"/>
                <w:spacing w:val="-4"/>
                <w:w w:val="105"/>
                <w:sz w:val="12"/>
              </w:rPr>
              <w:t> </w:t>
            </w:r>
            <w:r>
              <w:rPr>
                <w:color w:val="231F20"/>
                <w:w w:val="105"/>
                <w:sz w:val="12"/>
              </w:rPr>
              <w:t>for</w:t>
            </w:r>
            <w:r>
              <w:rPr>
                <w:color w:val="231F20"/>
                <w:spacing w:val="-5"/>
                <w:w w:val="105"/>
                <w:sz w:val="12"/>
              </w:rPr>
              <w:t> </w:t>
            </w:r>
            <w:r>
              <w:rPr>
                <w:color w:val="231F20"/>
                <w:w w:val="105"/>
                <w:sz w:val="12"/>
              </w:rPr>
              <w:t>State</w:t>
            </w:r>
            <w:r>
              <w:rPr>
                <w:color w:val="231F20"/>
                <w:spacing w:val="-5"/>
                <w:w w:val="105"/>
                <w:sz w:val="12"/>
              </w:rPr>
              <w:t> </w:t>
            </w:r>
            <w:r>
              <w:rPr>
                <w:color w:val="231F20"/>
                <w:spacing w:val="-2"/>
                <w:w w:val="105"/>
                <w:sz w:val="12"/>
              </w:rPr>
              <w:t>Governments</w:t>
            </w:r>
          </w:p>
        </w:tc>
        <w:tc>
          <w:tcPr>
            <w:tcW w:w="952" w:type="dxa"/>
          </w:tcPr>
          <w:p>
            <w:pPr>
              <w:pStyle w:val="TableParagraph"/>
              <w:spacing w:line="125" w:lineRule="exact" w:before="20"/>
              <w:ind w:left="419"/>
              <w:rPr>
                <w:sz w:val="12"/>
              </w:rPr>
            </w:pPr>
            <w:r>
              <w:rPr>
                <w:color w:val="231F20"/>
                <w:spacing w:val="-4"/>
                <w:w w:val="105"/>
                <w:sz w:val="12"/>
              </w:rPr>
              <w:t>MPIC</w:t>
            </w:r>
          </w:p>
        </w:tc>
        <w:tc>
          <w:tcPr>
            <w:tcW w:w="2703" w:type="dxa"/>
          </w:tcPr>
          <w:p>
            <w:pPr>
              <w:pStyle w:val="TableParagraph"/>
              <w:spacing w:line="131" w:lineRule="exact" w:before="14"/>
              <w:ind w:right="521"/>
              <w:jc w:val="right"/>
              <w:rPr>
                <w:sz w:val="12"/>
              </w:rPr>
            </w:pPr>
            <w:r>
              <w:rPr>
                <w:color w:val="231F20"/>
                <w:w w:val="105"/>
                <w:sz w:val="12"/>
              </w:rPr>
              <w:t>NM</w:t>
            </w:r>
            <w:r>
              <w:rPr>
                <w:color w:val="231F20"/>
                <w:spacing w:val="-8"/>
                <w:w w:val="105"/>
                <w:sz w:val="12"/>
              </w:rPr>
              <w:t> </w:t>
            </w:r>
            <w:r>
              <w:rPr>
                <w:color w:val="231F20"/>
                <w:w w:val="105"/>
                <w:sz w:val="12"/>
              </w:rPr>
              <w:t>Economic</w:t>
            </w:r>
            <w:r>
              <w:rPr>
                <w:color w:val="231F20"/>
                <w:spacing w:val="-4"/>
                <w:w w:val="105"/>
                <w:sz w:val="12"/>
              </w:rPr>
              <w:t> </w:t>
            </w:r>
            <w:r>
              <w:rPr>
                <w:color w:val="231F20"/>
                <w:w w:val="105"/>
                <w:sz w:val="12"/>
              </w:rPr>
              <w:t>Development</w:t>
            </w:r>
            <w:r>
              <w:rPr>
                <w:color w:val="231F20"/>
                <w:spacing w:val="-3"/>
                <w:w w:val="105"/>
                <w:sz w:val="12"/>
              </w:rPr>
              <w:t> </w:t>
            </w:r>
            <w:r>
              <w:rPr>
                <w:color w:val="231F20"/>
                <w:spacing w:val="-2"/>
                <w:w w:val="105"/>
                <w:sz w:val="12"/>
              </w:rPr>
              <w:t>Division</w:t>
            </w:r>
          </w:p>
        </w:tc>
        <w:tc>
          <w:tcPr>
            <w:tcW w:w="2779" w:type="dxa"/>
          </w:tcPr>
          <w:p>
            <w:pPr>
              <w:pStyle w:val="TableParagraph"/>
              <w:spacing w:line="131" w:lineRule="exact" w:before="14"/>
              <w:ind w:left="497"/>
              <w:rPr>
                <w:sz w:val="12"/>
              </w:rPr>
            </w:pPr>
            <w:r>
              <w:rPr>
                <w:color w:val="231F20"/>
                <w:spacing w:val="-2"/>
                <w:w w:val="105"/>
                <w:sz w:val="12"/>
              </w:rPr>
              <w:t>41900-00000-</w:t>
            </w:r>
            <w:r>
              <w:rPr>
                <w:color w:val="231F20"/>
                <w:spacing w:val="-4"/>
                <w:w w:val="105"/>
                <w:sz w:val="12"/>
              </w:rPr>
              <w:t>10220</w:t>
            </w:r>
          </w:p>
        </w:tc>
        <w:tc>
          <w:tcPr>
            <w:tcW w:w="1159" w:type="dxa"/>
          </w:tcPr>
          <w:p>
            <w:pPr>
              <w:pStyle w:val="TableParagraph"/>
              <w:spacing w:line="125" w:lineRule="exact" w:before="20"/>
              <w:ind w:left="373" w:right="371"/>
              <w:jc w:val="center"/>
              <w:rPr>
                <w:sz w:val="12"/>
              </w:rPr>
            </w:pPr>
            <w:r>
              <w:rPr>
                <w:color w:val="231F20"/>
                <w:spacing w:val="-2"/>
                <w:w w:val="105"/>
                <w:sz w:val="12"/>
              </w:rPr>
              <w:t>12.617</w:t>
            </w:r>
          </w:p>
        </w:tc>
        <w:tc>
          <w:tcPr>
            <w:tcW w:w="1134" w:type="dxa"/>
            <w:tcBorders>
              <w:bottom w:val="single" w:sz="8" w:space="0" w:color="231F20"/>
            </w:tcBorders>
          </w:tcPr>
          <w:p>
            <w:pPr>
              <w:pStyle w:val="TableParagraph"/>
              <w:spacing w:line="125" w:lineRule="exact" w:before="20"/>
              <w:ind w:right="69"/>
              <w:jc w:val="right"/>
              <w:rPr>
                <w:sz w:val="12"/>
              </w:rPr>
            </w:pPr>
            <w:r>
              <w:rPr>
                <w:color w:val="231F20"/>
                <w:spacing w:val="-2"/>
                <w:w w:val="105"/>
                <w:sz w:val="12"/>
              </w:rPr>
              <w:t>10,663</w:t>
            </w:r>
          </w:p>
        </w:tc>
        <w:tc>
          <w:tcPr>
            <w:tcW w:w="152" w:type="dxa"/>
          </w:tcPr>
          <w:p>
            <w:pPr>
              <w:pStyle w:val="TableParagraph"/>
              <w:rPr>
                <w:rFonts w:ascii="Times New Roman"/>
                <w:sz w:val="10"/>
              </w:rPr>
            </w:pPr>
          </w:p>
        </w:tc>
        <w:tc>
          <w:tcPr>
            <w:tcW w:w="1134" w:type="dxa"/>
            <w:tcBorders>
              <w:bottom w:val="single" w:sz="8" w:space="0" w:color="231F20"/>
            </w:tcBorders>
          </w:tcPr>
          <w:p>
            <w:pPr>
              <w:pStyle w:val="TableParagraph"/>
              <w:spacing w:line="125" w:lineRule="exact" w:before="20"/>
              <w:ind w:right="65"/>
              <w:jc w:val="right"/>
              <w:rPr>
                <w:sz w:val="12"/>
              </w:rPr>
            </w:pPr>
            <w:r>
              <w:rPr>
                <w:color w:val="231F20"/>
                <w:spacing w:val="-2"/>
                <w:w w:val="105"/>
                <w:sz w:val="12"/>
              </w:rPr>
              <w:t>301,370</w:t>
            </w:r>
          </w:p>
        </w:tc>
      </w:tr>
      <w:tr>
        <w:trPr>
          <w:trHeight w:val="151" w:hRule="atLeast"/>
        </w:trPr>
        <w:tc>
          <w:tcPr>
            <w:tcW w:w="4428" w:type="dxa"/>
          </w:tcPr>
          <w:p>
            <w:pPr>
              <w:pStyle w:val="TableParagraph"/>
              <w:spacing w:line="125" w:lineRule="exact" w:before="7"/>
              <w:ind w:left="203"/>
              <w:rPr>
                <w:b/>
                <w:sz w:val="12"/>
              </w:rPr>
            </w:pPr>
            <w:r>
              <w:rPr>
                <w:b/>
                <w:color w:val="231F20"/>
                <w:w w:val="105"/>
                <w:sz w:val="12"/>
              </w:rPr>
              <w:t>Total</w:t>
            </w:r>
            <w:r>
              <w:rPr>
                <w:b/>
                <w:color w:val="231F20"/>
                <w:spacing w:val="-5"/>
                <w:w w:val="105"/>
                <w:sz w:val="12"/>
              </w:rPr>
              <w:t> </w:t>
            </w:r>
            <w:r>
              <w:rPr>
                <w:b/>
                <w:color w:val="231F20"/>
                <w:w w:val="105"/>
                <w:sz w:val="12"/>
              </w:rPr>
              <w:t>Pass-through</w:t>
            </w:r>
            <w:r>
              <w:rPr>
                <w:b/>
                <w:color w:val="231F20"/>
                <w:spacing w:val="-4"/>
                <w:w w:val="105"/>
                <w:sz w:val="12"/>
              </w:rPr>
              <w:t> </w:t>
            </w:r>
            <w:r>
              <w:rPr>
                <w:b/>
                <w:color w:val="231F20"/>
                <w:w w:val="105"/>
                <w:sz w:val="12"/>
              </w:rPr>
              <w:t>U.S.</w:t>
            </w:r>
            <w:r>
              <w:rPr>
                <w:b/>
                <w:color w:val="231F20"/>
                <w:spacing w:val="-4"/>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5"/>
                <w:w w:val="105"/>
                <w:sz w:val="12"/>
              </w:rPr>
              <w:t> </w:t>
            </w:r>
            <w:r>
              <w:rPr>
                <w:b/>
                <w:color w:val="231F20"/>
                <w:spacing w:val="-2"/>
                <w:w w:val="105"/>
                <w:sz w:val="12"/>
              </w:rPr>
              <w:t>Defense</w:t>
            </w:r>
          </w:p>
        </w:tc>
        <w:tc>
          <w:tcPr>
            <w:tcW w:w="952" w:type="dxa"/>
          </w:tcPr>
          <w:p>
            <w:pPr>
              <w:pStyle w:val="TableParagraph"/>
              <w:rPr>
                <w:rFonts w:ascii="Times New Roman"/>
                <w:sz w:val="8"/>
              </w:rPr>
            </w:pPr>
          </w:p>
        </w:tc>
        <w:tc>
          <w:tcPr>
            <w:tcW w:w="2703" w:type="dxa"/>
          </w:tcPr>
          <w:p>
            <w:pPr>
              <w:pStyle w:val="TableParagraph"/>
              <w:rPr>
                <w:rFonts w:ascii="Times New Roman"/>
                <w:sz w:val="8"/>
              </w:rPr>
            </w:pPr>
          </w:p>
        </w:tc>
        <w:tc>
          <w:tcPr>
            <w:tcW w:w="2779" w:type="dxa"/>
          </w:tcPr>
          <w:p>
            <w:pPr>
              <w:pStyle w:val="TableParagraph"/>
              <w:rPr>
                <w:rFonts w:ascii="Times New Roman"/>
                <w:sz w:val="8"/>
              </w:rPr>
            </w:pPr>
          </w:p>
        </w:tc>
        <w:tc>
          <w:tcPr>
            <w:tcW w:w="1159" w:type="dxa"/>
          </w:tcPr>
          <w:p>
            <w:pPr>
              <w:pStyle w:val="TableParagraph"/>
              <w:rPr>
                <w:rFonts w:ascii="Times New Roman"/>
                <w:sz w:val="8"/>
              </w:rPr>
            </w:pPr>
          </w:p>
        </w:tc>
        <w:tc>
          <w:tcPr>
            <w:tcW w:w="1134" w:type="dxa"/>
            <w:tcBorders>
              <w:top w:val="single" w:sz="8" w:space="0" w:color="231F20"/>
              <w:bottom w:val="single" w:sz="8" w:space="0" w:color="231F20"/>
            </w:tcBorders>
          </w:tcPr>
          <w:p>
            <w:pPr>
              <w:pStyle w:val="TableParagraph"/>
              <w:spacing w:line="125" w:lineRule="exact" w:before="7"/>
              <w:ind w:right="69"/>
              <w:jc w:val="right"/>
              <w:rPr>
                <w:b/>
                <w:sz w:val="12"/>
              </w:rPr>
            </w:pPr>
            <w:r>
              <w:rPr>
                <w:b/>
                <w:color w:val="231F20"/>
                <w:spacing w:val="-2"/>
                <w:w w:val="105"/>
                <w:sz w:val="12"/>
              </w:rPr>
              <w:t>10,663</w:t>
            </w:r>
          </w:p>
        </w:tc>
        <w:tc>
          <w:tcPr>
            <w:tcW w:w="152" w:type="dxa"/>
          </w:tcPr>
          <w:p>
            <w:pPr>
              <w:pStyle w:val="TableParagraph"/>
              <w:rPr>
                <w:rFonts w:ascii="Times New Roman"/>
                <w:sz w:val="8"/>
              </w:rPr>
            </w:pPr>
          </w:p>
        </w:tc>
        <w:tc>
          <w:tcPr>
            <w:tcW w:w="1134" w:type="dxa"/>
            <w:tcBorders>
              <w:top w:val="single" w:sz="8" w:space="0" w:color="231F20"/>
              <w:bottom w:val="single" w:sz="8" w:space="0" w:color="231F20"/>
            </w:tcBorders>
          </w:tcPr>
          <w:p>
            <w:pPr>
              <w:pStyle w:val="TableParagraph"/>
              <w:spacing w:line="125" w:lineRule="exact" w:before="7"/>
              <w:ind w:right="65"/>
              <w:jc w:val="right"/>
              <w:rPr>
                <w:b/>
                <w:sz w:val="12"/>
              </w:rPr>
            </w:pPr>
            <w:r>
              <w:rPr>
                <w:b/>
                <w:color w:val="231F20"/>
                <w:spacing w:val="-2"/>
                <w:w w:val="105"/>
                <w:sz w:val="12"/>
              </w:rPr>
              <w:t>301,370</w:t>
            </w:r>
          </w:p>
        </w:tc>
      </w:tr>
      <w:tr>
        <w:trPr>
          <w:trHeight w:val="318" w:hRule="atLeast"/>
        </w:trPr>
        <w:tc>
          <w:tcPr>
            <w:tcW w:w="4428" w:type="dxa"/>
          </w:tcPr>
          <w:p>
            <w:pPr>
              <w:pStyle w:val="TableParagraph"/>
              <w:spacing w:before="6"/>
              <w:rPr>
                <w:sz w:val="15"/>
              </w:rPr>
            </w:pPr>
          </w:p>
          <w:p>
            <w:pPr>
              <w:pStyle w:val="TableParagraph"/>
              <w:spacing w:line="120" w:lineRule="exact"/>
              <w:ind w:left="33"/>
              <w:rPr>
                <w:b/>
                <w:sz w:val="12"/>
              </w:rPr>
            </w:pPr>
            <w:r>
              <w:rPr>
                <w:b/>
                <w:color w:val="231F20"/>
                <w:w w:val="105"/>
                <w:sz w:val="12"/>
              </w:rPr>
              <w:t>Total</w:t>
            </w:r>
            <w:r>
              <w:rPr>
                <w:b/>
                <w:color w:val="231F20"/>
                <w:spacing w:val="-4"/>
                <w:w w:val="105"/>
                <w:sz w:val="12"/>
              </w:rPr>
              <w:t> </w:t>
            </w:r>
            <w:r>
              <w:rPr>
                <w:b/>
                <w:color w:val="231F20"/>
                <w:w w:val="105"/>
                <w:sz w:val="12"/>
              </w:rPr>
              <w:t>U.S.</w:t>
            </w:r>
            <w:r>
              <w:rPr>
                <w:b/>
                <w:color w:val="231F20"/>
                <w:spacing w:val="-3"/>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3"/>
                <w:w w:val="105"/>
                <w:sz w:val="12"/>
              </w:rPr>
              <w:t> </w:t>
            </w:r>
            <w:r>
              <w:rPr>
                <w:b/>
                <w:color w:val="231F20"/>
                <w:spacing w:val="-2"/>
                <w:w w:val="105"/>
                <w:sz w:val="12"/>
              </w:rPr>
              <w:t>Defense</w:t>
            </w:r>
          </w:p>
        </w:tc>
        <w:tc>
          <w:tcPr>
            <w:tcW w:w="952" w:type="dxa"/>
          </w:tcPr>
          <w:p>
            <w:pPr>
              <w:pStyle w:val="TableParagraph"/>
              <w:rPr>
                <w:rFonts w:ascii="Times New Roman"/>
                <w:sz w:val="12"/>
              </w:rPr>
            </w:pPr>
          </w:p>
        </w:tc>
        <w:tc>
          <w:tcPr>
            <w:tcW w:w="2703" w:type="dxa"/>
          </w:tcPr>
          <w:p>
            <w:pPr>
              <w:pStyle w:val="TableParagraph"/>
              <w:rPr>
                <w:rFonts w:ascii="Times New Roman"/>
                <w:sz w:val="12"/>
              </w:rPr>
            </w:pPr>
          </w:p>
        </w:tc>
        <w:tc>
          <w:tcPr>
            <w:tcW w:w="2779" w:type="dxa"/>
          </w:tcPr>
          <w:p>
            <w:pPr>
              <w:pStyle w:val="TableParagraph"/>
              <w:rPr>
                <w:rFonts w:ascii="Times New Roman"/>
                <w:sz w:val="12"/>
              </w:rPr>
            </w:pPr>
          </w:p>
        </w:tc>
        <w:tc>
          <w:tcPr>
            <w:tcW w:w="1159" w:type="dxa"/>
          </w:tcPr>
          <w:p>
            <w:pPr>
              <w:pStyle w:val="TableParagraph"/>
              <w:rPr>
                <w:rFonts w:ascii="Times New Roman"/>
                <w:sz w:val="12"/>
              </w:rPr>
            </w:pPr>
          </w:p>
        </w:tc>
        <w:tc>
          <w:tcPr>
            <w:tcW w:w="1134" w:type="dxa"/>
            <w:tcBorders>
              <w:top w:val="single" w:sz="8" w:space="0" w:color="231F20"/>
              <w:bottom w:val="single" w:sz="12" w:space="0" w:color="231F20"/>
            </w:tcBorders>
          </w:tcPr>
          <w:p>
            <w:pPr>
              <w:pStyle w:val="TableParagraph"/>
              <w:spacing w:before="6"/>
              <w:rPr>
                <w:sz w:val="15"/>
              </w:rPr>
            </w:pPr>
          </w:p>
          <w:p>
            <w:pPr>
              <w:pStyle w:val="TableParagraph"/>
              <w:spacing w:line="120" w:lineRule="exact"/>
              <w:ind w:right="69"/>
              <w:jc w:val="right"/>
              <w:rPr>
                <w:b/>
                <w:sz w:val="12"/>
              </w:rPr>
            </w:pPr>
            <w:r>
              <w:rPr>
                <w:b/>
                <w:color w:val="231F20"/>
                <w:spacing w:val="-2"/>
                <w:w w:val="105"/>
                <w:sz w:val="12"/>
              </w:rPr>
              <w:t>145,325</w:t>
            </w:r>
          </w:p>
        </w:tc>
        <w:tc>
          <w:tcPr>
            <w:tcW w:w="152" w:type="dxa"/>
          </w:tcPr>
          <w:p>
            <w:pPr>
              <w:pStyle w:val="TableParagraph"/>
              <w:rPr>
                <w:rFonts w:ascii="Times New Roman"/>
                <w:sz w:val="12"/>
              </w:rPr>
            </w:pPr>
          </w:p>
        </w:tc>
        <w:tc>
          <w:tcPr>
            <w:tcW w:w="1134" w:type="dxa"/>
            <w:tcBorders>
              <w:top w:val="single" w:sz="8" w:space="0" w:color="231F20"/>
              <w:bottom w:val="single" w:sz="12" w:space="0" w:color="231F20"/>
            </w:tcBorders>
          </w:tcPr>
          <w:p>
            <w:pPr>
              <w:pStyle w:val="TableParagraph"/>
              <w:spacing w:before="6"/>
              <w:rPr>
                <w:sz w:val="15"/>
              </w:rPr>
            </w:pPr>
          </w:p>
          <w:p>
            <w:pPr>
              <w:pStyle w:val="TableParagraph"/>
              <w:spacing w:line="120" w:lineRule="exact"/>
              <w:ind w:right="65"/>
              <w:jc w:val="right"/>
              <w:rPr>
                <w:b/>
                <w:sz w:val="12"/>
              </w:rPr>
            </w:pPr>
            <w:r>
              <w:rPr>
                <w:b/>
                <w:color w:val="231F20"/>
                <w:spacing w:val="-2"/>
                <w:w w:val="105"/>
                <w:sz w:val="12"/>
              </w:rPr>
              <w:t>5,892,295</w:t>
            </w:r>
          </w:p>
        </w:tc>
      </w:tr>
      <w:tr>
        <w:trPr>
          <w:trHeight w:val="313" w:hRule="atLeast"/>
        </w:trPr>
        <w:tc>
          <w:tcPr>
            <w:tcW w:w="4428" w:type="dxa"/>
          </w:tcPr>
          <w:p>
            <w:pPr>
              <w:pStyle w:val="TableParagraph"/>
              <w:spacing w:before="1"/>
              <w:rPr>
                <w:sz w:val="15"/>
              </w:rPr>
            </w:pPr>
          </w:p>
          <w:p>
            <w:pPr>
              <w:pStyle w:val="TableParagraph"/>
              <w:spacing w:line="119" w:lineRule="exact"/>
              <w:ind w:left="33"/>
              <w:rPr>
                <w:b/>
                <w:sz w:val="12"/>
              </w:rPr>
            </w:pPr>
            <w:r>
              <w:rPr>
                <w:b/>
                <w:color w:val="231F20"/>
                <w:w w:val="105"/>
                <w:sz w:val="12"/>
              </w:rPr>
              <w:t>U.S.</w:t>
            </w:r>
            <w:r>
              <w:rPr>
                <w:b/>
                <w:color w:val="231F20"/>
                <w:spacing w:val="-4"/>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3"/>
                <w:w w:val="105"/>
                <w:sz w:val="12"/>
              </w:rPr>
              <w:t> </w:t>
            </w:r>
            <w:r>
              <w:rPr>
                <w:b/>
                <w:color w:val="231F20"/>
                <w:w w:val="105"/>
                <w:sz w:val="12"/>
              </w:rPr>
              <w:t>the</w:t>
            </w:r>
            <w:r>
              <w:rPr>
                <w:b/>
                <w:color w:val="231F20"/>
                <w:spacing w:val="-4"/>
                <w:w w:val="105"/>
                <w:sz w:val="12"/>
              </w:rPr>
              <w:t> </w:t>
            </w:r>
            <w:r>
              <w:rPr>
                <w:b/>
                <w:color w:val="231F20"/>
                <w:spacing w:val="-2"/>
                <w:w w:val="105"/>
                <w:sz w:val="12"/>
              </w:rPr>
              <w:t>Interior</w:t>
            </w:r>
          </w:p>
        </w:tc>
        <w:tc>
          <w:tcPr>
            <w:tcW w:w="952" w:type="dxa"/>
          </w:tcPr>
          <w:p>
            <w:pPr>
              <w:pStyle w:val="TableParagraph"/>
              <w:rPr>
                <w:rFonts w:ascii="Times New Roman"/>
                <w:sz w:val="12"/>
              </w:rPr>
            </w:pPr>
          </w:p>
        </w:tc>
        <w:tc>
          <w:tcPr>
            <w:tcW w:w="2703" w:type="dxa"/>
          </w:tcPr>
          <w:p>
            <w:pPr>
              <w:pStyle w:val="TableParagraph"/>
              <w:rPr>
                <w:rFonts w:ascii="Times New Roman"/>
                <w:sz w:val="12"/>
              </w:rPr>
            </w:pPr>
          </w:p>
        </w:tc>
        <w:tc>
          <w:tcPr>
            <w:tcW w:w="2779" w:type="dxa"/>
          </w:tcPr>
          <w:p>
            <w:pPr>
              <w:pStyle w:val="TableParagraph"/>
              <w:rPr>
                <w:rFonts w:ascii="Times New Roman"/>
                <w:sz w:val="12"/>
              </w:rPr>
            </w:pPr>
          </w:p>
        </w:tc>
        <w:tc>
          <w:tcPr>
            <w:tcW w:w="1159" w:type="dxa"/>
          </w:tcPr>
          <w:p>
            <w:pPr>
              <w:pStyle w:val="TableParagraph"/>
              <w:rPr>
                <w:rFonts w:ascii="Times New Roman"/>
                <w:sz w:val="12"/>
              </w:rPr>
            </w:pPr>
          </w:p>
        </w:tc>
        <w:tc>
          <w:tcPr>
            <w:tcW w:w="1134" w:type="dxa"/>
            <w:tcBorders>
              <w:top w:val="single" w:sz="12" w:space="0" w:color="231F20"/>
            </w:tcBorders>
          </w:tcPr>
          <w:p>
            <w:pPr>
              <w:pStyle w:val="TableParagraph"/>
              <w:rPr>
                <w:rFonts w:ascii="Times New Roman"/>
                <w:sz w:val="12"/>
              </w:rPr>
            </w:pPr>
          </w:p>
        </w:tc>
        <w:tc>
          <w:tcPr>
            <w:tcW w:w="152" w:type="dxa"/>
          </w:tcPr>
          <w:p>
            <w:pPr>
              <w:pStyle w:val="TableParagraph"/>
              <w:rPr>
                <w:rFonts w:ascii="Times New Roman"/>
                <w:sz w:val="12"/>
              </w:rPr>
            </w:pPr>
          </w:p>
        </w:tc>
        <w:tc>
          <w:tcPr>
            <w:tcW w:w="1134" w:type="dxa"/>
            <w:tcBorders>
              <w:top w:val="single" w:sz="12" w:space="0" w:color="231F20"/>
            </w:tcBorders>
          </w:tcPr>
          <w:p>
            <w:pPr>
              <w:pStyle w:val="TableParagraph"/>
              <w:rPr>
                <w:rFonts w:ascii="Times New Roman"/>
                <w:sz w:val="12"/>
              </w:rPr>
            </w:pPr>
          </w:p>
        </w:tc>
      </w:tr>
      <w:tr>
        <w:trPr>
          <w:trHeight w:val="171" w:hRule="atLeast"/>
        </w:trPr>
        <w:tc>
          <w:tcPr>
            <w:tcW w:w="4428" w:type="dxa"/>
          </w:tcPr>
          <w:p>
            <w:pPr>
              <w:pStyle w:val="TableParagraph"/>
              <w:spacing w:line="119" w:lineRule="exact" w:before="32"/>
              <w:ind w:left="203"/>
              <w:rPr>
                <w:sz w:val="12"/>
              </w:rPr>
            </w:pPr>
            <w:r>
              <w:rPr>
                <w:color w:val="231F20"/>
                <w:w w:val="105"/>
                <w:sz w:val="12"/>
              </w:rPr>
              <w:t>Direct</w:t>
            </w:r>
            <w:r>
              <w:rPr>
                <w:color w:val="231F20"/>
                <w:spacing w:val="-4"/>
                <w:w w:val="105"/>
                <w:sz w:val="12"/>
              </w:rPr>
              <w:t> </w:t>
            </w:r>
            <w:r>
              <w:rPr>
                <w:color w:val="231F20"/>
                <w:spacing w:val="-2"/>
                <w:w w:val="105"/>
                <w:sz w:val="12"/>
              </w:rPr>
              <w:t>Awards</w:t>
            </w:r>
          </w:p>
        </w:tc>
        <w:tc>
          <w:tcPr>
            <w:tcW w:w="952" w:type="dxa"/>
          </w:tcPr>
          <w:p>
            <w:pPr>
              <w:pStyle w:val="TableParagraph"/>
              <w:rPr>
                <w:rFonts w:ascii="Times New Roman"/>
                <w:sz w:val="10"/>
              </w:rPr>
            </w:pPr>
          </w:p>
        </w:tc>
        <w:tc>
          <w:tcPr>
            <w:tcW w:w="2703" w:type="dxa"/>
          </w:tcPr>
          <w:p>
            <w:pPr>
              <w:pStyle w:val="TableParagraph"/>
              <w:rPr>
                <w:rFonts w:ascii="Times New Roman"/>
                <w:sz w:val="10"/>
              </w:rPr>
            </w:pPr>
          </w:p>
        </w:tc>
        <w:tc>
          <w:tcPr>
            <w:tcW w:w="2779" w:type="dxa"/>
          </w:tcPr>
          <w:p>
            <w:pPr>
              <w:pStyle w:val="TableParagraph"/>
              <w:rPr>
                <w:rFonts w:ascii="Times New Roman"/>
                <w:sz w:val="10"/>
              </w:rPr>
            </w:pPr>
          </w:p>
        </w:tc>
        <w:tc>
          <w:tcPr>
            <w:tcW w:w="1159" w:type="dxa"/>
          </w:tcPr>
          <w:p>
            <w:pPr>
              <w:pStyle w:val="TableParagraph"/>
              <w:rPr>
                <w:rFonts w:ascii="Times New Roman"/>
                <w:sz w:val="10"/>
              </w:rPr>
            </w:pPr>
          </w:p>
        </w:tc>
        <w:tc>
          <w:tcPr>
            <w:tcW w:w="1134" w:type="dxa"/>
          </w:tcPr>
          <w:p>
            <w:pPr>
              <w:pStyle w:val="TableParagraph"/>
              <w:rPr>
                <w:rFonts w:ascii="Times New Roman"/>
                <w:sz w:val="10"/>
              </w:rPr>
            </w:pPr>
          </w:p>
        </w:tc>
        <w:tc>
          <w:tcPr>
            <w:tcW w:w="152" w:type="dxa"/>
          </w:tcPr>
          <w:p>
            <w:pPr>
              <w:pStyle w:val="TableParagraph"/>
              <w:rPr>
                <w:rFonts w:ascii="Times New Roman"/>
                <w:sz w:val="10"/>
              </w:rPr>
            </w:pPr>
          </w:p>
        </w:tc>
        <w:tc>
          <w:tcPr>
            <w:tcW w:w="1134" w:type="dxa"/>
          </w:tcPr>
          <w:p>
            <w:pPr>
              <w:pStyle w:val="TableParagraph"/>
              <w:rPr>
                <w:rFonts w:ascii="Times New Roman"/>
                <w:sz w:val="10"/>
              </w:rPr>
            </w:pPr>
          </w:p>
        </w:tc>
      </w:tr>
      <w:tr>
        <w:trPr>
          <w:trHeight w:val="176" w:hRule="atLeast"/>
        </w:trPr>
        <w:tc>
          <w:tcPr>
            <w:tcW w:w="4428" w:type="dxa"/>
          </w:tcPr>
          <w:p>
            <w:pPr>
              <w:pStyle w:val="TableParagraph"/>
              <w:spacing w:line="131" w:lineRule="exact" w:before="26"/>
              <w:ind w:left="374"/>
              <w:rPr>
                <w:sz w:val="12"/>
              </w:rPr>
            </w:pPr>
            <w:r>
              <w:rPr>
                <w:color w:val="231F20"/>
                <w:w w:val="105"/>
                <w:sz w:val="12"/>
              </w:rPr>
              <w:t>U.S.</w:t>
            </w:r>
            <w:r>
              <w:rPr>
                <w:color w:val="231F20"/>
                <w:spacing w:val="-6"/>
                <w:w w:val="105"/>
                <w:sz w:val="12"/>
              </w:rPr>
              <w:t> </w:t>
            </w:r>
            <w:r>
              <w:rPr>
                <w:color w:val="231F20"/>
                <w:w w:val="105"/>
                <w:sz w:val="12"/>
              </w:rPr>
              <w:t>Geological</w:t>
            </w:r>
            <w:r>
              <w:rPr>
                <w:color w:val="231F20"/>
                <w:spacing w:val="-3"/>
                <w:w w:val="105"/>
                <w:sz w:val="12"/>
              </w:rPr>
              <w:t> </w:t>
            </w:r>
            <w:r>
              <w:rPr>
                <w:color w:val="231F20"/>
                <w:w w:val="105"/>
                <w:sz w:val="12"/>
              </w:rPr>
              <w:t>Survey</w:t>
            </w:r>
            <w:r>
              <w:rPr>
                <w:color w:val="231F20"/>
                <w:spacing w:val="-5"/>
                <w:w w:val="105"/>
                <w:sz w:val="12"/>
              </w:rPr>
              <w:t> </w:t>
            </w:r>
            <w:r>
              <w:rPr>
                <w:color w:val="231F20"/>
                <w:w w:val="105"/>
                <w:sz w:val="12"/>
              </w:rPr>
              <w:t>Research</w:t>
            </w:r>
            <w:r>
              <w:rPr>
                <w:color w:val="231F20"/>
                <w:spacing w:val="-5"/>
                <w:w w:val="105"/>
                <w:sz w:val="12"/>
              </w:rPr>
              <w:t> </w:t>
            </w:r>
            <w:r>
              <w:rPr>
                <w:color w:val="231F20"/>
                <w:w w:val="105"/>
                <w:sz w:val="12"/>
              </w:rPr>
              <w:t>and</w:t>
            </w:r>
            <w:r>
              <w:rPr>
                <w:color w:val="231F20"/>
                <w:spacing w:val="-4"/>
                <w:w w:val="105"/>
                <w:sz w:val="12"/>
              </w:rPr>
              <w:t> </w:t>
            </w:r>
            <w:r>
              <w:rPr>
                <w:color w:val="231F20"/>
                <w:w w:val="105"/>
                <w:sz w:val="12"/>
              </w:rPr>
              <w:t>Data</w:t>
            </w:r>
            <w:r>
              <w:rPr>
                <w:color w:val="231F20"/>
                <w:spacing w:val="-4"/>
                <w:w w:val="105"/>
                <w:sz w:val="12"/>
              </w:rPr>
              <w:t> </w:t>
            </w:r>
            <w:r>
              <w:rPr>
                <w:color w:val="231F20"/>
                <w:spacing w:val="-2"/>
                <w:w w:val="105"/>
                <w:sz w:val="12"/>
              </w:rPr>
              <w:t>Collection</w:t>
            </w:r>
          </w:p>
        </w:tc>
        <w:tc>
          <w:tcPr>
            <w:tcW w:w="952" w:type="dxa"/>
          </w:tcPr>
          <w:p>
            <w:pPr>
              <w:pStyle w:val="TableParagraph"/>
              <w:spacing w:line="125" w:lineRule="exact" w:before="32"/>
              <w:ind w:left="395"/>
              <w:rPr>
                <w:sz w:val="12"/>
              </w:rPr>
            </w:pPr>
            <w:r>
              <w:rPr>
                <w:color w:val="231F20"/>
                <w:spacing w:val="-4"/>
                <w:w w:val="105"/>
                <w:sz w:val="12"/>
              </w:rPr>
              <w:t>URSG</w:t>
            </w:r>
          </w:p>
        </w:tc>
        <w:tc>
          <w:tcPr>
            <w:tcW w:w="5482" w:type="dxa"/>
            <w:gridSpan w:val="2"/>
          </w:tcPr>
          <w:p>
            <w:pPr>
              <w:pStyle w:val="TableParagraph"/>
              <w:spacing w:line="131" w:lineRule="exact" w:before="26"/>
              <w:ind w:left="3201"/>
              <w:rPr>
                <w:sz w:val="12"/>
              </w:rPr>
            </w:pPr>
            <w:r>
              <w:rPr>
                <w:color w:val="231F20"/>
                <w:spacing w:val="-2"/>
                <w:w w:val="105"/>
                <w:sz w:val="12"/>
              </w:rPr>
              <w:t>G21AC10572</w:t>
            </w:r>
          </w:p>
        </w:tc>
        <w:tc>
          <w:tcPr>
            <w:tcW w:w="1159" w:type="dxa"/>
          </w:tcPr>
          <w:p>
            <w:pPr>
              <w:pStyle w:val="TableParagraph"/>
              <w:spacing w:line="125" w:lineRule="exact" w:before="32"/>
              <w:ind w:left="373" w:right="371"/>
              <w:jc w:val="center"/>
              <w:rPr>
                <w:sz w:val="12"/>
              </w:rPr>
            </w:pPr>
            <w:r>
              <w:rPr>
                <w:color w:val="231F20"/>
                <w:spacing w:val="-2"/>
                <w:w w:val="105"/>
                <w:sz w:val="12"/>
              </w:rPr>
              <w:t>15.808</w:t>
            </w:r>
          </w:p>
        </w:tc>
        <w:tc>
          <w:tcPr>
            <w:tcW w:w="1134" w:type="dxa"/>
            <w:tcBorders>
              <w:bottom w:val="single" w:sz="8" w:space="0" w:color="231F20"/>
            </w:tcBorders>
          </w:tcPr>
          <w:p>
            <w:pPr>
              <w:pStyle w:val="TableParagraph"/>
              <w:spacing w:line="125" w:lineRule="exact" w:before="32"/>
              <w:ind w:right="69"/>
              <w:jc w:val="right"/>
              <w:rPr>
                <w:sz w:val="12"/>
              </w:rPr>
            </w:pPr>
            <w:r>
              <w:rPr>
                <w:color w:val="231F20"/>
                <w:w w:val="105"/>
                <w:sz w:val="12"/>
              </w:rPr>
              <w:t>-</w:t>
            </w:r>
          </w:p>
        </w:tc>
        <w:tc>
          <w:tcPr>
            <w:tcW w:w="152" w:type="dxa"/>
          </w:tcPr>
          <w:p>
            <w:pPr>
              <w:pStyle w:val="TableParagraph"/>
              <w:rPr>
                <w:rFonts w:ascii="Times New Roman"/>
                <w:sz w:val="10"/>
              </w:rPr>
            </w:pPr>
          </w:p>
        </w:tc>
        <w:tc>
          <w:tcPr>
            <w:tcW w:w="1134" w:type="dxa"/>
            <w:tcBorders>
              <w:bottom w:val="single" w:sz="8" w:space="0" w:color="231F20"/>
            </w:tcBorders>
          </w:tcPr>
          <w:p>
            <w:pPr>
              <w:pStyle w:val="TableParagraph"/>
              <w:spacing w:line="125" w:lineRule="exact" w:before="32"/>
              <w:ind w:right="64"/>
              <w:jc w:val="right"/>
              <w:rPr>
                <w:sz w:val="12"/>
              </w:rPr>
            </w:pPr>
            <w:r>
              <w:rPr>
                <w:color w:val="231F20"/>
                <w:spacing w:val="-2"/>
                <w:w w:val="105"/>
                <w:sz w:val="12"/>
              </w:rPr>
              <w:t>143,262</w:t>
            </w:r>
          </w:p>
        </w:tc>
      </w:tr>
      <w:tr>
        <w:trPr>
          <w:trHeight w:val="147" w:hRule="atLeast"/>
        </w:trPr>
        <w:tc>
          <w:tcPr>
            <w:tcW w:w="4428" w:type="dxa"/>
          </w:tcPr>
          <w:p>
            <w:pPr>
              <w:pStyle w:val="TableParagraph"/>
              <w:spacing w:line="120" w:lineRule="exact" w:before="7"/>
              <w:ind w:left="204"/>
              <w:rPr>
                <w:b/>
                <w:sz w:val="12"/>
              </w:rPr>
            </w:pPr>
            <w:r>
              <w:rPr>
                <w:b/>
                <w:color w:val="231F20"/>
                <w:w w:val="105"/>
                <w:sz w:val="12"/>
              </w:rPr>
              <w:t>Total</w:t>
            </w:r>
            <w:r>
              <w:rPr>
                <w:b/>
                <w:color w:val="231F20"/>
                <w:spacing w:val="-6"/>
                <w:w w:val="105"/>
                <w:sz w:val="12"/>
              </w:rPr>
              <w:t> </w:t>
            </w:r>
            <w:r>
              <w:rPr>
                <w:b/>
                <w:color w:val="231F20"/>
                <w:w w:val="105"/>
                <w:sz w:val="12"/>
              </w:rPr>
              <w:t>Direct</w:t>
            </w:r>
            <w:r>
              <w:rPr>
                <w:b/>
                <w:color w:val="231F20"/>
                <w:spacing w:val="-4"/>
                <w:w w:val="105"/>
                <w:sz w:val="12"/>
              </w:rPr>
              <w:t> </w:t>
            </w:r>
            <w:r>
              <w:rPr>
                <w:b/>
                <w:color w:val="231F20"/>
                <w:w w:val="105"/>
                <w:sz w:val="12"/>
              </w:rPr>
              <w:t>U.S.</w:t>
            </w:r>
            <w:r>
              <w:rPr>
                <w:b/>
                <w:color w:val="231F20"/>
                <w:spacing w:val="-4"/>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3"/>
                <w:w w:val="105"/>
                <w:sz w:val="12"/>
              </w:rPr>
              <w:t> </w:t>
            </w:r>
            <w:r>
              <w:rPr>
                <w:b/>
                <w:color w:val="231F20"/>
                <w:w w:val="105"/>
                <w:sz w:val="12"/>
              </w:rPr>
              <w:t>the</w:t>
            </w:r>
            <w:r>
              <w:rPr>
                <w:b/>
                <w:color w:val="231F20"/>
                <w:spacing w:val="-3"/>
                <w:w w:val="105"/>
                <w:sz w:val="12"/>
              </w:rPr>
              <w:t> </w:t>
            </w:r>
            <w:r>
              <w:rPr>
                <w:b/>
                <w:color w:val="231F20"/>
                <w:spacing w:val="-2"/>
                <w:w w:val="105"/>
                <w:sz w:val="12"/>
              </w:rPr>
              <w:t>Interior</w:t>
            </w:r>
          </w:p>
        </w:tc>
        <w:tc>
          <w:tcPr>
            <w:tcW w:w="952" w:type="dxa"/>
          </w:tcPr>
          <w:p>
            <w:pPr>
              <w:pStyle w:val="TableParagraph"/>
              <w:rPr>
                <w:rFonts w:ascii="Times New Roman"/>
                <w:sz w:val="8"/>
              </w:rPr>
            </w:pPr>
          </w:p>
        </w:tc>
        <w:tc>
          <w:tcPr>
            <w:tcW w:w="5482" w:type="dxa"/>
            <w:gridSpan w:val="2"/>
          </w:tcPr>
          <w:p>
            <w:pPr>
              <w:pStyle w:val="TableParagraph"/>
              <w:rPr>
                <w:rFonts w:ascii="Times New Roman"/>
                <w:sz w:val="8"/>
              </w:rPr>
            </w:pPr>
          </w:p>
        </w:tc>
        <w:tc>
          <w:tcPr>
            <w:tcW w:w="1159" w:type="dxa"/>
          </w:tcPr>
          <w:p>
            <w:pPr>
              <w:pStyle w:val="TableParagraph"/>
              <w:rPr>
                <w:rFonts w:ascii="Times New Roman"/>
                <w:sz w:val="8"/>
              </w:rPr>
            </w:pPr>
          </w:p>
        </w:tc>
        <w:tc>
          <w:tcPr>
            <w:tcW w:w="1134" w:type="dxa"/>
            <w:tcBorders>
              <w:top w:val="single" w:sz="8" w:space="0" w:color="231F20"/>
              <w:bottom w:val="single" w:sz="12" w:space="0" w:color="231F20"/>
            </w:tcBorders>
          </w:tcPr>
          <w:p>
            <w:pPr>
              <w:pStyle w:val="TableParagraph"/>
              <w:spacing w:line="120" w:lineRule="exact" w:before="7"/>
              <w:ind w:right="69"/>
              <w:jc w:val="right"/>
              <w:rPr>
                <w:b/>
                <w:sz w:val="12"/>
              </w:rPr>
            </w:pPr>
            <w:r>
              <w:rPr>
                <w:b/>
                <w:color w:val="231F20"/>
                <w:w w:val="105"/>
                <w:sz w:val="12"/>
              </w:rPr>
              <w:t>-</w:t>
            </w:r>
          </w:p>
        </w:tc>
        <w:tc>
          <w:tcPr>
            <w:tcW w:w="152" w:type="dxa"/>
          </w:tcPr>
          <w:p>
            <w:pPr>
              <w:pStyle w:val="TableParagraph"/>
              <w:rPr>
                <w:rFonts w:ascii="Times New Roman"/>
                <w:sz w:val="8"/>
              </w:rPr>
            </w:pPr>
          </w:p>
        </w:tc>
        <w:tc>
          <w:tcPr>
            <w:tcW w:w="1134" w:type="dxa"/>
            <w:tcBorders>
              <w:top w:val="single" w:sz="8" w:space="0" w:color="231F20"/>
              <w:bottom w:val="single" w:sz="12" w:space="0" w:color="231F20"/>
            </w:tcBorders>
          </w:tcPr>
          <w:p>
            <w:pPr>
              <w:pStyle w:val="TableParagraph"/>
              <w:spacing w:line="120" w:lineRule="exact" w:before="7"/>
              <w:ind w:right="65"/>
              <w:jc w:val="right"/>
              <w:rPr>
                <w:b/>
                <w:sz w:val="12"/>
              </w:rPr>
            </w:pPr>
            <w:r>
              <w:rPr>
                <w:b/>
                <w:color w:val="231F20"/>
                <w:spacing w:val="-2"/>
                <w:w w:val="105"/>
                <w:sz w:val="12"/>
              </w:rPr>
              <w:t>143,262</w:t>
            </w:r>
          </w:p>
        </w:tc>
      </w:tr>
      <w:tr>
        <w:trPr>
          <w:trHeight w:val="318" w:hRule="atLeast"/>
        </w:trPr>
        <w:tc>
          <w:tcPr>
            <w:tcW w:w="4428" w:type="dxa"/>
          </w:tcPr>
          <w:p>
            <w:pPr>
              <w:pStyle w:val="TableParagraph"/>
              <w:spacing w:before="1"/>
              <w:rPr>
                <w:sz w:val="15"/>
              </w:rPr>
            </w:pPr>
          </w:p>
          <w:p>
            <w:pPr>
              <w:pStyle w:val="TableParagraph"/>
              <w:spacing w:line="125" w:lineRule="exact"/>
              <w:ind w:left="33"/>
              <w:rPr>
                <w:b/>
                <w:sz w:val="12"/>
              </w:rPr>
            </w:pPr>
            <w:r>
              <w:rPr>
                <w:b/>
                <w:color w:val="231F20"/>
                <w:w w:val="105"/>
                <w:sz w:val="12"/>
              </w:rPr>
              <w:t>Total</w:t>
            </w:r>
            <w:r>
              <w:rPr>
                <w:b/>
                <w:color w:val="231F20"/>
                <w:spacing w:val="-4"/>
                <w:w w:val="105"/>
                <w:sz w:val="12"/>
              </w:rPr>
              <w:t> </w:t>
            </w:r>
            <w:r>
              <w:rPr>
                <w:b/>
                <w:color w:val="231F20"/>
                <w:w w:val="105"/>
                <w:sz w:val="12"/>
              </w:rPr>
              <w:t>U.S.</w:t>
            </w:r>
            <w:r>
              <w:rPr>
                <w:b/>
                <w:color w:val="231F20"/>
                <w:spacing w:val="-2"/>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3"/>
                <w:w w:val="105"/>
                <w:sz w:val="12"/>
              </w:rPr>
              <w:t> </w:t>
            </w:r>
            <w:r>
              <w:rPr>
                <w:b/>
                <w:color w:val="231F20"/>
                <w:w w:val="105"/>
                <w:sz w:val="12"/>
              </w:rPr>
              <w:t>the</w:t>
            </w:r>
            <w:r>
              <w:rPr>
                <w:b/>
                <w:color w:val="231F20"/>
                <w:spacing w:val="-4"/>
                <w:w w:val="105"/>
                <w:sz w:val="12"/>
              </w:rPr>
              <w:t> </w:t>
            </w:r>
            <w:r>
              <w:rPr>
                <w:b/>
                <w:color w:val="231F20"/>
                <w:spacing w:val="-2"/>
                <w:w w:val="105"/>
                <w:sz w:val="12"/>
              </w:rPr>
              <w:t>Interior</w:t>
            </w:r>
          </w:p>
        </w:tc>
        <w:tc>
          <w:tcPr>
            <w:tcW w:w="952" w:type="dxa"/>
          </w:tcPr>
          <w:p>
            <w:pPr>
              <w:pStyle w:val="TableParagraph"/>
              <w:rPr>
                <w:rFonts w:ascii="Times New Roman"/>
                <w:sz w:val="12"/>
              </w:rPr>
            </w:pPr>
          </w:p>
        </w:tc>
        <w:tc>
          <w:tcPr>
            <w:tcW w:w="5482" w:type="dxa"/>
            <w:gridSpan w:val="2"/>
          </w:tcPr>
          <w:p>
            <w:pPr>
              <w:pStyle w:val="TableParagraph"/>
              <w:rPr>
                <w:rFonts w:ascii="Times New Roman"/>
                <w:sz w:val="12"/>
              </w:rPr>
            </w:pPr>
          </w:p>
        </w:tc>
        <w:tc>
          <w:tcPr>
            <w:tcW w:w="1159" w:type="dxa"/>
          </w:tcPr>
          <w:p>
            <w:pPr>
              <w:pStyle w:val="TableParagraph"/>
              <w:rPr>
                <w:rFonts w:ascii="Times New Roman"/>
                <w:sz w:val="12"/>
              </w:rPr>
            </w:pPr>
          </w:p>
        </w:tc>
        <w:tc>
          <w:tcPr>
            <w:tcW w:w="1134" w:type="dxa"/>
            <w:tcBorders>
              <w:top w:val="single" w:sz="12" w:space="0" w:color="231F20"/>
              <w:bottom w:val="single" w:sz="8" w:space="0" w:color="231F20"/>
            </w:tcBorders>
          </w:tcPr>
          <w:p>
            <w:pPr>
              <w:pStyle w:val="TableParagraph"/>
              <w:spacing w:before="1"/>
              <w:rPr>
                <w:sz w:val="15"/>
              </w:rPr>
            </w:pPr>
          </w:p>
          <w:p>
            <w:pPr>
              <w:pStyle w:val="TableParagraph"/>
              <w:spacing w:line="125" w:lineRule="exact"/>
              <w:ind w:right="69"/>
              <w:jc w:val="right"/>
              <w:rPr>
                <w:b/>
                <w:sz w:val="12"/>
              </w:rPr>
            </w:pPr>
            <w:r>
              <w:rPr>
                <w:b/>
                <w:color w:val="231F20"/>
                <w:w w:val="105"/>
                <w:sz w:val="12"/>
              </w:rPr>
              <w:t>-</w:t>
            </w:r>
          </w:p>
        </w:tc>
        <w:tc>
          <w:tcPr>
            <w:tcW w:w="152" w:type="dxa"/>
          </w:tcPr>
          <w:p>
            <w:pPr>
              <w:pStyle w:val="TableParagraph"/>
              <w:rPr>
                <w:rFonts w:ascii="Times New Roman"/>
                <w:sz w:val="12"/>
              </w:rPr>
            </w:pPr>
          </w:p>
        </w:tc>
        <w:tc>
          <w:tcPr>
            <w:tcW w:w="1134" w:type="dxa"/>
            <w:tcBorders>
              <w:top w:val="single" w:sz="12" w:space="0" w:color="231F20"/>
              <w:bottom w:val="single" w:sz="8" w:space="0" w:color="231F20"/>
            </w:tcBorders>
          </w:tcPr>
          <w:p>
            <w:pPr>
              <w:pStyle w:val="TableParagraph"/>
              <w:spacing w:before="1"/>
              <w:rPr>
                <w:sz w:val="15"/>
              </w:rPr>
            </w:pPr>
          </w:p>
          <w:p>
            <w:pPr>
              <w:pStyle w:val="TableParagraph"/>
              <w:spacing w:line="125" w:lineRule="exact"/>
              <w:ind w:right="65"/>
              <w:jc w:val="right"/>
              <w:rPr>
                <w:b/>
                <w:sz w:val="12"/>
              </w:rPr>
            </w:pPr>
            <w:r>
              <w:rPr>
                <w:b/>
                <w:color w:val="231F20"/>
                <w:spacing w:val="-2"/>
                <w:w w:val="105"/>
                <w:sz w:val="12"/>
              </w:rPr>
              <w:t>143,262</w:t>
            </w:r>
          </w:p>
        </w:tc>
      </w:tr>
      <w:tr>
        <w:trPr>
          <w:trHeight w:val="317" w:hRule="atLeast"/>
        </w:trPr>
        <w:tc>
          <w:tcPr>
            <w:tcW w:w="4428" w:type="dxa"/>
          </w:tcPr>
          <w:p>
            <w:pPr>
              <w:pStyle w:val="TableParagraph"/>
              <w:spacing w:before="5"/>
              <w:rPr>
                <w:sz w:val="15"/>
              </w:rPr>
            </w:pPr>
          </w:p>
          <w:p>
            <w:pPr>
              <w:pStyle w:val="TableParagraph"/>
              <w:spacing w:line="119" w:lineRule="exact" w:before="1"/>
              <w:ind w:left="33"/>
              <w:rPr>
                <w:b/>
                <w:sz w:val="12"/>
              </w:rPr>
            </w:pPr>
            <w:r>
              <w:rPr>
                <w:b/>
                <w:color w:val="231F20"/>
                <w:w w:val="105"/>
                <w:sz w:val="12"/>
              </w:rPr>
              <w:t>U.S.</w:t>
            </w:r>
            <w:r>
              <w:rPr>
                <w:b/>
                <w:color w:val="231F20"/>
                <w:spacing w:val="-6"/>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3"/>
                <w:w w:val="105"/>
                <w:sz w:val="12"/>
              </w:rPr>
              <w:t> </w:t>
            </w:r>
            <w:r>
              <w:rPr>
                <w:b/>
                <w:color w:val="231F20"/>
                <w:spacing w:val="-2"/>
                <w:w w:val="105"/>
                <w:sz w:val="12"/>
              </w:rPr>
              <w:t>Labor</w:t>
            </w:r>
          </w:p>
        </w:tc>
        <w:tc>
          <w:tcPr>
            <w:tcW w:w="952" w:type="dxa"/>
          </w:tcPr>
          <w:p>
            <w:pPr>
              <w:pStyle w:val="TableParagraph"/>
              <w:rPr>
                <w:rFonts w:ascii="Times New Roman"/>
                <w:sz w:val="12"/>
              </w:rPr>
            </w:pPr>
          </w:p>
        </w:tc>
        <w:tc>
          <w:tcPr>
            <w:tcW w:w="5482" w:type="dxa"/>
            <w:gridSpan w:val="2"/>
          </w:tcPr>
          <w:p>
            <w:pPr>
              <w:pStyle w:val="TableParagraph"/>
              <w:rPr>
                <w:rFonts w:ascii="Times New Roman"/>
                <w:sz w:val="12"/>
              </w:rPr>
            </w:pPr>
          </w:p>
        </w:tc>
        <w:tc>
          <w:tcPr>
            <w:tcW w:w="1159" w:type="dxa"/>
          </w:tcPr>
          <w:p>
            <w:pPr>
              <w:pStyle w:val="TableParagraph"/>
              <w:rPr>
                <w:rFonts w:ascii="Times New Roman"/>
                <w:sz w:val="12"/>
              </w:rPr>
            </w:pPr>
          </w:p>
        </w:tc>
        <w:tc>
          <w:tcPr>
            <w:tcW w:w="1134" w:type="dxa"/>
            <w:tcBorders>
              <w:top w:val="single" w:sz="8" w:space="0" w:color="231F20"/>
            </w:tcBorders>
          </w:tcPr>
          <w:p>
            <w:pPr>
              <w:pStyle w:val="TableParagraph"/>
              <w:rPr>
                <w:rFonts w:ascii="Times New Roman"/>
                <w:sz w:val="12"/>
              </w:rPr>
            </w:pPr>
          </w:p>
        </w:tc>
        <w:tc>
          <w:tcPr>
            <w:tcW w:w="152" w:type="dxa"/>
          </w:tcPr>
          <w:p>
            <w:pPr>
              <w:pStyle w:val="TableParagraph"/>
              <w:rPr>
                <w:rFonts w:ascii="Times New Roman"/>
                <w:sz w:val="12"/>
              </w:rPr>
            </w:pPr>
          </w:p>
        </w:tc>
        <w:tc>
          <w:tcPr>
            <w:tcW w:w="1134" w:type="dxa"/>
            <w:tcBorders>
              <w:top w:val="single" w:sz="8" w:space="0" w:color="231F20"/>
            </w:tcBorders>
          </w:tcPr>
          <w:p>
            <w:pPr>
              <w:pStyle w:val="TableParagraph"/>
              <w:rPr>
                <w:rFonts w:ascii="Times New Roman"/>
                <w:sz w:val="12"/>
              </w:rPr>
            </w:pPr>
          </w:p>
        </w:tc>
      </w:tr>
      <w:tr>
        <w:trPr>
          <w:trHeight w:val="171" w:hRule="atLeast"/>
        </w:trPr>
        <w:tc>
          <w:tcPr>
            <w:tcW w:w="4428" w:type="dxa"/>
          </w:tcPr>
          <w:p>
            <w:pPr>
              <w:pStyle w:val="TableParagraph"/>
              <w:spacing w:line="119" w:lineRule="exact" w:before="32"/>
              <w:ind w:left="204"/>
              <w:rPr>
                <w:sz w:val="12"/>
              </w:rPr>
            </w:pPr>
            <w:r>
              <w:rPr>
                <w:color w:val="231F20"/>
                <w:w w:val="105"/>
                <w:sz w:val="12"/>
              </w:rPr>
              <w:t>Direct</w:t>
            </w:r>
            <w:r>
              <w:rPr>
                <w:color w:val="231F20"/>
                <w:spacing w:val="-4"/>
                <w:w w:val="105"/>
                <w:sz w:val="12"/>
              </w:rPr>
              <w:t> </w:t>
            </w:r>
            <w:r>
              <w:rPr>
                <w:color w:val="231F20"/>
                <w:spacing w:val="-2"/>
                <w:w w:val="105"/>
                <w:sz w:val="12"/>
              </w:rPr>
              <w:t>Awards</w:t>
            </w:r>
          </w:p>
        </w:tc>
        <w:tc>
          <w:tcPr>
            <w:tcW w:w="952" w:type="dxa"/>
          </w:tcPr>
          <w:p>
            <w:pPr>
              <w:pStyle w:val="TableParagraph"/>
              <w:rPr>
                <w:rFonts w:ascii="Times New Roman"/>
                <w:sz w:val="10"/>
              </w:rPr>
            </w:pPr>
          </w:p>
        </w:tc>
        <w:tc>
          <w:tcPr>
            <w:tcW w:w="2703" w:type="dxa"/>
          </w:tcPr>
          <w:p>
            <w:pPr>
              <w:pStyle w:val="TableParagraph"/>
              <w:rPr>
                <w:rFonts w:ascii="Times New Roman"/>
                <w:sz w:val="10"/>
              </w:rPr>
            </w:pPr>
          </w:p>
        </w:tc>
        <w:tc>
          <w:tcPr>
            <w:tcW w:w="2779" w:type="dxa"/>
          </w:tcPr>
          <w:p>
            <w:pPr>
              <w:pStyle w:val="TableParagraph"/>
              <w:rPr>
                <w:rFonts w:ascii="Times New Roman"/>
                <w:sz w:val="10"/>
              </w:rPr>
            </w:pPr>
          </w:p>
        </w:tc>
        <w:tc>
          <w:tcPr>
            <w:tcW w:w="1159" w:type="dxa"/>
          </w:tcPr>
          <w:p>
            <w:pPr>
              <w:pStyle w:val="TableParagraph"/>
              <w:rPr>
                <w:rFonts w:ascii="Times New Roman"/>
                <w:sz w:val="10"/>
              </w:rPr>
            </w:pPr>
          </w:p>
        </w:tc>
        <w:tc>
          <w:tcPr>
            <w:tcW w:w="1134" w:type="dxa"/>
          </w:tcPr>
          <w:p>
            <w:pPr>
              <w:pStyle w:val="TableParagraph"/>
              <w:rPr>
                <w:rFonts w:ascii="Times New Roman"/>
                <w:sz w:val="10"/>
              </w:rPr>
            </w:pPr>
          </w:p>
        </w:tc>
        <w:tc>
          <w:tcPr>
            <w:tcW w:w="152" w:type="dxa"/>
          </w:tcPr>
          <w:p>
            <w:pPr>
              <w:pStyle w:val="TableParagraph"/>
              <w:rPr>
                <w:rFonts w:ascii="Times New Roman"/>
                <w:sz w:val="10"/>
              </w:rPr>
            </w:pPr>
          </w:p>
        </w:tc>
        <w:tc>
          <w:tcPr>
            <w:tcW w:w="1134" w:type="dxa"/>
          </w:tcPr>
          <w:p>
            <w:pPr>
              <w:pStyle w:val="TableParagraph"/>
              <w:rPr>
                <w:rFonts w:ascii="Times New Roman"/>
                <w:sz w:val="10"/>
              </w:rPr>
            </w:pPr>
          </w:p>
        </w:tc>
      </w:tr>
      <w:tr>
        <w:trPr>
          <w:trHeight w:val="184" w:hRule="atLeast"/>
        </w:trPr>
        <w:tc>
          <w:tcPr>
            <w:tcW w:w="4428" w:type="dxa"/>
          </w:tcPr>
          <w:p>
            <w:pPr>
              <w:pStyle w:val="TableParagraph"/>
              <w:spacing w:line="137" w:lineRule="exact" w:before="27"/>
              <w:ind w:left="374"/>
              <w:rPr>
                <w:sz w:val="12"/>
              </w:rPr>
            </w:pPr>
            <w:r>
              <w:rPr>
                <w:color w:val="231F20"/>
                <w:w w:val="105"/>
                <w:sz w:val="12"/>
              </w:rPr>
              <w:t>Occupational</w:t>
            </w:r>
            <w:r>
              <w:rPr>
                <w:color w:val="231F20"/>
                <w:spacing w:val="-5"/>
                <w:w w:val="105"/>
                <w:sz w:val="12"/>
              </w:rPr>
              <w:t> </w:t>
            </w:r>
            <w:r>
              <w:rPr>
                <w:color w:val="231F20"/>
                <w:w w:val="105"/>
                <w:sz w:val="12"/>
              </w:rPr>
              <w:t>Safety</w:t>
            </w:r>
            <w:r>
              <w:rPr>
                <w:color w:val="231F20"/>
                <w:spacing w:val="-4"/>
                <w:w w:val="105"/>
                <w:sz w:val="12"/>
              </w:rPr>
              <w:t> </w:t>
            </w:r>
            <w:r>
              <w:rPr>
                <w:color w:val="231F20"/>
                <w:w w:val="105"/>
                <w:sz w:val="12"/>
              </w:rPr>
              <w:t>and</w:t>
            </w:r>
            <w:r>
              <w:rPr>
                <w:color w:val="231F20"/>
                <w:spacing w:val="-4"/>
                <w:w w:val="105"/>
                <w:sz w:val="12"/>
              </w:rPr>
              <w:t> </w:t>
            </w:r>
            <w:r>
              <w:rPr>
                <w:color w:val="231F20"/>
                <w:w w:val="105"/>
                <w:sz w:val="12"/>
              </w:rPr>
              <w:t>Health</w:t>
            </w:r>
            <w:r>
              <w:rPr>
                <w:color w:val="231F20"/>
                <w:spacing w:val="-3"/>
                <w:w w:val="105"/>
                <w:sz w:val="12"/>
              </w:rPr>
              <w:t> </w:t>
            </w:r>
            <w:r>
              <w:rPr>
                <w:color w:val="231F20"/>
                <w:w w:val="105"/>
                <w:sz w:val="12"/>
              </w:rPr>
              <w:t>Susan</w:t>
            </w:r>
            <w:r>
              <w:rPr>
                <w:color w:val="231F20"/>
                <w:spacing w:val="-4"/>
                <w:w w:val="105"/>
                <w:sz w:val="12"/>
              </w:rPr>
              <w:t> </w:t>
            </w:r>
            <w:r>
              <w:rPr>
                <w:color w:val="231F20"/>
                <w:w w:val="105"/>
                <w:sz w:val="12"/>
              </w:rPr>
              <w:t>Harwood</w:t>
            </w:r>
            <w:r>
              <w:rPr>
                <w:color w:val="231F20"/>
                <w:spacing w:val="-3"/>
                <w:w w:val="105"/>
                <w:sz w:val="12"/>
              </w:rPr>
              <w:t> </w:t>
            </w:r>
            <w:r>
              <w:rPr>
                <w:color w:val="231F20"/>
                <w:w w:val="105"/>
                <w:sz w:val="12"/>
              </w:rPr>
              <w:t>Training</w:t>
            </w:r>
            <w:r>
              <w:rPr>
                <w:color w:val="231F20"/>
                <w:spacing w:val="-4"/>
                <w:w w:val="105"/>
                <w:sz w:val="12"/>
              </w:rPr>
              <w:t> </w:t>
            </w:r>
            <w:r>
              <w:rPr>
                <w:color w:val="231F20"/>
                <w:spacing w:val="-2"/>
                <w:w w:val="105"/>
                <w:sz w:val="12"/>
              </w:rPr>
              <w:t>Grants</w:t>
            </w:r>
          </w:p>
        </w:tc>
        <w:tc>
          <w:tcPr>
            <w:tcW w:w="952" w:type="dxa"/>
          </w:tcPr>
          <w:p>
            <w:pPr>
              <w:pStyle w:val="TableParagraph"/>
              <w:spacing w:line="132" w:lineRule="exact" w:before="32"/>
              <w:ind w:left="404"/>
              <w:rPr>
                <w:sz w:val="12"/>
              </w:rPr>
            </w:pPr>
            <w:r>
              <w:rPr>
                <w:color w:val="231F20"/>
                <w:spacing w:val="-4"/>
                <w:w w:val="105"/>
                <w:sz w:val="12"/>
              </w:rPr>
              <w:t>RSHT</w:t>
            </w:r>
          </w:p>
        </w:tc>
        <w:tc>
          <w:tcPr>
            <w:tcW w:w="5482" w:type="dxa"/>
            <w:gridSpan w:val="2"/>
          </w:tcPr>
          <w:p>
            <w:pPr>
              <w:pStyle w:val="TableParagraph"/>
              <w:spacing w:line="137" w:lineRule="exact" w:before="27"/>
              <w:ind w:left="3201"/>
              <w:rPr>
                <w:sz w:val="12"/>
              </w:rPr>
            </w:pPr>
            <w:r>
              <w:rPr>
                <w:color w:val="231F20"/>
                <w:spacing w:val="-2"/>
                <w:w w:val="105"/>
                <w:sz w:val="12"/>
              </w:rPr>
              <w:t>SH99056SH0</w:t>
            </w:r>
          </w:p>
        </w:tc>
        <w:tc>
          <w:tcPr>
            <w:tcW w:w="1159" w:type="dxa"/>
          </w:tcPr>
          <w:p>
            <w:pPr>
              <w:pStyle w:val="TableParagraph"/>
              <w:spacing w:line="132" w:lineRule="exact" w:before="32"/>
              <w:ind w:left="373" w:right="371"/>
              <w:jc w:val="center"/>
              <w:rPr>
                <w:sz w:val="12"/>
              </w:rPr>
            </w:pPr>
            <w:r>
              <w:rPr>
                <w:color w:val="231F20"/>
                <w:spacing w:val="-2"/>
                <w:w w:val="105"/>
                <w:sz w:val="12"/>
              </w:rPr>
              <w:t>17.502</w:t>
            </w:r>
          </w:p>
        </w:tc>
        <w:tc>
          <w:tcPr>
            <w:tcW w:w="1134" w:type="dxa"/>
          </w:tcPr>
          <w:p>
            <w:pPr>
              <w:pStyle w:val="TableParagraph"/>
              <w:spacing w:line="132" w:lineRule="exact" w:before="32"/>
              <w:ind w:right="69"/>
              <w:jc w:val="right"/>
              <w:rPr>
                <w:sz w:val="12"/>
              </w:rPr>
            </w:pPr>
            <w:r>
              <w:rPr>
                <w:color w:val="231F20"/>
                <w:w w:val="105"/>
                <w:sz w:val="12"/>
              </w:rPr>
              <w:t>-</w:t>
            </w:r>
          </w:p>
        </w:tc>
        <w:tc>
          <w:tcPr>
            <w:tcW w:w="152" w:type="dxa"/>
          </w:tcPr>
          <w:p>
            <w:pPr>
              <w:pStyle w:val="TableParagraph"/>
              <w:rPr>
                <w:rFonts w:ascii="Times New Roman"/>
                <w:sz w:val="12"/>
              </w:rPr>
            </w:pPr>
          </w:p>
        </w:tc>
        <w:tc>
          <w:tcPr>
            <w:tcW w:w="1134" w:type="dxa"/>
          </w:tcPr>
          <w:p>
            <w:pPr>
              <w:pStyle w:val="TableParagraph"/>
              <w:spacing w:line="132" w:lineRule="exact" w:before="32"/>
              <w:ind w:right="65"/>
              <w:jc w:val="right"/>
              <w:rPr>
                <w:sz w:val="12"/>
              </w:rPr>
            </w:pPr>
            <w:r>
              <w:rPr>
                <w:color w:val="231F20"/>
                <w:spacing w:val="-2"/>
                <w:w w:val="105"/>
                <w:sz w:val="12"/>
              </w:rPr>
              <w:t>39,439</w:t>
            </w:r>
          </w:p>
        </w:tc>
      </w:tr>
      <w:tr>
        <w:trPr>
          <w:trHeight w:val="172" w:hRule="atLeast"/>
        </w:trPr>
        <w:tc>
          <w:tcPr>
            <w:tcW w:w="4428" w:type="dxa"/>
          </w:tcPr>
          <w:p>
            <w:pPr>
              <w:pStyle w:val="TableParagraph"/>
              <w:spacing w:line="138" w:lineRule="exact" w:before="14"/>
              <w:ind w:left="374"/>
              <w:rPr>
                <w:sz w:val="12"/>
              </w:rPr>
            </w:pPr>
            <w:r>
              <w:rPr>
                <w:color w:val="231F20"/>
                <w:w w:val="105"/>
                <w:sz w:val="12"/>
              </w:rPr>
              <w:t>Occupational</w:t>
            </w:r>
            <w:r>
              <w:rPr>
                <w:color w:val="231F20"/>
                <w:spacing w:val="-5"/>
                <w:w w:val="105"/>
                <w:sz w:val="12"/>
              </w:rPr>
              <w:t> </w:t>
            </w:r>
            <w:r>
              <w:rPr>
                <w:color w:val="231F20"/>
                <w:w w:val="105"/>
                <w:sz w:val="12"/>
              </w:rPr>
              <w:t>Safety</w:t>
            </w:r>
            <w:r>
              <w:rPr>
                <w:color w:val="231F20"/>
                <w:spacing w:val="-4"/>
                <w:w w:val="105"/>
                <w:sz w:val="12"/>
              </w:rPr>
              <w:t> </w:t>
            </w:r>
            <w:r>
              <w:rPr>
                <w:color w:val="231F20"/>
                <w:w w:val="105"/>
                <w:sz w:val="12"/>
              </w:rPr>
              <w:t>and</w:t>
            </w:r>
            <w:r>
              <w:rPr>
                <w:color w:val="231F20"/>
                <w:spacing w:val="-4"/>
                <w:w w:val="105"/>
                <w:sz w:val="12"/>
              </w:rPr>
              <w:t> </w:t>
            </w:r>
            <w:r>
              <w:rPr>
                <w:color w:val="231F20"/>
                <w:w w:val="105"/>
                <w:sz w:val="12"/>
              </w:rPr>
              <w:t>Health</w:t>
            </w:r>
            <w:r>
              <w:rPr>
                <w:color w:val="231F20"/>
                <w:spacing w:val="-3"/>
                <w:w w:val="105"/>
                <w:sz w:val="12"/>
              </w:rPr>
              <w:t> </w:t>
            </w:r>
            <w:r>
              <w:rPr>
                <w:color w:val="231F20"/>
                <w:w w:val="105"/>
                <w:sz w:val="12"/>
              </w:rPr>
              <w:t>Susan</w:t>
            </w:r>
            <w:r>
              <w:rPr>
                <w:color w:val="231F20"/>
                <w:spacing w:val="-4"/>
                <w:w w:val="105"/>
                <w:sz w:val="12"/>
              </w:rPr>
              <w:t> </w:t>
            </w:r>
            <w:r>
              <w:rPr>
                <w:color w:val="231F20"/>
                <w:w w:val="105"/>
                <w:sz w:val="12"/>
              </w:rPr>
              <w:t>Harwood</w:t>
            </w:r>
            <w:r>
              <w:rPr>
                <w:color w:val="231F20"/>
                <w:spacing w:val="-3"/>
                <w:w w:val="105"/>
                <w:sz w:val="12"/>
              </w:rPr>
              <w:t> </w:t>
            </w:r>
            <w:r>
              <w:rPr>
                <w:color w:val="231F20"/>
                <w:w w:val="105"/>
                <w:sz w:val="12"/>
              </w:rPr>
              <w:t>Training</w:t>
            </w:r>
            <w:r>
              <w:rPr>
                <w:color w:val="231F20"/>
                <w:spacing w:val="-4"/>
                <w:w w:val="105"/>
                <w:sz w:val="12"/>
              </w:rPr>
              <w:t> </w:t>
            </w:r>
            <w:r>
              <w:rPr>
                <w:color w:val="231F20"/>
                <w:spacing w:val="-2"/>
                <w:w w:val="105"/>
                <w:sz w:val="12"/>
              </w:rPr>
              <w:t>Grants</w:t>
            </w:r>
          </w:p>
        </w:tc>
        <w:tc>
          <w:tcPr>
            <w:tcW w:w="952" w:type="dxa"/>
          </w:tcPr>
          <w:p>
            <w:pPr>
              <w:pStyle w:val="TableParagraph"/>
              <w:spacing w:line="132" w:lineRule="exact" w:before="20"/>
              <w:ind w:left="397"/>
              <w:rPr>
                <w:sz w:val="12"/>
              </w:rPr>
            </w:pPr>
            <w:r>
              <w:rPr>
                <w:color w:val="231F20"/>
                <w:spacing w:val="-4"/>
                <w:w w:val="105"/>
                <w:sz w:val="12"/>
              </w:rPr>
              <w:t>RTDG</w:t>
            </w:r>
          </w:p>
        </w:tc>
        <w:tc>
          <w:tcPr>
            <w:tcW w:w="5482" w:type="dxa"/>
            <w:gridSpan w:val="2"/>
          </w:tcPr>
          <w:p>
            <w:pPr>
              <w:pStyle w:val="TableParagraph"/>
              <w:spacing w:line="138" w:lineRule="exact" w:before="14"/>
              <w:ind w:left="3201"/>
              <w:rPr>
                <w:sz w:val="12"/>
              </w:rPr>
            </w:pPr>
            <w:r>
              <w:rPr>
                <w:color w:val="231F20"/>
                <w:spacing w:val="-2"/>
                <w:w w:val="105"/>
                <w:sz w:val="12"/>
              </w:rPr>
              <w:t>SH-37202-21-60-F-</w:t>
            </w:r>
            <w:r>
              <w:rPr>
                <w:color w:val="231F20"/>
                <w:spacing w:val="-5"/>
                <w:w w:val="105"/>
                <w:sz w:val="12"/>
              </w:rPr>
              <w:t>35</w:t>
            </w:r>
          </w:p>
        </w:tc>
        <w:tc>
          <w:tcPr>
            <w:tcW w:w="1159" w:type="dxa"/>
          </w:tcPr>
          <w:p>
            <w:pPr>
              <w:pStyle w:val="TableParagraph"/>
              <w:spacing w:line="132" w:lineRule="exact" w:before="20"/>
              <w:ind w:left="373" w:right="371"/>
              <w:jc w:val="center"/>
              <w:rPr>
                <w:sz w:val="12"/>
              </w:rPr>
            </w:pPr>
            <w:r>
              <w:rPr>
                <w:color w:val="231F20"/>
                <w:spacing w:val="-2"/>
                <w:w w:val="105"/>
                <w:sz w:val="12"/>
              </w:rPr>
              <w:t>17.502</w:t>
            </w:r>
          </w:p>
        </w:tc>
        <w:tc>
          <w:tcPr>
            <w:tcW w:w="1134" w:type="dxa"/>
          </w:tcPr>
          <w:p>
            <w:pPr>
              <w:pStyle w:val="TableParagraph"/>
              <w:spacing w:line="132" w:lineRule="exact" w:before="20"/>
              <w:ind w:right="69"/>
              <w:jc w:val="right"/>
              <w:rPr>
                <w:sz w:val="12"/>
              </w:rPr>
            </w:pPr>
            <w:r>
              <w:rPr>
                <w:color w:val="231F20"/>
                <w:w w:val="105"/>
                <w:sz w:val="12"/>
              </w:rPr>
              <w:t>-</w:t>
            </w:r>
          </w:p>
        </w:tc>
        <w:tc>
          <w:tcPr>
            <w:tcW w:w="152" w:type="dxa"/>
          </w:tcPr>
          <w:p>
            <w:pPr>
              <w:pStyle w:val="TableParagraph"/>
              <w:rPr>
                <w:rFonts w:ascii="Times New Roman"/>
                <w:sz w:val="10"/>
              </w:rPr>
            </w:pPr>
          </w:p>
        </w:tc>
        <w:tc>
          <w:tcPr>
            <w:tcW w:w="1134" w:type="dxa"/>
          </w:tcPr>
          <w:p>
            <w:pPr>
              <w:pStyle w:val="TableParagraph"/>
              <w:spacing w:line="132" w:lineRule="exact" w:before="20"/>
              <w:ind w:right="65"/>
              <w:jc w:val="right"/>
              <w:rPr>
                <w:sz w:val="12"/>
              </w:rPr>
            </w:pPr>
            <w:r>
              <w:rPr>
                <w:color w:val="231F20"/>
                <w:spacing w:val="-2"/>
                <w:w w:val="105"/>
                <w:sz w:val="12"/>
              </w:rPr>
              <w:t>35,084</w:t>
            </w:r>
          </w:p>
        </w:tc>
      </w:tr>
      <w:tr>
        <w:trPr>
          <w:trHeight w:val="171" w:hRule="atLeast"/>
        </w:trPr>
        <w:tc>
          <w:tcPr>
            <w:tcW w:w="4428" w:type="dxa"/>
          </w:tcPr>
          <w:p>
            <w:pPr>
              <w:pStyle w:val="TableParagraph"/>
              <w:spacing w:line="138" w:lineRule="exact" w:before="14"/>
              <w:ind w:left="374"/>
              <w:rPr>
                <w:sz w:val="12"/>
              </w:rPr>
            </w:pPr>
            <w:r>
              <w:rPr>
                <w:color w:val="231F20"/>
                <w:w w:val="105"/>
                <w:sz w:val="12"/>
              </w:rPr>
              <w:t>Mine</w:t>
            </w:r>
            <w:r>
              <w:rPr>
                <w:color w:val="231F20"/>
                <w:spacing w:val="-3"/>
                <w:w w:val="105"/>
                <w:sz w:val="12"/>
              </w:rPr>
              <w:t> </w:t>
            </w:r>
            <w:r>
              <w:rPr>
                <w:color w:val="231F20"/>
                <w:w w:val="105"/>
                <w:sz w:val="12"/>
              </w:rPr>
              <w:t>Health</w:t>
            </w:r>
            <w:r>
              <w:rPr>
                <w:color w:val="231F20"/>
                <w:spacing w:val="-3"/>
                <w:w w:val="105"/>
                <w:sz w:val="12"/>
              </w:rPr>
              <w:t> </w:t>
            </w:r>
            <w:r>
              <w:rPr>
                <w:color w:val="231F20"/>
                <w:w w:val="105"/>
                <w:sz w:val="12"/>
              </w:rPr>
              <w:t>and</w:t>
            </w:r>
            <w:r>
              <w:rPr>
                <w:color w:val="231F20"/>
                <w:spacing w:val="-3"/>
                <w:w w:val="105"/>
                <w:sz w:val="12"/>
              </w:rPr>
              <w:t> </w:t>
            </w:r>
            <w:r>
              <w:rPr>
                <w:color w:val="231F20"/>
                <w:w w:val="105"/>
                <w:sz w:val="12"/>
              </w:rPr>
              <w:t>Safety</w:t>
            </w:r>
            <w:r>
              <w:rPr>
                <w:color w:val="231F20"/>
                <w:spacing w:val="-5"/>
                <w:w w:val="105"/>
                <w:sz w:val="12"/>
              </w:rPr>
              <w:t> </w:t>
            </w:r>
            <w:r>
              <w:rPr>
                <w:color w:val="231F20"/>
                <w:spacing w:val="-2"/>
                <w:w w:val="105"/>
                <w:sz w:val="12"/>
              </w:rPr>
              <w:t>Grants</w:t>
            </w:r>
          </w:p>
        </w:tc>
        <w:tc>
          <w:tcPr>
            <w:tcW w:w="952" w:type="dxa"/>
          </w:tcPr>
          <w:p>
            <w:pPr>
              <w:pStyle w:val="TableParagraph"/>
              <w:spacing w:line="132" w:lineRule="exact" w:before="20"/>
              <w:ind w:left="390"/>
              <w:rPr>
                <w:sz w:val="12"/>
              </w:rPr>
            </w:pPr>
            <w:r>
              <w:rPr>
                <w:color w:val="231F20"/>
                <w:spacing w:val="-4"/>
                <w:w w:val="105"/>
                <w:sz w:val="12"/>
              </w:rPr>
              <w:t>RFMM</w:t>
            </w:r>
          </w:p>
        </w:tc>
        <w:tc>
          <w:tcPr>
            <w:tcW w:w="5482" w:type="dxa"/>
            <w:gridSpan w:val="2"/>
          </w:tcPr>
          <w:p>
            <w:pPr>
              <w:pStyle w:val="TableParagraph"/>
              <w:spacing w:line="138" w:lineRule="exact" w:before="14"/>
              <w:ind w:left="3201"/>
              <w:rPr>
                <w:sz w:val="12"/>
              </w:rPr>
            </w:pPr>
            <w:r>
              <w:rPr>
                <w:color w:val="231F20"/>
                <w:spacing w:val="-2"/>
                <w:w w:val="105"/>
                <w:sz w:val="12"/>
              </w:rPr>
              <w:t>MS-35387-20-55-R-</w:t>
            </w:r>
            <w:r>
              <w:rPr>
                <w:color w:val="231F20"/>
                <w:spacing w:val="-5"/>
                <w:w w:val="105"/>
                <w:sz w:val="12"/>
              </w:rPr>
              <w:t>35</w:t>
            </w:r>
          </w:p>
        </w:tc>
        <w:tc>
          <w:tcPr>
            <w:tcW w:w="1159" w:type="dxa"/>
          </w:tcPr>
          <w:p>
            <w:pPr>
              <w:pStyle w:val="TableParagraph"/>
              <w:spacing w:line="132" w:lineRule="exact" w:before="20"/>
              <w:ind w:left="373" w:right="370"/>
              <w:jc w:val="center"/>
              <w:rPr>
                <w:sz w:val="12"/>
              </w:rPr>
            </w:pPr>
            <w:r>
              <w:rPr>
                <w:color w:val="231F20"/>
                <w:spacing w:val="-2"/>
                <w:w w:val="105"/>
                <w:sz w:val="12"/>
              </w:rPr>
              <w:t>17.600</w:t>
            </w:r>
          </w:p>
        </w:tc>
        <w:tc>
          <w:tcPr>
            <w:tcW w:w="1134" w:type="dxa"/>
          </w:tcPr>
          <w:p>
            <w:pPr>
              <w:pStyle w:val="TableParagraph"/>
              <w:spacing w:line="132" w:lineRule="exact" w:before="20"/>
              <w:ind w:right="69"/>
              <w:jc w:val="right"/>
              <w:rPr>
                <w:sz w:val="12"/>
              </w:rPr>
            </w:pPr>
            <w:r>
              <w:rPr>
                <w:color w:val="231F20"/>
                <w:w w:val="105"/>
                <w:sz w:val="12"/>
              </w:rPr>
              <w:t>-</w:t>
            </w:r>
          </w:p>
        </w:tc>
        <w:tc>
          <w:tcPr>
            <w:tcW w:w="152" w:type="dxa"/>
          </w:tcPr>
          <w:p>
            <w:pPr>
              <w:pStyle w:val="TableParagraph"/>
              <w:rPr>
                <w:rFonts w:ascii="Times New Roman"/>
                <w:sz w:val="10"/>
              </w:rPr>
            </w:pPr>
          </w:p>
        </w:tc>
        <w:tc>
          <w:tcPr>
            <w:tcW w:w="1134" w:type="dxa"/>
          </w:tcPr>
          <w:p>
            <w:pPr>
              <w:pStyle w:val="TableParagraph"/>
              <w:spacing w:line="132" w:lineRule="exact" w:before="20"/>
              <w:ind w:right="65"/>
              <w:jc w:val="right"/>
              <w:rPr>
                <w:sz w:val="12"/>
              </w:rPr>
            </w:pPr>
            <w:r>
              <w:rPr>
                <w:color w:val="231F20"/>
                <w:spacing w:val="-2"/>
                <w:w w:val="105"/>
                <w:sz w:val="12"/>
              </w:rPr>
              <w:t>46,234</w:t>
            </w:r>
          </w:p>
        </w:tc>
      </w:tr>
      <w:tr>
        <w:trPr>
          <w:trHeight w:val="164" w:hRule="atLeast"/>
        </w:trPr>
        <w:tc>
          <w:tcPr>
            <w:tcW w:w="4428" w:type="dxa"/>
          </w:tcPr>
          <w:p>
            <w:pPr>
              <w:pStyle w:val="TableParagraph"/>
              <w:spacing w:line="131" w:lineRule="exact" w:before="14"/>
              <w:ind w:left="374"/>
              <w:rPr>
                <w:sz w:val="12"/>
              </w:rPr>
            </w:pPr>
            <w:r>
              <w:rPr>
                <w:color w:val="231F20"/>
                <w:w w:val="105"/>
                <w:sz w:val="12"/>
              </w:rPr>
              <w:t>Mine</w:t>
            </w:r>
            <w:r>
              <w:rPr>
                <w:color w:val="231F20"/>
                <w:spacing w:val="-3"/>
                <w:w w:val="105"/>
                <w:sz w:val="12"/>
              </w:rPr>
              <w:t> </w:t>
            </w:r>
            <w:r>
              <w:rPr>
                <w:color w:val="231F20"/>
                <w:w w:val="105"/>
                <w:sz w:val="12"/>
              </w:rPr>
              <w:t>Health</w:t>
            </w:r>
            <w:r>
              <w:rPr>
                <w:color w:val="231F20"/>
                <w:spacing w:val="-3"/>
                <w:w w:val="105"/>
                <w:sz w:val="12"/>
              </w:rPr>
              <w:t> </w:t>
            </w:r>
            <w:r>
              <w:rPr>
                <w:color w:val="231F20"/>
                <w:w w:val="105"/>
                <w:sz w:val="12"/>
              </w:rPr>
              <w:t>and</w:t>
            </w:r>
            <w:r>
              <w:rPr>
                <w:color w:val="231F20"/>
                <w:spacing w:val="-3"/>
                <w:w w:val="105"/>
                <w:sz w:val="12"/>
              </w:rPr>
              <w:t> </w:t>
            </w:r>
            <w:r>
              <w:rPr>
                <w:color w:val="231F20"/>
                <w:w w:val="105"/>
                <w:sz w:val="12"/>
              </w:rPr>
              <w:t>Safety</w:t>
            </w:r>
            <w:r>
              <w:rPr>
                <w:color w:val="231F20"/>
                <w:spacing w:val="-5"/>
                <w:w w:val="105"/>
                <w:sz w:val="12"/>
              </w:rPr>
              <w:t> </w:t>
            </w:r>
            <w:r>
              <w:rPr>
                <w:color w:val="231F20"/>
                <w:spacing w:val="-2"/>
                <w:w w:val="105"/>
                <w:sz w:val="12"/>
              </w:rPr>
              <w:t>Grants</w:t>
            </w:r>
          </w:p>
        </w:tc>
        <w:tc>
          <w:tcPr>
            <w:tcW w:w="952" w:type="dxa"/>
          </w:tcPr>
          <w:p>
            <w:pPr>
              <w:pStyle w:val="TableParagraph"/>
              <w:spacing w:line="125" w:lineRule="exact" w:before="20"/>
              <w:ind w:left="396"/>
              <w:rPr>
                <w:sz w:val="12"/>
              </w:rPr>
            </w:pPr>
            <w:r>
              <w:rPr>
                <w:color w:val="231F20"/>
                <w:spacing w:val="-4"/>
                <w:w w:val="105"/>
                <w:sz w:val="12"/>
              </w:rPr>
              <w:t>RFMN</w:t>
            </w:r>
          </w:p>
        </w:tc>
        <w:tc>
          <w:tcPr>
            <w:tcW w:w="5482" w:type="dxa"/>
            <w:gridSpan w:val="2"/>
          </w:tcPr>
          <w:p>
            <w:pPr>
              <w:pStyle w:val="TableParagraph"/>
              <w:spacing w:line="131" w:lineRule="exact" w:before="14"/>
              <w:ind w:left="3201"/>
              <w:rPr>
                <w:sz w:val="12"/>
              </w:rPr>
            </w:pPr>
            <w:r>
              <w:rPr>
                <w:color w:val="231F20"/>
                <w:spacing w:val="-2"/>
                <w:w w:val="105"/>
                <w:sz w:val="12"/>
              </w:rPr>
              <w:t>MS-36794-21-55-R-</w:t>
            </w:r>
            <w:r>
              <w:rPr>
                <w:color w:val="231F20"/>
                <w:spacing w:val="-5"/>
                <w:w w:val="105"/>
                <w:sz w:val="12"/>
              </w:rPr>
              <w:t>35</w:t>
            </w:r>
          </w:p>
        </w:tc>
        <w:tc>
          <w:tcPr>
            <w:tcW w:w="1159" w:type="dxa"/>
          </w:tcPr>
          <w:p>
            <w:pPr>
              <w:pStyle w:val="TableParagraph"/>
              <w:spacing w:line="125" w:lineRule="exact" w:before="20"/>
              <w:ind w:left="373" w:right="370"/>
              <w:jc w:val="center"/>
              <w:rPr>
                <w:sz w:val="12"/>
              </w:rPr>
            </w:pPr>
            <w:r>
              <w:rPr>
                <w:color w:val="231F20"/>
                <w:spacing w:val="-2"/>
                <w:w w:val="105"/>
                <w:sz w:val="12"/>
              </w:rPr>
              <w:t>17.600</w:t>
            </w:r>
          </w:p>
        </w:tc>
        <w:tc>
          <w:tcPr>
            <w:tcW w:w="1134" w:type="dxa"/>
            <w:tcBorders>
              <w:bottom w:val="single" w:sz="8" w:space="0" w:color="231F20"/>
            </w:tcBorders>
          </w:tcPr>
          <w:p>
            <w:pPr>
              <w:pStyle w:val="TableParagraph"/>
              <w:spacing w:line="125" w:lineRule="exact" w:before="20"/>
              <w:ind w:right="69"/>
              <w:jc w:val="right"/>
              <w:rPr>
                <w:sz w:val="12"/>
              </w:rPr>
            </w:pPr>
            <w:r>
              <w:rPr>
                <w:color w:val="231F20"/>
                <w:w w:val="105"/>
                <w:sz w:val="12"/>
              </w:rPr>
              <w:t>-</w:t>
            </w:r>
          </w:p>
        </w:tc>
        <w:tc>
          <w:tcPr>
            <w:tcW w:w="152" w:type="dxa"/>
          </w:tcPr>
          <w:p>
            <w:pPr>
              <w:pStyle w:val="TableParagraph"/>
              <w:rPr>
                <w:rFonts w:ascii="Times New Roman"/>
                <w:sz w:val="10"/>
              </w:rPr>
            </w:pPr>
          </w:p>
        </w:tc>
        <w:tc>
          <w:tcPr>
            <w:tcW w:w="1134" w:type="dxa"/>
            <w:tcBorders>
              <w:bottom w:val="single" w:sz="8" w:space="0" w:color="231F20"/>
            </w:tcBorders>
          </w:tcPr>
          <w:p>
            <w:pPr>
              <w:pStyle w:val="TableParagraph"/>
              <w:spacing w:line="125" w:lineRule="exact" w:before="20"/>
              <w:ind w:right="64"/>
              <w:jc w:val="right"/>
              <w:rPr>
                <w:sz w:val="12"/>
              </w:rPr>
            </w:pPr>
            <w:r>
              <w:rPr>
                <w:color w:val="231F20"/>
                <w:spacing w:val="-2"/>
                <w:w w:val="105"/>
                <w:sz w:val="12"/>
              </w:rPr>
              <w:t>101,562</w:t>
            </w:r>
          </w:p>
        </w:tc>
      </w:tr>
      <w:tr>
        <w:trPr>
          <w:trHeight w:val="152" w:hRule="atLeast"/>
        </w:trPr>
        <w:tc>
          <w:tcPr>
            <w:tcW w:w="4428" w:type="dxa"/>
          </w:tcPr>
          <w:p>
            <w:pPr>
              <w:pStyle w:val="TableParagraph"/>
              <w:spacing w:line="126" w:lineRule="exact" w:before="6"/>
              <w:ind w:left="204"/>
              <w:rPr>
                <w:b/>
                <w:sz w:val="12"/>
              </w:rPr>
            </w:pPr>
            <w:r>
              <w:rPr>
                <w:b/>
                <w:color w:val="231F20"/>
                <w:w w:val="105"/>
                <w:sz w:val="12"/>
              </w:rPr>
              <w:t>Total</w:t>
            </w:r>
            <w:r>
              <w:rPr>
                <w:b/>
                <w:color w:val="231F20"/>
                <w:spacing w:val="-5"/>
                <w:w w:val="105"/>
                <w:sz w:val="12"/>
              </w:rPr>
              <w:t> </w:t>
            </w:r>
            <w:r>
              <w:rPr>
                <w:b/>
                <w:color w:val="231F20"/>
                <w:w w:val="105"/>
                <w:sz w:val="12"/>
              </w:rPr>
              <w:t>Direct</w:t>
            </w:r>
            <w:r>
              <w:rPr>
                <w:b/>
                <w:color w:val="231F20"/>
                <w:spacing w:val="-4"/>
                <w:w w:val="105"/>
                <w:sz w:val="12"/>
              </w:rPr>
              <w:t> </w:t>
            </w:r>
            <w:r>
              <w:rPr>
                <w:b/>
                <w:color w:val="231F20"/>
                <w:w w:val="105"/>
                <w:sz w:val="12"/>
              </w:rPr>
              <w:t>U.S.</w:t>
            </w:r>
            <w:r>
              <w:rPr>
                <w:b/>
                <w:color w:val="231F20"/>
                <w:spacing w:val="-4"/>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3"/>
                <w:w w:val="105"/>
                <w:sz w:val="12"/>
              </w:rPr>
              <w:t> </w:t>
            </w:r>
            <w:r>
              <w:rPr>
                <w:b/>
                <w:color w:val="231F20"/>
                <w:spacing w:val="-4"/>
                <w:w w:val="105"/>
                <w:sz w:val="12"/>
              </w:rPr>
              <w:t>Labor</w:t>
            </w:r>
          </w:p>
        </w:tc>
        <w:tc>
          <w:tcPr>
            <w:tcW w:w="952" w:type="dxa"/>
          </w:tcPr>
          <w:p>
            <w:pPr>
              <w:pStyle w:val="TableParagraph"/>
              <w:rPr>
                <w:rFonts w:ascii="Times New Roman"/>
                <w:sz w:val="8"/>
              </w:rPr>
            </w:pPr>
          </w:p>
        </w:tc>
        <w:tc>
          <w:tcPr>
            <w:tcW w:w="5482" w:type="dxa"/>
            <w:gridSpan w:val="2"/>
          </w:tcPr>
          <w:p>
            <w:pPr>
              <w:pStyle w:val="TableParagraph"/>
              <w:rPr>
                <w:rFonts w:ascii="Times New Roman"/>
                <w:sz w:val="8"/>
              </w:rPr>
            </w:pPr>
          </w:p>
        </w:tc>
        <w:tc>
          <w:tcPr>
            <w:tcW w:w="1159" w:type="dxa"/>
          </w:tcPr>
          <w:p>
            <w:pPr>
              <w:pStyle w:val="TableParagraph"/>
              <w:rPr>
                <w:rFonts w:ascii="Times New Roman"/>
                <w:sz w:val="8"/>
              </w:rPr>
            </w:pPr>
          </w:p>
        </w:tc>
        <w:tc>
          <w:tcPr>
            <w:tcW w:w="1134" w:type="dxa"/>
            <w:tcBorders>
              <w:top w:val="single" w:sz="8" w:space="0" w:color="231F20"/>
              <w:bottom w:val="single" w:sz="8" w:space="0" w:color="231F20"/>
            </w:tcBorders>
          </w:tcPr>
          <w:p>
            <w:pPr>
              <w:pStyle w:val="TableParagraph"/>
              <w:spacing w:line="126" w:lineRule="exact" w:before="6"/>
              <w:ind w:right="68"/>
              <w:jc w:val="right"/>
              <w:rPr>
                <w:b/>
                <w:sz w:val="12"/>
              </w:rPr>
            </w:pPr>
            <w:r>
              <w:rPr>
                <w:b/>
                <w:color w:val="231F20"/>
                <w:w w:val="105"/>
                <w:sz w:val="12"/>
              </w:rPr>
              <w:t>-</w:t>
            </w:r>
          </w:p>
        </w:tc>
        <w:tc>
          <w:tcPr>
            <w:tcW w:w="152" w:type="dxa"/>
          </w:tcPr>
          <w:p>
            <w:pPr>
              <w:pStyle w:val="TableParagraph"/>
              <w:rPr>
                <w:rFonts w:ascii="Times New Roman"/>
                <w:sz w:val="8"/>
              </w:rPr>
            </w:pPr>
          </w:p>
        </w:tc>
        <w:tc>
          <w:tcPr>
            <w:tcW w:w="1134" w:type="dxa"/>
            <w:tcBorders>
              <w:top w:val="single" w:sz="8" w:space="0" w:color="231F20"/>
              <w:bottom w:val="single" w:sz="8" w:space="0" w:color="231F20"/>
            </w:tcBorders>
          </w:tcPr>
          <w:p>
            <w:pPr>
              <w:pStyle w:val="TableParagraph"/>
              <w:spacing w:line="126" w:lineRule="exact" w:before="6"/>
              <w:ind w:right="64"/>
              <w:jc w:val="right"/>
              <w:rPr>
                <w:b/>
                <w:sz w:val="12"/>
              </w:rPr>
            </w:pPr>
            <w:r>
              <w:rPr>
                <w:b/>
                <w:color w:val="231F20"/>
                <w:spacing w:val="-2"/>
                <w:w w:val="105"/>
                <w:sz w:val="12"/>
              </w:rPr>
              <w:t>222,319</w:t>
            </w:r>
          </w:p>
        </w:tc>
      </w:tr>
      <w:tr>
        <w:trPr>
          <w:trHeight w:val="323" w:hRule="atLeast"/>
        </w:trPr>
        <w:tc>
          <w:tcPr>
            <w:tcW w:w="4428" w:type="dxa"/>
          </w:tcPr>
          <w:p>
            <w:pPr>
              <w:pStyle w:val="TableParagraph"/>
              <w:spacing w:before="5"/>
              <w:rPr>
                <w:sz w:val="15"/>
              </w:rPr>
            </w:pPr>
          </w:p>
          <w:p>
            <w:pPr>
              <w:pStyle w:val="TableParagraph"/>
              <w:spacing w:line="125" w:lineRule="exact" w:before="1"/>
              <w:ind w:left="33"/>
              <w:rPr>
                <w:b/>
                <w:sz w:val="12"/>
              </w:rPr>
            </w:pPr>
            <w:r>
              <w:rPr>
                <w:b/>
                <w:color w:val="231F20"/>
                <w:w w:val="105"/>
                <w:sz w:val="12"/>
              </w:rPr>
              <w:t>Total</w:t>
            </w:r>
            <w:r>
              <w:rPr>
                <w:b/>
                <w:color w:val="231F20"/>
                <w:spacing w:val="-4"/>
                <w:w w:val="105"/>
                <w:sz w:val="12"/>
              </w:rPr>
              <w:t> </w:t>
            </w:r>
            <w:r>
              <w:rPr>
                <w:b/>
                <w:color w:val="231F20"/>
                <w:w w:val="105"/>
                <w:sz w:val="12"/>
              </w:rPr>
              <w:t>U.S.</w:t>
            </w:r>
            <w:r>
              <w:rPr>
                <w:b/>
                <w:color w:val="231F20"/>
                <w:spacing w:val="-3"/>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3"/>
                <w:w w:val="105"/>
                <w:sz w:val="12"/>
              </w:rPr>
              <w:t> </w:t>
            </w:r>
            <w:r>
              <w:rPr>
                <w:b/>
                <w:color w:val="231F20"/>
                <w:spacing w:val="-2"/>
                <w:w w:val="105"/>
                <w:sz w:val="12"/>
              </w:rPr>
              <w:t>Labor</w:t>
            </w:r>
          </w:p>
        </w:tc>
        <w:tc>
          <w:tcPr>
            <w:tcW w:w="952" w:type="dxa"/>
          </w:tcPr>
          <w:p>
            <w:pPr>
              <w:pStyle w:val="TableParagraph"/>
              <w:rPr>
                <w:rFonts w:ascii="Times New Roman"/>
                <w:sz w:val="12"/>
              </w:rPr>
            </w:pPr>
          </w:p>
        </w:tc>
        <w:tc>
          <w:tcPr>
            <w:tcW w:w="5482" w:type="dxa"/>
            <w:gridSpan w:val="2"/>
          </w:tcPr>
          <w:p>
            <w:pPr>
              <w:pStyle w:val="TableParagraph"/>
              <w:rPr>
                <w:rFonts w:ascii="Times New Roman"/>
                <w:sz w:val="12"/>
              </w:rPr>
            </w:pPr>
          </w:p>
        </w:tc>
        <w:tc>
          <w:tcPr>
            <w:tcW w:w="1159" w:type="dxa"/>
          </w:tcPr>
          <w:p>
            <w:pPr>
              <w:pStyle w:val="TableParagraph"/>
              <w:rPr>
                <w:rFonts w:ascii="Times New Roman"/>
                <w:sz w:val="12"/>
              </w:rPr>
            </w:pPr>
          </w:p>
        </w:tc>
        <w:tc>
          <w:tcPr>
            <w:tcW w:w="1134" w:type="dxa"/>
            <w:tcBorders>
              <w:top w:val="single" w:sz="8" w:space="0" w:color="231F20"/>
              <w:bottom w:val="single" w:sz="8" w:space="0" w:color="231F20"/>
            </w:tcBorders>
          </w:tcPr>
          <w:p>
            <w:pPr>
              <w:pStyle w:val="TableParagraph"/>
              <w:spacing w:before="5"/>
              <w:rPr>
                <w:sz w:val="15"/>
              </w:rPr>
            </w:pPr>
          </w:p>
          <w:p>
            <w:pPr>
              <w:pStyle w:val="TableParagraph"/>
              <w:spacing w:line="125" w:lineRule="exact" w:before="1"/>
              <w:ind w:right="68"/>
              <w:jc w:val="right"/>
              <w:rPr>
                <w:b/>
                <w:sz w:val="12"/>
              </w:rPr>
            </w:pPr>
            <w:r>
              <w:rPr>
                <w:b/>
                <w:color w:val="231F20"/>
                <w:w w:val="105"/>
                <w:sz w:val="12"/>
              </w:rPr>
              <w:t>-</w:t>
            </w:r>
          </w:p>
        </w:tc>
        <w:tc>
          <w:tcPr>
            <w:tcW w:w="152" w:type="dxa"/>
          </w:tcPr>
          <w:p>
            <w:pPr>
              <w:pStyle w:val="TableParagraph"/>
              <w:rPr>
                <w:rFonts w:ascii="Times New Roman"/>
                <w:sz w:val="12"/>
              </w:rPr>
            </w:pPr>
          </w:p>
        </w:tc>
        <w:tc>
          <w:tcPr>
            <w:tcW w:w="1134" w:type="dxa"/>
            <w:tcBorders>
              <w:top w:val="single" w:sz="8" w:space="0" w:color="231F20"/>
              <w:bottom w:val="single" w:sz="8" w:space="0" w:color="231F20"/>
            </w:tcBorders>
          </w:tcPr>
          <w:p>
            <w:pPr>
              <w:pStyle w:val="TableParagraph"/>
              <w:spacing w:before="5"/>
              <w:rPr>
                <w:sz w:val="15"/>
              </w:rPr>
            </w:pPr>
          </w:p>
          <w:p>
            <w:pPr>
              <w:pStyle w:val="TableParagraph"/>
              <w:spacing w:line="125" w:lineRule="exact" w:before="1"/>
              <w:ind w:right="64"/>
              <w:jc w:val="right"/>
              <w:rPr>
                <w:b/>
                <w:sz w:val="12"/>
              </w:rPr>
            </w:pPr>
            <w:r>
              <w:rPr>
                <w:b/>
                <w:color w:val="231F20"/>
                <w:spacing w:val="-2"/>
                <w:w w:val="105"/>
                <w:sz w:val="12"/>
              </w:rPr>
              <w:t>222,319</w:t>
            </w:r>
          </w:p>
        </w:tc>
      </w:tr>
      <w:tr>
        <w:trPr>
          <w:trHeight w:val="317" w:hRule="atLeast"/>
        </w:trPr>
        <w:tc>
          <w:tcPr>
            <w:tcW w:w="4428" w:type="dxa"/>
          </w:tcPr>
          <w:p>
            <w:pPr>
              <w:pStyle w:val="TableParagraph"/>
              <w:spacing w:before="5"/>
              <w:rPr>
                <w:sz w:val="15"/>
              </w:rPr>
            </w:pPr>
          </w:p>
          <w:p>
            <w:pPr>
              <w:pStyle w:val="TableParagraph"/>
              <w:spacing w:line="119" w:lineRule="exact"/>
              <w:ind w:left="34"/>
              <w:rPr>
                <w:b/>
                <w:sz w:val="12"/>
              </w:rPr>
            </w:pPr>
            <w:r>
              <w:rPr>
                <w:b/>
                <w:color w:val="231F20"/>
                <w:w w:val="105"/>
                <w:sz w:val="12"/>
              </w:rPr>
              <w:t>National</w:t>
            </w:r>
            <w:r>
              <w:rPr>
                <w:b/>
                <w:color w:val="231F20"/>
                <w:spacing w:val="-5"/>
                <w:w w:val="105"/>
                <w:sz w:val="12"/>
              </w:rPr>
              <w:t> </w:t>
            </w:r>
            <w:r>
              <w:rPr>
                <w:b/>
                <w:color w:val="231F20"/>
                <w:w w:val="105"/>
                <w:sz w:val="12"/>
              </w:rPr>
              <w:t>Aeronautics</w:t>
            </w:r>
            <w:r>
              <w:rPr>
                <w:b/>
                <w:color w:val="231F20"/>
                <w:spacing w:val="-5"/>
                <w:w w:val="105"/>
                <w:sz w:val="12"/>
              </w:rPr>
              <w:t> </w:t>
            </w:r>
            <w:r>
              <w:rPr>
                <w:b/>
                <w:color w:val="231F20"/>
                <w:w w:val="105"/>
                <w:sz w:val="12"/>
              </w:rPr>
              <w:t>&amp;</w:t>
            </w:r>
            <w:r>
              <w:rPr>
                <w:b/>
                <w:color w:val="231F20"/>
                <w:spacing w:val="-6"/>
                <w:w w:val="105"/>
                <w:sz w:val="12"/>
              </w:rPr>
              <w:t> </w:t>
            </w:r>
            <w:r>
              <w:rPr>
                <w:b/>
                <w:color w:val="231F20"/>
                <w:w w:val="105"/>
                <w:sz w:val="12"/>
              </w:rPr>
              <w:t>Space</w:t>
            </w:r>
            <w:r>
              <w:rPr>
                <w:b/>
                <w:color w:val="231F20"/>
                <w:spacing w:val="-6"/>
                <w:w w:val="105"/>
                <w:sz w:val="12"/>
              </w:rPr>
              <w:t> </w:t>
            </w:r>
            <w:r>
              <w:rPr>
                <w:b/>
                <w:color w:val="231F20"/>
                <w:spacing w:val="-2"/>
                <w:w w:val="105"/>
                <w:sz w:val="12"/>
              </w:rPr>
              <w:t>Administration</w:t>
            </w:r>
          </w:p>
        </w:tc>
        <w:tc>
          <w:tcPr>
            <w:tcW w:w="952" w:type="dxa"/>
          </w:tcPr>
          <w:p>
            <w:pPr>
              <w:pStyle w:val="TableParagraph"/>
              <w:rPr>
                <w:rFonts w:ascii="Times New Roman"/>
                <w:sz w:val="12"/>
              </w:rPr>
            </w:pPr>
          </w:p>
        </w:tc>
        <w:tc>
          <w:tcPr>
            <w:tcW w:w="5482" w:type="dxa"/>
            <w:gridSpan w:val="2"/>
          </w:tcPr>
          <w:p>
            <w:pPr>
              <w:pStyle w:val="TableParagraph"/>
              <w:rPr>
                <w:rFonts w:ascii="Times New Roman"/>
                <w:sz w:val="12"/>
              </w:rPr>
            </w:pPr>
          </w:p>
        </w:tc>
        <w:tc>
          <w:tcPr>
            <w:tcW w:w="1159" w:type="dxa"/>
          </w:tcPr>
          <w:p>
            <w:pPr>
              <w:pStyle w:val="TableParagraph"/>
              <w:rPr>
                <w:rFonts w:ascii="Times New Roman"/>
                <w:sz w:val="12"/>
              </w:rPr>
            </w:pPr>
          </w:p>
        </w:tc>
        <w:tc>
          <w:tcPr>
            <w:tcW w:w="1134" w:type="dxa"/>
            <w:tcBorders>
              <w:top w:val="single" w:sz="8" w:space="0" w:color="231F20"/>
            </w:tcBorders>
          </w:tcPr>
          <w:p>
            <w:pPr>
              <w:pStyle w:val="TableParagraph"/>
              <w:rPr>
                <w:rFonts w:ascii="Times New Roman"/>
                <w:sz w:val="12"/>
              </w:rPr>
            </w:pPr>
          </w:p>
        </w:tc>
        <w:tc>
          <w:tcPr>
            <w:tcW w:w="152" w:type="dxa"/>
          </w:tcPr>
          <w:p>
            <w:pPr>
              <w:pStyle w:val="TableParagraph"/>
              <w:rPr>
                <w:rFonts w:ascii="Times New Roman"/>
                <w:sz w:val="12"/>
              </w:rPr>
            </w:pPr>
          </w:p>
        </w:tc>
        <w:tc>
          <w:tcPr>
            <w:tcW w:w="1134" w:type="dxa"/>
            <w:tcBorders>
              <w:top w:val="single" w:sz="8" w:space="0" w:color="231F20"/>
            </w:tcBorders>
          </w:tcPr>
          <w:p>
            <w:pPr>
              <w:pStyle w:val="TableParagraph"/>
              <w:rPr>
                <w:rFonts w:ascii="Times New Roman"/>
                <w:sz w:val="12"/>
              </w:rPr>
            </w:pPr>
          </w:p>
        </w:tc>
      </w:tr>
      <w:tr>
        <w:trPr>
          <w:trHeight w:val="172" w:hRule="atLeast"/>
        </w:trPr>
        <w:tc>
          <w:tcPr>
            <w:tcW w:w="4428" w:type="dxa"/>
          </w:tcPr>
          <w:p>
            <w:pPr>
              <w:pStyle w:val="TableParagraph"/>
              <w:spacing w:line="119" w:lineRule="exact" w:before="33"/>
              <w:ind w:left="204"/>
              <w:rPr>
                <w:sz w:val="12"/>
              </w:rPr>
            </w:pPr>
            <w:r>
              <w:rPr>
                <w:color w:val="231F20"/>
                <w:spacing w:val="-2"/>
                <w:w w:val="105"/>
                <w:sz w:val="12"/>
              </w:rPr>
              <w:t>Pass-through</w:t>
            </w:r>
          </w:p>
        </w:tc>
        <w:tc>
          <w:tcPr>
            <w:tcW w:w="952" w:type="dxa"/>
          </w:tcPr>
          <w:p>
            <w:pPr>
              <w:pStyle w:val="TableParagraph"/>
              <w:rPr>
                <w:rFonts w:ascii="Times New Roman"/>
                <w:sz w:val="10"/>
              </w:rPr>
            </w:pPr>
          </w:p>
        </w:tc>
        <w:tc>
          <w:tcPr>
            <w:tcW w:w="2703" w:type="dxa"/>
          </w:tcPr>
          <w:p>
            <w:pPr>
              <w:pStyle w:val="TableParagraph"/>
              <w:rPr>
                <w:rFonts w:ascii="Times New Roman"/>
                <w:sz w:val="10"/>
              </w:rPr>
            </w:pPr>
          </w:p>
        </w:tc>
        <w:tc>
          <w:tcPr>
            <w:tcW w:w="2779" w:type="dxa"/>
          </w:tcPr>
          <w:p>
            <w:pPr>
              <w:pStyle w:val="TableParagraph"/>
              <w:rPr>
                <w:rFonts w:ascii="Times New Roman"/>
                <w:sz w:val="10"/>
              </w:rPr>
            </w:pPr>
          </w:p>
        </w:tc>
        <w:tc>
          <w:tcPr>
            <w:tcW w:w="1159" w:type="dxa"/>
          </w:tcPr>
          <w:p>
            <w:pPr>
              <w:pStyle w:val="TableParagraph"/>
              <w:rPr>
                <w:rFonts w:ascii="Times New Roman"/>
                <w:sz w:val="10"/>
              </w:rPr>
            </w:pPr>
          </w:p>
        </w:tc>
        <w:tc>
          <w:tcPr>
            <w:tcW w:w="1134" w:type="dxa"/>
          </w:tcPr>
          <w:p>
            <w:pPr>
              <w:pStyle w:val="TableParagraph"/>
              <w:rPr>
                <w:rFonts w:ascii="Times New Roman"/>
                <w:sz w:val="10"/>
              </w:rPr>
            </w:pPr>
          </w:p>
        </w:tc>
        <w:tc>
          <w:tcPr>
            <w:tcW w:w="152" w:type="dxa"/>
          </w:tcPr>
          <w:p>
            <w:pPr>
              <w:pStyle w:val="TableParagraph"/>
              <w:rPr>
                <w:rFonts w:ascii="Times New Roman"/>
                <w:sz w:val="10"/>
              </w:rPr>
            </w:pPr>
          </w:p>
        </w:tc>
        <w:tc>
          <w:tcPr>
            <w:tcW w:w="1134" w:type="dxa"/>
          </w:tcPr>
          <w:p>
            <w:pPr>
              <w:pStyle w:val="TableParagraph"/>
              <w:rPr>
                <w:rFonts w:ascii="Times New Roman"/>
                <w:sz w:val="10"/>
              </w:rPr>
            </w:pPr>
          </w:p>
        </w:tc>
      </w:tr>
      <w:tr>
        <w:trPr>
          <w:trHeight w:val="185" w:hRule="atLeast"/>
        </w:trPr>
        <w:tc>
          <w:tcPr>
            <w:tcW w:w="4428" w:type="dxa"/>
          </w:tcPr>
          <w:p>
            <w:pPr>
              <w:pStyle w:val="TableParagraph"/>
              <w:spacing w:line="138" w:lineRule="exact" w:before="27"/>
              <w:ind w:left="373"/>
              <w:rPr>
                <w:sz w:val="12"/>
              </w:rPr>
            </w:pPr>
            <w:r>
              <w:rPr>
                <w:color w:val="231F20"/>
                <w:w w:val="105"/>
                <w:sz w:val="12"/>
              </w:rPr>
              <w:t>Office</w:t>
            </w:r>
            <w:r>
              <w:rPr>
                <w:color w:val="231F20"/>
                <w:spacing w:val="-3"/>
                <w:w w:val="105"/>
                <w:sz w:val="12"/>
              </w:rPr>
              <w:t> </w:t>
            </w:r>
            <w:r>
              <w:rPr>
                <w:color w:val="231F20"/>
                <w:w w:val="105"/>
                <w:sz w:val="12"/>
              </w:rPr>
              <w:t>of</w:t>
            </w:r>
            <w:r>
              <w:rPr>
                <w:color w:val="231F20"/>
                <w:spacing w:val="-4"/>
                <w:w w:val="105"/>
                <w:sz w:val="12"/>
              </w:rPr>
              <w:t> </w:t>
            </w:r>
            <w:r>
              <w:rPr>
                <w:color w:val="231F20"/>
                <w:w w:val="105"/>
                <w:sz w:val="12"/>
              </w:rPr>
              <w:t>Stem</w:t>
            </w:r>
            <w:r>
              <w:rPr>
                <w:color w:val="231F20"/>
                <w:spacing w:val="-3"/>
                <w:w w:val="105"/>
                <w:sz w:val="12"/>
              </w:rPr>
              <w:t> </w:t>
            </w:r>
            <w:r>
              <w:rPr>
                <w:color w:val="231F20"/>
                <w:w w:val="105"/>
                <w:sz w:val="12"/>
              </w:rPr>
              <w:t>Engagement</w:t>
            </w:r>
            <w:r>
              <w:rPr>
                <w:color w:val="231F20"/>
                <w:spacing w:val="-3"/>
                <w:w w:val="105"/>
                <w:sz w:val="12"/>
              </w:rPr>
              <w:t> </w:t>
            </w:r>
            <w:r>
              <w:rPr>
                <w:color w:val="231F20"/>
                <w:spacing w:val="-2"/>
                <w:w w:val="105"/>
                <w:sz w:val="12"/>
              </w:rPr>
              <w:t>(OSTEM)</w:t>
            </w:r>
          </w:p>
        </w:tc>
        <w:tc>
          <w:tcPr>
            <w:tcW w:w="952" w:type="dxa"/>
          </w:tcPr>
          <w:p>
            <w:pPr>
              <w:pStyle w:val="TableParagraph"/>
              <w:spacing w:line="132" w:lineRule="exact" w:before="33"/>
              <w:ind w:left="382"/>
              <w:rPr>
                <w:sz w:val="12"/>
              </w:rPr>
            </w:pPr>
            <w:r>
              <w:rPr>
                <w:color w:val="231F20"/>
                <w:spacing w:val="-4"/>
                <w:w w:val="105"/>
                <w:sz w:val="12"/>
              </w:rPr>
              <w:t>MRMC</w:t>
            </w:r>
          </w:p>
        </w:tc>
        <w:tc>
          <w:tcPr>
            <w:tcW w:w="5482" w:type="dxa"/>
            <w:gridSpan w:val="2"/>
          </w:tcPr>
          <w:p>
            <w:pPr>
              <w:pStyle w:val="TableParagraph"/>
              <w:spacing w:line="138" w:lineRule="exact" w:before="27"/>
              <w:ind w:left="3185" w:right="1819"/>
              <w:jc w:val="center"/>
              <w:rPr>
                <w:sz w:val="12"/>
              </w:rPr>
            </w:pPr>
            <w:r>
              <w:rPr>
                <w:color w:val="231F20"/>
                <w:spacing w:val="-2"/>
                <w:w w:val="105"/>
                <w:sz w:val="12"/>
              </w:rPr>
              <w:t>Q02285</w:t>
            </w:r>
          </w:p>
        </w:tc>
        <w:tc>
          <w:tcPr>
            <w:tcW w:w="1159" w:type="dxa"/>
          </w:tcPr>
          <w:p>
            <w:pPr>
              <w:pStyle w:val="TableParagraph"/>
              <w:spacing w:line="132" w:lineRule="exact" w:before="33"/>
              <w:ind w:left="372" w:right="371"/>
              <w:jc w:val="center"/>
              <w:rPr>
                <w:sz w:val="12"/>
              </w:rPr>
            </w:pPr>
            <w:r>
              <w:rPr>
                <w:color w:val="231F20"/>
                <w:spacing w:val="-2"/>
                <w:w w:val="105"/>
                <w:sz w:val="12"/>
              </w:rPr>
              <w:t>43.008</w:t>
            </w:r>
          </w:p>
        </w:tc>
        <w:tc>
          <w:tcPr>
            <w:tcW w:w="1134" w:type="dxa"/>
          </w:tcPr>
          <w:p>
            <w:pPr>
              <w:pStyle w:val="TableParagraph"/>
              <w:spacing w:line="132" w:lineRule="exact" w:before="33"/>
              <w:ind w:right="71"/>
              <w:jc w:val="right"/>
              <w:rPr>
                <w:sz w:val="12"/>
              </w:rPr>
            </w:pPr>
            <w:r>
              <w:rPr>
                <w:color w:val="231F20"/>
                <w:w w:val="105"/>
                <w:sz w:val="12"/>
              </w:rPr>
              <w:t>-</w:t>
            </w:r>
          </w:p>
        </w:tc>
        <w:tc>
          <w:tcPr>
            <w:tcW w:w="152" w:type="dxa"/>
          </w:tcPr>
          <w:p>
            <w:pPr>
              <w:pStyle w:val="TableParagraph"/>
              <w:rPr>
                <w:rFonts w:ascii="Times New Roman"/>
                <w:sz w:val="12"/>
              </w:rPr>
            </w:pPr>
          </w:p>
        </w:tc>
        <w:tc>
          <w:tcPr>
            <w:tcW w:w="1134" w:type="dxa"/>
          </w:tcPr>
          <w:p>
            <w:pPr>
              <w:pStyle w:val="TableParagraph"/>
              <w:spacing w:line="132" w:lineRule="exact" w:before="33"/>
              <w:ind w:right="66"/>
              <w:jc w:val="right"/>
              <w:rPr>
                <w:sz w:val="12"/>
              </w:rPr>
            </w:pPr>
            <w:r>
              <w:rPr>
                <w:color w:val="231F20"/>
                <w:spacing w:val="-2"/>
                <w:w w:val="105"/>
                <w:sz w:val="12"/>
              </w:rPr>
              <w:t>5,094</w:t>
            </w:r>
          </w:p>
        </w:tc>
      </w:tr>
      <w:tr>
        <w:trPr>
          <w:trHeight w:val="164" w:hRule="atLeast"/>
        </w:trPr>
        <w:tc>
          <w:tcPr>
            <w:tcW w:w="4428" w:type="dxa"/>
          </w:tcPr>
          <w:p>
            <w:pPr>
              <w:pStyle w:val="TableParagraph"/>
              <w:spacing w:line="130" w:lineRule="exact" w:before="14"/>
              <w:ind w:left="374"/>
              <w:rPr>
                <w:sz w:val="12"/>
              </w:rPr>
            </w:pPr>
            <w:r>
              <w:rPr>
                <w:color w:val="231F20"/>
                <w:w w:val="105"/>
                <w:sz w:val="12"/>
              </w:rPr>
              <w:t>Office</w:t>
            </w:r>
            <w:r>
              <w:rPr>
                <w:color w:val="231F20"/>
                <w:spacing w:val="-3"/>
                <w:w w:val="105"/>
                <w:sz w:val="12"/>
              </w:rPr>
              <w:t> </w:t>
            </w:r>
            <w:r>
              <w:rPr>
                <w:color w:val="231F20"/>
                <w:w w:val="105"/>
                <w:sz w:val="12"/>
              </w:rPr>
              <w:t>of</w:t>
            </w:r>
            <w:r>
              <w:rPr>
                <w:color w:val="231F20"/>
                <w:spacing w:val="-4"/>
                <w:w w:val="105"/>
                <w:sz w:val="12"/>
              </w:rPr>
              <w:t> </w:t>
            </w:r>
            <w:r>
              <w:rPr>
                <w:color w:val="231F20"/>
                <w:w w:val="105"/>
                <w:sz w:val="12"/>
              </w:rPr>
              <w:t>Stem</w:t>
            </w:r>
            <w:r>
              <w:rPr>
                <w:color w:val="231F20"/>
                <w:spacing w:val="-3"/>
                <w:w w:val="105"/>
                <w:sz w:val="12"/>
              </w:rPr>
              <w:t> </w:t>
            </w:r>
            <w:r>
              <w:rPr>
                <w:color w:val="231F20"/>
                <w:w w:val="105"/>
                <w:sz w:val="12"/>
              </w:rPr>
              <w:t>Engagement</w:t>
            </w:r>
            <w:r>
              <w:rPr>
                <w:color w:val="231F20"/>
                <w:spacing w:val="-3"/>
                <w:w w:val="105"/>
                <w:sz w:val="12"/>
              </w:rPr>
              <w:t> </w:t>
            </w:r>
            <w:r>
              <w:rPr>
                <w:color w:val="231F20"/>
                <w:spacing w:val="-2"/>
                <w:w w:val="105"/>
                <w:sz w:val="12"/>
              </w:rPr>
              <w:t>(OSTEM)</w:t>
            </w:r>
          </w:p>
        </w:tc>
        <w:tc>
          <w:tcPr>
            <w:tcW w:w="952" w:type="dxa"/>
          </w:tcPr>
          <w:p>
            <w:pPr>
              <w:pStyle w:val="TableParagraph"/>
              <w:spacing w:line="124" w:lineRule="exact" w:before="20"/>
              <w:ind w:left="392"/>
              <w:rPr>
                <w:sz w:val="12"/>
              </w:rPr>
            </w:pPr>
            <w:r>
              <w:rPr>
                <w:color w:val="231F20"/>
                <w:spacing w:val="-4"/>
                <w:w w:val="105"/>
                <w:sz w:val="12"/>
              </w:rPr>
              <w:t>MRSC</w:t>
            </w:r>
          </w:p>
        </w:tc>
        <w:tc>
          <w:tcPr>
            <w:tcW w:w="5482" w:type="dxa"/>
            <w:gridSpan w:val="2"/>
          </w:tcPr>
          <w:p>
            <w:pPr>
              <w:pStyle w:val="TableParagraph"/>
              <w:spacing w:line="130" w:lineRule="exact" w:before="14"/>
              <w:ind w:left="3185" w:right="1818"/>
              <w:jc w:val="center"/>
              <w:rPr>
                <w:sz w:val="12"/>
              </w:rPr>
            </w:pPr>
            <w:r>
              <w:rPr>
                <w:color w:val="231F20"/>
                <w:spacing w:val="-2"/>
                <w:w w:val="105"/>
                <w:sz w:val="12"/>
              </w:rPr>
              <w:t>Q02311</w:t>
            </w:r>
          </w:p>
        </w:tc>
        <w:tc>
          <w:tcPr>
            <w:tcW w:w="1159" w:type="dxa"/>
          </w:tcPr>
          <w:p>
            <w:pPr>
              <w:pStyle w:val="TableParagraph"/>
              <w:spacing w:line="124" w:lineRule="exact" w:before="20"/>
              <w:ind w:left="372" w:right="371"/>
              <w:jc w:val="center"/>
              <w:rPr>
                <w:sz w:val="12"/>
              </w:rPr>
            </w:pPr>
            <w:r>
              <w:rPr>
                <w:color w:val="231F20"/>
                <w:spacing w:val="-2"/>
                <w:w w:val="105"/>
                <w:sz w:val="12"/>
              </w:rPr>
              <w:t>43.008</w:t>
            </w:r>
          </w:p>
        </w:tc>
        <w:tc>
          <w:tcPr>
            <w:tcW w:w="1134" w:type="dxa"/>
            <w:tcBorders>
              <w:bottom w:val="single" w:sz="8" w:space="0" w:color="231F20"/>
            </w:tcBorders>
          </w:tcPr>
          <w:p>
            <w:pPr>
              <w:pStyle w:val="TableParagraph"/>
              <w:spacing w:line="124" w:lineRule="exact" w:before="20"/>
              <w:ind w:right="69"/>
              <w:jc w:val="right"/>
              <w:rPr>
                <w:sz w:val="12"/>
              </w:rPr>
            </w:pPr>
            <w:r>
              <w:rPr>
                <w:color w:val="231F20"/>
                <w:w w:val="105"/>
                <w:sz w:val="12"/>
              </w:rPr>
              <w:t>-</w:t>
            </w:r>
          </w:p>
        </w:tc>
        <w:tc>
          <w:tcPr>
            <w:tcW w:w="152" w:type="dxa"/>
          </w:tcPr>
          <w:p>
            <w:pPr>
              <w:pStyle w:val="TableParagraph"/>
              <w:rPr>
                <w:rFonts w:ascii="Times New Roman"/>
                <w:sz w:val="10"/>
              </w:rPr>
            </w:pPr>
          </w:p>
        </w:tc>
        <w:tc>
          <w:tcPr>
            <w:tcW w:w="1134" w:type="dxa"/>
            <w:tcBorders>
              <w:bottom w:val="single" w:sz="8" w:space="0" w:color="231F20"/>
            </w:tcBorders>
          </w:tcPr>
          <w:p>
            <w:pPr>
              <w:pStyle w:val="TableParagraph"/>
              <w:spacing w:line="124" w:lineRule="exact" w:before="20"/>
              <w:ind w:right="65"/>
              <w:jc w:val="right"/>
              <w:rPr>
                <w:sz w:val="12"/>
              </w:rPr>
            </w:pPr>
            <w:r>
              <w:rPr>
                <w:color w:val="231F20"/>
                <w:spacing w:val="-2"/>
                <w:w w:val="105"/>
                <w:sz w:val="12"/>
              </w:rPr>
              <w:t>8,661</w:t>
            </w:r>
          </w:p>
        </w:tc>
      </w:tr>
      <w:tr>
        <w:trPr>
          <w:trHeight w:val="151" w:hRule="atLeast"/>
        </w:trPr>
        <w:tc>
          <w:tcPr>
            <w:tcW w:w="4428" w:type="dxa"/>
          </w:tcPr>
          <w:p>
            <w:pPr>
              <w:pStyle w:val="TableParagraph"/>
              <w:spacing w:line="124" w:lineRule="exact" w:before="7"/>
              <w:ind w:left="203"/>
              <w:rPr>
                <w:b/>
                <w:sz w:val="12"/>
              </w:rPr>
            </w:pPr>
            <w:r>
              <w:rPr>
                <w:b/>
                <w:color w:val="231F20"/>
                <w:w w:val="105"/>
                <w:sz w:val="12"/>
              </w:rPr>
              <w:t>Total</w:t>
            </w:r>
            <w:r>
              <w:rPr>
                <w:b/>
                <w:color w:val="231F20"/>
                <w:spacing w:val="-8"/>
                <w:w w:val="105"/>
                <w:sz w:val="12"/>
              </w:rPr>
              <w:t> </w:t>
            </w:r>
            <w:r>
              <w:rPr>
                <w:b/>
                <w:color w:val="231F20"/>
                <w:w w:val="105"/>
                <w:sz w:val="12"/>
              </w:rPr>
              <w:t>Pass-through</w:t>
            </w:r>
            <w:r>
              <w:rPr>
                <w:b/>
                <w:color w:val="231F20"/>
                <w:spacing w:val="-6"/>
                <w:w w:val="105"/>
                <w:sz w:val="12"/>
              </w:rPr>
              <w:t> </w:t>
            </w:r>
            <w:r>
              <w:rPr>
                <w:b/>
                <w:color w:val="231F20"/>
                <w:w w:val="105"/>
                <w:sz w:val="12"/>
              </w:rPr>
              <w:t>National</w:t>
            </w:r>
            <w:r>
              <w:rPr>
                <w:b/>
                <w:color w:val="231F20"/>
                <w:spacing w:val="-4"/>
                <w:w w:val="105"/>
                <w:sz w:val="12"/>
              </w:rPr>
              <w:t> </w:t>
            </w:r>
            <w:r>
              <w:rPr>
                <w:b/>
                <w:color w:val="231F20"/>
                <w:w w:val="105"/>
                <w:sz w:val="12"/>
              </w:rPr>
              <w:t>Aeronautics</w:t>
            </w:r>
            <w:r>
              <w:rPr>
                <w:b/>
                <w:color w:val="231F20"/>
                <w:spacing w:val="-5"/>
                <w:w w:val="105"/>
                <w:sz w:val="12"/>
              </w:rPr>
              <w:t> </w:t>
            </w:r>
            <w:r>
              <w:rPr>
                <w:b/>
                <w:color w:val="231F20"/>
                <w:w w:val="105"/>
                <w:sz w:val="12"/>
              </w:rPr>
              <w:t>&amp;</w:t>
            </w:r>
            <w:r>
              <w:rPr>
                <w:b/>
                <w:color w:val="231F20"/>
                <w:spacing w:val="-6"/>
                <w:w w:val="105"/>
                <w:sz w:val="12"/>
              </w:rPr>
              <w:t> </w:t>
            </w:r>
            <w:r>
              <w:rPr>
                <w:b/>
                <w:color w:val="231F20"/>
                <w:w w:val="105"/>
                <w:sz w:val="12"/>
              </w:rPr>
              <w:t>Space</w:t>
            </w:r>
            <w:r>
              <w:rPr>
                <w:b/>
                <w:color w:val="231F20"/>
                <w:spacing w:val="-5"/>
                <w:w w:val="105"/>
                <w:sz w:val="12"/>
              </w:rPr>
              <w:t> </w:t>
            </w:r>
            <w:r>
              <w:rPr>
                <w:b/>
                <w:color w:val="231F20"/>
                <w:spacing w:val="-2"/>
                <w:w w:val="105"/>
                <w:sz w:val="12"/>
              </w:rPr>
              <w:t>Administration</w:t>
            </w:r>
          </w:p>
        </w:tc>
        <w:tc>
          <w:tcPr>
            <w:tcW w:w="952" w:type="dxa"/>
          </w:tcPr>
          <w:p>
            <w:pPr>
              <w:pStyle w:val="TableParagraph"/>
              <w:rPr>
                <w:rFonts w:ascii="Times New Roman"/>
                <w:sz w:val="8"/>
              </w:rPr>
            </w:pPr>
          </w:p>
        </w:tc>
        <w:tc>
          <w:tcPr>
            <w:tcW w:w="5482" w:type="dxa"/>
            <w:gridSpan w:val="2"/>
          </w:tcPr>
          <w:p>
            <w:pPr>
              <w:pStyle w:val="TableParagraph"/>
              <w:rPr>
                <w:rFonts w:ascii="Times New Roman"/>
                <w:sz w:val="8"/>
              </w:rPr>
            </w:pPr>
          </w:p>
        </w:tc>
        <w:tc>
          <w:tcPr>
            <w:tcW w:w="1159" w:type="dxa"/>
          </w:tcPr>
          <w:p>
            <w:pPr>
              <w:pStyle w:val="TableParagraph"/>
              <w:rPr>
                <w:rFonts w:ascii="Times New Roman"/>
                <w:sz w:val="8"/>
              </w:rPr>
            </w:pPr>
          </w:p>
        </w:tc>
        <w:tc>
          <w:tcPr>
            <w:tcW w:w="1134" w:type="dxa"/>
            <w:tcBorders>
              <w:top w:val="single" w:sz="8" w:space="0" w:color="231F20"/>
              <w:bottom w:val="single" w:sz="8" w:space="0" w:color="231F20"/>
            </w:tcBorders>
          </w:tcPr>
          <w:p>
            <w:pPr>
              <w:pStyle w:val="TableParagraph"/>
              <w:spacing w:line="124" w:lineRule="exact" w:before="7"/>
              <w:ind w:right="69"/>
              <w:jc w:val="right"/>
              <w:rPr>
                <w:b/>
                <w:sz w:val="12"/>
              </w:rPr>
            </w:pPr>
            <w:r>
              <w:rPr>
                <w:b/>
                <w:color w:val="231F20"/>
                <w:w w:val="105"/>
                <w:sz w:val="12"/>
              </w:rPr>
              <w:t>-</w:t>
            </w:r>
          </w:p>
        </w:tc>
        <w:tc>
          <w:tcPr>
            <w:tcW w:w="152" w:type="dxa"/>
          </w:tcPr>
          <w:p>
            <w:pPr>
              <w:pStyle w:val="TableParagraph"/>
              <w:rPr>
                <w:rFonts w:ascii="Times New Roman"/>
                <w:sz w:val="8"/>
              </w:rPr>
            </w:pPr>
          </w:p>
        </w:tc>
        <w:tc>
          <w:tcPr>
            <w:tcW w:w="1134" w:type="dxa"/>
            <w:tcBorders>
              <w:top w:val="single" w:sz="8" w:space="0" w:color="231F20"/>
              <w:bottom w:val="single" w:sz="8" w:space="0" w:color="231F20"/>
            </w:tcBorders>
          </w:tcPr>
          <w:p>
            <w:pPr>
              <w:pStyle w:val="TableParagraph"/>
              <w:spacing w:line="124" w:lineRule="exact" w:before="7"/>
              <w:ind w:right="65"/>
              <w:jc w:val="right"/>
              <w:rPr>
                <w:b/>
                <w:sz w:val="12"/>
              </w:rPr>
            </w:pPr>
            <w:r>
              <w:rPr>
                <w:b/>
                <w:color w:val="231F20"/>
                <w:spacing w:val="-2"/>
                <w:w w:val="105"/>
                <w:sz w:val="12"/>
              </w:rPr>
              <w:t>13,755</w:t>
            </w:r>
          </w:p>
        </w:tc>
      </w:tr>
      <w:tr>
        <w:trPr>
          <w:trHeight w:val="324" w:hRule="atLeast"/>
        </w:trPr>
        <w:tc>
          <w:tcPr>
            <w:tcW w:w="4428" w:type="dxa"/>
          </w:tcPr>
          <w:p>
            <w:pPr>
              <w:pStyle w:val="TableParagraph"/>
              <w:spacing w:before="6"/>
              <w:rPr>
                <w:sz w:val="15"/>
              </w:rPr>
            </w:pPr>
          </w:p>
          <w:p>
            <w:pPr>
              <w:pStyle w:val="TableParagraph"/>
              <w:spacing w:line="126" w:lineRule="exact"/>
              <w:ind w:left="33"/>
              <w:rPr>
                <w:b/>
                <w:sz w:val="12"/>
              </w:rPr>
            </w:pPr>
            <w:r>
              <w:rPr>
                <w:b/>
                <w:color w:val="231F20"/>
                <w:w w:val="105"/>
                <w:sz w:val="12"/>
              </w:rPr>
              <w:t>Total</w:t>
            </w:r>
            <w:r>
              <w:rPr>
                <w:b/>
                <w:color w:val="231F20"/>
                <w:spacing w:val="-6"/>
                <w:w w:val="105"/>
                <w:sz w:val="12"/>
              </w:rPr>
              <w:t> </w:t>
            </w:r>
            <w:r>
              <w:rPr>
                <w:b/>
                <w:color w:val="231F20"/>
                <w:w w:val="105"/>
                <w:sz w:val="12"/>
              </w:rPr>
              <w:t>National</w:t>
            </w:r>
            <w:r>
              <w:rPr>
                <w:b/>
                <w:color w:val="231F20"/>
                <w:spacing w:val="-4"/>
                <w:w w:val="105"/>
                <w:sz w:val="12"/>
              </w:rPr>
              <w:t> </w:t>
            </w:r>
            <w:r>
              <w:rPr>
                <w:b/>
                <w:color w:val="231F20"/>
                <w:w w:val="105"/>
                <w:sz w:val="12"/>
              </w:rPr>
              <w:t>Aeronautics</w:t>
            </w:r>
            <w:r>
              <w:rPr>
                <w:b/>
                <w:color w:val="231F20"/>
                <w:spacing w:val="-4"/>
                <w:w w:val="105"/>
                <w:sz w:val="12"/>
              </w:rPr>
              <w:t> </w:t>
            </w:r>
            <w:r>
              <w:rPr>
                <w:b/>
                <w:color w:val="231F20"/>
                <w:w w:val="105"/>
                <w:sz w:val="12"/>
              </w:rPr>
              <w:t>&amp;</w:t>
            </w:r>
            <w:r>
              <w:rPr>
                <w:b/>
                <w:color w:val="231F20"/>
                <w:spacing w:val="-6"/>
                <w:w w:val="105"/>
                <w:sz w:val="12"/>
              </w:rPr>
              <w:t> </w:t>
            </w:r>
            <w:r>
              <w:rPr>
                <w:b/>
                <w:color w:val="231F20"/>
                <w:w w:val="105"/>
                <w:sz w:val="12"/>
              </w:rPr>
              <w:t>Space</w:t>
            </w:r>
            <w:r>
              <w:rPr>
                <w:b/>
                <w:color w:val="231F20"/>
                <w:spacing w:val="-5"/>
                <w:w w:val="105"/>
                <w:sz w:val="12"/>
              </w:rPr>
              <w:t> </w:t>
            </w:r>
            <w:r>
              <w:rPr>
                <w:b/>
                <w:color w:val="231F20"/>
                <w:spacing w:val="-2"/>
                <w:w w:val="105"/>
                <w:sz w:val="12"/>
              </w:rPr>
              <w:t>Administration</w:t>
            </w:r>
          </w:p>
        </w:tc>
        <w:tc>
          <w:tcPr>
            <w:tcW w:w="952" w:type="dxa"/>
          </w:tcPr>
          <w:p>
            <w:pPr>
              <w:pStyle w:val="TableParagraph"/>
              <w:rPr>
                <w:rFonts w:ascii="Times New Roman"/>
                <w:sz w:val="12"/>
              </w:rPr>
            </w:pPr>
          </w:p>
        </w:tc>
        <w:tc>
          <w:tcPr>
            <w:tcW w:w="5482" w:type="dxa"/>
            <w:gridSpan w:val="2"/>
          </w:tcPr>
          <w:p>
            <w:pPr>
              <w:pStyle w:val="TableParagraph"/>
              <w:rPr>
                <w:rFonts w:ascii="Times New Roman"/>
                <w:sz w:val="12"/>
              </w:rPr>
            </w:pPr>
          </w:p>
        </w:tc>
        <w:tc>
          <w:tcPr>
            <w:tcW w:w="1159" w:type="dxa"/>
          </w:tcPr>
          <w:p>
            <w:pPr>
              <w:pStyle w:val="TableParagraph"/>
              <w:rPr>
                <w:rFonts w:ascii="Times New Roman"/>
                <w:sz w:val="12"/>
              </w:rPr>
            </w:pPr>
          </w:p>
        </w:tc>
        <w:tc>
          <w:tcPr>
            <w:tcW w:w="1134" w:type="dxa"/>
            <w:tcBorders>
              <w:top w:val="single" w:sz="8" w:space="0" w:color="231F20"/>
              <w:bottom w:val="single" w:sz="8" w:space="0" w:color="231F20"/>
            </w:tcBorders>
          </w:tcPr>
          <w:p>
            <w:pPr>
              <w:pStyle w:val="TableParagraph"/>
              <w:spacing w:before="6"/>
              <w:rPr>
                <w:sz w:val="15"/>
              </w:rPr>
            </w:pPr>
          </w:p>
          <w:p>
            <w:pPr>
              <w:pStyle w:val="TableParagraph"/>
              <w:spacing w:line="126" w:lineRule="exact"/>
              <w:ind w:right="69"/>
              <w:jc w:val="right"/>
              <w:rPr>
                <w:b/>
                <w:sz w:val="12"/>
              </w:rPr>
            </w:pPr>
            <w:r>
              <w:rPr>
                <w:b/>
                <w:color w:val="231F20"/>
                <w:w w:val="105"/>
                <w:sz w:val="12"/>
              </w:rPr>
              <w:t>-</w:t>
            </w:r>
          </w:p>
        </w:tc>
        <w:tc>
          <w:tcPr>
            <w:tcW w:w="152" w:type="dxa"/>
          </w:tcPr>
          <w:p>
            <w:pPr>
              <w:pStyle w:val="TableParagraph"/>
              <w:rPr>
                <w:rFonts w:ascii="Times New Roman"/>
                <w:sz w:val="12"/>
              </w:rPr>
            </w:pPr>
          </w:p>
        </w:tc>
        <w:tc>
          <w:tcPr>
            <w:tcW w:w="1134" w:type="dxa"/>
            <w:tcBorders>
              <w:top w:val="single" w:sz="8" w:space="0" w:color="231F20"/>
              <w:bottom w:val="single" w:sz="8" w:space="0" w:color="231F20"/>
            </w:tcBorders>
          </w:tcPr>
          <w:p>
            <w:pPr>
              <w:pStyle w:val="TableParagraph"/>
              <w:spacing w:before="6"/>
              <w:rPr>
                <w:sz w:val="15"/>
              </w:rPr>
            </w:pPr>
          </w:p>
          <w:p>
            <w:pPr>
              <w:pStyle w:val="TableParagraph"/>
              <w:spacing w:line="126" w:lineRule="exact"/>
              <w:ind w:right="65"/>
              <w:jc w:val="right"/>
              <w:rPr>
                <w:b/>
                <w:sz w:val="12"/>
              </w:rPr>
            </w:pPr>
            <w:r>
              <w:rPr>
                <w:b/>
                <w:color w:val="231F20"/>
                <w:spacing w:val="-2"/>
                <w:w w:val="105"/>
                <w:sz w:val="12"/>
              </w:rPr>
              <w:t>13,755</w:t>
            </w:r>
          </w:p>
        </w:tc>
      </w:tr>
      <w:tr>
        <w:trPr>
          <w:trHeight w:val="501" w:hRule="atLeast"/>
        </w:trPr>
        <w:tc>
          <w:tcPr>
            <w:tcW w:w="4428" w:type="dxa"/>
          </w:tcPr>
          <w:p>
            <w:pPr>
              <w:pStyle w:val="TableParagraph"/>
              <w:spacing w:before="6"/>
              <w:rPr>
                <w:sz w:val="15"/>
              </w:rPr>
            </w:pPr>
          </w:p>
          <w:p>
            <w:pPr>
              <w:pStyle w:val="TableParagraph"/>
              <w:ind w:left="33"/>
              <w:rPr>
                <w:b/>
                <w:sz w:val="12"/>
              </w:rPr>
            </w:pPr>
            <w:r>
              <w:rPr>
                <w:b/>
                <w:color w:val="231F20"/>
                <w:w w:val="105"/>
                <w:sz w:val="12"/>
              </w:rPr>
              <w:t>U.S.</w:t>
            </w:r>
            <w:r>
              <w:rPr>
                <w:b/>
                <w:color w:val="231F20"/>
                <w:spacing w:val="-6"/>
                <w:w w:val="105"/>
                <w:sz w:val="12"/>
              </w:rPr>
              <w:t> </w:t>
            </w:r>
            <w:r>
              <w:rPr>
                <w:b/>
                <w:color w:val="231F20"/>
                <w:w w:val="105"/>
                <w:sz w:val="12"/>
              </w:rPr>
              <w:t>Small</w:t>
            </w:r>
            <w:r>
              <w:rPr>
                <w:b/>
                <w:color w:val="231F20"/>
                <w:spacing w:val="-4"/>
                <w:w w:val="105"/>
                <w:sz w:val="12"/>
              </w:rPr>
              <w:t> </w:t>
            </w:r>
            <w:r>
              <w:rPr>
                <w:b/>
                <w:color w:val="231F20"/>
                <w:w w:val="105"/>
                <w:sz w:val="12"/>
              </w:rPr>
              <w:t>Business</w:t>
            </w:r>
            <w:r>
              <w:rPr>
                <w:b/>
                <w:color w:val="231F20"/>
                <w:spacing w:val="-3"/>
                <w:w w:val="105"/>
                <w:sz w:val="12"/>
              </w:rPr>
              <w:t> </w:t>
            </w:r>
            <w:r>
              <w:rPr>
                <w:b/>
                <w:color w:val="231F20"/>
                <w:spacing w:val="-2"/>
                <w:w w:val="105"/>
                <w:sz w:val="12"/>
              </w:rPr>
              <w:t>Administration</w:t>
            </w:r>
          </w:p>
          <w:p>
            <w:pPr>
              <w:pStyle w:val="TableParagraph"/>
              <w:spacing w:line="138" w:lineRule="exact" w:before="28"/>
              <w:ind w:left="374"/>
              <w:rPr>
                <w:sz w:val="12"/>
              </w:rPr>
            </w:pPr>
            <w:r>
              <w:rPr>
                <w:color w:val="231F20"/>
                <w:w w:val="105"/>
                <w:sz w:val="12"/>
              </w:rPr>
              <w:t>COVID-19</w:t>
            </w:r>
            <w:r>
              <w:rPr>
                <w:color w:val="231F20"/>
                <w:spacing w:val="-6"/>
                <w:w w:val="105"/>
                <w:sz w:val="12"/>
              </w:rPr>
              <w:t> </w:t>
            </w:r>
            <w:r>
              <w:rPr>
                <w:color w:val="231F20"/>
                <w:w w:val="105"/>
                <w:sz w:val="12"/>
              </w:rPr>
              <w:t>-</w:t>
            </w:r>
            <w:r>
              <w:rPr>
                <w:color w:val="231F20"/>
                <w:spacing w:val="-5"/>
                <w:w w:val="105"/>
                <w:sz w:val="12"/>
              </w:rPr>
              <w:t> </w:t>
            </w:r>
            <w:r>
              <w:rPr>
                <w:color w:val="231F20"/>
                <w:w w:val="105"/>
                <w:sz w:val="12"/>
              </w:rPr>
              <w:t>Shuttered</w:t>
            </w:r>
            <w:r>
              <w:rPr>
                <w:color w:val="231F20"/>
                <w:spacing w:val="-4"/>
                <w:w w:val="105"/>
                <w:sz w:val="12"/>
              </w:rPr>
              <w:t> </w:t>
            </w:r>
            <w:r>
              <w:rPr>
                <w:color w:val="231F20"/>
                <w:w w:val="105"/>
                <w:sz w:val="12"/>
              </w:rPr>
              <w:t>Venue</w:t>
            </w:r>
            <w:r>
              <w:rPr>
                <w:color w:val="231F20"/>
                <w:spacing w:val="-4"/>
                <w:w w:val="105"/>
                <w:sz w:val="12"/>
              </w:rPr>
              <w:t> </w:t>
            </w:r>
            <w:r>
              <w:rPr>
                <w:color w:val="231F20"/>
                <w:w w:val="105"/>
                <w:sz w:val="12"/>
              </w:rPr>
              <w:t>Operators</w:t>
            </w:r>
            <w:r>
              <w:rPr>
                <w:color w:val="231F20"/>
                <w:spacing w:val="-4"/>
                <w:w w:val="105"/>
                <w:sz w:val="12"/>
              </w:rPr>
              <w:t> </w:t>
            </w:r>
            <w:r>
              <w:rPr>
                <w:color w:val="231F20"/>
                <w:w w:val="105"/>
                <w:sz w:val="12"/>
              </w:rPr>
              <w:t>Grant</w:t>
            </w:r>
            <w:r>
              <w:rPr>
                <w:color w:val="231F20"/>
                <w:spacing w:val="-3"/>
                <w:w w:val="105"/>
                <w:sz w:val="12"/>
              </w:rPr>
              <w:t> </w:t>
            </w:r>
            <w:r>
              <w:rPr>
                <w:color w:val="231F20"/>
                <w:spacing w:val="-2"/>
                <w:w w:val="105"/>
                <w:sz w:val="12"/>
              </w:rPr>
              <w:t>Program</w:t>
            </w:r>
          </w:p>
        </w:tc>
        <w:tc>
          <w:tcPr>
            <w:tcW w:w="952" w:type="dxa"/>
          </w:tcPr>
          <w:p>
            <w:pPr>
              <w:pStyle w:val="TableParagraph"/>
              <w:rPr>
                <w:sz w:val="14"/>
              </w:rPr>
            </w:pPr>
          </w:p>
          <w:p>
            <w:pPr>
              <w:pStyle w:val="TableParagraph"/>
              <w:spacing w:before="5"/>
              <w:rPr>
                <w:sz w:val="16"/>
              </w:rPr>
            </w:pPr>
          </w:p>
          <w:p>
            <w:pPr>
              <w:pStyle w:val="TableParagraph"/>
              <w:spacing w:line="132" w:lineRule="exact"/>
              <w:ind w:left="392"/>
              <w:rPr>
                <w:sz w:val="12"/>
              </w:rPr>
            </w:pPr>
            <w:r>
              <w:rPr>
                <w:color w:val="231F20"/>
                <w:spacing w:val="-4"/>
                <w:w w:val="105"/>
                <w:sz w:val="12"/>
              </w:rPr>
              <w:t>RMAC</w:t>
            </w:r>
          </w:p>
        </w:tc>
        <w:tc>
          <w:tcPr>
            <w:tcW w:w="5482" w:type="dxa"/>
            <w:gridSpan w:val="2"/>
          </w:tcPr>
          <w:p>
            <w:pPr>
              <w:pStyle w:val="TableParagraph"/>
              <w:rPr>
                <w:sz w:val="14"/>
              </w:rPr>
            </w:pPr>
          </w:p>
          <w:p>
            <w:pPr>
              <w:pStyle w:val="TableParagraph"/>
              <w:spacing w:before="10"/>
              <w:rPr>
                <w:sz w:val="15"/>
              </w:rPr>
            </w:pPr>
          </w:p>
          <w:p>
            <w:pPr>
              <w:pStyle w:val="TableParagraph"/>
              <w:spacing w:line="138" w:lineRule="exact" w:before="1"/>
              <w:ind w:left="3201"/>
              <w:rPr>
                <w:sz w:val="12"/>
              </w:rPr>
            </w:pPr>
            <w:r>
              <w:rPr>
                <w:color w:val="231F20"/>
                <w:spacing w:val="-2"/>
                <w:w w:val="105"/>
                <w:sz w:val="12"/>
              </w:rPr>
              <w:t>SBAHQ21SV012702</w:t>
            </w:r>
          </w:p>
        </w:tc>
        <w:tc>
          <w:tcPr>
            <w:tcW w:w="1159" w:type="dxa"/>
          </w:tcPr>
          <w:p>
            <w:pPr>
              <w:pStyle w:val="TableParagraph"/>
              <w:rPr>
                <w:sz w:val="14"/>
              </w:rPr>
            </w:pPr>
          </w:p>
          <w:p>
            <w:pPr>
              <w:pStyle w:val="TableParagraph"/>
              <w:spacing w:before="5"/>
              <w:rPr>
                <w:sz w:val="16"/>
              </w:rPr>
            </w:pPr>
          </w:p>
          <w:p>
            <w:pPr>
              <w:pStyle w:val="TableParagraph"/>
              <w:spacing w:line="132" w:lineRule="exact"/>
              <w:ind w:left="373" w:right="371"/>
              <w:jc w:val="center"/>
              <w:rPr>
                <w:sz w:val="12"/>
              </w:rPr>
            </w:pPr>
            <w:r>
              <w:rPr>
                <w:color w:val="231F20"/>
                <w:spacing w:val="-2"/>
                <w:w w:val="105"/>
                <w:sz w:val="12"/>
              </w:rPr>
              <w:t>59.075</w:t>
            </w:r>
          </w:p>
        </w:tc>
        <w:tc>
          <w:tcPr>
            <w:tcW w:w="1134" w:type="dxa"/>
            <w:tcBorders>
              <w:top w:val="single" w:sz="8" w:space="0" w:color="231F20"/>
            </w:tcBorders>
          </w:tcPr>
          <w:p>
            <w:pPr>
              <w:pStyle w:val="TableParagraph"/>
              <w:rPr>
                <w:sz w:val="14"/>
              </w:rPr>
            </w:pPr>
          </w:p>
          <w:p>
            <w:pPr>
              <w:pStyle w:val="TableParagraph"/>
              <w:spacing w:before="5"/>
              <w:rPr>
                <w:sz w:val="16"/>
              </w:rPr>
            </w:pPr>
          </w:p>
          <w:p>
            <w:pPr>
              <w:pStyle w:val="TableParagraph"/>
              <w:spacing w:line="132" w:lineRule="exact"/>
              <w:ind w:right="69"/>
              <w:jc w:val="right"/>
              <w:rPr>
                <w:sz w:val="12"/>
              </w:rPr>
            </w:pPr>
            <w:r>
              <w:rPr>
                <w:color w:val="231F20"/>
                <w:w w:val="105"/>
                <w:sz w:val="12"/>
              </w:rPr>
              <w:t>-</w:t>
            </w:r>
          </w:p>
        </w:tc>
        <w:tc>
          <w:tcPr>
            <w:tcW w:w="152" w:type="dxa"/>
          </w:tcPr>
          <w:p>
            <w:pPr>
              <w:pStyle w:val="TableParagraph"/>
              <w:rPr>
                <w:rFonts w:ascii="Times New Roman"/>
                <w:sz w:val="12"/>
              </w:rPr>
            </w:pPr>
          </w:p>
        </w:tc>
        <w:tc>
          <w:tcPr>
            <w:tcW w:w="1134" w:type="dxa"/>
            <w:tcBorders>
              <w:top w:val="single" w:sz="8" w:space="0" w:color="231F20"/>
            </w:tcBorders>
          </w:tcPr>
          <w:p>
            <w:pPr>
              <w:pStyle w:val="TableParagraph"/>
              <w:rPr>
                <w:sz w:val="14"/>
              </w:rPr>
            </w:pPr>
          </w:p>
          <w:p>
            <w:pPr>
              <w:pStyle w:val="TableParagraph"/>
              <w:spacing w:before="5"/>
              <w:rPr>
                <w:sz w:val="16"/>
              </w:rPr>
            </w:pPr>
          </w:p>
          <w:p>
            <w:pPr>
              <w:pStyle w:val="TableParagraph"/>
              <w:spacing w:line="132" w:lineRule="exact"/>
              <w:ind w:right="65"/>
              <w:jc w:val="right"/>
              <w:rPr>
                <w:sz w:val="12"/>
              </w:rPr>
            </w:pPr>
            <w:r>
              <w:rPr>
                <w:color w:val="231F20"/>
                <w:spacing w:val="-2"/>
                <w:w w:val="105"/>
                <w:sz w:val="12"/>
              </w:rPr>
              <w:t>23,728</w:t>
            </w:r>
          </w:p>
        </w:tc>
      </w:tr>
      <w:tr>
        <w:trPr>
          <w:trHeight w:val="160" w:hRule="atLeast"/>
        </w:trPr>
        <w:tc>
          <w:tcPr>
            <w:tcW w:w="4428" w:type="dxa"/>
          </w:tcPr>
          <w:p>
            <w:pPr>
              <w:pStyle w:val="TableParagraph"/>
              <w:spacing w:line="126" w:lineRule="exact" w:before="14"/>
              <w:ind w:left="374"/>
              <w:rPr>
                <w:sz w:val="12"/>
              </w:rPr>
            </w:pPr>
            <w:r>
              <w:rPr>
                <w:color w:val="231F20"/>
                <w:w w:val="105"/>
                <w:sz w:val="12"/>
              </w:rPr>
              <w:t>COVID-19</w:t>
            </w:r>
            <w:r>
              <w:rPr>
                <w:color w:val="231F20"/>
                <w:spacing w:val="-6"/>
                <w:w w:val="105"/>
                <w:sz w:val="12"/>
              </w:rPr>
              <w:t> </w:t>
            </w:r>
            <w:r>
              <w:rPr>
                <w:color w:val="231F20"/>
                <w:w w:val="105"/>
                <w:sz w:val="12"/>
              </w:rPr>
              <w:t>-</w:t>
            </w:r>
            <w:r>
              <w:rPr>
                <w:color w:val="231F20"/>
                <w:spacing w:val="-5"/>
                <w:w w:val="105"/>
                <w:sz w:val="12"/>
              </w:rPr>
              <w:t> </w:t>
            </w:r>
            <w:r>
              <w:rPr>
                <w:color w:val="231F20"/>
                <w:w w:val="105"/>
                <w:sz w:val="12"/>
              </w:rPr>
              <w:t>Shuttered</w:t>
            </w:r>
            <w:r>
              <w:rPr>
                <w:color w:val="231F20"/>
                <w:spacing w:val="-4"/>
                <w:w w:val="105"/>
                <w:sz w:val="12"/>
              </w:rPr>
              <w:t> </w:t>
            </w:r>
            <w:r>
              <w:rPr>
                <w:color w:val="231F20"/>
                <w:w w:val="105"/>
                <w:sz w:val="12"/>
              </w:rPr>
              <w:t>Venue</w:t>
            </w:r>
            <w:r>
              <w:rPr>
                <w:color w:val="231F20"/>
                <w:spacing w:val="-4"/>
                <w:w w:val="105"/>
                <w:sz w:val="12"/>
              </w:rPr>
              <w:t> </w:t>
            </w:r>
            <w:r>
              <w:rPr>
                <w:color w:val="231F20"/>
                <w:w w:val="105"/>
                <w:sz w:val="12"/>
              </w:rPr>
              <w:t>Operators</w:t>
            </w:r>
            <w:r>
              <w:rPr>
                <w:color w:val="231F20"/>
                <w:spacing w:val="-4"/>
                <w:w w:val="105"/>
                <w:sz w:val="12"/>
              </w:rPr>
              <w:t> </w:t>
            </w:r>
            <w:r>
              <w:rPr>
                <w:color w:val="231F20"/>
                <w:w w:val="105"/>
                <w:sz w:val="12"/>
              </w:rPr>
              <w:t>Grant</w:t>
            </w:r>
            <w:r>
              <w:rPr>
                <w:color w:val="231F20"/>
                <w:spacing w:val="-3"/>
                <w:w w:val="105"/>
                <w:sz w:val="12"/>
              </w:rPr>
              <w:t> </w:t>
            </w:r>
            <w:r>
              <w:rPr>
                <w:color w:val="231F20"/>
                <w:spacing w:val="-2"/>
                <w:w w:val="105"/>
                <w:sz w:val="12"/>
              </w:rPr>
              <w:t>Program</w:t>
            </w:r>
          </w:p>
        </w:tc>
        <w:tc>
          <w:tcPr>
            <w:tcW w:w="952" w:type="dxa"/>
          </w:tcPr>
          <w:p>
            <w:pPr>
              <w:pStyle w:val="TableParagraph"/>
              <w:spacing w:line="120" w:lineRule="exact" w:before="20"/>
              <w:ind w:left="398"/>
              <w:rPr>
                <w:sz w:val="12"/>
              </w:rPr>
            </w:pPr>
            <w:r>
              <w:rPr>
                <w:color w:val="231F20"/>
                <w:spacing w:val="-4"/>
                <w:w w:val="105"/>
                <w:sz w:val="12"/>
              </w:rPr>
              <w:t>RSVO</w:t>
            </w:r>
          </w:p>
        </w:tc>
        <w:tc>
          <w:tcPr>
            <w:tcW w:w="5482" w:type="dxa"/>
            <w:gridSpan w:val="2"/>
          </w:tcPr>
          <w:p>
            <w:pPr>
              <w:pStyle w:val="TableParagraph"/>
              <w:spacing w:line="126" w:lineRule="exact" w:before="14"/>
              <w:ind w:left="3201"/>
              <w:rPr>
                <w:sz w:val="12"/>
              </w:rPr>
            </w:pPr>
            <w:r>
              <w:rPr>
                <w:color w:val="231F20"/>
                <w:spacing w:val="-2"/>
                <w:w w:val="105"/>
                <w:sz w:val="12"/>
              </w:rPr>
              <w:t>SBAHQ21SV012338</w:t>
            </w:r>
          </w:p>
        </w:tc>
        <w:tc>
          <w:tcPr>
            <w:tcW w:w="1159" w:type="dxa"/>
          </w:tcPr>
          <w:p>
            <w:pPr>
              <w:pStyle w:val="TableParagraph"/>
              <w:spacing w:line="120" w:lineRule="exact" w:before="20"/>
              <w:ind w:left="373" w:right="371"/>
              <w:jc w:val="center"/>
              <w:rPr>
                <w:sz w:val="12"/>
              </w:rPr>
            </w:pPr>
            <w:r>
              <w:rPr>
                <w:color w:val="231F20"/>
                <w:spacing w:val="-2"/>
                <w:w w:val="105"/>
                <w:sz w:val="12"/>
              </w:rPr>
              <w:t>59.075</w:t>
            </w:r>
          </w:p>
        </w:tc>
        <w:tc>
          <w:tcPr>
            <w:tcW w:w="1134" w:type="dxa"/>
            <w:tcBorders>
              <w:bottom w:val="single" w:sz="12" w:space="0" w:color="231F20"/>
            </w:tcBorders>
          </w:tcPr>
          <w:p>
            <w:pPr>
              <w:pStyle w:val="TableParagraph"/>
              <w:spacing w:line="120" w:lineRule="exact" w:before="20"/>
              <w:ind w:right="69"/>
              <w:jc w:val="right"/>
              <w:rPr>
                <w:sz w:val="12"/>
              </w:rPr>
            </w:pPr>
            <w:r>
              <w:rPr>
                <w:color w:val="231F20"/>
                <w:w w:val="105"/>
                <w:sz w:val="12"/>
              </w:rPr>
              <w:t>-</w:t>
            </w:r>
          </w:p>
        </w:tc>
        <w:tc>
          <w:tcPr>
            <w:tcW w:w="152" w:type="dxa"/>
          </w:tcPr>
          <w:p>
            <w:pPr>
              <w:pStyle w:val="TableParagraph"/>
              <w:rPr>
                <w:rFonts w:ascii="Times New Roman"/>
                <w:sz w:val="10"/>
              </w:rPr>
            </w:pPr>
          </w:p>
        </w:tc>
        <w:tc>
          <w:tcPr>
            <w:tcW w:w="1134" w:type="dxa"/>
            <w:tcBorders>
              <w:bottom w:val="single" w:sz="12" w:space="0" w:color="231F20"/>
            </w:tcBorders>
          </w:tcPr>
          <w:p>
            <w:pPr>
              <w:pStyle w:val="TableParagraph"/>
              <w:spacing w:line="120" w:lineRule="exact" w:before="20"/>
              <w:ind w:right="65"/>
              <w:jc w:val="right"/>
              <w:rPr>
                <w:sz w:val="12"/>
              </w:rPr>
            </w:pPr>
            <w:r>
              <w:rPr>
                <w:color w:val="231F20"/>
                <w:spacing w:val="-2"/>
                <w:w w:val="105"/>
                <w:sz w:val="12"/>
              </w:rPr>
              <w:t>7,691</w:t>
            </w:r>
          </w:p>
        </w:tc>
      </w:tr>
      <w:tr>
        <w:trPr>
          <w:trHeight w:val="147" w:hRule="atLeast"/>
        </w:trPr>
        <w:tc>
          <w:tcPr>
            <w:tcW w:w="4428" w:type="dxa"/>
          </w:tcPr>
          <w:p>
            <w:pPr>
              <w:pStyle w:val="TableParagraph"/>
              <w:spacing w:line="126" w:lineRule="exact" w:before="1"/>
              <w:ind w:left="204"/>
              <w:rPr>
                <w:b/>
                <w:sz w:val="12"/>
              </w:rPr>
            </w:pPr>
            <w:r>
              <w:rPr>
                <w:b/>
                <w:color w:val="231F20"/>
                <w:w w:val="105"/>
                <w:sz w:val="12"/>
              </w:rPr>
              <w:t>Total</w:t>
            </w:r>
            <w:r>
              <w:rPr>
                <w:b/>
                <w:color w:val="231F20"/>
                <w:spacing w:val="-5"/>
                <w:w w:val="105"/>
                <w:sz w:val="12"/>
              </w:rPr>
              <w:t> </w:t>
            </w:r>
            <w:r>
              <w:rPr>
                <w:b/>
                <w:color w:val="231F20"/>
                <w:w w:val="105"/>
                <w:sz w:val="12"/>
              </w:rPr>
              <w:t>Direct</w:t>
            </w:r>
            <w:r>
              <w:rPr>
                <w:b/>
                <w:color w:val="231F20"/>
                <w:spacing w:val="-4"/>
                <w:w w:val="105"/>
                <w:sz w:val="12"/>
              </w:rPr>
              <w:t> </w:t>
            </w:r>
            <w:r>
              <w:rPr>
                <w:b/>
                <w:color w:val="231F20"/>
                <w:w w:val="105"/>
                <w:sz w:val="12"/>
              </w:rPr>
              <w:t>U.S.</w:t>
            </w:r>
            <w:r>
              <w:rPr>
                <w:b/>
                <w:color w:val="231F20"/>
                <w:spacing w:val="-4"/>
                <w:w w:val="105"/>
                <w:sz w:val="12"/>
              </w:rPr>
              <w:t> </w:t>
            </w:r>
            <w:r>
              <w:rPr>
                <w:b/>
                <w:color w:val="231F20"/>
                <w:w w:val="105"/>
                <w:sz w:val="12"/>
              </w:rPr>
              <w:t>Small</w:t>
            </w:r>
            <w:r>
              <w:rPr>
                <w:b/>
                <w:color w:val="231F20"/>
                <w:spacing w:val="-3"/>
                <w:w w:val="105"/>
                <w:sz w:val="12"/>
              </w:rPr>
              <w:t> </w:t>
            </w:r>
            <w:r>
              <w:rPr>
                <w:b/>
                <w:color w:val="231F20"/>
                <w:w w:val="105"/>
                <w:sz w:val="12"/>
              </w:rPr>
              <w:t>Business</w:t>
            </w:r>
            <w:r>
              <w:rPr>
                <w:b/>
                <w:color w:val="231F20"/>
                <w:spacing w:val="-4"/>
                <w:w w:val="105"/>
                <w:sz w:val="12"/>
              </w:rPr>
              <w:t> </w:t>
            </w:r>
            <w:r>
              <w:rPr>
                <w:b/>
                <w:color w:val="231F20"/>
                <w:spacing w:val="-2"/>
                <w:w w:val="105"/>
                <w:sz w:val="12"/>
              </w:rPr>
              <w:t>Administration</w:t>
            </w:r>
          </w:p>
        </w:tc>
        <w:tc>
          <w:tcPr>
            <w:tcW w:w="952" w:type="dxa"/>
          </w:tcPr>
          <w:p>
            <w:pPr>
              <w:pStyle w:val="TableParagraph"/>
              <w:rPr>
                <w:rFonts w:ascii="Times New Roman"/>
                <w:sz w:val="8"/>
              </w:rPr>
            </w:pPr>
          </w:p>
        </w:tc>
        <w:tc>
          <w:tcPr>
            <w:tcW w:w="5482" w:type="dxa"/>
            <w:gridSpan w:val="2"/>
          </w:tcPr>
          <w:p>
            <w:pPr>
              <w:pStyle w:val="TableParagraph"/>
              <w:rPr>
                <w:rFonts w:ascii="Times New Roman"/>
                <w:sz w:val="8"/>
              </w:rPr>
            </w:pPr>
          </w:p>
        </w:tc>
        <w:tc>
          <w:tcPr>
            <w:tcW w:w="1159" w:type="dxa"/>
          </w:tcPr>
          <w:p>
            <w:pPr>
              <w:pStyle w:val="TableParagraph"/>
              <w:rPr>
                <w:rFonts w:ascii="Times New Roman"/>
                <w:sz w:val="8"/>
              </w:rPr>
            </w:pPr>
          </w:p>
        </w:tc>
        <w:tc>
          <w:tcPr>
            <w:tcW w:w="1134" w:type="dxa"/>
            <w:tcBorders>
              <w:top w:val="single" w:sz="12" w:space="0" w:color="231F20"/>
              <w:bottom w:val="single" w:sz="8" w:space="0" w:color="231F20"/>
            </w:tcBorders>
          </w:tcPr>
          <w:p>
            <w:pPr>
              <w:pStyle w:val="TableParagraph"/>
              <w:spacing w:line="126" w:lineRule="exact" w:before="1"/>
              <w:ind w:right="69"/>
              <w:jc w:val="right"/>
              <w:rPr>
                <w:b/>
                <w:sz w:val="12"/>
              </w:rPr>
            </w:pPr>
            <w:r>
              <w:rPr>
                <w:b/>
                <w:color w:val="231F20"/>
                <w:w w:val="105"/>
                <w:sz w:val="12"/>
              </w:rPr>
              <w:t>-</w:t>
            </w:r>
          </w:p>
        </w:tc>
        <w:tc>
          <w:tcPr>
            <w:tcW w:w="152" w:type="dxa"/>
          </w:tcPr>
          <w:p>
            <w:pPr>
              <w:pStyle w:val="TableParagraph"/>
              <w:rPr>
                <w:rFonts w:ascii="Times New Roman"/>
                <w:sz w:val="8"/>
              </w:rPr>
            </w:pPr>
          </w:p>
        </w:tc>
        <w:tc>
          <w:tcPr>
            <w:tcW w:w="1134" w:type="dxa"/>
            <w:tcBorders>
              <w:top w:val="single" w:sz="12" w:space="0" w:color="231F20"/>
              <w:bottom w:val="single" w:sz="8" w:space="0" w:color="231F20"/>
            </w:tcBorders>
          </w:tcPr>
          <w:p>
            <w:pPr>
              <w:pStyle w:val="TableParagraph"/>
              <w:spacing w:line="126" w:lineRule="exact" w:before="1"/>
              <w:ind w:right="65"/>
              <w:jc w:val="right"/>
              <w:rPr>
                <w:b/>
                <w:sz w:val="12"/>
              </w:rPr>
            </w:pPr>
            <w:r>
              <w:rPr>
                <w:b/>
                <w:color w:val="231F20"/>
                <w:spacing w:val="-2"/>
                <w:w w:val="105"/>
                <w:sz w:val="12"/>
              </w:rPr>
              <w:t>31,419</w:t>
            </w:r>
          </w:p>
        </w:tc>
      </w:tr>
    </w:tbl>
    <w:p>
      <w:pPr>
        <w:spacing w:after="0" w:line="126" w:lineRule="exact"/>
        <w:jc w:val="right"/>
        <w:rPr>
          <w:sz w:val="12"/>
        </w:rPr>
        <w:sectPr>
          <w:pgSz w:w="15840" w:h="12240" w:orient="landscape"/>
          <w:pgMar w:header="934" w:footer="1097" w:top="1840" w:bottom="1280" w:left="560" w:right="560"/>
        </w:sectPr>
      </w:pPr>
    </w:p>
    <w:p>
      <w:pPr>
        <w:pStyle w:val="BodyText"/>
        <w:spacing w:before="2"/>
        <w:rPr>
          <w:sz w:val="24"/>
        </w:rPr>
      </w:pPr>
    </w:p>
    <w:p>
      <w:pPr>
        <w:pStyle w:val="BodyText"/>
        <w:spacing w:line="37" w:lineRule="exact"/>
        <w:ind w:left="169"/>
        <w:rPr>
          <w:sz w:val="3"/>
        </w:rPr>
      </w:pPr>
      <w:r>
        <w:rPr>
          <w:position w:val="0"/>
          <w:sz w:val="3"/>
        </w:rPr>
        <w:pict>
          <v:group style="width:718.7pt;height:1.9pt;mso-position-horizontal-relative:char;mso-position-vertical-relative:line" id="docshapegroup571" coordorigin="0,0" coordsize="14374,38">
            <v:rect style="position:absolute;left:0;top:0;width:14374;height:38" id="docshape572" filled="true" fillcolor="#231f20" stroked="false">
              <v:fill type="solid"/>
            </v:rect>
          </v:group>
        </w:pict>
      </w:r>
      <w:r>
        <w:rPr>
          <w:position w:val="0"/>
          <w:sz w:val="3"/>
        </w:rPr>
      </w:r>
    </w:p>
    <w:p>
      <w:pPr>
        <w:pStyle w:val="BodyText"/>
        <w:spacing w:before="11"/>
        <w:rPr>
          <w:sz w:val="17"/>
        </w:rPr>
      </w:pPr>
    </w:p>
    <w:tbl>
      <w:tblPr>
        <w:tblW w:w="0" w:type="auto"/>
        <w:jc w:val="left"/>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9"/>
        <w:gridCol w:w="1741"/>
        <w:gridCol w:w="2279"/>
        <w:gridCol w:w="2767"/>
        <w:gridCol w:w="1153"/>
        <w:gridCol w:w="1129"/>
        <w:gridCol w:w="152"/>
        <w:gridCol w:w="1129"/>
      </w:tblGrid>
      <w:tr>
        <w:trPr>
          <w:trHeight w:val="503" w:hRule="atLeast"/>
        </w:trPr>
        <w:tc>
          <w:tcPr>
            <w:tcW w:w="4029" w:type="dxa"/>
            <w:tcBorders>
              <w:bottom w:val="single" w:sz="18" w:space="0" w:color="231F20"/>
            </w:tcBorders>
          </w:tcPr>
          <w:p>
            <w:pPr>
              <w:pStyle w:val="TableParagraph"/>
              <w:rPr>
                <w:sz w:val="14"/>
              </w:rPr>
            </w:pPr>
          </w:p>
          <w:p>
            <w:pPr>
              <w:pStyle w:val="TableParagraph"/>
              <w:spacing w:before="9"/>
              <w:rPr>
                <w:sz w:val="16"/>
              </w:rPr>
            </w:pPr>
          </w:p>
          <w:p>
            <w:pPr>
              <w:pStyle w:val="TableParagraph"/>
              <w:spacing w:line="129" w:lineRule="exact"/>
              <w:ind w:left="32"/>
              <w:rPr>
                <w:b/>
                <w:sz w:val="12"/>
              </w:rPr>
            </w:pPr>
            <w:r>
              <w:rPr>
                <w:b/>
                <w:color w:val="231F20"/>
                <w:w w:val="105"/>
                <w:sz w:val="12"/>
              </w:rPr>
              <w:t>Federal</w:t>
            </w:r>
            <w:r>
              <w:rPr>
                <w:b/>
                <w:color w:val="231F20"/>
                <w:spacing w:val="-9"/>
                <w:w w:val="105"/>
                <w:sz w:val="12"/>
              </w:rPr>
              <w:t> </w:t>
            </w:r>
            <w:r>
              <w:rPr>
                <w:b/>
                <w:color w:val="231F20"/>
                <w:w w:val="105"/>
                <w:sz w:val="12"/>
              </w:rPr>
              <w:t>Grantor/Program</w:t>
            </w:r>
            <w:r>
              <w:rPr>
                <w:b/>
                <w:color w:val="231F20"/>
                <w:spacing w:val="-8"/>
                <w:w w:val="105"/>
                <w:sz w:val="12"/>
              </w:rPr>
              <w:t> </w:t>
            </w:r>
            <w:r>
              <w:rPr>
                <w:b/>
                <w:color w:val="231F20"/>
                <w:spacing w:val="-2"/>
                <w:w w:val="105"/>
                <w:sz w:val="12"/>
              </w:rPr>
              <w:t>Title</w:t>
            </w:r>
          </w:p>
        </w:tc>
        <w:tc>
          <w:tcPr>
            <w:tcW w:w="1741" w:type="dxa"/>
            <w:tcBorders>
              <w:bottom w:val="single" w:sz="18" w:space="0" w:color="231F20"/>
            </w:tcBorders>
          </w:tcPr>
          <w:p>
            <w:pPr>
              <w:pStyle w:val="TableParagraph"/>
              <w:spacing w:before="5"/>
              <w:rPr>
                <w:sz w:val="12"/>
              </w:rPr>
            </w:pPr>
          </w:p>
          <w:p>
            <w:pPr>
              <w:pStyle w:val="TableParagraph"/>
              <w:spacing w:line="160" w:lineRule="atLeast"/>
              <w:ind w:left="710" w:right="546" w:firstLine="63"/>
              <w:rPr>
                <w:b/>
                <w:sz w:val="12"/>
              </w:rPr>
            </w:pPr>
            <w:r>
              <w:rPr>
                <w:b/>
                <w:color w:val="231F20"/>
                <w:spacing w:val="-4"/>
                <w:w w:val="105"/>
                <w:sz w:val="12"/>
              </w:rPr>
              <w:t>Award</w:t>
            </w:r>
            <w:r>
              <w:rPr>
                <w:b/>
                <w:color w:val="231F20"/>
                <w:spacing w:val="40"/>
                <w:w w:val="105"/>
                <w:sz w:val="12"/>
              </w:rPr>
              <w:t> </w:t>
            </w:r>
            <w:r>
              <w:rPr>
                <w:b/>
                <w:color w:val="231F20"/>
                <w:spacing w:val="-2"/>
                <w:w w:val="105"/>
                <w:sz w:val="12"/>
              </w:rPr>
              <w:t>Number</w:t>
            </w:r>
          </w:p>
        </w:tc>
        <w:tc>
          <w:tcPr>
            <w:tcW w:w="2279" w:type="dxa"/>
            <w:tcBorders>
              <w:bottom w:val="single" w:sz="18" w:space="0" w:color="231F20"/>
            </w:tcBorders>
          </w:tcPr>
          <w:p>
            <w:pPr>
              <w:pStyle w:val="TableParagraph"/>
              <w:rPr>
                <w:sz w:val="14"/>
              </w:rPr>
            </w:pPr>
          </w:p>
          <w:p>
            <w:pPr>
              <w:pStyle w:val="TableParagraph"/>
              <w:spacing w:before="9"/>
              <w:rPr>
                <w:sz w:val="14"/>
              </w:rPr>
            </w:pPr>
          </w:p>
          <w:p>
            <w:pPr>
              <w:pStyle w:val="TableParagraph"/>
              <w:ind w:left="556"/>
              <w:rPr>
                <w:b/>
                <w:sz w:val="12"/>
              </w:rPr>
            </w:pPr>
            <w:r>
              <w:rPr>
                <w:b/>
                <w:color w:val="231F20"/>
                <w:spacing w:val="-2"/>
                <w:w w:val="105"/>
                <w:sz w:val="12"/>
              </w:rPr>
              <w:t>Pass-Through</w:t>
            </w:r>
            <w:r>
              <w:rPr>
                <w:b/>
                <w:color w:val="231F20"/>
                <w:spacing w:val="12"/>
                <w:w w:val="105"/>
                <w:sz w:val="12"/>
              </w:rPr>
              <w:t> </w:t>
            </w:r>
            <w:r>
              <w:rPr>
                <w:b/>
                <w:color w:val="231F20"/>
                <w:spacing w:val="-2"/>
                <w:w w:val="105"/>
                <w:sz w:val="12"/>
              </w:rPr>
              <w:t>Entity</w:t>
            </w:r>
          </w:p>
        </w:tc>
        <w:tc>
          <w:tcPr>
            <w:tcW w:w="2767" w:type="dxa"/>
            <w:tcBorders>
              <w:bottom w:val="single" w:sz="18" w:space="0" w:color="231F20"/>
            </w:tcBorders>
          </w:tcPr>
          <w:p>
            <w:pPr>
              <w:pStyle w:val="TableParagraph"/>
              <w:spacing w:before="5"/>
              <w:rPr>
                <w:sz w:val="12"/>
              </w:rPr>
            </w:pPr>
          </w:p>
          <w:p>
            <w:pPr>
              <w:pStyle w:val="TableParagraph"/>
              <w:spacing w:line="160" w:lineRule="atLeast"/>
              <w:ind w:left="1018" w:hanging="286"/>
              <w:rPr>
                <w:b/>
                <w:sz w:val="12"/>
              </w:rPr>
            </w:pPr>
            <w:r>
              <w:rPr>
                <w:b/>
                <w:color w:val="231F20"/>
                <w:spacing w:val="-2"/>
                <w:w w:val="105"/>
                <w:sz w:val="12"/>
              </w:rPr>
              <w:t>Funding Agency </w:t>
            </w:r>
            <w:r>
              <w:rPr>
                <w:b/>
                <w:color w:val="231F20"/>
                <w:spacing w:val="-2"/>
                <w:w w:val="105"/>
                <w:sz w:val="12"/>
              </w:rPr>
              <w:t>Identification</w:t>
            </w:r>
            <w:r>
              <w:rPr>
                <w:b/>
                <w:color w:val="231F20"/>
                <w:spacing w:val="40"/>
                <w:w w:val="105"/>
                <w:sz w:val="12"/>
              </w:rPr>
              <w:t> </w:t>
            </w:r>
            <w:r>
              <w:rPr>
                <w:b/>
                <w:color w:val="231F20"/>
                <w:w w:val="105"/>
                <w:sz w:val="12"/>
              </w:rPr>
              <w:t>Number/Contract</w:t>
            </w:r>
            <w:r>
              <w:rPr>
                <w:b/>
                <w:color w:val="231F20"/>
                <w:spacing w:val="-7"/>
                <w:w w:val="105"/>
                <w:sz w:val="12"/>
              </w:rPr>
              <w:t> </w:t>
            </w:r>
            <w:r>
              <w:rPr>
                <w:b/>
                <w:color w:val="231F20"/>
                <w:w w:val="105"/>
                <w:sz w:val="12"/>
              </w:rPr>
              <w:t>ID</w:t>
            </w:r>
          </w:p>
        </w:tc>
        <w:tc>
          <w:tcPr>
            <w:tcW w:w="1153" w:type="dxa"/>
            <w:tcBorders>
              <w:bottom w:val="single" w:sz="18" w:space="0" w:color="231F20"/>
            </w:tcBorders>
          </w:tcPr>
          <w:p>
            <w:pPr>
              <w:pStyle w:val="TableParagraph"/>
              <w:ind w:left="365" w:hanging="125"/>
              <w:rPr>
                <w:b/>
                <w:sz w:val="12"/>
              </w:rPr>
            </w:pPr>
            <w:r>
              <w:rPr>
                <w:b/>
                <w:color w:val="231F20"/>
                <w:spacing w:val="-2"/>
                <w:w w:val="105"/>
                <w:sz w:val="12"/>
              </w:rPr>
              <w:t>Assistance</w:t>
            </w:r>
          </w:p>
          <w:p>
            <w:pPr>
              <w:pStyle w:val="TableParagraph"/>
              <w:spacing w:line="160" w:lineRule="atLeast" w:before="5"/>
              <w:ind w:left="334" w:right="334" w:firstLine="31"/>
              <w:rPr>
                <w:b/>
                <w:sz w:val="12"/>
              </w:rPr>
            </w:pPr>
            <w:r>
              <w:rPr>
                <w:b/>
                <w:color w:val="231F20"/>
                <w:spacing w:val="-2"/>
                <w:w w:val="105"/>
                <w:sz w:val="12"/>
              </w:rPr>
              <w:t>Listing</w:t>
            </w:r>
            <w:r>
              <w:rPr>
                <w:b/>
                <w:color w:val="231F20"/>
                <w:spacing w:val="40"/>
                <w:w w:val="105"/>
                <w:sz w:val="12"/>
              </w:rPr>
              <w:t> </w:t>
            </w:r>
            <w:r>
              <w:rPr>
                <w:b/>
                <w:color w:val="231F20"/>
                <w:spacing w:val="-2"/>
                <w:w w:val="105"/>
                <w:sz w:val="12"/>
              </w:rPr>
              <w:t>Number</w:t>
            </w:r>
          </w:p>
        </w:tc>
        <w:tc>
          <w:tcPr>
            <w:tcW w:w="1129" w:type="dxa"/>
            <w:tcBorders>
              <w:bottom w:val="single" w:sz="18" w:space="0" w:color="231F20"/>
            </w:tcBorders>
          </w:tcPr>
          <w:p>
            <w:pPr>
              <w:pStyle w:val="TableParagraph"/>
              <w:spacing w:line="288" w:lineRule="auto"/>
              <w:ind w:left="235" w:hanging="124"/>
              <w:rPr>
                <w:b/>
                <w:sz w:val="12"/>
              </w:rPr>
            </w:pPr>
            <w:r>
              <w:rPr>
                <w:b/>
                <w:color w:val="231F20"/>
                <w:spacing w:val="-2"/>
                <w:w w:val="105"/>
                <w:sz w:val="12"/>
              </w:rPr>
              <w:t>Amount</w:t>
            </w:r>
            <w:r>
              <w:rPr>
                <w:b/>
                <w:color w:val="231F20"/>
                <w:spacing w:val="-7"/>
                <w:w w:val="105"/>
                <w:sz w:val="12"/>
              </w:rPr>
              <w:t> </w:t>
            </w:r>
            <w:r>
              <w:rPr>
                <w:b/>
                <w:color w:val="231F20"/>
                <w:spacing w:val="-2"/>
                <w:w w:val="105"/>
                <w:sz w:val="12"/>
              </w:rPr>
              <w:t>Passed</w:t>
            </w:r>
            <w:r>
              <w:rPr>
                <w:b/>
                <w:color w:val="231F20"/>
                <w:spacing w:val="40"/>
                <w:w w:val="105"/>
                <w:sz w:val="12"/>
              </w:rPr>
              <w:t> </w:t>
            </w:r>
            <w:r>
              <w:rPr>
                <w:b/>
                <w:color w:val="231F20"/>
                <w:w w:val="105"/>
                <w:sz w:val="12"/>
              </w:rPr>
              <w:t>Through</w:t>
            </w:r>
            <w:r>
              <w:rPr>
                <w:b/>
                <w:color w:val="231F20"/>
                <w:spacing w:val="-7"/>
                <w:w w:val="105"/>
                <w:sz w:val="12"/>
              </w:rPr>
              <w:t> </w:t>
            </w:r>
            <w:r>
              <w:rPr>
                <w:b/>
                <w:color w:val="231F20"/>
                <w:w w:val="105"/>
                <w:sz w:val="12"/>
              </w:rPr>
              <w:t>to</w:t>
            </w:r>
          </w:p>
          <w:p>
            <w:pPr>
              <w:pStyle w:val="TableParagraph"/>
              <w:ind w:left="152"/>
              <w:rPr>
                <w:b/>
                <w:sz w:val="12"/>
              </w:rPr>
            </w:pPr>
            <w:r>
              <w:rPr>
                <w:b/>
                <w:color w:val="231F20"/>
                <w:spacing w:val="-2"/>
                <w:w w:val="105"/>
                <w:sz w:val="12"/>
              </w:rPr>
              <w:t>Subrecipients</w:t>
            </w:r>
          </w:p>
        </w:tc>
        <w:tc>
          <w:tcPr>
            <w:tcW w:w="1281" w:type="dxa"/>
            <w:gridSpan w:val="2"/>
            <w:tcBorders>
              <w:bottom w:val="single" w:sz="18" w:space="0" w:color="231F20"/>
            </w:tcBorders>
          </w:tcPr>
          <w:p>
            <w:pPr>
              <w:pStyle w:val="TableParagraph"/>
              <w:spacing w:before="5"/>
              <w:rPr>
                <w:sz w:val="12"/>
              </w:rPr>
            </w:pPr>
          </w:p>
          <w:p>
            <w:pPr>
              <w:pStyle w:val="TableParagraph"/>
              <w:spacing w:line="160" w:lineRule="atLeast"/>
              <w:ind w:left="320" w:firstLine="25"/>
              <w:rPr>
                <w:b/>
                <w:sz w:val="12"/>
              </w:rPr>
            </w:pPr>
            <w:r>
              <w:rPr>
                <w:b/>
                <w:color w:val="231F20"/>
                <w:spacing w:val="-2"/>
                <w:w w:val="105"/>
                <w:sz w:val="12"/>
              </w:rPr>
              <w:t>Total</w:t>
            </w:r>
            <w:r>
              <w:rPr>
                <w:b/>
                <w:color w:val="231F20"/>
                <w:spacing w:val="-7"/>
                <w:w w:val="105"/>
                <w:sz w:val="12"/>
              </w:rPr>
              <w:t> </w:t>
            </w:r>
            <w:r>
              <w:rPr>
                <w:b/>
                <w:color w:val="231F20"/>
                <w:spacing w:val="-2"/>
                <w:w w:val="105"/>
                <w:sz w:val="12"/>
              </w:rPr>
              <w:t>Federal</w:t>
            </w:r>
            <w:r>
              <w:rPr>
                <w:b/>
                <w:color w:val="231F20"/>
                <w:spacing w:val="40"/>
                <w:w w:val="105"/>
                <w:sz w:val="12"/>
              </w:rPr>
              <w:t> </w:t>
            </w:r>
            <w:r>
              <w:rPr>
                <w:b/>
                <w:color w:val="231F20"/>
                <w:spacing w:val="-2"/>
                <w:w w:val="105"/>
                <w:sz w:val="12"/>
              </w:rPr>
              <w:t>Expenditures</w:t>
            </w:r>
          </w:p>
        </w:tc>
      </w:tr>
      <w:tr>
        <w:trPr>
          <w:trHeight w:val="308" w:hRule="atLeast"/>
        </w:trPr>
        <w:tc>
          <w:tcPr>
            <w:tcW w:w="4029" w:type="dxa"/>
            <w:tcBorders>
              <w:top w:val="single" w:sz="18" w:space="0" w:color="231F20"/>
            </w:tcBorders>
          </w:tcPr>
          <w:p>
            <w:pPr>
              <w:pStyle w:val="TableParagraph"/>
              <w:spacing w:before="97"/>
              <w:ind w:left="32"/>
              <w:rPr>
                <w:b/>
                <w:sz w:val="12"/>
              </w:rPr>
            </w:pPr>
            <w:r>
              <w:rPr>
                <w:b/>
                <w:color w:val="231F20"/>
                <w:spacing w:val="-2"/>
                <w:w w:val="105"/>
                <w:sz w:val="12"/>
              </w:rPr>
              <w:t>STUDENT</w:t>
            </w:r>
            <w:r>
              <w:rPr>
                <w:b/>
                <w:color w:val="231F20"/>
                <w:spacing w:val="2"/>
                <w:w w:val="105"/>
                <w:sz w:val="12"/>
              </w:rPr>
              <w:t> </w:t>
            </w:r>
            <w:r>
              <w:rPr>
                <w:b/>
                <w:color w:val="231F20"/>
                <w:spacing w:val="-2"/>
                <w:w w:val="105"/>
                <w:sz w:val="12"/>
              </w:rPr>
              <w:t>FINANCIAL</w:t>
            </w:r>
            <w:r>
              <w:rPr>
                <w:b/>
                <w:color w:val="231F20"/>
                <w:spacing w:val="2"/>
                <w:w w:val="105"/>
                <w:sz w:val="12"/>
              </w:rPr>
              <w:t> </w:t>
            </w:r>
            <w:r>
              <w:rPr>
                <w:b/>
                <w:color w:val="231F20"/>
                <w:spacing w:val="-2"/>
                <w:w w:val="105"/>
                <w:sz w:val="12"/>
              </w:rPr>
              <w:t>ASSISTANCE</w:t>
            </w:r>
            <w:r>
              <w:rPr>
                <w:b/>
                <w:color w:val="231F20"/>
                <w:spacing w:val="3"/>
                <w:w w:val="105"/>
                <w:sz w:val="12"/>
              </w:rPr>
              <w:t> </w:t>
            </w:r>
            <w:r>
              <w:rPr>
                <w:b/>
                <w:color w:val="231F20"/>
                <w:spacing w:val="-2"/>
                <w:w w:val="105"/>
                <w:sz w:val="12"/>
              </w:rPr>
              <w:t>CLUSTER</w:t>
            </w:r>
          </w:p>
        </w:tc>
        <w:tc>
          <w:tcPr>
            <w:tcW w:w="1741" w:type="dxa"/>
            <w:tcBorders>
              <w:top w:val="single" w:sz="18" w:space="0" w:color="231F20"/>
            </w:tcBorders>
          </w:tcPr>
          <w:p>
            <w:pPr>
              <w:pStyle w:val="TableParagraph"/>
              <w:rPr>
                <w:rFonts w:ascii="Times New Roman"/>
                <w:sz w:val="12"/>
              </w:rPr>
            </w:pPr>
          </w:p>
        </w:tc>
        <w:tc>
          <w:tcPr>
            <w:tcW w:w="2279" w:type="dxa"/>
            <w:tcBorders>
              <w:top w:val="single" w:sz="18" w:space="0" w:color="231F20"/>
            </w:tcBorders>
          </w:tcPr>
          <w:p>
            <w:pPr>
              <w:pStyle w:val="TableParagraph"/>
              <w:rPr>
                <w:rFonts w:ascii="Times New Roman"/>
                <w:sz w:val="12"/>
              </w:rPr>
            </w:pPr>
          </w:p>
        </w:tc>
        <w:tc>
          <w:tcPr>
            <w:tcW w:w="2767" w:type="dxa"/>
            <w:tcBorders>
              <w:top w:val="single" w:sz="18" w:space="0" w:color="231F20"/>
            </w:tcBorders>
          </w:tcPr>
          <w:p>
            <w:pPr>
              <w:pStyle w:val="TableParagraph"/>
              <w:rPr>
                <w:rFonts w:ascii="Times New Roman"/>
                <w:sz w:val="12"/>
              </w:rPr>
            </w:pPr>
          </w:p>
        </w:tc>
        <w:tc>
          <w:tcPr>
            <w:tcW w:w="1153" w:type="dxa"/>
            <w:tcBorders>
              <w:top w:val="single" w:sz="18" w:space="0" w:color="231F20"/>
            </w:tcBorders>
          </w:tcPr>
          <w:p>
            <w:pPr>
              <w:pStyle w:val="TableParagraph"/>
              <w:rPr>
                <w:rFonts w:ascii="Times New Roman"/>
                <w:sz w:val="12"/>
              </w:rPr>
            </w:pPr>
          </w:p>
        </w:tc>
        <w:tc>
          <w:tcPr>
            <w:tcW w:w="1129" w:type="dxa"/>
            <w:tcBorders>
              <w:top w:val="single" w:sz="18" w:space="0" w:color="231F20"/>
            </w:tcBorders>
          </w:tcPr>
          <w:p>
            <w:pPr>
              <w:pStyle w:val="TableParagraph"/>
              <w:rPr>
                <w:rFonts w:ascii="Times New Roman"/>
                <w:sz w:val="12"/>
              </w:rPr>
            </w:pPr>
          </w:p>
        </w:tc>
        <w:tc>
          <w:tcPr>
            <w:tcW w:w="1281" w:type="dxa"/>
            <w:gridSpan w:val="2"/>
            <w:tcBorders>
              <w:top w:val="single" w:sz="18" w:space="0" w:color="231F20"/>
            </w:tcBorders>
          </w:tcPr>
          <w:p>
            <w:pPr>
              <w:pStyle w:val="TableParagraph"/>
              <w:rPr>
                <w:rFonts w:ascii="Times New Roman"/>
                <w:sz w:val="12"/>
              </w:rPr>
            </w:pPr>
          </w:p>
        </w:tc>
      </w:tr>
      <w:tr>
        <w:trPr>
          <w:trHeight w:val="213" w:hRule="atLeast"/>
        </w:trPr>
        <w:tc>
          <w:tcPr>
            <w:tcW w:w="4029" w:type="dxa"/>
          </w:tcPr>
          <w:p>
            <w:pPr>
              <w:pStyle w:val="TableParagraph"/>
              <w:spacing w:line="119" w:lineRule="exact" w:before="74"/>
              <w:ind w:left="32"/>
              <w:rPr>
                <w:b/>
                <w:sz w:val="12"/>
              </w:rPr>
            </w:pPr>
            <w:r>
              <w:rPr>
                <w:b/>
                <w:color w:val="231F20"/>
                <w:w w:val="105"/>
                <w:sz w:val="12"/>
              </w:rPr>
              <w:t>U.S.</w:t>
            </w:r>
            <w:r>
              <w:rPr>
                <w:b/>
                <w:color w:val="231F20"/>
                <w:spacing w:val="-5"/>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6"/>
                <w:w w:val="105"/>
                <w:sz w:val="12"/>
              </w:rPr>
              <w:t> </w:t>
            </w:r>
            <w:r>
              <w:rPr>
                <w:b/>
                <w:color w:val="231F20"/>
                <w:spacing w:val="-2"/>
                <w:w w:val="105"/>
                <w:sz w:val="12"/>
              </w:rPr>
              <w:t>Education</w:t>
            </w:r>
          </w:p>
        </w:tc>
        <w:tc>
          <w:tcPr>
            <w:tcW w:w="1741" w:type="dxa"/>
          </w:tcPr>
          <w:p>
            <w:pPr>
              <w:pStyle w:val="TableParagraph"/>
              <w:rPr>
                <w:rFonts w:ascii="Times New Roman"/>
                <w:sz w:val="12"/>
              </w:rPr>
            </w:pPr>
          </w:p>
        </w:tc>
        <w:tc>
          <w:tcPr>
            <w:tcW w:w="2279" w:type="dxa"/>
          </w:tcPr>
          <w:p>
            <w:pPr>
              <w:pStyle w:val="TableParagraph"/>
              <w:rPr>
                <w:rFonts w:ascii="Times New Roman"/>
                <w:sz w:val="12"/>
              </w:rPr>
            </w:pPr>
          </w:p>
        </w:tc>
        <w:tc>
          <w:tcPr>
            <w:tcW w:w="2767" w:type="dxa"/>
          </w:tcPr>
          <w:p>
            <w:pPr>
              <w:pStyle w:val="TableParagraph"/>
              <w:rPr>
                <w:rFonts w:ascii="Times New Roman"/>
                <w:sz w:val="12"/>
              </w:rPr>
            </w:pPr>
          </w:p>
        </w:tc>
        <w:tc>
          <w:tcPr>
            <w:tcW w:w="1153" w:type="dxa"/>
          </w:tcPr>
          <w:p>
            <w:pPr>
              <w:pStyle w:val="TableParagraph"/>
              <w:rPr>
                <w:rFonts w:ascii="Times New Roman"/>
                <w:sz w:val="12"/>
              </w:rPr>
            </w:pPr>
          </w:p>
        </w:tc>
        <w:tc>
          <w:tcPr>
            <w:tcW w:w="1129" w:type="dxa"/>
          </w:tcPr>
          <w:p>
            <w:pPr>
              <w:pStyle w:val="TableParagraph"/>
              <w:rPr>
                <w:rFonts w:ascii="Times New Roman"/>
                <w:sz w:val="12"/>
              </w:rPr>
            </w:pPr>
          </w:p>
        </w:tc>
        <w:tc>
          <w:tcPr>
            <w:tcW w:w="1281" w:type="dxa"/>
            <w:gridSpan w:val="2"/>
          </w:tcPr>
          <w:p>
            <w:pPr>
              <w:pStyle w:val="TableParagraph"/>
              <w:rPr>
                <w:rFonts w:ascii="Times New Roman"/>
                <w:sz w:val="12"/>
              </w:rPr>
            </w:pPr>
          </w:p>
        </w:tc>
      </w:tr>
      <w:tr>
        <w:trPr>
          <w:trHeight w:val="171" w:hRule="atLeast"/>
        </w:trPr>
        <w:tc>
          <w:tcPr>
            <w:tcW w:w="4029" w:type="dxa"/>
          </w:tcPr>
          <w:p>
            <w:pPr>
              <w:pStyle w:val="TableParagraph"/>
              <w:spacing w:line="119" w:lineRule="exact" w:before="32"/>
              <w:ind w:left="202"/>
              <w:rPr>
                <w:sz w:val="12"/>
              </w:rPr>
            </w:pPr>
            <w:r>
              <w:rPr>
                <w:color w:val="231F20"/>
                <w:w w:val="105"/>
                <w:sz w:val="12"/>
              </w:rPr>
              <w:t>Direct</w:t>
            </w:r>
            <w:r>
              <w:rPr>
                <w:color w:val="231F20"/>
                <w:spacing w:val="-8"/>
                <w:w w:val="105"/>
                <w:sz w:val="12"/>
              </w:rPr>
              <w:t> </w:t>
            </w:r>
            <w:r>
              <w:rPr>
                <w:color w:val="231F20"/>
                <w:spacing w:val="-2"/>
                <w:w w:val="105"/>
                <w:sz w:val="12"/>
              </w:rPr>
              <w:t>Awards</w:t>
            </w:r>
          </w:p>
        </w:tc>
        <w:tc>
          <w:tcPr>
            <w:tcW w:w="1741" w:type="dxa"/>
          </w:tcPr>
          <w:p>
            <w:pPr>
              <w:pStyle w:val="TableParagraph"/>
              <w:rPr>
                <w:rFonts w:ascii="Times New Roman"/>
                <w:sz w:val="10"/>
              </w:rPr>
            </w:pPr>
          </w:p>
        </w:tc>
        <w:tc>
          <w:tcPr>
            <w:tcW w:w="2279" w:type="dxa"/>
          </w:tcPr>
          <w:p>
            <w:pPr>
              <w:pStyle w:val="TableParagraph"/>
              <w:rPr>
                <w:rFonts w:ascii="Times New Roman"/>
                <w:sz w:val="10"/>
              </w:rPr>
            </w:pPr>
          </w:p>
        </w:tc>
        <w:tc>
          <w:tcPr>
            <w:tcW w:w="2767" w:type="dxa"/>
          </w:tcPr>
          <w:p>
            <w:pPr>
              <w:pStyle w:val="TableParagraph"/>
              <w:rPr>
                <w:rFonts w:ascii="Times New Roman"/>
                <w:sz w:val="10"/>
              </w:rPr>
            </w:pPr>
          </w:p>
        </w:tc>
        <w:tc>
          <w:tcPr>
            <w:tcW w:w="1153" w:type="dxa"/>
          </w:tcPr>
          <w:p>
            <w:pPr>
              <w:pStyle w:val="TableParagraph"/>
              <w:rPr>
                <w:rFonts w:ascii="Times New Roman"/>
                <w:sz w:val="10"/>
              </w:rPr>
            </w:pPr>
          </w:p>
        </w:tc>
        <w:tc>
          <w:tcPr>
            <w:tcW w:w="1129" w:type="dxa"/>
          </w:tcPr>
          <w:p>
            <w:pPr>
              <w:pStyle w:val="TableParagraph"/>
              <w:rPr>
                <w:rFonts w:ascii="Times New Roman"/>
                <w:sz w:val="10"/>
              </w:rPr>
            </w:pPr>
          </w:p>
        </w:tc>
        <w:tc>
          <w:tcPr>
            <w:tcW w:w="1281" w:type="dxa"/>
            <w:gridSpan w:val="2"/>
          </w:tcPr>
          <w:p>
            <w:pPr>
              <w:pStyle w:val="TableParagraph"/>
              <w:rPr>
                <w:rFonts w:ascii="Times New Roman"/>
                <w:sz w:val="10"/>
              </w:rPr>
            </w:pPr>
          </w:p>
        </w:tc>
      </w:tr>
      <w:tr>
        <w:trPr>
          <w:trHeight w:val="184" w:hRule="atLeast"/>
        </w:trPr>
        <w:tc>
          <w:tcPr>
            <w:tcW w:w="4029" w:type="dxa"/>
          </w:tcPr>
          <w:p>
            <w:pPr>
              <w:pStyle w:val="TableParagraph"/>
              <w:spacing w:before="26"/>
              <w:ind w:right="714"/>
              <w:jc w:val="right"/>
              <w:rPr>
                <w:sz w:val="12"/>
              </w:rPr>
            </w:pPr>
            <w:r>
              <w:rPr>
                <w:color w:val="231F20"/>
                <w:spacing w:val="-2"/>
                <w:w w:val="105"/>
                <w:sz w:val="12"/>
              </w:rPr>
              <w:t>Supplemental</w:t>
            </w:r>
            <w:r>
              <w:rPr>
                <w:color w:val="231F20"/>
                <w:spacing w:val="6"/>
                <w:w w:val="105"/>
                <w:sz w:val="12"/>
              </w:rPr>
              <w:t> </w:t>
            </w:r>
            <w:r>
              <w:rPr>
                <w:color w:val="231F20"/>
                <w:spacing w:val="-2"/>
                <w:w w:val="105"/>
                <w:sz w:val="12"/>
              </w:rPr>
              <w:t>Educational</w:t>
            </w:r>
            <w:r>
              <w:rPr>
                <w:color w:val="231F20"/>
                <w:spacing w:val="6"/>
                <w:w w:val="105"/>
                <w:sz w:val="12"/>
              </w:rPr>
              <w:t> </w:t>
            </w:r>
            <w:r>
              <w:rPr>
                <w:color w:val="231F20"/>
                <w:spacing w:val="-2"/>
                <w:w w:val="105"/>
                <w:sz w:val="12"/>
              </w:rPr>
              <w:t>Opportunity</w:t>
            </w:r>
            <w:r>
              <w:rPr>
                <w:color w:val="231F20"/>
                <w:spacing w:val="3"/>
                <w:w w:val="105"/>
                <w:sz w:val="12"/>
              </w:rPr>
              <w:t> </w:t>
            </w:r>
            <w:r>
              <w:rPr>
                <w:color w:val="231F20"/>
                <w:spacing w:val="-2"/>
                <w:w w:val="105"/>
                <w:sz w:val="12"/>
              </w:rPr>
              <w:t>grant</w:t>
            </w:r>
            <w:r>
              <w:rPr>
                <w:color w:val="231F20"/>
                <w:spacing w:val="6"/>
                <w:w w:val="105"/>
                <w:sz w:val="12"/>
              </w:rPr>
              <w:t> </w:t>
            </w:r>
            <w:r>
              <w:rPr>
                <w:color w:val="231F20"/>
                <w:spacing w:val="-2"/>
                <w:w w:val="105"/>
                <w:sz w:val="12"/>
              </w:rPr>
              <w:t>(SEOG)</w:t>
            </w:r>
          </w:p>
        </w:tc>
        <w:tc>
          <w:tcPr>
            <w:tcW w:w="7940" w:type="dxa"/>
            <w:gridSpan w:val="4"/>
          </w:tcPr>
          <w:p>
            <w:pPr>
              <w:pStyle w:val="TableParagraph"/>
              <w:spacing w:line="132" w:lineRule="exact" w:before="32"/>
              <w:ind w:right="380"/>
              <w:jc w:val="right"/>
              <w:rPr>
                <w:sz w:val="12"/>
              </w:rPr>
            </w:pPr>
            <w:r>
              <w:rPr>
                <w:color w:val="231F20"/>
                <w:spacing w:val="-2"/>
                <w:w w:val="105"/>
                <w:sz w:val="12"/>
              </w:rPr>
              <w:t>84.007</w:t>
            </w:r>
          </w:p>
        </w:tc>
        <w:tc>
          <w:tcPr>
            <w:tcW w:w="1129" w:type="dxa"/>
          </w:tcPr>
          <w:p>
            <w:pPr>
              <w:pStyle w:val="TableParagraph"/>
              <w:spacing w:line="132" w:lineRule="exact" w:before="32"/>
              <w:ind w:right="67"/>
              <w:jc w:val="right"/>
              <w:rPr>
                <w:sz w:val="12"/>
              </w:rPr>
            </w:pPr>
            <w:r>
              <w:rPr>
                <w:color w:val="231F20"/>
                <w:w w:val="104"/>
                <w:sz w:val="12"/>
              </w:rPr>
              <w:t>-</w:t>
            </w:r>
          </w:p>
        </w:tc>
        <w:tc>
          <w:tcPr>
            <w:tcW w:w="152" w:type="dxa"/>
          </w:tcPr>
          <w:p>
            <w:pPr>
              <w:pStyle w:val="TableParagraph"/>
              <w:rPr>
                <w:rFonts w:ascii="Times New Roman"/>
                <w:sz w:val="12"/>
              </w:rPr>
            </w:pPr>
          </w:p>
        </w:tc>
        <w:tc>
          <w:tcPr>
            <w:tcW w:w="1129" w:type="dxa"/>
          </w:tcPr>
          <w:p>
            <w:pPr>
              <w:pStyle w:val="TableParagraph"/>
              <w:spacing w:line="132" w:lineRule="exact" w:before="32"/>
              <w:ind w:right="64"/>
              <w:jc w:val="right"/>
              <w:rPr>
                <w:sz w:val="12"/>
              </w:rPr>
            </w:pPr>
            <w:r>
              <w:rPr>
                <w:color w:val="231F20"/>
                <w:spacing w:val="-2"/>
                <w:w w:val="105"/>
                <w:sz w:val="12"/>
              </w:rPr>
              <w:t>288,971</w:t>
            </w:r>
          </w:p>
        </w:tc>
      </w:tr>
      <w:tr>
        <w:trPr>
          <w:trHeight w:val="171" w:hRule="atLeast"/>
        </w:trPr>
        <w:tc>
          <w:tcPr>
            <w:tcW w:w="4029" w:type="dxa"/>
          </w:tcPr>
          <w:p>
            <w:pPr>
              <w:pStyle w:val="TableParagraph"/>
              <w:spacing w:before="14"/>
              <w:ind w:left="372"/>
              <w:rPr>
                <w:sz w:val="12"/>
              </w:rPr>
            </w:pPr>
            <w:r>
              <w:rPr>
                <w:color w:val="231F20"/>
                <w:w w:val="105"/>
                <w:sz w:val="12"/>
              </w:rPr>
              <w:t>College</w:t>
            </w:r>
            <w:r>
              <w:rPr>
                <w:color w:val="231F20"/>
                <w:spacing w:val="-7"/>
                <w:w w:val="105"/>
                <w:sz w:val="12"/>
              </w:rPr>
              <w:t> </w:t>
            </w:r>
            <w:r>
              <w:rPr>
                <w:color w:val="231F20"/>
                <w:w w:val="105"/>
                <w:sz w:val="12"/>
              </w:rPr>
              <w:t>Work</w:t>
            </w:r>
            <w:r>
              <w:rPr>
                <w:color w:val="231F20"/>
                <w:spacing w:val="-6"/>
                <w:w w:val="105"/>
                <w:sz w:val="12"/>
              </w:rPr>
              <w:t> </w:t>
            </w:r>
            <w:r>
              <w:rPr>
                <w:color w:val="231F20"/>
                <w:spacing w:val="-2"/>
                <w:w w:val="105"/>
                <w:sz w:val="12"/>
              </w:rPr>
              <w:t>Study</w:t>
            </w:r>
          </w:p>
        </w:tc>
        <w:tc>
          <w:tcPr>
            <w:tcW w:w="7940" w:type="dxa"/>
            <w:gridSpan w:val="4"/>
          </w:tcPr>
          <w:p>
            <w:pPr>
              <w:pStyle w:val="TableParagraph"/>
              <w:spacing w:line="132" w:lineRule="exact" w:before="20"/>
              <w:ind w:right="380"/>
              <w:jc w:val="right"/>
              <w:rPr>
                <w:sz w:val="12"/>
              </w:rPr>
            </w:pPr>
            <w:r>
              <w:rPr>
                <w:color w:val="231F20"/>
                <w:spacing w:val="-2"/>
                <w:w w:val="105"/>
                <w:sz w:val="12"/>
              </w:rPr>
              <w:t>84.033</w:t>
            </w:r>
          </w:p>
        </w:tc>
        <w:tc>
          <w:tcPr>
            <w:tcW w:w="1129" w:type="dxa"/>
          </w:tcPr>
          <w:p>
            <w:pPr>
              <w:pStyle w:val="TableParagraph"/>
              <w:spacing w:line="132" w:lineRule="exact" w:before="20"/>
              <w:ind w:right="67"/>
              <w:jc w:val="right"/>
              <w:rPr>
                <w:sz w:val="12"/>
              </w:rPr>
            </w:pPr>
            <w:r>
              <w:rPr>
                <w:color w:val="231F20"/>
                <w:w w:val="104"/>
                <w:sz w:val="12"/>
              </w:rPr>
              <w:t>-</w:t>
            </w:r>
          </w:p>
        </w:tc>
        <w:tc>
          <w:tcPr>
            <w:tcW w:w="152" w:type="dxa"/>
          </w:tcPr>
          <w:p>
            <w:pPr>
              <w:pStyle w:val="TableParagraph"/>
              <w:rPr>
                <w:rFonts w:ascii="Times New Roman"/>
                <w:sz w:val="10"/>
              </w:rPr>
            </w:pPr>
          </w:p>
        </w:tc>
        <w:tc>
          <w:tcPr>
            <w:tcW w:w="1129" w:type="dxa"/>
          </w:tcPr>
          <w:p>
            <w:pPr>
              <w:pStyle w:val="TableParagraph"/>
              <w:spacing w:line="132" w:lineRule="exact" w:before="20"/>
              <w:ind w:right="64"/>
              <w:jc w:val="right"/>
              <w:rPr>
                <w:sz w:val="12"/>
              </w:rPr>
            </w:pPr>
            <w:r>
              <w:rPr>
                <w:color w:val="231F20"/>
                <w:spacing w:val="-2"/>
                <w:w w:val="105"/>
                <w:sz w:val="12"/>
              </w:rPr>
              <w:t>114,832</w:t>
            </w:r>
          </w:p>
        </w:tc>
      </w:tr>
      <w:tr>
        <w:trPr>
          <w:trHeight w:val="171" w:hRule="atLeast"/>
        </w:trPr>
        <w:tc>
          <w:tcPr>
            <w:tcW w:w="4029" w:type="dxa"/>
          </w:tcPr>
          <w:p>
            <w:pPr>
              <w:pStyle w:val="TableParagraph"/>
              <w:spacing w:line="137" w:lineRule="exact" w:before="14"/>
              <w:ind w:left="372"/>
              <w:rPr>
                <w:sz w:val="12"/>
              </w:rPr>
            </w:pPr>
            <w:r>
              <w:rPr>
                <w:color w:val="231F20"/>
                <w:spacing w:val="-2"/>
                <w:w w:val="105"/>
                <w:sz w:val="12"/>
              </w:rPr>
              <w:t>Perkins</w:t>
            </w:r>
            <w:r>
              <w:rPr>
                <w:color w:val="231F20"/>
                <w:spacing w:val="4"/>
                <w:w w:val="105"/>
                <w:sz w:val="12"/>
              </w:rPr>
              <w:t> </w:t>
            </w:r>
            <w:r>
              <w:rPr>
                <w:color w:val="231F20"/>
                <w:spacing w:val="-4"/>
                <w:w w:val="105"/>
                <w:sz w:val="12"/>
              </w:rPr>
              <w:t>Loan</w:t>
            </w:r>
          </w:p>
        </w:tc>
        <w:tc>
          <w:tcPr>
            <w:tcW w:w="7940" w:type="dxa"/>
            <w:gridSpan w:val="4"/>
          </w:tcPr>
          <w:p>
            <w:pPr>
              <w:pStyle w:val="TableParagraph"/>
              <w:spacing w:line="131" w:lineRule="exact" w:before="20"/>
              <w:ind w:right="380"/>
              <w:jc w:val="right"/>
              <w:rPr>
                <w:sz w:val="12"/>
              </w:rPr>
            </w:pPr>
            <w:r>
              <w:rPr>
                <w:color w:val="231F20"/>
                <w:spacing w:val="-2"/>
                <w:w w:val="105"/>
                <w:sz w:val="12"/>
              </w:rPr>
              <w:t>84.038</w:t>
            </w:r>
          </w:p>
        </w:tc>
        <w:tc>
          <w:tcPr>
            <w:tcW w:w="1129" w:type="dxa"/>
          </w:tcPr>
          <w:p>
            <w:pPr>
              <w:pStyle w:val="TableParagraph"/>
              <w:spacing w:line="131" w:lineRule="exact" w:before="20"/>
              <w:ind w:right="67"/>
              <w:jc w:val="right"/>
              <w:rPr>
                <w:sz w:val="12"/>
              </w:rPr>
            </w:pPr>
            <w:r>
              <w:rPr>
                <w:color w:val="231F20"/>
                <w:w w:val="104"/>
                <w:sz w:val="12"/>
              </w:rPr>
              <w:t>-</w:t>
            </w:r>
          </w:p>
        </w:tc>
        <w:tc>
          <w:tcPr>
            <w:tcW w:w="152" w:type="dxa"/>
          </w:tcPr>
          <w:p>
            <w:pPr>
              <w:pStyle w:val="TableParagraph"/>
              <w:rPr>
                <w:rFonts w:ascii="Times New Roman"/>
                <w:sz w:val="10"/>
              </w:rPr>
            </w:pPr>
          </w:p>
        </w:tc>
        <w:tc>
          <w:tcPr>
            <w:tcW w:w="1129" w:type="dxa"/>
          </w:tcPr>
          <w:p>
            <w:pPr>
              <w:pStyle w:val="TableParagraph"/>
              <w:spacing w:line="131" w:lineRule="exact" w:before="20"/>
              <w:ind w:right="64"/>
              <w:jc w:val="right"/>
              <w:rPr>
                <w:sz w:val="12"/>
              </w:rPr>
            </w:pPr>
            <w:r>
              <w:rPr>
                <w:color w:val="231F20"/>
                <w:spacing w:val="-2"/>
                <w:w w:val="105"/>
                <w:sz w:val="12"/>
              </w:rPr>
              <w:t>944,321</w:t>
            </w:r>
          </w:p>
        </w:tc>
      </w:tr>
      <w:tr>
        <w:trPr>
          <w:trHeight w:val="171" w:hRule="atLeast"/>
        </w:trPr>
        <w:tc>
          <w:tcPr>
            <w:tcW w:w="4029" w:type="dxa"/>
          </w:tcPr>
          <w:p>
            <w:pPr>
              <w:pStyle w:val="TableParagraph"/>
              <w:spacing w:before="13"/>
              <w:ind w:left="372"/>
              <w:rPr>
                <w:sz w:val="12"/>
              </w:rPr>
            </w:pPr>
            <w:r>
              <w:rPr>
                <w:color w:val="231F20"/>
                <w:w w:val="105"/>
                <w:sz w:val="12"/>
              </w:rPr>
              <w:t>Pell</w:t>
            </w:r>
            <w:r>
              <w:rPr>
                <w:color w:val="231F20"/>
                <w:spacing w:val="-6"/>
                <w:w w:val="105"/>
                <w:sz w:val="12"/>
              </w:rPr>
              <w:t> </w:t>
            </w:r>
            <w:r>
              <w:rPr>
                <w:color w:val="231F20"/>
                <w:spacing w:val="-4"/>
                <w:w w:val="105"/>
                <w:sz w:val="12"/>
              </w:rPr>
              <w:t>Grant</w:t>
            </w:r>
          </w:p>
        </w:tc>
        <w:tc>
          <w:tcPr>
            <w:tcW w:w="7940" w:type="dxa"/>
            <w:gridSpan w:val="4"/>
          </w:tcPr>
          <w:p>
            <w:pPr>
              <w:pStyle w:val="TableParagraph"/>
              <w:spacing w:line="132" w:lineRule="exact" w:before="19"/>
              <w:ind w:right="380"/>
              <w:jc w:val="right"/>
              <w:rPr>
                <w:sz w:val="12"/>
              </w:rPr>
            </w:pPr>
            <w:r>
              <w:rPr>
                <w:color w:val="231F20"/>
                <w:spacing w:val="-2"/>
                <w:w w:val="105"/>
                <w:sz w:val="12"/>
              </w:rPr>
              <w:t>84.063</w:t>
            </w:r>
          </w:p>
        </w:tc>
        <w:tc>
          <w:tcPr>
            <w:tcW w:w="1129" w:type="dxa"/>
          </w:tcPr>
          <w:p>
            <w:pPr>
              <w:pStyle w:val="TableParagraph"/>
              <w:spacing w:line="132" w:lineRule="exact" w:before="19"/>
              <w:ind w:right="67"/>
              <w:jc w:val="right"/>
              <w:rPr>
                <w:sz w:val="12"/>
              </w:rPr>
            </w:pPr>
            <w:r>
              <w:rPr>
                <w:color w:val="231F20"/>
                <w:w w:val="104"/>
                <w:sz w:val="12"/>
              </w:rPr>
              <w:t>-</w:t>
            </w:r>
          </w:p>
        </w:tc>
        <w:tc>
          <w:tcPr>
            <w:tcW w:w="152" w:type="dxa"/>
          </w:tcPr>
          <w:p>
            <w:pPr>
              <w:pStyle w:val="TableParagraph"/>
              <w:rPr>
                <w:rFonts w:ascii="Times New Roman"/>
                <w:sz w:val="10"/>
              </w:rPr>
            </w:pPr>
          </w:p>
        </w:tc>
        <w:tc>
          <w:tcPr>
            <w:tcW w:w="1129" w:type="dxa"/>
          </w:tcPr>
          <w:p>
            <w:pPr>
              <w:pStyle w:val="TableParagraph"/>
              <w:spacing w:line="132" w:lineRule="exact" w:before="19"/>
              <w:ind w:right="64"/>
              <w:jc w:val="right"/>
              <w:rPr>
                <w:sz w:val="12"/>
              </w:rPr>
            </w:pPr>
            <w:r>
              <w:rPr>
                <w:color w:val="231F20"/>
                <w:spacing w:val="-2"/>
                <w:w w:val="105"/>
                <w:sz w:val="12"/>
              </w:rPr>
              <w:t>2,005,848</w:t>
            </w:r>
          </w:p>
        </w:tc>
      </w:tr>
      <w:tr>
        <w:trPr>
          <w:trHeight w:val="171" w:hRule="atLeast"/>
        </w:trPr>
        <w:tc>
          <w:tcPr>
            <w:tcW w:w="4029" w:type="dxa"/>
          </w:tcPr>
          <w:p>
            <w:pPr>
              <w:pStyle w:val="TableParagraph"/>
              <w:spacing w:before="14"/>
              <w:ind w:left="372"/>
              <w:rPr>
                <w:sz w:val="12"/>
              </w:rPr>
            </w:pPr>
            <w:r>
              <w:rPr>
                <w:color w:val="231F20"/>
                <w:spacing w:val="-2"/>
                <w:w w:val="105"/>
                <w:sz w:val="12"/>
              </w:rPr>
              <w:t>Direct</w:t>
            </w:r>
            <w:r>
              <w:rPr>
                <w:color w:val="231F20"/>
                <w:spacing w:val="5"/>
                <w:w w:val="105"/>
                <w:sz w:val="12"/>
              </w:rPr>
              <w:t> </w:t>
            </w:r>
            <w:r>
              <w:rPr>
                <w:color w:val="231F20"/>
                <w:spacing w:val="-2"/>
                <w:w w:val="105"/>
                <w:sz w:val="12"/>
              </w:rPr>
              <w:t>Subsidized</w:t>
            </w:r>
            <w:r>
              <w:rPr>
                <w:color w:val="231F20"/>
                <w:spacing w:val="5"/>
                <w:w w:val="105"/>
                <w:sz w:val="12"/>
              </w:rPr>
              <w:t> </w:t>
            </w:r>
            <w:r>
              <w:rPr>
                <w:color w:val="231F20"/>
                <w:spacing w:val="-2"/>
                <w:w w:val="105"/>
                <w:sz w:val="12"/>
              </w:rPr>
              <w:t>Stafford</w:t>
            </w:r>
            <w:r>
              <w:rPr>
                <w:color w:val="231F20"/>
                <w:spacing w:val="6"/>
                <w:w w:val="105"/>
                <w:sz w:val="12"/>
              </w:rPr>
              <w:t> </w:t>
            </w:r>
            <w:r>
              <w:rPr>
                <w:color w:val="231F20"/>
                <w:spacing w:val="-2"/>
                <w:w w:val="105"/>
                <w:sz w:val="12"/>
              </w:rPr>
              <w:t>Loans</w:t>
            </w:r>
          </w:p>
        </w:tc>
        <w:tc>
          <w:tcPr>
            <w:tcW w:w="7940" w:type="dxa"/>
            <w:gridSpan w:val="4"/>
          </w:tcPr>
          <w:p>
            <w:pPr>
              <w:pStyle w:val="TableParagraph"/>
              <w:spacing w:line="132" w:lineRule="exact" w:before="20"/>
              <w:ind w:right="380"/>
              <w:jc w:val="right"/>
              <w:rPr>
                <w:sz w:val="12"/>
              </w:rPr>
            </w:pPr>
            <w:r>
              <w:rPr>
                <w:color w:val="231F20"/>
                <w:spacing w:val="-2"/>
                <w:w w:val="105"/>
                <w:sz w:val="12"/>
              </w:rPr>
              <w:t>84.268</w:t>
            </w:r>
          </w:p>
        </w:tc>
        <w:tc>
          <w:tcPr>
            <w:tcW w:w="1129" w:type="dxa"/>
          </w:tcPr>
          <w:p>
            <w:pPr>
              <w:pStyle w:val="TableParagraph"/>
              <w:spacing w:line="132" w:lineRule="exact" w:before="20"/>
              <w:ind w:right="67"/>
              <w:jc w:val="right"/>
              <w:rPr>
                <w:sz w:val="12"/>
              </w:rPr>
            </w:pPr>
            <w:r>
              <w:rPr>
                <w:color w:val="231F20"/>
                <w:w w:val="104"/>
                <w:sz w:val="12"/>
              </w:rPr>
              <w:t>-</w:t>
            </w:r>
          </w:p>
        </w:tc>
        <w:tc>
          <w:tcPr>
            <w:tcW w:w="152" w:type="dxa"/>
          </w:tcPr>
          <w:p>
            <w:pPr>
              <w:pStyle w:val="TableParagraph"/>
              <w:rPr>
                <w:rFonts w:ascii="Times New Roman"/>
                <w:sz w:val="10"/>
              </w:rPr>
            </w:pPr>
          </w:p>
        </w:tc>
        <w:tc>
          <w:tcPr>
            <w:tcW w:w="1129" w:type="dxa"/>
          </w:tcPr>
          <w:p>
            <w:pPr>
              <w:pStyle w:val="TableParagraph"/>
              <w:spacing w:line="132" w:lineRule="exact" w:before="20"/>
              <w:ind w:right="64"/>
              <w:jc w:val="right"/>
              <w:rPr>
                <w:sz w:val="12"/>
              </w:rPr>
            </w:pPr>
            <w:r>
              <w:rPr>
                <w:color w:val="231F20"/>
                <w:spacing w:val="-2"/>
                <w:w w:val="105"/>
                <w:sz w:val="12"/>
              </w:rPr>
              <w:t>682,940</w:t>
            </w:r>
          </w:p>
        </w:tc>
      </w:tr>
      <w:tr>
        <w:trPr>
          <w:trHeight w:val="171" w:hRule="atLeast"/>
        </w:trPr>
        <w:tc>
          <w:tcPr>
            <w:tcW w:w="4029" w:type="dxa"/>
          </w:tcPr>
          <w:p>
            <w:pPr>
              <w:pStyle w:val="TableParagraph"/>
              <w:spacing w:before="14"/>
              <w:ind w:left="372"/>
              <w:rPr>
                <w:sz w:val="12"/>
              </w:rPr>
            </w:pPr>
            <w:r>
              <w:rPr>
                <w:color w:val="231F20"/>
                <w:spacing w:val="-2"/>
                <w:w w:val="105"/>
                <w:sz w:val="12"/>
              </w:rPr>
              <w:t>Direct</w:t>
            </w:r>
            <w:r>
              <w:rPr>
                <w:color w:val="231F20"/>
                <w:spacing w:val="6"/>
                <w:w w:val="105"/>
                <w:sz w:val="12"/>
              </w:rPr>
              <w:t> </w:t>
            </w:r>
            <w:r>
              <w:rPr>
                <w:color w:val="231F20"/>
                <w:spacing w:val="-2"/>
                <w:w w:val="105"/>
                <w:sz w:val="12"/>
              </w:rPr>
              <w:t>Unsubsidized</w:t>
            </w:r>
            <w:r>
              <w:rPr>
                <w:color w:val="231F20"/>
                <w:spacing w:val="6"/>
                <w:w w:val="105"/>
                <w:sz w:val="12"/>
              </w:rPr>
              <w:t> </w:t>
            </w:r>
            <w:r>
              <w:rPr>
                <w:color w:val="231F20"/>
                <w:spacing w:val="-2"/>
                <w:w w:val="105"/>
                <w:sz w:val="12"/>
              </w:rPr>
              <w:t>Stafford</w:t>
            </w:r>
            <w:r>
              <w:rPr>
                <w:color w:val="231F20"/>
                <w:spacing w:val="6"/>
                <w:w w:val="105"/>
                <w:sz w:val="12"/>
              </w:rPr>
              <w:t> </w:t>
            </w:r>
            <w:r>
              <w:rPr>
                <w:color w:val="231F20"/>
                <w:spacing w:val="-2"/>
                <w:w w:val="105"/>
                <w:sz w:val="12"/>
              </w:rPr>
              <w:t>Loans</w:t>
            </w:r>
          </w:p>
        </w:tc>
        <w:tc>
          <w:tcPr>
            <w:tcW w:w="7940" w:type="dxa"/>
            <w:gridSpan w:val="4"/>
          </w:tcPr>
          <w:p>
            <w:pPr>
              <w:pStyle w:val="TableParagraph"/>
              <w:spacing w:line="132" w:lineRule="exact" w:before="20"/>
              <w:ind w:right="380"/>
              <w:jc w:val="right"/>
              <w:rPr>
                <w:sz w:val="12"/>
              </w:rPr>
            </w:pPr>
            <w:r>
              <w:rPr>
                <w:color w:val="231F20"/>
                <w:spacing w:val="-2"/>
                <w:w w:val="105"/>
                <w:sz w:val="12"/>
              </w:rPr>
              <w:t>84.268</w:t>
            </w:r>
          </w:p>
        </w:tc>
        <w:tc>
          <w:tcPr>
            <w:tcW w:w="1129" w:type="dxa"/>
          </w:tcPr>
          <w:p>
            <w:pPr>
              <w:pStyle w:val="TableParagraph"/>
              <w:spacing w:line="132" w:lineRule="exact" w:before="20"/>
              <w:ind w:right="67"/>
              <w:jc w:val="right"/>
              <w:rPr>
                <w:sz w:val="12"/>
              </w:rPr>
            </w:pPr>
            <w:r>
              <w:rPr>
                <w:color w:val="231F20"/>
                <w:w w:val="104"/>
                <w:sz w:val="12"/>
              </w:rPr>
              <w:t>-</w:t>
            </w:r>
          </w:p>
        </w:tc>
        <w:tc>
          <w:tcPr>
            <w:tcW w:w="152" w:type="dxa"/>
          </w:tcPr>
          <w:p>
            <w:pPr>
              <w:pStyle w:val="TableParagraph"/>
              <w:rPr>
                <w:rFonts w:ascii="Times New Roman"/>
                <w:sz w:val="10"/>
              </w:rPr>
            </w:pPr>
          </w:p>
        </w:tc>
        <w:tc>
          <w:tcPr>
            <w:tcW w:w="1129" w:type="dxa"/>
          </w:tcPr>
          <w:p>
            <w:pPr>
              <w:pStyle w:val="TableParagraph"/>
              <w:spacing w:line="132" w:lineRule="exact" w:before="20"/>
              <w:ind w:right="64"/>
              <w:jc w:val="right"/>
              <w:rPr>
                <w:sz w:val="12"/>
              </w:rPr>
            </w:pPr>
            <w:r>
              <w:rPr>
                <w:color w:val="231F20"/>
                <w:spacing w:val="-2"/>
                <w:w w:val="105"/>
                <w:sz w:val="12"/>
              </w:rPr>
              <w:t>1,386,927</w:t>
            </w:r>
          </w:p>
        </w:tc>
      </w:tr>
      <w:tr>
        <w:trPr>
          <w:trHeight w:val="163" w:hRule="atLeast"/>
        </w:trPr>
        <w:tc>
          <w:tcPr>
            <w:tcW w:w="4029" w:type="dxa"/>
          </w:tcPr>
          <w:p>
            <w:pPr>
              <w:pStyle w:val="TableParagraph"/>
              <w:spacing w:line="130" w:lineRule="exact" w:before="14"/>
              <w:ind w:left="372"/>
              <w:rPr>
                <w:sz w:val="12"/>
              </w:rPr>
            </w:pPr>
            <w:r>
              <w:rPr>
                <w:color w:val="231F20"/>
                <w:spacing w:val="-2"/>
                <w:w w:val="105"/>
                <w:sz w:val="12"/>
              </w:rPr>
              <w:t>Direct</w:t>
            </w:r>
            <w:r>
              <w:rPr>
                <w:color w:val="231F20"/>
                <w:spacing w:val="3"/>
                <w:w w:val="105"/>
                <w:sz w:val="12"/>
              </w:rPr>
              <w:t> </w:t>
            </w:r>
            <w:r>
              <w:rPr>
                <w:color w:val="231F20"/>
                <w:spacing w:val="-2"/>
                <w:w w:val="105"/>
                <w:sz w:val="12"/>
              </w:rPr>
              <w:t>Parent</w:t>
            </w:r>
            <w:r>
              <w:rPr>
                <w:color w:val="231F20"/>
                <w:spacing w:val="4"/>
                <w:w w:val="105"/>
                <w:sz w:val="12"/>
              </w:rPr>
              <w:t> </w:t>
            </w:r>
            <w:r>
              <w:rPr>
                <w:color w:val="231F20"/>
                <w:spacing w:val="-2"/>
                <w:w w:val="105"/>
                <w:sz w:val="12"/>
              </w:rPr>
              <w:t>Loan</w:t>
            </w:r>
            <w:r>
              <w:rPr>
                <w:color w:val="231F20"/>
                <w:spacing w:val="5"/>
                <w:w w:val="105"/>
                <w:sz w:val="12"/>
              </w:rPr>
              <w:t> </w:t>
            </w:r>
            <w:r>
              <w:rPr>
                <w:color w:val="231F20"/>
                <w:spacing w:val="-2"/>
                <w:w w:val="105"/>
                <w:sz w:val="12"/>
              </w:rPr>
              <w:t>for</w:t>
            </w:r>
            <w:r>
              <w:rPr>
                <w:color w:val="231F20"/>
                <w:spacing w:val="4"/>
                <w:w w:val="105"/>
                <w:sz w:val="12"/>
              </w:rPr>
              <w:t> </w:t>
            </w:r>
            <w:r>
              <w:rPr>
                <w:color w:val="231F20"/>
                <w:spacing w:val="-2"/>
                <w:w w:val="105"/>
                <w:sz w:val="12"/>
              </w:rPr>
              <w:t>Undergraduate</w:t>
            </w:r>
            <w:r>
              <w:rPr>
                <w:color w:val="231F20"/>
                <w:spacing w:val="3"/>
                <w:w w:val="105"/>
                <w:sz w:val="12"/>
              </w:rPr>
              <w:t> </w:t>
            </w:r>
            <w:r>
              <w:rPr>
                <w:color w:val="231F20"/>
                <w:spacing w:val="-2"/>
                <w:w w:val="105"/>
                <w:sz w:val="12"/>
              </w:rPr>
              <w:t>Students</w:t>
            </w:r>
          </w:p>
        </w:tc>
        <w:tc>
          <w:tcPr>
            <w:tcW w:w="7940" w:type="dxa"/>
            <w:gridSpan w:val="4"/>
          </w:tcPr>
          <w:p>
            <w:pPr>
              <w:pStyle w:val="TableParagraph"/>
              <w:spacing w:line="124" w:lineRule="exact" w:before="20"/>
              <w:ind w:right="380"/>
              <w:jc w:val="right"/>
              <w:rPr>
                <w:sz w:val="12"/>
              </w:rPr>
            </w:pPr>
            <w:r>
              <w:rPr>
                <w:color w:val="231F20"/>
                <w:spacing w:val="-2"/>
                <w:w w:val="105"/>
                <w:sz w:val="12"/>
              </w:rPr>
              <w:t>84.268</w:t>
            </w:r>
          </w:p>
        </w:tc>
        <w:tc>
          <w:tcPr>
            <w:tcW w:w="1129" w:type="dxa"/>
            <w:tcBorders>
              <w:bottom w:val="single" w:sz="8" w:space="0" w:color="231F20"/>
            </w:tcBorders>
          </w:tcPr>
          <w:p>
            <w:pPr>
              <w:pStyle w:val="TableParagraph"/>
              <w:spacing w:line="124" w:lineRule="exact" w:before="20"/>
              <w:ind w:right="67"/>
              <w:jc w:val="right"/>
              <w:rPr>
                <w:sz w:val="12"/>
              </w:rPr>
            </w:pPr>
            <w:r>
              <w:rPr>
                <w:color w:val="231F20"/>
                <w:w w:val="104"/>
                <w:sz w:val="12"/>
              </w:rPr>
              <w:t>-</w:t>
            </w:r>
          </w:p>
        </w:tc>
        <w:tc>
          <w:tcPr>
            <w:tcW w:w="152" w:type="dxa"/>
          </w:tcPr>
          <w:p>
            <w:pPr>
              <w:pStyle w:val="TableParagraph"/>
              <w:rPr>
                <w:rFonts w:ascii="Times New Roman"/>
                <w:sz w:val="10"/>
              </w:rPr>
            </w:pPr>
          </w:p>
        </w:tc>
        <w:tc>
          <w:tcPr>
            <w:tcW w:w="1129" w:type="dxa"/>
            <w:tcBorders>
              <w:bottom w:val="single" w:sz="8" w:space="0" w:color="231F20"/>
            </w:tcBorders>
          </w:tcPr>
          <w:p>
            <w:pPr>
              <w:pStyle w:val="TableParagraph"/>
              <w:spacing w:line="124" w:lineRule="exact" w:before="20"/>
              <w:ind w:right="64"/>
              <w:jc w:val="right"/>
              <w:rPr>
                <w:sz w:val="12"/>
              </w:rPr>
            </w:pPr>
            <w:r>
              <w:rPr>
                <w:color w:val="231F20"/>
                <w:spacing w:val="-2"/>
                <w:w w:val="105"/>
                <w:sz w:val="12"/>
              </w:rPr>
              <w:t>143,924</w:t>
            </w:r>
          </w:p>
        </w:tc>
      </w:tr>
      <w:tr>
        <w:trPr>
          <w:trHeight w:val="150" w:hRule="atLeast"/>
        </w:trPr>
        <w:tc>
          <w:tcPr>
            <w:tcW w:w="4029" w:type="dxa"/>
          </w:tcPr>
          <w:p>
            <w:pPr>
              <w:pStyle w:val="TableParagraph"/>
              <w:spacing w:line="122" w:lineRule="exact" w:before="8"/>
              <w:ind w:left="33"/>
              <w:rPr>
                <w:b/>
                <w:sz w:val="12"/>
              </w:rPr>
            </w:pPr>
            <w:r>
              <w:rPr>
                <w:b/>
                <w:color w:val="231F20"/>
                <w:spacing w:val="-2"/>
                <w:w w:val="105"/>
                <w:sz w:val="12"/>
              </w:rPr>
              <w:t>TOTAL</w:t>
            </w:r>
            <w:r>
              <w:rPr>
                <w:b/>
                <w:color w:val="231F20"/>
                <w:spacing w:val="1"/>
                <w:w w:val="105"/>
                <w:sz w:val="12"/>
              </w:rPr>
              <w:t> </w:t>
            </w:r>
            <w:r>
              <w:rPr>
                <w:b/>
                <w:color w:val="231F20"/>
                <w:spacing w:val="-2"/>
                <w:w w:val="105"/>
                <w:sz w:val="12"/>
              </w:rPr>
              <w:t>STUDENT</w:t>
            </w:r>
            <w:r>
              <w:rPr>
                <w:b/>
                <w:color w:val="231F20"/>
                <w:spacing w:val="2"/>
                <w:w w:val="105"/>
                <w:sz w:val="12"/>
              </w:rPr>
              <w:t> </w:t>
            </w:r>
            <w:r>
              <w:rPr>
                <w:b/>
                <w:color w:val="231F20"/>
                <w:spacing w:val="-2"/>
                <w:w w:val="105"/>
                <w:sz w:val="12"/>
              </w:rPr>
              <w:t>FINANCIAL</w:t>
            </w:r>
            <w:r>
              <w:rPr>
                <w:b/>
                <w:color w:val="231F20"/>
                <w:spacing w:val="2"/>
                <w:w w:val="105"/>
                <w:sz w:val="12"/>
              </w:rPr>
              <w:t> </w:t>
            </w:r>
            <w:r>
              <w:rPr>
                <w:b/>
                <w:color w:val="231F20"/>
                <w:spacing w:val="-2"/>
                <w:w w:val="105"/>
                <w:sz w:val="12"/>
              </w:rPr>
              <w:t>ASSISTANCE</w:t>
            </w:r>
            <w:r>
              <w:rPr>
                <w:b/>
                <w:color w:val="231F20"/>
                <w:spacing w:val="2"/>
                <w:w w:val="105"/>
                <w:sz w:val="12"/>
              </w:rPr>
              <w:t> </w:t>
            </w:r>
            <w:r>
              <w:rPr>
                <w:b/>
                <w:color w:val="231F20"/>
                <w:spacing w:val="-2"/>
                <w:w w:val="105"/>
                <w:sz w:val="12"/>
              </w:rPr>
              <w:t>CLUSTER</w:t>
            </w:r>
          </w:p>
        </w:tc>
        <w:tc>
          <w:tcPr>
            <w:tcW w:w="7940" w:type="dxa"/>
            <w:gridSpan w:val="4"/>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2" w:lineRule="exact" w:before="8"/>
              <w:ind w:right="66"/>
              <w:jc w:val="right"/>
              <w:rPr>
                <w:b/>
                <w:sz w:val="12"/>
              </w:rPr>
            </w:pPr>
            <w:r>
              <w:rPr>
                <w:b/>
                <w:color w:val="231F20"/>
                <w:w w:val="104"/>
                <w:sz w:val="12"/>
              </w:rPr>
              <w:t>-</w:t>
            </w:r>
          </w:p>
        </w:tc>
        <w:tc>
          <w:tcPr>
            <w:tcW w:w="152"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2" w:lineRule="exact" w:before="8"/>
              <w:ind w:right="63"/>
              <w:jc w:val="right"/>
              <w:rPr>
                <w:b/>
                <w:sz w:val="12"/>
              </w:rPr>
            </w:pPr>
            <w:r>
              <w:rPr>
                <w:b/>
                <w:color w:val="231F20"/>
                <w:spacing w:val="-2"/>
                <w:w w:val="105"/>
                <w:sz w:val="12"/>
              </w:rPr>
              <w:t>5,567,763</w:t>
            </w:r>
          </w:p>
        </w:tc>
      </w:tr>
      <w:tr>
        <w:trPr>
          <w:trHeight w:val="333" w:hRule="atLeast"/>
        </w:trPr>
        <w:tc>
          <w:tcPr>
            <w:tcW w:w="4029" w:type="dxa"/>
          </w:tcPr>
          <w:p>
            <w:pPr>
              <w:pStyle w:val="TableParagraph"/>
              <w:spacing w:before="122"/>
              <w:ind w:left="33"/>
              <w:rPr>
                <w:b/>
                <w:sz w:val="12"/>
              </w:rPr>
            </w:pPr>
            <w:r>
              <w:rPr>
                <w:b/>
                <w:color w:val="231F20"/>
                <w:w w:val="105"/>
                <w:sz w:val="12"/>
              </w:rPr>
              <w:t>TRIO</w:t>
            </w:r>
            <w:r>
              <w:rPr>
                <w:b/>
                <w:color w:val="231F20"/>
                <w:spacing w:val="-5"/>
                <w:w w:val="105"/>
                <w:sz w:val="12"/>
              </w:rPr>
              <w:t> </w:t>
            </w:r>
            <w:r>
              <w:rPr>
                <w:b/>
                <w:color w:val="231F20"/>
                <w:spacing w:val="-2"/>
                <w:w w:val="105"/>
                <w:sz w:val="12"/>
              </w:rPr>
              <w:t>CLUSTER</w:t>
            </w:r>
          </w:p>
        </w:tc>
        <w:tc>
          <w:tcPr>
            <w:tcW w:w="7940" w:type="dxa"/>
            <w:gridSpan w:val="4"/>
          </w:tcPr>
          <w:p>
            <w:pPr>
              <w:pStyle w:val="TableParagraph"/>
              <w:rPr>
                <w:rFonts w:ascii="Times New Roman"/>
                <w:sz w:val="12"/>
              </w:rPr>
            </w:pPr>
          </w:p>
        </w:tc>
        <w:tc>
          <w:tcPr>
            <w:tcW w:w="1129" w:type="dxa"/>
            <w:tcBorders>
              <w:top w:val="single" w:sz="8" w:space="0" w:color="231F20"/>
            </w:tcBorders>
          </w:tcPr>
          <w:p>
            <w:pPr>
              <w:pStyle w:val="TableParagraph"/>
              <w:rPr>
                <w:rFonts w:ascii="Times New Roman"/>
                <w:sz w:val="12"/>
              </w:rPr>
            </w:pPr>
          </w:p>
        </w:tc>
        <w:tc>
          <w:tcPr>
            <w:tcW w:w="152" w:type="dxa"/>
          </w:tcPr>
          <w:p>
            <w:pPr>
              <w:pStyle w:val="TableParagraph"/>
              <w:rPr>
                <w:rFonts w:ascii="Times New Roman"/>
                <w:sz w:val="12"/>
              </w:rPr>
            </w:pPr>
          </w:p>
        </w:tc>
        <w:tc>
          <w:tcPr>
            <w:tcW w:w="1129" w:type="dxa"/>
            <w:tcBorders>
              <w:top w:val="single" w:sz="8" w:space="0" w:color="231F20"/>
            </w:tcBorders>
          </w:tcPr>
          <w:p>
            <w:pPr>
              <w:pStyle w:val="TableParagraph"/>
              <w:rPr>
                <w:rFonts w:ascii="Times New Roman"/>
                <w:sz w:val="12"/>
              </w:rPr>
            </w:pPr>
          </w:p>
        </w:tc>
      </w:tr>
      <w:tr>
        <w:trPr>
          <w:trHeight w:val="213" w:hRule="atLeast"/>
        </w:trPr>
        <w:tc>
          <w:tcPr>
            <w:tcW w:w="4029" w:type="dxa"/>
          </w:tcPr>
          <w:p>
            <w:pPr>
              <w:pStyle w:val="TableParagraph"/>
              <w:spacing w:line="119" w:lineRule="exact" w:before="74"/>
              <w:ind w:left="33"/>
              <w:rPr>
                <w:b/>
                <w:sz w:val="12"/>
              </w:rPr>
            </w:pPr>
            <w:r>
              <w:rPr>
                <w:b/>
                <w:color w:val="231F20"/>
                <w:w w:val="105"/>
                <w:sz w:val="12"/>
              </w:rPr>
              <w:t>U.S.</w:t>
            </w:r>
            <w:r>
              <w:rPr>
                <w:b/>
                <w:color w:val="231F20"/>
                <w:spacing w:val="-5"/>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6"/>
                <w:w w:val="105"/>
                <w:sz w:val="12"/>
              </w:rPr>
              <w:t> </w:t>
            </w:r>
            <w:r>
              <w:rPr>
                <w:b/>
                <w:color w:val="231F20"/>
                <w:spacing w:val="-2"/>
                <w:w w:val="105"/>
                <w:sz w:val="12"/>
              </w:rPr>
              <w:t>Education</w:t>
            </w:r>
          </w:p>
        </w:tc>
        <w:tc>
          <w:tcPr>
            <w:tcW w:w="7940" w:type="dxa"/>
            <w:gridSpan w:val="4"/>
          </w:tcPr>
          <w:p>
            <w:pPr>
              <w:pStyle w:val="TableParagraph"/>
              <w:rPr>
                <w:rFonts w:ascii="Times New Roman"/>
                <w:sz w:val="12"/>
              </w:rPr>
            </w:pPr>
          </w:p>
        </w:tc>
        <w:tc>
          <w:tcPr>
            <w:tcW w:w="1129" w:type="dxa"/>
          </w:tcPr>
          <w:p>
            <w:pPr>
              <w:pStyle w:val="TableParagraph"/>
              <w:rPr>
                <w:rFonts w:ascii="Times New Roman"/>
                <w:sz w:val="12"/>
              </w:rPr>
            </w:pPr>
          </w:p>
        </w:tc>
        <w:tc>
          <w:tcPr>
            <w:tcW w:w="152" w:type="dxa"/>
          </w:tcPr>
          <w:p>
            <w:pPr>
              <w:pStyle w:val="TableParagraph"/>
              <w:rPr>
                <w:rFonts w:ascii="Times New Roman"/>
                <w:sz w:val="12"/>
              </w:rPr>
            </w:pPr>
          </w:p>
        </w:tc>
        <w:tc>
          <w:tcPr>
            <w:tcW w:w="1129" w:type="dxa"/>
          </w:tcPr>
          <w:p>
            <w:pPr>
              <w:pStyle w:val="TableParagraph"/>
              <w:rPr>
                <w:rFonts w:ascii="Times New Roman"/>
                <w:sz w:val="12"/>
              </w:rPr>
            </w:pPr>
          </w:p>
        </w:tc>
      </w:tr>
      <w:tr>
        <w:trPr>
          <w:trHeight w:val="171" w:hRule="atLeast"/>
        </w:trPr>
        <w:tc>
          <w:tcPr>
            <w:tcW w:w="4029" w:type="dxa"/>
          </w:tcPr>
          <w:p>
            <w:pPr>
              <w:pStyle w:val="TableParagraph"/>
              <w:spacing w:line="119" w:lineRule="exact" w:before="32"/>
              <w:ind w:left="202"/>
              <w:rPr>
                <w:sz w:val="12"/>
              </w:rPr>
            </w:pPr>
            <w:r>
              <w:rPr>
                <w:color w:val="231F20"/>
                <w:w w:val="105"/>
                <w:sz w:val="12"/>
              </w:rPr>
              <w:t>Direct</w:t>
            </w:r>
            <w:r>
              <w:rPr>
                <w:color w:val="231F20"/>
                <w:spacing w:val="-8"/>
                <w:w w:val="105"/>
                <w:sz w:val="12"/>
              </w:rPr>
              <w:t> </w:t>
            </w:r>
            <w:r>
              <w:rPr>
                <w:color w:val="231F20"/>
                <w:spacing w:val="-2"/>
                <w:w w:val="105"/>
                <w:sz w:val="12"/>
              </w:rPr>
              <w:t>Awards</w:t>
            </w:r>
          </w:p>
        </w:tc>
        <w:tc>
          <w:tcPr>
            <w:tcW w:w="1741" w:type="dxa"/>
          </w:tcPr>
          <w:p>
            <w:pPr>
              <w:pStyle w:val="TableParagraph"/>
              <w:rPr>
                <w:rFonts w:ascii="Times New Roman"/>
                <w:sz w:val="10"/>
              </w:rPr>
            </w:pPr>
          </w:p>
        </w:tc>
        <w:tc>
          <w:tcPr>
            <w:tcW w:w="2279" w:type="dxa"/>
          </w:tcPr>
          <w:p>
            <w:pPr>
              <w:pStyle w:val="TableParagraph"/>
              <w:rPr>
                <w:rFonts w:ascii="Times New Roman"/>
                <w:sz w:val="10"/>
              </w:rPr>
            </w:pPr>
          </w:p>
        </w:tc>
        <w:tc>
          <w:tcPr>
            <w:tcW w:w="2767" w:type="dxa"/>
          </w:tcPr>
          <w:p>
            <w:pPr>
              <w:pStyle w:val="TableParagraph"/>
              <w:rPr>
                <w:rFonts w:ascii="Times New Roman"/>
                <w:sz w:val="10"/>
              </w:rPr>
            </w:pPr>
          </w:p>
        </w:tc>
        <w:tc>
          <w:tcPr>
            <w:tcW w:w="1153" w:type="dxa"/>
          </w:tcPr>
          <w:p>
            <w:pPr>
              <w:pStyle w:val="TableParagraph"/>
              <w:rPr>
                <w:rFonts w:ascii="Times New Roman"/>
                <w:sz w:val="10"/>
              </w:rPr>
            </w:pPr>
          </w:p>
        </w:tc>
        <w:tc>
          <w:tcPr>
            <w:tcW w:w="1129" w:type="dxa"/>
          </w:tcPr>
          <w:p>
            <w:pPr>
              <w:pStyle w:val="TableParagraph"/>
              <w:rPr>
                <w:rFonts w:ascii="Times New Roman"/>
                <w:sz w:val="10"/>
              </w:rPr>
            </w:pPr>
          </w:p>
        </w:tc>
        <w:tc>
          <w:tcPr>
            <w:tcW w:w="152" w:type="dxa"/>
          </w:tcPr>
          <w:p>
            <w:pPr>
              <w:pStyle w:val="TableParagraph"/>
              <w:rPr>
                <w:rFonts w:ascii="Times New Roman"/>
                <w:sz w:val="10"/>
              </w:rPr>
            </w:pPr>
          </w:p>
        </w:tc>
        <w:tc>
          <w:tcPr>
            <w:tcW w:w="1129" w:type="dxa"/>
          </w:tcPr>
          <w:p>
            <w:pPr>
              <w:pStyle w:val="TableParagraph"/>
              <w:rPr>
                <w:rFonts w:ascii="Times New Roman"/>
                <w:sz w:val="10"/>
              </w:rPr>
            </w:pPr>
          </w:p>
        </w:tc>
      </w:tr>
      <w:tr>
        <w:trPr>
          <w:trHeight w:val="184" w:hRule="atLeast"/>
        </w:trPr>
        <w:tc>
          <w:tcPr>
            <w:tcW w:w="4029" w:type="dxa"/>
          </w:tcPr>
          <w:p>
            <w:pPr>
              <w:pStyle w:val="TableParagraph"/>
              <w:spacing w:before="26"/>
              <w:ind w:left="373"/>
              <w:rPr>
                <w:sz w:val="12"/>
              </w:rPr>
            </w:pPr>
            <w:r>
              <w:rPr>
                <w:color w:val="231F20"/>
                <w:w w:val="105"/>
                <w:sz w:val="12"/>
              </w:rPr>
              <w:t>TRIO</w:t>
            </w:r>
            <w:r>
              <w:rPr>
                <w:color w:val="231F20"/>
                <w:spacing w:val="-7"/>
                <w:w w:val="105"/>
                <w:sz w:val="12"/>
              </w:rPr>
              <w:t> </w:t>
            </w:r>
            <w:r>
              <w:rPr>
                <w:color w:val="231F20"/>
                <w:w w:val="105"/>
                <w:sz w:val="12"/>
              </w:rPr>
              <w:t>Upward</w:t>
            </w:r>
            <w:r>
              <w:rPr>
                <w:color w:val="231F20"/>
                <w:spacing w:val="-7"/>
                <w:w w:val="105"/>
                <w:sz w:val="12"/>
              </w:rPr>
              <w:t> </w:t>
            </w:r>
            <w:r>
              <w:rPr>
                <w:color w:val="231F20"/>
                <w:spacing w:val="-2"/>
                <w:w w:val="105"/>
                <w:sz w:val="12"/>
              </w:rPr>
              <w:t>Bound</w:t>
            </w:r>
          </w:p>
        </w:tc>
        <w:tc>
          <w:tcPr>
            <w:tcW w:w="1741" w:type="dxa"/>
          </w:tcPr>
          <w:p>
            <w:pPr>
              <w:pStyle w:val="TableParagraph"/>
              <w:spacing w:line="132" w:lineRule="exact" w:before="32"/>
              <w:ind w:left="774"/>
              <w:rPr>
                <w:sz w:val="12"/>
              </w:rPr>
            </w:pPr>
            <w:r>
              <w:rPr>
                <w:color w:val="231F20"/>
                <w:spacing w:val="-4"/>
                <w:w w:val="105"/>
                <w:sz w:val="12"/>
              </w:rPr>
              <w:t>RMSA</w:t>
            </w:r>
          </w:p>
        </w:tc>
        <w:tc>
          <w:tcPr>
            <w:tcW w:w="5046" w:type="dxa"/>
            <w:gridSpan w:val="2"/>
          </w:tcPr>
          <w:p>
            <w:pPr>
              <w:pStyle w:val="TableParagraph"/>
              <w:spacing w:before="26"/>
              <w:ind w:left="2774"/>
              <w:rPr>
                <w:sz w:val="12"/>
              </w:rPr>
            </w:pPr>
            <w:r>
              <w:rPr>
                <w:color w:val="231F20"/>
                <w:spacing w:val="-2"/>
                <w:w w:val="105"/>
                <w:sz w:val="12"/>
              </w:rPr>
              <w:t>P047M180465</w:t>
            </w:r>
          </w:p>
        </w:tc>
        <w:tc>
          <w:tcPr>
            <w:tcW w:w="1153" w:type="dxa"/>
          </w:tcPr>
          <w:p>
            <w:pPr>
              <w:pStyle w:val="TableParagraph"/>
              <w:spacing w:line="132" w:lineRule="exact" w:before="32"/>
              <w:ind w:left="331" w:right="326"/>
              <w:jc w:val="center"/>
              <w:rPr>
                <w:sz w:val="12"/>
              </w:rPr>
            </w:pPr>
            <w:r>
              <w:rPr>
                <w:color w:val="231F20"/>
                <w:spacing w:val="-2"/>
                <w:w w:val="105"/>
                <w:sz w:val="12"/>
              </w:rPr>
              <w:t>84.047</w:t>
            </w:r>
          </w:p>
        </w:tc>
        <w:tc>
          <w:tcPr>
            <w:tcW w:w="1129" w:type="dxa"/>
          </w:tcPr>
          <w:p>
            <w:pPr>
              <w:pStyle w:val="TableParagraph"/>
              <w:spacing w:line="132" w:lineRule="exact" w:before="32"/>
              <w:ind w:right="66"/>
              <w:jc w:val="right"/>
              <w:rPr>
                <w:sz w:val="12"/>
              </w:rPr>
            </w:pPr>
            <w:r>
              <w:rPr>
                <w:color w:val="231F20"/>
                <w:w w:val="104"/>
                <w:sz w:val="12"/>
              </w:rPr>
              <w:t>-</w:t>
            </w:r>
          </w:p>
        </w:tc>
        <w:tc>
          <w:tcPr>
            <w:tcW w:w="152" w:type="dxa"/>
          </w:tcPr>
          <w:p>
            <w:pPr>
              <w:pStyle w:val="TableParagraph"/>
              <w:rPr>
                <w:rFonts w:ascii="Times New Roman"/>
                <w:sz w:val="12"/>
              </w:rPr>
            </w:pPr>
          </w:p>
        </w:tc>
        <w:tc>
          <w:tcPr>
            <w:tcW w:w="1129" w:type="dxa"/>
          </w:tcPr>
          <w:p>
            <w:pPr>
              <w:pStyle w:val="TableParagraph"/>
              <w:spacing w:line="132" w:lineRule="exact" w:before="32"/>
              <w:ind w:right="64"/>
              <w:jc w:val="right"/>
              <w:rPr>
                <w:sz w:val="12"/>
              </w:rPr>
            </w:pPr>
            <w:r>
              <w:rPr>
                <w:color w:val="231F20"/>
                <w:spacing w:val="-2"/>
                <w:w w:val="105"/>
                <w:sz w:val="12"/>
              </w:rPr>
              <w:t>340,441</w:t>
            </w:r>
          </w:p>
        </w:tc>
      </w:tr>
      <w:tr>
        <w:trPr>
          <w:trHeight w:val="163" w:hRule="atLeast"/>
        </w:trPr>
        <w:tc>
          <w:tcPr>
            <w:tcW w:w="4029" w:type="dxa"/>
          </w:tcPr>
          <w:p>
            <w:pPr>
              <w:pStyle w:val="TableParagraph"/>
              <w:spacing w:line="130" w:lineRule="exact" w:before="14"/>
              <w:ind w:left="372"/>
              <w:rPr>
                <w:sz w:val="12"/>
              </w:rPr>
            </w:pPr>
            <w:r>
              <w:rPr>
                <w:color w:val="231F20"/>
                <w:w w:val="105"/>
                <w:sz w:val="12"/>
              </w:rPr>
              <w:t>TRIO</w:t>
            </w:r>
            <w:r>
              <w:rPr>
                <w:color w:val="231F20"/>
                <w:spacing w:val="-7"/>
                <w:w w:val="105"/>
                <w:sz w:val="12"/>
              </w:rPr>
              <w:t> </w:t>
            </w:r>
            <w:r>
              <w:rPr>
                <w:color w:val="231F20"/>
                <w:w w:val="105"/>
                <w:sz w:val="12"/>
              </w:rPr>
              <w:t>Upward</w:t>
            </w:r>
            <w:r>
              <w:rPr>
                <w:color w:val="231F20"/>
                <w:spacing w:val="-7"/>
                <w:w w:val="105"/>
                <w:sz w:val="12"/>
              </w:rPr>
              <w:t> </w:t>
            </w:r>
            <w:r>
              <w:rPr>
                <w:color w:val="231F20"/>
                <w:spacing w:val="-2"/>
                <w:w w:val="105"/>
                <w:sz w:val="12"/>
              </w:rPr>
              <w:t>Bound</w:t>
            </w:r>
          </w:p>
        </w:tc>
        <w:tc>
          <w:tcPr>
            <w:tcW w:w="1741" w:type="dxa"/>
          </w:tcPr>
          <w:p>
            <w:pPr>
              <w:pStyle w:val="TableParagraph"/>
              <w:spacing w:line="124" w:lineRule="exact" w:before="20"/>
              <w:ind w:left="774"/>
              <w:rPr>
                <w:sz w:val="12"/>
              </w:rPr>
            </w:pPr>
            <w:r>
              <w:rPr>
                <w:color w:val="231F20"/>
                <w:spacing w:val="-4"/>
                <w:w w:val="105"/>
                <w:sz w:val="12"/>
              </w:rPr>
              <w:t>RMSS</w:t>
            </w:r>
          </w:p>
        </w:tc>
        <w:tc>
          <w:tcPr>
            <w:tcW w:w="5046" w:type="dxa"/>
            <w:gridSpan w:val="2"/>
          </w:tcPr>
          <w:p>
            <w:pPr>
              <w:pStyle w:val="TableParagraph"/>
              <w:spacing w:line="130" w:lineRule="exact" w:before="14"/>
              <w:ind w:left="2774"/>
              <w:rPr>
                <w:sz w:val="12"/>
              </w:rPr>
            </w:pPr>
            <w:r>
              <w:rPr>
                <w:color w:val="231F20"/>
                <w:spacing w:val="-2"/>
                <w:w w:val="105"/>
                <w:sz w:val="12"/>
              </w:rPr>
              <w:t>P047M170452</w:t>
            </w:r>
          </w:p>
        </w:tc>
        <w:tc>
          <w:tcPr>
            <w:tcW w:w="1153" w:type="dxa"/>
          </w:tcPr>
          <w:p>
            <w:pPr>
              <w:pStyle w:val="TableParagraph"/>
              <w:spacing w:line="124" w:lineRule="exact" w:before="20"/>
              <w:ind w:left="330" w:right="326"/>
              <w:jc w:val="center"/>
              <w:rPr>
                <w:sz w:val="12"/>
              </w:rPr>
            </w:pPr>
            <w:r>
              <w:rPr>
                <w:color w:val="231F20"/>
                <w:spacing w:val="-2"/>
                <w:w w:val="105"/>
                <w:sz w:val="12"/>
              </w:rPr>
              <w:t>84.047</w:t>
            </w:r>
          </w:p>
        </w:tc>
        <w:tc>
          <w:tcPr>
            <w:tcW w:w="1129" w:type="dxa"/>
            <w:tcBorders>
              <w:bottom w:val="single" w:sz="8" w:space="0" w:color="231F20"/>
            </w:tcBorders>
          </w:tcPr>
          <w:p>
            <w:pPr>
              <w:pStyle w:val="TableParagraph"/>
              <w:spacing w:line="124" w:lineRule="exact" w:before="20"/>
              <w:ind w:right="67"/>
              <w:jc w:val="right"/>
              <w:rPr>
                <w:sz w:val="12"/>
              </w:rPr>
            </w:pPr>
            <w:r>
              <w:rPr>
                <w:color w:val="231F20"/>
                <w:w w:val="104"/>
                <w:sz w:val="12"/>
              </w:rPr>
              <w:t>-</w:t>
            </w:r>
          </w:p>
        </w:tc>
        <w:tc>
          <w:tcPr>
            <w:tcW w:w="152" w:type="dxa"/>
          </w:tcPr>
          <w:p>
            <w:pPr>
              <w:pStyle w:val="TableParagraph"/>
              <w:rPr>
                <w:rFonts w:ascii="Times New Roman"/>
                <w:sz w:val="10"/>
              </w:rPr>
            </w:pPr>
          </w:p>
        </w:tc>
        <w:tc>
          <w:tcPr>
            <w:tcW w:w="1129" w:type="dxa"/>
            <w:tcBorders>
              <w:bottom w:val="single" w:sz="8" w:space="0" w:color="231F20"/>
            </w:tcBorders>
          </w:tcPr>
          <w:p>
            <w:pPr>
              <w:pStyle w:val="TableParagraph"/>
              <w:spacing w:line="124" w:lineRule="exact" w:before="20"/>
              <w:ind w:right="64"/>
              <w:jc w:val="right"/>
              <w:rPr>
                <w:sz w:val="12"/>
              </w:rPr>
            </w:pPr>
            <w:r>
              <w:rPr>
                <w:color w:val="231F20"/>
                <w:spacing w:val="-2"/>
                <w:w w:val="105"/>
                <w:sz w:val="12"/>
              </w:rPr>
              <w:t>313,668</w:t>
            </w:r>
          </w:p>
        </w:tc>
      </w:tr>
      <w:tr>
        <w:trPr>
          <w:trHeight w:val="150" w:hRule="atLeast"/>
        </w:trPr>
        <w:tc>
          <w:tcPr>
            <w:tcW w:w="4029" w:type="dxa"/>
          </w:tcPr>
          <w:p>
            <w:pPr>
              <w:pStyle w:val="TableParagraph"/>
              <w:spacing w:line="122" w:lineRule="exact" w:before="8"/>
              <w:ind w:left="33"/>
              <w:rPr>
                <w:b/>
                <w:sz w:val="12"/>
              </w:rPr>
            </w:pPr>
            <w:r>
              <w:rPr>
                <w:b/>
                <w:color w:val="231F20"/>
                <w:w w:val="105"/>
                <w:sz w:val="12"/>
              </w:rPr>
              <w:t>TOTAL</w:t>
            </w:r>
            <w:r>
              <w:rPr>
                <w:b/>
                <w:color w:val="231F20"/>
                <w:spacing w:val="-7"/>
                <w:w w:val="105"/>
                <w:sz w:val="12"/>
              </w:rPr>
              <w:t> </w:t>
            </w:r>
            <w:r>
              <w:rPr>
                <w:b/>
                <w:color w:val="231F20"/>
                <w:w w:val="105"/>
                <w:sz w:val="12"/>
              </w:rPr>
              <w:t>TRIO</w:t>
            </w:r>
            <w:r>
              <w:rPr>
                <w:b/>
                <w:color w:val="231F20"/>
                <w:spacing w:val="-6"/>
                <w:w w:val="105"/>
                <w:sz w:val="12"/>
              </w:rPr>
              <w:t> </w:t>
            </w:r>
            <w:r>
              <w:rPr>
                <w:b/>
                <w:color w:val="231F20"/>
                <w:spacing w:val="-2"/>
                <w:w w:val="105"/>
                <w:sz w:val="12"/>
              </w:rPr>
              <w:t>CLUSTER</w:t>
            </w:r>
          </w:p>
        </w:tc>
        <w:tc>
          <w:tcPr>
            <w:tcW w:w="1741" w:type="dxa"/>
          </w:tcPr>
          <w:p>
            <w:pPr>
              <w:pStyle w:val="TableParagraph"/>
              <w:rPr>
                <w:rFonts w:ascii="Times New Roman"/>
                <w:sz w:val="8"/>
              </w:rPr>
            </w:pPr>
          </w:p>
        </w:tc>
        <w:tc>
          <w:tcPr>
            <w:tcW w:w="5046" w:type="dxa"/>
            <w:gridSpan w:val="2"/>
          </w:tcPr>
          <w:p>
            <w:pPr>
              <w:pStyle w:val="TableParagraph"/>
              <w:rPr>
                <w:rFonts w:ascii="Times New Roman"/>
                <w:sz w:val="8"/>
              </w:rPr>
            </w:pPr>
          </w:p>
        </w:tc>
        <w:tc>
          <w:tcPr>
            <w:tcW w:w="1153"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2" w:lineRule="exact" w:before="8"/>
              <w:ind w:right="66"/>
              <w:jc w:val="right"/>
              <w:rPr>
                <w:b/>
                <w:sz w:val="12"/>
              </w:rPr>
            </w:pPr>
            <w:r>
              <w:rPr>
                <w:b/>
                <w:color w:val="231F20"/>
                <w:w w:val="104"/>
                <w:sz w:val="12"/>
              </w:rPr>
              <w:t>-</w:t>
            </w:r>
          </w:p>
        </w:tc>
        <w:tc>
          <w:tcPr>
            <w:tcW w:w="152"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2" w:lineRule="exact" w:before="8"/>
              <w:ind w:right="64"/>
              <w:jc w:val="right"/>
              <w:rPr>
                <w:b/>
                <w:sz w:val="12"/>
              </w:rPr>
            </w:pPr>
            <w:r>
              <w:rPr>
                <w:b/>
                <w:color w:val="231F20"/>
                <w:spacing w:val="-2"/>
                <w:w w:val="105"/>
                <w:sz w:val="12"/>
              </w:rPr>
              <w:t>654,109</w:t>
            </w:r>
          </w:p>
        </w:tc>
      </w:tr>
      <w:tr>
        <w:trPr>
          <w:trHeight w:val="262" w:hRule="atLeast"/>
        </w:trPr>
        <w:tc>
          <w:tcPr>
            <w:tcW w:w="4029" w:type="dxa"/>
          </w:tcPr>
          <w:p>
            <w:pPr>
              <w:pStyle w:val="TableParagraph"/>
              <w:spacing w:line="119" w:lineRule="exact" w:before="123"/>
              <w:ind w:left="33"/>
              <w:rPr>
                <w:b/>
                <w:sz w:val="12"/>
              </w:rPr>
            </w:pPr>
            <w:r>
              <w:rPr>
                <w:b/>
                <w:color w:val="231F20"/>
                <w:w w:val="105"/>
                <w:sz w:val="12"/>
              </w:rPr>
              <w:t>U.S.</w:t>
            </w:r>
            <w:r>
              <w:rPr>
                <w:b/>
                <w:color w:val="231F20"/>
                <w:spacing w:val="-5"/>
                <w:w w:val="105"/>
                <w:sz w:val="12"/>
              </w:rPr>
              <w:t> </w:t>
            </w:r>
            <w:r>
              <w:rPr>
                <w:b/>
                <w:color w:val="231F20"/>
                <w:w w:val="105"/>
                <w:sz w:val="12"/>
              </w:rPr>
              <w:t>Department</w:t>
            </w:r>
            <w:r>
              <w:rPr>
                <w:b/>
                <w:color w:val="231F20"/>
                <w:spacing w:val="-4"/>
                <w:w w:val="105"/>
                <w:sz w:val="12"/>
              </w:rPr>
              <w:t> </w:t>
            </w:r>
            <w:r>
              <w:rPr>
                <w:b/>
                <w:color w:val="231F20"/>
                <w:w w:val="105"/>
                <w:sz w:val="12"/>
              </w:rPr>
              <w:t>of</w:t>
            </w:r>
            <w:r>
              <w:rPr>
                <w:b/>
                <w:color w:val="231F20"/>
                <w:spacing w:val="-6"/>
                <w:w w:val="105"/>
                <w:sz w:val="12"/>
              </w:rPr>
              <w:t> </w:t>
            </w:r>
            <w:r>
              <w:rPr>
                <w:b/>
                <w:color w:val="231F20"/>
                <w:spacing w:val="-2"/>
                <w:w w:val="105"/>
                <w:sz w:val="12"/>
              </w:rPr>
              <w:t>Education</w:t>
            </w:r>
          </w:p>
        </w:tc>
        <w:tc>
          <w:tcPr>
            <w:tcW w:w="1741" w:type="dxa"/>
          </w:tcPr>
          <w:p>
            <w:pPr>
              <w:pStyle w:val="TableParagraph"/>
              <w:rPr>
                <w:rFonts w:ascii="Times New Roman"/>
                <w:sz w:val="12"/>
              </w:rPr>
            </w:pPr>
          </w:p>
        </w:tc>
        <w:tc>
          <w:tcPr>
            <w:tcW w:w="5046" w:type="dxa"/>
            <w:gridSpan w:val="2"/>
          </w:tcPr>
          <w:p>
            <w:pPr>
              <w:pStyle w:val="TableParagraph"/>
              <w:rPr>
                <w:rFonts w:ascii="Times New Roman"/>
                <w:sz w:val="12"/>
              </w:rPr>
            </w:pPr>
          </w:p>
        </w:tc>
        <w:tc>
          <w:tcPr>
            <w:tcW w:w="1153" w:type="dxa"/>
          </w:tcPr>
          <w:p>
            <w:pPr>
              <w:pStyle w:val="TableParagraph"/>
              <w:rPr>
                <w:rFonts w:ascii="Times New Roman"/>
                <w:sz w:val="12"/>
              </w:rPr>
            </w:pPr>
          </w:p>
        </w:tc>
        <w:tc>
          <w:tcPr>
            <w:tcW w:w="1129" w:type="dxa"/>
            <w:tcBorders>
              <w:top w:val="single" w:sz="8" w:space="0" w:color="231F20"/>
            </w:tcBorders>
          </w:tcPr>
          <w:p>
            <w:pPr>
              <w:pStyle w:val="TableParagraph"/>
              <w:rPr>
                <w:rFonts w:ascii="Times New Roman"/>
                <w:sz w:val="12"/>
              </w:rPr>
            </w:pPr>
          </w:p>
        </w:tc>
        <w:tc>
          <w:tcPr>
            <w:tcW w:w="152" w:type="dxa"/>
          </w:tcPr>
          <w:p>
            <w:pPr>
              <w:pStyle w:val="TableParagraph"/>
              <w:rPr>
                <w:rFonts w:ascii="Times New Roman"/>
                <w:sz w:val="12"/>
              </w:rPr>
            </w:pPr>
          </w:p>
        </w:tc>
        <w:tc>
          <w:tcPr>
            <w:tcW w:w="1129" w:type="dxa"/>
            <w:tcBorders>
              <w:top w:val="single" w:sz="8" w:space="0" w:color="231F20"/>
            </w:tcBorders>
          </w:tcPr>
          <w:p>
            <w:pPr>
              <w:pStyle w:val="TableParagraph"/>
              <w:rPr>
                <w:rFonts w:ascii="Times New Roman"/>
                <w:sz w:val="12"/>
              </w:rPr>
            </w:pPr>
          </w:p>
        </w:tc>
      </w:tr>
      <w:tr>
        <w:trPr>
          <w:trHeight w:val="170" w:hRule="atLeast"/>
        </w:trPr>
        <w:tc>
          <w:tcPr>
            <w:tcW w:w="4029" w:type="dxa"/>
          </w:tcPr>
          <w:p>
            <w:pPr>
              <w:pStyle w:val="TableParagraph"/>
              <w:spacing w:line="119" w:lineRule="exact" w:before="31"/>
              <w:ind w:left="202"/>
              <w:rPr>
                <w:sz w:val="12"/>
              </w:rPr>
            </w:pPr>
            <w:r>
              <w:rPr>
                <w:color w:val="231F20"/>
                <w:w w:val="105"/>
                <w:sz w:val="12"/>
              </w:rPr>
              <w:t>Direct</w:t>
            </w:r>
            <w:r>
              <w:rPr>
                <w:color w:val="231F20"/>
                <w:spacing w:val="-8"/>
                <w:w w:val="105"/>
                <w:sz w:val="12"/>
              </w:rPr>
              <w:t> </w:t>
            </w:r>
            <w:r>
              <w:rPr>
                <w:color w:val="231F20"/>
                <w:spacing w:val="-2"/>
                <w:w w:val="105"/>
                <w:sz w:val="12"/>
              </w:rPr>
              <w:t>Awards</w:t>
            </w:r>
          </w:p>
        </w:tc>
        <w:tc>
          <w:tcPr>
            <w:tcW w:w="1741" w:type="dxa"/>
          </w:tcPr>
          <w:p>
            <w:pPr>
              <w:pStyle w:val="TableParagraph"/>
              <w:rPr>
                <w:rFonts w:ascii="Times New Roman"/>
                <w:sz w:val="10"/>
              </w:rPr>
            </w:pPr>
          </w:p>
        </w:tc>
        <w:tc>
          <w:tcPr>
            <w:tcW w:w="2279" w:type="dxa"/>
          </w:tcPr>
          <w:p>
            <w:pPr>
              <w:pStyle w:val="TableParagraph"/>
              <w:rPr>
                <w:rFonts w:ascii="Times New Roman"/>
                <w:sz w:val="10"/>
              </w:rPr>
            </w:pPr>
          </w:p>
        </w:tc>
        <w:tc>
          <w:tcPr>
            <w:tcW w:w="2767" w:type="dxa"/>
          </w:tcPr>
          <w:p>
            <w:pPr>
              <w:pStyle w:val="TableParagraph"/>
              <w:rPr>
                <w:rFonts w:ascii="Times New Roman"/>
                <w:sz w:val="10"/>
              </w:rPr>
            </w:pPr>
          </w:p>
        </w:tc>
        <w:tc>
          <w:tcPr>
            <w:tcW w:w="1153" w:type="dxa"/>
          </w:tcPr>
          <w:p>
            <w:pPr>
              <w:pStyle w:val="TableParagraph"/>
              <w:rPr>
                <w:rFonts w:ascii="Times New Roman"/>
                <w:sz w:val="10"/>
              </w:rPr>
            </w:pPr>
          </w:p>
        </w:tc>
        <w:tc>
          <w:tcPr>
            <w:tcW w:w="1129" w:type="dxa"/>
          </w:tcPr>
          <w:p>
            <w:pPr>
              <w:pStyle w:val="TableParagraph"/>
              <w:rPr>
                <w:rFonts w:ascii="Times New Roman"/>
                <w:sz w:val="10"/>
              </w:rPr>
            </w:pPr>
          </w:p>
        </w:tc>
        <w:tc>
          <w:tcPr>
            <w:tcW w:w="152" w:type="dxa"/>
          </w:tcPr>
          <w:p>
            <w:pPr>
              <w:pStyle w:val="TableParagraph"/>
              <w:rPr>
                <w:rFonts w:ascii="Times New Roman"/>
                <w:sz w:val="10"/>
              </w:rPr>
            </w:pPr>
          </w:p>
        </w:tc>
        <w:tc>
          <w:tcPr>
            <w:tcW w:w="1129" w:type="dxa"/>
          </w:tcPr>
          <w:p>
            <w:pPr>
              <w:pStyle w:val="TableParagraph"/>
              <w:rPr>
                <w:rFonts w:ascii="Times New Roman"/>
                <w:sz w:val="10"/>
              </w:rPr>
            </w:pPr>
          </w:p>
        </w:tc>
      </w:tr>
      <w:tr>
        <w:trPr>
          <w:trHeight w:val="184" w:hRule="atLeast"/>
        </w:trPr>
        <w:tc>
          <w:tcPr>
            <w:tcW w:w="4029" w:type="dxa"/>
          </w:tcPr>
          <w:p>
            <w:pPr>
              <w:pStyle w:val="TableParagraph"/>
              <w:spacing w:line="138" w:lineRule="exact" w:before="26"/>
              <w:ind w:left="372"/>
              <w:rPr>
                <w:sz w:val="12"/>
              </w:rPr>
            </w:pPr>
            <w:r>
              <w:rPr>
                <w:color w:val="231F20"/>
                <w:spacing w:val="-2"/>
                <w:w w:val="105"/>
                <w:sz w:val="12"/>
              </w:rPr>
              <w:t>Higher</w:t>
            </w:r>
            <w:r>
              <w:rPr>
                <w:color w:val="231F20"/>
                <w:spacing w:val="5"/>
                <w:w w:val="105"/>
                <w:sz w:val="12"/>
              </w:rPr>
              <w:t> </w:t>
            </w:r>
            <w:r>
              <w:rPr>
                <w:color w:val="231F20"/>
                <w:spacing w:val="-2"/>
                <w:w w:val="105"/>
                <w:sz w:val="12"/>
              </w:rPr>
              <w:t>Education</w:t>
            </w:r>
            <w:r>
              <w:rPr>
                <w:color w:val="231F20"/>
                <w:spacing w:val="6"/>
                <w:w w:val="105"/>
                <w:sz w:val="12"/>
              </w:rPr>
              <w:t> </w:t>
            </w:r>
            <w:r>
              <w:rPr>
                <w:color w:val="231F20"/>
                <w:spacing w:val="-2"/>
                <w:w w:val="105"/>
                <w:sz w:val="12"/>
              </w:rPr>
              <w:t>Institutional</w:t>
            </w:r>
            <w:r>
              <w:rPr>
                <w:color w:val="231F20"/>
                <w:spacing w:val="7"/>
                <w:w w:val="105"/>
                <w:sz w:val="12"/>
              </w:rPr>
              <w:t> </w:t>
            </w:r>
            <w:r>
              <w:rPr>
                <w:color w:val="231F20"/>
                <w:spacing w:val="-5"/>
                <w:w w:val="105"/>
                <w:sz w:val="12"/>
              </w:rPr>
              <w:t>Aid</w:t>
            </w:r>
          </w:p>
        </w:tc>
        <w:tc>
          <w:tcPr>
            <w:tcW w:w="1741" w:type="dxa"/>
          </w:tcPr>
          <w:p>
            <w:pPr>
              <w:pStyle w:val="TableParagraph"/>
              <w:spacing w:line="132" w:lineRule="exact" w:before="32"/>
              <w:ind w:left="783"/>
              <w:rPr>
                <w:sz w:val="12"/>
              </w:rPr>
            </w:pPr>
            <w:r>
              <w:rPr>
                <w:color w:val="231F20"/>
                <w:spacing w:val="-4"/>
                <w:w w:val="105"/>
                <w:sz w:val="12"/>
              </w:rPr>
              <w:t>RTHE</w:t>
            </w:r>
          </w:p>
        </w:tc>
        <w:tc>
          <w:tcPr>
            <w:tcW w:w="5046" w:type="dxa"/>
            <w:gridSpan w:val="2"/>
          </w:tcPr>
          <w:p>
            <w:pPr>
              <w:pStyle w:val="TableParagraph"/>
              <w:spacing w:line="138" w:lineRule="exact" w:before="26"/>
              <w:ind w:left="2774"/>
              <w:rPr>
                <w:sz w:val="12"/>
              </w:rPr>
            </w:pPr>
            <w:r>
              <w:rPr>
                <w:color w:val="231F20"/>
                <w:spacing w:val="-2"/>
                <w:w w:val="105"/>
                <w:sz w:val="12"/>
              </w:rPr>
              <w:t>P031S180079</w:t>
            </w:r>
          </w:p>
        </w:tc>
        <w:tc>
          <w:tcPr>
            <w:tcW w:w="1153" w:type="dxa"/>
          </w:tcPr>
          <w:p>
            <w:pPr>
              <w:pStyle w:val="TableParagraph"/>
              <w:spacing w:line="132" w:lineRule="exact" w:before="32"/>
              <w:ind w:left="330" w:right="326"/>
              <w:jc w:val="center"/>
              <w:rPr>
                <w:sz w:val="12"/>
              </w:rPr>
            </w:pPr>
            <w:r>
              <w:rPr>
                <w:color w:val="231F20"/>
                <w:spacing w:val="-2"/>
                <w:w w:val="105"/>
                <w:sz w:val="12"/>
              </w:rPr>
              <w:t>84.031</w:t>
            </w:r>
          </w:p>
        </w:tc>
        <w:tc>
          <w:tcPr>
            <w:tcW w:w="1129" w:type="dxa"/>
          </w:tcPr>
          <w:p>
            <w:pPr>
              <w:pStyle w:val="TableParagraph"/>
              <w:spacing w:line="132" w:lineRule="exact" w:before="32"/>
              <w:ind w:right="66"/>
              <w:jc w:val="right"/>
              <w:rPr>
                <w:sz w:val="12"/>
              </w:rPr>
            </w:pPr>
            <w:r>
              <w:rPr>
                <w:color w:val="231F20"/>
                <w:w w:val="104"/>
                <w:sz w:val="12"/>
              </w:rPr>
              <w:t>-</w:t>
            </w:r>
          </w:p>
        </w:tc>
        <w:tc>
          <w:tcPr>
            <w:tcW w:w="152" w:type="dxa"/>
          </w:tcPr>
          <w:p>
            <w:pPr>
              <w:pStyle w:val="TableParagraph"/>
              <w:rPr>
                <w:rFonts w:ascii="Times New Roman"/>
                <w:sz w:val="12"/>
              </w:rPr>
            </w:pPr>
          </w:p>
        </w:tc>
        <w:tc>
          <w:tcPr>
            <w:tcW w:w="1129" w:type="dxa"/>
          </w:tcPr>
          <w:p>
            <w:pPr>
              <w:pStyle w:val="TableParagraph"/>
              <w:spacing w:line="132" w:lineRule="exact" w:before="32"/>
              <w:ind w:right="64"/>
              <w:jc w:val="right"/>
              <w:rPr>
                <w:sz w:val="12"/>
              </w:rPr>
            </w:pPr>
            <w:r>
              <w:rPr>
                <w:color w:val="231F20"/>
                <w:spacing w:val="-2"/>
                <w:w w:val="105"/>
                <w:sz w:val="12"/>
              </w:rPr>
              <w:t>549,788</w:t>
            </w:r>
          </w:p>
        </w:tc>
      </w:tr>
      <w:tr>
        <w:trPr>
          <w:trHeight w:val="171" w:hRule="atLeast"/>
        </w:trPr>
        <w:tc>
          <w:tcPr>
            <w:tcW w:w="4029" w:type="dxa"/>
          </w:tcPr>
          <w:p>
            <w:pPr>
              <w:pStyle w:val="TableParagraph"/>
              <w:spacing w:before="14"/>
              <w:ind w:left="372"/>
              <w:rPr>
                <w:sz w:val="12"/>
              </w:rPr>
            </w:pPr>
            <w:r>
              <w:rPr>
                <w:color w:val="231F20"/>
                <w:spacing w:val="-2"/>
                <w:w w:val="105"/>
                <w:sz w:val="12"/>
              </w:rPr>
              <w:t>COVID-19</w:t>
            </w:r>
            <w:r>
              <w:rPr>
                <w:color w:val="231F20"/>
                <w:spacing w:val="5"/>
                <w:w w:val="105"/>
                <w:sz w:val="12"/>
              </w:rPr>
              <w:t> </w:t>
            </w:r>
            <w:r>
              <w:rPr>
                <w:color w:val="231F20"/>
                <w:spacing w:val="-2"/>
                <w:w w:val="105"/>
                <w:sz w:val="12"/>
              </w:rPr>
              <w:t>-</w:t>
            </w:r>
            <w:r>
              <w:rPr>
                <w:color w:val="231F20"/>
                <w:spacing w:val="5"/>
                <w:w w:val="105"/>
                <w:sz w:val="12"/>
              </w:rPr>
              <w:t> </w:t>
            </w:r>
            <w:r>
              <w:rPr>
                <w:color w:val="231F20"/>
                <w:spacing w:val="-2"/>
                <w:w w:val="105"/>
                <w:sz w:val="12"/>
              </w:rPr>
              <w:t>Education</w:t>
            </w:r>
            <w:r>
              <w:rPr>
                <w:color w:val="231F20"/>
                <w:spacing w:val="5"/>
                <w:w w:val="105"/>
                <w:sz w:val="12"/>
              </w:rPr>
              <w:t> </w:t>
            </w:r>
            <w:r>
              <w:rPr>
                <w:color w:val="231F20"/>
                <w:spacing w:val="-2"/>
                <w:w w:val="105"/>
                <w:sz w:val="12"/>
              </w:rPr>
              <w:t>Stabilization</w:t>
            </w:r>
            <w:r>
              <w:rPr>
                <w:color w:val="231F20"/>
                <w:spacing w:val="5"/>
                <w:w w:val="105"/>
                <w:sz w:val="12"/>
              </w:rPr>
              <w:t> </w:t>
            </w:r>
            <w:r>
              <w:rPr>
                <w:color w:val="231F20"/>
                <w:spacing w:val="-4"/>
                <w:w w:val="105"/>
                <w:sz w:val="12"/>
              </w:rPr>
              <w:t>Fund</w:t>
            </w:r>
          </w:p>
        </w:tc>
        <w:tc>
          <w:tcPr>
            <w:tcW w:w="1741" w:type="dxa"/>
          </w:tcPr>
          <w:p>
            <w:pPr>
              <w:pStyle w:val="TableParagraph"/>
              <w:rPr>
                <w:rFonts w:ascii="Times New Roman"/>
                <w:sz w:val="10"/>
              </w:rPr>
            </w:pPr>
          </w:p>
        </w:tc>
        <w:tc>
          <w:tcPr>
            <w:tcW w:w="5046" w:type="dxa"/>
            <w:gridSpan w:val="2"/>
          </w:tcPr>
          <w:p>
            <w:pPr>
              <w:pStyle w:val="TableParagraph"/>
              <w:rPr>
                <w:rFonts w:ascii="Times New Roman"/>
                <w:sz w:val="10"/>
              </w:rPr>
            </w:pPr>
          </w:p>
        </w:tc>
        <w:tc>
          <w:tcPr>
            <w:tcW w:w="1153" w:type="dxa"/>
          </w:tcPr>
          <w:p>
            <w:pPr>
              <w:pStyle w:val="TableParagraph"/>
              <w:spacing w:line="132" w:lineRule="exact" w:before="20"/>
              <w:ind w:left="331" w:right="326"/>
              <w:jc w:val="center"/>
              <w:rPr>
                <w:sz w:val="12"/>
              </w:rPr>
            </w:pPr>
            <w:r>
              <w:rPr>
                <w:color w:val="231F20"/>
                <w:spacing w:val="-2"/>
                <w:w w:val="105"/>
                <w:sz w:val="12"/>
              </w:rPr>
              <w:t>84.425E</w:t>
            </w:r>
          </w:p>
        </w:tc>
        <w:tc>
          <w:tcPr>
            <w:tcW w:w="1129" w:type="dxa"/>
          </w:tcPr>
          <w:p>
            <w:pPr>
              <w:pStyle w:val="TableParagraph"/>
              <w:spacing w:line="132" w:lineRule="exact" w:before="20"/>
              <w:ind w:right="67"/>
              <w:jc w:val="right"/>
              <w:rPr>
                <w:sz w:val="12"/>
              </w:rPr>
            </w:pPr>
            <w:r>
              <w:rPr>
                <w:color w:val="231F20"/>
                <w:w w:val="104"/>
                <w:sz w:val="12"/>
              </w:rPr>
              <w:t>-</w:t>
            </w:r>
          </w:p>
        </w:tc>
        <w:tc>
          <w:tcPr>
            <w:tcW w:w="152" w:type="dxa"/>
          </w:tcPr>
          <w:p>
            <w:pPr>
              <w:pStyle w:val="TableParagraph"/>
              <w:rPr>
                <w:rFonts w:ascii="Times New Roman"/>
                <w:sz w:val="10"/>
              </w:rPr>
            </w:pPr>
          </w:p>
        </w:tc>
        <w:tc>
          <w:tcPr>
            <w:tcW w:w="1129" w:type="dxa"/>
          </w:tcPr>
          <w:p>
            <w:pPr>
              <w:pStyle w:val="TableParagraph"/>
              <w:spacing w:line="132" w:lineRule="exact" w:before="20"/>
              <w:ind w:right="64"/>
              <w:jc w:val="right"/>
              <w:rPr>
                <w:sz w:val="12"/>
              </w:rPr>
            </w:pPr>
            <w:r>
              <w:rPr>
                <w:color w:val="231F20"/>
                <w:spacing w:val="-2"/>
                <w:w w:val="105"/>
                <w:sz w:val="12"/>
              </w:rPr>
              <w:t>245,662</w:t>
            </w:r>
          </w:p>
        </w:tc>
      </w:tr>
      <w:tr>
        <w:trPr>
          <w:trHeight w:val="171" w:hRule="atLeast"/>
        </w:trPr>
        <w:tc>
          <w:tcPr>
            <w:tcW w:w="4029" w:type="dxa"/>
          </w:tcPr>
          <w:p>
            <w:pPr>
              <w:pStyle w:val="TableParagraph"/>
              <w:spacing w:before="14"/>
              <w:ind w:left="372"/>
              <w:rPr>
                <w:sz w:val="12"/>
              </w:rPr>
            </w:pPr>
            <w:r>
              <w:rPr>
                <w:color w:val="231F20"/>
                <w:spacing w:val="-2"/>
                <w:w w:val="105"/>
                <w:sz w:val="12"/>
              </w:rPr>
              <w:t>COVID-19</w:t>
            </w:r>
            <w:r>
              <w:rPr>
                <w:color w:val="231F20"/>
                <w:spacing w:val="5"/>
                <w:w w:val="105"/>
                <w:sz w:val="12"/>
              </w:rPr>
              <w:t> </w:t>
            </w:r>
            <w:r>
              <w:rPr>
                <w:color w:val="231F20"/>
                <w:spacing w:val="-2"/>
                <w:w w:val="105"/>
                <w:sz w:val="12"/>
              </w:rPr>
              <w:t>-</w:t>
            </w:r>
            <w:r>
              <w:rPr>
                <w:color w:val="231F20"/>
                <w:spacing w:val="5"/>
                <w:w w:val="105"/>
                <w:sz w:val="12"/>
              </w:rPr>
              <w:t> </w:t>
            </w:r>
            <w:r>
              <w:rPr>
                <w:color w:val="231F20"/>
                <w:spacing w:val="-2"/>
                <w:w w:val="105"/>
                <w:sz w:val="12"/>
              </w:rPr>
              <w:t>Education</w:t>
            </w:r>
            <w:r>
              <w:rPr>
                <w:color w:val="231F20"/>
                <w:spacing w:val="5"/>
                <w:w w:val="105"/>
                <w:sz w:val="12"/>
              </w:rPr>
              <w:t> </w:t>
            </w:r>
            <w:r>
              <w:rPr>
                <w:color w:val="231F20"/>
                <w:spacing w:val="-2"/>
                <w:w w:val="105"/>
                <w:sz w:val="12"/>
              </w:rPr>
              <w:t>Stabilization</w:t>
            </w:r>
            <w:r>
              <w:rPr>
                <w:color w:val="231F20"/>
                <w:spacing w:val="5"/>
                <w:w w:val="105"/>
                <w:sz w:val="12"/>
              </w:rPr>
              <w:t> </w:t>
            </w:r>
            <w:r>
              <w:rPr>
                <w:color w:val="231F20"/>
                <w:spacing w:val="-4"/>
                <w:w w:val="105"/>
                <w:sz w:val="12"/>
              </w:rPr>
              <w:t>Fund</w:t>
            </w:r>
          </w:p>
        </w:tc>
        <w:tc>
          <w:tcPr>
            <w:tcW w:w="1741" w:type="dxa"/>
          </w:tcPr>
          <w:p>
            <w:pPr>
              <w:pStyle w:val="TableParagraph"/>
              <w:rPr>
                <w:rFonts w:ascii="Times New Roman"/>
                <w:sz w:val="10"/>
              </w:rPr>
            </w:pPr>
          </w:p>
        </w:tc>
        <w:tc>
          <w:tcPr>
            <w:tcW w:w="5046" w:type="dxa"/>
            <w:gridSpan w:val="2"/>
          </w:tcPr>
          <w:p>
            <w:pPr>
              <w:pStyle w:val="TableParagraph"/>
              <w:rPr>
                <w:rFonts w:ascii="Times New Roman"/>
                <w:sz w:val="10"/>
              </w:rPr>
            </w:pPr>
          </w:p>
        </w:tc>
        <w:tc>
          <w:tcPr>
            <w:tcW w:w="1153" w:type="dxa"/>
          </w:tcPr>
          <w:p>
            <w:pPr>
              <w:pStyle w:val="TableParagraph"/>
              <w:spacing w:line="132" w:lineRule="exact" w:before="20"/>
              <w:ind w:left="331" w:right="326"/>
              <w:jc w:val="center"/>
              <w:rPr>
                <w:sz w:val="12"/>
              </w:rPr>
            </w:pPr>
            <w:r>
              <w:rPr>
                <w:color w:val="231F20"/>
                <w:spacing w:val="-2"/>
                <w:w w:val="105"/>
                <w:sz w:val="12"/>
              </w:rPr>
              <w:t>84.425E</w:t>
            </w:r>
          </w:p>
        </w:tc>
        <w:tc>
          <w:tcPr>
            <w:tcW w:w="1129" w:type="dxa"/>
          </w:tcPr>
          <w:p>
            <w:pPr>
              <w:pStyle w:val="TableParagraph"/>
              <w:spacing w:line="132" w:lineRule="exact" w:before="20"/>
              <w:ind w:right="67"/>
              <w:jc w:val="right"/>
              <w:rPr>
                <w:sz w:val="12"/>
              </w:rPr>
            </w:pPr>
            <w:r>
              <w:rPr>
                <w:color w:val="231F20"/>
                <w:w w:val="104"/>
                <w:sz w:val="12"/>
              </w:rPr>
              <w:t>-</w:t>
            </w:r>
          </w:p>
        </w:tc>
        <w:tc>
          <w:tcPr>
            <w:tcW w:w="152" w:type="dxa"/>
          </w:tcPr>
          <w:p>
            <w:pPr>
              <w:pStyle w:val="TableParagraph"/>
              <w:rPr>
                <w:rFonts w:ascii="Times New Roman"/>
                <w:sz w:val="10"/>
              </w:rPr>
            </w:pPr>
          </w:p>
        </w:tc>
        <w:tc>
          <w:tcPr>
            <w:tcW w:w="1129" w:type="dxa"/>
          </w:tcPr>
          <w:p>
            <w:pPr>
              <w:pStyle w:val="TableParagraph"/>
              <w:spacing w:line="132" w:lineRule="exact" w:before="20"/>
              <w:ind w:right="63"/>
              <w:jc w:val="right"/>
              <w:rPr>
                <w:sz w:val="12"/>
              </w:rPr>
            </w:pPr>
            <w:r>
              <w:rPr>
                <w:color w:val="231F20"/>
                <w:spacing w:val="-2"/>
                <w:w w:val="105"/>
                <w:sz w:val="12"/>
              </w:rPr>
              <w:t>1,873,666</w:t>
            </w:r>
          </w:p>
        </w:tc>
      </w:tr>
      <w:tr>
        <w:trPr>
          <w:trHeight w:val="170" w:hRule="atLeast"/>
        </w:trPr>
        <w:tc>
          <w:tcPr>
            <w:tcW w:w="4029" w:type="dxa"/>
          </w:tcPr>
          <w:p>
            <w:pPr>
              <w:pStyle w:val="TableParagraph"/>
              <w:spacing w:line="137" w:lineRule="exact" w:before="14"/>
              <w:ind w:left="372"/>
              <w:rPr>
                <w:sz w:val="12"/>
              </w:rPr>
            </w:pPr>
            <w:r>
              <w:rPr>
                <w:color w:val="231F20"/>
                <w:spacing w:val="-2"/>
                <w:w w:val="105"/>
                <w:sz w:val="12"/>
              </w:rPr>
              <w:t>COVID-19</w:t>
            </w:r>
            <w:r>
              <w:rPr>
                <w:color w:val="231F20"/>
                <w:spacing w:val="5"/>
                <w:w w:val="105"/>
                <w:sz w:val="12"/>
              </w:rPr>
              <w:t> </w:t>
            </w:r>
            <w:r>
              <w:rPr>
                <w:color w:val="231F20"/>
                <w:spacing w:val="-2"/>
                <w:w w:val="105"/>
                <w:sz w:val="12"/>
              </w:rPr>
              <w:t>-</w:t>
            </w:r>
            <w:r>
              <w:rPr>
                <w:color w:val="231F20"/>
                <w:spacing w:val="5"/>
                <w:w w:val="105"/>
                <w:sz w:val="12"/>
              </w:rPr>
              <w:t> </w:t>
            </w:r>
            <w:r>
              <w:rPr>
                <w:color w:val="231F20"/>
                <w:spacing w:val="-2"/>
                <w:w w:val="105"/>
                <w:sz w:val="12"/>
              </w:rPr>
              <w:t>Education</w:t>
            </w:r>
            <w:r>
              <w:rPr>
                <w:color w:val="231F20"/>
                <w:spacing w:val="5"/>
                <w:w w:val="105"/>
                <w:sz w:val="12"/>
              </w:rPr>
              <w:t> </w:t>
            </w:r>
            <w:r>
              <w:rPr>
                <w:color w:val="231F20"/>
                <w:spacing w:val="-2"/>
                <w:w w:val="105"/>
                <w:sz w:val="12"/>
              </w:rPr>
              <w:t>Stabilization</w:t>
            </w:r>
            <w:r>
              <w:rPr>
                <w:color w:val="231F20"/>
                <w:spacing w:val="5"/>
                <w:w w:val="105"/>
                <w:sz w:val="12"/>
              </w:rPr>
              <w:t> </w:t>
            </w:r>
            <w:r>
              <w:rPr>
                <w:color w:val="231F20"/>
                <w:spacing w:val="-4"/>
                <w:w w:val="105"/>
                <w:sz w:val="12"/>
              </w:rPr>
              <w:t>Fund</w:t>
            </w:r>
          </w:p>
        </w:tc>
        <w:tc>
          <w:tcPr>
            <w:tcW w:w="1741" w:type="dxa"/>
          </w:tcPr>
          <w:p>
            <w:pPr>
              <w:pStyle w:val="TableParagraph"/>
              <w:spacing w:line="132" w:lineRule="exact" w:before="18"/>
              <w:ind w:left="778"/>
              <w:rPr>
                <w:sz w:val="12"/>
              </w:rPr>
            </w:pPr>
            <w:r>
              <w:rPr>
                <w:color w:val="231F20"/>
                <w:spacing w:val="-4"/>
                <w:w w:val="105"/>
                <w:sz w:val="12"/>
              </w:rPr>
              <w:t>RCAR</w:t>
            </w:r>
          </w:p>
        </w:tc>
        <w:tc>
          <w:tcPr>
            <w:tcW w:w="5046" w:type="dxa"/>
            <w:gridSpan w:val="2"/>
          </w:tcPr>
          <w:p>
            <w:pPr>
              <w:pStyle w:val="TableParagraph"/>
              <w:spacing w:line="137" w:lineRule="exact" w:before="14"/>
              <w:ind w:left="2775"/>
              <w:rPr>
                <w:sz w:val="12"/>
              </w:rPr>
            </w:pPr>
            <w:r>
              <w:rPr>
                <w:color w:val="231F20"/>
                <w:spacing w:val="-2"/>
                <w:w w:val="105"/>
                <w:sz w:val="12"/>
              </w:rPr>
              <w:t>P425F201268</w:t>
            </w:r>
          </w:p>
        </w:tc>
        <w:tc>
          <w:tcPr>
            <w:tcW w:w="1153" w:type="dxa"/>
          </w:tcPr>
          <w:p>
            <w:pPr>
              <w:pStyle w:val="TableParagraph"/>
              <w:spacing w:line="132" w:lineRule="exact" w:before="18"/>
              <w:ind w:left="330" w:right="326"/>
              <w:jc w:val="center"/>
              <w:rPr>
                <w:sz w:val="12"/>
              </w:rPr>
            </w:pPr>
            <w:r>
              <w:rPr>
                <w:color w:val="231F20"/>
                <w:spacing w:val="-2"/>
                <w:w w:val="105"/>
                <w:sz w:val="12"/>
              </w:rPr>
              <w:t>84.425F</w:t>
            </w:r>
          </w:p>
        </w:tc>
        <w:tc>
          <w:tcPr>
            <w:tcW w:w="1129" w:type="dxa"/>
          </w:tcPr>
          <w:p>
            <w:pPr>
              <w:pStyle w:val="TableParagraph"/>
              <w:spacing w:line="132" w:lineRule="exact" w:before="18"/>
              <w:ind w:right="66"/>
              <w:jc w:val="right"/>
              <w:rPr>
                <w:sz w:val="12"/>
              </w:rPr>
            </w:pPr>
            <w:r>
              <w:rPr>
                <w:color w:val="231F20"/>
                <w:w w:val="104"/>
                <w:sz w:val="12"/>
              </w:rPr>
              <w:t>-</w:t>
            </w:r>
          </w:p>
        </w:tc>
        <w:tc>
          <w:tcPr>
            <w:tcW w:w="152" w:type="dxa"/>
          </w:tcPr>
          <w:p>
            <w:pPr>
              <w:pStyle w:val="TableParagraph"/>
              <w:rPr>
                <w:rFonts w:ascii="Times New Roman"/>
                <w:sz w:val="10"/>
              </w:rPr>
            </w:pPr>
          </w:p>
        </w:tc>
        <w:tc>
          <w:tcPr>
            <w:tcW w:w="1129" w:type="dxa"/>
          </w:tcPr>
          <w:p>
            <w:pPr>
              <w:pStyle w:val="TableParagraph"/>
              <w:spacing w:line="132" w:lineRule="exact" w:before="18"/>
              <w:ind w:right="64"/>
              <w:jc w:val="right"/>
              <w:rPr>
                <w:sz w:val="12"/>
              </w:rPr>
            </w:pPr>
            <w:r>
              <w:rPr>
                <w:color w:val="231F20"/>
                <w:spacing w:val="-2"/>
                <w:w w:val="105"/>
                <w:sz w:val="12"/>
              </w:rPr>
              <w:t>606,386</w:t>
            </w:r>
          </w:p>
        </w:tc>
      </w:tr>
      <w:tr>
        <w:trPr>
          <w:trHeight w:val="163" w:hRule="atLeast"/>
        </w:trPr>
        <w:tc>
          <w:tcPr>
            <w:tcW w:w="4029" w:type="dxa"/>
          </w:tcPr>
          <w:p>
            <w:pPr>
              <w:pStyle w:val="TableParagraph"/>
              <w:spacing w:line="129" w:lineRule="exact" w:before="14"/>
              <w:ind w:left="372"/>
              <w:rPr>
                <w:sz w:val="12"/>
              </w:rPr>
            </w:pPr>
            <w:r>
              <w:rPr>
                <w:color w:val="231F20"/>
                <w:spacing w:val="-2"/>
                <w:w w:val="105"/>
                <w:sz w:val="12"/>
              </w:rPr>
              <w:t>COVID-19</w:t>
            </w:r>
            <w:r>
              <w:rPr>
                <w:color w:val="231F20"/>
                <w:spacing w:val="5"/>
                <w:w w:val="105"/>
                <w:sz w:val="12"/>
              </w:rPr>
              <w:t> </w:t>
            </w:r>
            <w:r>
              <w:rPr>
                <w:color w:val="231F20"/>
                <w:spacing w:val="-2"/>
                <w:w w:val="105"/>
                <w:sz w:val="12"/>
              </w:rPr>
              <w:t>-</w:t>
            </w:r>
            <w:r>
              <w:rPr>
                <w:color w:val="231F20"/>
                <w:spacing w:val="5"/>
                <w:w w:val="105"/>
                <w:sz w:val="12"/>
              </w:rPr>
              <w:t> </w:t>
            </w:r>
            <w:r>
              <w:rPr>
                <w:color w:val="231F20"/>
                <w:spacing w:val="-2"/>
                <w:w w:val="105"/>
                <w:sz w:val="12"/>
              </w:rPr>
              <w:t>Education</w:t>
            </w:r>
            <w:r>
              <w:rPr>
                <w:color w:val="231F20"/>
                <w:spacing w:val="5"/>
                <w:w w:val="105"/>
                <w:sz w:val="12"/>
              </w:rPr>
              <w:t> </w:t>
            </w:r>
            <w:r>
              <w:rPr>
                <w:color w:val="231F20"/>
                <w:spacing w:val="-2"/>
                <w:w w:val="105"/>
                <w:sz w:val="12"/>
              </w:rPr>
              <w:t>Stabilization</w:t>
            </w:r>
            <w:r>
              <w:rPr>
                <w:color w:val="231F20"/>
                <w:spacing w:val="5"/>
                <w:w w:val="105"/>
                <w:sz w:val="12"/>
              </w:rPr>
              <w:t> </w:t>
            </w:r>
            <w:r>
              <w:rPr>
                <w:color w:val="231F20"/>
                <w:spacing w:val="-4"/>
                <w:w w:val="105"/>
                <w:sz w:val="12"/>
              </w:rPr>
              <w:t>Fund</w:t>
            </w:r>
          </w:p>
        </w:tc>
        <w:tc>
          <w:tcPr>
            <w:tcW w:w="1741" w:type="dxa"/>
          </w:tcPr>
          <w:p>
            <w:pPr>
              <w:pStyle w:val="TableParagraph"/>
              <w:spacing w:line="123" w:lineRule="exact" w:before="20"/>
              <w:ind w:left="743"/>
              <w:rPr>
                <w:sz w:val="12"/>
              </w:rPr>
            </w:pPr>
            <w:r>
              <w:rPr>
                <w:color w:val="231F20"/>
                <w:spacing w:val="-2"/>
                <w:w w:val="105"/>
                <w:sz w:val="12"/>
              </w:rPr>
              <w:t>RCAR2</w:t>
            </w:r>
          </w:p>
        </w:tc>
        <w:tc>
          <w:tcPr>
            <w:tcW w:w="5046" w:type="dxa"/>
            <w:gridSpan w:val="2"/>
          </w:tcPr>
          <w:p>
            <w:pPr>
              <w:pStyle w:val="TableParagraph"/>
              <w:spacing w:line="129" w:lineRule="exact" w:before="14"/>
              <w:ind w:left="2774"/>
              <w:rPr>
                <w:sz w:val="12"/>
              </w:rPr>
            </w:pPr>
            <w:r>
              <w:rPr>
                <w:color w:val="231F20"/>
                <w:spacing w:val="-2"/>
                <w:w w:val="105"/>
                <w:sz w:val="12"/>
              </w:rPr>
              <w:t>P425L200302</w:t>
            </w:r>
          </w:p>
        </w:tc>
        <w:tc>
          <w:tcPr>
            <w:tcW w:w="1153" w:type="dxa"/>
          </w:tcPr>
          <w:p>
            <w:pPr>
              <w:pStyle w:val="TableParagraph"/>
              <w:spacing w:line="123" w:lineRule="exact" w:before="20"/>
              <w:ind w:left="330" w:right="326"/>
              <w:jc w:val="center"/>
              <w:rPr>
                <w:sz w:val="12"/>
              </w:rPr>
            </w:pPr>
            <w:r>
              <w:rPr>
                <w:color w:val="231F20"/>
                <w:spacing w:val="-2"/>
                <w:w w:val="105"/>
                <w:sz w:val="12"/>
              </w:rPr>
              <w:t>84.425L</w:t>
            </w:r>
          </w:p>
        </w:tc>
        <w:tc>
          <w:tcPr>
            <w:tcW w:w="1129" w:type="dxa"/>
            <w:tcBorders>
              <w:bottom w:val="single" w:sz="8" w:space="0" w:color="231F20"/>
            </w:tcBorders>
          </w:tcPr>
          <w:p>
            <w:pPr>
              <w:pStyle w:val="TableParagraph"/>
              <w:spacing w:line="123" w:lineRule="exact" w:before="20"/>
              <w:ind w:right="66"/>
              <w:jc w:val="right"/>
              <w:rPr>
                <w:sz w:val="12"/>
              </w:rPr>
            </w:pPr>
            <w:r>
              <w:rPr>
                <w:color w:val="231F20"/>
                <w:w w:val="104"/>
                <w:sz w:val="12"/>
              </w:rPr>
              <w:t>-</w:t>
            </w:r>
          </w:p>
        </w:tc>
        <w:tc>
          <w:tcPr>
            <w:tcW w:w="152" w:type="dxa"/>
          </w:tcPr>
          <w:p>
            <w:pPr>
              <w:pStyle w:val="TableParagraph"/>
              <w:rPr>
                <w:rFonts w:ascii="Times New Roman"/>
                <w:sz w:val="10"/>
              </w:rPr>
            </w:pPr>
          </w:p>
        </w:tc>
        <w:tc>
          <w:tcPr>
            <w:tcW w:w="1129" w:type="dxa"/>
            <w:tcBorders>
              <w:bottom w:val="single" w:sz="8" w:space="0" w:color="231F20"/>
            </w:tcBorders>
          </w:tcPr>
          <w:p>
            <w:pPr>
              <w:pStyle w:val="TableParagraph"/>
              <w:spacing w:line="123" w:lineRule="exact" w:before="20"/>
              <w:ind w:right="64"/>
              <w:jc w:val="right"/>
              <w:rPr>
                <w:sz w:val="12"/>
              </w:rPr>
            </w:pPr>
            <w:r>
              <w:rPr>
                <w:color w:val="231F20"/>
                <w:spacing w:val="-2"/>
                <w:w w:val="105"/>
                <w:sz w:val="12"/>
              </w:rPr>
              <w:t>359,602</w:t>
            </w:r>
          </w:p>
        </w:tc>
      </w:tr>
      <w:tr>
        <w:trPr>
          <w:trHeight w:val="151" w:hRule="atLeast"/>
        </w:trPr>
        <w:tc>
          <w:tcPr>
            <w:tcW w:w="4029" w:type="dxa"/>
          </w:tcPr>
          <w:p>
            <w:pPr>
              <w:pStyle w:val="TableParagraph"/>
              <w:spacing w:line="129" w:lineRule="exact" w:before="2"/>
              <w:ind w:right="708"/>
              <w:jc w:val="right"/>
              <w:rPr>
                <w:sz w:val="12"/>
              </w:rPr>
            </w:pPr>
            <w:r>
              <w:rPr>
                <w:color w:val="231F20"/>
                <w:spacing w:val="-2"/>
                <w:w w:val="105"/>
                <w:sz w:val="12"/>
              </w:rPr>
              <w:t>Subtotal,</w:t>
            </w:r>
            <w:r>
              <w:rPr>
                <w:color w:val="231F20"/>
                <w:spacing w:val="5"/>
                <w:w w:val="105"/>
                <w:sz w:val="12"/>
              </w:rPr>
              <w:t> </w:t>
            </w:r>
            <w:r>
              <w:rPr>
                <w:color w:val="231F20"/>
                <w:spacing w:val="-2"/>
                <w:w w:val="105"/>
                <w:sz w:val="12"/>
              </w:rPr>
              <w:t>COVID-19</w:t>
            </w:r>
            <w:r>
              <w:rPr>
                <w:color w:val="231F20"/>
                <w:spacing w:val="5"/>
                <w:w w:val="105"/>
                <w:sz w:val="12"/>
              </w:rPr>
              <w:t> </w:t>
            </w:r>
            <w:r>
              <w:rPr>
                <w:color w:val="231F20"/>
                <w:spacing w:val="-2"/>
                <w:w w:val="105"/>
                <w:sz w:val="12"/>
              </w:rPr>
              <w:t>-</w:t>
            </w:r>
            <w:r>
              <w:rPr>
                <w:color w:val="231F20"/>
                <w:spacing w:val="6"/>
                <w:w w:val="105"/>
                <w:sz w:val="12"/>
              </w:rPr>
              <w:t> </w:t>
            </w:r>
            <w:r>
              <w:rPr>
                <w:color w:val="231F20"/>
                <w:spacing w:val="-2"/>
                <w:w w:val="105"/>
                <w:sz w:val="12"/>
              </w:rPr>
              <w:t>Education</w:t>
            </w:r>
            <w:r>
              <w:rPr>
                <w:color w:val="231F20"/>
                <w:spacing w:val="5"/>
                <w:w w:val="105"/>
                <w:sz w:val="12"/>
              </w:rPr>
              <w:t> </w:t>
            </w:r>
            <w:r>
              <w:rPr>
                <w:color w:val="231F20"/>
                <w:spacing w:val="-2"/>
                <w:w w:val="105"/>
                <w:sz w:val="12"/>
              </w:rPr>
              <w:t>Stabilization</w:t>
            </w:r>
            <w:r>
              <w:rPr>
                <w:color w:val="231F20"/>
                <w:spacing w:val="6"/>
                <w:w w:val="105"/>
                <w:sz w:val="12"/>
              </w:rPr>
              <w:t> </w:t>
            </w:r>
            <w:r>
              <w:rPr>
                <w:color w:val="231F20"/>
                <w:spacing w:val="-4"/>
                <w:w w:val="105"/>
                <w:sz w:val="12"/>
              </w:rPr>
              <w:t>Fund</w:t>
            </w:r>
          </w:p>
        </w:tc>
        <w:tc>
          <w:tcPr>
            <w:tcW w:w="1741" w:type="dxa"/>
          </w:tcPr>
          <w:p>
            <w:pPr>
              <w:pStyle w:val="TableParagraph"/>
              <w:rPr>
                <w:rFonts w:ascii="Times New Roman"/>
                <w:sz w:val="8"/>
              </w:rPr>
            </w:pPr>
          </w:p>
        </w:tc>
        <w:tc>
          <w:tcPr>
            <w:tcW w:w="5046" w:type="dxa"/>
            <w:gridSpan w:val="2"/>
          </w:tcPr>
          <w:p>
            <w:pPr>
              <w:pStyle w:val="TableParagraph"/>
              <w:rPr>
                <w:rFonts w:ascii="Times New Roman"/>
                <w:sz w:val="8"/>
              </w:rPr>
            </w:pPr>
          </w:p>
        </w:tc>
        <w:tc>
          <w:tcPr>
            <w:tcW w:w="1153"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3" w:lineRule="exact" w:before="8"/>
              <w:ind w:right="66"/>
              <w:jc w:val="right"/>
              <w:rPr>
                <w:sz w:val="12"/>
              </w:rPr>
            </w:pPr>
            <w:r>
              <w:rPr>
                <w:color w:val="231F20"/>
                <w:w w:val="104"/>
                <w:sz w:val="12"/>
              </w:rPr>
              <w:t>-</w:t>
            </w:r>
          </w:p>
        </w:tc>
        <w:tc>
          <w:tcPr>
            <w:tcW w:w="152"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3" w:lineRule="exact" w:before="8"/>
              <w:ind w:right="63"/>
              <w:jc w:val="right"/>
              <w:rPr>
                <w:sz w:val="12"/>
              </w:rPr>
            </w:pPr>
            <w:r>
              <w:rPr>
                <w:color w:val="231F20"/>
                <w:spacing w:val="-2"/>
                <w:w w:val="105"/>
                <w:sz w:val="12"/>
              </w:rPr>
              <w:t>3,085,316</w:t>
            </w:r>
          </w:p>
        </w:tc>
      </w:tr>
      <w:tr>
        <w:trPr>
          <w:trHeight w:val="151" w:hRule="atLeast"/>
        </w:trPr>
        <w:tc>
          <w:tcPr>
            <w:tcW w:w="4029" w:type="dxa"/>
          </w:tcPr>
          <w:p>
            <w:pPr>
              <w:pStyle w:val="TableParagraph"/>
              <w:spacing w:line="123" w:lineRule="exact" w:before="8"/>
              <w:ind w:left="202"/>
              <w:rPr>
                <w:b/>
                <w:sz w:val="12"/>
              </w:rPr>
            </w:pPr>
            <w:r>
              <w:rPr>
                <w:b/>
                <w:color w:val="231F20"/>
                <w:w w:val="105"/>
                <w:sz w:val="12"/>
              </w:rPr>
              <w:t>Total</w:t>
            </w:r>
            <w:r>
              <w:rPr>
                <w:b/>
                <w:color w:val="231F20"/>
                <w:spacing w:val="-5"/>
                <w:w w:val="105"/>
                <w:sz w:val="12"/>
              </w:rPr>
              <w:t> </w:t>
            </w:r>
            <w:r>
              <w:rPr>
                <w:b/>
                <w:color w:val="231F20"/>
                <w:w w:val="105"/>
                <w:sz w:val="12"/>
              </w:rPr>
              <w:t>Direct</w:t>
            </w:r>
            <w:r>
              <w:rPr>
                <w:b/>
                <w:color w:val="231F20"/>
                <w:spacing w:val="-5"/>
                <w:w w:val="105"/>
                <w:sz w:val="12"/>
              </w:rPr>
              <w:t> </w:t>
            </w:r>
            <w:r>
              <w:rPr>
                <w:b/>
                <w:color w:val="231F20"/>
                <w:w w:val="105"/>
                <w:sz w:val="12"/>
              </w:rPr>
              <w:t>U.S.</w:t>
            </w:r>
            <w:r>
              <w:rPr>
                <w:b/>
                <w:color w:val="231F20"/>
                <w:spacing w:val="-5"/>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5"/>
                <w:w w:val="105"/>
                <w:sz w:val="12"/>
              </w:rPr>
              <w:t> </w:t>
            </w:r>
            <w:r>
              <w:rPr>
                <w:b/>
                <w:color w:val="231F20"/>
                <w:spacing w:val="-2"/>
                <w:w w:val="105"/>
                <w:sz w:val="12"/>
              </w:rPr>
              <w:t>Education</w:t>
            </w:r>
          </w:p>
        </w:tc>
        <w:tc>
          <w:tcPr>
            <w:tcW w:w="1741" w:type="dxa"/>
          </w:tcPr>
          <w:p>
            <w:pPr>
              <w:pStyle w:val="TableParagraph"/>
              <w:rPr>
                <w:rFonts w:ascii="Times New Roman"/>
                <w:sz w:val="8"/>
              </w:rPr>
            </w:pPr>
          </w:p>
        </w:tc>
        <w:tc>
          <w:tcPr>
            <w:tcW w:w="5046" w:type="dxa"/>
            <w:gridSpan w:val="2"/>
          </w:tcPr>
          <w:p>
            <w:pPr>
              <w:pStyle w:val="TableParagraph"/>
              <w:rPr>
                <w:rFonts w:ascii="Times New Roman"/>
                <w:sz w:val="8"/>
              </w:rPr>
            </w:pPr>
          </w:p>
        </w:tc>
        <w:tc>
          <w:tcPr>
            <w:tcW w:w="1153"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3" w:lineRule="exact" w:before="8"/>
              <w:ind w:right="66"/>
              <w:jc w:val="right"/>
              <w:rPr>
                <w:b/>
                <w:sz w:val="12"/>
              </w:rPr>
            </w:pPr>
            <w:r>
              <w:rPr>
                <w:b/>
                <w:color w:val="231F20"/>
                <w:w w:val="104"/>
                <w:sz w:val="12"/>
              </w:rPr>
              <w:t>-</w:t>
            </w:r>
          </w:p>
        </w:tc>
        <w:tc>
          <w:tcPr>
            <w:tcW w:w="152" w:type="dxa"/>
          </w:tcPr>
          <w:p>
            <w:pPr>
              <w:pStyle w:val="TableParagraph"/>
              <w:rPr>
                <w:rFonts w:ascii="Times New Roman"/>
                <w:sz w:val="8"/>
              </w:rPr>
            </w:pPr>
          </w:p>
        </w:tc>
        <w:tc>
          <w:tcPr>
            <w:tcW w:w="1129" w:type="dxa"/>
            <w:tcBorders>
              <w:top w:val="single" w:sz="8" w:space="0" w:color="231F20"/>
              <w:bottom w:val="single" w:sz="8" w:space="0" w:color="231F20"/>
            </w:tcBorders>
          </w:tcPr>
          <w:p>
            <w:pPr>
              <w:pStyle w:val="TableParagraph"/>
              <w:spacing w:line="123" w:lineRule="exact" w:before="8"/>
              <w:ind w:right="63"/>
              <w:jc w:val="right"/>
              <w:rPr>
                <w:b/>
                <w:sz w:val="12"/>
              </w:rPr>
            </w:pPr>
            <w:r>
              <w:rPr>
                <w:b/>
                <w:color w:val="231F20"/>
                <w:spacing w:val="-2"/>
                <w:w w:val="105"/>
                <w:sz w:val="12"/>
              </w:rPr>
              <w:t>9,856,976</w:t>
            </w:r>
          </w:p>
        </w:tc>
      </w:tr>
    </w:tbl>
    <w:p>
      <w:pPr>
        <w:pStyle w:val="BodyText"/>
        <w:spacing w:before="8"/>
        <w:rPr>
          <w:sz w:val="11"/>
        </w:rPr>
      </w:pPr>
    </w:p>
    <w:p>
      <w:pPr>
        <w:spacing w:before="0"/>
        <w:ind w:left="196" w:right="0" w:firstLine="0"/>
        <w:jc w:val="left"/>
        <w:rPr>
          <w:b/>
          <w:sz w:val="12"/>
        </w:rPr>
      </w:pPr>
      <w:r>
        <w:rPr>
          <w:b/>
          <w:color w:val="231F20"/>
          <w:w w:val="105"/>
          <w:sz w:val="12"/>
        </w:rPr>
        <w:t>U.S.</w:t>
      </w:r>
      <w:r>
        <w:rPr>
          <w:b/>
          <w:color w:val="231F20"/>
          <w:spacing w:val="-5"/>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6"/>
          <w:w w:val="105"/>
          <w:sz w:val="12"/>
        </w:rPr>
        <w:t> </w:t>
      </w:r>
      <w:r>
        <w:rPr>
          <w:b/>
          <w:color w:val="231F20"/>
          <w:w w:val="105"/>
          <w:sz w:val="12"/>
        </w:rPr>
        <w:t>Homeland</w:t>
      </w:r>
      <w:r>
        <w:rPr>
          <w:b/>
          <w:color w:val="231F20"/>
          <w:spacing w:val="-5"/>
          <w:w w:val="105"/>
          <w:sz w:val="12"/>
        </w:rPr>
        <w:t> </w:t>
      </w:r>
      <w:r>
        <w:rPr>
          <w:b/>
          <w:color w:val="231F20"/>
          <w:spacing w:val="-2"/>
          <w:w w:val="105"/>
          <w:sz w:val="12"/>
        </w:rPr>
        <w:t>Security</w:t>
      </w:r>
    </w:p>
    <w:p>
      <w:pPr>
        <w:spacing w:before="32" w:after="27"/>
        <w:ind w:left="365" w:right="0" w:firstLine="0"/>
        <w:jc w:val="left"/>
        <w:rPr>
          <w:sz w:val="12"/>
        </w:rPr>
      </w:pPr>
      <w:r>
        <w:rPr>
          <w:color w:val="231F20"/>
          <w:w w:val="105"/>
          <w:sz w:val="12"/>
        </w:rPr>
        <w:t>Direct</w:t>
      </w:r>
      <w:r>
        <w:rPr>
          <w:color w:val="231F20"/>
          <w:spacing w:val="-8"/>
          <w:w w:val="105"/>
          <w:sz w:val="12"/>
        </w:rPr>
        <w:t> </w:t>
      </w:r>
      <w:r>
        <w:rPr>
          <w:color w:val="231F20"/>
          <w:spacing w:val="-2"/>
          <w:w w:val="105"/>
          <w:sz w:val="12"/>
        </w:rPr>
        <w:t>Awards</w:t>
      </w:r>
    </w:p>
    <w:tbl>
      <w:tblPr>
        <w:tblW w:w="0" w:type="auto"/>
        <w:jc w:val="left"/>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02"/>
        <w:gridCol w:w="2573"/>
        <w:gridCol w:w="3899"/>
        <w:gridCol w:w="1200"/>
        <w:gridCol w:w="1130"/>
        <w:gridCol w:w="155"/>
        <w:gridCol w:w="1131"/>
      </w:tblGrid>
      <w:tr>
        <w:trPr>
          <w:trHeight w:val="159" w:hRule="atLeast"/>
        </w:trPr>
        <w:tc>
          <w:tcPr>
            <w:tcW w:w="4302" w:type="dxa"/>
          </w:tcPr>
          <w:p>
            <w:pPr>
              <w:pStyle w:val="TableParagraph"/>
              <w:spacing w:before="1"/>
              <w:ind w:right="461"/>
              <w:jc w:val="right"/>
              <w:rPr>
                <w:sz w:val="12"/>
              </w:rPr>
            </w:pPr>
            <w:r>
              <w:rPr>
                <w:color w:val="231F20"/>
                <w:w w:val="105"/>
                <w:sz w:val="12"/>
              </w:rPr>
              <w:t>State</w:t>
            </w:r>
            <w:r>
              <w:rPr>
                <w:color w:val="231F20"/>
                <w:spacing w:val="-9"/>
                <w:w w:val="105"/>
                <w:sz w:val="12"/>
              </w:rPr>
              <w:t> </w:t>
            </w:r>
            <w:r>
              <w:rPr>
                <w:color w:val="231F20"/>
                <w:w w:val="105"/>
                <w:sz w:val="12"/>
              </w:rPr>
              <w:t>and</w:t>
            </w:r>
            <w:r>
              <w:rPr>
                <w:color w:val="231F20"/>
                <w:spacing w:val="-9"/>
                <w:w w:val="105"/>
                <w:sz w:val="12"/>
              </w:rPr>
              <w:t> </w:t>
            </w:r>
            <w:r>
              <w:rPr>
                <w:color w:val="231F20"/>
                <w:w w:val="105"/>
                <w:sz w:val="12"/>
              </w:rPr>
              <w:t>Local</w:t>
            </w:r>
            <w:r>
              <w:rPr>
                <w:color w:val="231F20"/>
                <w:spacing w:val="-9"/>
                <w:w w:val="105"/>
                <w:sz w:val="12"/>
              </w:rPr>
              <w:t> </w:t>
            </w:r>
            <w:r>
              <w:rPr>
                <w:color w:val="231F20"/>
                <w:w w:val="105"/>
                <w:sz w:val="12"/>
              </w:rPr>
              <w:t>Homeland</w:t>
            </w:r>
            <w:r>
              <w:rPr>
                <w:color w:val="231F20"/>
                <w:spacing w:val="-8"/>
                <w:w w:val="105"/>
                <w:sz w:val="12"/>
              </w:rPr>
              <w:t> </w:t>
            </w:r>
            <w:r>
              <w:rPr>
                <w:color w:val="231F20"/>
                <w:w w:val="105"/>
                <w:sz w:val="12"/>
              </w:rPr>
              <w:t>Security</w:t>
            </w:r>
            <w:r>
              <w:rPr>
                <w:color w:val="231F20"/>
                <w:spacing w:val="-9"/>
                <w:w w:val="105"/>
                <w:sz w:val="12"/>
              </w:rPr>
              <w:t> </w:t>
            </w:r>
            <w:r>
              <w:rPr>
                <w:color w:val="231F20"/>
                <w:w w:val="105"/>
                <w:sz w:val="12"/>
              </w:rPr>
              <w:t>National</w:t>
            </w:r>
            <w:r>
              <w:rPr>
                <w:color w:val="231F20"/>
                <w:spacing w:val="-9"/>
                <w:w w:val="105"/>
                <w:sz w:val="12"/>
              </w:rPr>
              <w:t> </w:t>
            </w:r>
            <w:r>
              <w:rPr>
                <w:color w:val="231F20"/>
                <w:w w:val="105"/>
                <w:sz w:val="12"/>
              </w:rPr>
              <w:t>Training</w:t>
            </w:r>
            <w:r>
              <w:rPr>
                <w:color w:val="231F20"/>
                <w:spacing w:val="-8"/>
                <w:w w:val="105"/>
                <w:sz w:val="12"/>
              </w:rPr>
              <w:t> </w:t>
            </w:r>
            <w:r>
              <w:rPr>
                <w:color w:val="231F20"/>
                <w:spacing w:val="-2"/>
                <w:w w:val="105"/>
                <w:sz w:val="12"/>
              </w:rPr>
              <w:t>Program</w:t>
            </w:r>
          </w:p>
        </w:tc>
        <w:tc>
          <w:tcPr>
            <w:tcW w:w="2573" w:type="dxa"/>
          </w:tcPr>
          <w:p>
            <w:pPr>
              <w:pStyle w:val="TableParagraph"/>
              <w:spacing w:line="132" w:lineRule="exact" w:before="7"/>
              <w:ind w:left="529"/>
              <w:rPr>
                <w:sz w:val="12"/>
              </w:rPr>
            </w:pPr>
            <w:r>
              <w:rPr>
                <w:color w:val="231F20"/>
                <w:spacing w:val="-4"/>
                <w:w w:val="105"/>
                <w:sz w:val="12"/>
              </w:rPr>
              <w:t>RF10</w:t>
            </w:r>
          </w:p>
        </w:tc>
        <w:tc>
          <w:tcPr>
            <w:tcW w:w="3899" w:type="dxa"/>
          </w:tcPr>
          <w:p>
            <w:pPr>
              <w:pStyle w:val="TableParagraph"/>
              <w:spacing w:before="1"/>
              <w:ind w:left="1670"/>
              <w:rPr>
                <w:sz w:val="12"/>
              </w:rPr>
            </w:pPr>
            <w:r>
              <w:rPr>
                <w:color w:val="231F20"/>
                <w:sz w:val="12"/>
              </w:rPr>
              <w:t>EMW-2018-CA-APP-00048-</w:t>
            </w:r>
            <w:r>
              <w:rPr>
                <w:color w:val="231F20"/>
                <w:spacing w:val="-5"/>
                <w:sz w:val="12"/>
              </w:rPr>
              <w:t>S01</w:t>
            </w:r>
          </w:p>
        </w:tc>
        <w:tc>
          <w:tcPr>
            <w:tcW w:w="1200" w:type="dxa"/>
          </w:tcPr>
          <w:p>
            <w:pPr>
              <w:pStyle w:val="TableParagraph"/>
              <w:spacing w:line="132" w:lineRule="exact" w:before="7"/>
              <w:ind w:left="413" w:right="370"/>
              <w:jc w:val="center"/>
              <w:rPr>
                <w:sz w:val="12"/>
              </w:rPr>
            </w:pPr>
            <w:r>
              <w:rPr>
                <w:color w:val="231F20"/>
                <w:spacing w:val="-2"/>
                <w:w w:val="105"/>
                <w:sz w:val="12"/>
              </w:rPr>
              <w:t>97.005</w:t>
            </w:r>
          </w:p>
        </w:tc>
        <w:tc>
          <w:tcPr>
            <w:tcW w:w="1130" w:type="dxa"/>
          </w:tcPr>
          <w:p>
            <w:pPr>
              <w:pStyle w:val="TableParagraph"/>
              <w:spacing w:line="132" w:lineRule="exact" w:before="7"/>
              <w:ind w:right="72"/>
              <w:jc w:val="right"/>
              <w:rPr>
                <w:sz w:val="12"/>
              </w:rPr>
            </w:pPr>
            <w:r>
              <w:rPr>
                <w:color w:val="231F20"/>
                <w:w w:val="104"/>
                <w:sz w:val="12"/>
              </w:rPr>
              <w:t>-</w:t>
            </w:r>
          </w:p>
        </w:tc>
        <w:tc>
          <w:tcPr>
            <w:tcW w:w="155" w:type="dxa"/>
          </w:tcPr>
          <w:p>
            <w:pPr>
              <w:pStyle w:val="TableParagraph"/>
              <w:rPr>
                <w:rFonts w:ascii="Times New Roman"/>
                <w:sz w:val="10"/>
              </w:rPr>
            </w:pPr>
          </w:p>
        </w:tc>
        <w:tc>
          <w:tcPr>
            <w:tcW w:w="1131" w:type="dxa"/>
          </w:tcPr>
          <w:p>
            <w:pPr>
              <w:pStyle w:val="TableParagraph"/>
              <w:spacing w:line="132" w:lineRule="exact" w:before="7"/>
              <w:ind w:right="32"/>
              <w:jc w:val="right"/>
              <w:rPr>
                <w:sz w:val="12"/>
              </w:rPr>
            </w:pPr>
            <w:r>
              <w:rPr>
                <w:color w:val="231F20"/>
                <w:spacing w:val="-2"/>
                <w:w w:val="105"/>
                <w:sz w:val="12"/>
              </w:rPr>
              <w:t>(912,868)</w:t>
            </w:r>
          </w:p>
        </w:tc>
      </w:tr>
      <w:tr>
        <w:trPr>
          <w:trHeight w:val="170" w:hRule="atLeast"/>
        </w:trPr>
        <w:tc>
          <w:tcPr>
            <w:tcW w:w="4302" w:type="dxa"/>
          </w:tcPr>
          <w:p>
            <w:pPr>
              <w:pStyle w:val="TableParagraph"/>
              <w:spacing w:line="137" w:lineRule="exact" w:before="14"/>
              <w:ind w:right="461"/>
              <w:jc w:val="right"/>
              <w:rPr>
                <w:sz w:val="12"/>
              </w:rPr>
            </w:pPr>
            <w:r>
              <w:rPr>
                <w:color w:val="231F20"/>
                <w:w w:val="105"/>
                <w:sz w:val="12"/>
              </w:rPr>
              <w:t>State</w:t>
            </w:r>
            <w:r>
              <w:rPr>
                <w:color w:val="231F20"/>
                <w:spacing w:val="-9"/>
                <w:w w:val="105"/>
                <w:sz w:val="12"/>
              </w:rPr>
              <w:t> </w:t>
            </w:r>
            <w:r>
              <w:rPr>
                <w:color w:val="231F20"/>
                <w:w w:val="105"/>
                <w:sz w:val="12"/>
              </w:rPr>
              <w:t>and</w:t>
            </w:r>
            <w:r>
              <w:rPr>
                <w:color w:val="231F20"/>
                <w:spacing w:val="-9"/>
                <w:w w:val="105"/>
                <w:sz w:val="12"/>
              </w:rPr>
              <w:t> </w:t>
            </w:r>
            <w:r>
              <w:rPr>
                <w:color w:val="231F20"/>
                <w:w w:val="105"/>
                <w:sz w:val="12"/>
              </w:rPr>
              <w:t>Local</w:t>
            </w:r>
            <w:r>
              <w:rPr>
                <w:color w:val="231F20"/>
                <w:spacing w:val="-9"/>
                <w:w w:val="105"/>
                <w:sz w:val="12"/>
              </w:rPr>
              <w:t> </w:t>
            </w:r>
            <w:r>
              <w:rPr>
                <w:color w:val="231F20"/>
                <w:w w:val="105"/>
                <w:sz w:val="12"/>
              </w:rPr>
              <w:t>Homeland</w:t>
            </w:r>
            <w:r>
              <w:rPr>
                <w:color w:val="231F20"/>
                <w:spacing w:val="-8"/>
                <w:w w:val="105"/>
                <w:sz w:val="12"/>
              </w:rPr>
              <w:t> </w:t>
            </w:r>
            <w:r>
              <w:rPr>
                <w:color w:val="231F20"/>
                <w:w w:val="105"/>
                <w:sz w:val="12"/>
              </w:rPr>
              <w:t>Security</w:t>
            </w:r>
            <w:r>
              <w:rPr>
                <w:color w:val="231F20"/>
                <w:spacing w:val="-9"/>
                <w:w w:val="105"/>
                <w:sz w:val="12"/>
              </w:rPr>
              <w:t> </w:t>
            </w:r>
            <w:r>
              <w:rPr>
                <w:color w:val="231F20"/>
                <w:w w:val="105"/>
                <w:sz w:val="12"/>
              </w:rPr>
              <w:t>National</w:t>
            </w:r>
            <w:r>
              <w:rPr>
                <w:color w:val="231F20"/>
                <w:spacing w:val="-9"/>
                <w:w w:val="105"/>
                <w:sz w:val="12"/>
              </w:rPr>
              <w:t> </w:t>
            </w:r>
            <w:r>
              <w:rPr>
                <w:color w:val="231F20"/>
                <w:w w:val="105"/>
                <w:sz w:val="12"/>
              </w:rPr>
              <w:t>Training</w:t>
            </w:r>
            <w:r>
              <w:rPr>
                <w:color w:val="231F20"/>
                <w:spacing w:val="-8"/>
                <w:w w:val="105"/>
                <w:sz w:val="12"/>
              </w:rPr>
              <w:t> </w:t>
            </w:r>
            <w:r>
              <w:rPr>
                <w:color w:val="231F20"/>
                <w:spacing w:val="-2"/>
                <w:w w:val="105"/>
                <w:sz w:val="12"/>
              </w:rPr>
              <w:t>Program</w:t>
            </w:r>
          </w:p>
        </w:tc>
        <w:tc>
          <w:tcPr>
            <w:tcW w:w="2573" w:type="dxa"/>
          </w:tcPr>
          <w:p>
            <w:pPr>
              <w:pStyle w:val="TableParagraph"/>
              <w:spacing w:line="131" w:lineRule="exact" w:before="20"/>
              <w:ind w:left="529"/>
              <w:rPr>
                <w:sz w:val="12"/>
              </w:rPr>
            </w:pPr>
            <w:r>
              <w:rPr>
                <w:color w:val="231F20"/>
                <w:spacing w:val="-4"/>
                <w:w w:val="105"/>
                <w:sz w:val="12"/>
              </w:rPr>
              <w:t>RF20</w:t>
            </w:r>
          </w:p>
        </w:tc>
        <w:tc>
          <w:tcPr>
            <w:tcW w:w="3899" w:type="dxa"/>
          </w:tcPr>
          <w:p>
            <w:pPr>
              <w:pStyle w:val="TableParagraph"/>
              <w:spacing w:line="137" w:lineRule="exact" w:before="14"/>
              <w:ind w:left="1670"/>
              <w:rPr>
                <w:sz w:val="12"/>
              </w:rPr>
            </w:pPr>
            <w:r>
              <w:rPr>
                <w:color w:val="231F20"/>
                <w:sz w:val="12"/>
              </w:rPr>
              <w:t>EMW-2019-CA-</w:t>
            </w:r>
            <w:r>
              <w:rPr>
                <w:color w:val="231F20"/>
                <w:spacing w:val="-2"/>
                <w:sz w:val="12"/>
              </w:rPr>
              <w:t>00024</w:t>
            </w:r>
          </w:p>
        </w:tc>
        <w:tc>
          <w:tcPr>
            <w:tcW w:w="1200" w:type="dxa"/>
          </w:tcPr>
          <w:p>
            <w:pPr>
              <w:pStyle w:val="TableParagraph"/>
              <w:spacing w:line="131" w:lineRule="exact" w:before="20"/>
              <w:ind w:left="413" w:right="370"/>
              <w:jc w:val="center"/>
              <w:rPr>
                <w:sz w:val="12"/>
              </w:rPr>
            </w:pPr>
            <w:r>
              <w:rPr>
                <w:color w:val="231F20"/>
                <w:spacing w:val="-2"/>
                <w:w w:val="105"/>
                <w:sz w:val="12"/>
              </w:rPr>
              <w:t>97.005</w:t>
            </w:r>
          </w:p>
        </w:tc>
        <w:tc>
          <w:tcPr>
            <w:tcW w:w="1130" w:type="dxa"/>
          </w:tcPr>
          <w:p>
            <w:pPr>
              <w:pStyle w:val="TableParagraph"/>
              <w:spacing w:line="131" w:lineRule="exact" w:before="20"/>
              <w:ind w:right="72"/>
              <w:jc w:val="right"/>
              <w:rPr>
                <w:sz w:val="12"/>
              </w:rPr>
            </w:pPr>
            <w:r>
              <w:rPr>
                <w:color w:val="231F20"/>
                <w:w w:val="104"/>
                <w:sz w:val="12"/>
              </w:rPr>
              <w:t>-</w:t>
            </w:r>
          </w:p>
        </w:tc>
        <w:tc>
          <w:tcPr>
            <w:tcW w:w="155" w:type="dxa"/>
          </w:tcPr>
          <w:p>
            <w:pPr>
              <w:pStyle w:val="TableParagraph"/>
              <w:rPr>
                <w:rFonts w:ascii="Times New Roman"/>
                <w:sz w:val="10"/>
              </w:rPr>
            </w:pPr>
          </w:p>
        </w:tc>
        <w:tc>
          <w:tcPr>
            <w:tcW w:w="1131" w:type="dxa"/>
          </w:tcPr>
          <w:p>
            <w:pPr>
              <w:pStyle w:val="TableParagraph"/>
              <w:spacing w:line="132" w:lineRule="exact" w:before="18"/>
              <w:ind w:right="75"/>
              <w:jc w:val="right"/>
              <w:rPr>
                <w:sz w:val="12"/>
              </w:rPr>
            </w:pPr>
            <w:r>
              <w:rPr>
                <w:color w:val="231F20"/>
                <w:spacing w:val="-2"/>
                <w:w w:val="105"/>
                <w:sz w:val="12"/>
              </w:rPr>
              <w:t>20,154,500</w:t>
            </w:r>
          </w:p>
        </w:tc>
      </w:tr>
      <w:tr>
        <w:trPr>
          <w:trHeight w:val="170" w:hRule="atLeast"/>
        </w:trPr>
        <w:tc>
          <w:tcPr>
            <w:tcW w:w="4302" w:type="dxa"/>
          </w:tcPr>
          <w:p>
            <w:pPr>
              <w:pStyle w:val="TableParagraph"/>
              <w:spacing w:before="13"/>
              <w:ind w:right="462"/>
              <w:jc w:val="right"/>
              <w:rPr>
                <w:sz w:val="12"/>
              </w:rPr>
            </w:pPr>
            <w:r>
              <w:rPr>
                <w:color w:val="231F20"/>
                <w:w w:val="105"/>
                <w:sz w:val="12"/>
              </w:rPr>
              <w:t>State</w:t>
            </w:r>
            <w:r>
              <w:rPr>
                <w:color w:val="231F20"/>
                <w:spacing w:val="-9"/>
                <w:w w:val="105"/>
                <w:sz w:val="12"/>
              </w:rPr>
              <w:t> </w:t>
            </w:r>
            <w:r>
              <w:rPr>
                <w:color w:val="231F20"/>
                <w:w w:val="105"/>
                <w:sz w:val="12"/>
              </w:rPr>
              <w:t>and</w:t>
            </w:r>
            <w:r>
              <w:rPr>
                <w:color w:val="231F20"/>
                <w:spacing w:val="-9"/>
                <w:w w:val="105"/>
                <w:sz w:val="12"/>
              </w:rPr>
              <w:t> </w:t>
            </w:r>
            <w:r>
              <w:rPr>
                <w:color w:val="231F20"/>
                <w:w w:val="105"/>
                <w:sz w:val="12"/>
              </w:rPr>
              <w:t>Local</w:t>
            </w:r>
            <w:r>
              <w:rPr>
                <w:color w:val="231F20"/>
                <w:spacing w:val="-9"/>
                <w:w w:val="105"/>
                <w:sz w:val="12"/>
              </w:rPr>
              <w:t> </w:t>
            </w:r>
            <w:r>
              <w:rPr>
                <w:color w:val="231F20"/>
                <w:w w:val="105"/>
                <w:sz w:val="12"/>
              </w:rPr>
              <w:t>Homeland</w:t>
            </w:r>
            <w:r>
              <w:rPr>
                <w:color w:val="231F20"/>
                <w:spacing w:val="-8"/>
                <w:w w:val="105"/>
                <w:sz w:val="12"/>
              </w:rPr>
              <w:t> </w:t>
            </w:r>
            <w:r>
              <w:rPr>
                <w:color w:val="231F20"/>
                <w:w w:val="105"/>
                <w:sz w:val="12"/>
              </w:rPr>
              <w:t>Security</w:t>
            </w:r>
            <w:r>
              <w:rPr>
                <w:color w:val="231F20"/>
                <w:spacing w:val="-9"/>
                <w:w w:val="105"/>
                <w:sz w:val="12"/>
              </w:rPr>
              <w:t> </w:t>
            </w:r>
            <w:r>
              <w:rPr>
                <w:color w:val="231F20"/>
                <w:w w:val="105"/>
                <w:sz w:val="12"/>
              </w:rPr>
              <w:t>National</w:t>
            </w:r>
            <w:r>
              <w:rPr>
                <w:color w:val="231F20"/>
                <w:spacing w:val="-9"/>
                <w:w w:val="105"/>
                <w:sz w:val="12"/>
              </w:rPr>
              <w:t> </w:t>
            </w:r>
            <w:r>
              <w:rPr>
                <w:color w:val="231F20"/>
                <w:w w:val="105"/>
                <w:sz w:val="12"/>
              </w:rPr>
              <w:t>Training</w:t>
            </w:r>
            <w:r>
              <w:rPr>
                <w:color w:val="231F20"/>
                <w:spacing w:val="-8"/>
                <w:w w:val="105"/>
                <w:sz w:val="12"/>
              </w:rPr>
              <w:t> </w:t>
            </w:r>
            <w:r>
              <w:rPr>
                <w:color w:val="231F20"/>
                <w:spacing w:val="-2"/>
                <w:w w:val="105"/>
                <w:sz w:val="12"/>
              </w:rPr>
              <w:t>Program</w:t>
            </w:r>
          </w:p>
        </w:tc>
        <w:tc>
          <w:tcPr>
            <w:tcW w:w="2573" w:type="dxa"/>
          </w:tcPr>
          <w:p>
            <w:pPr>
              <w:pStyle w:val="TableParagraph"/>
              <w:spacing w:line="132" w:lineRule="exact" w:before="19"/>
              <w:ind w:left="528"/>
              <w:rPr>
                <w:sz w:val="12"/>
              </w:rPr>
            </w:pPr>
            <w:r>
              <w:rPr>
                <w:color w:val="231F20"/>
                <w:spacing w:val="-4"/>
                <w:w w:val="105"/>
                <w:sz w:val="12"/>
              </w:rPr>
              <w:t>RF30</w:t>
            </w:r>
          </w:p>
        </w:tc>
        <w:tc>
          <w:tcPr>
            <w:tcW w:w="3899" w:type="dxa"/>
          </w:tcPr>
          <w:p>
            <w:pPr>
              <w:pStyle w:val="TableParagraph"/>
              <w:spacing w:before="13"/>
              <w:ind w:left="1669"/>
              <w:rPr>
                <w:sz w:val="12"/>
              </w:rPr>
            </w:pPr>
            <w:r>
              <w:rPr>
                <w:color w:val="231F20"/>
                <w:sz w:val="12"/>
              </w:rPr>
              <w:t>EMW-2020-CA-</w:t>
            </w:r>
            <w:r>
              <w:rPr>
                <w:color w:val="231F20"/>
                <w:spacing w:val="-2"/>
                <w:sz w:val="12"/>
              </w:rPr>
              <w:t>00044</w:t>
            </w:r>
          </w:p>
        </w:tc>
        <w:tc>
          <w:tcPr>
            <w:tcW w:w="1200" w:type="dxa"/>
          </w:tcPr>
          <w:p>
            <w:pPr>
              <w:pStyle w:val="TableParagraph"/>
              <w:spacing w:line="132" w:lineRule="exact" w:before="19"/>
              <w:ind w:left="412" w:right="371"/>
              <w:jc w:val="center"/>
              <w:rPr>
                <w:sz w:val="12"/>
              </w:rPr>
            </w:pPr>
            <w:r>
              <w:rPr>
                <w:color w:val="231F20"/>
                <w:spacing w:val="-2"/>
                <w:w w:val="105"/>
                <w:sz w:val="12"/>
              </w:rPr>
              <w:t>97.005</w:t>
            </w:r>
          </w:p>
        </w:tc>
        <w:tc>
          <w:tcPr>
            <w:tcW w:w="1130" w:type="dxa"/>
          </w:tcPr>
          <w:p>
            <w:pPr>
              <w:pStyle w:val="TableParagraph"/>
              <w:spacing w:line="132" w:lineRule="exact" w:before="19"/>
              <w:ind w:right="73"/>
              <w:jc w:val="right"/>
              <w:rPr>
                <w:sz w:val="12"/>
              </w:rPr>
            </w:pPr>
            <w:r>
              <w:rPr>
                <w:color w:val="231F20"/>
                <w:w w:val="104"/>
                <w:sz w:val="12"/>
              </w:rPr>
              <w:t>-</w:t>
            </w:r>
          </w:p>
        </w:tc>
        <w:tc>
          <w:tcPr>
            <w:tcW w:w="155" w:type="dxa"/>
          </w:tcPr>
          <w:p>
            <w:pPr>
              <w:pStyle w:val="TableParagraph"/>
              <w:rPr>
                <w:rFonts w:ascii="Times New Roman"/>
                <w:sz w:val="10"/>
              </w:rPr>
            </w:pPr>
          </w:p>
        </w:tc>
        <w:tc>
          <w:tcPr>
            <w:tcW w:w="1131" w:type="dxa"/>
          </w:tcPr>
          <w:p>
            <w:pPr>
              <w:pStyle w:val="TableParagraph"/>
              <w:spacing w:line="132" w:lineRule="exact" w:before="19"/>
              <w:ind w:right="75"/>
              <w:jc w:val="right"/>
              <w:rPr>
                <w:sz w:val="12"/>
              </w:rPr>
            </w:pPr>
            <w:r>
              <w:rPr>
                <w:color w:val="231F20"/>
                <w:spacing w:val="-2"/>
                <w:w w:val="105"/>
                <w:sz w:val="12"/>
              </w:rPr>
              <w:t>102,690</w:t>
            </w:r>
          </w:p>
        </w:tc>
      </w:tr>
      <w:tr>
        <w:trPr>
          <w:trHeight w:val="164" w:hRule="atLeast"/>
        </w:trPr>
        <w:tc>
          <w:tcPr>
            <w:tcW w:w="4302" w:type="dxa"/>
          </w:tcPr>
          <w:p>
            <w:pPr>
              <w:pStyle w:val="TableParagraph"/>
              <w:spacing w:line="130" w:lineRule="exact" w:before="14"/>
              <w:ind w:right="462"/>
              <w:jc w:val="right"/>
              <w:rPr>
                <w:sz w:val="12"/>
              </w:rPr>
            </w:pPr>
            <w:r>
              <w:rPr>
                <w:color w:val="231F20"/>
                <w:w w:val="105"/>
                <w:sz w:val="12"/>
              </w:rPr>
              <w:t>State</w:t>
            </w:r>
            <w:r>
              <w:rPr>
                <w:color w:val="231F20"/>
                <w:spacing w:val="-9"/>
                <w:w w:val="105"/>
                <w:sz w:val="12"/>
              </w:rPr>
              <w:t> </w:t>
            </w:r>
            <w:r>
              <w:rPr>
                <w:color w:val="231F20"/>
                <w:w w:val="105"/>
                <w:sz w:val="12"/>
              </w:rPr>
              <w:t>and</w:t>
            </w:r>
            <w:r>
              <w:rPr>
                <w:color w:val="231F20"/>
                <w:spacing w:val="-9"/>
                <w:w w:val="105"/>
                <w:sz w:val="12"/>
              </w:rPr>
              <w:t> </w:t>
            </w:r>
            <w:r>
              <w:rPr>
                <w:color w:val="231F20"/>
                <w:w w:val="105"/>
                <w:sz w:val="12"/>
              </w:rPr>
              <w:t>Local</w:t>
            </w:r>
            <w:r>
              <w:rPr>
                <w:color w:val="231F20"/>
                <w:spacing w:val="-9"/>
                <w:w w:val="105"/>
                <w:sz w:val="12"/>
              </w:rPr>
              <w:t> </w:t>
            </w:r>
            <w:r>
              <w:rPr>
                <w:color w:val="231F20"/>
                <w:w w:val="105"/>
                <w:sz w:val="12"/>
              </w:rPr>
              <w:t>Homeland</w:t>
            </w:r>
            <w:r>
              <w:rPr>
                <w:color w:val="231F20"/>
                <w:spacing w:val="-8"/>
                <w:w w:val="105"/>
                <w:sz w:val="12"/>
              </w:rPr>
              <w:t> </w:t>
            </w:r>
            <w:r>
              <w:rPr>
                <w:color w:val="231F20"/>
                <w:w w:val="105"/>
                <w:sz w:val="12"/>
              </w:rPr>
              <w:t>Security</w:t>
            </w:r>
            <w:r>
              <w:rPr>
                <w:color w:val="231F20"/>
                <w:spacing w:val="-9"/>
                <w:w w:val="105"/>
                <w:sz w:val="12"/>
              </w:rPr>
              <w:t> </w:t>
            </w:r>
            <w:r>
              <w:rPr>
                <w:color w:val="231F20"/>
                <w:w w:val="105"/>
                <w:sz w:val="12"/>
              </w:rPr>
              <w:t>National</w:t>
            </w:r>
            <w:r>
              <w:rPr>
                <w:color w:val="231F20"/>
                <w:spacing w:val="-9"/>
                <w:w w:val="105"/>
                <w:sz w:val="12"/>
              </w:rPr>
              <w:t> </w:t>
            </w:r>
            <w:r>
              <w:rPr>
                <w:color w:val="231F20"/>
                <w:w w:val="105"/>
                <w:sz w:val="12"/>
              </w:rPr>
              <w:t>Training</w:t>
            </w:r>
            <w:r>
              <w:rPr>
                <w:color w:val="231F20"/>
                <w:spacing w:val="-8"/>
                <w:w w:val="105"/>
                <w:sz w:val="12"/>
              </w:rPr>
              <w:t> </w:t>
            </w:r>
            <w:r>
              <w:rPr>
                <w:color w:val="231F20"/>
                <w:spacing w:val="-2"/>
                <w:w w:val="105"/>
                <w:sz w:val="12"/>
              </w:rPr>
              <w:t>Program</w:t>
            </w:r>
          </w:p>
        </w:tc>
        <w:tc>
          <w:tcPr>
            <w:tcW w:w="2573" w:type="dxa"/>
          </w:tcPr>
          <w:p>
            <w:pPr>
              <w:pStyle w:val="TableParagraph"/>
              <w:spacing w:line="124" w:lineRule="exact" w:before="20"/>
              <w:ind w:left="528"/>
              <w:rPr>
                <w:sz w:val="12"/>
              </w:rPr>
            </w:pPr>
            <w:r>
              <w:rPr>
                <w:color w:val="231F20"/>
                <w:spacing w:val="-4"/>
                <w:w w:val="105"/>
                <w:sz w:val="12"/>
              </w:rPr>
              <w:t>RF40</w:t>
            </w:r>
          </w:p>
        </w:tc>
        <w:tc>
          <w:tcPr>
            <w:tcW w:w="3899" w:type="dxa"/>
          </w:tcPr>
          <w:p>
            <w:pPr>
              <w:pStyle w:val="TableParagraph"/>
              <w:spacing w:line="130" w:lineRule="exact" w:before="14"/>
              <w:ind w:left="1669"/>
              <w:rPr>
                <w:sz w:val="12"/>
              </w:rPr>
            </w:pPr>
            <w:r>
              <w:rPr>
                <w:color w:val="231F20"/>
                <w:sz w:val="12"/>
              </w:rPr>
              <w:t>EMW-2021-CA-</w:t>
            </w:r>
            <w:r>
              <w:rPr>
                <w:color w:val="231F20"/>
                <w:spacing w:val="-2"/>
                <w:sz w:val="12"/>
              </w:rPr>
              <w:t>00081</w:t>
            </w:r>
          </w:p>
        </w:tc>
        <w:tc>
          <w:tcPr>
            <w:tcW w:w="1200" w:type="dxa"/>
          </w:tcPr>
          <w:p>
            <w:pPr>
              <w:pStyle w:val="TableParagraph"/>
              <w:spacing w:line="124" w:lineRule="exact" w:before="20"/>
              <w:ind w:left="412" w:right="371"/>
              <w:jc w:val="center"/>
              <w:rPr>
                <w:sz w:val="12"/>
              </w:rPr>
            </w:pPr>
            <w:r>
              <w:rPr>
                <w:color w:val="231F20"/>
                <w:spacing w:val="-2"/>
                <w:w w:val="105"/>
                <w:sz w:val="12"/>
              </w:rPr>
              <w:t>97.005</w:t>
            </w:r>
          </w:p>
        </w:tc>
        <w:tc>
          <w:tcPr>
            <w:tcW w:w="1130" w:type="dxa"/>
            <w:tcBorders>
              <w:bottom w:val="single" w:sz="8" w:space="0" w:color="231F20"/>
            </w:tcBorders>
          </w:tcPr>
          <w:p>
            <w:pPr>
              <w:pStyle w:val="TableParagraph"/>
              <w:spacing w:line="124" w:lineRule="exact" w:before="20"/>
              <w:ind w:right="73"/>
              <w:jc w:val="right"/>
              <w:rPr>
                <w:sz w:val="12"/>
              </w:rPr>
            </w:pPr>
            <w:r>
              <w:rPr>
                <w:color w:val="231F20"/>
                <w:w w:val="104"/>
                <w:sz w:val="12"/>
              </w:rPr>
              <w:t>-</w:t>
            </w:r>
          </w:p>
        </w:tc>
        <w:tc>
          <w:tcPr>
            <w:tcW w:w="155" w:type="dxa"/>
          </w:tcPr>
          <w:p>
            <w:pPr>
              <w:pStyle w:val="TableParagraph"/>
              <w:rPr>
                <w:rFonts w:ascii="Times New Roman"/>
                <w:sz w:val="10"/>
              </w:rPr>
            </w:pPr>
          </w:p>
        </w:tc>
        <w:tc>
          <w:tcPr>
            <w:tcW w:w="1131" w:type="dxa"/>
            <w:tcBorders>
              <w:bottom w:val="single" w:sz="8" w:space="0" w:color="231F20"/>
            </w:tcBorders>
          </w:tcPr>
          <w:p>
            <w:pPr>
              <w:pStyle w:val="TableParagraph"/>
              <w:spacing w:line="124" w:lineRule="exact" w:before="20"/>
              <w:ind w:right="75"/>
              <w:jc w:val="right"/>
              <w:rPr>
                <w:sz w:val="12"/>
              </w:rPr>
            </w:pPr>
            <w:r>
              <w:rPr>
                <w:color w:val="231F20"/>
                <w:spacing w:val="-2"/>
                <w:w w:val="105"/>
                <w:sz w:val="12"/>
              </w:rPr>
              <w:t>1,252</w:t>
            </w:r>
          </w:p>
        </w:tc>
      </w:tr>
      <w:tr>
        <w:trPr>
          <w:trHeight w:val="218" w:hRule="atLeast"/>
        </w:trPr>
        <w:tc>
          <w:tcPr>
            <w:tcW w:w="4302" w:type="dxa"/>
          </w:tcPr>
          <w:p>
            <w:pPr>
              <w:pStyle w:val="TableParagraph"/>
              <w:spacing w:before="6"/>
              <w:ind w:left="202"/>
              <w:rPr>
                <w:b/>
                <w:sz w:val="12"/>
              </w:rPr>
            </w:pPr>
            <w:r>
              <w:rPr>
                <w:b/>
                <w:color w:val="231F20"/>
                <w:w w:val="105"/>
                <w:sz w:val="12"/>
              </w:rPr>
              <w:t>Total</w:t>
            </w:r>
            <w:r>
              <w:rPr>
                <w:b/>
                <w:color w:val="231F20"/>
                <w:spacing w:val="-6"/>
                <w:w w:val="105"/>
                <w:sz w:val="12"/>
              </w:rPr>
              <w:t> </w:t>
            </w:r>
            <w:r>
              <w:rPr>
                <w:b/>
                <w:color w:val="231F20"/>
                <w:w w:val="105"/>
                <w:sz w:val="12"/>
              </w:rPr>
              <w:t>Direct</w:t>
            </w:r>
            <w:r>
              <w:rPr>
                <w:b/>
                <w:color w:val="231F20"/>
                <w:spacing w:val="-5"/>
                <w:w w:val="105"/>
                <w:sz w:val="12"/>
              </w:rPr>
              <w:t> </w:t>
            </w:r>
            <w:r>
              <w:rPr>
                <w:b/>
                <w:color w:val="231F20"/>
                <w:w w:val="105"/>
                <w:sz w:val="12"/>
              </w:rPr>
              <w:t>U.S.</w:t>
            </w:r>
            <w:r>
              <w:rPr>
                <w:b/>
                <w:color w:val="231F20"/>
                <w:spacing w:val="-5"/>
                <w:w w:val="105"/>
                <w:sz w:val="12"/>
              </w:rPr>
              <w:t> </w:t>
            </w:r>
            <w:r>
              <w:rPr>
                <w:b/>
                <w:color w:val="231F20"/>
                <w:w w:val="105"/>
                <w:sz w:val="12"/>
              </w:rPr>
              <w:t>Department</w:t>
            </w:r>
            <w:r>
              <w:rPr>
                <w:b/>
                <w:color w:val="231F20"/>
                <w:spacing w:val="-6"/>
                <w:w w:val="105"/>
                <w:sz w:val="12"/>
              </w:rPr>
              <w:t> </w:t>
            </w:r>
            <w:r>
              <w:rPr>
                <w:b/>
                <w:color w:val="231F20"/>
                <w:w w:val="105"/>
                <w:sz w:val="12"/>
              </w:rPr>
              <w:t>of</w:t>
            </w:r>
            <w:r>
              <w:rPr>
                <w:b/>
                <w:color w:val="231F20"/>
                <w:spacing w:val="-5"/>
                <w:w w:val="105"/>
                <w:sz w:val="12"/>
              </w:rPr>
              <w:t> </w:t>
            </w:r>
            <w:r>
              <w:rPr>
                <w:b/>
                <w:color w:val="231F20"/>
                <w:w w:val="105"/>
                <w:sz w:val="12"/>
              </w:rPr>
              <w:t>Homeland</w:t>
            </w:r>
            <w:r>
              <w:rPr>
                <w:b/>
                <w:color w:val="231F20"/>
                <w:spacing w:val="-5"/>
                <w:w w:val="105"/>
                <w:sz w:val="12"/>
              </w:rPr>
              <w:t> </w:t>
            </w:r>
            <w:r>
              <w:rPr>
                <w:b/>
                <w:color w:val="231F20"/>
                <w:spacing w:val="-2"/>
                <w:w w:val="105"/>
                <w:sz w:val="12"/>
              </w:rPr>
              <w:t>Security</w:t>
            </w:r>
          </w:p>
        </w:tc>
        <w:tc>
          <w:tcPr>
            <w:tcW w:w="2573" w:type="dxa"/>
          </w:tcPr>
          <w:p>
            <w:pPr>
              <w:pStyle w:val="TableParagraph"/>
              <w:rPr>
                <w:rFonts w:ascii="Times New Roman"/>
                <w:sz w:val="12"/>
              </w:rPr>
            </w:pPr>
          </w:p>
        </w:tc>
        <w:tc>
          <w:tcPr>
            <w:tcW w:w="3899" w:type="dxa"/>
          </w:tcPr>
          <w:p>
            <w:pPr>
              <w:pStyle w:val="TableParagraph"/>
              <w:rPr>
                <w:rFonts w:ascii="Times New Roman"/>
                <w:sz w:val="12"/>
              </w:rPr>
            </w:pPr>
          </w:p>
        </w:tc>
        <w:tc>
          <w:tcPr>
            <w:tcW w:w="1200" w:type="dxa"/>
          </w:tcPr>
          <w:p>
            <w:pPr>
              <w:pStyle w:val="TableParagraph"/>
              <w:rPr>
                <w:rFonts w:ascii="Times New Roman"/>
                <w:sz w:val="12"/>
              </w:rPr>
            </w:pPr>
          </w:p>
        </w:tc>
        <w:tc>
          <w:tcPr>
            <w:tcW w:w="1130" w:type="dxa"/>
            <w:tcBorders>
              <w:top w:val="single" w:sz="8" w:space="0" w:color="231F20"/>
            </w:tcBorders>
          </w:tcPr>
          <w:p>
            <w:pPr>
              <w:pStyle w:val="TableParagraph"/>
              <w:spacing w:before="6"/>
              <w:ind w:right="72"/>
              <w:jc w:val="right"/>
              <w:rPr>
                <w:b/>
                <w:sz w:val="12"/>
              </w:rPr>
            </w:pPr>
            <w:r>
              <w:rPr>
                <w:b/>
                <w:color w:val="231F20"/>
                <w:w w:val="104"/>
                <w:sz w:val="12"/>
              </w:rPr>
              <w:t>-</w:t>
            </w:r>
          </w:p>
        </w:tc>
        <w:tc>
          <w:tcPr>
            <w:tcW w:w="155" w:type="dxa"/>
          </w:tcPr>
          <w:p>
            <w:pPr>
              <w:pStyle w:val="TableParagraph"/>
              <w:rPr>
                <w:rFonts w:ascii="Times New Roman"/>
                <w:sz w:val="12"/>
              </w:rPr>
            </w:pPr>
          </w:p>
        </w:tc>
        <w:tc>
          <w:tcPr>
            <w:tcW w:w="1131" w:type="dxa"/>
            <w:tcBorders>
              <w:top w:val="single" w:sz="8" w:space="0" w:color="231F20"/>
            </w:tcBorders>
          </w:tcPr>
          <w:p>
            <w:pPr>
              <w:pStyle w:val="TableParagraph"/>
              <w:spacing w:before="6"/>
              <w:ind w:right="75"/>
              <w:jc w:val="right"/>
              <w:rPr>
                <w:b/>
                <w:sz w:val="12"/>
              </w:rPr>
            </w:pPr>
            <w:r>
              <w:rPr>
                <w:b/>
                <w:color w:val="231F20"/>
                <w:spacing w:val="-2"/>
                <w:w w:val="105"/>
                <w:sz w:val="12"/>
              </w:rPr>
              <w:t>19,345,574</w:t>
            </w:r>
          </w:p>
        </w:tc>
      </w:tr>
      <w:tr>
        <w:trPr>
          <w:trHeight w:val="225" w:hRule="atLeast"/>
        </w:trPr>
        <w:tc>
          <w:tcPr>
            <w:tcW w:w="4302" w:type="dxa"/>
          </w:tcPr>
          <w:p>
            <w:pPr>
              <w:pStyle w:val="TableParagraph"/>
              <w:spacing w:line="132" w:lineRule="exact" w:before="74"/>
              <w:ind w:left="202"/>
              <w:rPr>
                <w:sz w:val="12"/>
              </w:rPr>
            </w:pPr>
            <w:r>
              <w:rPr>
                <w:color w:val="231F20"/>
                <w:sz w:val="12"/>
              </w:rPr>
              <w:t>Pass-</w:t>
            </w:r>
            <w:r>
              <w:rPr>
                <w:color w:val="231F20"/>
                <w:spacing w:val="-2"/>
                <w:w w:val="105"/>
                <w:sz w:val="12"/>
              </w:rPr>
              <w:t>through</w:t>
            </w:r>
          </w:p>
        </w:tc>
        <w:tc>
          <w:tcPr>
            <w:tcW w:w="2573" w:type="dxa"/>
          </w:tcPr>
          <w:p>
            <w:pPr>
              <w:pStyle w:val="TableParagraph"/>
              <w:rPr>
                <w:rFonts w:ascii="Times New Roman"/>
                <w:sz w:val="12"/>
              </w:rPr>
            </w:pPr>
          </w:p>
        </w:tc>
        <w:tc>
          <w:tcPr>
            <w:tcW w:w="3899" w:type="dxa"/>
          </w:tcPr>
          <w:p>
            <w:pPr>
              <w:pStyle w:val="TableParagraph"/>
              <w:rPr>
                <w:rFonts w:ascii="Times New Roman"/>
                <w:sz w:val="12"/>
              </w:rPr>
            </w:pPr>
          </w:p>
        </w:tc>
        <w:tc>
          <w:tcPr>
            <w:tcW w:w="1200" w:type="dxa"/>
          </w:tcPr>
          <w:p>
            <w:pPr>
              <w:pStyle w:val="TableParagraph"/>
              <w:rPr>
                <w:rFonts w:ascii="Times New Roman"/>
                <w:sz w:val="12"/>
              </w:rPr>
            </w:pPr>
          </w:p>
        </w:tc>
        <w:tc>
          <w:tcPr>
            <w:tcW w:w="1130" w:type="dxa"/>
          </w:tcPr>
          <w:p>
            <w:pPr>
              <w:pStyle w:val="TableParagraph"/>
              <w:rPr>
                <w:rFonts w:ascii="Times New Roman"/>
                <w:sz w:val="12"/>
              </w:rPr>
            </w:pPr>
          </w:p>
        </w:tc>
        <w:tc>
          <w:tcPr>
            <w:tcW w:w="155" w:type="dxa"/>
          </w:tcPr>
          <w:p>
            <w:pPr>
              <w:pStyle w:val="TableParagraph"/>
              <w:rPr>
                <w:rFonts w:ascii="Times New Roman"/>
                <w:sz w:val="12"/>
              </w:rPr>
            </w:pPr>
          </w:p>
        </w:tc>
        <w:tc>
          <w:tcPr>
            <w:tcW w:w="1131" w:type="dxa"/>
          </w:tcPr>
          <w:p>
            <w:pPr>
              <w:pStyle w:val="TableParagraph"/>
              <w:rPr>
                <w:rFonts w:ascii="Times New Roman"/>
                <w:sz w:val="12"/>
              </w:rPr>
            </w:pPr>
          </w:p>
        </w:tc>
      </w:tr>
      <w:tr>
        <w:trPr>
          <w:trHeight w:val="171" w:hRule="atLeast"/>
        </w:trPr>
        <w:tc>
          <w:tcPr>
            <w:tcW w:w="4302" w:type="dxa"/>
          </w:tcPr>
          <w:p>
            <w:pPr>
              <w:pStyle w:val="TableParagraph"/>
              <w:spacing w:before="14"/>
              <w:ind w:left="372"/>
              <w:rPr>
                <w:sz w:val="12"/>
              </w:rPr>
            </w:pPr>
            <w:r>
              <w:rPr>
                <w:color w:val="231F20"/>
                <w:w w:val="105"/>
                <w:sz w:val="12"/>
              </w:rPr>
              <w:t>Disaster</w:t>
            </w:r>
            <w:r>
              <w:rPr>
                <w:color w:val="231F20"/>
                <w:spacing w:val="-8"/>
                <w:w w:val="105"/>
                <w:sz w:val="12"/>
              </w:rPr>
              <w:t> </w:t>
            </w:r>
            <w:r>
              <w:rPr>
                <w:color w:val="231F20"/>
                <w:w w:val="105"/>
                <w:sz w:val="12"/>
              </w:rPr>
              <w:t>Grants</w:t>
            </w:r>
            <w:r>
              <w:rPr>
                <w:color w:val="231F20"/>
                <w:spacing w:val="-7"/>
                <w:w w:val="105"/>
                <w:sz w:val="12"/>
              </w:rPr>
              <w:t> </w:t>
            </w:r>
            <w:r>
              <w:rPr>
                <w:color w:val="231F20"/>
                <w:w w:val="105"/>
                <w:sz w:val="12"/>
              </w:rPr>
              <w:t>-</w:t>
            </w:r>
            <w:r>
              <w:rPr>
                <w:color w:val="231F20"/>
                <w:spacing w:val="-6"/>
                <w:w w:val="105"/>
                <w:sz w:val="12"/>
              </w:rPr>
              <w:t> </w:t>
            </w:r>
            <w:r>
              <w:rPr>
                <w:color w:val="231F20"/>
                <w:w w:val="105"/>
                <w:sz w:val="12"/>
              </w:rPr>
              <w:t>Public</w:t>
            </w:r>
            <w:r>
              <w:rPr>
                <w:color w:val="231F20"/>
                <w:spacing w:val="-7"/>
                <w:w w:val="105"/>
                <w:sz w:val="12"/>
              </w:rPr>
              <w:t> </w:t>
            </w:r>
            <w:r>
              <w:rPr>
                <w:color w:val="231F20"/>
                <w:spacing w:val="-2"/>
                <w:w w:val="105"/>
                <w:sz w:val="12"/>
              </w:rPr>
              <w:t>Assistance</w:t>
            </w:r>
          </w:p>
        </w:tc>
        <w:tc>
          <w:tcPr>
            <w:tcW w:w="2573" w:type="dxa"/>
          </w:tcPr>
          <w:p>
            <w:pPr>
              <w:pStyle w:val="TableParagraph"/>
              <w:spacing w:line="132" w:lineRule="exact" w:before="20"/>
              <w:ind w:left="501"/>
              <w:rPr>
                <w:sz w:val="12"/>
              </w:rPr>
            </w:pPr>
            <w:r>
              <w:rPr>
                <w:color w:val="231F20"/>
                <w:spacing w:val="-4"/>
                <w:w w:val="105"/>
                <w:sz w:val="12"/>
              </w:rPr>
              <w:t>MARP</w:t>
            </w:r>
          </w:p>
        </w:tc>
        <w:tc>
          <w:tcPr>
            <w:tcW w:w="3899" w:type="dxa"/>
          </w:tcPr>
          <w:p>
            <w:pPr>
              <w:pStyle w:val="TableParagraph"/>
              <w:spacing w:before="14"/>
              <w:ind w:left="1669"/>
              <w:rPr>
                <w:sz w:val="12"/>
              </w:rPr>
            </w:pPr>
            <w:r>
              <w:rPr>
                <w:color w:val="231F20"/>
                <w:sz w:val="12"/>
              </w:rPr>
              <w:t>21-795-</w:t>
            </w:r>
            <w:r>
              <w:rPr>
                <w:color w:val="231F20"/>
                <w:spacing w:val="-5"/>
                <w:sz w:val="12"/>
              </w:rPr>
              <w:t>002</w:t>
            </w:r>
          </w:p>
        </w:tc>
        <w:tc>
          <w:tcPr>
            <w:tcW w:w="1200" w:type="dxa"/>
          </w:tcPr>
          <w:p>
            <w:pPr>
              <w:pStyle w:val="TableParagraph"/>
              <w:spacing w:line="132" w:lineRule="exact" w:before="20"/>
              <w:ind w:left="412" w:right="371"/>
              <w:jc w:val="center"/>
              <w:rPr>
                <w:sz w:val="12"/>
              </w:rPr>
            </w:pPr>
            <w:r>
              <w:rPr>
                <w:color w:val="231F20"/>
                <w:spacing w:val="-2"/>
                <w:w w:val="105"/>
                <w:sz w:val="12"/>
              </w:rPr>
              <w:t>97.036</w:t>
            </w:r>
          </w:p>
        </w:tc>
        <w:tc>
          <w:tcPr>
            <w:tcW w:w="1130" w:type="dxa"/>
          </w:tcPr>
          <w:p>
            <w:pPr>
              <w:pStyle w:val="TableParagraph"/>
              <w:spacing w:line="132" w:lineRule="exact" w:before="20"/>
              <w:ind w:right="73"/>
              <w:jc w:val="right"/>
              <w:rPr>
                <w:sz w:val="12"/>
              </w:rPr>
            </w:pPr>
            <w:r>
              <w:rPr>
                <w:color w:val="231F20"/>
                <w:w w:val="104"/>
                <w:sz w:val="12"/>
              </w:rPr>
              <w:t>-</w:t>
            </w:r>
          </w:p>
        </w:tc>
        <w:tc>
          <w:tcPr>
            <w:tcW w:w="155" w:type="dxa"/>
          </w:tcPr>
          <w:p>
            <w:pPr>
              <w:pStyle w:val="TableParagraph"/>
              <w:rPr>
                <w:rFonts w:ascii="Times New Roman"/>
                <w:sz w:val="10"/>
              </w:rPr>
            </w:pPr>
          </w:p>
        </w:tc>
        <w:tc>
          <w:tcPr>
            <w:tcW w:w="1131" w:type="dxa"/>
          </w:tcPr>
          <w:p>
            <w:pPr>
              <w:pStyle w:val="TableParagraph"/>
              <w:spacing w:line="132" w:lineRule="exact" w:before="20"/>
              <w:ind w:right="75"/>
              <w:jc w:val="right"/>
              <w:rPr>
                <w:sz w:val="12"/>
              </w:rPr>
            </w:pPr>
            <w:r>
              <w:rPr>
                <w:color w:val="231F20"/>
                <w:spacing w:val="-2"/>
                <w:w w:val="105"/>
                <w:sz w:val="12"/>
              </w:rPr>
              <w:t>69,385</w:t>
            </w:r>
          </w:p>
        </w:tc>
      </w:tr>
      <w:tr>
        <w:trPr>
          <w:trHeight w:val="171" w:hRule="atLeast"/>
        </w:trPr>
        <w:tc>
          <w:tcPr>
            <w:tcW w:w="4302" w:type="dxa"/>
          </w:tcPr>
          <w:p>
            <w:pPr>
              <w:pStyle w:val="TableParagraph"/>
              <w:spacing w:before="14"/>
              <w:ind w:left="372"/>
              <w:rPr>
                <w:sz w:val="12"/>
              </w:rPr>
            </w:pPr>
            <w:r>
              <w:rPr>
                <w:color w:val="231F20"/>
                <w:spacing w:val="-2"/>
                <w:w w:val="105"/>
                <w:sz w:val="12"/>
              </w:rPr>
              <w:t>Emergency</w:t>
            </w:r>
            <w:r>
              <w:rPr>
                <w:color w:val="231F20"/>
                <w:spacing w:val="3"/>
                <w:w w:val="105"/>
                <w:sz w:val="12"/>
              </w:rPr>
              <w:t> </w:t>
            </w:r>
            <w:r>
              <w:rPr>
                <w:color w:val="231F20"/>
                <w:spacing w:val="-2"/>
                <w:w w:val="105"/>
                <w:sz w:val="12"/>
              </w:rPr>
              <w:t>Management</w:t>
            </w:r>
            <w:r>
              <w:rPr>
                <w:color w:val="231F20"/>
                <w:spacing w:val="4"/>
                <w:w w:val="105"/>
                <w:sz w:val="12"/>
              </w:rPr>
              <w:t> </w:t>
            </w:r>
            <w:r>
              <w:rPr>
                <w:color w:val="231F20"/>
                <w:spacing w:val="-2"/>
                <w:w w:val="105"/>
                <w:sz w:val="12"/>
              </w:rPr>
              <w:t>Performance</w:t>
            </w:r>
            <w:r>
              <w:rPr>
                <w:color w:val="231F20"/>
                <w:spacing w:val="6"/>
                <w:w w:val="105"/>
                <w:sz w:val="12"/>
              </w:rPr>
              <w:t> </w:t>
            </w:r>
            <w:r>
              <w:rPr>
                <w:color w:val="231F20"/>
                <w:spacing w:val="-2"/>
                <w:w w:val="105"/>
                <w:sz w:val="12"/>
              </w:rPr>
              <w:t>Grants</w:t>
            </w:r>
          </w:p>
        </w:tc>
        <w:tc>
          <w:tcPr>
            <w:tcW w:w="2573" w:type="dxa"/>
          </w:tcPr>
          <w:p>
            <w:pPr>
              <w:pStyle w:val="TableParagraph"/>
              <w:spacing w:line="132" w:lineRule="exact" w:before="20"/>
              <w:ind w:left="462"/>
              <w:rPr>
                <w:sz w:val="12"/>
              </w:rPr>
            </w:pPr>
            <w:r>
              <w:rPr>
                <w:color w:val="231F20"/>
                <w:spacing w:val="-2"/>
                <w:w w:val="105"/>
                <w:sz w:val="12"/>
              </w:rPr>
              <w:t>MEMT7</w:t>
            </w:r>
          </w:p>
        </w:tc>
        <w:tc>
          <w:tcPr>
            <w:tcW w:w="3899" w:type="dxa"/>
          </w:tcPr>
          <w:p>
            <w:pPr>
              <w:pStyle w:val="TableParagraph"/>
              <w:spacing w:before="14"/>
              <w:ind w:left="1669"/>
              <w:rPr>
                <w:sz w:val="12"/>
              </w:rPr>
            </w:pPr>
            <w:r>
              <w:rPr>
                <w:color w:val="231F20"/>
                <w:sz w:val="12"/>
              </w:rPr>
              <w:t>22-795-</w:t>
            </w:r>
            <w:r>
              <w:rPr>
                <w:color w:val="231F20"/>
                <w:spacing w:val="-5"/>
                <w:sz w:val="12"/>
              </w:rPr>
              <w:t>004</w:t>
            </w:r>
          </w:p>
        </w:tc>
        <w:tc>
          <w:tcPr>
            <w:tcW w:w="1200" w:type="dxa"/>
          </w:tcPr>
          <w:p>
            <w:pPr>
              <w:pStyle w:val="TableParagraph"/>
              <w:spacing w:line="132" w:lineRule="exact" w:before="20"/>
              <w:ind w:left="412" w:right="371"/>
              <w:jc w:val="center"/>
              <w:rPr>
                <w:sz w:val="12"/>
              </w:rPr>
            </w:pPr>
            <w:r>
              <w:rPr>
                <w:color w:val="231F20"/>
                <w:spacing w:val="-2"/>
                <w:w w:val="105"/>
                <w:sz w:val="12"/>
              </w:rPr>
              <w:t>97.042</w:t>
            </w:r>
          </w:p>
        </w:tc>
        <w:tc>
          <w:tcPr>
            <w:tcW w:w="1130" w:type="dxa"/>
          </w:tcPr>
          <w:p>
            <w:pPr>
              <w:pStyle w:val="TableParagraph"/>
              <w:spacing w:line="132" w:lineRule="exact" w:before="20"/>
              <w:ind w:right="73"/>
              <w:jc w:val="right"/>
              <w:rPr>
                <w:sz w:val="12"/>
              </w:rPr>
            </w:pPr>
            <w:r>
              <w:rPr>
                <w:color w:val="231F20"/>
                <w:w w:val="104"/>
                <w:sz w:val="12"/>
              </w:rPr>
              <w:t>-</w:t>
            </w:r>
          </w:p>
        </w:tc>
        <w:tc>
          <w:tcPr>
            <w:tcW w:w="155" w:type="dxa"/>
          </w:tcPr>
          <w:p>
            <w:pPr>
              <w:pStyle w:val="TableParagraph"/>
              <w:rPr>
                <w:rFonts w:ascii="Times New Roman"/>
                <w:sz w:val="10"/>
              </w:rPr>
            </w:pPr>
          </w:p>
        </w:tc>
        <w:tc>
          <w:tcPr>
            <w:tcW w:w="1131" w:type="dxa"/>
          </w:tcPr>
          <w:p>
            <w:pPr>
              <w:pStyle w:val="TableParagraph"/>
              <w:spacing w:line="132" w:lineRule="exact" w:before="20"/>
              <w:ind w:right="75"/>
              <w:jc w:val="right"/>
              <w:rPr>
                <w:sz w:val="12"/>
              </w:rPr>
            </w:pPr>
            <w:r>
              <w:rPr>
                <w:color w:val="231F20"/>
                <w:spacing w:val="-5"/>
                <w:w w:val="105"/>
                <w:sz w:val="12"/>
              </w:rPr>
              <w:t>868</w:t>
            </w:r>
          </w:p>
        </w:tc>
      </w:tr>
      <w:tr>
        <w:trPr>
          <w:trHeight w:val="163" w:hRule="atLeast"/>
        </w:trPr>
        <w:tc>
          <w:tcPr>
            <w:tcW w:w="4302" w:type="dxa"/>
          </w:tcPr>
          <w:p>
            <w:pPr>
              <w:pStyle w:val="TableParagraph"/>
              <w:spacing w:line="130" w:lineRule="exact" w:before="14"/>
              <w:ind w:left="372"/>
              <w:rPr>
                <w:sz w:val="12"/>
              </w:rPr>
            </w:pPr>
            <w:r>
              <w:rPr>
                <w:color w:val="231F20"/>
                <w:spacing w:val="-2"/>
                <w:w w:val="105"/>
                <w:sz w:val="12"/>
              </w:rPr>
              <w:t>Emergency</w:t>
            </w:r>
            <w:r>
              <w:rPr>
                <w:color w:val="231F20"/>
                <w:spacing w:val="3"/>
                <w:w w:val="105"/>
                <w:sz w:val="12"/>
              </w:rPr>
              <w:t> </w:t>
            </w:r>
            <w:r>
              <w:rPr>
                <w:color w:val="231F20"/>
                <w:spacing w:val="-2"/>
                <w:w w:val="105"/>
                <w:sz w:val="12"/>
              </w:rPr>
              <w:t>Management</w:t>
            </w:r>
            <w:r>
              <w:rPr>
                <w:color w:val="231F20"/>
                <w:spacing w:val="4"/>
                <w:w w:val="105"/>
                <w:sz w:val="12"/>
              </w:rPr>
              <w:t> </w:t>
            </w:r>
            <w:r>
              <w:rPr>
                <w:color w:val="231F20"/>
                <w:spacing w:val="-2"/>
                <w:w w:val="105"/>
                <w:sz w:val="12"/>
              </w:rPr>
              <w:t>Performance</w:t>
            </w:r>
            <w:r>
              <w:rPr>
                <w:color w:val="231F20"/>
                <w:spacing w:val="6"/>
                <w:w w:val="105"/>
                <w:sz w:val="12"/>
              </w:rPr>
              <w:t> </w:t>
            </w:r>
            <w:r>
              <w:rPr>
                <w:color w:val="231F20"/>
                <w:spacing w:val="-2"/>
                <w:w w:val="105"/>
                <w:sz w:val="12"/>
              </w:rPr>
              <w:t>Grants</w:t>
            </w:r>
          </w:p>
        </w:tc>
        <w:tc>
          <w:tcPr>
            <w:tcW w:w="2573" w:type="dxa"/>
          </w:tcPr>
          <w:p>
            <w:pPr>
              <w:pStyle w:val="TableParagraph"/>
              <w:spacing w:line="124" w:lineRule="exact" w:before="20"/>
              <w:ind w:left="462"/>
              <w:rPr>
                <w:sz w:val="12"/>
              </w:rPr>
            </w:pPr>
            <w:r>
              <w:rPr>
                <w:color w:val="231F20"/>
                <w:spacing w:val="-2"/>
                <w:w w:val="105"/>
                <w:sz w:val="12"/>
              </w:rPr>
              <w:t>MEMT6</w:t>
            </w:r>
          </w:p>
        </w:tc>
        <w:tc>
          <w:tcPr>
            <w:tcW w:w="3899" w:type="dxa"/>
          </w:tcPr>
          <w:p>
            <w:pPr>
              <w:pStyle w:val="TableParagraph"/>
              <w:spacing w:line="130" w:lineRule="exact" w:before="14"/>
              <w:ind w:left="1669"/>
              <w:rPr>
                <w:sz w:val="12"/>
              </w:rPr>
            </w:pPr>
            <w:r>
              <w:rPr>
                <w:color w:val="231F20"/>
                <w:sz w:val="12"/>
              </w:rPr>
              <w:t>21-795-</w:t>
            </w:r>
            <w:r>
              <w:rPr>
                <w:color w:val="231F20"/>
                <w:spacing w:val="-4"/>
                <w:sz w:val="12"/>
              </w:rPr>
              <w:t>0001</w:t>
            </w:r>
          </w:p>
        </w:tc>
        <w:tc>
          <w:tcPr>
            <w:tcW w:w="1200" w:type="dxa"/>
          </w:tcPr>
          <w:p>
            <w:pPr>
              <w:pStyle w:val="TableParagraph"/>
              <w:spacing w:line="124" w:lineRule="exact" w:before="20"/>
              <w:ind w:left="412" w:right="371"/>
              <w:jc w:val="center"/>
              <w:rPr>
                <w:sz w:val="12"/>
              </w:rPr>
            </w:pPr>
            <w:r>
              <w:rPr>
                <w:color w:val="231F20"/>
                <w:spacing w:val="-2"/>
                <w:w w:val="105"/>
                <w:sz w:val="12"/>
              </w:rPr>
              <w:t>97.042</w:t>
            </w:r>
          </w:p>
        </w:tc>
        <w:tc>
          <w:tcPr>
            <w:tcW w:w="1130" w:type="dxa"/>
            <w:tcBorders>
              <w:bottom w:val="single" w:sz="8" w:space="0" w:color="231F20"/>
            </w:tcBorders>
          </w:tcPr>
          <w:p>
            <w:pPr>
              <w:pStyle w:val="TableParagraph"/>
              <w:spacing w:line="124" w:lineRule="exact" w:before="20"/>
              <w:ind w:right="73"/>
              <w:jc w:val="right"/>
              <w:rPr>
                <w:sz w:val="12"/>
              </w:rPr>
            </w:pPr>
            <w:r>
              <w:rPr>
                <w:color w:val="231F20"/>
                <w:w w:val="104"/>
                <w:sz w:val="12"/>
              </w:rPr>
              <w:t>-</w:t>
            </w:r>
          </w:p>
        </w:tc>
        <w:tc>
          <w:tcPr>
            <w:tcW w:w="155" w:type="dxa"/>
          </w:tcPr>
          <w:p>
            <w:pPr>
              <w:pStyle w:val="TableParagraph"/>
              <w:rPr>
                <w:rFonts w:ascii="Times New Roman"/>
                <w:sz w:val="10"/>
              </w:rPr>
            </w:pPr>
          </w:p>
        </w:tc>
        <w:tc>
          <w:tcPr>
            <w:tcW w:w="1131" w:type="dxa"/>
            <w:tcBorders>
              <w:bottom w:val="single" w:sz="8" w:space="0" w:color="231F20"/>
            </w:tcBorders>
          </w:tcPr>
          <w:p>
            <w:pPr>
              <w:pStyle w:val="TableParagraph"/>
              <w:spacing w:line="124" w:lineRule="exact" w:before="20"/>
              <w:ind w:right="75"/>
              <w:jc w:val="right"/>
              <w:rPr>
                <w:sz w:val="12"/>
              </w:rPr>
            </w:pPr>
            <w:r>
              <w:rPr>
                <w:color w:val="231F20"/>
                <w:spacing w:val="-2"/>
                <w:w w:val="105"/>
                <w:sz w:val="12"/>
              </w:rPr>
              <w:t>4,612</w:t>
            </w:r>
          </w:p>
        </w:tc>
      </w:tr>
      <w:tr>
        <w:trPr>
          <w:trHeight w:val="150" w:hRule="atLeast"/>
        </w:trPr>
        <w:tc>
          <w:tcPr>
            <w:tcW w:w="4302" w:type="dxa"/>
          </w:tcPr>
          <w:p>
            <w:pPr>
              <w:pStyle w:val="TableParagraph"/>
              <w:spacing w:line="123" w:lineRule="exact" w:before="8"/>
              <w:ind w:left="202"/>
              <w:rPr>
                <w:b/>
                <w:sz w:val="12"/>
              </w:rPr>
            </w:pPr>
            <w:r>
              <w:rPr>
                <w:b/>
                <w:color w:val="231F20"/>
                <w:w w:val="105"/>
                <w:sz w:val="12"/>
              </w:rPr>
              <w:t>Total</w:t>
            </w:r>
            <w:r>
              <w:rPr>
                <w:b/>
                <w:color w:val="231F20"/>
                <w:spacing w:val="-6"/>
                <w:w w:val="105"/>
                <w:sz w:val="12"/>
              </w:rPr>
              <w:t> </w:t>
            </w:r>
            <w:r>
              <w:rPr>
                <w:b/>
                <w:color w:val="231F20"/>
                <w:w w:val="105"/>
                <w:sz w:val="12"/>
              </w:rPr>
              <w:t>Pass-through</w:t>
            </w:r>
            <w:r>
              <w:rPr>
                <w:b/>
                <w:color w:val="231F20"/>
                <w:spacing w:val="-6"/>
                <w:w w:val="105"/>
                <w:sz w:val="12"/>
              </w:rPr>
              <w:t> </w:t>
            </w:r>
            <w:r>
              <w:rPr>
                <w:b/>
                <w:color w:val="231F20"/>
                <w:w w:val="105"/>
                <w:sz w:val="12"/>
              </w:rPr>
              <w:t>U.S.</w:t>
            </w:r>
            <w:r>
              <w:rPr>
                <w:b/>
                <w:color w:val="231F20"/>
                <w:spacing w:val="-6"/>
                <w:w w:val="105"/>
                <w:sz w:val="12"/>
              </w:rPr>
              <w:t> </w:t>
            </w:r>
            <w:r>
              <w:rPr>
                <w:b/>
                <w:color w:val="231F20"/>
                <w:w w:val="105"/>
                <w:sz w:val="12"/>
              </w:rPr>
              <w:t>Department</w:t>
            </w:r>
            <w:r>
              <w:rPr>
                <w:b/>
                <w:color w:val="231F20"/>
                <w:spacing w:val="-6"/>
                <w:w w:val="105"/>
                <w:sz w:val="12"/>
              </w:rPr>
              <w:t> </w:t>
            </w:r>
            <w:r>
              <w:rPr>
                <w:b/>
                <w:color w:val="231F20"/>
                <w:w w:val="105"/>
                <w:sz w:val="12"/>
              </w:rPr>
              <w:t>of</w:t>
            </w:r>
            <w:r>
              <w:rPr>
                <w:b/>
                <w:color w:val="231F20"/>
                <w:spacing w:val="-6"/>
                <w:w w:val="105"/>
                <w:sz w:val="12"/>
              </w:rPr>
              <w:t> </w:t>
            </w:r>
            <w:r>
              <w:rPr>
                <w:b/>
                <w:color w:val="231F20"/>
                <w:w w:val="105"/>
                <w:sz w:val="12"/>
              </w:rPr>
              <w:t>Homeland</w:t>
            </w:r>
            <w:r>
              <w:rPr>
                <w:b/>
                <w:color w:val="231F20"/>
                <w:spacing w:val="-6"/>
                <w:w w:val="105"/>
                <w:sz w:val="12"/>
              </w:rPr>
              <w:t> </w:t>
            </w:r>
            <w:r>
              <w:rPr>
                <w:b/>
                <w:color w:val="231F20"/>
                <w:spacing w:val="-2"/>
                <w:w w:val="105"/>
                <w:sz w:val="12"/>
              </w:rPr>
              <w:t>Security</w:t>
            </w:r>
          </w:p>
        </w:tc>
        <w:tc>
          <w:tcPr>
            <w:tcW w:w="2573" w:type="dxa"/>
          </w:tcPr>
          <w:p>
            <w:pPr>
              <w:pStyle w:val="TableParagraph"/>
              <w:rPr>
                <w:rFonts w:ascii="Times New Roman"/>
                <w:sz w:val="8"/>
              </w:rPr>
            </w:pPr>
          </w:p>
        </w:tc>
        <w:tc>
          <w:tcPr>
            <w:tcW w:w="3899" w:type="dxa"/>
          </w:tcPr>
          <w:p>
            <w:pPr>
              <w:pStyle w:val="TableParagraph"/>
              <w:rPr>
                <w:rFonts w:ascii="Times New Roman"/>
                <w:sz w:val="8"/>
              </w:rPr>
            </w:pPr>
          </w:p>
        </w:tc>
        <w:tc>
          <w:tcPr>
            <w:tcW w:w="1200" w:type="dxa"/>
          </w:tcPr>
          <w:p>
            <w:pPr>
              <w:pStyle w:val="TableParagraph"/>
              <w:rPr>
                <w:rFonts w:ascii="Times New Roman"/>
                <w:sz w:val="8"/>
              </w:rPr>
            </w:pPr>
          </w:p>
        </w:tc>
        <w:tc>
          <w:tcPr>
            <w:tcW w:w="1130" w:type="dxa"/>
            <w:tcBorders>
              <w:top w:val="single" w:sz="8" w:space="0" w:color="231F20"/>
              <w:bottom w:val="single" w:sz="8" w:space="0" w:color="231F20"/>
            </w:tcBorders>
          </w:tcPr>
          <w:p>
            <w:pPr>
              <w:pStyle w:val="TableParagraph"/>
              <w:spacing w:line="123" w:lineRule="exact" w:before="8"/>
              <w:ind w:right="72"/>
              <w:jc w:val="right"/>
              <w:rPr>
                <w:b/>
                <w:sz w:val="12"/>
              </w:rPr>
            </w:pPr>
            <w:r>
              <w:rPr>
                <w:b/>
                <w:color w:val="231F20"/>
                <w:w w:val="104"/>
                <w:sz w:val="12"/>
              </w:rPr>
              <w:t>-</w:t>
            </w:r>
          </w:p>
        </w:tc>
        <w:tc>
          <w:tcPr>
            <w:tcW w:w="155" w:type="dxa"/>
          </w:tcPr>
          <w:p>
            <w:pPr>
              <w:pStyle w:val="TableParagraph"/>
              <w:rPr>
                <w:rFonts w:ascii="Times New Roman"/>
                <w:sz w:val="8"/>
              </w:rPr>
            </w:pPr>
          </w:p>
        </w:tc>
        <w:tc>
          <w:tcPr>
            <w:tcW w:w="1131" w:type="dxa"/>
            <w:tcBorders>
              <w:top w:val="single" w:sz="8" w:space="0" w:color="231F20"/>
              <w:bottom w:val="single" w:sz="8" w:space="0" w:color="231F20"/>
            </w:tcBorders>
          </w:tcPr>
          <w:p>
            <w:pPr>
              <w:pStyle w:val="TableParagraph"/>
              <w:spacing w:line="123" w:lineRule="exact" w:before="8"/>
              <w:ind w:right="75"/>
              <w:jc w:val="right"/>
              <w:rPr>
                <w:b/>
                <w:sz w:val="12"/>
              </w:rPr>
            </w:pPr>
            <w:r>
              <w:rPr>
                <w:b/>
                <w:color w:val="231F20"/>
                <w:spacing w:val="-2"/>
                <w:w w:val="105"/>
                <w:sz w:val="12"/>
              </w:rPr>
              <w:t>74,865</w:t>
            </w:r>
          </w:p>
        </w:tc>
      </w:tr>
      <w:tr>
        <w:trPr>
          <w:trHeight w:val="265" w:hRule="atLeast"/>
        </w:trPr>
        <w:tc>
          <w:tcPr>
            <w:tcW w:w="4302" w:type="dxa"/>
          </w:tcPr>
          <w:p>
            <w:pPr>
              <w:pStyle w:val="TableParagraph"/>
              <w:spacing w:line="123" w:lineRule="exact" w:before="123"/>
              <w:ind w:left="33"/>
              <w:rPr>
                <w:b/>
                <w:sz w:val="12"/>
              </w:rPr>
            </w:pPr>
            <w:r>
              <w:rPr>
                <w:b/>
                <w:color w:val="231F20"/>
                <w:w w:val="105"/>
                <w:sz w:val="12"/>
              </w:rPr>
              <w:t>Total</w:t>
            </w:r>
            <w:r>
              <w:rPr>
                <w:b/>
                <w:color w:val="231F20"/>
                <w:spacing w:val="-6"/>
                <w:w w:val="105"/>
                <w:sz w:val="12"/>
              </w:rPr>
              <w:t> </w:t>
            </w:r>
            <w:r>
              <w:rPr>
                <w:b/>
                <w:color w:val="231F20"/>
                <w:w w:val="105"/>
                <w:sz w:val="12"/>
              </w:rPr>
              <w:t>U.S.</w:t>
            </w:r>
            <w:r>
              <w:rPr>
                <w:b/>
                <w:color w:val="231F20"/>
                <w:spacing w:val="-5"/>
                <w:w w:val="105"/>
                <w:sz w:val="12"/>
              </w:rPr>
              <w:t> </w:t>
            </w:r>
            <w:r>
              <w:rPr>
                <w:b/>
                <w:color w:val="231F20"/>
                <w:w w:val="105"/>
                <w:sz w:val="12"/>
              </w:rPr>
              <w:t>Department</w:t>
            </w:r>
            <w:r>
              <w:rPr>
                <w:b/>
                <w:color w:val="231F20"/>
                <w:spacing w:val="-5"/>
                <w:w w:val="105"/>
                <w:sz w:val="12"/>
              </w:rPr>
              <w:t> </w:t>
            </w:r>
            <w:r>
              <w:rPr>
                <w:b/>
                <w:color w:val="231F20"/>
                <w:w w:val="105"/>
                <w:sz w:val="12"/>
              </w:rPr>
              <w:t>of</w:t>
            </w:r>
            <w:r>
              <w:rPr>
                <w:b/>
                <w:color w:val="231F20"/>
                <w:spacing w:val="-5"/>
                <w:w w:val="105"/>
                <w:sz w:val="12"/>
              </w:rPr>
              <w:t> </w:t>
            </w:r>
            <w:r>
              <w:rPr>
                <w:b/>
                <w:color w:val="231F20"/>
                <w:w w:val="105"/>
                <w:sz w:val="12"/>
              </w:rPr>
              <w:t>Homeland</w:t>
            </w:r>
            <w:r>
              <w:rPr>
                <w:b/>
                <w:color w:val="231F20"/>
                <w:spacing w:val="-5"/>
                <w:w w:val="105"/>
                <w:sz w:val="12"/>
              </w:rPr>
              <w:t> </w:t>
            </w:r>
            <w:r>
              <w:rPr>
                <w:b/>
                <w:color w:val="231F20"/>
                <w:spacing w:val="-2"/>
                <w:w w:val="105"/>
                <w:sz w:val="12"/>
              </w:rPr>
              <w:t>Security</w:t>
            </w:r>
          </w:p>
        </w:tc>
        <w:tc>
          <w:tcPr>
            <w:tcW w:w="2573" w:type="dxa"/>
          </w:tcPr>
          <w:p>
            <w:pPr>
              <w:pStyle w:val="TableParagraph"/>
              <w:rPr>
                <w:rFonts w:ascii="Times New Roman"/>
                <w:sz w:val="12"/>
              </w:rPr>
            </w:pPr>
          </w:p>
        </w:tc>
        <w:tc>
          <w:tcPr>
            <w:tcW w:w="3899" w:type="dxa"/>
          </w:tcPr>
          <w:p>
            <w:pPr>
              <w:pStyle w:val="TableParagraph"/>
              <w:rPr>
                <w:rFonts w:ascii="Times New Roman"/>
                <w:sz w:val="12"/>
              </w:rPr>
            </w:pPr>
          </w:p>
        </w:tc>
        <w:tc>
          <w:tcPr>
            <w:tcW w:w="1200" w:type="dxa"/>
          </w:tcPr>
          <w:p>
            <w:pPr>
              <w:pStyle w:val="TableParagraph"/>
              <w:rPr>
                <w:rFonts w:ascii="Times New Roman"/>
                <w:sz w:val="12"/>
              </w:rPr>
            </w:pPr>
          </w:p>
        </w:tc>
        <w:tc>
          <w:tcPr>
            <w:tcW w:w="1130" w:type="dxa"/>
            <w:tcBorders>
              <w:top w:val="single" w:sz="8" w:space="0" w:color="231F20"/>
              <w:bottom w:val="single" w:sz="8" w:space="0" w:color="231F20"/>
            </w:tcBorders>
          </w:tcPr>
          <w:p>
            <w:pPr>
              <w:pStyle w:val="TableParagraph"/>
              <w:spacing w:line="123" w:lineRule="exact" w:before="123"/>
              <w:ind w:right="72"/>
              <w:jc w:val="right"/>
              <w:rPr>
                <w:b/>
                <w:sz w:val="12"/>
              </w:rPr>
            </w:pPr>
            <w:r>
              <w:rPr>
                <w:b/>
                <w:color w:val="231F20"/>
                <w:w w:val="104"/>
                <w:sz w:val="12"/>
              </w:rPr>
              <w:t>-</w:t>
            </w:r>
          </w:p>
        </w:tc>
        <w:tc>
          <w:tcPr>
            <w:tcW w:w="155" w:type="dxa"/>
          </w:tcPr>
          <w:p>
            <w:pPr>
              <w:pStyle w:val="TableParagraph"/>
              <w:rPr>
                <w:rFonts w:ascii="Times New Roman"/>
                <w:sz w:val="12"/>
              </w:rPr>
            </w:pPr>
          </w:p>
        </w:tc>
        <w:tc>
          <w:tcPr>
            <w:tcW w:w="1131" w:type="dxa"/>
            <w:tcBorders>
              <w:top w:val="single" w:sz="8" w:space="0" w:color="231F20"/>
              <w:bottom w:val="single" w:sz="8" w:space="0" w:color="231F20"/>
            </w:tcBorders>
          </w:tcPr>
          <w:p>
            <w:pPr>
              <w:pStyle w:val="TableParagraph"/>
              <w:spacing w:line="123" w:lineRule="exact" w:before="123"/>
              <w:ind w:right="75"/>
              <w:jc w:val="right"/>
              <w:rPr>
                <w:b/>
                <w:sz w:val="12"/>
              </w:rPr>
            </w:pPr>
            <w:r>
              <w:rPr>
                <w:b/>
                <w:color w:val="231F20"/>
                <w:spacing w:val="-2"/>
                <w:w w:val="105"/>
                <w:sz w:val="12"/>
              </w:rPr>
              <w:t>19,420,439</w:t>
            </w:r>
          </w:p>
        </w:tc>
      </w:tr>
      <w:tr>
        <w:trPr>
          <w:trHeight w:val="262" w:hRule="atLeast"/>
        </w:trPr>
        <w:tc>
          <w:tcPr>
            <w:tcW w:w="4302" w:type="dxa"/>
          </w:tcPr>
          <w:p>
            <w:pPr>
              <w:pStyle w:val="TableParagraph"/>
              <w:spacing w:line="124" w:lineRule="exact" w:before="118"/>
              <w:ind w:left="33"/>
              <w:rPr>
                <w:b/>
                <w:sz w:val="12"/>
              </w:rPr>
            </w:pPr>
            <w:r>
              <w:rPr>
                <w:b/>
                <w:color w:val="231F20"/>
                <w:w w:val="105"/>
                <w:sz w:val="12"/>
              </w:rPr>
              <w:t>Total</w:t>
            </w:r>
            <w:r>
              <w:rPr>
                <w:b/>
                <w:color w:val="231F20"/>
                <w:spacing w:val="-6"/>
                <w:w w:val="105"/>
                <w:sz w:val="12"/>
              </w:rPr>
              <w:t> </w:t>
            </w:r>
            <w:r>
              <w:rPr>
                <w:b/>
                <w:color w:val="231F20"/>
                <w:w w:val="105"/>
                <w:sz w:val="12"/>
              </w:rPr>
              <w:t>Expenditures</w:t>
            </w:r>
            <w:r>
              <w:rPr>
                <w:b/>
                <w:color w:val="231F20"/>
                <w:spacing w:val="-5"/>
                <w:w w:val="105"/>
                <w:sz w:val="12"/>
              </w:rPr>
              <w:t> </w:t>
            </w:r>
            <w:r>
              <w:rPr>
                <w:b/>
                <w:color w:val="231F20"/>
                <w:w w:val="105"/>
                <w:sz w:val="12"/>
              </w:rPr>
              <w:t>of</w:t>
            </w:r>
            <w:r>
              <w:rPr>
                <w:b/>
                <w:color w:val="231F20"/>
                <w:spacing w:val="-5"/>
                <w:w w:val="105"/>
                <w:sz w:val="12"/>
              </w:rPr>
              <w:t> </w:t>
            </w:r>
            <w:r>
              <w:rPr>
                <w:b/>
                <w:color w:val="231F20"/>
                <w:w w:val="105"/>
                <w:sz w:val="12"/>
              </w:rPr>
              <w:t>Federal</w:t>
            </w:r>
            <w:r>
              <w:rPr>
                <w:b/>
                <w:color w:val="231F20"/>
                <w:spacing w:val="-5"/>
                <w:w w:val="105"/>
                <w:sz w:val="12"/>
              </w:rPr>
              <w:t> </w:t>
            </w:r>
            <w:r>
              <w:rPr>
                <w:b/>
                <w:color w:val="231F20"/>
                <w:spacing w:val="-2"/>
                <w:w w:val="105"/>
                <w:sz w:val="12"/>
              </w:rPr>
              <w:t>Awards</w:t>
            </w:r>
          </w:p>
        </w:tc>
        <w:tc>
          <w:tcPr>
            <w:tcW w:w="2573" w:type="dxa"/>
          </w:tcPr>
          <w:p>
            <w:pPr>
              <w:pStyle w:val="TableParagraph"/>
              <w:rPr>
                <w:rFonts w:ascii="Times New Roman"/>
                <w:sz w:val="12"/>
              </w:rPr>
            </w:pPr>
          </w:p>
        </w:tc>
        <w:tc>
          <w:tcPr>
            <w:tcW w:w="3899" w:type="dxa"/>
          </w:tcPr>
          <w:p>
            <w:pPr>
              <w:pStyle w:val="TableParagraph"/>
              <w:rPr>
                <w:rFonts w:ascii="Times New Roman"/>
                <w:sz w:val="12"/>
              </w:rPr>
            </w:pPr>
          </w:p>
        </w:tc>
        <w:tc>
          <w:tcPr>
            <w:tcW w:w="1200" w:type="dxa"/>
          </w:tcPr>
          <w:p>
            <w:pPr>
              <w:pStyle w:val="TableParagraph"/>
              <w:rPr>
                <w:rFonts w:ascii="Times New Roman"/>
                <w:sz w:val="12"/>
              </w:rPr>
            </w:pPr>
          </w:p>
        </w:tc>
        <w:tc>
          <w:tcPr>
            <w:tcW w:w="1130" w:type="dxa"/>
            <w:tcBorders>
              <w:top w:val="single" w:sz="8" w:space="0" w:color="231F20"/>
              <w:bottom w:val="single" w:sz="8" w:space="0" w:color="231F20"/>
            </w:tcBorders>
          </w:tcPr>
          <w:p>
            <w:pPr>
              <w:pStyle w:val="TableParagraph"/>
              <w:tabs>
                <w:tab w:pos="431" w:val="left" w:leader="none"/>
              </w:tabs>
              <w:spacing w:line="124" w:lineRule="exact" w:before="118"/>
              <w:ind w:right="72"/>
              <w:jc w:val="right"/>
              <w:rPr>
                <w:b/>
                <w:sz w:val="12"/>
              </w:rPr>
            </w:pPr>
            <w:r>
              <w:rPr>
                <w:b/>
                <w:color w:val="231F20"/>
                <w:spacing w:val="-10"/>
                <w:w w:val="105"/>
                <w:sz w:val="12"/>
              </w:rPr>
              <w:t>$</w:t>
            </w:r>
            <w:r>
              <w:rPr>
                <w:b/>
                <w:color w:val="231F20"/>
                <w:sz w:val="12"/>
              </w:rPr>
              <w:tab/>
            </w:r>
            <w:r>
              <w:rPr>
                <w:b/>
                <w:color w:val="231F20"/>
                <w:spacing w:val="-2"/>
                <w:w w:val="105"/>
                <w:sz w:val="12"/>
              </w:rPr>
              <w:t>5,146,726</w:t>
            </w:r>
          </w:p>
        </w:tc>
        <w:tc>
          <w:tcPr>
            <w:tcW w:w="155" w:type="dxa"/>
          </w:tcPr>
          <w:p>
            <w:pPr>
              <w:pStyle w:val="TableParagraph"/>
              <w:rPr>
                <w:rFonts w:ascii="Times New Roman"/>
                <w:sz w:val="12"/>
              </w:rPr>
            </w:pPr>
          </w:p>
        </w:tc>
        <w:tc>
          <w:tcPr>
            <w:tcW w:w="1131" w:type="dxa"/>
            <w:tcBorders>
              <w:top w:val="single" w:sz="8" w:space="0" w:color="231F20"/>
              <w:bottom w:val="single" w:sz="8" w:space="0" w:color="231F20"/>
            </w:tcBorders>
          </w:tcPr>
          <w:p>
            <w:pPr>
              <w:pStyle w:val="TableParagraph"/>
              <w:tabs>
                <w:tab w:pos="362" w:val="left" w:leader="none"/>
              </w:tabs>
              <w:spacing w:line="124" w:lineRule="exact" w:before="118"/>
              <w:ind w:right="76"/>
              <w:jc w:val="right"/>
              <w:rPr>
                <w:b/>
                <w:sz w:val="12"/>
              </w:rPr>
            </w:pPr>
            <w:r>
              <w:rPr>
                <w:b/>
                <w:color w:val="231F20"/>
                <w:spacing w:val="-10"/>
                <w:w w:val="105"/>
                <w:sz w:val="12"/>
              </w:rPr>
              <w:t>$</w:t>
            </w:r>
            <w:r>
              <w:rPr>
                <w:b/>
                <w:color w:val="231F20"/>
                <w:sz w:val="12"/>
              </w:rPr>
              <w:tab/>
            </w:r>
            <w:r>
              <w:rPr>
                <w:b/>
                <w:color w:val="231F20"/>
                <w:spacing w:val="-2"/>
                <w:w w:val="105"/>
                <w:sz w:val="12"/>
              </w:rPr>
              <w:t>60,374,314</w:t>
            </w:r>
          </w:p>
        </w:tc>
      </w:tr>
      <w:tr>
        <w:trPr>
          <w:trHeight w:val="17" w:hRule="atLeast"/>
        </w:trPr>
        <w:tc>
          <w:tcPr>
            <w:tcW w:w="4302" w:type="dxa"/>
          </w:tcPr>
          <w:p>
            <w:pPr>
              <w:pStyle w:val="TableParagraph"/>
              <w:rPr>
                <w:rFonts w:ascii="Times New Roman"/>
                <w:sz w:val="2"/>
              </w:rPr>
            </w:pPr>
          </w:p>
        </w:tc>
        <w:tc>
          <w:tcPr>
            <w:tcW w:w="2573" w:type="dxa"/>
          </w:tcPr>
          <w:p>
            <w:pPr>
              <w:pStyle w:val="TableParagraph"/>
              <w:rPr>
                <w:rFonts w:ascii="Times New Roman"/>
                <w:sz w:val="2"/>
              </w:rPr>
            </w:pPr>
          </w:p>
        </w:tc>
        <w:tc>
          <w:tcPr>
            <w:tcW w:w="3899" w:type="dxa"/>
          </w:tcPr>
          <w:p>
            <w:pPr>
              <w:pStyle w:val="TableParagraph"/>
              <w:rPr>
                <w:rFonts w:ascii="Times New Roman"/>
                <w:sz w:val="2"/>
              </w:rPr>
            </w:pPr>
          </w:p>
        </w:tc>
        <w:tc>
          <w:tcPr>
            <w:tcW w:w="1200" w:type="dxa"/>
          </w:tcPr>
          <w:p>
            <w:pPr>
              <w:pStyle w:val="TableParagraph"/>
              <w:rPr>
                <w:rFonts w:ascii="Times New Roman"/>
                <w:sz w:val="2"/>
              </w:rPr>
            </w:pPr>
          </w:p>
        </w:tc>
        <w:tc>
          <w:tcPr>
            <w:tcW w:w="1130" w:type="dxa"/>
            <w:tcBorders>
              <w:top w:val="single" w:sz="8" w:space="0" w:color="231F20"/>
              <w:bottom w:val="single" w:sz="8" w:space="0" w:color="231F20"/>
            </w:tcBorders>
          </w:tcPr>
          <w:p>
            <w:pPr>
              <w:pStyle w:val="TableParagraph"/>
              <w:rPr>
                <w:rFonts w:ascii="Times New Roman"/>
                <w:sz w:val="2"/>
              </w:rPr>
            </w:pPr>
          </w:p>
        </w:tc>
        <w:tc>
          <w:tcPr>
            <w:tcW w:w="155" w:type="dxa"/>
          </w:tcPr>
          <w:p>
            <w:pPr>
              <w:pStyle w:val="TableParagraph"/>
              <w:rPr>
                <w:rFonts w:ascii="Times New Roman"/>
                <w:sz w:val="2"/>
              </w:rPr>
            </w:pPr>
          </w:p>
        </w:tc>
        <w:tc>
          <w:tcPr>
            <w:tcW w:w="1131" w:type="dxa"/>
            <w:tcBorders>
              <w:top w:val="single" w:sz="8" w:space="0" w:color="231F20"/>
              <w:bottom w:val="single" w:sz="8" w:space="0" w:color="231F20"/>
            </w:tcBorders>
          </w:tcPr>
          <w:p>
            <w:pPr>
              <w:pStyle w:val="TableParagraph"/>
              <w:rPr>
                <w:rFonts w:ascii="Times New Roman"/>
                <w:sz w:val="2"/>
              </w:rPr>
            </w:pPr>
          </w:p>
        </w:tc>
      </w:tr>
    </w:tbl>
    <w:p>
      <w:pPr>
        <w:spacing w:after="0"/>
        <w:rPr>
          <w:rFonts w:ascii="Times New Roman"/>
          <w:sz w:val="2"/>
        </w:rPr>
        <w:sectPr>
          <w:pgSz w:w="15840" w:h="12240" w:orient="landscape"/>
          <w:pgMar w:header="934" w:footer="1097" w:top="1840" w:bottom="1280" w:left="560" w:right="560"/>
        </w:sectPr>
      </w:pPr>
    </w:p>
    <w:p>
      <w:pPr>
        <w:pStyle w:val="Heading2"/>
        <w:spacing w:before="80"/>
        <w:ind w:left="0" w:right="35"/>
        <w:jc w:val="center"/>
      </w:pPr>
      <w:r>
        <w:rPr>
          <w:color w:val="231F20"/>
        </w:rPr>
        <w:t>New</w:t>
      </w:r>
      <w:r>
        <w:rPr>
          <w:color w:val="231F20"/>
          <w:spacing w:val="-8"/>
        </w:rPr>
        <w:t> </w:t>
      </w:r>
      <w:r>
        <w:rPr>
          <w:color w:val="231F20"/>
        </w:rPr>
        <w:t>Mexico</w:t>
      </w:r>
      <w:r>
        <w:rPr>
          <w:color w:val="231F20"/>
          <w:spacing w:val="-7"/>
        </w:rPr>
        <w:t> </w:t>
      </w:r>
      <w:r>
        <w:rPr>
          <w:color w:val="231F20"/>
        </w:rPr>
        <w:t>Institute</w:t>
      </w:r>
      <w:r>
        <w:rPr>
          <w:color w:val="231F20"/>
          <w:spacing w:val="-7"/>
        </w:rPr>
        <w:t> </w:t>
      </w:r>
      <w:r>
        <w:rPr>
          <w:color w:val="231F20"/>
        </w:rPr>
        <w:t>of</w:t>
      </w:r>
      <w:r>
        <w:rPr>
          <w:color w:val="231F20"/>
          <w:spacing w:val="-7"/>
        </w:rPr>
        <w:t> </w:t>
      </w:r>
      <w:r>
        <w:rPr>
          <w:color w:val="231F20"/>
        </w:rPr>
        <w:t>Mining</w:t>
      </w:r>
      <w:r>
        <w:rPr>
          <w:color w:val="231F20"/>
          <w:spacing w:val="-7"/>
        </w:rPr>
        <w:t> </w:t>
      </w:r>
      <w:r>
        <w:rPr>
          <w:color w:val="231F20"/>
        </w:rPr>
        <w:t>and</w:t>
      </w:r>
      <w:r>
        <w:rPr>
          <w:color w:val="231F20"/>
          <w:spacing w:val="-7"/>
        </w:rPr>
        <w:t> </w:t>
      </w:r>
      <w:r>
        <w:rPr>
          <w:color w:val="231F20"/>
          <w:spacing w:val="-2"/>
        </w:rPr>
        <w:t>Technology</w:t>
      </w:r>
    </w:p>
    <w:p>
      <w:pPr>
        <w:pStyle w:val="Heading3"/>
        <w:ind w:right="34"/>
      </w:pPr>
      <w:r>
        <w:rPr>
          <w:color w:val="231F20"/>
        </w:rPr>
        <w:t>Notes</w:t>
      </w:r>
      <w:r>
        <w:rPr>
          <w:color w:val="231F20"/>
          <w:spacing w:val="-1"/>
        </w:rPr>
        <w:t> </w:t>
      </w:r>
      <w:r>
        <w:rPr>
          <w:color w:val="231F20"/>
        </w:rPr>
        <w:t>to</w:t>
      </w:r>
      <w:r>
        <w:rPr>
          <w:color w:val="231F20"/>
          <w:spacing w:val="-1"/>
        </w:rPr>
        <w:t> </w:t>
      </w:r>
      <w:r>
        <w:rPr>
          <w:color w:val="231F20"/>
        </w:rPr>
        <w:t>Schedule of</w:t>
      </w:r>
      <w:r>
        <w:rPr>
          <w:color w:val="231F20"/>
          <w:spacing w:val="-1"/>
        </w:rPr>
        <w:t> </w:t>
      </w:r>
      <w:r>
        <w:rPr>
          <w:color w:val="231F20"/>
        </w:rPr>
        <w:t>Expenditures of</w:t>
      </w:r>
      <w:r>
        <w:rPr>
          <w:color w:val="231F20"/>
          <w:spacing w:val="-1"/>
        </w:rPr>
        <w:t> </w:t>
      </w:r>
      <w:r>
        <w:rPr>
          <w:color w:val="231F20"/>
        </w:rPr>
        <w:t>Federal </w:t>
      </w:r>
      <w:r>
        <w:rPr>
          <w:color w:val="231F20"/>
          <w:spacing w:val="-2"/>
        </w:rPr>
        <w:t>Awards</w:t>
      </w:r>
    </w:p>
    <w:p>
      <w:pPr>
        <w:tabs>
          <w:tab w:pos="3009" w:val="left" w:leader="none"/>
          <w:tab w:pos="9419" w:val="left" w:leader="none"/>
        </w:tabs>
        <w:spacing w:before="0"/>
        <w:ind w:left="0" w:right="37" w:firstLine="0"/>
        <w:jc w:val="center"/>
        <w:rPr>
          <w:b/>
          <w:sz w:val="24"/>
        </w:rPr>
      </w:pPr>
      <w:r>
        <w:rPr>
          <w:b/>
          <w:color w:val="231F20"/>
          <w:sz w:val="24"/>
          <w:u w:val="thick" w:color="231F20"/>
        </w:rPr>
        <w:tab/>
        <w:t>For</w:t>
      </w:r>
      <w:r>
        <w:rPr>
          <w:b/>
          <w:color w:val="231F20"/>
          <w:spacing w:val="-1"/>
          <w:sz w:val="24"/>
          <w:u w:val="thick" w:color="231F20"/>
        </w:rPr>
        <w:t> </w:t>
      </w:r>
      <w:r>
        <w:rPr>
          <w:b/>
          <w:color w:val="231F20"/>
          <w:sz w:val="24"/>
          <w:u w:val="thick" w:color="231F20"/>
        </w:rPr>
        <w:t>Year</w:t>
      </w:r>
      <w:r>
        <w:rPr>
          <w:b/>
          <w:color w:val="231F20"/>
          <w:spacing w:val="-1"/>
          <w:sz w:val="24"/>
          <w:u w:val="thick" w:color="231F20"/>
        </w:rPr>
        <w:t> </w:t>
      </w:r>
      <w:r>
        <w:rPr>
          <w:b/>
          <w:color w:val="231F20"/>
          <w:sz w:val="24"/>
          <w:u w:val="thick" w:color="231F20"/>
        </w:rPr>
        <w:t>Ended</w:t>
      </w:r>
      <w:r>
        <w:rPr>
          <w:b/>
          <w:color w:val="231F20"/>
          <w:spacing w:val="-1"/>
          <w:sz w:val="24"/>
          <w:u w:val="thick" w:color="231F20"/>
        </w:rPr>
        <w:t> </w:t>
      </w:r>
      <w:r>
        <w:rPr>
          <w:b/>
          <w:color w:val="231F20"/>
          <w:sz w:val="24"/>
          <w:u w:val="thick" w:color="231F20"/>
        </w:rPr>
        <w:t>June</w:t>
      </w:r>
      <w:r>
        <w:rPr>
          <w:b/>
          <w:color w:val="231F20"/>
          <w:spacing w:val="-1"/>
          <w:sz w:val="24"/>
          <w:u w:val="thick" w:color="231F20"/>
        </w:rPr>
        <w:t> </w:t>
      </w:r>
      <w:r>
        <w:rPr>
          <w:b/>
          <w:color w:val="231F20"/>
          <w:sz w:val="24"/>
          <w:u w:val="thick" w:color="231F20"/>
        </w:rPr>
        <w:t>30,</w:t>
      </w:r>
      <w:r>
        <w:rPr>
          <w:b/>
          <w:color w:val="231F20"/>
          <w:spacing w:val="-1"/>
          <w:sz w:val="24"/>
          <w:u w:val="thick" w:color="231F20"/>
        </w:rPr>
        <w:t> </w:t>
      </w:r>
      <w:r>
        <w:rPr>
          <w:b/>
          <w:color w:val="231F20"/>
          <w:spacing w:val="-4"/>
          <w:sz w:val="24"/>
          <w:u w:val="thick" w:color="231F20"/>
        </w:rPr>
        <w:t>2022</w:t>
      </w:r>
      <w:r>
        <w:rPr>
          <w:b/>
          <w:color w:val="231F20"/>
          <w:sz w:val="24"/>
          <w:u w:val="thick" w:color="231F20"/>
        </w:rPr>
        <w:tab/>
      </w:r>
    </w:p>
    <w:p>
      <w:pPr>
        <w:pStyle w:val="BodyText"/>
        <w:rPr>
          <w:b/>
        </w:rPr>
      </w:pPr>
    </w:p>
    <w:p>
      <w:pPr>
        <w:pStyle w:val="BodyText"/>
        <w:spacing w:before="7"/>
        <w:rPr>
          <w:b/>
          <w:sz w:val="22"/>
        </w:rPr>
      </w:pPr>
    </w:p>
    <w:p>
      <w:pPr>
        <w:pStyle w:val="Heading4"/>
        <w:ind w:left="900"/>
      </w:pPr>
      <w:r>
        <w:rPr>
          <w:color w:val="231F20"/>
        </w:rPr>
        <w:t>Note</w:t>
      </w:r>
      <w:r>
        <w:rPr>
          <w:color w:val="231F20"/>
          <w:spacing w:val="-2"/>
        </w:rPr>
        <w:t> </w:t>
      </w:r>
      <w:r>
        <w:rPr>
          <w:color w:val="231F20"/>
        </w:rPr>
        <w:t>1</w:t>
      </w:r>
      <w:r>
        <w:rPr>
          <w:color w:val="231F20"/>
          <w:spacing w:val="-2"/>
        </w:rPr>
        <w:t> </w:t>
      </w:r>
      <w:r>
        <w:rPr>
          <w:color w:val="231F20"/>
        </w:rPr>
        <w:t>–</w:t>
      </w:r>
      <w:r>
        <w:rPr>
          <w:color w:val="231F20"/>
          <w:spacing w:val="-2"/>
        </w:rPr>
        <w:t> General</w:t>
      </w:r>
    </w:p>
    <w:p>
      <w:pPr>
        <w:pStyle w:val="BodyText"/>
        <w:spacing w:before="10"/>
        <w:rPr>
          <w:b/>
          <w:sz w:val="19"/>
        </w:rPr>
      </w:pPr>
    </w:p>
    <w:p>
      <w:pPr>
        <w:pStyle w:val="BodyText"/>
        <w:spacing w:line="276" w:lineRule="auto"/>
        <w:ind w:left="900" w:right="1027"/>
      </w:pPr>
      <w:r>
        <w:rPr>
          <w:color w:val="231F20"/>
        </w:rPr>
        <w:t>The</w:t>
      </w:r>
      <w:r>
        <w:rPr>
          <w:color w:val="231F20"/>
          <w:spacing w:val="-4"/>
        </w:rPr>
        <w:t> </w:t>
      </w:r>
      <w:r>
        <w:rPr>
          <w:color w:val="231F20"/>
        </w:rPr>
        <w:t>accompanying</w:t>
      </w:r>
      <w:r>
        <w:rPr>
          <w:color w:val="231F20"/>
          <w:spacing w:val="-4"/>
        </w:rPr>
        <w:t> </w:t>
      </w:r>
      <w:r>
        <w:rPr>
          <w:color w:val="231F20"/>
        </w:rPr>
        <w:t>schedule</w:t>
      </w:r>
      <w:r>
        <w:rPr>
          <w:color w:val="231F20"/>
          <w:spacing w:val="-4"/>
        </w:rPr>
        <w:t> </w:t>
      </w:r>
      <w:r>
        <w:rPr>
          <w:color w:val="231F20"/>
        </w:rPr>
        <w:t>of</w:t>
      </w:r>
      <w:r>
        <w:rPr>
          <w:color w:val="231F20"/>
          <w:spacing w:val="-4"/>
        </w:rPr>
        <w:t> </w:t>
      </w:r>
      <w:r>
        <w:rPr>
          <w:color w:val="231F20"/>
        </w:rPr>
        <w:t>expenditures</w:t>
      </w:r>
      <w:r>
        <w:rPr>
          <w:color w:val="231F20"/>
          <w:spacing w:val="-4"/>
        </w:rPr>
        <w:t> </w:t>
      </w:r>
      <w:r>
        <w:rPr>
          <w:color w:val="231F20"/>
        </w:rPr>
        <w:t>of</w:t>
      </w:r>
      <w:r>
        <w:rPr>
          <w:color w:val="231F20"/>
          <w:spacing w:val="-4"/>
        </w:rPr>
        <w:t> </w:t>
      </w:r>
      <w:r>
        <w:rPr>
          <w:color w:val="231F20"/>
        </w:rPr>
        <w:t>federal</w:t>
      </w:r>
      <w:r>
        <w:rPr>
          <w:color w:val="231F20"/>
          <w:spacing w:val="-3"/>
        </w:rPr>
        <w:t> </w:t>
      </w:r>
      <w:r>
        <w:rPr>
          <w:color w:val="231F20"/>
        </w:rPr>
        <w:t>awards</w:t>
      </w:r>
      <w:r>
        <w:rPr>
          <w:color w:val="231F20"/>
          <w:spacing w:val="-4"/>
        </w:rPr>
        <w:t> </w:t>
      </w:r>
      <w:r>
        <w:rPr>
          <w:color w:val="231F20"/>
        </w:rPr>
        <w:t>(the</w:t>
      </w:r>
      <w:r>
        <w:rPr>
          <w:color w:val="231F20"/>
          <w:spacing w:val="-4"/>
        </w:rPr>
        <w:t> </w:t>
      </w:r>
      <w:r>
        <w:rPr>
          <w:color w:val="231F20"/>
        </w:rPr>
        <w:t>Schedule)</w:t>
      </w:r>
      <w:r>
        <w:rPr>
          <w:color w:val="231F20"/>
          <w:spacing w:val="-4"/>
        </w:rPr>
        <w:t> </w:t>
      </w:r>
      <w:r>
        <w:rPr>
          <w:color w:val="231F20"/>
        </w:rPr>
        <w:t>includes</w:t>
      </w:r>
      <w:r>
        <w:rPr>
          <w:color w:val="231F20"/>
          <w:spacing w:val="-4"/>
        </w:rPr>
        <w:t> </w:t>
      </w:r>
      <w:r>
        <w:rPr>
          <w:color w:val="231F20"/>
        </w:rPr>
        <w:t>the</w:t>
      </w:r>
      <w:r>
        <w:rPr>
          <w:color w:val="231F20"/>
          <w:spacing w:val="-4"/>
        </w:rPr>
        <w:t> </w:t>
      </w:r>
      <w:r>
        <w:rPr>
          <w:color w:val="231F20"/>
        </w:rPr>
        <w:t>federal</w:t>
      </w:r>
      <w:r>
        <w:rPr>
          <w:color w:val="231F20"/>
          <w:spacing w:val="-4"/>
        </w:rPr>
        <w:t> </w:t>
      </w:r>
      <w:r>
        <w:rPr>
          <w:color w:val="231F20"/>
        </w:rPr>
        <w:t>grant activity of</w:t>
      </w:r>
      <w:r>
        <w:rPr>
          <w:color w:val="231F20"/>
          <w:spacing w:val="-1"/>
        </w:rPr>
        <w:t> </w:t>
      </w:r>
      <w:r>
        <w:rPr>
          <w:color w:val="231F20"/>
        </w:rPr>
        <w:t>the</w:t>
      </w:r>
      <w:r>
        <w:rPr>
          <w:color w:val="231F20"/>
          <w:spacing w:val="-1"/>
        </w:rPr>
        <w:t> </w:t>
      </w:r>
      <w:r>
        <w:rPr>
          <w:color w:val="231F20"/>
        </w:rPr>
        <w:t>Institute</w:t>
      </w:r>
      <w:r>
        <w:rPr>
          <w:color w:val="231F20"/>
          <w:spacing w:val="-1"/>
        </w:rPr>
        <w:t> </w:t>
      </w:r>
      <w:r>
        <w:rPr>
          <w:color w:val="231F20"/>
        </w:rPr>
        <w:t>under</w:t>
      </w:r>
      <w:r>
        <w:rPr>
          <w:color w:val="231F20"/>
          <w:spacing w:val="-1"/>
        </w:rPr>
        <w:t> </w:t>
      </w:r>
      <w:r>
        <w:rPr>
          <w:color w:val="231F20"/>
        </w:rPr>
        <w:t>programs</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federal</w:t>
      </w:r>
      <w:r>
        <w:rPr>
          <w:color w:val="231F20"/>
          <w:spacing w:val="-1"/>
        </w:rPr>
        <w:t> </w:t>
      </w:r>
      <w:r>
        <w:rPr>
          <w:color w:val="231F20"/>
        </w:rPr>
        <w:t>government</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year</w:t>
      </w:r>
      <w:r>
        <w:rPr>
          <w:color w:val="231F20"/>
          <w:spacing w:val="-1"/>
        </w:rPr>
        <w:t> </w:t>
      </w:r>
      <w:r>
        <w:rPr>
          <w:color w:val="231F20"/>
        </w:rPr>
        <w:t>ended</w:t>
      </w:r>
      <w:r>
        <w:rPr>
          <w:color w:val="231F20"/>
          <w:spacing w:val="-1"/>
        </w:rPr>
        <w:t> </w:t>
      </w:r>
      <w:r>
        <w:rPr>
          <w:color w:val="231F20"/>
        </w:rPr>
        <w:t>June</w:t>
      </w:r>
      <w:r>
        <w:rPr>
          <w:color w:val="231F20"/>
          <w:spacing w:val="-1"/>
        </w:rPr>
        <w:t> </w:t>
      </w:r>
      <w:r>
        <w:rPr>
          <w:color w:val="231F20"/>
        </w:rPr>
        <w:t>30,</w:t>
      </w:r>
      <w:r>
        <w:rPr>
          <w:color w:val="231F20"/>
          <w:spacing w:val="-1"/>
        </w:rPr>
        <w:t> </w:t>
      </w:r>
      <w:r>
        <w:rPr>
          <w:color w:val="231F20"/>
        </w:rPr>
        <w:t>2022.</w:t>
      </w:r>
      <w:r>
        <w:rPr>
          <w:color w:val="231F20"/>
          <w:spacing w:val="-1"/>
        </w:rPr>
        <w:t> </w:t>
      </w:r>
      <w:r>
        <w:rPr>
          <w:color w:val="231F20"/>
        </w:rPr>
        <w:t>The information in this schedule is presented in accordance with the requirements of Title 2 U.S. </w:t>
      </w:r>
      <w:r>
        <w:rPr>
          <w:i/>
          <w:color w:val="231F20"/>
        </w:rPr>
        <w:t>Code of</w:t>
      </w:r>
      <w:r>
        <w:rPr>
          <w:i/>
          <w:color w:val="231F20"/>
        </w:rPr>
        <w:t> Federal Regulations Part 200, Uniform Administrative Requirements, Cost Principles, and Audit Requirements for Federal Awards (</w:t>
      </w:r>
      <w:r>
        <w:rPr>
          <w:color w:val="231F20"/>
        </w:rPr>
        <w:t>Uniform Guidance). Because the schedule presents only a selected portion of the operations of the Institute, it is not intended to and does not present the financial position, changes in net assets, or cash flows of the Institute. The Institute receives annual Facilities and Administrative Forward Indirect Cost Rates approved by the Office of Naval Research before the beginning of each year.</w:t>
      </w:r>
    </w:p>
    <w:p>
      <w:pPr>
        <w:pStyle w:val="BodyText"/>
        <w:rPr>
          <w:sz w:val="22"/>
        </w:rPr>
      </w:pPr>
    </w:p>
    <w:p>
      <w:pPr>
        <w:pStyle w:val="BodyText"/>
        <w:rPr>
          <w:sz w:val="24"/>
        </w:rPr>
      </w:pPr>
    </w:p>
    <w:p>
      <w:pPr>
        <w:pStyle w:val="Heading4"/>
        <w:ind w:left="900"/>
      </w:pPr>
      <w:r>
        <w:rPr>
          <w:color w:val="231F20"/>
        </w:rPr>
        <w:t>Note</w:t>
      </w:r>
      <w:r>
        <w:rPr>
          <w:color w:val="231F20"/>
          <w:spacing w:val="-6"/>
        </w:rPr>
        <w:t> </w:t>
      </w:r>
      <w:r>
        <w:rPr>
          <w:color w:val="231F20"/>
        </w:rPr>
        <w:t>2</w:t>
      </w:r>
      <w:r>
        <w:rPr>
          <w:color w:val="231F20"/>
          <w:spacing w:val="-6"/>
        </w:rPr>
        <w:t> </w:t>
      </w:r>
      <w:r>
        <w:rPr>
          <w:color w:val="231F20"/>
        </w:rPr>
        <w:t>–</w:t>
      </w:r>
      <w:r>
        <w:rPr>
          <w:color w:val="231F20"/>
          <w:spacing w:val="-5"/>
        </w:rPr>
        <w:t> </w:t>
      </w:r>
      <w:r>
        <w:rPr>
          <w:color w:val="231F20"/>
        </w:rPr>
        <w:t>Summary</w:t>
      </w:r>
      <w:r>
        <w:rPr>
          <w:color w:val="231F20"/>
          <w:spacing w:val="-6"/>
        </w:rPr>
        <w:t> </w:t>
      </w:r>
      <w:r>
        <w:rPr>
          <w:color w:val="231F20"/>
        </w:rPr>
        <w:t>of</w:t>
      </w:r>
      <w:r>
        <w:rPr>
          <w:color w:val="231F20"/>
          <w:spacing w:val="-4"/>
        </w:rPr>
        <w:t> </w:t>
      </w:r>
      <w:r>
        <w:rPr>
          <w:color w:val="231F20"/>
        </w:rPr>
        <w:t>Significant</w:t>
      </w:r>
      <w:r>
        <w:rPr>
          <w:color w:val="231F20"/>
          <w:spacing w:val="-6"/>
        </w:rPr>
        <w:t> </w:t>
      </w:r>
      <w:r>
        <w:rPr>
          <w:color w:val="231F20"/>
        </w:rPr>
        <w:t>Accounting</w:t>
      </w:r>
      <w:r>
        <w:rPr>
          <w:color w:val="231F20"/>
          <w:spacing w:val="-5"/>
        </w:rPr>
        <w:t> </w:t>
      </w:r>
      <w:r>
        <w:rPr>
          <w:color w:val="231F20"/>
          <w:spacing w:val="-2"/>
        </w:rPr>
        <w:t>Policies</w:t>
      </w:r>
    </w:p>
    <w:p>
      <w:pPr>
        <w:pStyle w:val="BodyText"/>
        <w:spacing w:before="10"/>
        <w:rPr>
          <w:b/>
          <w:sz w:val="25"/>
        </w:rPr>
      </w:pPr>
    </w:p>
    <w:p>
      <w:pPr>
        <w:pStyle w:val="BodyText"/>
        <w:spacing w:line="276" w:lineRule="auto" w:before="1"/>
        <w:ind w:left="900" w:right="1027"/>
      </w:pPr>
      <w:r>
        <w:rPr>
          <w:color w:val="231F20"/>
        </w:rPr>
        <w:t>The</w:t>
      </w:r>
      <w:r>
        <w:rPr>
          <w:color w:val="231F20"/>
          <w:spacing w:val="-3"/>
        </w:rPr>
        <w:t> </w:t>
      </w:r>
      <w:r>
        <w:rPr>
          <w:color w:val="231F20"/>
        </w:rPr>
        <w:t>accompanying</w:t>
      </w:r>
      <w:r>
        <w:rPr>
          <w:color w:val="231F20"/>
          <w:spacing w:val="-3"/>
        </w:rPr>
        <w:t> </w:t>
      </w:r>
      <w:r>
        <w:rPr>
          <w:color w:val="231F20"/>
        </w:rPr>
        <w:t>Schedule</w:t>
      </w:r>
      <w:r>
        <w:rPr>
          <w:color w:val="231F20"/>
          <w:spacing w:val="-3"/>
        </w:rPr>
        <w:t> </w:t>
      </w:r>
      <w:r>
        <w:rPr>
          <w:color w:val="231F20"/>
        </w:rPr>
        <w:t>of</w:t>
      </w:r>
      <w:r>
        <w:rPr>
          <w:color w:val="231F20"/>
          <w:spacing w:val="-3"/>
        </w:rPr>
        <w:t> </w:t>
      </w:r>
      <w:r>
        <w:rPr>
          <w:color w:val="231F20"/>
        </w:rPr>
        <w:t>Expenditures</w:t>
      </w:r>
      <w:r>
        <w:rPr>
          <w:color w:val="231F20"/>
          <w:spacing w:val="-3"/>
        </w:rPr>
        <w:t> </w:t>
      </w:r>
      <w:r>
        <w:rPr>
          <w:color w:val="231F20"/>
        </w:rPr>
        <w:t>of</w:t>
      </w:r>
      <w:r>
        <w:rPr>
          <w:color w:val="231F20"/>
          <w:spacing w:val="-3"/>
        </w:rPr>
        <w:t> </w:t>
      </w:r>
      <w:r>
        <w:rPr>
          <w:color w:val="231F20"/>
        </w:rPr>
        <w:t>Federal</w:t>
      </w:r>
      <w:r>
        <w:rPr>
          <w:color w:val="231F20"/>
          <w:spacing w:val="-3"/>
        </w:rPr>
        <w:t> </w:t>
      </w:r>
      <w:r>
        <w:rPr>
          <w:color w:val="231F20"/>
        </w:rPr>
        <w:t>Awards</w:t>
      </w:r>
      <w:r>
        <w:rPr>
          <w:color w:val="231F20"/>
          <w:spacing w:val="-3"/>
        </w:rPr>
        <w:t> </w:t>
      </w:r>
      <w:r>
        <w:rPr>
          <w:color w:val="231F20"/>
        </w:rPr>
        <w:t>has</w:t>
      </w:r>
      <w:r>
        <w:rPr>
          <w:color w:val="231F20"/>
          <w:spacing w:val="-3"/>
        </w:rPr>
        <w:t> </w:t>
      </w:r>
      <w:r>
        <w:rPr>
          <w:color w:val="231F20"/>
        </w:rPr>
        <w:t>been</w:t>
      </w:r>
      <w:r>
        <w:rPr>
          <w:color w:val="231F20"/>
          <w:spacing w:val="-3"/>
        </w:rPr>
        <w:t> </w:t>
      </w:r>
      <w:r>
        <w:rPr>
          <w:color w:val="231F20"/>
        </w:rPr>
        <w:t>prepared</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accrual</w:t>
      </w:r>
      <w:r>
        <w:rPr>
          <w:color w:val="231F20"/>
          <w:spacing w:val="-3"/>
        </w:rPr>
        <w:t> </w:t>
      </w:r>
      <w:r>
        <w:rPr>
          <w:color w:val="231F20"/>
        </w:rPr>
        <w:t>basis of accounting. Such expenditures are recognized following, as applicable, the cost principles in Title 2</w:t>
      </w:r>
    </w:p>
    <w:p>
      <w:pPr>
        <w:spacing w:line="276" w:lineRule="auto" w:before="0"/>
        <w:ind w:left="900" w:right="974" w:firstLine="0"/>
        <w:jc w:val="left"/>
        <w:rPr>
          <w:sz w:val="20"/>
        </w:rPr>
      </w:pPr>
      <w:r>
        <w:rPr>
          <w:color w:val="231F20"/>
          <w:sz w:val="20"/>
        </w:rPr>
        <w:t>U.S.</w:t>
      </w:r>
      <w:r>
        <w:rPr>
          <w:color w:val="231F20"/>
          <w:spacing w:val="-3"/>
          <w:sz w:val="20"/>
        </w:rPr>
        <w:t> </w:t>
      </w:r>
      <w:r>
        <w:rPr>
          <w:i/>
          <w:color w:val="231F20"/>
          <w:sz w:val="20"/>
        </w:rPr>
        <w:t>Code</w:t>
      </w:r>
      <w:r>
        <w:rPr>
          <w:i/>
          <w:color w:val="231F20"/>
          <w:spacing w:val="-3"/>
          <w:sz w:val="20"/>
        </w:rPr>
        <w:t> </w:t>
      </w:r>
      <w:r>
        <w:rPr>
          <w:i/>
          <w:color w:val="231F20"/>
          <w:sz w:val="20"/>
        </w:rPr>
        <w:t>of</w:t>
      </w:r>
      <w:r>
        <w:rPr>
          <w:i/>
          <w:color w:val="231F20"/>
          <w:spacing w:val="-4"/>
          <w:sz w:val="20"/>
        </w:rPr>
        <w:t> </w:t>
      </w:r>
      <w:r>
        <w:rPr>
          <w:i/>
          <w:color w:val="231F20"/>
          <w:sz w:val="20"/>
        </w:rPr>
        <w:t>Federal</w:t>
      </w:r>
      <w:r>
        <w:rPr>
          <w:i/>
          <w:color w:val="231F20"/>
          <w:spacing w:val="-3"/>
          <w:sz w:val="20"/>
        </w:rPr>
        <w:t> </w:t>
      </w:r>
      <w:r>
        <w:rPr>
          <w:i/>
          <w:color w:val="231F20"/>
          <w:sz w:val="20"/>
        </w:rPr>
        <w:t>Regulations</w:t>
      </w:r>
      <w:r>
        <w:rPr>
          <w:i/>
          <w:color w:val="231F20"/>
          <w:spacing w:val="-3"/>
          <w:sz w:val="20"/>
        </w:rPr>
        <w:t> </w:t>
      </w:r>
      <w:r>
        <w:rPr>
          <w:i/>
          <w:color w:val="231F20"/>
          <w:sz w:val="20"/>
        </w:rPr>
        <w:t>(CFR)</w:t>
      </w:r>
      <w:r>
        <w:rPr>
          <w:i/>
          <w:color w:val="231F20"/>
          <w:spacing w:val="-3"/>
          <w:sz w:val="20"/>
        </w:rPr>
        <w:t> </w:t>
      </w:r>
      <w:r>
        <w:rPr>
          <w:i/>
          <w:color w:val="231F20"/>
          <w:sz w:val="20"/>
        </w:rPr>
        <w:t>Part</w:t>
      </w:r>
      <w:r>
        <w:rPr>
          <w:i/>
          <w:color w:val="231F20"/>
          <w:spacing w:val="-3"/>
          <w:sz w:val="20"/>
        </w:rPr>
        <w:t> </w:t>
      </w:r>
      <w:r>
        <w:rPr>
          <w:i/>
          <w:color w:val="231F20"/>
          <w:sz w:val="20"/>
        </w:rPr>
        <w:t>200,</w:t>
      </w:r>
      <w:r>
        <w:rPr>
          <w:i/>
          <w:color w:val="231F20"/>
          <w:spacing w:val="-3"/>
          <w:sz w:val="20"/>
        </w:rPr>
        <w:t> </w:t>
      </w:r>
      <w:r>
        <w:rPr>
          <w:i/>
          <w:color w:val="231F20"/>
          <w:sz w:val="20"/>
        </w:rPr>
        <w:t>Uniform</w:t>
      </w:r>
      <w:r>
        <w:rPr>
          <w:i/>
          <w:color w:val="231F20"/>
          <w:spacing w:val="-3"/>
          <w:sz w:val="20"/>
        </w:rPr>
        <w:t> </w:t>
      </w:r>
      <w:r>
        <w:rPr>
          <w:i/>
          <w:color w:val="231F20"/>
          <w:sz w:val="20"/>
        </w:rPr>
        <w:t>Administrative</w:t>
      </w:r>
      <w:r>
        <w:rPr>
          <w:i/>
          <w:color w:val="231F20"/>
          <w:spacing w:val="-4"/>
          <w:sz w:val="20"/>
        </w:rPr>
        <w:t> </w:t>
      </w:r>
      <w:r>
        <w:rPr>
          <w:i/>
          <w:color w:val="231F20"/>
          <w:sz w:val="20"/>
        </w:rPr>
        <w:t>Requirements,</w:t>
      </w:r>
      <w:r>
        <w:rPr>
          <w:i/>
          <w:color w:val="231F20"/>
          <w:spacing w:val="-4"/>
          <w:sz w:val="20"/>
        </w:rPr>
        <w:t> </w:t>
      </w:r>
      <w:r>
        <w:rPr>
          <w:i/>
          <w:color w:val="231F20"/>
          <w:sz w:val="20"/>
        </w:rPr>
        <w:t>Cost</w:t>
      </w:r>
      <w:r>
        <w:rPr>
          <w:i/>
          <w:color w:val="231F20"/>
          <w:spacing w:val="-4"/>
          <w:sz w:val="20"/>
        </w:rPr>
        <w:t> </w:t>
      </w:r>
      <w:r>
        <w:rPr>
          <w:i/>
          <w:color w:val="231F20"/>
          <w:sz w:val="20"/>
        </w:rPr>
        <w:t>Principles,</w:t>
      </w:r>
      <w:r>
        <w:rPr>
          <w:i/>
          <w:color w:val="231F20"/>
          <w:sz w:val="20"/>
        </w:rPr>
        <w:t> and Audit Requirements for Federal Awards (Uniform Guidance</w:t>
      </w:r>
      <w:r>
        <w:rPr>
          <w:color w:val="231F20"/>
          <w:sz w:val="20"/>
        </w:rPr>
        <w:t>), wherein certain types of expenditures are not allowable or are limited as to reimbursement. Negative amounts shown on the Schedule</w:t>
      </w:r>
      <w:r>
        <w:rPr>
          <w:color w:val="231F20"/>
          <w:spacing w:val="40"/>
          <w:sz w:val="20"/>
        </w:rPr>
        <w:t> </w:t>
      </w:r>
      <w:r>
        <w:rPr>
          <w:color w:val="231F20"/>
          <w:sz w:val="20"/>
        </w:rPr>
        <w:t>represent adjustments or credits made in the normal course of business to amounts reported as expenditures in prior years.</w:t>
      </w:r>
    </w:p>
    <w:p>
      <w:pPr>
        <w:pStyle w:val="BodyText"/>
        <w:rPr>
          <w:sz w:val="23"/>
        </w:rPr>
      </w:pPr>
    </w:p>
    <w:p>
      <w:pPr>
        <w:pStyle w:val="BodyText"/>
        <w:spacing w:line="276" w:lineRule="auto"/>
        <w:ind w:left="900" w:right="1027"/>
      </w:pPr>
      <w:r>
        <w:rPr>
          <w:color w:val="231F20"/>
        </w:rPr>
        <w:t>Amounts</w:t>
      </w:r>
      <w:r>
        <w:rPr>
          <w:color w:val="231F20"/>
          <w:spacing w:val="-4"/>
        </w:rPr>
        <w:t> </w:t>
      </w:r>
      <w:r>
        <w:rPr>
          <w:color w:val="231F20"/>
        </w:rPr>
        <w:t>related</w:t>
      </w:r>
      <w:r>
        <w:rPr>
          <w:color w:val="231F20"/>
          <w:spacing w:val="-3"/>
        </w:rPr>
        <w:t> </w:t>
      </w:r>
      <w:r>
        <w:rPr>
          <w:color w:val="231F20"/>
        </w:rPr>
        <w:t>to</w:t>
      </w:r>
      <w:r>
        <w:rPr>
          <w:color w:val="231F20"/>
          <w:spacing w:val="-3"/>
        </w:rPr>
        <w:t> </w:t>
      </w:r>
      <w:r>
        <w:rPr>
          <w:color w:val="231F20"/>
        </w:rPr>
        <w:t>pass-through</w:t>
      </w:r>
      <w:r>
        <w:rPr>
          <w:color w:val="231F20"/>
          <w:spacing w:val="-3"/>
        </w:rPr>
        <w:t> </w:t>
      </w:r>
      <w:r>
        <w:rPr>
          <w:color w:val="231F20"/>
        </w:rPr>
        <w:t>grants</w:t>
      </w:r>
      <w:r>
        <w:rPr>
          <w:color w:val="231F20"/>
          <w:spacing w:val="-4"/>
        </w:rPr>
        <w:t> </w:t>
      </w:r>
      <w:r>
        <w:rPr>
          <w:color w:val="231F20"/>
        </w:rPr>
        <w:t>are</w:t>
      </w:r>
      <w:r>
        <w:rPr>
          <w:color w:val="231F20"/>
          <w:spacing w:val="-3"/>
        </w:rPr>
        <w:t> </w:t>
      </w:r>
      <w:r>
        <w:rPr>
          <w:color w:val="231F20"/>
        </w:rPr>
        <w:t>classified</w:t>
      </w:r>
      <w:r>
        <w:rPr>
          <w:color w:val="231F20"/>
          <w:spacing w:val="-4"/>
        </w:rPr>
        <w:t> </w:t>
      </w:r>
      <w:r>
        <w:rPr>
          <w:color w:val="231F20"/>
        </w:rPr>
        <w:t>as</w:t>
      </w:r>
      <w:r>
        <w:rPr>
          <w:color w:val="231F20"/>
          <w:spacing w:val="-3"/>
        </w:rPr>
        <w:t> </w:t>
      </w:r>
      <w:r>
        <w:rPr>
          <w:color w:val="231F20"/>
        </w:rPr>
        <w:t>private</w:t>
      </w:r>
      <w:r>
        <w:rPr>
          <w:color w:val="231F20"/>
          <w:spacing w:val="-3"/>
        </w:rPr>
        <w:t> </w:t>
      </w:r>
      <w:r>
        <w:rPr>
          <w:color w:val="231F20"/>
        </w:rPr>
        <w:t>grants</w:t>
      </w:r>
      <w:r>
        <w:rPr>
          <w:color w:val="231F20"/>
          <w:spacing w:val="-3"/>
        </w:rPr>
        <w:t> </w:t>
      </w:r>
      <w:r>
        <w:rPr>
          <w:color w:val="231F20"/>
        </w:rPr>
        <w:t>and</w:t>
      </w:r>
      <w:r>
        <w:rPr>
          <w:color w:val="231F20"/>
          <w:spacing w:val="-4"/>
        </w:rPr>
        <w:t> </w:t>
      </w:r>
      <w:r>
        <w:rPr>
          <w:color w:val="231F20"/>
        </w:rPr>
        <w:t>contracts</w:t>
      </w:r>
      <w:r>
        <w:rPr>
          <w:color w:val="231F20"/>
          <w:spacing w:val="-3"/>
        </w:rPr>
        <w:t> </w:t>
      </w:r>
      <w:r>
        <w:rPr>
          <w:color w:val="231F20"/>
        </w:rPr>
        <w:t>in</w:t>
      </w:r>
      <w:r>
        <w:rPr>
          <w:color w:val="231F20"/>
          <w:spacing w:val="-3"/>
        </w:rPr>
        <w:t> </w:t>
      </w:r>
      <w:r>
        <w:rPr>
          <w:color w:val="231F20"/>
        </w:rPr>
        <w:t>the accompanying statement of revenues, expenses, and changes in net position.</w:t>
      </w:r>
    </w:p>
    <w:p>
      <w:pPr>
        <w:pStyle w:val="BodyText"/>
        <w:rPr>
          <w:sz w:val="22"/>
        </w:rPr>
      </w:pPr>
    </w:p>
    <w:p>
      <w:pPr>
        <w:pStyle w:val="BodyText"/>
        <w:spacing w:before="11"/>
        <w:rPr>
          <w:sz w:val="23"/>
        </w:rPr>
      </w:pPr>
    </w:p>
    <w:p>
      <w:pPr>
        <w:pStyle w:val="Heading4"/>
        <w:ind w:left="900"/>
      </w:pPr>
      <w:r>
        <w:rPr>
          <w:color w:val="231F20"/>
        </w:rPr>
        <w:t>Note</w:t>
      </w:r>
      <w:r>
        <w:rPr>
          <w:color w:val="231F20"/>
          <w:spacing w:val="-3"/>
        </w:rPr>
        <w:t> </w:t>
      </w:r>
      <w:r>
        <w:rPr>
          <w:color w:val="231F20"/>
        </w:rPr>
        <w:t>3</w:t>
      </w:r>
      <w:r>
        <w:rPr>
          <w:color w:val="231F20"/>
          <w:spacing w:val="-2"/>
        </w:rPr>
        <w:t> </w:t>
      </w:r>
      <w:r>
        <w:rPr>
          <w:color w:val="231F20"/>
        </w:rPr>
        <w:t>–</w:t>
      </w:r>
      <w:r>
        <w:rPr>
          <w:color w:val="231F20"/>
          <w:spacing w:val="-3"/>
        </w:rPr>
        <w:t> </w:t>
      </w:r>
      <w:r>
        <w:rPr>
          <w:color w:val="231F20"/>
        </w:rPr>
        <w:t>Indirect</w:t>
      </w:r>
      <w:r>
        <w:rPr>
          <w:color w:val="231F20"/>
          <w:spacing w:val="-3"/>
        </w:rPr>
        <w:t> </w:t>
      </w:r>
      <w:r>
        <w:rPr>
          <w:color w:val="231F20"/>
        </w:rPr>
        <w:t>Cost</w:t>
      </w:r>
      <w:r>
        <w:rPr>
          <w:color w:val="231F20"/>
          <w:spacing w:val="-1"/>
        </w:rPr>
        <w:t> </w:t>
      </w:r>
      <w:r>
        <w:rPr>
          <w:color w:val="231F20"/>
          <w:spacing w:val="-4"/>
        </w:rPr>
        <w:t>Rate</w:t>
      </w:r>
    </w:p>
    <w:p>
      <w:pPr>
        <w:pStyle w:val="BodyText"/>
        <w:rPr>
          <w:b/>
          <w:sz w:val="26"/>
        </w:rPr>
      </w:pPr>
    </w:p>
    <w:p>
      <w:pPr>
        <w:pStyle w:val="BodyText"/>
        <w:spacing w:line="276" w:lineRule="auto"/>
        <w:ind w:left="900" w:right="1529" w:hanging="1"/>
        <w:jc w:val="both"/>
      </w:pPr>
      <w:r>
        <w:rPr>
          <w:color w:val="231F20"/>
        </w:rPr>
        <w:t>The</w:t>
      </w:r>
      <w:r>
        <w:rPr>
          <w:color w:val="231F20"/>
          <w:spacing w:val="-3"/>
        </w:rPr>
        <w:t> </w:t>
      </w:r>
      <w:r>
        <w:rPr>
          <w:color w:val="231F20"/>
        </w:rPr>
        <w:t>Institute</w:t>
      </w:r>
      <w:r>
        <w:rPr>
          <w:color w:val="231F20"/>
          <w:spacing w:val="-4"/>
        </w:rPr>
        <w:t> </w:t>
      </w:r>
      <w:r>
        <w:rPr>
          <w:color w:val="231F20"/>
        </w:rPr>
        <w:t>uses</w:t>
      </w:r>
      <w:r>
        <w:rPr>
          <w:color w:val="231F20"/>
          <w:spacing w:val="-3"/>
        </w:rPr>
        <w:t> </w:t>
      </w:r>
      <w:r>
        <w:rPr>
          <w:color w:val="231F20"/>
        </w:rPr>
        <w:t>a</w:t>
      </w:r>
      <w:r>
        <w:rPr>
          <w:color w:val="231F20"/>
          <w:spacing w:val="-3"/>
        </w:rPr>
        <w:t> </w:t>
      </w:r>
      <w:r>
        <w:rPr>
          <w:color w:val="231F20"/>
        </w:rPr>
        <w:t>facilities</w:t>
      </w:r>
      <w:r>
        <w:rPr>
          <w:color w:val="231F20"/>
          <w:spacing w:val="-3"/>
        </w:rPr>
        <w:t> </w:t>
      </w:r>
      <w:r>
        <w:rPr>
          <w:color w:val="231F20"/>
        </w:rPr>
        <w:t>and</w:t>
      </w:r>
      <w:r>
        <w:rPr>
          <w:color w:val="231F20"/>
          <w:spacing w:val="-3"/>
        </w:rPr>
        <w:t> </w:t>
      </w:r>
      <w:r>
        <w:rPr>
          <w:color w:val="231F20"/>
        </w:rPr>
        <w:t>administrative</w:t>
      </w:r>
      <w:r>
        <w:rPr>
          <w:color w:val="231F20"/>
          <w:spacing w:val="-3"/>
        </w:rPr>
        <w:t> </w:t>
      </w:r>
      <w:r>
        <w:rPr>
          <w:color w:val="231F20"/>
        </w:rPr>
        <w:t>(indirect)</w:t>
      </w:r>
      <w:r>
        <w:rPr>
          <w:color w:val="231F20"/>
          <w:spacing w:val="-3"/>
        </w:rPr>
        <w:t> </w:t>
      </w:r>
      <w:r>
        <w:rPr>
          <w:color w:val="231F20"/>
        </w:rPr>
        <w:t>rate</w:t>
      </w:r>
      <w:r>
        <w:rPr>
          <w:color w:val="231F20"/>
          <w:spacing w:val="-3"/>
        </w:rPr>
        <w:t> </w:t>
      </w:r>
      <w:r>
        <w:rPr>
          <w:color w:val="231F20"/>
        </w:rPr>
        <w:t>that</w:t>
      </w:r>
      <w:r>
        <w:rPr>
          <w:color w:val="231F20"/>
          <w:spacing w:val="-3"/>
        </w:rPr>
        <w:t> </w:t>
      </w:r>
      <w:r>
        <w:rPr>
          <w:color w:val="231F20"/>
        </w:rPr>
        <w:t>is</w:t>
      </w:r>
      <w:r>
        <w:rPr>
          <w:color w:val="231F20"/>
          <w:spacing w:val="-3"/>
        </w:rPr>
        <w:t> </w:t>
      </w:r>
      <w:r>
        <w:rPr>
          <w:color w:val="231F20"/>
        </w:rPr>
        <w:t>negotiated</w:t>
      </w:r>
      <w:r>
        <w:rPr>
          <w:color w:val="231F20"/>
          <w:spacing w:val="-4"/>
        </w:rPr>
        <w:t> </w:t>
      </w:r>
      <w:r>
        <w:rPr>
          <w:color w:val="231F20"/>
        </w:rPr>
        <w:t>with</w:t>
      </w:r>
      <w:r>
        <w:rPr>
          <w:color w:val="231F20"/>
          <w:spacing w:val="-3"/>
        </w:rPr>
        <w:t> </w:t>
      </w:r>
      <w:r>
        <w:rPr>
          <w:color w:val="231F20"/>
        </w:rPr>
        <w:t>their</w:t>
      </w:r>
      <w:r>
        <w:rPr>
          <w:color w:val="231F20"/>
          <w:spacing w:val="-3"/>
        </w:rPr>
        <w:t> </w:t>
      </w:r>
      <w:r>
        <w:rPr>
          <w:color w:val="231F20"/>
        </w:rPr>
        <w:t>cognizant agency,</w:t>
      </w:r>
      <w:r>
        <w:rPr>
          <w:color w:val="231F20"/>
          <w:spacing w:val="-1"/>
        </w:rPr>
        <w:t> </w:t>
      </w:r>
      <w:r>
        <w:rPr>
          <w:color w:val="231F20"/>
        </w:rPr>
        <w:t>The</w:t>
      </w:r>
      <w:r>
        <w:rPr>
          <w:color w:val="231F20"/>
          <w:spacing w:val="-1"/>
        </w:rPr>
        <w:t> </w:t>
      </w:r>
      <w:r>
        <w:rPr>
          <w:color w:val="231F20"/>
        </w:rPr>
        <w:t>Office</w:t>
      </w:r>
      <w:r>
        <w:rPr>
          <w:color w:val="231F20"/>
          <w:spacing w:val="-1"/>
        </w:rPr>
        <w:t> </w:t>
      </w:r>
      <w:r>
        <w:rPr>
          <w:color w:val="231F20"/>
        </w:rPr>
        <w:t>of</w:t>
      </w:r>
      <w:r>
        <w:rPr>
          <w:color w:val="231F20"/>
          <w:spacing w:val="-1"/>
        </w:rPr>
        <w:t> </w:t>
      </w:r>
      <w:r>
        <w:rPr>
          <w:color w:val="231F20"/>
        </w:rPr>
        <w:t>Naval</w:t>
      </w:r>
      <w:r>
        <w:rPr>
          <w:color w:val="231F20"/>
          <w:spacing w:val="-1"/>
        </w:rPr>
        <w:t> </w:t>
      </w:r>
      <w:r>
        <w:rPr>
          <w:color w:val="231F20"/>
        </w:rPr>
        <w:t>Research</w:t>
      </w:r>
      <w:r>
        <w:rPr>
          <w:color w:val="231F20"/>
          <w:spacing w:val="-1"/>
        </w:rPr>
        <w:t> </w:t>
      </w:r>
      <w:r>
        <w:rPr>
          <w:color w:val="231F20"/>
        </w:rPr>
        <w:t>and</w:t>
      </w:r>
      <w:r>
        <w:rPr>
          <w:color w:val="231F20"/>
          <w:spacing w:val="-1"/>
        </w:rPr>
        <w:t> </w:t>
      </w:r>
      <w:r>
        <w:rPr>
          <w:color w:val="231F20"/>
        </w:rPr>
        <w:t>as such,</w:t>
      </w:r>
      <w:r>
        <w:rPr>
          <w:color w:val="231F20"/>
          <w:spacing w:val="-2"/>
        </w:rPr>
        <w:t> </w:t>
      </w:r>
      <w:r>
        <w:rPr>
          <w:color w:val="231F20"/>
        </w:rPr>
        <w:t>the</w:t>
      </w:r>
      <w:r>
        <w:rPr>
          <w:color w:val="231F20"/>
          <w:spacing w:val="-1"/>
        </w:rPr>
        <w:t> </w:t>
      </w:r>
      <w:r>
        <w:rPr>
          <w:color w:val="231F20"/>
        </w:rPr>
        <w:t>Institute</w:t>
      </w:r>
      <w:r>
        <w:rPr>
          <w:color w:val="231F20"/>
          <w:spacing w:val="-1"/>
        </w:rPr>
        <w:t> </w:t>
      </w:r>
      <w:r>
        <w:rPr>
          <w:color w:val="231F20"/>
        </w:rPr>
        <w:t>has</w:t>
      </w:r>
      <w:r>
        <w:rPr>
          <w:color w:val="231F20"/>
          <w:spacing w:val="-1"/>
        </w:rPr>
        <w:t> </w:t>
      </w:r>
      <w:r>
        <w:rPr>
          <w:color w:val="231F20"/>
        </w:rPr>
        <w:t>not</w:t>
      </w:r>
      <w:r>
        <w:rPr>
          <w:color w:val="231F20"/>
          <w:spacing w:val="-1"/>
        </w:rPr>
        <w:t> </w:t>
      </w:r>
      <w:r>
        <w:rPr>
          <w:color w:val="231F20"/>
        </w:rPr>
        <w:t>elected</w:t>
      </w:r>
      <w:r>
        <w:rPr>
          <w:color w:val="231F20"/>
          <w:spacing w:val="-1"/>
        </w:rPr>
        <w:t> </w:t>
      </w:r>
      <w:r>
        <w:rPr>
          <w:color w:val="231F20"/>
        </w:rPr>
        <w:t>to</w:t>
      </w:r>
      <w:r>
        <w:rPr>
          <w:color w:val="231F20"/>
          <w:spacing w:val="-1"/>
        </w:rPr>
        <w:t> </w:t>
      </w:r>
      <w:r>
        <w:rPr>
          <w:color w:val="231F20"/>
        </w:rPr>
        <w:t>use</w:t>
      </w:r>
      <w:r>
        <w:rPr>
          <w:color w:val="231F20"/>
          <w:spacing w:val="-1"/>
        </w:rPr>
        <w:t> </w:t>
      </w:r>
      <w:r>
        <w:rPr>
          <w:color w:val="231F20"/>
        </w:rPr>
        <w:t>the</w:t>
      </w:r>
      <w:r>
        <w:rPr>
          <w:color w:val="231F20"/>
          <w:spacing w:val="-1"/>
        </w:rPr>
        <w:t> </w:t>
      </w:r>
      <w:r>
        <w:rPr>
          <w:color w:val="231F20"/>
        </w:rPr>
        <w:t>10%</w:t>
      </w:r>
      <w:r>
        <w:rPr>
          <w:color w:val="231F20"/>
          <w:spacing w:val="-1"/>
        </w:rPr>
        <w:t> </w:t>
      </w:r>
      <w:r>
        <w:rPr>
          <w:color w:val="231F20"/>
        </w:rPr>
        <w:t>de minimis cost rate.</w:t>
      </w:r>
    </w:p>
    <w:p>
      <w:pPr>
        <w:pStyle w:val="BodyText"/>
        <w:rPr>
          <w:sz w:val="22"/>
        </w:rPr>
      </w:pPr>
    </w:p>
    <w:p>
      <w:pPr>
        <w:pStyle w:val="BodyText"/>
        <w:rPr>
          <w:sz w:val="24"/>
        </w:rPr>
      </w:pPr>
    </w:p>
    <w:p>
      <w:pPr>
        <w:pStyle w:val="Heading4"/>
        <w:ind w:left="900"/>
      </w:pPr>
      <w:r>
        <w:rPr>
          <w:color w:val="231F20"/>
        </w:rPr>
        <w:t>Note</w:t>
      </w:r>
      <w:r>
        <w:rPr>
          <w:color w:val="231F20"/>
          <w:spacing w:val="-4"/>
        </w:rPr>
        <w:t> </w:t>
      </w:r>
      <w:r>
        <w:rPr>
          <w:color w:val="231F20"/>
        </w:rPr>
        <w:t>4</w:t>
      </w:r>
      <w:r>
        <w:rPr>
          <w:color w:val="231F20"/>
          <w:spacing w:val="-3"/>
        </w:rPr>
        <w:t> </w:t>
      </w:r>
      <w:r>
        <w:rPr>
          <w:color w:val="231F20"/>
        </w:rPr>
        <w:t>–</w:t>
      </w:r>
      <w:r>
        <w:rPr>
          <w:color w:val="231F20"/>
          <w:spacing w:val="-4"/>
        </w:rPr>
        <w:t> </w:t>
      </w:r>
      <w:r>
        <w:rPr>
          <w:color w:val="231F20"/>
        </w:rPr>
        <w:t>Federal</w:t>
      </w:r>
      <w:r>
        <w:rPr>
          <w:color w:val="231F20"/>
          <w:spacing w:val="-3"/>
        </w:rPr>
        <w:t> </w:t>
      </w:r>
      <w:r>
        <w:rPr>
          <w:color w:val="231F20"/>
        </w:rPr>
        <w:t>Loan</w:t>
      </w:r>
      <w:r>
        <w:rPr>
          <w:color w:val="231F20"/>
          <w:spacing w:val="-3"/>
        </w:rPr>
        <w:t> </w:t>
      </w:r>
      <w:r>
        <w:rPr>
          <w:color w:val="231F20"/>
          <w:spacing w:val="-2"/>
        </w:rPr>
        <w:t>Program</w:t>
      </w:r>
    </w:p>
    <w:p>
      <w:pPr>
        <w:pStyle w:val="BodyText"/>
        <w:rPr>
          <w:b/>
          <w:sz w:val="26"/>
        </w:rPr>
      </w:pPr>
    </w:p>
    <w:p>
      <w:pPr>
        <w:pStyle w:val="BodyText"/>
        <w:spacing w:line="276" w:lineRule="auto"/>
        <w:ind w:left="900" w:right="1027"/>
      </w:pPr>
      <w:r>
        <w:rPr>
          <w:color w:val="231F20"/>
        </w:rPr>
        <w:t>The Perkins Loan Program (Assistance Listing #84.038) is administered directly by the Institute and balances and transactions relating to this program are included in the Institute's basic financial statements.</w:t>
      </w:r>
      <w:r>
        <w:rPr>
          <w:color w:val="231F20"/>
          <w:spacing w:val="-3"/>
        </w:rPr>
        <w:t> </w:t>
      </w:r>
      <w:r>
        <w:rPr>
          <w:color w:val="231F20"/>
        </w:rPr>
        <w:t>Loans</w:t>
      </w:r>
      <w:r>
        <w:rPr>
          <w:color w:val="231F20"/>
          <w:spacing w:val="-3"/>
        </w:rPr>
        <w:t> </w:t>
      </w:r>
      <w:r>
        <w:rPr>
          <w:color w:val="231F20"/>
        </w:rPr>
        <w:t>outstanding</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beginning</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year</w:t>
      </w:r>
      <w:r>
        <w:rPr>
          <w:color w:val="231F20"/>
          <w:spacing w:val="-3"/>
        </w:rPr>
        <w:t> </w:t>
      </w:r>
      <w:r>
        <w:rPr>
          <w:color w:val="231F20"/>
        </w:rPr>
        <w:t>and</w:t>
      </w:r>
      <w:r>
        <w:rPr>
          <w:color w:val="231F20"/>
          <w:spacing w:val="-3"/>
        </w:rPr>
        <w:t> </w:t>
      </w:r>
      <w:r>
        <w:rPr>
          <w:color w:val="231F20"/>
        </w:rPr>
        <w:t>loans</w:t>
      </w:r>
      <w:r>
        <w:rPr>
          <w:color w:val="231F20"/>
          <w:spacing w:val="-3"/>
        </w:rPr>
        <w:t> </w:t>
      </w:r>
      <w:r>
        <w:rPr>
          <w:color w:val="231F20"/>
        </w:rPr>
        <w:t>made</w:t>
      </w:r>
      <w:r>
        <w:rPr>
          <w:color w:val="231F20"/>
          <w:spacing w:val="-3"/>
        </w:rPr>
        <w:t> </w:t>
      </w:r>
      <w:r>
        <w:rPr>
          <w:color w:val="231F20"/>
        </w:rPr>
        <w:t>during</w:t>
      </w:r>
      <w:r>
        <w:rPr>
          <w:color w:val="231F20"/>
          <w:spacing w:val="-3"/>
        </w:rPr>
        <w:t> </w:t>
      </w:r>
      <w:r>
        <w:rPr>
          <w:color w:val="231F20"/>
        </w:rPr>
        <w:t>the</w:t>
      </w:r>
      <w:r>
        <w:rPr>
          <w:color w:val="231F20"/>
          <w:spacing w:val="-3"/>
        </w:rPr>
        <w:t> </w:t>
      </w:r>
      <w:r>
        <w:rPr>
          <w:color w:val="231F20"/>
        </w:rPr>
        <w:t>year</w:t>
      </w:r>
      <w:r>
        <w:rPr>
          <w:color w:val="231F20"/>
          <w:spacing w:val="-3"/>
        </w:rPr>
        <w:t> </w:t>
      </w:r>
      <w:r>
        <w:rPr>
          <w:color w:val="231F20"/>
        </w:rPr>
        <w:t>are</w:t>
      </w:r>
      <w:r>
        <w:rPr>
          <w:color w:val="231F20"/>
          <w:spacing w:val="-3"/>
        </w:rPr>
        <w:t> </w:t>
      </w:r>
      <w:r>
        <w:rPr>
          <w:color w:val="231F20"/>
        </w:rPr>
        <w:t>included in the federal expenditures presented in the Schedule. Total outstanding loans under this</w:t>
      </w:r>
    </w:p>
    <w:p>
      <w:pPr>
        <w:pStyle w:val="BodyText"/>
        <w:spacing w:line="229" w:lineRule="exact"/>
        <w:ind w:left="900"/>
      </w:pPr>
      <w:r>
        <w:rPr>
          <w:color w:val="231F20"/>
        </w:rPr>
        <w:t>U.S.</w:t>
      </w:r>
      <w:r>
        <w:rPr>
          <w:color w:val="231F20"/>
          <w:spacing w:val="-6"/>
        </w:rPr>
        <w:t> </w:t>
      </w:r>
      <w:r>
        <w:rPr>
          <w:color w:val="231F20"/>
        </w:rPr>
        <w:t>Department</w:t>
      </w:r>
      <w:r>
        <w:rPr>
          <w:color w:val="231F20"/>
          <w:spacing w:val="-5"/>
        </w:rPr>
        <w:t> </w:t>
      </w:r>
      <w:r>
        <w:rPr>
          <w:color w:val="231F20"/>
        </w:rPr>
        <w:t>of</w:t>
      </w:r>
      <w:r>
        <w:rPr>
          <w:color w:val="231F20"/>
          <w:spacing w:val="-6"/>
        </w:rPr>
        <w:t> </w:t>
      </w:r>
      <w:r>
        <w:rPr>
          <w:color w:val="231F20"/>
        </w:rPr>
        <w:t>Education</w:t>
      </w:r>
      <w:r>
        <w:rPr>
          <w:color w:val="231F20"/>
          <w:spacing w:val="-5"/>
        </w:rPr>
        <w:t> </w:t>
      </w:r>
      <w:r>
        <w:rPr>
          <w:color w:val="231F20"/>
        </w:rPr>
        <w:t>program</w:t>
      </w:r>
      <w:r>
        <w:rPr>
          <w:color w:val="231F20"/>
          <w:spacing w:val="-5"/>
        </w:rPr>
        <w:t> </w:t>
      </w:r>
      <w:r>
        <w:rPr>
          <w:color w:val="231F20"/>
        </w:rPr>
        <w:t>at</w:t>
      </w:r>
      <w:r>
        <w:rPr>
          <w:color w:val="231F20"/>
          <w:spacing w:val="-6"/>
        </w:rPr>
        <w:t> </w:t>
      </w:r>
      <w:r>
        <w:rPr>
          <w:color w:val="231F20"/>
        </w:rPr>
        <w:t>June</w:t>
      </w:r>
      <w:r>
        <w:rPr>
          <w:color w:val="231F20"/>
          <w:spacing w:val="-5"/>
        </w:rPr>
        <w:t> </w:t>
      </w:r>
      <w:r>
        <w:rPr>
          <w:color w:val="231F20"/>
        </w:rPr>
        <w:t>30,</w:t>
      </w:r>
      <w:r>
        <w:rPr>
          <w:color w:val="231F20"/>
          <w:spacing w:val="-6"/>
        </w:rPr>
        <w:t> </w:t>
      </w:r>
      <w:r>
        <w:rPr>
          <w:color w:val="231F20"/>
        </w:rPr>
        <w:t>2022,</w:t>
      </w:r>
      <w:r>
        <w:rPr>
          <w:color w:val="231F20"/>
          <w:spacing w:val="-5"/>
        </w:rPr>
        <w:t> </w:t>
      </w:r>
      <w:r>
        <w:rPr>
          <w:color w:val="231F20"/>
        </w:rPr>
        <w:t>were</w:t>
      </w:r>
      <w:r>
        <w:rPr>
          <w:color w:val="231F20"/>
          <w:spacing w:val="-5"/>
        </w:rPr>
        <w:t> </w:t>
      </w:r>
      <w:r>
        <w:rPr>
          <w:color w:val="231F20"/>
          <w:spacing w:val="-2"/>
        </w:rPr>
        <w:t>$721,750.</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9"/>
        </w:rPr>
      </w:pPr>
      <w:r>
        <w:rPr/>
        <w:pict>
          <v:rect style="position:absolute;margin-left:70.5pt;margin-top:18.223583pt;width:471.001pt;height:1.5pt;mso-position-horizontal-relative:page;mso-position-vertical-relative:paragraph;z-index:-15596544;mso-wrap-distance-left:0;mso-wrap-distance-right:0" id="docshape574" filled="true" fillcolor="#231f20" stroked="false">
            <v:fill type="solid"/>
            <w10:wrap type="topAndBottom"/>
          </v:rect>
        </w:pict>
      </w:r>
    </w:p>
    <w:p>
      <w:pPr>
        <w:spacing w:after="0"/>
        <w:rPr>
          <w:sz w:val="29"/>
        </w:rPr>
        <w:sectPr>
          <w:headerReference w:type="default" r:id="rId72"/>
          <w:footerReference w:type="default" r:id="rId73"/>
          <w:pgSz w:w="12240" w:h="15840"/>
          <w:pgMar w:header="0" w:footer="634" w:top="760" w:bottom="820" w:left="540" w:right="500"/>
        </w:sectPr>
      </w:pPr>
    </w:p>
    <w:p>
      <w:pPr>
        <w:spacing w:line="240" w:lineRule="auto"/>
        <w:ind w:left="318" w:right="0" w:firstLine="0"/>
        <w:rPr>
          <w:sz w:val="20"/>
        </w:rPr>
      </w:pPr>
      <w:r>
        <w:rPr>
          <w:sz w:val="20"/>
        </w:rPr>
        <w:pict>
          <v:group style="width:30.6pt;height:30.55pt;mso-position-horizontal-relative:char;mso-position-vertical-relative:line" id="docshapegroup576" coordorigin="0,0" coordsize="612,611">
            <v:shape style="position:absolute;left:172;top:159;width:267;height:244" type="#_x0000_t75" id="docshape577" stroked="false">
              <v:imagedata r:id="rId13" o:title=""/>
            </v:shape>
            <v:shape style="position:absolute;left:0;top:0;width:612;height:611" id="docshape578" coordorigin="0,0" coordsize="612,611" path="m370,442l367,439,362,439,246,439,242,442,242,449,246,452,367,452,370,449,370,442xm612,306l604,236,588,192,588,306,578,381,549,448,505,504,448,548,381,577,306,587,231,577,164,548,107,504,62,448,34,381,24,306,34,231,62,164,107,106,164,62,231,34,306,24,381,34,448,62,505,106,549,164,578,231,588,306,588,192,581,171,544,115,497,67,440,31,420,24,376,8,306,0,236,8,172,31,115,67,68,115,31,171,8,236,0,306,8,376,31,440,68,497,115,544,172,580,236,603,306,611,376,603,421,587,440,580,497,544,544,497,581,440,604,376,612,306xe" filled="true" fillcolor="#46666b" stroked="false">
              <v:path arrowok="t"/>
              <v:fill type="solid"/>
            </v:shape>
          </v:group>
        </w:pict>
      </w:r>
      <w:r>
        <w:rPr>
          <w:sz w:val="20"/>
        </w:rPr>
      </w:r>
      <w:r>
        <w:rPr>
          <w:rFonts w:ascii="Times New Roman"/>
          <w:spacing w:val="83"/>
          <w:sz w:val="20"/>
        </w:rPr>
        <w:t> </w:t>
      </w:r>
      <w:r>
        <w:rPr>
          <w:spacing w:val="83"/>
          <w:position w:val="16"/>
          <w:sz w:val="20"/>
        </w:rPr>
        <w:pict>
          <v:group style="width:67.7pt;height:10.8pt;mso-position-horizontal-relative:char;mso-position-vertical-relative:line" id="docshapegroup579" coordorigin="0,0" coordsize="1354,216">
            <v:shape style="position:absolute;left:0;top:3;width:130;height:164" type="#_x0000_t75" id="docshape580" stroked="false">
              <v:imagedata r:id="rId14" o:title=""/>
            </v:shape>
            <v:shape style="position:absolute;left:171;top:0;width:140;height:170" type="#_x0000_t75" id="docshape581" stroked="false">
              <v:imagedata r:id="rId15" o:title=""/>
            </v:shape>
            <v:shape style="position:absolute;left:344;top:0;width:234;height:170" id="docshape582" coordorigin="344,0" coordsize="234,170" path="m442,28l442,23,440,20,437,18,436,17,432,12,427,10,418,4,408,0,394,0,376,3,362,10,353,23,349,40,351,54,357,67,369,79,386,91,403,102,414,110,420,119,421,130,421,142,414,151,383,151,373,144,365,133,362,132,361,131,360,127,355,127,354,130,348,133,344,136,344,139,347,143,349,144,350,148,353,149,360,157,370,163,382,168,396,169,417,166,431,156,434,151,439,143,442,127,439,112,431,99,418,87,398,76,385,66,377,57,372,49,371,40,371,26,380,18,404,18,412,22,420,28,421,29,424,32,427,34,428,36,433,36,434,34,440,29,442,28xm578,23l575,20,572,17,566,12,553,4,542,0,530,0,512,3,498,10,487,23,484,40,486,54,492,67,504,79,522,91,538,102,549,110,554,119,556,130,556,142,550,151,518,151,508,144,500,133,499,133,498,132,498,131,494,127,492,127,484,133,481,136,480,139,482,143,488,149,495,157,506,163,518,168,532,169,553,166,568,156,576,143,578,127,576,112,567,99,554,87,535,76,520,66,511,57,507,49,505,40,505,26,516,18,539,18,547,22,556,28,562,34,565,36,568,36,571,34,575,29,578,28,578,23xe" filled="true" fillcolor="#46666b" stroked="false">
              <v:path arrowok="t"/>
              <v:fill type="solid"/>
            </v:shape>
            <v:shape style="position:absolute;left:615;top:3;width:123;height:165" type="#_x0000_t75" id="docshape583" stroked="false">
              <v:imagedata r:id="rId16" o:title=""/>
            </v:shape>
            <v:shape style="position:absolute;left:1082;top:3;width:129;height:164" type="#_x0000_t75" id="docshape584" stroked="false">
              <v:imagedata r:id="rId17" o:title=""/>
            </v:shape>
            <v:shape style="position:absolute;left:1256;top:0;width:98;height:170" id="docshape585" coordorigin="1256,0" coordsize="98,170" path="m1319,0l1306,0,1288,3,1273,10,1263,23,1259,40,1261,54,1267,67,1279,79,1297,91,1314,102,1324,110,1329,119,1331,130,1331,142,1325,151,1294,151,1283,144,1276,133,1274,133,1273,132,1273,131,1270,127,1267,127,1259,133,1256,136,1256,139,1258,143,1264,149,1271,157,1281,163,1293,168,1307,169,1328,166,1343,156,1351,143,1354,127,1351,112,1342,99,1329,87,1310,76,1296,66,1286,57,1282,49,1280,40,1280,26,1291,18,1315,18,1322,22,1331,28,1333,29,1336,32,1337,34,1340,36,1343,36,1346,34,1350,29,1354,28,1354,23,1350,20,1348,17,1342,12,1328,4,1319,0xe" filled="true" fillcolor="#46666b" stroked="false">
              <v:path arrowok="t"/>
              <v:fill type="solid"/>
            </v:shape>
            <v:shape style="position:absolute;left:916;top:3;width:123;height:165" type="#_x0000_t75" id="docshape586" stroked="false">
              <v:imagedata r:id="rId18" o:title=""/>
            </v:shape>
            <v:shape style="position:absolute;left:782;top:3;width:101;height:164" type="#_x0000_t75" id="docshape587" stroked="false">
              <v:imagedata r:id="rId19" o:title=""/>
            </v:shape>
            <v:shape style="position:absolute;left:613;top:202;width:128;height:14" id="docshape588" coordorigin="613,203" coordsize="128,14" path="m737,203l732,203,616,203,613,205,613,212,616,216,737,216,740,212,740,205,737,203xe" filled="true" fillcolor="#46666b" stroked="false">
              <v:path arrowok="t"/>
              <v:fill type="solid"/>
            </v:shape>
          </v:group>
        </w:pict>
      </w:r>
      <w:r>
        <w:rPr>
          <w:spacing w:val="83"/>
          <w:position w:val="16"/>
          <w:sz w:val="20"/>
        </w:rPr>
      </w:r>
    </w:p>
    <w:p>
      <w:pPr>
        <w:pStyle w:val="BodyText"/>
      </w:pPr>
    </w:p>
    <w:p>
      <w:pPr>
        <w:pStyle w:val="BodyText"/>
      </w:pPr>
    </w:p>
    <w:p>
      <w:pPr>
        <w:pStyle w:val="BodyText"/>
      </w:pPr>
    </w:p>
    <w:p>
      <w:pPr>
        <w:pStyle w:val="BodyText"/>
        <w:spacing w:before="11"/>
        <w:rPr>
          <w:sz w:val="26"/>
        </w:rPr>
      </w:pPr>
    </w:p>
    <w:p>
      <w:pPr>
        <w:pStyle w:val="Heading2"/>
        <w:spacing w:line="276" w:lineRule="auto" w:before="100"/>
        <w:ind w:left="1080" w:right="1027"/>
        <w:rPr>
          <w:rFonts w:ascii="Georgia"/>
          <w:i/>
        </w:rPr>
      </w:pPr>
      <w:r>
        <w:rPr>
          <w:rFonts w:ascii="Georgia"/>
          <w:color w:val="231F20"/>
        </w:rPr>
        <w:t>Report of Independent Auditors on Internal Control Over Financial</w:t>
      </w:r>
      <w:r>
        <w:rPr>
          <w:rFonts w:ascii="Georgia"/>
          <w:color w:val="231F20"/>
          <w:spacing w:val="-7"/>
        </w:rPr>
        <w:t> </w:t>
      </w:r>
      <w:r>
        <w:rPr>
          <w:rFonts w:ascii="Georgia"/>
          <w:color w:val="231F20"/>
        </w:rPr>
        <w:t>Reporting</w:t>
      </w:r>
      <w:r>
        <w:rPr>
          <w:rFonts w:ascii="Georgia"/>
          <w:color w:val="231F20"/>
          <w:spacing w:val="-7"/>
        </w:rPr>
        <w:t> </w:t>
      </w:r>
      <w:r>
        <w:rPr>
          <w:rFonts w:ascii="Georgia"/>
          <w:color w:val="231F20"/>
        </w:rPr>
        <w:t>and</w:t>
      </w:r>
      <w:r>
        <w:rPr>
          <w:rFonts w:ascii="Georgia"/>
          <w:color w:val="231F20"/>
          <w:spacing w:val="-6"/>
        </w:rPr>
        <w:t> </w:t>
      </w:r>
      <w:r>
        <w:rPr>
          <w:rFonts w:ascii="Georgia"/>
          <w:color w:val="231F20"/>
        </w:rPr>
        <w:t>on</w:t>
      </w:r>
      <w:r>
        <w:rPr>
          <w:rFonts w:ascii="Georgia"/>
          <w:color w:val="231F20"/>
          <w:spacing w:val="-6"/>
        </w:rPr>
        <w:t> </w:t>
      </w:r>
      <w:r>
        <w:rPr>
          <w:rFonts w:ascii="Georgia"/>
          <w:color w:val="231F20"/>
        </w:rPr>
        <w:t>Compliance</w:t>
      </w:r>
      <w:r>
        <w:rPr>
          <w:rFonts w:ascii="Georgia"/>
          <w:color w:val="231F20"/>
          <w:spacing w:val="-7"/>
        </w:rPr>
        <w:t> </w:t>
      </w:r>
      <w:r>
        <w:rPr>
          <w:rFonts w:ascii="Georgia"/>
          <w:color w:val="231F20"/>
        </w:rPr>
        <w:t>and</w:t>
      </w:r>
      <w:r>
        <w:rPr>
          <w:rFonts w:ascii="Georgia"/>
          <w:color w:val="231F20"/>
          <w:spacing w:val="-6"/>
        </w:rPr>
        <w:t> </w:t>
      </w:r>
      <w:r>
        <w:rPr>
          <w:rFonts w:ascii="Georgia"/>
          <w:color w:val="231F20"/>
        </w:rPr>
        <w:t>Other</w:t>
      </w:r>
      <w:r>
        <w:rPr>
          <w:rFonts w:ascii="Georgia"/>
          <w:color w:val="231F20"/>
          <w:spacing w:val="-6"/>
        </w:rPr>
        <w:t> </w:t>
      </w:r>
      <w:r>
        <w:rPr>
          <w:rFonts w:ascii="Georgia"/>
          <w:color w:val="231F20"/>
        </w:rPr>
        <w:t>Matters Based on an Audit of Financial Statements Performed in Accordance with </w:t>
      </w:r>
      <w:r>
        <w:rPr>
          <w:rFonts w:ascii="Georgia"/>
          <w:i/>
          <w:color w:val="231F20"/>
        </w:rPr>
        <w:t>Government Auditing Standards</w:t>
      </w:r>
    </w:p>
    <w:p>
      <w:pPr>
        <w:pStyle w:val="BodyText"/>
        <w:spacing w:before="3"/>
        <w:rPr>
          <w:rFonts w:ascii="Georgia"/>
          <w:b/>
          <w:i/>
          <w:sz w:val="42"/>
        </w:rPr>
      </w:pPr>
    </w:p>
    <w:p>
      <w:pPr>
        <w:pStyle w:val="BodyText"/>
        <w:ind w:left="1080"/>
      </w:pPr>
      <w:r>
        <w:rPr>
          <w:color w:val="231F20"/>
        </w:rPr>
        <w:t>The</w:t>
      </w:r>
      <w:r>
        <w:rPr>
          <w:color w:val="231F20"/>
          <w:spacing w:val="-3"/>
        </w:rPr>
        <w:t> </w:t>
      </w:r>
      <w:r>
        <w:rPr>
          <w:color w:val="231F20"/>
        </w:rPr>
        <w:t>Board</w:t>
      </w:r>
      <w:r>
        <w:rPr>
          <w:color w:val="231F20"/>
          <w:spacing w:val="-3"/>
        </w:rPr>
        <w:t> </w:t>
      </w:r>
      <w:r>
        <w:rPr>
          <w:color w:val="231F20"/>
        </w:rPr>
        <w:t>of</w:t>
      </w:r>
      <w:r>
        <w:rPr>
          <w:color w:val="231F20"/>
          <w:spacing w:val="-2"/>
        </w:rPr>
        <w:t> Regents</w:t>
      </w:r>
    </w:p>
    <w:p>
      <w:pPr>
        <w:pStyle w:val="BodyText"/>
        <w:spacing w:line="276" w:lineRule="auto" w:before="34"/>
        <w:ind w:left="1190" w:right="5670" w:hanging="111"/>
      </w:pPr>
      <w:r>
        <w:rPr>
          <w:color w:val="231F20"/>
        </w:rPr>
        <w:t>New</w:t>
      </w:r>
      <w:r>
        <w:rPr>
          <w:color w:val="231F20"/>
          <w:spacing w:val="-7"/>
        </w:rPr>
        <w:t> </w:t>
      </w:r>
      <w:r>
        <w:rPr>
          <w:color w:val="231F20"/>
        </w:rPr>
        <w:t>Mexico</w:t>
      </w:r>
      <w:r>
        <w:rPr>
          <w:color w:val="231F20"/>
          <w:spacing w:val="-7"/>
        </w:rPr>
        <w:t> </w:t>
      </w:r>
      <w:r>
        <w:rPr>
          <w:color w:val="231F20"/>
        </w:rPr>
        <w:t>Institute</w:t>
      </w:r>
      <w:r>
        <w:rPr>
          <w:color w:val="231F20"/>
          <w:spacing w:val="-7"/>
        </w:rPr>
        <w:t> </w:t>
      </w:r>
      <w:r>
        <w:rPr>
          <w:color w:val="231F20"/>
        </w:rPr>
        <w:t>of</w:t>
      </w:r>
      <w:r>
        <w:rPr>
          <w:color w:val="231F20"/>
          <w:spacing w:val="-7"/>
        </w:rPr>
        <w:t> </w:t>
      </w:r>
      <w:r>
        <w:rPr>
          <w:color w:val="231F20"/>
        </w:rPr>
        <w:t>Mining</w:t>
      </w:r>
      <w:r>
        <w:rPr>
          <w:color w:val="231F20"/>
          <w:spacing w:val="-7"/>
        </w:rPr>
        <w:t> </w:t>
      </w:r>
      <w:r>
        <w:rPr>
          <w:color w:val="231F20"/>
        </w:rPr>
        <w:t>and</w:t>
      </w:r>
      <w:r>
        <w:rPr>
          <w:color w:val="231F20"/>
          <w:spacing w:val="-7"/>
        </w:rPr>
        <w:t> </w:t>
      </w:r>
      <w:r>
        <w:rPr>
          <w:color w:val="231F20"/>
        </w:rPr>
        <w:t>Technology </w:t>
      </w:r>
      <w:r>
        <w:rPr>
          <w:color w:val="231F20"/>
          <w:spacing w:val="-4"/>
        </w:rPr>
        <w:t>and</w:t>
      </w:r>
    </w:p>
    <w:p>
      <w:pPr>
        <w:pStyle w:val="BodyText"/>
        <w:ind w:left="1080" w:right="7815"/>
      </w:pPr>
      <w:r>
        <w:rPr>
          <w:color w:val="231F20"/>
        </w:rPr>
        <w:t>Mr.</w:t>
      </w:r>
      <w:r>
        <w:rPr>
          <w:color w:val="231F20"/>
          <w:spacing w:val="-4"/>
        </w:rPr>
        <w:t> </w:t>
      </w:r>
      <w:r>
        <w:rPr>
          <w:color w:val="231F20"/>
        </w:rPr>
        <w:t>Brian</w:t>
      </w:r>
      <w:r>
        <w:rPr>
          <w:color w:val="231F20"/>
          <w:spacing w:val="-4"/>
        </w:rPr>
        <w:t> </w:t>
      </w:r>
      <w:r>
        <w:rPr>
          <w:color w:val="231F20"/>
        </w:rPr>
        <w:t>S.</w:t>
      </w:r>
      <w:r>
        <w:rPr>
          <w:color w:val="231F20"/>
          <w:spacing w:val="-4"/>
        </w:rPr>
        <w:t> </w:t>
      </w:r>
      <w:r>
        <w:rPr>
          <w:color w:val="231F20"/>
        </w:rPr>
        <w:t>Colón,</w:t>
      </w:r>
      <w:r>
        <w:rPr>
          <w:color w:val="231F20"/>
          <w:spacing w:val="-4"/>
        </w:rPr>
        <w:t> Esq.</w:t>
      </w:r>
    </w:p>
    <w:p>
      <w:pPr>
        <w:pStyle w:val="BodyText"/>
        <w:spacing w:before="34"/>
        <w:ind w:left="1080" w:right="7815"/>
      </w:pPr>
      <w:r>
        <w:rPr>
          <w:color w:val="231F20"/>
        </w:rPr>
        <w:t>New</w:t>
      </w:r>
      <w:r>
        <w:rPr>
          <w:color w:val="231F20"/>
          <w:spacing w:val="-3"/>
        </w:rPr>
        <w:t> </w:t>
      </w:r>
      <w:r>
        <w:rPr>
          <w:color w:val="231F20"/>
        </w:rPr>
        <w:t>Mexico</w:t>
      </w:r>
      <w:r>
        <w:rPr>
          <w:color w:val="231F20"/>
          <w:spacing w:val="-3"/>
        </w:rPr>
        <w:t> </w:t>
      </w:r>
      <w:r>
        <w:rPr>
          <w:color w:val="231F20"/>
        </w:rPr>
        <w:t>State</w:t>
      </w:r>
      <w:r>
        <w:rPr>
          <w:color w:val="231F20"/>
          <w:spacing w:val="-2"/>
        </w:rPr>
        <w:t> </w:t>
      </w:r>
      <w:r>
        <w:rPr>
          <w:color w:val="231F20"/>
          <w:spacing w:val="-2"/>
        </w:rPr>
        <w:t>Auditor</w:t>
      </w:r>
    </w:p>
    <w:p>
      <w:pPr>
        <w:pStyle w:val="BodyText"/>
        <w:spacing w:line="276" w:lineRule="auto" w:before="155"/>
        <w:ind w:left="1080" w:right="1293"/>
      </w:pPr>
      <w:r>
        <w:rPr>
          <w:color w:val="231F20"/>
        </w:rPr>
        <w:t>We</w:t>
      </w:r>
      <w:r>
        <w:rPr>
          <w:color w:val="231F20"/>
          <w:spacing w:val="-3"/>
        </w:rPr>
        <w:t> </w:t>
      </w:r>
      <w:r>
        <w:rPr>
          <w:color w:val="231F20"/>
        </w:rPr>
        <w:t>have</w:t>
      </w:r>
      <w:r>
        <w:rPr>
          <w:color w:val="231F20"/>
          <w:spacing w:val="-3"/>
        </w:rPr>
        <w:t> </w:t>
      </w:r>
      <w:r>
        <w:rPr>
          <w:color w:val="231F20"/>
        </w:rPr>
        <w:t>audited,</w:t>
      </w:r>
      <w:r>
        <w:rPr>
          <w:color w:val="231F20"/>
          <w:spacing w:val="-3"/>
        </w:rPr>
        <w:t> </w:t>
      </w:r>
      <w:r>
        <w:rPr>
          <w:color w:val="231F20"/>
        </w:rPr>
        <w:t>in</w:t>
      </w:r>
      <w:r>
        <w:rPr>
          <w:color w:val="231F20"/>
          <w:spacing w:val="-3"/>
        </w:rPr>
        <w:t> </w:t>
      </w:r>
      <w:r>
        <w:rPr>
          <w:color w:val="231F20"/>
        </w:rPr>
        <w:t>accordance</w:t>
      </w:r>
      <w:r>
        <w:rPr>
          <w:color w:val="231F20"/>
          <w:spacing w:val="-3"/>
        </w:rPr>
        <w:t> </w:t>
      </w:r>
      <w:r>
        <w:rPr>
          <w:color w:val="231F20"/>
        </w:rPr>
        <w:t>with</w:t>
      </w:r>
      <w:r>
        <w:rPr>
          <w:color w:val="231F20"/>
          <w:spacing w:val="-3"/>
        </w:rPr>
        <w:t> </w:t>
      </w:r>
      <w:r>
        <w:rPr>
          <w:color w:val="231F20"/>
        </w:rPr>
        <w:t>the</w:t>
      </w:r>
      <w:r>
        <w:rPr>
          <w:color w:val="231F20"/>
          <w:spacing w:val="-4"/>
        </w:rPr>
        <w:t> </w:t>
      </w:r>
      <w:r>
        <w:rPr>
          <w:color w:val="231F20"/>
        </w:rPr>
        <w:t>auditing</w:t>
      </w:r>
      <w:r>
        <w:rPr>
          <w:color w:val="231F20"/>
          <w:spacing w:val="-2"/>
        </w:rPr>
        <w:t> </w:t>
      </w:r>
      <w:r>
        <w:rPr>
          <w:color w:val="231F20"/>
        </w:rPr>
        <w:t>standards</w:t>
      </w:r>
      <w:r>
        <w:rPr>
          <w:color w:val="231F20"/>
          <w:spacing w:val="-3"/>
        </w:rPr>
        <w:t> </w:t>
      </w:r>
      <w:r>
        <w:rPr>
          <w:color w:val="231F20"/>
        </w:rPr>
        <w:t>generally</w:t>
      </w:r>
      <w:r>
        <w:rPr>
          <w:color w:val="231F20"/>
          <w:spacing w:val="-3"/>
        </w:rPr>
        <w:t> </w:t>
      </w:r>
      <w:r>
        <w:rPr>
          <w:color w:val="231F20"/>
        </w:rPr>
        <w:t>accepted</w:t>
      </w:r>
      <w:r>
        <w:rPr>
          <w:color w:val="231F20"/>
          <w:spacing w:val="-3"/>
        </w:rPr>
        <w:t> </w:t>
      </w:r>
      <w:r>
        <w:rPr>
          <w:color w:val="231F20"/>
        </w:rPr>
        <w:t>in</w:t>
      </w:r>
      <w:r>
        <w:rPr>
          <w:color w:val="231F20"/>
          <w:spacing w:val="-4"/>
        </w:rPr>
        <w:t> </w:t>
      </w:r>
      <w:r>
        <w:rPr>
          <w:color w:val="231F20"/>
        </w:rPr>
        <w:t>the</w:t>
      </w:r>
      <w:r>
        <w:rPr>
          <w:color w:val="231F20"/>
          <w:spacing w:val="-3"/>
        </w:rPr>
        <w:t> </w:t>
      </w:r>
      <w:r>
        <w:rPr>
          <w:color w:val="231F20"/>
        </w:rPr>
        <w:t>United</w:t>
      </w:r>
      <w:r>
        <w:rPr>
          <w:color w:val="231F20"/>
          <w:spacing w:val="-3"/>
        </w:rPr>
        <w:t> </w:t>
      </w:r>
      <w:r>
        <w:rPr>
          <w:color w:val="231F20"/>
        </w:rPr>
        <w:t>States of America and the standards applicable to financial audits contained in </w:t>
      </w:r>
      <w:r>
        <w:rPr>
          <w:i/>
          <w:color w:val="231F20"/>
        </w:rPr>
        <w:t>Government Auditing</w:t>
      </w:r>
      <w:r>
        <w:rPr>
          <w:i/>
          <w:color w:val="231F20"/>
        </w:rPr>
        <w:t> Standards </w:t>
      </w:r>
      <w:r>
        <w:rPr>
          <w:color w:val="231F20"/>
        </w:rPr>
        <w:t>issued by the Comptroller General of the United States, the financial statements of the business-type activities and the discretely presented component unit of New Mexico Institute of Mining and Technology as of and for the year ended June 30, 2022, and the related notes to the financial statements, which collectively comprise New Mexico Institute of Mining and Technology’s basic financial statements, and have issued our report thereon dated October 28, 2022.</w:t>
      </w:r>
    </w:p>
    <w:p>
      <w:pPr>
        <w:pStyle w:val="BodyText"/>
        <w:spacing w:before="9"/>
      </w:pPr>
    </w:p>
    <w:p>
      <w:pPr>
        <w:pStyle w:val="Heading4"/>
        <w:ind w:left="1080"/>
        <w:rPr>
          <w:rFonts w:ascii="Georgia"/>
        </w:rPr>
      </w:pPr>
      <w:r>
        <w:rPr>
          <w:rFonts w:ascii="Georgia"/>
          <w:color w:val="231F20"/>
        </w:rPr>
        <w:t>Report</w:t>
      </w:r>
      <w:r>
        <w:rPr>
          <w:rFonts w:ascii="Georgia"/>
          <w:color w:val="231F20"/>
          <w:spacing w:val="-6"/>
        </w:rPr>
        <w:t> </w:t>
      </w:r>
      <w:r>
        <w:rPr>
          <w:rFonts w:ascii="Georgia"/>
          <w:color w:val="231F20"/>
        </w:rPr>
        <w:t>on</w:t>
      </w:r>
      <w:r>
        <w:rPr>
          <w:rFonts w:ascii="Georgia"/>
          <w:color w:val="231F20"/>
          <w:spacing w:val="-4"/>
        </w:rPr>
        <w:t> </w:t>
      </w:r>
      <w:r>
        <w:rPr>
          <w:rFonts w:ascii="Georgia"/>
          <w:color w:val="231F20"/>
        </w:rPr>
        <w:t>Internal</w:t>
      </w:r>
      <w:r>
        <w:rPr>
          <w:rFonts w:ascii="Georgia"/>
          <w:color w:val="231F20"/>
          <w:spacing w:val="-4"/>
        </w:rPr>
        <w:t> </w:t>
      </w:r>
      <w:r>
        <w:rPr>
          <w:rFonts w:ascii="Georgia"/>
          <w:color w:val="231F20"/>
        </w:rPr>
        <w:t>Control</w:t>
      </w:r>
      <w:r>
        <w:rPr>
          <w:rFonts w:ascii="Georgia"/>
          <w:color w:val="231F20"/>
          <w:spacing w:val="-4"/>
        </w:rPr>
        <w:t> </w:t>
      </w:r>
      <w:r>
        <w:rPr>
          <w:rFonts w:ascii="Georgia"/>
          <w:color w:val="231F20"/>
        </w:rPr>
        <w:t>Over</w:t>
      </w:r>
      <w:r>
        <w:rPr>
          <w:rFonts w:ascii="Georgia"/>
          <w:color w:val="231F20"/>
          <w:spacing w:val="-4"/>
        </w:rPr>
        <w:t> </w:t>
      </w:r>
      <w:r>
        <w:rPr>
          <w:rFonts w:ascii="Georgia"/>
          <w:color w:val="231F20"/>
        </w:rPr>
        <w:t>Financial</w:t>
      </w:r>
      <w:r>
        <w:rPr>
          <w:rFonts w:ascii="Georgia"/>
          <w:color w:val="231F20"/>
          <w:spacing w:val="-4"/>
        </w:rPr>
        <w:t> </w:t>
      </w:r>
      <w:r>
        <w:rPr>
          <w:rFonts w:ascii="Georgia"/>
          <w:color w:val="231F20"/>
          <w:spacing w:val="-2"/>
        </w:rPr>
        <w:t>Reporting</w:t>
      </w:r>
    </w:p>
    <w:p>
      <w:pPr>
        <w:pStyle w:val="BodyText"/>
        <w:spacing w:line="276" w:lineRule="auto" w:before="154"/>
        <w:ind w:left="1080" w:right="1195"/>
      </w:pPr>
      <w:r>
        <w:rPr>
          <w:color w:val="231F20"/>
        </w:rPr>
        <w:t>In</w:t>
      </w:r>
      <w:r>
        <w:rPr>
          <w:color w:val="231F20"/>
          <w:spacing w:val="-1"/>
        </w:rPr>
        <w:t> </w:t>
      </w:r>
      <w:r>
        <w:rPr>
          <w:color w:val="231F20"/>
        </w:rPr>
        <w:t>planning</w:t>
      </w:r>
      <w:r>
        <w:rPr>
          <w:color w:val="231F20"/>
          <w:spacing w:val="-1"/>
        </w:rPr>
        <w:t> </w:t>
      </w:r>
      <w:r>
        <w:rPr>
          <w:color w:val="231F20"/>
        </w:rPr>
        <w:t>and</w:t>
      </w:r>
      <w:r>
        <w:rPr>
          <w:color w:val="231F20"/>
          <w:spacing w:val="-1"/>
        </w:rPr>
        <w:t> </w:t>
      </w:r>
      <w:r>
        <w:rPr>
          <w:color w:val="231F20"/>
        </w:rPr>
        <w:t>performing</w:t>
      </w:r>
      <w:r>
        <w:rPr>
          <w:color w:val="231F20"/>
          <w:spacing w:val="-1"/>
        </w:rPr>
        <w:t> </w:t>
      </w:r>
      <w:r>
        <w:rPr>
          <w:color w:val="231F20"/>
        </w:rPr>
        <w:t>our</w:t>
      </w:r>
      <w:r>
        <w:rPr>
          <w:color w:val="231F20"/>
          <w:spacing w:val="-1"/>
        </w:rPr>
        <w:t> </w:t>
      </w:r>
      <w:r>
        <w:rPr>
          <w:color w:val="231F20"/>
        </w:rPr>
        <w:t>audit</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financial statements,</w:t>
      </w:r>
      <w:r>
        <w:rPr>
          <w:color w:val="231F20"/>
          <w:spacing w:val="-1"/>
        </w:rPr>
        <w:t> </w:t>
      </w:r>
      <w:r>
        <w:rPr>
          <w:color w:val="231F20"/>
        </w:rPr>
        <w:t>we</w:t>
      </w:r>
      <w:r>
        <w:rPr>
          <w:color w:val="231F20"/>
          <w:spacing w:val="-1"/>
        </w:rPr>
        <w:t> </w:t>
      </w:r>
      <w:r>
        <w:rPr>
          <w:color w:val="231F20"/>
        </w:rPr>
        <w:t>considered</w:t>
      </w:r>
      <w:r>
        <w:rPr>
          <w:color w:val="231F20"/>
          <w:spacing w:val="-1"/>
        </w:rPr>
        <w:t> </w:t>
      </w:r>
      <w:r>
        <w:rPr>
          <w:color w:val="231F20"/>
        </w:rPr>
        <w:t>New</w:t>
      </w:r>
      <w:r>
        <w:rPr>
          <w:color w:val="231F20"/>
          <w:spacing w:val="-1"/>
        </w:rPr>
        <w:t> </w:t>
      </w:r>
      <w:r>
        <w:rPr>
          <w:color w:val="231F20"/>
        </w:rPr>
        <w:t>Mexico</w:t>
      </w:r>
      <w:r>
        <w:rPr>
          <w:color w:val="231F20"/>
          <w:spacing w:val="-1"/>
        </w:rPr>
        <w:t> </w:t>
      </w:r>
      <w:r>
        <w:rPr>
          <w:color w:val="231F20"/>
        </w:rPr>
        <w:t>Institute of Mining and Technology’s internal control over financial reporting (internal control) as a basis for designing audit procedures that are appropriate in the circumstances for the purpose of expressing our opinions on the financial statements, but not for the purpose of expressing an opinion on the effectiveness</w:t>
      </w:r>
      <w:r>
        <w:rPr>
          <w:color w:val="231F20"/>
          <w:spacing w:val="-5"/>
        </w:rPr>
        <w:t> </w:t>
      </w:r>
      <w:r>
        <w:rPr>
          <w:color w:val="231F20"/>
        </w:rPr>
        <w:t>of</w:t>
      </w:r>
      <w:r>
        <w:rPr>
          <w:color w:val="231F20"/>
          <w:spacing w:val="-4"/>
        </w:rPr>
        <w:t> </w:t>
      </w:r>
      <w:r>
        <w:rPr>
          <w:color w:val="231F20"/>
        </w:rPr>
        <w:t>New</w:t>
      </w:r>
      <w:r>
        <w:rPr>
          <w:color w:val="231F20"/>
          <w:spacing w:val="-4"/>
        </w:rPr>
        <w:t> </w:t>
      </w:r>
      <w:r>
        <w:rPr>
          <w:color w:val="231F20"/>
        </w:rPr>
        <w:t>Mexico</w:t>
      </w:r>
      <w:r>
        <w:rPr>
          <w:color w:val="231F20"/>
          <w:spacing w:val="-4"/>
        </w:rPr>
        <w:t> </w:t>
      </w:r>
      <w:r>
        <w:rPr>
          <w:color w:val="231F20"/>
        </w:rPr>
        <w:t>Institute</w:t>
      </w:r>
      <w:r>
        <w:rPr>
          <w:color w:val="231F20"/>
          <w:spacing w:val="-4"/>
        </w:rPr>
        <w:t> </w:t>
      </w:r>
      <w:r>
        <w:rPr>
          <w:color w:val="231F20"/>
        </w:rPr>
        <w:t>of</w:t>
      </w:r>
      <w:r>
        <w:rPr>
          <w:color w:val="231F20"/>
          <w:spacing w:val="-4"/>
        </w:rPr>
        <w:t> </w:t>
      </w:r>
      <w:r>
        <w:rPr>
          <w:color w:val="231F20"/>
        </w:rPr>
        <w:t>Mining</w:t>
      </w:r>
      <w:r>
        <w:rPr>
          <w:color w:val="231F20"/>
          <w:spacing w:val="-4"/>
        </w:rPr>
        <w:t> </w:t>
      </w:r>
      <w:r>
        <w:rPr>
          <w:color w:val="231F20"/>
        </w:rPr>
        <w:t>and</w:t>
      </w:r>
      <w:r>
        <w:rPr>
          <w:color w:val="231F20"/>
          <w:spacing w:val="-4"/>
        </w:rPr>
        <w:t> </w:t>
      </w:r>
      <w:r>
        <w:rPr>
          <w:color w:val="231F20"/>
        </w:rPr>
        <w:t>Technology’s</w:t>
      </w:r>
      <w:r>
        <w:rPr>
          <w:color w:val="231F20"/>
          <w:spacing w:val="-4"/>
        </w:rPr>
        <w:t> </w:t>
      </w:r>
      <w:r>
        <w:rPr>
          <w:color w:val="231F20"/>
        </w:rPr>
        <w:t>internal</w:t>
      </w:r>
      <w:r>
        <w:rPr>
          <w:color w:val="231F20"/>
          <w:spacing w:val="-5"/>
        </w:rPr>
        <w:t> </w:t>
      </w:r>
      <w:r>
        <w:rPr>
          <w:color w:val="231F20"/>
        </w:rPr>
        <w:t>control.</w:t>
      </w:r>
      <w:r>
        <w:rPr>
          <w:color w:val="231F20"/>
          <w:spacing w:val="-4"/>
        </w:rPr>
        <w:t> </w:t>
      </w:r>
      <w:r>
        <w:rPr>
          <w:color w:val="231F20"/>
        </w:rPr>
        <w:t>Accordingly,</w:t>
      </w:r>
      <w:r>
        <w:rPr>
          <w:color w:val="231F20"/>
          <w:spacing w:val="-4"/>
        </w:rPr>
        <w:t> </w:t>
      </w:r>
      <w:r>
        <w:rPr>
          <w:color w:val="231F20"/>
        </w:rPr>
        <w:t>we</w:t>
      </w:r>
      <w:r>
        <w:rPr>
          <w:color w:val="231F20"/>
          <w:spacing w:val="-4"/>
        </w:rPr>
        <w:t> </w:t>
      </w:r>
      <w:r>
        <w:rPr>
          <w:color w:val="231F20"/>
        </w:rPr>
        <w:t>do not express an opinion on the effectiveness of New Mexico Institute of Mining and Technology’s internal control.</w:t>
      </w:r>
    </w:p>
    <w:p>
      <w:pPr>
        <w:pStyle w:val="BodyText"/>
        <w:spacing w:line="276" w:lineRule="auto" w:before="120"/>
        <w:ind w:left="1079" w:right="1195"/>
      </w:pPr>
      <w:r>
        <w:rPr>
          <w:color w:val="231F20"/>
        </w:rPr>
        <w:t>A </w:t>
      </w:r>
      <w:r>
        <w:rPr>
          <w:i/>
          <w:color w:val="231F20"/>
        </w:rPr>
        <w:t>deficiency in internal control </w:t>
      </w:r>
      <w:r>
        <w:rPr>
          <w:color w:val="231F20"/>
        </w:rPr>
        <w:t>exists when the design or operation of a control does not allow management or employees, in the normal course of performing their assigned functions, to prevent, or detect and correct, misstatements on a timely basis. A </w:t>
      </w:r>
      <w:r>
        <w:rPr>
          <w:i/>
          <w:color w:val="231F20"/>
        </w:rPr>
        <w:t>material weakness </w:t>
      </w:r>
      <w:r>
        <w:rPr>
          <w:color w:val="231F20"/>
        </w:rPr>
        <w:t>is a deficiency, or a combination of deficiencies, in internal control such that there is a reasonable possibility that a material misstatement of the entity's financial statements will not be prevented, or detected and corrected,</w:t>
      </w:r>
      <w:r>
        <w:rPr>
          <w:color w:val="231F20"/>
          <w:spacing w:val="-3"/>
        </w:rPr>
        <w:t> </w:t>
      </w:r>
      <w:r>
        <w:rPr>
          <w:color w:val="231F20"/>
        </w:rPr>
        <w:t>on</w:t>
      </w:r>
      <w:r>
        <w:rPr>
          <w:color w:val="231F20"/>
          <w:spacing w:val="-4"/>
        </w:rPr>
        <w:t> </w:t>
      </w:r>
      <w:r>
        <w:rPr>
          <w:color w:val="231F20"/>
        </w:rPr>
        <w:t>a</w:t>
      </w:r>
      <w:r>
        <w:rPr>
          <w:color w:val="231F20"/>
          <w:spacing w:val="-3"/>
        </w:rPr>
        <w:t> </w:t>
      </w:r>
      <w:r>
        <w:rPr>
          <w:color w:val="231F20"/>
        </w:rPr>
        <w:t>timely</w:t>
      </w:r>
      <w:r>
        <w:rPr>
          <w:color w:val="231F20"/>
          <w:spacing w:val="-3"/>
        </w:rPr>
        <w:t> </w:t>
      </w:r>
      <w:r>
        <w:rPr>
          <w:color w:val="231F20"/>
        </w:rPr>
        <w:t>basis.</w:t>
      </w:r>
      <w:r>
        <w:rPr>
          <w:color w:val="231F20"/>
          <w:spacing w:val="-3"/>
        </w:rPr>
        <w:t> </w:t>
      </w:r>
      <w:r>
        <w:rPr>
          <w:color w:val="231F20"/>
        </w:rPr>
        <w:t>A</w:t>
      </w:r>
      <w:r>
        <w:rPr>
          <w:color w:val="231F20"/>
          <w:spacing w:val="-1"/>
        </w:rPr>
        <w:t> </w:t>
      </w:r>
      <w:r>
        <w:rPr>
          <w:i/>
          <w:color w:val="231F20"/>
        </w:rPr>
        <w:t>significant</w:t>
      </w:r>
      <w:r>
        <w:rPr>
          <w:i/>
          <w:color w:val="231F20"/>
          <w:spacing w:val="-4"/>
        </w:rPr>
        <w:t> </w:t>
      </w:r>
      <w:r>
        <w:rPr>
          <w:i/>
          <w:color w:val="231F20"/>
        </w:rPr>
        <w:t>deficiency </w:t>
      </w:r>
      <w:r>
        <w:rPr>
          <w:color w:val="231F20"/>
        </w:rPr>
        <w:t>is</w:t>
      </w:r>
      <w:r>
        <w:rPr>
          <w:color w:val="231F20"/>
          <w:spacing w:val="-4"/>
        </w:rPr>
        <w:t> </w:t>
      </w:r>
      <w:r>
        <w:rPr>
          <w:color w:val="231F20"/>
        </w:rPr>
        <w:t>a</w:t>
      </w:r>
      <w:r>
        <w:rPr>
          <w:color w:val="231F20"/>
          <w:spacing w:val="-3"/>
        </w:rPr>
        <w:t> </w:t>
      </w:r>
      <w:r>
        <w:rPr>
          <w:color w:val="231F20"/>
        </w:rPr>
        <w:t>deficiency,</w:t>
      </w:r>
      <w:r>
        <w:rPr>
          <w:color w:val="231F20"/>
          <w:spacing w:val="-3"/>
        </w:rPr>
        <w:t> </w:t>
      </w:r>
      <w:r>
        <w:rPr>
          <w:color w:val="231F20"/>
        </w:rPr>
        <w:t>or</w:t>
      </w:r>
      <w:r>
        <w:rPr>
          <w:color w:val="231F20"/>
          <w:spacing w:val="-3"/>
        </w:rPr>
        <w:t> </w:t>
      </w:r>
      <w:r>
        <w:rPr>
          <w:color w:val="231F20"/>
        </w:rPr>
        <w:t>a</w:t>
      </w:r>
      <w:r>
        <w:rPr>
          <w:color w:val="231F20"/>
          <w:spacing w:val="-3"/>
        </w:rPr>
        <w:t> </w:t>
      </w:r>
      <w:r>
        <w:rPr>
          <w:color w:val="231F20"/>
        </w:rPr>
        <w:t>combination</w:t>
      </w:r>
      <w:r>
        <w:rPr>
          <w:color w:val="231F20"/>
          <w:spacing w:val="-3"/>
        </w:rPr>
        <w:t> </w:t>
      </w:r>
      <w:r>
        <w:rPr>
          <w:color w:val="231F20"/>
        </w:rPr>
        <w:t>of</w:t>
      </w:r>
      <w:r>
        <w:rPr>
          <w:color w:val="231F20"/>
          <w:spacing w:val="-3"/>
        </w:rPr>
        <w:t> </w:t>
      </w:r>
      <w:r>
        <w:rPr>
          <w:color w:val="231F20"/>
        </w:rPr>
        <w:t>deficiencies, in internal control that is less severe than a material weakness, yet important enough to merit attention by those charged with governance.</w:t>
      </w:r>
    </w:p>
    <w:p>
      <w:pPr>
        <w:spacing w:after="0" w:line="276" w:lineRule="auto"/>
        <w:sectPr>
          <w:headerReference w:type="default" r:id="rId74"/>
          <w:footerReference w:type="default" r:id="rId75"/>
          <w:pgSz w:w="12240" w:h="15840"/>
          <w:pgMar w:header="0" w:footer="743" w:top="1140" w:bottom="940" w:left="540" w:right="500"/>
        </w:sectPr>
      </w:pPr>
    </w:p>
    <w:p>
      <w:pPr>
        <w:pStyle w:val="BodyText"/>
        <w:spacing w:line="276" w:lineRule="auto" w:before="79"/>
        <w:ind w:left="1079" w:right="1195"/>
      </w:pPr>
      <w:r>
        <w:rPr>
          <w:color w:val="231F20"/>
        </w:rPr>
        <w:t>Our consideration of internal control was for the limited purpose described in the first paragraph of this section and was not designed to identify all deficiencies in internal control that might be material weaknesses</w:t>
      </w:r>
      <w:r>
        <w:rPr>
          <w:color w:val="231F20"/>
          <w:spacing w:val="-5"/>
        </w:rPr>
        <w:t> </w:t>
      </w:r>
      <w:r>
        <w:rPr>
          <w:color w:val="231F20"/>
        </w:rPr>
        <w:t>or</w:t>
      </w:r>
      <w:r>
        <w:rPr>
          <w:color w:val="231F20"/>
          <w:spacing w:val="-4"/>
        </w:rPr>
        <w:t> </w:t>
      </w:r>
      <w:r>
        <w:rPr>
          <w:color w:val="231F20"/>
        </w:rPr>
        <w:t>significant</w:t>
      </w:r>
      <w:r>
        <w:rPr>
          <w:color w:val="231F20"/>
          <w:spacing w:val="-4"/>
        </w:rPr>
        <w:t> </w:t>
      </w:r>
      <w:r>
        <w:rPr>
          <w:color w:val="231F20"/>
        </w:rPr>
        <w:t>deficiencies</w:t>
      </w:r>
      <w:r>
        <w:rPr>
          <w:color w:val="231F20"/>
          <w:spacing w:val="-4"/>
        </w:rPr>
        <w:t> </w:t>
      </w:r>
      <w:r>
        <w:rPr>
          <w:color w:val="231F20"/>
        </w:rPr>
        <w:t>and</w:t>
      </w:r>
      <w:r>
        <w:rPr>
          <w:color w:val="231F20"/>
          <w:spacing w:val="-4"/>
        </w:rPr>
        <w:t> </w:t>
      </w:r>
      <w:r>
        <w:rPr>
          <w:color w:val="231F20"/>
        </w:rPr>
        <w:t>therefore,</w:t>
      </w:r>
      <w:r>
        <w:rPr>
          <w:color w:val="231F20"/>
          <w:spacing w:val="-5"/>
        </w:rPr>
        <w:t> </w:t>
      </w:r>
      <w:r>
        <w:rPr>
          <w:color w:val="231F20"/>
        </w:rPr>
        <w:t>material</w:t>
      </w:r>
      <w:r>
        <w:rPr>
          <w:color w:val="231F20"/>
          <w:spacing w:val="-5"/>
        </w:rPr>
        <w:t> </w:t>
      </w:r>
      <w:r>
        <w:rPr>
          <w:color w:val="231F20"/>
        </w:rPr>
        <w:t>weaknesses</w:t>
      </w:r>
      <w:r>
        <w:rPr>
          <w:color w:val="231F20"/>
          <w:spacing w:val="-4"/>
        </w:rPr>
        <w:t> </w:t>
      </w:r>
      <w:r>
        <w:rPr>
          <w:color w:val="231F20"/>
        </w:rPr>
        <w:t>or</w:t>
      </w:r>
      <w:r>
        <w:rPr>
          <w:color w:val="231F20"/>
          <w:spacing w:val="-4"/>
        </w:rPr>
        <w:t> </w:t>
      </w:r>
      <w:r>
        <w:rPr>
          <w:color w:val="231F20"/>
        </w:rPr>
        <w:t>significant</w:t>
      </w:r>
      <w:r>
        <w:rPr>
          <w:color w:val="231F20"/>
          <w:spacing w:val="-4"/>
        </w:rPr>
        <w:t> </w:t>
      </w:r>
      <w:r>
        <w:rPr>
          <w:color w:val="231F20"/>
        </w:rPr>
        <w:t>deficiencies may exist that were not identified. Given these limitations, during our audit we did not identify any deficiencies in internal control that we consider to be material weaknesses. We identified certain deficiencies in internal control, described in the accompanying schedule of findings and questioned costs as items 2022-001 and 2022-002 that we consider to be significant deficiencies.</w:t>
      </w:r>
    </w:p>
    <w:p>
      <w:pPr>
        <w:pStyle w:val="BodyText"/>
        <w:spacing w:before="11"/>
      </w:pPr>
    </w:p>
    <w:p>
      <w:pPr>
        <w:pStyle w:val="Heading4"/>
        <w:ind w:left="1079"/>
        <w:rPr>
          <w:rFonts w:ascii="Georgia"/>
        </w:rPr>
      </w:pPr>
      <w:r>
        <w:rPr>
          <w:rFonts w:ascii="Georgia"/>
          <w:color w:val="231F20"/>
        </w:rPr>
        <w:t>Report</w:t>
      </w:r>
      <w:r>
        <w:rPr>
          <w:rFonts w:ascii="Georgia"/>
          <w:color w:val="231F20"/>
          <w:spacing w:val="-4"/>
        </w:rPr>
        <w:t> </w:t>
      </w:r>
      <w:r>
        <w:rPr>
          <w:rFonts w:ascii="Georgia"/>
          <w:color w:val="231F20"/>
        </w:rPr>
        <w:t>on</w:t>
      </w:r>
      <w:r>
        <w:rPr>
          <w:rFonts w:ascii="Georgia"/>
          <w:color w:val="231F20"/>
          <w:spacing w:val="-4"/>
        </w:rPr>
        <w:t> </w:t>
      </w:r>
      <w:r>
        <w:rPr>
          <w:rFonts w:ascii="Georgia"/>
          <w:color w:val="231F20"/>
        </w:rPr>
        <w:t>Compliance</w:t>
      </w:r>
      <w:r>
        <w:rPr>
          <w:rFonts w:ascii="Georgia"/>
          <w:color w:val="231F20"/>
          <w:spacing w:val="-3"/>
        </w:rPr>
        <w:t> </w:t>
      </w:r>
      <w:r>
        <w:rPr>
          <w:rFonts w:ascii="Georgia"/>
          <w:color w:val="231F20"/>
        </w:rPr>
        <w:t>and</w:t>
      </w:r>
      <w:r>
        <w:rPr>
          <w:rFonts w:ascii="Georgia"/>
          <w:color w:val="231F20"/>
          <w:spacing w:val="-4"/>
        </w:rPr>
        <w:t> </w:t>
      </w:r>
      <w:r>
        <w:rPr>
          <w:rFonts w:ascii="Georgia"/>
          <w:color w:val="231F20"/>
        </w:rPr>
        <w:t>Other</w:t>
      </w:r>
      <w:r>
        <w:rPr>
          <w:rFonts w:ascii="Georgia"/>
          <w:color w:val="231F20"/>
          <w:spacing w:val="-3"/>
        </w:rPr>
        <w:t> </w:t>
      </w:r>
      <w:r>
        <w:rPr>
          <w:rFonts w:ascii="Georgia"/>
          <w:color w:val="231F20"/>
          <w:spacing w:val="-2"/>
        </w:rPr>
        <w:t>Matters</w:t>
      </w:r>
    </w:p>
    <w:p>
      <w:pPr>
        <w:pStyle w:val="BodyText"/>
        <w:spacing w:line="276" w:lineRule="auto" w:before="153"/>
        <w:ind w:left="1079" w:right="1027"/>
      </w:pPr>
      <w:r>
        <w:rPr>
          <w:color w:val="231F20"/>
        </w:rPr>
        <w:t>As part of obtaining reasonable assurance about whether New Mexico Institute of Mining and Technology’s</w:t>
      </w:r>
      <w:r>
        <w:rPr>
          <w:color w:val="231F20"/>
          <w:spacing w:val="-4"/>
        </w:rPr>
        <w:t> </w:t>
      </w:r>
      <w:r>
        <w:rPr>
          <w:color w:val="231F20"/>
        </w:rPr>
        <w:t>financial</w:t>
      </w:r>
      <w:r>
        <w:rPr>
          <w:color w:val="231F20"/>
          <w:spacing w:val="-5"/>
        </w:rPr>
        <w:t> </w:t>
      </w:r>
      <w:r>
        <w:rPr>
          <w:color w:val="231F20"/>
        </w:rPr>
        <w:t>statements</w:t>
      </w:r>
      <w:r>
        <w:rPr>
          <w:color w:val="231F20"/>
          <w:spacing w:val="-4"/>
        </w:rPr>
        <w:t> </w:t>
      </w:r>
      <w:r>
        <w:rPr>
          <w:color w:val="231F20"/>
        </w:rPr>
        <w:t>are</w:t>
      </w:r>
      <w:r>
        <w:rPr>
          <w:color w:val="231F20"/>
          <w:spacing w:val="-4"/>
        </w:rPr>
        <w:t> </w:t>
      </w:r>
      <w:r>
        <w:rPr>
          <w:color w:val="231F20"/>
        </w:rPr>
        <w:t>free</w:t>
      </w:r>
      <w:r>
        <w:rPr>
          <w:color w:val="231F20"/>
          <w:spacing w:val="-4"/>
        </w:rPr>
        <w:t> </w:t>
      </w:r>
      <w:r>
        <w:rPr>
          <w:color w:val="231F20"/>
        </w:rPr>
        <w:t>from</w:t>
      </w:r>
      <w:r>
        <w:rPr>
          <w:color w:val="231F20"/>
          <w:spacing w:val="-4"/>
        </w:rPr>
        <w:t> </w:t>
      </w:r>
      <w:r>
        <w:rPr>
          <w:color w:val="231F20"/>
        </w:rPr>
        <w:t>material</w:t>
      </w:r>
      <w:r>
        <w:rPr>
          <w:color w:val="231F20"/>
          <w:spacing w:val="-4"/>
        </w:rPr>
        <w:t> </w:t>
      </w:r>
      <w:r>
        <w:rPr>
          <w:color w:val="231F20"/>
        </w:rPr>
        <w:t>misstatement,</w:t>
      </w:r>
      <w:r>
        <w:rPr>
          <w:color w:val="231F20"/>
          <w:spacing w:val="-4"/>
        </w:rPr>
        <w:t> </w:t>
      </w:r>
      <w:r>
        <w:rPr>
          <w:color w:val="231F20"/>
        </w:rPr>
        <w:t>we</w:t>
      </w:r>
      <w:r>
        <w:rPr>
          <w:color w:val="231F20"/>
          <w:spacing w:val="-4"/>
        </w:rPr>
        <w:t> </w:t>
      </w:r>
      <w:r>
        <w:rPr>
          <w:color w:val="231F20"/>
        </w:rPr>
        <w:t>performed</w:t>
      </w:r>
      <w:r>
        <w:rPr>
          <w:color w:val="231F20"/>
          <w:spacing w:val="-4"/>
        </w:rPr>
        <w:t> </w:t>
      </w:r>
      <w:r>
        <w:rPr>
          <w:color w:val="231F20"/>
        </w:rPr>
        <w:t>tests</w:t>
      </w:r>
      <w:r>
        <w:rPr>
          <w:color w:val="231F20"/>
          <w:spacing w:val="-4"/>
        </w:rPr>
        <w:t> </w:t>
      </w:r>
      <w:r>
        <w:rPr>
          <w:color w:val="231F20"/>
        </w:rPr>
        <w:t>of</w:t>
      </w:r>
      <w:r>
        <w:rPr>
          <w:color w:val="231F20"/>
          <w:spacing w:val="-4"/>
        </w:rPr>
        <w:t> </w:t>
      </w:r>
      <w:r>
        <w:rPr>
          <w:color w:val="231F20"/>
        </w:rPr>
        <w:t>its compliance with certain provisions of laws, regulations, contracts, and grant agreements, noncompliance with which could have a direct and material effect on the financial statements.</w:t>
      </w:r>
    </w:p>
    <w:p>
      <w:pPr>
        <w:pStyle w:val="BodyText"/>
        <w:spacing w:line="276" w:lineRule="auto"/>
        <w:ind w:left="1079" w:right="1195"/>
      </w:pPr>
      <w:r>
        <w:rPr>
          <w:color w:val="231F20"/>
        </w:rPr>
        <w:t>However,</w:t>
      </w:r>
      <w:r>
        <w:rPr>
          <w:color w:val="231F20"/>
          <w:spacing w:val="-3"/>
        </w:rPr>
        <w:t> </w:t>
      </w:r>
      <w:r>
        <w:rPr>
          <w:color w:val="231F20"/>
        </w:rPr>
        <w:t>providing</w:t>
      </w:r>
      <w:r>
        <w:rPr>
          <w:color w:val="231F20"/>
          <w:spacing w:val="-3"/>
        </w:rPr>
        <w:t> </w:t>
      </w:r>
      <w:r>
        <w:rPr>
          <w:color w:val="231F20"/>
        </w:rPr>
        <w:t>an</w:t>
      </w:r>
      <w:r>
        <w:rPr>
          <w:color w:val="231F20"/>
          <w:spacing w:val="-3"/>
        </w:rPr>
        <w:t> </w:t>
      </w:r>
      <w:r>
        <w:rPr>
          <w:color w:val="231F20"/>
        </w:rPr>
        <w:t>opinion</w:t>
      </w:r>
      <w:r>
        <w:rPr>
          <w:color w:val="231F20"/>
          <w:spacing w:val="-3"/>
        </w:rPr>
        <w:t> </w:t>
      </w:r>
      <w:r>
        <w:rPr>
          <w:color w:val="231F20"/>
        </w:rPr>
        <w:t>on</w:t>
      </w:r>
      <w:r>
        <w:rPr>
          <w:color w:val="231F20"/>
          <w:spacing w:val="-4"/>
        </w:rPr>
        <w:t> </w:t>
      </w:r>
      <w:r>
        <w:rPr>
          <w:color w:val="231F20"/>
        </w:rPr>
        <w:t>compliance</w:t>
      </w:r>
      <w:r>
        <w:rPr>
          <w:color w:val="231F20"/>
          <w:spacing w:val="-3"/>
        </w:rPr>
        <w:t> </w:t>
      </w:r>
      <w:r>
        <w:rPr>
          <w:color w:val="231F20"/>
        </w:rPr>
        <w:t>with</w:t>
      </w:r>
      <w:r>
        <w:rPr>
          <w:color w:val="231F20"/>
          <w:spacing w:val="-3"/>
        </w:rPr>
        <w:t> </w:t>
      </w:r>
      <w:r>
        <w:rPr>
          <w:color w:val="231F20"/>
        </w:rPr>
        <w:t>those</w:t>
      </w:r>
      <w:r>
        <w:rPr>
          <w:color w:val="231F20"/>
          <w:spacing w:val="-3"/>
        </w:rPr>
        <w:t> </w:t>
      </w:r>
      <w:r>
        <w:rPr>
          <w:color w:val="231F20"/>
        </w:rPr>
        <w:t>provisions</w:t>
      </w:r>
      <w:r>
        <w:rPr>
          <w:color w:val="231F20"/>
          <w:spacing w:val="-2"/>
        </w:rPr>
        <w:t> </w:t>
      </w:r>
      <w:r>
        <w:rPr>
          <w:color w:val="231F20"/>
        </w:rPr>
        <w:t>was</w:t>
      </w:r>
      <w:r>
        <w:rPr>
          <w:color w:val="231F20"/>
          <w:spacing w:val="-3"/>
        </w:rPr>
        <w:t> </w:t>
      </w:r>
      <w:r>
        <w:rPr>
          <w:color w:val="231F20"/>
        </w:rPr>
        <w:t>not</w:t>
      </w:r>
      <w:r>
        <w:rPr>
          <w:color w:val="231F20"/>
          <w:spacing w:val="-3"/>
        </w:rPr>
        <w:t> </w:t>
      </w:r>
      <w:r>
        <w:rPr>
          <w:color w:val="231F20"/>
        </w:rPr>
        <w:t>an</w:t>
      </w:r>
      <w:r>
        <w:rPr>
          <w:color w:val="231F20"/>
          <w:spacing w:val="-4"/>
        </w:rPr>
        <w:t> </w:t>
      </w:r>
      <w:r>
        <w:rPr>
          <w:color w:val="231F20"/>
        </w:rPr>
        <w:t>objective</w:t>
      </w:r>
      <w:r>
        <w:rPr>
          <w:color w:val="231F20"/>
          <w:spacing w:val="-3"/>
        </w:rPr>
        <w:t> </w:t>
      </w:r>
      <w:r>
        <w:rPr>
          <w:color w:val="231F20"/>
        </w:rPr>
        <w:t>of</w:t>
      </w:r>
      <w:r>
        <w:rPr>
          <w:color w:val="231F20"/>
          <w:spacing w:val="-3"/>
        </w:rPr>
        <w:t> </w:t>
      </w:r>
      <w:r>
        <w:rPr>
          <w:color w:val="231F20"/>
        </w:rPr>
        <w:t>our</w:t>
      </w:r>
      <w:r>
        <w:rPr>
          <w:color w:val="231F20"/>
          <w:spacing w:val="-3"/>
        </w:rPr>
        <w:t> </w:t>
      </w:r>
      <w:r>
        <w:rPr>
          <w:color w:val="231F20"/>
        </w:rPr>
        <w:t>audit, and accordingly, we do not express such an opinion. The results of our tests disclosed no instances of noncompliance or other matters that are required to be reported under </w:t>
      </w:r>
      <w:r>
        <w:rPr>
          <w:i/>
          <w:color w:val="231F20"/>
        </w:rPr>
        <w:t>Government Auditing</w:t>
      </w:r>
      <w:r>
        <w:rPr>
          <w:i/>
          <w:color w:val="231F20"/>
        </w:rPr>
        <w:t> </w:t>
      </w:r>
      <w:r>
        <w:rPr>
          <w:i/>
          <w:color w:val="231F20"/>
          <w:spacing w:val="-2"/>
        </w:rPr>
        <w:t>Standards</w:t>
      </w:r>
      <w:r>
        <w:rPr>
          <w:color w:val="231F20"/>
          <w:spacing w:val="-2"/>
        </w:rPr>
        <w:t>.</w:t>
      </w:r>
    </w:p>
    <w:p>
      <w:pPr>
        <w:pStyle w:val="BodyText"/>
        <w:spacing w:line="276" w:lineRule="auto" w:before="120"/>
        <w:ind w:left="1080" w:right="1293"/>
      </w:pPr>
      <w:r>
        <w:rPr>
          <w:color w:val="231F20"/>
        </w:rPr>
        <w:t>We noted certain matters that are required to be reported per Section 12-6-5 NMSA 1978, that we have</w:t>
      </w:r>
      <w:r>
        <w:rPr>
          <w:color w:val="231F20"/>
          <w:spacing w:val="-4"/>
        </w:rPr>
        <w:t> </w:t>
      </w:r>
      <w:r>
        <w:rPr>
          <w:color w:val="231F20"/>
        </w:rPr>
        <w:t>described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accompanying</w:t>
      </w:r>
      <w:r>
        <w:rPr>
          <w:color w:val="231F20"/>
          <w:spacing w:val="-4"/>
        </w:rPr>
        <w:t> </w:t>
      </w:r>
      <w:r>
        <w:rPr>
          <w:color w:val="231F20"/>
        </w:rPr>
        <w:t>schedule</w:t>
      </w:r>
      <w:r>
        <w:rPr>
          <w:color w:val="231F20"/>
          <w:spacing w:val="-4"/>
        </w:rPr>
        <w:t> </w:t>
      </w:r>
      <w:r>
        <w:rPr>
          <w:color w:val="231F20"/>
        </w:rPr>
        <w:t>of</w:t>
      </w:r>
      <w:r>
        <w:rPr>
          <w:color w:val="231F20"/>
          <w:spacing w:val="-4"/>
        </w:rPr>
        <w:t> </w:t>
      </w:r>
      <w:r>
        <w:rPr>
          <w:color w:val="231F20"/>
        </w:rPr>
        <w:t>findings</w:t>
      </w:r>
      <w:r>
        <w:rPr>
          <w:color w:val="231F20"/>
          <w:spacing w:val="-4"/>
        </w:rPr>
        <w:t> </w:t>
      </w:r>
      <w:r>
        <w:rPr>
          <w:color w:val="231F20"/>
        </w:rPr>
        <w:t>and</w:t>
      </w:r>
      <w:r>
        <w:rPr>
          <w:color w:val="231F20"/>
          <w:spacing w:val="-4"/>
        </w:rPr>
        <w:t> </w:t>
      </w:r>
      <w:r>
        <w:rPr>
          <w:color w:val="231F20"/>
        </w:rPr>
        <w:t>questioned</w:t>
      </w:r>
      <w:r>
        <w:rPr>
          <w:color w:val="231F20"/>
          <w:spacing w:val="-4"/>
        </w:rPr>
        <w:t> </w:t>
      </w:r>
      <w:r>
        <w:rPr>
          <w:color w:val="231F20"/>
        </w:rPr>
        <w:t>costs</w:t>
      </w:r>
      <w:r>
        <w:rPr>
          <w:color w:val="231F20"/>
          <w:spacing w:val="-4"/>
        </w:rPr>
        <w:t> </w:t>
      </w:r>
      <w:r>
        <w:rPr>
          <w:color w:val="231F20"/>
        </w:rPr>
        <w:t>under</w:t>
      </w:r>
      <w:r>
        <w:rPr>
          <w:color w:val="231F20"/>
          <w:spacing w:val="-4"/>
        </w:rPr>
        <w:t> </w:t>
      </w:r>
      <w:r>
        <w:rPr>
          <w:color w:val="231F20"/>
        </w:rPr>
        <w:t>other</w:t>
      </w:r>
      <w:r>
        <w:rPr>
          <w:color w:val="231F20"/>
          <w:spacing w:val="-4"/>
        </w:rPr>
        <w:t> </w:t>
      </w:r>
      <w:r>
        <w:rPr>
          <w:color w:val="231F20"/>
        </w:rPr>
        <w:t>matters as required by section 12-6-5 NMSA 1978 as items 2022-004, 2022-005, and 2022-006.</w:t>
      </w:r>
    </w:p>
    <w:p>
      <w:pPr>
        <w:pStyle w:val="BodyText"/>
        <w:spacing w:before="10"/>
      </w:pPr>
    </w:p>
    <w:p>
      <w:pPr>
        <w:pStyle w:val="Heading4"/>
        <w:ind w:left="1080"/>
        <w:rPr>
          <w:rFonts w:ascii="Georgia" w:hAnsi="Georgia"/>
        </w:rPr>
      </w:pPr>
      <w:r>
        <w:rPr>
          <w:rFonts w:ascii="Georgia" w:hAnsi="Georgia"/>
          <w:color w:val="231F20"/>
        </w:rPr>
        <w:t>New</w:t>
      </w:r>
      <w:r>
        <w:rPr>
          <w:rFonts w:ascii="Georgia" w:hAnsi="Georgia"/>
          <w:color w:val="231F20"/>
          <w:spacing w:val="-8"/>
        </w:rPr>
        <w:t> </w:t>
      </w:r>
      <w:r>
        <w:rPr>
          <w:rFonts w:ascii="Georgia" w:hAnsi="Georgia"/>
          <w:color w:val="231F20"/>
        </w:rPr>
        <w:t>Mexico</w:t>
      </w:r>
      <w:r>
        <w:rPr>
          <w:rFonts w:ascii="Georgia" w:hAnsi="Georgia"/>
          <w:color w:val="231F20"/>
          <w:spacing w:val="-6"/>
        </w:rPr>
        <w:t> </w:t>
      </w:r>
      <w:r>
        <w:rPr>
          <w:rFonts w:ascii="Georgia" w:hAnsi="Georgia"/>
          <w:color w:val="231F20"/>
        </w:rPr>
        <w:t>Institute</w:t>
      </w:r>
      <w:r>
        <w:rPr>
          <w:rFonts w:ascii="Georgia" w:hAnsi="Georgia"/>
          <w:color w:val="231F20"/>
          <w:spacing w:val="-5"/>
        </w:rPr>
        <w:t> </w:t>
      </w:r>
      <w:r>
        <w:rPr>
          <w:rFonts w:ascii="Georgia" w:hAnsi="Georgia"/>
          <w:color w:val="231F20"/>
        </w:rPr>
        <w:t>of</w:t>
      </w:r>
      <w:r>
        <w:rPr>
          <w:rFonts w:ascii="Georgia" w:hAnsi="Georgia"/>
          <w:color w:val="231F20"/>
          <w:spacing w:val="-6"/>
        </w:rPr>
        <w:t> </w:t>
      </w:r>
      <w:r>
        <w:rPr>
          <w:rFonts w:ascii="Georgia" w:hAnsi="Georgia"/>
          <w:color w:val="231F20"/>
        </w:rPr>
        <w:t>Mining</w:t>
      </w:r>
      <w:r>
        <w:rPr>
          <w:rFonts w:ascii="Georgia" w:hAnsi="Georgia"/>
          <w:color w:val="231F20"/>
          <w:spacing w:val="-6"/>
        </w:rPr>
        <w:t> </w:t>
      </w:r>
      <w:r>
        <w:rPr>
          <w:rFonts w:ascii="Georgia" w:hAnsi="Georgia"/>
          <w:color w:val="231F20"/>
        </w:rPr>
        <w:t>and</w:t>
      </w:r>
      <w:r>
        <w:rPr>
          <w:rFonts w:ascii="Georgia" w:hAnsi="Georgia"/>
          <w:color w:val="231F20"/>
          <w:spacing w:val="-5"/>
        </w:rPr>
        <w:t> </w:t>
      </w:r>
      <w:r>
        <w:rPr>
          <w:rFonts w:ascii="Georgia" w:hAnsi="Georgia"/>
          <w:color w:val="231F20"/>
        </w:rPr>
        <w:t>Technology’s</w:t>
      </w:r>
      <w:r>
        <w:rPr>
          <w:rFonts w:ascii="Georgia" w:hAnsi="Georgia"/>
          <w:color w:val="231F20"/>
          <w:spacing w:val="-6"/>
        </w:rPr>
        <w:t> </w:t>
      </w:r>
      <w:r>
        <w:rPr>
          <w:rFonts w:ascii="Georgia" w:hAnsi="Georgia"/>
          <w:color w:val="231F20"/>
        </w:rPr>
        <w:t>Response</w:t>
      </w:r>
      <w:r>
        <w:rPr>
          <w:rFonts w:ascii="Georgia" w:hAnsi="Georgia"/>
          <w:color w:val="231F20"/>
          <w:spacing w:val="-6"/>
        </w:rPr>
        <w:t> </w:t>
      </w:r>
      <w:r>
        <w:rPr>
          <w:rFonts w:ascii="Georgia" w:hAnsi="Georgia"/>
          <w:color w:val="231F20"/>
        </w:rPr>
        <w:t>to</w:t>
      </w:r>
      <w:r>
        <w:rPr>
          <w:rFonts w:ascii="Georgia" w:hAnsi="Georgia"/>
          <w:color w:val="231F20"/>
          <w:spacing w:val="-5"/>
        </w:rPr>
        <w:t> </w:t>
      </w:r>
      <w:r>
        <w:rPr>
          <w:rFonts w:ascii="Georgia" w:hAnsi="Georgia"/>
          <w:color w:val="231F20"/>
          <w:spacing w:val="-2"/>
        </w:rPr>
        <w:t>Findings</w:t>
      </w:r>
    </w:p>
    <w:p>
      <w:pPr>
        <w:pStyle w:val="BodyText"/>
        <w:spacing w:line="276" w:lineRule="auto" w:before="154"/>
        <w:ind w:left="1080" w:right="1195"/>
      </w:pPr>
      <w:r>
        <w:rPr>
          <w:i/>
          <w:color w:val="231F20"/>
        </w:rPr>
        <w:t>Government Auditing Standards </w:t>
      </w:r>
      <w:r>
        <w:rPr>
          <w:color w:val="231F20"/>
        </w:rPr>
        <w:t>requires the auditor to perform limited procedures on the New Mexico Institute of Mining and Technology’s response to the findings identified in our audit and described in the accompanying schedule of findings and questioned costs. New Mexico Institute of Mining</w:t>
      </w:r>
      <w:r>
        <w:rPr>
          <w:color w:val="231F20"/>
          <w:spacing w:val="-4"/>
        </w:rPr>
        <w:t> </w:t>
      </w:r>
      <w:r>
        <w:rPr>
          <w:color w:val="231F20"/>
        </w:rPr>
        <w:t>and</w:t>
      </w:r>
      <w:r>
        <w:rPr>
          <w:color w:val="231F20"/>
          <w:spacing w:val="-4"/>
        </w:rPr>
        <w:t> </w:t>
      </w:r>
      <w:r>
        <w:rPr>
          <w:color w:val="231F20"/>
        </w:rPr>
        <w:t>Technology’s</w:t>
      </w:r>
      <w:r>
        <w:rPr>
          <w:color w:val="231F20"/>
          <w:spacing w:val="-4"/>
        </w:rPr>
        <w:t> </w:t>
      </w:r>
      <w:r>
        <w:rPr>
          <w:color w:val="231F20"/>
        </w:rPr>
        <w:t>response</w:t>
      </w:r>
      <w:r>
        <w:rPr>
          <w:color w:val="231F20"/>
          <w:spacing w:val="-4"/>
        </w:rPr>
        <w:t> </w:t>
      </w:r>
      <w:r>
        <w:rPr>
          <w:color w:val="231F20"/>
        </w:rPr>
        <w:t>was</w:t>
      </w:r>
      <w:r>
        <w:rPr>
          <w:color w:val="231F20"/>
          <w:spacing w:val="-4"/>
        </w:rPr>
        <w:t> </w:t>
      </w:r>
      <w:r>
        <w:rPr>
          <w:color w:val="231F20"/>
        </w:rPr>
        <w:t>not</w:t>
      </w:r>
      <w:r>
        <w:rPr>
          <w:color w:val="231F20"/>
          <w:spacing w:val="-4"/>
        </w:rPr>
        <w:t> </w:t>
      </w:r>
      <w:r>
        <w:rPr>
          <w:color w:val="231F20"/>
        </w:rPr>
        <w:t>subjected</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other</w:t>
      </w:r>
      <w:r>
        <w:rPr>
          <w:color w:val="231F20"/>
          <w:spacing w:val="-4"/>
        </w:rPr>
        <w:t> </w:t>
      </w:r>
      <w:r>
        <w:rPr>
          <w:color w:val="231F20"/>
        </w:rPr>
        <w:t>auditing</w:t>
      </w:r>
      <w:r>
        <w:rPr>
          <w:color w:val="231F20"/>
          <w:spacing w:val="-4"/>
        </w:rPr>
        <w:t> </w:t>
      </w:r>
      <w:r>
        <w:rPr>
          <w:color w:val="231F20"/>
        </w:rPr>
        <w:t>procedures</w:t>
      </w:r>
      <w:r>
        <w:rPr>
          <w:color w:val="231F20"/>
          <w:spacing w:val="-4"/>
        </w:rPr>
        <w:t> </w:t>
      </w:r>
      <w:r>
        <w:rPr>
          <w:color w:val="231F20"/>
        </w:rPr>
        <w:t>applied</w:t>
      </w:r>
      <w:r>
        <w:rPr>
          <w:color w:val="231F20"/>
          <w:spacing w:val="-4"/>
        </w:rPr>
        <w:t> </w:t>
      </w:r>
      <w:r>
        <w:rPr>
          <w:color w:val="231F20"/>
        </w:rPr>
        <w:t>in</w:t>
      </w:r>
      <w:r>
        <w:rPr>
          <w:color w:val="231F20"/>
          <w:spacing w:val="-4"/>
        </w:rPr>
        <w:t> </w:t>
      </w:r>
      <w:r>
        <w:rPr>
          <w:color w:val="231F20"/>
        </w:rPr>
        <w:t>the audit of the financial statements and, accordingly, we express no opinion on the response.</w:t>
      </w:r>
    </w:p>
    <w:p>
      <w:pPr>
        <w:pStyle w:val="BodyText"/>
        <w:spacing w:before="10"/>
      </w:pPr>
    </w:p>
    <w:p>
      <w:pPr>
        <w:pStyle w:val="Heading4"/>
        <w:ind w:left="1080"/>
        <w:rPr>
          <w:rFonts w:ascii="Georgia"/>
        </w:rPr>
      </w:pPr>
      <w:r>
        <w:rPr>
          <w:rFonts w:ascii="Georgia"/>
          <w:color w:val="231F20"/>
        </w:rPr>
        <w:t>Purpose</w:t>
      </w:r>
      <w:r>
        <w:rPr>
          <w:rFonts w:ascii="Georgia"/>
          <w:color w:val="231F20"/>
          <w:spacing w:val="-2"/>
        </w:rPr>
        <w:t> </w:t>
      </w:r>
      <w:r>
        <w:rPr>
          <w:rFonts w:ascii="Georgia"/>
          <w:color w:val="231F20"/>
        </w:rPr>
        <w:t>of</w:t>
      </w:r>
      <w:r>
        <w:rPr>
          <w:rFonts w:ascii="Georgia"/>
          <w:color w:val="231F20"/>
          <w:spacing w:val="-2"/>
        </w:rPr>
        <w:t> </w:t>
      </w:r>
      <w:r>
        <w:rPr>
          <w:rFonts w:ascii="Georgia"/>
          <w:color w:val="231F20"/>
        </w:rPr>
        <w:t>this</w:t>
      </w:r>
      <w:r>
        <w:rPr>
          <w:rFonts w:ascii="Georgia"/>
          <w:color w:val="231F20"/>
          <w:spacing w:val="-1"/>
        </w:rPr>
        <w:t> </w:t>
      </w:r>
      <w:r>
        <w:rPr>
          <w:rFonts w:ascii="Georgia"/>
          <w:color w:val="231F20"/>
          <w:spacing w:val="-2"/>
        </w:rPr>
        <w:t>Report</w:t>
      </w:r>
    </w:p>
    <w:p>
      <w:pPr>
        <w:pStyle w:val="BodyText"/>
        <w:spacing w:line="276" w:lineRule="auto" w:before="153"/>
        <w:ind w:left="1080" w:right="1027"/>
      </w:pPr>
      <w:r>
        <w:rPr>
          <w:color w:val="231F20"/>
        </w:rPr>
        <w:t>The purpose of this report is solely to describe the scope of our testing of internal control and compliance</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results</w:t>
      </w:r>
      <w:r>
        <w:rPr>
          <w:color w:val="231F20"/>
          <w:spacing w:val="-3"/>
        </w:rPr>
        <w:t> </w:t>
      </w:r>
      <w:r>
        <w:rPr>
          <w:color w:val="231F20"/>
        </w:rPr>
        <w:t>of</w:t>
      </w:r>
      <w:r>
        <w:rPr>
          <w:color w:val="231F20"/>
          <w:spacing w:val="-3"/>
        </w:rPr>
        <w:t> </w:t>
      </w:r>
      <w:r>
        <w:rPr>
          <w:color w:val="231F20"/>
        </w:rPr>
        <w:t>that</w:t>
      </w:r>
      <w:r>
        <w:rPr>
          <w:color w:val="231F20"/>
          <w:spacing w:val="-3"/>
        </w:rPr>
        <w:t> </w:t>
      </w:r>
      <w:r>
        <w:rPr>
          <w:color w:val="231F20"/>
        </w:rPr>
        <w:t>testing,</w:t>
      </w:r>
      <w:r>
        <w:rPr>
          <w:color w:val="231F20"/>
          <w:spacing w:val="-3"/>
        </w:rPr>
        <w:t> </w:t>
      </w:r>
      <w:r>
        <w:rPr>
          <w:color w:val="231F20"/>
        </w:rPr>
        <w:t>and</w:t>
      </w:r>
      <w:r>
        <w:rPr>
          <w:color w:val="231F20"/>
          <w:spacing w:val="-3"/>
        </w:rPr>
        <w:t> </w:t>
      </w:r>
      <w:r>
        <w:rPr>
          <w:color w:val="231F20"/>
        </w:rPr>
        <w:t>not</w:t>
      </w:r>
      <w:r>
        <w:rPr>
          <w:color w:val="231F20"/>
          <w:spacing w:val="-1"/>
        </w:rPr>
        <w:t> </w:t>
      </w:r>
      <w:r>
        <w:rPr>
          <w:color w:val="231F20"/>
        </w:rPr>
        <w:t>to</w:t>
      </w:r>
      <w:r>
        <w:rPr>
          <w:color w:val="231F20"/>
          <w:spacing w:val="-3"/>
        </w:rPr>
        <w:t> </w:t>
      </w:r>
      <w:r>
        <w:rPr>
          <w:color w:val="231F20"/>
        </w:rPr>
        <w:t>provide</w:t>
      </w:r>
      <w:r>
        <w:rPr>
          <w:color w:val="231F20"/>
          <w:spacing w:val="-3"/>
        </w:rPr>
        <w:t> </w:t>
      </w:r>
      <w:r>
        <w:rPr>
          <w:color w:val="231F20"/>
        </w:rPr>
        <w:t>an</w:t>
      </w:r>
      <w:r>
        <w:rPr>
          <w:color w:val="231F20"/>
          <w:spacing w:val="-3"/>
        </w:rPr>
        <w:t> </w:t>
      </w:r>
      <w:r>
        <w:rPr>
          <w:color w:val="231F20"/>
        </w:rPr>
        <w:t>opinion</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effectiveness</w:t>
      </w:r>
      <w:r>
        <w:rPr>
          <w:color w:val="231F20"/>
          <w:spacing w:val="-3"/>
        </w:rPr>
        <w:t> </w:t>
      </w:r>
      <w:r>
        <w:rPr>
          <w:color w:val="231F20"/>
        </w:rPr>
        <w:t>of</w:t>
      </w:r>
      <w:r>
        <w:rPr>
          <w:color w:val="231F20"/>
          <w:spacing w:val="-3"/>
        </w:rPr>
        <w:t> </w:t>
      </w:r>
      <w:r>
        <w:rPr>
          <w:color w:val="231F20"/>
        </w:rPr>
        <w:t>the entity’s internal control or on compliance. This report is an integral part of an audit performed in accordance with </w:t>
      </w:r>
      <w:r>
        <w:rPr>
          <w:i/>
          <w:color w:val="231F20"/>
        </w:rPr>
        <w:t>Government Auditing Standards </w:t>
      </w:r>
      <w:r>
        <w:rPr>
          <w:color w:val="231F20"/>
        </w:rPr>
        <w:t>in considering the entity’s internal control and compliance. Accordingly, this communication is not suitable for any other purpose.</w:t>
      </w:r>
    </w:p>
    <w:p>
      <w:pPr>
        <w:pStyle w:val="BodyText"/>
        <w:spacing w:before="3"/>
        <w:rPr>
          <w:sz w:val="19"/>
        </w:rPr>
      </w:pPr>
      <w:r>
        <w:rPr/>
        <w:drawing>
          <wp:anchor distT="0" distB="0" distL="0" distR="0" allowOverlap="1" layoutInCell="1" locked="0" behindDoc="0" simplePos="0" relativeHeight="261">
            <wp:simplePos x="0" y="0"/>
            <wp:positionH relativeFrom="page">
              <wp:posOffset>952416</wp:posOffset>
            </wp:positionH>
            <wp:positionV relativeFrom="paragraph">
              <wp:posOffset>156457</wp:posOffset>
            </wp:positionV>
            <wp:extent cx="2476528" cy="435863"/>
            <wp:effectExtent l="0" t="0" r="0" b="0"/>
            <wp:wrapTopAndBottom/>
            <wp:docPr id="7" name="image14.png"/>
            <wp:cNvGraphicFramePr>
              <a:graphicFrameLocks noChangeAspect="1"/>
            </wp:cNvGraphicFramePr>
            <a:graphic>
              <a:graphicData uri="http://schemas.openxmlformats.org/drawingml/2006/picture">
                <pic:pic>
                  <pic:nvPicPr>
                    <pic:cNvPr id="8" name="image14.png"/>
                    <pic:cNvPicPr/>
                  </pic:nvPicPr>
                  <pic:blipFill>
                    <a:blip r:embed="rId20" cstate="print"/>
                    <a:stretch>
                      <a:fillRect/>
                    </a:stretch>
                  </pic:blipFill>
                  <pic:spPr>
                    <a:xfrm>
                      <a:off x="0" y="0"/>
                      <a:ext cx="2476528" cy="435863"/>
                    </a:xfrm>
                    <a:prstGeom prst="rect">
                      <a:avLst/>
                    </a:prstGeom>
                  </pic:spPr>
                </pic:pic>
              </a:graphicData>
            </a:graphic>
          </wp:anchor>
        </w:drawing>
      </w:r>
    </w:p>
    <w:p>
      <w:pPr>
        <w:pStyle w:val="BodyText"/>
        <w:spacing w:line="276" w:lineRule="auto" w:before="125"/>
        <w:ind w:left="1080" w:right="7123"/>
      </w:pPr>
      <w:r>
        <w:rPr>
          <w:color w:val="231F20"/>
        </w:rPr>
        <w:t>Albuquerque,</w:t>
      </w:r>
      <w:r>
        <w:rPr>
          <w:color w:val="231F20"/>
          <w:spacing w:val="-14"/>
        </w:rPr>
        <w:t> </w:t>
      </w:r>
      <w:r>
        <w:rPr>
          <w:color w:val="231F20"/>
        </w:rPr>
        <w:t>New</w:t>
      </w:r>
      <w:r>
        <w:rPr>
          <w:color w:val="231F20"/>
          <w:spacing w:val="-14"/>
        </w:rPr>
        <w:t> </w:t>
      </w:r>
      <w:r>
        <w:rPr>
          <w:color w:val="231F20"/>
        </w:rPr>
        <w:t>Mexico October 28, 2022</w:t>
      </w:r>
    </w:p>
    <w:p>
      <w:pPr>
        <w:spacing w:after="0" w:line="276" w:lineRule="auto"/>
        <w:sectPr>
          <w:headerReference w:type="default" r:id="rId76"/>
          <w:footerReference w:type="default" r:id="rId77"/>
          <w:pgSz w:w="12240" w:h="15840"/>
          <w:pgMar w:header="0" w:footer="743" w:top="1480" w:bottom="940" w:left="540" w:right="500"/>
        </w:sectPr>
      </w:pPr>
    </w:p>
    <w:p>
      <w:pPr>
        <w:spacing w:line="240" w:lineRule="auto"/>
        <w:ind w:left="318" w:right="0" w:firstLine="0"/>
        <w:rPr>
          <w:sz w:val="20"/>
        </w:rPr>
      </w:pPr>
      <w:r>
        <w:rPr>
          <w:sz w:val="20"/>
        </w:rPr>
        <w:pict>
          <v:group style="width:30.6pt;height:30.55pt;mso-position-horizontal-relative:char;mso-position-vertical-relative:line" id="docshapegroup591" coordorigin="0,0" coordsize="612,611">
            <v:shape style="position:absolute;left:172;top:159;width:267;height:244" type="#_x0000_t75" id="docshape592" stroked="false">
              <v:imagedata r:id="rId13" o:title=""/>
            </v:shape>
            <v:shape style="position:absolute;left:0;top:0;width:612;height:611" id="docshape593" coordorigin="0,0" coordsize="612,611" path="m370,442l367,439,362,439,246,439,242,442,242,449,246,452,367,452,370,449,370,442xm612,306l604,236,588,192,588,306,578,381,549,448,505,504,448,548,381,577,306,587,231,577,164,548,107,504,62,448,34,381,24,306,34,231,62,164,107,106,164,62,231,34,306,24,381,34,448,62,505,106,549,164,578,231,588,306,588,192,581,171,544,115,497,67,440,31,420,24,376,8,306,0,236,8,172,31,115,67,68,115,31,171,8,236,0,306,8,376,31,440,68,497,115,544,172,580,236,603,306,611,376,603,421,587,440,580,497,544,544,497,581,440,604,376,612,306xe" filled="true" fillcolor="#46666b" stroked="false">
              <v:path arrowok="t"/>
              <v:fill type="solid"/>
            </v:shape>
          </v:group>
        </w:pict>
      </w:r>
      <w:r>
        <w:rPr>
          <w:sz w:val="20"/>
        </w:rPr>
      </w:r>
      <w:r>
        <w:rPr>
          <w:rFonts w:ascii="Times New Roman"/>
          <w:spacing w:val="83"/>
          <w:sz w:val="20"/>
        </w:rPr>
        <w:t> </w:t>
      </w:r>
      <w:r>
        <w:rPr>
          <w:spacing w:val="83"/>
          <w:position w:val="16"/>
          <w:sz w:val="20"/>
        </w:rPr>
        <w:pict>
          <v:group style="width:67.7pt;height:10.8pt;mso-position-horizontal-relative:char;mso-position-vertical-relative:line" id="docshapegroup594" coordorigin="0,0" coordsize="1354,216">
            <v:shape style="position:absolute;left:0;top:3;width:130;height:164" type="#_x0000_t75" id="docshape595" stroked="false">
              <v:imagedata r:id="rId14" o:title=""/>
            </v:shape>
            <v:shape style="position:absolute;left:171;top:0;width:140;height:170" type="#_x0000_t75" id="docshape596" stroked="false">
              <v:imagedata r:id="rId15" o:title=""/>
            </v:shape>
            <v:shape style="position:absolute;left:344;top:0;width:234;height:170" id="docshape597" coordorigin="344,0" coordsize="234,170" path="m442,28l442,23,440,20,437,18,436,17,432,12,427,10,418,4,408,0,394,0,376,3,362,10,353,23,349,40,351,54,357,67,369,79,386,91,403,102,414,110,420,119,421,130,421,142,414,151,383,151,373,144,365,133,362,132,361,131,360,127,355,127,354,130,348,133,344,136,344,139,347,143,349,144,350,148,353,149,360,157,370,163,382,168,396,169,417,166,431,156,434,151,439,143,442,127,439,112,431,99,418,87,398,76,385,66,377,57,372,49,371,40,371,26,380,18,404,18,412,22,420,28,421,29,424,32,427,34,428,36,433,36,434,34,440,29,442,28xm578,23l575,20,572,17,566,12,553,4,542,0,530,0,512,3,498,10,487,23,484,40,486,54,492,67,504,79,522,91,538,102,549,110,554,119,556,130,556,142,550,151,518,151,508,144,500,133,499,133,498,132,498,131,494,127,492,127,484,133,481,136,480,139,482,143,488,149,495,157,506,163,518,168,532,169,553,166,568,156,576,143,578,127,576,112,567,99,554,87,535,76,520,66,511,57,507,49,505,40,505,26,516,18,539,18,547,22,556,28,562,34,565,36,568,36,571,34,575,29,578,28,578,23xe" filled="true" fillcolor="#46666b" stroked="false">
              <v:path arrowok="t"/>
              <v:fill type="solid"/>
            </v:shape>
            <v:shape style="position:absolute;left:615;top:3;width:123;height:165" type="#_x0000_t75" id="docshape598" stroked="false">
              <v:imagedata r:id="rId16" o:title=""/>
            </v:shape>
            <v:shape style="position:absolute;left:1082;top:3;width:129;height:164" type="#_x0000_t75" id="docshape599" stroked="false">
              <v:imagedata r:id="rId17" o:title=""/>
            </v:shape>
            <v:shape style="position:absolute;left:1256;top:0;width:98;height:170" id="docshape600" coordorigin="1256,0" coordsize="98,170" path="m1319,0l1306,0,1288,3,1273,10,1263,23,1259,40,1261,54,1267,67,1279,79,1297,91,1314,102,1324,110,1329,119,1331,130,1331,142,1325,151,1294,151,1283,144,1276,133,1274,133,1273,132,1273,131,1270,127,1267,127,1259,133,1256,136,1256,139,1258,143,1264,149,1271,157,1281,163,1293,168,1307,169,1328,166,1343,156,1351,143,1354,127,1351,112,1342,99,1329,87,1310,76,1296,66,1286,57,1282,49,1280,40,1280,26,1291,18,1315,18,1322,22,1331,28,1333,29,1336,32,1337,34,1340,36,1343,36,1346,34,1350,29,1354,28,1354,23,1350,20,1348,17,1342,12,1328,4,1319,0xe" filled="true" fillcolor="#46666b" stroked="false">
              <v:path arrowok="t"/>
              <v:fill type="solid"/>
            </v:shape>
            <v:shape style="position:absolute;left:916;top:3;width:123;height:165" type="#_x0000_t75" id="docshape601" stroked="false">
              <v:imagedata r:id="rId18" o:title=""/>
            </v:shape>
            <v:shape style="position:absolute;left:782;top:3;width:101;height:164" type="#_x0000_t75" id="docshape602" stroked="false">
              <v:imagedata r:id="rId19" o:title=""/>
            </v:shape>
            <v:shape style="position:absolute;left:613;top:202;width:128;height:14" id="docshape603" coordorigin="613,203" coordsize="128,14" path="m737,203l732,203,616,203,613,205,613,212,616,216,737,216,740,212,740,205,737,203xe" filled="true" fillcolor="#46666b" stroked="false">
              <v:path arrowok="t"/>
              <v:fill type="solid"/>
            </v:shape>
          </v:group>
        </w:pict>
      </w:r>
      <w:r>
        <w:rPr>
          <w:spacing w:val="83"/>
          <w:position w:val="16"/>
          <w:sz w:val="20"/>
        </w:rPr>
      </w:r>
    </w:p>
    <w:p>
      <w:pPr>
        <w:pStyle w:val="BodyText"/>
      </w:pPr>
    </w:p>
    <w:p>
      <w:pPr>
        <w:pStyle w:val="BodyText"/>
      </w:pPr>
    </w:p>
    <w:p>
      <w:pPr>
        <w:pStyle w:val="BodyText"/>
        <w:spacing w:before="1"/>
        <w:rPr>
          <w:sz w:val="26"/>
        </w:rPr>
      </w:pPr>
    </w:p>
    <w:p>
      <w:pPr>
        <w:pStyle w:val="Heading2"/>
        <w:spacing w:line="276" w:lineRule="auto" w:before="100"/>
        <w:ind w:left="1080" w:right="1293"/>
        <w:rPr>
          <w:rFonts w:ascii="Georgia"/>
        </w:rPr>
      </w:pPr>
      <w:r>
        <w:rPr>
          <w:rFonts w:ascii="Georgia"/>
          <w:color w:val="231F20"/>
        </w:rPr>
        <w:t>Report of Independent Auditors on Compliance for Each Major</w:t>
      </w:r>
      <w:r>
        <w:rPr>
          <w:rFonts w:ascii="Georgia"/>
          <w:color w:val="231F20"/>
          <w:spacing w:val="-6"/>
        </w:rPr>
        <w:t> </w:t>
      </w:r>
      <w:r>
        <w:rPr>
          <w:rFonts w:ascii="Georgia"/>
          <w:color w:val="231F20"/>
        </w:rPr>
        <w:t>Federal</w:t>
      </w:r>
      <w:r>
        <w:rPr>
          <w:rFonts w:ascii="Georgia"/>
          <w:color w:val="231F20"/>
          <w:spacing w:val="-6"/>
        </w:rPr>
        <w:t> </w:t>
      </w:r>
      <w:r>
        <w:rPr>
          <w:rFonts w:ascii="Georgia"/>
          <w:color w:val="231F20"/>
        </w:rPr>
        <w:t>Program</w:t>
      </w:r>
      <w:r>
        <w:rPr>
          <w:rFonts w:ascii="Georgia"/>
          <w:color w:val="231F20"/>
          <w:spacing w:val="-6"/>
        </w:rPr>
        <w:t> </w:t>
      </w:r>
      <w:r>
        <w:rPr>
          <w:rFonts w:ascii="Georgia"/>
          <w:color w:val="231F20"/>
        </w:rPr>
        <w:t>and</w:t>
      </w:r>
      <w:r>
        <w:rPr>
          <w:rFonts w:ascii="Georgia"/>
          <w:color w:val="231F20"/>
          <w:spacing w:val="-6"/>
        </w:rPr>
        <w:t> </w:t>
      </w:r>
      <w:r>
        <w:rPr>
          <w:rFonts w:ascii="Georgia"/>
          <w:color w:val="231F20"/>
        </w:rPr>
        <w:t>Report</w:t>
      </w:r>
      <w:r>
        <w:rPr>
          <w:rFonts w:ascii="Georgia"/>
          <w:color w:val="231F20"/>
          <w:spacing w:val="-6"/>
        </w:rPr>
        <w:t> </w:t>
      </w:r>
      <w:r>
        <w:rPr>
          <w:rFonts w:ascii="Georgia"/>
          <w:color w:val="231F20"/>
        </w:rPr>
        <w:t>on</w:t>
      </w:r>
      <w:r>
        <w:rPr>
          <w:rFonts w:ascii="Georgia"/>
          <w:color w:val="231F20"/>
          <w:spacing w:val="-6"/>
        </w:rPr>
        <w:t> </w:t>
      </w:r>
      <w:r>
        <w:rPr>
          <w:rFonts w:ascii="Georgia"/>
          <w:color w:val="231F20"/>
        </w:rPr>
        <w:t>Internal</w:t>
      </w:r>
      <w:r>
        <w:rPr>
          <w:rFonts w:ascii="Georgia"/>
          <w:color w:val="231F20"/>
          <w:spacing w:val="-6"/>
        </w:rPr>
        <w:t> </w:t>
      </w:r>
      <w:r>
        <w:rPr>
          <w:rFonts w:ascii="Georgia"/>
          <w:color w:val="231F20"/>
        </w:rPr>
        <w:t>Control</w:t>
      </w:r>
      <w:r>
        <w:rPr>
          <w:rFonts w:ascii="Georgia"/>
          <w:color w:val="231F20"/>
          <w:spacing w:val="-6"/>
        </w:rPr>
        <w:t> </w:t>
      </w:r>
      <w:r>
        <w:rPr>
          <w:rFonts w:ascii="Georgia"/>
          <w:color w:val="231F20"/>
        </w:rPr>
        <w:t>Over Compliance Required by the Uniform Guidance</w:t>
      </w:r>
    </w:p>
    <w:p>
      <w:pPr>
        <w:pStyle w:val="BodyText"/>
        <w:spacing w:before="2"/>
        <w:rPr>
          <w:rFonts w:ascii="Georgia"/>
          <w:b/>
          <w:sz w:val="42"/>
        </w:rPr>
      </w:pPr>
    </w:p>
    <w:p>
      <w:pPr>
        <w:pStyle w:val="BodyText"/>
        <w:spacing w:before="1"/>
        <w:ind w:left="1080"/>
      </w:pPr>
      <w:r>
        <w:rPr>
          <w:color w:val="231F20"/>
        </w:rPr>
        <w:t>The</w:t>
      </w:r>
      <w:r>
        <w:rPr>
          <w:color w:val="231F20"/>
          <w:spacing w:val="-3"/>
        </w:rPr>
        <w:t> </w:t>
      </w:r>
      <w:r>
        <w:rPr>
          <w:color w:val="231F20"/>
        </w:rPr>
        <w:t>Board</w:t>
      </w:r>
      <w:r>
        <w:rPr>
          <w:color w:val="231F20"/>
          <w:spacing w:val="-3"/>
        </w:rPr>
        <w:t> </w:t>
      </w:r>
      <w:r>
        <w:rPr>
          <w:color w:val="231F20"/>
        </w:rPr>
        <w:t>of</w:t>
      </w:r>
      <w:r>
        <w:rPr>
          <w:color w:val="231F20"/>
          <w:spacing w:val="-2"/>
        </w:rPr>
        <w:t> Regents</w:t>
      </w:r>
    </w:p>
    <w:p>
      <w:pPr>
        <w:pStyle w:val="BodyText"/>
        <w:spacing w:line="276" w:lineRule="auto" w:before="34"/>
        <w:ind w:left="1080" w:right="5670"/>
      </w:pPr>
      <w:r>
        <w:rPr>
          <w:color w:val="231F20"/>
        </w:rPr>
        <w:t>New</w:t>
      </w:r>
      <w:r>
        <w:rPr>
          <w:color w:val="231F20"/>
          <w:spacing w:val="-7"/>
        </w:rPr>
        <w:t> </w:t>
      </w:r>
      <w:r>
        <w:rPr>
          <w:color w:val="231F20"/>
        </w:rPr>
        <w:t>Mexico</w:t>
      </w:r>
      <w:r>
        <w:rPr>
          <w:color w:val="231F20"/>
          <w:spacing w:val="-7"/>
        </w:rPr>
        <w:t> </w:t>
      </w:r>
      <w:r>
        <w:rPr>
          <w:color w:val="231F20"/>
        </w:rPr>
        <w:t>Institute</w:t>
      </w:r>
      <w:r>
        <w:rPr>
          <w:color w:val="231F20"/>
          <w:spacing w:val="-7"/>
        </w:rPr>
        <w:t> </w:t>
      </w:r>
      <w:r>
        <w:rPr>
          <w:color w:val="231F20"/>
        </w:rPr>
        <w:t>of</w:t>
      </w:r>
      <w:r>
        <w:rPr>
          <w:color w:val="231F20"/>
          <w:spacing w:val="-7"/>
        </w:rPr>
        <w:t> </w:t>
      </w:r>
      <w:r>
        <w:rPr>
          <w:color w:val="231F20"/>
        </w:rPr>
        <w:t>Mining</w:t>
      </w:r>
      <w:r>
        <w:rPr>
          <w:color w:val="231F20"/>
          <w:spacing w:val="-7"/>
        </w:rPr>
        <w:t> </w:t>
      </w:r>
      <w:r>
        <w:rPr>
          <w:color w:val="231F20"/>
        </w:rPr>
        <w:t>and</w:t>
      </w:r>
      <w:r>
        <w:rPr>
          <w:color w:val="231F20"/>
          <w:spacing w:val="-7"/>
        </w:rPr>
        <w:t> </w:t>
      </w:r>
      <w:r>
        <w:rPr>
          <w:color w:val="231F20"/>
        </w:rPr>
        <w:t>Technology </w:t>
      </w:r>
      <w:r>
        <w:rPr>
          <w:color w:val="231F20"/>
          <w:spacing w:val="-4"/>
        </w:rPr>
        <w:t>and</w:t>
      </w:r>
    </w:p>
    <w:p>
      <w:pPr>
        <w:pStyle w:val="BodyText"/>
        <w:ind w:left="1080" w:right="7815"/>
      </w:pPr>
      <w:r>
        <w:rPr>
          <w:color w:val="231F20"/>
        </w:rPr>
        <w:t>Mr.</w:t>
      </w:r>
      <w:r>
        <w:rPr>
          <w:color w:val="231F20"/>
          <w:spacing w:val="-4"/>
        </w:rPr>
        <w:t> </w:t>
      </w:r>
      <w:r>
        <w:rPr>
          <w:color w:val="231F20"/>
        </w:rPr>
        <w:t>Brian</w:t>
      </w:r>
      <w:r>
        <w:rPr>
          <w:color w:val="231F20"/>
          <w:spacing w:val="-4"/>
        </w:rPr>
        <w:t> </w:t>
      </w:r>
      <w:r>
        <w:rPr>
          <w:color w:val="231F20"/>
        </w:rPr>
        <w:t>S.</w:t>
      </w:r>
      <w:r>
        <w:rPr>
          <w:color w:val="231F20"/>
          <w:spacing w:val="-4"/>
        </w:rPr>
        <w:t> </w:t>
      </w:r>
      <w:r>
        <w:rPr>
          <w:color w:val="231F20"/>
        </w:rPr>
        <w:t>Colón,</w:t>
      </w:r>
      <w:r>
        <w:rPr>
          <w:color w:val="231F20"/>
          <w:spacing w:val="-4"/>
        </w:rPr>
        <w:t> Esq.</w:t>
      </w:r>
    </w:p>
    <w:p>
      <w:pPr>
        <w:pStyle w:val="BodyText"/>
        <w:spacing w:before="34"/>
        <w:ind w:left="1080" w:right="7815"/>
      </w:pPr>
      <w:r>
        <w:rPr>
          <w:color w:val="231F20"/>
        </w:rPr>
        <w:t>New</w:t>
      </w:r>
      <w:r>
        <w:rPr>
          <w:color w:val="231F20"/>
          <w:spacing w:val="-3"/>
        </w:rPr>
        <w:t> </w:t>
      </w:r>
      <w:r>
        <w:rPr>
          <w:color w:val="231F20"/>
        </w:rPr>
        <w:t>Mexico</w:t>
      </w:r>
      <w:r>
        <w:rPr>
          <w:color w:val="231F20"/>
          <w:spacing w:val="-3"/>
        </w:rPr>
        <w:t> </w:t>
      </w:r>
      <w:r>
        <w:rPr>
          <w:color w:val="231F20"/>
        </w:rPr>
        <w:t>State</w:t>
      </w:r>
      <w:r>
        <w:rPr>
          <w:color w:val="231F20"/>
          <w:spacing w:val="-2"/>
        </w:rPr>
        <w:t> </w:t>
      </w:r>
      <w:r>
        <w:rPr>
          <w:color w:val="231F20"/>
          <w:spacing w:val="-2"/>
        </w:rPr>
        <w:t>Auditor</w:t>
      </w:r>
    </w:p>
    <w:p>
      <w:pPr>
        <w:pStyle w:val="BodyText"/>
        <w:spacing w:before="11"/>
        <w:rPr>
          <w:sz w:val="23"/>
        </w:rPr>
      </w:pPr>
    </w:p>
    <w:p>
      <w:pPr>
        <w:pStyle w:val="Heading4"/>
        <w:ind w:left="1080"/>
        <w:rPr>
          <w:rFonts w:ascii="Georgia"/>
        </w:rPr>
      </w:pPr>
      <w:r>
        <w:rPr>
          <w:rFonts w:ascii="Georgia"/>
          <w:color w:val="231F20"/>
        </w:rPr>
        <w:t>Report</w:t>
      </w:r>
      <w:r>
        <w:rPr>
          <w:rFonts w:ascii="Georgia"/>
          <w:color w:val="231F20"/>
          <w:spacing w:val="-6"/>
        </w:rPr>
        <w:t> </w:t>
      </w:r>
      <w:r>
        <w:rPr>
          <w:rFonts w:ascii="Georgia"/>
          <w:color w:val="231F20"/>
        </w:rPr>
        <w:t>on</w:t>
      </w:r>
      <w:r>
        <w:rPr>
          <w:rFonts w:ascii="Georgia"/>
          <w:color w:val="231F20"/>
          <w:spacing w:val="-5"/>
        </w:rPr>
        <w:t> </w:t>
      </w:r>
      <w:r>
        <w:rPr>
          <w:rFonts w:ascii="Georgia"/>
          <w:color w:val="231F20"/>
        </w:rPr>
        <w:t>Compliance</w:t>
      </w:r>
      <w:r>
        <w:rPr>
          <w:rFonts w:ascii="Georgia"/>
          <w:color w:val="231F20"/>
          <w:spacing w:val="-5"/>
        </w:rPr>
        <w:t> </w:t>
      </w:r>
      <w:r>
        <w:rPr>
          <w:rFonts w:ascii="Georgia"/>
          <w:color w:val="231F20"/>
        </w:rPr>
        <w:t>for</w:t>
      </w:r>
      <w:r>
        <w:rPr>
          <w:rFonts w:ascii="Georgia"/>
          <w:color w:val="231F20"/>
          <w:spacing w:val="-5"/>
        </w:rPr>
        <w:t> </w:t>
      </w:r>
      <w:r>
        <w:rPr>
          <w:rFonts w:ascii="Georgia"/>
          <w:color w:val="231F20"/>
        </w:rPr>
        <w:t>Each</w:t>
      </w:r>
      <w:r>
        <w:rPr>
          <w:rFonts w:ascii="Georgia"/>
          <w:color w:val="231F20"/>
          <w:spacing w:val="-5"/>
        </w:rPr>
        <w:t> </w:t>
      </w:r>
      <w:r>
        <w:rPr>
          <w:rFonts w:ascii="Georgia"/>
          <w:color w:val="231F20"/>
        </w:rPr>
        <w:t>Major</w:t>
      </w:r>
      <w:r>
        <w:rPr>
          <w:rFonts w:ascii="Georgia"/>
          <w:color w:val="231F20"/>
          <w:spacing w:val="-5"/>
        </w:rPr>
        <w:t> </w:t>
      </w:r>
      <w:r>
        <w:rPr>
          <w:rFonts w:ascii="Georgia"/>
          <w:color w:val="231F20"/>
        </w:rPr>
        <w:t>Federal</w:t>
      </w:r>
      <w:r>
        <w:rPr>
          <w:rFonts w:ascii="Georgia"/>
          <w:color w:val="231F20"/>
          <w:spacing w:val="-6"/>
        </w:rPr>
        <w:t> </w:t>
      </w:r>
      <w:r>
        <w:rPr>
          <w:rFonts w:ascii="Georgia"/>
          <w:color w:val="231F20"/>
          <w:spacing w:val="-2"/>
        </w:rPr>
        <w:t>Program</w:t>
      </w:r>
    </w:p>
    <w:p>
      <w:pPr>
        <w:spacing w:before="153"/>
        <w:ind w:left="1080" w:right="0" w:firstLine="0"/>
        <w:jc w:val="left"/>
        <w:rPr>
          <w:rFonts w:ascii="Georgia"/>
          <w:b/>
          <w:i/>
          <w:sz w:val="19"/>
        </w:rPr>
      </w:pPr>
      <w:r>
        <w:rPr>
          <w:rFonts w:ascii="Georgia"/>
          <w:b/>
          <w:i/>
          <w:color w:val="231F20"/>
          <w:sz w:val="19"/>
        </w:rPr>
        <w:t>Opinion</w:t>
      </w:r>
      <w:r>
        <w:rPr>
          <w:rFonts w:ascii="Georgia"/>
          <w:b/>
          <w:i/>
          <w:color w:val="231F20"/>
          <w:spacing w:val="-7"/>
          <w:sz w:val="19"/>
        </w:rPr>
        <w:t> </w:t>
      </w:r>
      <w:r>
        <w:rPr>
          <w:rFonts w:ascii="Georgia"/>
          <w:b/>
          <w:i/>
          <w:color w:val="231F20"/>
          <w:sz w:val="19"/>
        </w:rPr>
        <w:t>on</w:t>
      </w:r>
      <w:r>
        <w:rPr>
          <w:rFonts w:ascii="Georgia"/>
          <w:b/>
          <w:i/>
          <w:color w:val="231F20"/>
          <w:spacing w:val="-5"/>
          <w:sz w:val="19"/>
        </w:rPr>
        <w:t> </w:t>
      </w:r>
      <w:r>
        <w:rPr>
          <w:rFonts w:ascii="Georgia"/>
          <w:b/>
          <w:i/>
          <w:color w:val="231F20"/>
          <w:sz w:val="19"/>
        </w:rPr>
        <w:t>Each</w:t>
      </w:r>
      <w:r>
        <w:rPr>
          <w:rFonts w:ascii="Georgia"/>
          <w:b/>
          <w:i/>
          <w:color w:val="231F20"/>
          <w:spacing w:val="-6"/>
          <w:sz w:val="19"/>
        </w:rPr>
        <w:t> </w:t>
      </w:r>
      <w:r>
        <w:rPr>
          <w:rFonts w:ascii="Georgia"/>
          <w:b/>
          <w:i/>
          <w:color w:val="231F20"/>
          <w:sz w:val="19"/>
        </w:rPr>
        <w:t>Major</w:t>
      </w:r>
      <w:r>
        <w:rPr>
          <w:rFonts w:ascii="Georgia"/>
          <w:b/>
          <w:i/>
          <w:color w:val="231F20"/>
          <w:spacing w:val="-6"/>
          <w:sz w:val="19"/>
        </w:rPr>
        <w:t> </w:t>
      </w:r>
      <w:r>
        <w:rPr>
          <w:rFonts w:ascii="Georgia"/>
          <w:b/>
          <w:i/>
          <w:color w:val="231F20"/>
          <w:sz w:val="19"/>
        </w:rPr>
        <w:t>Federal</w:t>
      </w:r>
      <w:r>
        <w:rPr>
          <w:rFonts w:ascii="Georgia"/>
          <w:b/>
          <w:i/>
          <w:color w:val="231F20"/>
          <w:spacing w:val="-7"/>
          <w:sz w:val="19"/>
        </w:rPr>
        <w:t> </w:t>
      </w:r>
      <w:r>
        <w:rPr>
          <w:rFonts w:ascii="Georgia"/>
          <w:b/>
          <w:i/>
          <w:color w:val="231F20"/>
          <w:spacing w:val="-2"/>
          <w:sz w:val="19"/>
        </w:rPr>
        <w:t>Program</w:t>
      </w:r>
    </w:p>
    <w:p>
      <w:pPr>
        <w:pStyle w:val="BodyText"/>
        <w:spacing w:line="276" w:lineRule="auto" w:before="152"/>
        <w:ind w:left="1080" w:right="1027"/>
      </w:pPr>
      <w:r>
        <w:rPr>
          <w:color w:val="231F20"/>
        </w:rPr>
        <w:t>We have audited New Mexico Institute of Mining and Technology’s compliance with the types of compliance</w:t>
      </w:r>
      <w:r>
        <w:rPr>
          <w:color w:val="231F20"/>
          <w:spacing w:val="-4"/>
        </w:rPr>
        <w:t> </w:t>
      </w:r>
      <w:r>
        <w:rPr>
          <w:color w:val="231F20"/>
        </w:rPr>
        <w:t>requirements</w:t>
      </w:r>
      <w:r>
        <w:rPr>
          <w:color w:val="231F20"/>
          <w:spacing w:val="-4"/>
        </w:rPr>
        <w:t> </w:t>
      </w:r>
      <w:r>
        <w:rPr>
          <w:color w:val="231F20"/>
        </w:rPr>
        <w:t>identified</w:t>
      </w:r>
      <w:r>
        <w:rPr>
          <w:color w:val="231F20"/>
          <w:spacing w:val="-4"/>
        </w:rPr>
        <w:t> </w:t>
      </w:r>
      <w:r>
        <w:rPr>
          <w:color w:val="231F20"/>
        </w:rPr>
        <w:t>as</w:t>
      </w:r>
      <w:r>
        <w:rPr>
          <w:color w:val="231F20"/>
          <w:spacing w:val="-4"/>
        </w:rPr>
        <w:t> </w:t>
      </w:r>
      <w:r>
        <w:rPr>
          <w:color w:val="231F20"/>
        </w:rPr>
        <w:t>subject</w:t>
      </w:r>
      <w:r>
        <w:rPr>
          <w:color w:val="231F20"/>
          <w:spacing w:val="-4"/>
        </w:rPr>
        <w:t> </w:t>
      </w:r>
      <w:r>
        <w:rPr>
          <w:color w:val="231F20"/>
        </w:rPr>
        <w:t>to</w:t>
      </w:r>
      <w:r>
        <w:rPr>
          <w:color w:val="231F20"/>
          <w:spacing w:val="-4"/>
        </w:rPr>
        <w:t> </w:t>
      </w:r>
      <w:r>
        <w:rPr>
          <w:color w:val="231F20"/>
        </w:rPr>
        <w:t>audit</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OMB </w:t>
      </w:r>
      <w:r>
        <w:rPr>
          <w:i/>
          <w:color w:val="231F20"/>
        </w:rPr>
        <w:t>Compliance</w:t>
      </w:r>
      <w:r>
        <w:rPr>
          <w:i/>
          <w:color w:val="231F20"/>
          <w:spacing w:val="-5"/>
        </w:rPr>
        <w:t> </w:t>
      </w:r>
      <w:r>
        <w:rPr>
          <w:i/>
          <w:color w:val="231F20"/>
        </w:rPr>
        <w:t>Supplement</w:t>
      </w:r>
      <w:r>
        <w:rPr>
          <w:i/>
          <w:color w:val="231F20"/>
          <w:spacing w:val="-3"/>
        </w:rPr>
        <w:t> </w:t>
      </w:r>
      <w:r>
        <w:rPr>
          <w:color w:val="231F20"/>
        </w:rPr>
        <w:t>that</w:t>
      </w:r>
      <w:r>
        <w:rPr>
          <w:color w:val="231F20"/>
          <w:spacing w:val="-4"/>
        </w:rPr>
        <w:t> </w:t>
      </w:r>
      <w:r>
        <w:rPr>
          <w:color w:val="231F20"/>
        </w:rPr>
        <w:t>could have a direct and material effect on each of New Mexico Institute of Mining and Technology's major federal</w:t>
      </w:r>
      <w:r>
        <w:rPr>
          <w:color w:val="231F20"/>
          <w:spacing w:val="-2"/>
        </w:rPr>
        <w:t> </w:t>
      </w:r>
      <w:r>
        <w:rPr>
          <w:color w:val="231F20"/>
        </w:rPr>
        <w:t>programs</w:t>
      </w:r>
      <w:r>
        <w:rPr>
          <w:color w:val="231F20"/>
          <w:spacing w:val="-2"/>
        </w:rPr>
        <w:t> </w:t>
      </w:r>
      <w:r>
        <w:rPr>
          <w:color w:val="231F20"/>
        </w:rPr>
        <w:t>for</w:t>
      </w:r>
      <w:r>
        <w:rPr>
          <w:color w:val="231F20"/>
          <w:spacing w:val="-2"/>
        </w:rPr>
        <w:t> </w:t>
      </w:r>
      <w:r>
        <w:rPr>
          <w:color w:val="231F20"/>
        </w:rPr>
        <w:t>the</w:t>
      </w:r>
      <w:r>
        <w:rPr>
          <w:color w:val="231F20"/>
          <w:spacing w:val="-3"/>
        </w:rPr>
        <w:t> </w:t>
      </w:r>
      <w:r>
        <w:rPr>
          <w:color w:val="231F20"/>
        </w:rPr>
        <w:t>year</w:t>
      </w:r>
      <w:r>
        <w:rPr>
          <w:color w:val="231F20"/>
          <w:spacing w:val="-2"/>
        </w:rPr>
        <w:t> </w:t>
      </w:r>
      <w:r>
        <w:rPr>
          <w:color w:val="231F20"/>
        </w:rPr>
        <w:t>ended</w:t>
      </w:r>
      <w:r>
        <w:rPr>
          <w:color w:val="231F20"/>
          <w:spacing w:val="-3"/>
        </w:rPr>
        <w:t> </w:t>
      </w:r>
      <w:r>
        <w:rPr>
          <w:color w:val="231F20"/>
        </w:rPr>
        <w:t>June</w:t>
      </w:r>
      <w:r>
        <w:rPr>
          <w:color w:val="231F20"/>
          <w:spacing w:val="-2"/>
        </w:rPr>
        <w:t> </w:t>
      </w:r>
      <w:r>
        <w:rPr>
          <w:color w:val="231F20"/>
        </w:rPr>
        <w:t>30,</w:t>
      </w:r>
      <w:r>
        <w:rPr>
          <w:color w:val="231F20"/>
          <w:spacing w:val="-2"/>
        </w:rPr>
        <w:t> </w:t>
      </w:r>
      <w:r>
        <w:rPr>
          <w:color w:val="231F20"/>
        </w:rPr>
        <w:t>2022. New</w:t>
      </w:r>
      <w:r>
        <w:rPr>
          <w:color w:val="231F20"/>
          <w:spacing w:val="-2"/>
        </w:rPr>
        <w:t> </w:t>
      </w:r>
      <w:r>
        <w:rPr>
          <w:color w:val="231F20"/>
        </w:rPr>
        <w:t>Mexico</w:t>
      </w:r>
      <w:r>
        <w:rPr>
          <w:color w:val="231F20"/>
          <w:spacing w:val="-2"/>
        </w:rPr>
        <w:t> </w:t>
      </w:r>
      <w:r>
        <w:rPr>
          <w:color w:val="231F20"/>
        </w:rPr>
        <w:t>Institute</w:t>
      </w:r>
      <w:r>
        <w:rPr>
          <w:color w:val="231F20"/>
          <w:spacing w:val="-2"/>
        </w:rPr>
        <w:t> </w:t>
      </w:r>
      <w:r>
        <w:rPr>
          <w:color w:val="231F20"/>
        </w:rPr>
        <w:t>of</w:t>
      </w:r>
      <w:r>
        <w:rPr>
          <w:color w:val="231F20"/>
          <w:spacing w:val="-2"/>
        </w:rPr>
        <w:t> </w:t>
      </w:r>
      <w:r>
        <w:rPr>
          <w:color w:val="231F20"/>
        </w:rPr>
        <w:t>Mining</w:t>
      </w:r>
      <w:r>
        <w:rPr>
          <w:color w:val="231F20"/>
          <w:spacing w:val="-2"/>
        </w:rPr>
        <w:t> </w:t>
      </w:r>
      <w:r>
        <w:rPr>
          <w:color w:val="231F20"/>
        </w:rPr>
        <w:t>and</w:t>
      </w:r>
      <w:r>
        <w:rPr>
          <w:color w:val="231F20"/>
          <w:spacing w:val="-2"/>
        </w:rPr>
        <w:t> </w:t>
      </w:r>
      <w:r>
        <w:rPr>
          <w:color w:val="231F20"/>
        </w:rPr>
        <w:t>Technology's major</w:t>
      </w:r>
      <w:r>
        <w:rPr>
          <w:color w:val="231F20"/>
          <w:spacing w:val="-2"/>
        </w:rPr>
        <w:t> </w:t>
      </w:r>
      <w:r>
        <w:rPr>
          <w:color w:val="231F20"/>
        </w:rPr>
        <w:t>federal</w:t>
      </w:r>
      <w:r>
        <w:rPr>
          <w:color w:val="231F20"/>
          <w:spacing w:val="-3"/>
        </w:rPr>
        <w:t> </w:t>
      </w:r>
      <w:r>
        <w:rPr>
          <w:color w:val="231F20"/>
        </w:rPr>
        <w:t>programs</w:t>
      </w:r>
      <w:r>
        <w:rPr>
          <w:color w:val="231F20"/>
          <w:spacing w:val="-1"/>
        </w:rPr>
        <w:t> </w:t>
      </w:r>
      <w:r>
        <w:rPr>
          <w:color w:val="231F20"/>
        </w:rPr>
        <w:t>are</w:t>
      </w:r>
      <w:r>
        <w:rPr>
          <w:color w:val="231F20"/>
          <w:spacing w:val="-3"/>
        </w:rPr>
        <w:t> </w:t>
      </w:r>
      <w:r>
        <w:rPr>
          <w:color w:val="231F20"/>
        </w:rPr>
        <w:t>identified</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summary</w:t>
      </w:r>
      <w:r>
        <w:rPr>
          <w:color w:val="231F20"/>
          <w:spacing w:val="-3"/>
        </w:rPr>
        <w:t> </w:t>
      </w:r>
      <w:r>
        <w:rPr>
          <w:color w:val="231F20"/>
        </w:rPr>
        <w:t>of</w:t>
      </w:r>
      <w:r>
        <w:rPr>
          <w:color w:val="231F20"/>
          <w:spacing w:val="-2"/>
        </w:rPr>
        <w:t> </w:t>
      </w:r>
      <w:r>
        <w:rPr>
          <w:color w:val="231F20"/>
        </w:rPr>
        <w:t>auditor's</w:t>
      </w:r>
      <w:r>
        <w:rPr>
          <w:color w:val="231F20"/>
          <w:spacing w:val="-2"/>
        </w:rPr>
        <w:t> </w:t>
      </w:r>
      <w:r>
        <w:rPr>
          <w:color w:val="231F20"/>
        </w:rPr>
        <w:t>results</w:t>
      </w:r>
      <w:r>
        <w:rPr>
          <w:color w:val="231F20"/>
          <w:spacing w:val="-3"/>
        </w:rPr>
        <w:t> </w:t>
      </w:r>
      <w:r>
        <w:rPr>
          <w:color w:val="231F20"/>
        </w:rPr>
        <w:t>section</w:t>
      </w:r>
      <w:r>
        <w:rPr>
          <w:color w:val="231F20"/>
          <w:spacing w:val="-3"/>
        </w:rPr>
        <w:t> </w:t>
      </w:r>
      <w:r>
        <w:rPr>
          <w:color w:val="231F20"/>
        </w:rPr>
        <w:t>of</w:t>
      </w:r>
      <w:r>
        <w:rPr>
          <w:color w:val="231F20"/>
          <w:spacing w:val="-2"/>
        </w:rPr>
        <w:t> </w:t>
      </w:r>
      <w:r>
        <w:rPr>
          <w:color w:val="231F20"/>
        </w:rPr>
        <w:t>the</w:t>
      </w:r>
      <w:r>
        <w:rPr>
          <w:color w:val="231F20"/>
          <w:spacing w:val="-2"/>
        </w:rPr>
        <w:t> </w:t>
      </w:r>
      <w:r>
        <w:rPr>
          <w:color w:val="231F20"/>
        </w:rPr>
        <w:t>accompanying schedule of findings and questioned costs.</w:t>
      </w:r>
    </w:p>
    <w:p>
      <w:pPr>
        <w:pStyle w:val="BodyText"/>
        <w:spacing w:line="276" w:lineRule="auto" w:before="121"/>
        <w:ind w:left="1080" w:right="1161"/>
        <w:jc w:val="both"/>
      </w:pPr>
      <w:r>
        <w:rPr>
          <w:color w:val="231F20"/>
        </w:rPr>
        <w:t>In</w:t>
      </w:r>
      <w:r>
        <w:rPr>
          <w:color w:val="231F20"/>
          <w:spacing w:val="-2"/>
        </w:rPr>
        <w:t> </w:t>
      </w:r>
      <w:r>
        <w:rPr>
          <w:color w:val="231F20"/>
        </w:rPr>
        <w:t>our</w:t>
      </w:r>
      <w:r>
        <w:rPr>
          <w:color w:val="231F20"/>
          <w:spacing w:val="-2"/>
        </w:rPr>
        <w:t> </w:t>
      </w:r>
      <w:r>
        <w:rPr>
          <w:color w:val="231F20"/>
        </w:rPr>
        <w:t>opinion,</w:t>
      </w:r>
      <w:r>
        <w:rPr>
          <w:color w:val="231F20"/>
          <w:spacing w:val="-2"/>
        </w:rPr>
        <w:t> </w:t>
      </w:r>
      <w:r>
        <w:rPr>
          <w:color w:val="231F20"/>
        </w:rPr>
        <w:t>New</w:t>
      </w:r>
      <w:r>
        <w:rPr>
          <w:color w:val="231F20"/>
          <w:spacing w:val="-2"/>
        </w:rPr>
        <w:t> </w:t>
      </w:r>
      <w:r>
        <w:rPr>
          <w:color w:val="231F20"/>
        </w:rPr>
        <w:t>Mexico</w:t>
      </w:r>
      <w:r>
        <w:rPr>
          <w:color w:val="231F20"/>
          <w:spacing w:val="-3"/>
        </w:rPr>
        <w:t> </w:t>
      </w:r>
      <w:r>
        <w:rPr>
          <w:color w:val="231F20"/>
        </w:rPr>
        <w:t>Institute</w:t>
      </w:r>
      <w:r>
        <w:rPr>
          <w:color w:val="231F20"/>
          <w:spacing w:val="-2"/>
        </w:rPr>
        <w:t> </w:t>
      </w:r>
      <w:r>
        <w:rPr>
          <w:color w:val="231F20"/>
        </w:rPr>
        <w:t>of</w:t>
      </w:r>
      <w:r>
        <w:rPr>
          <w:color w:val="231F20"/>
          <w:spacing w:val="-2"/>
        </w:rPr>
        <w:t> </w:t>
      </w:r>
      <w:r>
        <w:rPr>
          <w:color w:val="231F20"/>
        </w:rPr>
        <w:t>Mining</w:t>
      </w:r>
      <w:r>
        <w:rPr>
          <w:color w:val="231F20"/>
          <w:spacing w:val="-2"/>
        </w:rPr>
        <w:t> </w:t>
      </w:r>
      <w:r>
        <w:rPr>
          <w:color w:val="231F20"/>
        </w:rPr>
        <w:t>and</w:t>
      </w:r>
      <w:r>
        <w:rPr>
          <w:color w:val="231F20"/>
          <w:spacing w:val="-2"/>
        </w:rPr>
        <w:t> </w:t>
      </w:r>
      <w:r>
        <w:rPr>
          <w:color w:val="231F20"/>
        </w:rPr>
        <w:t>Technology</w:t>
      </w:r>
      <w:r>
        <w:rPr>
          <w:color w:val="231F20"/>
          <w:spacing w:val="-3"/>
        </w:rPr>
        <w:t> </w:t>
      </w:r>
      <w:r>
        <w:rPr>
          <w:color w:val="231F20"/>
        </w:rPr>
        <w:t>complied,</w:t>
      </w:r>
      <w:r>
        <w:rPr>
          <w:color w:val="231F20"/>
          <w:spacing w:val="-2"/>
        </w:rPr>
        <w:t> </w:t>
      </w:r>
      <w:r>
        <w:rPr>
          <w:color w:val="231F20"/>
        </w:rPr>
        <w:t>in</w:t>
      </w:r>
      <w:r>
        <w:rPr>
          <w:color w:val="231F20"/>
          <w:spacing w:val="-2"/>
        </w:rPr>
        <w:t> </w:t>
      </w:r>
      <w:r>
        <w:rPr>
          <w:color w:val="231F20"/>
        </w:rPr>
        <w:t>all</w:t>
      </w:r>
      <w:r>
        <w:rPr>
          <w:color w:val="231F20"/>
          <w:spacing w:val="-2"/>
        </w:rPr>
        <w:t> </w:t>
      </w:r>
      <w:r>
        <w:rPr>
          <w:color w:val="231F20"/>
        </w:rPr>
        <w:t>material</w:t>
      </w:r>
      <w:r>
        <w:rPr>
          <w:color w:val="231F20"/>
          <w:spacing w:val="-2"/>
        </w:rPr>
        <w:t> </w:t>
      </w:r>
      <w:r>
        <w:rPr>
          <w:color w:val="231F20"/>
        </w:rPr>
        <w:t>respects,</w:t>
      </w:r>
      <w:r>
        <w:rPr>
          <w:color w:val="231F20"/>
          <w:spacing w:val="-2"/>
        </w:rPr>
        <w:t> </w:t>
      </w:r>
      <w:r>
        <w:rPr>
          <w:color w:val="231F20"/>
        </w:rPr>
        <w:t>with the</w:t>
      </w:r>
      <w:r>
        <w:rPr>
          <w:color w:val="231F20"/>
          <w:spacing w:val="-3"/>
        </w:rPr>
        <w:t> </w:t>
      </w:r>
      <w:r>
        <w:rPr>
          <w:color w:val="231F20"/>
        </w:rPr>
        <w:t>compliance</w:t>
      </w:r>
      <w:r>
        <w:rPr>
          <w:color w:val="231F20"/>
          <w:spacing w:val="-3"/>
        </w:rPr>
        <w:t> </w:t>
      </w:r>
      <w:r>
        <w:rPr>
          <w:color w:val="231F20"/>
        </w:rPr>
        <w:t>requirements</w:t>
      </w:r>
      <w:r>
        <w:rPr>
          <w:color w:val="231F20"/>
          <w:spacing w:val="-3"/>
        </w:rPr>
        <w:t> </w:t>
      </w:r>
      <w:r>
        <w:rPr>
          <w:color w:val="231F20"/>
        </w:rPr>
        <w:t>referred</w:t>
      </w:r>
      <w:r>
        <w:rPr>
          <w:color w:val="231F20"/>
          <w:spacing w:val="-3"/>
        </w:rPr>
        <w:t> </w:t>
      </w:r>
      <w:r>
        <w:rPr>
          <w:color w:val="231F20"/>
        </w:rPr>
        <w:t>to</w:t>
      </w:r>
      <w:r>
        <w:rPr>
          <w:color w:val="231F20"/>
          <w:spacing w:val="-3"/>
        </w:rPr>
        <w:t> </w:t>
      </w:r>
      <w:r>
        <w:rPr>
          <w:color w:val="231F20"/>
        </w:rPr>
        <w:t>above</w:t>
      </w:r>
      <w:r>
        <w:rPr>
          <w:color w:val="231F20"/>
          <w:spacing w:val="-3"/>
        </w:rPr>
        <w:t> </w:t>
      </w:r>
      <w:r>
        <w:rPr>
          <w:color w:val="231F20"/>
        </w:rPr>
        <w:t>that</w:t>
      </w:r>
      <w:r>
        <w:rPr>
          <w:color w:val="231F20"/>
          <w:spacing w:val="-3"/>
        </w:rPr>
        <w:t> </w:t>
      </w:r>
      <w:r>
        <w:rPr>
          <w:color w:val="231F20"/>
        </w:rPr>
        <w:t>could</w:t>
      </w:r>
      <w:r>
        <w:rPr>
          <w:color w:val="231F20"/>
          <w:spacing w:val="-3"/>
        </w:rPr>
        <w:t> </w:t>
      </w:r>
      <w:r>
        <w:rPr>
          <w:color w:val="231F20"/>
        </w:rPr>
        <w:t>have</w:t>
      </w:r>
      <w:r>
        <w:rPr>
          <w:color w:val="231F20"/>
          <w:spacing w:val="-3"/>
        </w:rPr>
        <w:t> </w:t>
      </w:r>
      <w:r>
        <w:rPr>
          <w:color w:val="231F20"/>
        </w:rPr>
        <w:t>a</w:t>
      </w:r>
      <w:r>
        <w:rPr>
          <w:color w:val="231F20"/>
          <w:spacing w:val="-4"/>
        </w:rPr>
        <w:t> </w:t>
      </w:r>
      <w:r>
        <w:rPr>
          <w:color w:val="231F20"/>
        </w:rPr>
        <w:t>direct</w:t>
      </w:r>
      <w:r>
        <w:rPr>
          <w:color w:val="231F20"/>
          <w:spacing w:val="-3"/>
        </w:rPr>
        <w:t> </w:t>
      </w:r>
      <w:r>
        <w:rPr>
          <w:color w:val="231F20"/>
        </w:rPr>
        <w:t>and</w:t>
      </w:r>
      <w:r>
        <w:rPr>
          <w:color w:val="231F20"/>
          <w:spacing w:val="-3"/>
        </w:rPr>
        <w:t> </w:t>
      </w:r>
      <w:r>
        <w:rPr>
          <w:color w:val="231F20"/>
        </w:rPr>
        <w:t>material</w:t>
      </w:r>
      <w:r>
        <w:rPr>
          <w:color w:val="231F20"/>
          <w:spacing w:val="-3"/>
        </w:rPr>
        <w:t> </w:t>
      </w:r>
      <w:r>
        <w:rPr>
          <w:color w:val="231F20"/>
        </w:rPr>
        <w:t>effect</w:t>
      </w:r>
      <w:r>
        <w:rPr>
          <w:color w:val="231F20"/>
          <w:spacing w:val="-3"/>
        </w:rPr>
        <w:t> </w:t>
      </w:r>
      <w:r>
        <w:rPr>
          <w:color w:val="231F20"/>
        </w:rPr>
        <w:t>on</w:t>
      </w:r>
      <w:r>
        <w:rPr>
          <w:color w:val="231F20"/>
          <w:spacing w:val="-3"/>
        </w:rPr>
        <w:t> </w:t>
      </w:r>
      <w:r>
        <w:rPr>
          <w:color w:val="231F20"/>
        </w:rPr>
        <w:t>each</w:t>
      </w:r>
      <w:r>
        <w:rPr>
          <w:color w:val="231F20"/>
          <w:spacing w:val="-3"/>
        </w:rPr>
        <w:t> </w:t>
      </w:r>
      <w:r>
        <w:rPr>
          <w:color w:val="231F20"/>
        </w:rPr>
        <w:t>of its major federal programs for the year ended June 30, 2022.</w:t>
      </w:r>
    </w:p>
    <w:p>
      <w:pPr>
        <w:spacing w:before="120"/>
        <w:ind w:left="1080" w:right="0" w:firstLine="0"/>
        <w:jc w:val="left"/>
        <w:rPr>
          <w:rFonts w:ascii="Georgia"/>
          <w:b/>
          <w:i/>
          <w:sz w:val="19"/>
        </w:rPr>
      </w:pPr>
      <w:r>
        <w:rPr>
          <w:rFonts w:ascii="Georgia"/>
          <w:b/>
          <w:i/>
          <w:color w:val="231F20"/>
          <w:sz w:val="19"/>
        </w:rPr>
        <w:t>Basis</w:t>
      </w:r>
      <w:r>
        <w:rPr>
          <w:rFonts w:ascii="Georgia"/>
          <w:b/>
          <w:i/>
          <w:color w:val="231F20"/>
          <w:spacing w:val="-7"/>
          <w:sz w:val="19"/>
        </w:rPr>
        <w:t> </w:t>
      </w:r>
      <w:r>
        <w:rPr>
          <w:rFonts w:ascii="Georgia"/>
          <w:b/>
          <w:i/>
          <w:color w:val="231F20"/>
          <w:sz w:val="19"/>
        </w:rPr>
        <w:t>for</w:t>
      </w:r>
      <w:r>
        <w:rPr>
          <w:rFonts w:ascii="Georgia"/>
          <w:b/>
          <w:i/>
          <w:color w:val="231F20"/>
          <w:spacing w:val="-7"/>
          <w:sz w:val="19"/>
        </w:rPr>
        <w:t> </w:t>
      </w:r>
      <w:r>
        <w:rPr>
          <w:rFonts w:ascii="Georgia"/>
          <w:b/>
          <w:i/>
          <w:color w:val="231F20"/>
          <w:sz w:val="19"/>
        </w:rPr>
        <w:t>Opinion</w:t>
      </w:r>
      <w:r>
        <w:rPr>
          <w:rFonts w:ascii="Georgia"/>
          <w:b/>
          <w:i/>
          <w:color w:val="231F20"/>
          <w:spacing w:val="-6"/>
          <w:sz w:val="19"/>
        </w:rPr>
        <w:t> </w:t>
      </w:r>
      <w:r>
        <w:rPr>
          <w:rFonts w:ascii="Georgia"/>
          <w:b/>
          <w:i/>
          <w:color w:val="231F20"/>
          <w:sz w:val="19"/>
        </w:rPr>
        <w:t>on</w:t>
      </w:r>
      <w:r>
        <w:rPr>
          <w:rFonts w:ascii="Georgia"/>
          <w:b/>
          <w:i/>
          <w:color w:val="231F20"/>
          <w:spacing w:val="-7"/>
          <w:sz w:val="19"/>
        </w:rPr>
        <w:t> </w:t>
      </w:r>
      <w:r>
        <w:rPr>
          <w:rFonts w:ascii="Georgia"/>
          <w:b/>
          <w:i/>
          <w:color w:val="231F20"/>
          <w:sz w:val="19"/>
        </w:rPr>
        <w:t>Each</w:t>
      </w:r>
      <w:r>
        <w:rPr>
          <w:rFonts w:ascii="Georgia"/>
          <w:b/>
          <w:i/>
          <w:color w:val="231F20"/>
          <w:spacing w:val="-6"/>
          <w:sz w:val="19"/>
        </w:rPr>
        <w:t> </w:t>
      </w:r>
      <w:r>
        <w:rPr>
          <w:rFonts w:ascii="Georgia"/>
          <w:b/>
          <w:i/>
          <w:color w:val="231F20"/>
          <w:sz w:val="19"/>
        </w:rPr>
        <w:t>Major</w:t>
      </w:r>
      <w:r>
        <w:rPr>
          <w:rFonts w:ascii="Georgia"/>
          <w:b/>
          <w:i/>
          <w:color w:val="231F20"/>
          <w:spacing w:val="-7"/>
          <w:sz w:val="19"/>
        </w:rPr>
        <w:t> </w:t>
      </w:r>
      <w:r>
        <w:rPr>
          <w:rFonts w:ascii="Georgia"/>
          <w:b/>
          <w:i/>
          <w:color w:val="231F20"/>
          <w:sz w:val="19"/>
        </w:rPr>
        <w:t>Federal</w:t>
      </w:r>
      <w:r>
        <w:rPr>
          <w:rFonts w:ascii="Georgia"/>
          <w:b/>
          <w:i/>
          <w:color w:val="231F20"/>
          <w:spacing w:val="-6"/>
          <w:sz w:val="19"/>
        </w:rPr>
        <w:t> </w:t>
      </w:r>
      <w:r>
        <w:rPr>
          <w:rFonts w:ascii="Georgia"/>
          <w:b/>
          <w:i/>
          <w:color w:val="231F20"/>
          <w:spacing w:val="-2"/>
          <w:sz w:val="19"/>
        </w:rPr>
        <w:t>Program</w:t>
      </w:r>
    </w:p>
    <w:p>
      <w:pPr>
        <w:spacing w:line="276" w:lineRule="auto" w:before="152"/>
        <w:ind w:left="1080" w:right="1112" w:firstLine="0"/>
        <w:jc w:val="left"/>
        <w:rPr>
          <w:sz w:val="20"/>
        </w:rPr>
      </w:pPr>
      <w:r>
        <w:rPr>
          <w:color w:val="231F20"/>
          <w:sz w:val="20"/>
        </w:rPr>
        <w:t>We conducted our audit of compliance in accordance with auditing standards generally accepted in the United States of America (GAAS); the standards applicable to financial audits contained in </w:t>
      </w:r>
      <w:r>
        <w:rPr>
          <w:i/>
          <w:color w:val="231F20"/>
          <w:sz w:val="20"/>
        </w:rPr>
        <w:t>Government</w:t>
      </w:r>
      <w:r>
        <w:rPr>
          <w:i/>
          <w:color w:val="231F20"/>
          <w:spacing w:val="-4"/>
          <w:sz w:val="20"/>
        </w:rPr>
        <w:t> </w:t>
      </w:r>
      <w:r>
        <w:rPr>
          <w:i/>
          <w:color w:val="231F20"/>
          <w:sz w:val="20"/>
        </w:rPr>
        <w:t>Auditing</w:t>
      </w:r>
      <w:r>
        <w:rPr>
          <w:i/>
          <w:color w:val="231F20"/>
          <w:spacing w:val="-3"/>
          <w:sz w:val="20"/>
        </w:rPr>
        <w:t> </w:t>
      </w:r>
      <w:r>
        <w:rPr>
          <w:i/>
          <w:color w:val="231F20"/>
          <w:sz w:val="20"/>
        </w:rPr>
        <w:t>Standards</w:t>
      </w:r>
      <w:r>
        <w:rPr>
          <w:i/>
          <w:color w:val="231F20"/>
          <w:spacing w:val="-2"/>
          <w:sz w:val="20"/>
        </w:rPr>
        <w:t> </w:t>
      </w:r>
      <w:r>
        <w:rPr>
          <w:color w:val="231F20"/>
          <w:sz w:val="20"/>
        </w:rPr>
        <w:t>issued</w:t>
      </w:r>
      <w:r>
        <w:rPr>
          <w:color w:val="231F20"/>
          <w:spacing w:val="-4"/>
          <w:sz w:val="20"/>
        </w:rPr>
        <w:t> </w:t>
      </w:r>
      <w:r>
        <w:rPr>
          <w:color w:val="231F20"/>
          <w:sz w:val="20"/>
        </w:rPr>
        <w:t>by</w:t>
      </w:r>
      <w:r>
        <w:rPr>
          <w:color w:val="231F20"/>
          <w:spacing w:val="-3"/>
          <w:sz w:val="20"/>
        </w:rPr>
        <w:t> </w:t>
      </w:r>
      <w:r>
        <w:rPr>
          <w:color w:val="231F20"/>
          <w:sz w:val="20"/>
        </w:rPr>
        <w:t>the</w:t>
      </w:r>
      <w:r>
        <w:rPr>
          <w:color w:val="231F20"/>
          <w:spacing w:val="-3"/>
          <w:sz w:val="20"/>
        </w:rPr>
        <w:t> </w:t>
      </w:r>
      <w:r>
        <w:rPr>
          <w:color w:val="231F20"/>
          <w:sz w:val="20"/>
        </w:rPr>
        <w:t>Comptroller</w:t>
      </w:r>
      <w:r>
        <w:rPr>
          <w:color w:val="231F20"/>
          <w:spacing w:val="-3"/>
          <w:sz w:val="20"/>
        </w:rPr>
        <w:t> </w:t>
      </w:r>
      <w:r>
        <w:rPr>
          <w:color w:val="231F20"/>
          <w:sz w:val="20"/>
        </w:rPr>
        <w:t>General</w:t>
      </w:r>
      <w:r>
        <w:rPr>
          <w:color w:val="231F20"/>
          <w:spacing w:val="-4"/>
          <w:sz w:val="20"/>
        </w:rPr>
        <w:t> </w:t>
      </w:r>
      <w:r>
        <w:rPr>
          <w:color w:val="231F20"/>
          <w:sz w:val="20"/>
        </w:rPr>
        <w:t>of</w:t>
      </w:r>
      <w:r>
        <w:rPr>
          <w:color w:val="231F20"/>
          <w:spacing w:val="-3"/>
          <w:sz w:val="20"/>
        </w:rPr>
        <w:t> </w:t>
      </w:r>
      <w:r>
        <w:rPr>
          <w:color w:val="231F20"/>
          <w:sz w:val="20"/>
        </w:rPr>
        <w:t>the</w:t>
      </w:r>
      <w:r>
        <w:rPr>
          <w:color w:val="231F20"/>
          <w:spacing w:val="-3"/>
          <w:sz w:val="20"/>
        </w:rPr>
        <w:t> </w:t>
      </w:r>
      <w:r>
        <w:rPr>
          <w:color w:val="231F20"/>
          <w:sz w:val="20"/>
        </w:rPr>
        <w:t>United</w:t>
      </w:r>
      <w:r>
        <w:rPr>
          <w:color w:val="231F20"/>
          <w:spacing w:val="-4"/>
          <w:sz w:val="20"/>
        </w:rPr>
        <w:t> </w:t>
      </w:r>
      <w:r>
        <w:rPr>
          <w:color w:val="231F20"/>
          <w:sz w:val="20"/>
        </w:rPr>
        <w:t>States </w:t>
      </w:r>
      <w:r>
        <w:rPr>
          <w:i/>
          <w:color w:val="231F20"/>
          <w:sz w:val="20"/>
        </w:rPr>
        <w:t>(Government</w:t>
      </w:r>
      <w:r>
        <w:rPr>
          <w:i/>
          <w:color w:val="231F20"/>
          <w:sz w:val="20"/>
        </w:rPr>
        <w:t> Auditing</w:t>
      </w:r>
      <w:r>
        <w:rPr>
          <w:i/>
          <w:color w:val="231F20"/>
          <w:spacing w:val="-3"/>
          <w:sz w:val="20"/>
        </w:rPr>
        <w:t> </w:t>
      </w:r>
      <w:r>
        <w:rPr>
          <w:i/>
          <w:color w:val="231F20"/>
          <w:sz w:val="20"/>
        </w:rPr>
        <w:t>Standards)</w:t>
      </w:r>
      <w:r>
        <w:rPr>
          <w:color w:val="231F20"/>
          <w:sz w:val="20"/>
        </w:rPr>
        <w:t>;</w:t>
      </w:r>
      <w:r>
        <w:rPr>
          <w:color w:val="231F20"/>
          <w:spacing w:val="-3"/>
          <w:sz w:val="20"/>
        </w:rPr>
        <w:t> </w:t>
      </w:r>
      <w:r>
        <w:rPr>
          <w:color w:val="231F20"/>
          <w:sz w:val="20"/>
        </w:rPr>
        <w:t>and</w:t>
      </w:r>
      <w:r>
        <w:rPr>
          <w:color w:val="231F20"/>
          <w:spacing w:val="-3"/>
          <w:sz w:val="20"/>
        </w:rPr>
        <w:t> </w:t>
      </w:r>
      <w:r>
        <w:rPr>
          <w:color w:val="231F20"/>
          <w:sz w:val="20"/>
        </w:rPr>
        <w:t>the</w:t>
      </w:r>
      <w:r>
        <w:rPr>
          <w:color w:val="231F20"/>
          <w:spacing w:val="-3"/>
          <w:sz w:val="20"/>
        </w:rPr>
        <w:t> </w:t>
      </w:r>
      <w:r>
        <w:rPr>
          <w:color w:val="231F20"/>
          <w:sz w:val="20"/>
        </w:rPr>
        <w:t>audit</w:t>
      </w:r>
      <w:r>
        <w:rPr>
          <w:color w:val="231F20"/>
          <w:spacing w:val="-3"/>
          <w:sz w:val="20"/>
        </w:rPr>
        <w:t> </w:t>
      </w:r>
      <w:r>
        <w:rPr>
          <w:color w:val="231F20"/>
          <w:sz w:val="20"/>
        </w:rPr>
        <w:t>requirements</w:t>
      </w:r>
      <w:r>
        <w:rPr>
          <w:color w:val="231F20"/>
          <w:spacing w:val="-3"/>
          <w:sz w:val="20"/>
        </w:rPr>
        <w:t> </w:t>
      </w:r>
      <w:r>
        <w:rPr>
          <w:color w:val="231F20"/>
          <w:sz w:val="20"/>
        </w:rPr>
        <w:t>of</w:t>
      </w:r>
      <w:r>
        <w:rPr>
          <w:color w:val="231F20"/>
          <w:spacing w:val="-3"/>
          <w:sz w:val="20"/>
        </w:rPr>
        <w:t> </w:t>
      </w:r>
      <w:r>
        <w:rPr>
          <w:color w:val="231F20"/>
          <w:sz w:val="20"/>
        </w:rPr>
        <w:t>Title</w:t>
      </w:r>
      <w:r>
        <w:rPr>
          <w:color w:val="231F20"/>
          <w:spacing w:val="-3"/>
          <w:sz w:val="20"/>
        </w:rPr>
        <w:t> </w:t>
      </w:r>
      <w:r>
        <w:rPr>
          <w:color w:val="231F20"/>
          <w:sz w:val="20"/>
        </w:rPr>
        <w:t>2</w:t>
      </w:r>
      <w:r>
        <w:rPr>
          <w:color w:val="231F20"/>
          <w:spacing w:val="-3"/>
          <w:sz w:val="20"/>
        </w:rPr>
        <w:t> </w:t>
      </w:r>
      <w:r>
        <w:rPr>
          <w:color w:val="231F20"/>
          <w:sz w:val="20"/>
        </w:rPr>
        <w:t>U.S.</w:t>
      </w:r>
      <w:r>
        <w:rPr>
          <w:color w:val="231F20"/>
          <w:spacing w:val="-2"/>
          <w:sz w:val="20"/>
        </w:rPr>
        <w:t> </w:t>
      </w:r>
      <w:r>
        <w:rPr>
          <w:i/>
          <w:color w:val="231F20"/>
          <w:sz w:val="20"/>
        </w:rPr>
        <w:t>Code</w:t>
      </w:r>
      <w:r>
        <w:rPr>
          <w:i/>
          <w:color w:val="231F20"/>
          <w:spacing w:val="-3"/>
          <w:sz w:val="20"/>
        </w:rPr>
        <w:t> </w:t>
      </w:r>
      <w:r>
        <w:rPr>
          <w:i/>
          <w:color w:val="231F20"/>
          <w:sz w:val="20"/>
        </w:rPr>
        <w:t>of</w:t>
      </w:r>
      <w:r>
        <w:rPr>
          <w:i/>
          <w:color w:val="231F20"/>
          <w:spacing w:val="-3"/>
          <w:sz w:val="20"/>
        </w:rPr>
        <w:t> </w:t>
      </w:r>
      <w:r>
        <w:rPr>
          <w:i/>
          <w:color w:val="231F20"/>
          <w:sz w:val="20"/>
        </w:rPr>
        <w:t>Federal</w:t>
      </w:r>
      <w:r>
        <w:rPr>
          <w:i/>
          <w:color w:val="231F20"/>
          <w:spacing w:val="-3"/>
          <w:sz w:val="20"/>
        </w:rPr>
        <w:t> </w:t>
      </w:r>
      <w:r>
        <w:rPr>
          <w:i/>
          <w:color w:val="231F20"/>
          <w:sz w:val="20"/>
        </w:rPr>
        <w:t>Regulations</w:t>
      </w:r>
      <w:r>
        <w:rPr>
          <w:i/>
          <w:color w:val="231F20"/>
          <w:spacing w:val="-4"/>
          <w:sz w:val="20"/>
        </w:rPr>
        <w:t> </w:t>
      </w:r>
      <w:r>
        <w:rPr>
          <w:i/>
          <w:color w:val="231F20"/>
          <w:sz w:val="20"/>
        </w:rPr>
        <w:t>Part</w:t>
      </w:r>
      <w:r>
        <w:rPr>
          <w:i/>
          <w:color w:val="231F20"/>
          <w:spacing w:val="-3"/>
          <w:sz w:val="20"/>
        </w:rPr>
        <w:t> </w:t>
      </w:r>
      <w:r>
        <w:rPr>
          <w:i/>
          <w:color w:val="231F20"/>
          <w:sz w:val="20"/>
        </w:rPr>
        <w:t>200,</w:t>
      </w:r>
      <w:r>
        <w:rPr>
          <w:i/>
          <w:color w:val="231F20"/>
          <w:sz w:val="20"/>
        </w:rPr>
        <w:t> Uniform Administrative Requirements, Cost Principles, and Audit Requirements for Federal Awards </w:t>
      </w:r>
      <w:r>
        <w:rPr>
          <w:color w:val="231F20"/>
          <w:sz w:val="20"/>
        </w:rPr>
        <w:t>(Uniform</w:t>
      </w:r>
      <w:r>
        <w:rPr>
          <w:color w:val="231F20"/>
          <w:spacing w:val="-3"/>
          <w:sz w:val="20"/>
        </w:rPr>
        <w:t> </w:t>
      </w:r>
      <w:r>
        <w:rPr>
          <w:color w:val="231F20"/>
          <w:sz w:val="20"/>
        </w:rPr>
        <w:t>Guidance).</w:t>
      </w:r>
      <w:r>
        <w:rPr>
          <w:color w:val="231F20"/>
          <w:spacing w:val="-3"/>
          <w:sz w:val="20"/>
        </w:rPr>
        <w:t> </w:t>
      </w:r>
      <w:r>
        <w:rPr>
          <w:color w:val="231F20"/>
          <w:sz w:val="20"/>
        </w:rPr>
        <w:t>Our</w:t>
      </w:r>
      <w:r>
        <w:rPr>
          <w:color w:val="231F20"/>
          <w:spacing w:val="-3"/>
          <w:sz w:val="20"/>
        </w:rPr>
        <w:t> </w:t>
      </w:r>
      <w:r>
        <w:rPr>
          <w:color w:val="231F20"/>
          <w:sz w:val="20"/>
        </w:rPr>
        <w:t>responsibilities</w:t>
      </w:r>
      <w:r>
        <w:rPr>
          <w:color w:val="231F20"/>
          <w:spacing w:val="-3"/>
          <w:sz w:val="20"/>
        </w:rPr>
        <w:t> </w:t>
      </w:r>
      <w:r>
        <w:rPr>
          <w:color w:val="231F20"/>
          <w:sz w:val="20"/>
        </w:rPr>
        <w:t>under</w:t>
      </w:r>
      <w:r>
        <w:rPr>
          <w:color w:val="231F20"/>
          <w:spacing w:val="-3"/>
          <w:sz w:val="20"/>
        </w:rPr>
        <w:t> </w:t>
      </w:r>
      <w:r>
        <w:rPr>
          <w:color w:val="231F20"/>
          <w:sz w:val="20"/>
        </w:rPr>
        <w:t>those</w:t>
      </w:r>
      <w:r>
        <w:rPr>
          <w:color w:val="231F20"/>
          <w:spacing w:val="-4"/>
          <w:sz w:val="20"/>
        </w:rPr>
        <w:t> </w:t>
      </w:r>
      <w:r>
        <w:rPr>
          <w:color w:val="231F20"/>
          <w:sz w:val="20"/>
        </w:rPr>
        <w:t>standards</w:t>
      </w:r>
      <w:r>
        <w:rPr>
          <w:color w:val="231F20"/>
          <w:spacing w:val="-3"/>
          <w:sz w:val="20"/>
        </w:rPr>
        <w:t> </w:t>
      </w:r>
      <w:r>
        <w:rPr>
          <w:color w:val="231F20"/>
          <w:sz w:val="20"/>
        </w:rPr>
        <w:t>and</w:t>
      </w:r>
      <w:r>
        <w:rPr>
          <w:color w:val="231F20"/>
          <w:spacing w:val="-3"/>
          <w:sz w:val="20"/>
        </w:rPr>
        <w:t> </w:t>
      </w:r>
      <w:r>
        <w:rPr>
          <w:color w:val="231F20"/>
          <w:sz w:val="20"/>
        </w:rPr>
        <w:t>the</w:t>
      </w:r>
      <w:r>
        <w:rPr>
          <w:color w:val="231F20"/>
          <w:spacing w:val="-3"/>
          <w:sz w:val="20"/>
        </w:rPr>
        <w:t> </w:t>
      </w:r>
      <w:r>
        <w:rPr>
          <w:color w:val="231F20"/>
          <w:sz w:val="20"/>
        </w:rPr>
        <w:t>Uniform</w:t>
      </w:r>
      <w:r>
        <w:rPr>
          <w:color w:val="231F20"/>
          <w:spacing w:val="-4"/>
          <w:sz w:val="20"/>
        </w:rPr>
        <w:t> </w:t>
      </w:r>
      <w:r>
        <w:rPr>
          <w:color w:val="231F20"/>
          <w:sz w:val="20"/>
        </w:rPr>
        <w:t>Guidance</w:t>
      </w:r>
      <w:r>
        <w:rPr>
          <w:color w:val="231F20"/>
          <w:spacing w:val="-3"/>
          <w:sz w:val="20"/>
        </w:rPr>
        <w:t> </w:t>
      </w:r>
      <w:r>
        <w:rPr>
          <w:color w:val="231F20"/>
          <w:sz w:val="20"/>
        </w:rPr>
        <w:t>are</w:t>
      </w:r>
      <w:r>
        <w:rPr>
          <w:color w:val="231F20"/>
          <w:spacing w:val="-3"/>
          <w:sz w:val="20"/>
        </w:rPr>
        <w:t> </w:t>
      </w:r>
      <w:r>
        <w:rPr>
          <w:color w:val="231F20"/>
          <w:sz w:val="20"/>
        </w:rPr>
        <w:t>further described in the Auditor’s Responsibilities for the Audit of Compliance section of our report.</w:t>
      </w:r>
    </w:p>
    <w:p>
      <w:pPr>
        <w:pStyle w:val="BodyText"/>
        <w:spacing w:line="276" w:lineRule="auto" w:before="120"/>
        <w:ind w:left="1080" w:right="1293"/>
      </w:pPr>
      <w:r>
        <w:rPr>
          <w:color w:val="231F20"/>
        </w:rPr>
        <w:t>We are required to be independent of New Mexico Institute of Mining and Technology and to meet our other ethical responsibilities, in accordance with relevant ethical requirements relating to our audit.</w:t>
      </w:r>
      <w:r>
        <w:rPr>
          <w:color w:val="231F20"/>
          <w:spacing w:val="-3"/>
        </w:rPr>
        <w:t> </w:t>
      </w:r>
      <w:r>
        <w:rPr>
          <w:color w:val="231F20"/>
        </w:rPr>
        <w:t>We</w:t>
      </w:r>
      <w:r>
        <w:rPr>
          <w:color w:val="231F20"/>
          <w:spacing w:val="-3"/>
        </w:rPr>
        <w:t> </w:t>
      </w:r>
      <w:r>
        <w:rPr>
          <w:color w:val="231F20"/>
        </w:rPr>
        <w:t>believe</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audit</w:t>
      </w:r>
      <w:r>
        <w:rPr>
          <w:color w:val="231F20"/>
          <w:spacing w:val="-3"/>
        </w:rPr>
        <w:t> </w:t>
      </w:r>
      <w:r>
        <w:rPr>
          <w:color w:val="231F20"/>
        </w:rPr>
        <w:t>evidence</w:t>
      </w:r>
      <w:r>
        <w:rPr>
          <w:color w:val="231F20"/>
          <w:spacing w:val="-4"/>
        </w:rPr>
        <w:t> </w:t>
      </w:r>
      <w:r>
        <w:rPr>
          <w:color w:val="231F20"/>
        </w:rPr>
        <w:t>we</w:t>
      </w:r>
      <w:r>
        <w:rPr>
          <w:color w:val="231F20"/>
          <w:spacing w:val="-3"/>
        </w:rPr>
        <w:t> </w:t>
      </w:r>
      <w:r>
        <w:rPr>
          <w:color w:val="231F20"/>
        </w:rPr>
        <w:t>have</w:t>
      </w:r>
      <w:r>
        <w:rPr>
          <w:color w:val="231F20"/>
          <w:spacing w:val="-3"/>
        </w:rPr>
        <w:t> </w:t>
      </w:r>
      <w:r>
        <w:rPr>
          <w:color w:val="231F20"/>
        </w:rPr>
        <w:t>obtained</w:t>
      </w:r>
      <w:r>
        <w:rPr>
          <w:color w:val="231F20"/>
          <w:spacing w:val="-3"/>
        </w:rPr>
        <w:t> </w:t>
      </w:r>
      <w:r>
        <w:rPr>
          <w:color w:val="231F20"/>
        </w:rPr>
        <w:t>is</w:t>
      </w:r>
      <w:r>
        <w:rPr>
          <w:color w:val="231F20"/>
          <w:spacing w:val="-2"/>
        </w:rPr>
        <w:t> </w:t>
      </w:r>
      <w:r>
        <w:rPr>
          <w:color w:val="231F20"/>
        </w:rPr>
        <w:t>sufficient</w:t>
      </w:r>
      <w:r>
        <w:rPr>
          <w:color w:val="231F20"/>
          <w:spacing w:val="-3"/>
        </w:rPr>
        <w:t> </w:t>
      </w:r>
      <w:r>
        <w:rPr>
          <w:color w:val="231F20"/>
        </w:rPr>
        <w:t>and</w:t>
      </w:r>
      <w:r>
        <w:rPr>
          <w:color w:val="231F20"/>
          <w:spacing w:val="-3"/>
        </w:rPr>
        <w:t> </w:t>
      </w:r>
      <w:r>
        <w:rPr>
          <w:color w:val="231F20"/>
        </w:rPr>
        <w:t>appropriate</w:t>
      </w:r>
      <w:r>
        <w:rPr>
          <w:color w:val="231F20"/>
          <w:spacing w:val="-3"/>
        </w:rPr>
        <w:t> </w:t>
      </w:r>
      <w:r>
        <w:rPr>
          <w:color w:val="231F20"/>
        </w:rPr>
        <w:t>to</w:t>
      </w:r>
      <w:r>
        <w:rPr>
          <w:color w:val="231F20"/>
          <w:spacing w:val="-3"/>
        </w:rPr>
        <w:t> </w:t>
      </w:r>
      <w:r>
        <w:rPr>
          <w:color w:val="231F20"/>
        </w:rPr>
        <w:t>provide</w:t>
      </w:r>
      <w:r>
        <w:rPr>
          <w:color w:val="231F20"/>
          <w:spacing w:val="-3"/>
        </w:rPr>
        <w:t> </w:t>
      </w:r>
      <w:r>
        <w:rPr>
          <w:color w:val="231F20"/>
        </w:rPr>
        <w:t>a basis for our opinion on compliance for each major federal program. Our audit does not provide a legal determination of New Mexico Institute of Mining and Technology’s compliance with the compliance requirements referred to above.</w:t>
      </w:r>
    </w:p>
    <w:p>
      <w:pPr>
        <w:spacing w:before="120"/>
        <w:ind w:left="1080" w:right="0" w:firstLine="0"/>
        <w:jc w:val="left"/>
        <w:rPr>
          <w:rFonts w:ascii="Georgia"/>
          <w:b/>
          <w:i/>
          <w:sz w:val="19"/>
        </w:rPr>
      </w:pPr>
      <w:r>
        <w:rPr>
          <w:rFonts w:ascii="Georgia"/>
          <w:b/>
          <w:i/>
          <w:color w:val="231F20"/>
          <w:sz w:val="19"/>
        </w:rPr>
        <w:t>Responsibilities</w:t>
      </w:r>
      <w:r>
        <w:rPr>
          <w:rFonts w:ascii="Georgia"/>
          <w:b/>
          <w:i/>
          <w:color w:val="231F20"/>
          <w:spacing w:val="-9"/>
          <w:sz w:val="19"/>
        </w:rPr>
        <w:t> </w:t>
      </w:r>
      <w:r>
        <w:rPr>
          <w:rFonts w:ascii="Georgia"/>
          <w:b/>
          <w:i/>
          <w:color w:val="231F20"/>
          <w:sz w:val="19"/>
        </w:rPr>
        <w:t>of</w:t>
      </w:r>
      <w:r>
        <w:rPr>
          <w:rFonts w:ascii="Georgia"/>
          <w:b/>
          <w:i/>
          <w:color w:val="231F20"/>
          <w:spacing w:val="-7"/>
          <w:sz w:val="19"/>
        </w:rPr>
        <w:t> </w:t>
      </w:r>
      <w:r>
        <w:rPr>
          <w:rFonts w:ascii="Georgia"/>
          <w:b/>
          <w:i/>
          <w:color w:val="231F20"/>
          <w:sz w:val="19"/>
        </w:rPr>
        <w:t>Management</w:t>
      </w:r>
      <w:r>
        <w:rPr>
          <w:rFonts w:ascii="Georgia"/>
          <w:b/>
          <w:i/>
          <w:color w:val="231F20"/>
          <w:spacing w:val="-9"/>
          <w:sz w:val="19"/>
        </w:rPr>
        <w:t> </w:t>
      </w:r>
      <w:r>
        <w:rPr>
          <w:rFonts w:ascii="Georgia"/>
          <w:b/>
          <w:i/>
          <w:color w:val="231F20"/>
          <w:sz w:val="19"/>
        </w:rPr>
        <w:t>for</w:t>
      </w:r>
      <w:r>
        <w:rPr>
          <w:rFonts w:ascii="Georgia"/>
          <w:b/>
          <w:i/>
          <w:color w:val="231F20"/>
          <w:spacing w:val="-8"/>
          <w:sz w:val="19"/>
        </w:rPr>
        <w:t> </w:t>
      </w:r>
      <w:r>
        <w:rPr>
          <w:rFonts w:ascii="Georgia"/>
          <w:b/>
          <w:i/>
          <w:color w:val="231F20"/>
          <w:spacing w:val="-2"/>
          <w:sz w:val="19"/>
        </w:rPr>
        <w:t>Compliance</w:t>
      </w:r>
    </w:p>
    <w:p>
      <w:pPr>
        <w:pStyle w:val="BodyText"/>
        <w:spacing w:line="276" w:lineRule="auto" w:before="153"/>
        <w:ind w:left="1080" w:right="1293"/>
      </w:pPr>
      <w:r>
        <w:rPr>
          <w:color w:val="231F20"/>
        </w:rPr>
        <w:t>Management is responsible for compliance with the requirements referred to above and for the design, implementation, and maintenance of effective internal control over compliance with the requirements</w:t>
      </w:r>
      <w:r>
        <w:rPr>
          <w:color w:val="231F20"/>
          <w:spacing w:val="-5"/>
        </w:rPr>
        <w:t> </w:t>
      </w:r>
      <w:r>
        <w:rPr>
          <w:color w:val="231F20"/>
        </w:rPr>
        <w:t>of</w:t>
      </w:r>
      <w:r>
        <w:rPr>
          <w:color w:val="231F20"/>
          <w:spacing w:val="-4"/>
        </w:rPr>
        <w:t> </w:t>
      </w:r>
      <w:r>
        <w:rPr>
          <w:color w:val="231F20"/>
        </w:rPr>
        <w:t>laws,</w:t>
      </w:r>
      <w:r>
        <w:rPr>
          <w:color w:val="231F20"/>
          <w:spacing w:val="-4"/>
        </w:rPr>
        <w:t> </w:t>
      </w:r>
      <w:r>
        <w:rPr>
          <w:color w:val="231F20"/>
        </w:rPr>
        <w:t>statutes,</w:t>
      </w:r>
      <w:r>
        <w:rPr>
          <w:color w:val="231F20"/>
          <w:spacing w:val="-4"/>
        </w:rPr>
        <w:t> </w:t>
      </w:r>
      <w:r>
        <w:rPr>
          <w:color w:val="231F20"/>
        </w:rPr>
        <w:t>regulations,</w:t>
      </w:r>
      <w:r>
        <w:rPr>
          <w:color w:val="231F20"/>
          <w:spacing w:val="-4"/>
        </w:rPr>
        <w:t> </w:t>
      </w:r>
      <w:r>
        <w:rPr>
          <w:color w:val="231F20"/>
        </w:rPr>
        <w:t>rules,</w:t>
      </w:r>
      <w:r>
        <w:rPr>
          <w:color w:val="231F20"/>
          <w:spacing w:val="-2"/>
        </w:rPr>
        <w:t> </w:t>
      </w:r>
      <w:r>
        <w:rPr>
          <w:color w:val="231F20"/>
        </w:rPr>
        <w:t>and</w:t>
      </w:r>
      <w:r>
        <w:rPr>
          <w:color w:val="231F20"/>
          <w:spacing w:val="-5"/>
        </w:rPr>
        <w:t> </w:t>
      </w:r>
      <w:r>
        <w:rPr>
          <w:color w:val="231F20"/>
        </w:rPr>
        <w:t>provisions</w:t>
      </w:r>
      <w:r>
        <w:rPr>
          <w:color w:val="231F20"/>
          <w:spacing w:val="-3"/>
        </w:rPr>
        <w:t> </w:t>
      </w:r>
      <w:r>
        <w:rPr>
          <w:color w:val="231F20"/>
        </w:rPr>
        <w:t>of</w:t>
      </w:r>
      <w:r>
        <w:rPr>
          <w:color w:val="231F20"/>
          <w:spacing w:val="-4"/>
        </w:rPr>
        <w:t> </w:t>
      </w:r>
      <w:r>
        <w:rPr>
          <w:color w:val="231F20"/>
        </w:rPr>
        <w:t>contracts</w:t>
      </w:r>
      <w:r>
        <w:rPr>
          <w:color w:val="231F20"/>
          <w:spacing w:val="-4"/>
        </w:rPr>
        <w:t> </w:t>
      </w:r>
      <w:r>
        <w:rPr>
          <w:color w:val="231F20"/>
        </w:rPr>
        <w:t>or</w:t>
      </w:r>
      <w:r>
        <w:rPr>
          <w:color w:val="231F20"/>
          <w:spacing w:val="-4"/>
        </w:rPr>
        <w:t> </w:t>
      </w:r>
      <w:r>
        <w:rPr>
          <w:color w:val="231F20"/>
        </w:rPr>
        <w:t>grant</w:t>
      </w:r>
      <w:r>
        <w:rPr>
          <w:color w:val="231F20"/>
          <w:spacing w:val="-4"/>
        </w:rPr>
        <w:t> </w:t>
      </w:r>
      <w:r>
        <w:rPr>
          <w:color w:val="231F20"/>
        </w:rPr>
        <w:t>agreements applicable to New Mexico Institute of Mining and Technology’s federal programs.</w:t>
      </w:r>
    </w:p>
    <w:p>
      <w:pPr>
        <w:spacing w:after="0" w:line="276" w:lineRule="auto"/>
        <w:sectPr>
          <w:headerReference w:type="default" r:id="rId78"/>
          <w:footerReference w:type="default" r:id="rId79"/>
          <w:pgSz w:w="12240" w:h="15840"/>
          <w:pgMar w:header="0" w:footer="743" w:top="1140" w:bottom="940" w:left="540" w:right="500"/>
        </w:sectPr>
      </w:pPr>
    </w:p>
    <w:p>
      <w:pPr>
        <w:spacing w:before="79"/>
        <w:ind w:left="1080" w:right="0" w:firstLine="0"/>
        <w:jc w:val="left"/>
        <w:rPr>
          <w:rFonts w:ascii="Georgia" w:hAnsi="Georgia"/>
          <w:b/>
          <w:i/>
          <w:sz w:val="19"/>
        </w:rPr>
      </w:pPr>
      <w:r>
        <w:rPr>
          <w:rFonts w:ascii="Georgia" w:hAnsi="Georgia"/>
          <w:b/>
          <w:i/>
          <w:color w:val="231F20"/>
          <w:sz w:val="19"/>
        </w:rPr>
        <w:t>Auditor’s</w:t>
      </w:r>
      <w:r>
        <w:rPr>
          <w:rFonts w:ascii="Georgia" w:hAnsi="Georgia"/>
          <w:b/>
          <w:i/>
          <w:color w:val="231F20"/>
          <w:spacing w:val="-7"/>
          <w:sz w:val="19"/>
        </w:rPr>
        <w:t> </w:t>
      </w:r>
      <w:r>
        <w:rPr>
          <w:rFonts w:ascii="Georgia" w:hAnsi="Georgia"/>
          <w:b/>
          <w:i/>
          <w:color w:val="231F20"/>
          <w:sz w:val="19"/>
        </w:rPr>
        <w:t>Responsibilities</w:t>
      </w:r>
      <w:r>
        <w:rPr>
          <w:rFonts w:ascii="Georgia" w:hAnsi="Georgia"/>
          <w:b/>
          <w:i/>
          <w:color w:val="231F20"/>
          <w:spacing w:val="-7"/>
          <w:sz w:val="19"/>
        </w:rPr>
        <w:t> </w:t>
      </w:r>
      <w:r>
        <w:rPr>
          <w:rFonts w:ascii="Georgia" w:hAnsi="Georgia"/>
          <w:b/>
          <w:i/>
          <w:color w:val="231F20"/>
          <w:sz w:val="19"/>
        </w:rPr>
        <w:t>for</w:t>
      </w:r>
      <w:r>
        <w:rPr>
          <w:rFonts w:ascii="Georgia" w:hAnsi="Georgia"/>
          <w:b/>
          <w:i/>
          <w:color w:val="231F20"/>
          <w:spacing w:val="-7"/>
          <w:sz w:val="19"/>
        </w:rPr>
        <w:t> </w:t>
      </w:r>
      <w:r>
        <w:rPr>
          <w:rFonts w:ascii="Georgia" w:hAnsi="Georgia"/>
          <w:b/>
          <w:i/>
          <w:color w:val="231F20"/>
          <w:sz w:val="19"/>
        </w:rPr>
        <w:t>the</w:t>
      </w:r>
      <w:r>
        <w:rPr>
          <w:rFonts w:ascii="Georgia" w:hAnsi="Georgia"/>
          <w:b/>
          <w:i/>
          <w:color w:val="231F20"/>
          <w:spacing w:val="-7"/>
          <w:sz w:val="19"/>
        </w:rPr>
        <w:t> </w:t>
      </w:r>
      <w:r>
        <w:rPr>
          <w:rFonts w:ascii="Georgia" w:hAnsi="Georgia"/>
          <w:b/>
          <w:i/>
          <w:color w:val="231F20"/>
          <w:sz w:val="19"/>
        </w:rPr>
        <w:t>Audit</w:t>
      </w:r>
      <w:r>
        <w:rPr>
          <w:rFonts w:ascii="Georgia" w:hAnsi="Georgia"/>
          <w:b/>
          <w:i/>
          <w:color w:val="231F20"/>
          <w:spacing w:val="-6"/>
          <w:sz w:val="19"/>
        </w:rPr>
        <w:t> </w:t>
      </w:r>
      <w:r>
        <w:rPr>
          <w:rFonts w:ascii="Georgia" w:hAnsi="Georgia"/>
          <w:b/>
          <w:i/>
          <w:color w:val="231F20"/>
          <w:sz w:val="19"/>
        </w:rPr>
        <w:t>of</w:t>
      </w:r>
      <w:r>
        <w:rPr>
          <w:rFonts w:ascii="Georgia" w:hAnsi="Georgia"/>
          <w:b/>
          <w:i/>
          <w:color w:val="231F20"/>
          <w:spacing w:val="-6"/>
          <w:sz w:val="19"/>
        </w:rPr>
        <w:t> </w:t>
      </w:r>
      <w:r>
        <w:rPr>
          <w:rFonts w:ascii="Georgia" w:hAnsi="Georgia"/>
          <w:b/>
          <w:i/>
          <w:color w:val="231F20"/>
          <w:spacing w:val="-2"/>
          <w:sz w:val="19"/>
        </w:rPr>
        <w:t>Compliance</w:t>
      </w:r>
    </w:p>
    <w:p>
      <w:pPr>
        <w:pStyle w:val="BodyText"/>
        <w:spacing w:line="276" w:lineRule="auto" w:before="153"/>
        <w:ind w:left="1080" w:right="1027"/>
      </w:pPr>
      <w:r>
        <w:rPr>
          <w:color w:val="231F20"/>
        </w:rPr>
        <w:t>Our objectives are to obtain reasonable assurance about whether material noncompliance with the compliance</w:t>
      </w:r>
      <w:r>
        <w:rPr>
          <w:color w:val="231F20"/>
          <w:spacing w:val="-3"/>
        </w:rPr>
        <w:t> </w:t>
      </w:r>
      <w:r>
        <w:rPr>
          <w:color w:val="231F20"/>
        </w:rPr>
        <w:t>requirements</w:t>
      </w:r>
      <w:r>
        <w:rPr>
          <w:color w:val="231F20"/>
          <w:spacing w:val="-3"/>
        </w:rPr>
        <w:t> </w:t>
      </w:r>
      <w:r>
        <w:rPr>
          <w:color w:val="231F20"/>
        </w:rPr>
        <w:t>referred</w:t>
      </w:r>
      <w:r>
        <w:rPr>
          <w:color w:val="231F20"/>
          <w:spacing w:val="-3"/>
        </w:rPr>
        <w:t> </w:t>
      </w:r>
      <w:r>
        <w:rPr>
          <w:color w:val="231F20"/>
        </w:rPr>
        <w:t>to</w:t>
      </w:r>
      <w:r>
        <w:rPr>
          <w:color w:val="231F20"/>
          <w:spacing w:val="-3"/>
        </w:rPr>
        <w:t> </w:t>
      </w:r>
      <w:r>
        <w:rPr>
          <w:color w:val="231F20"/>
        </w:rPr>
        <w:t>above</w:t>
      </w:r>
      <w:r>
        <w:rPr>
          <w:color w:val="231F20"/>
          <w:spacing w:val="-3"/>
        </w:rPr>
        <w:t> </w:t>
      </w:r>
      <w:r>
        <w:rPr>
          <w:color w:val="231F20"/>
        </w:rPr>
        <w:t>occurred,</w:t>
      </w:r>
      <w:r>
        <w:rPr>
          <w:color w:val="231F20"/>
          <w:spacing w:val="-3"/>
        </w:rPr>
        <w:t> </w:t>
      </w:r>
      <w:r>
        <w:rPr>
          <w:color w:val="231F20"/>
        </w:rPr>
        <w:t>whether</w:t>
      </w:r>
      <w:r>
        <w:rPr>
          <w:color w:val="231F20"/>
          <w:spacing w:val="-3"/>
        </w:rPr>
        <w:t> </w:t>
      </w:r>
      <w:r>
        <w:rPr>
          <w:color w:val="231F20"/>
        </w:rPr>
        <w:t>due</w:t>
      </w:r>
      <w:r>
        <w:rPr>
          <w:color w:val="231F20"/>
          <w:spacing w:val="-4"/>
        </w:rPr>
        <w:t> </w:t>
      </w:r>
      <w:r>
        <w:rPr>
          <w:color w:val="231F20"/>
        </w:rPr>
        <w:t>to</w:t>
      </w:r>
      <w:r>
        <w:rPr>
          <w:color w:val="231F20"/>
          <w:spacing w:val="-3"/>
        </w:rPr>
        <w:t> </w:t>
      </w:r>
      <w:r>
        <w:rPr>
          <w:color w:val="231F20"/>
        </w:rPr>
        <w:t>fraud</w:t>
      </w:r>
      <w:r>
        <w:rPr>
          <w:color w:val="231F20"/>
          <w:spacing w:val="-3"/>
        </w:rPr>
        <w:t> </w:t>
      </w:r>
      <w:r>
        <w:rPr>
          <w:color w:val="231F20"/>
        </w:rPr>
        <w:t>or</w:t>
      </w:r>
      <w:r>
        <w:rPr>
          <w:color w:val="231F20"/>
          <w:spacing w:val="-3"/>
        </w:rPr>
        <w:t> </w:t>
      </w:r>
      <w:r>
        <w:rPr>
          <w:color w:val="231F20"/>
        </w:rPr>
        <w:t>error,</w:t>
      </w:r>
      <w:r>
        <w:rPr>
          <w:color w:val="231F20"/>
          <w:spacing w:val="-3"/>
        </w:rPr>
        <w:t> </w:t>
      </w:r>
      <w:r>
        <w:rPr>
          <w:color w:val="231F20"/>
        </w:rPr>
        <w:t>and</w:t>
      </w:r>
      <w:r>
        <w:rPr>
          <w:color w:val="231F20"/>
          <w:spacing w:val="-3"/>
        </w:rPr>
        <w:t> </w:t>
      </w:r>
      <w:r>
        <w:rPr>
          <w:color w:val="231F20"/>
        </w:rPr>
        <w:t>express</w:t>
      </w:r>
      <w:r>
        <w:rPr>
          <w:color w:val="231F20"/>
          <w:spacing w:val="-3"/>
        </w:rPr>
        <w:t> </w:t>
      </w:r>
      <w:r>
        <w:rPr>
          <w:color w:val="231F20"/>
        </w:rPr>
        <w:t>an opinion on New Mexico Institute of Mining and Technology's compliance based on our audit.</w:t>
      </w:r>
    </w:p>
    <w:p>
      <w:pPr>
        <w:pStyle w:val="BodyText"/>
        <w:spacing w:line="276" w:lineRule="auto"/>
        <w:ind w:left="1080" w:right="1164"/>
      </w:pPr>
      <w:r>
        <w:rPr>
          <w:color w:val="231F20"/>
        </w:rPr>
        <w:t>Reasonable</w:t>
      </w:r>
      <w:r>
        <w:rPr>
          <w:color w:val="231F20"/>
          <w:spacing w:val="-4"/>
        </w:rPr>
        <w:t> </w:t>
      </w:r>
      <w:r>
        <w:rPr>
          <w:color w:val="231F20"/>
        </w:rPr>
        <w:t>assurance</w:t>
      </w:r>
      <w:r>
        <w:rPr>
          <w:color w:val="231F20"/>
          <w:spacing w:val="-3"/>
        </w:rPr>
        <w:t> </w:t>
      </w:r>
      <w:r>
        <w:rPr>
          <w:color w:val="231F20"/>
        </w:rPr>
        <w:t>is</w:t>
      </w:r>
      <w:r>
        <w:rPr>
          <w:color w:val="231F20"/>
          <w:spacing w:val="-4"/>
        </w:rPr>
        <w:t> </w:t>
      </w:r>
      <w:r>
        <w:rPr>
          <w:color w:val="231F20"/>
        </w:rPr>
        <w:t>a</w:t>
      </w:r>
      <w:r>
        <w:rPr>
          <w:color w:val="231F20"/>
          <w:spacing w:val="-3"/>
        </w:rPr>
        <w:t> </w:t>
      </w:r>
      <w:r>
        <w:rPr>
          <w:color w:val="231F20"/>
        </w:rPr>
        <w:t>high</w:t>
      </w:r>
      <w:r>
        <w:rPr>
          <w:color w:val="231F20"/>
          <w:spacing w:val="-3"/>
        </w:rPr>
        <w:t> </w:t>
      </w:r>
      <w:r>
        <w:rPr>
          <w:color w:val="231F20"/>
        </w:rPr>
        <w:t>level</w:t>
      </w:r>
      <w:r>
        <w:rPr>
          <w:color w:val="231F20"/>
          <w:spacing w:val="-3"/>
        </w:rPr>
        <w:t> </w:t>
      </w:r>
      <w:r>
        <w:rPr>
          <w:color w:val="231F20"/>
        </w:rPr>
        <w:t>of</w:t>
      </w:r>
      <w:r>
        <w:rPr>
          <w:color w:val="231F20"/>
          <w:spacing w:val="-3"/>
        </w:rPr>
        <w:t> </w:t>
      </w:r>
      <w:r>
        <w:rPr>
          <w:color w:val="231F20"/>
        </w:rPr>
        <w:t>assurance</w:t>
      </w:r>
      <w:r>
        <w:rPr>
          <w:color w:val="231F20"/>
          <w:spacing w:val="-1"/>
        </w:rPr>
        <w:t> </w:t>
      </w:r>
      <w:r>
        <w:rPr>
          <w:color w:val="231F20"/>
        </w:rPr>
        <w:t>but</w:t>
      </w:r>
      <w:r>
        <w:rPr>
          <w:color w:val="231F20"/>
          <w:spacing w:val="-3"/>
        </w:rPr>
        <w:t> </w:t>
      </w:r>
      <w:r>
        <w:rPr>
          <w:color w:val="231F20"/>
        </w:rPr>
        <w:t>is</w:t>
      </w:r>
      <w:r>
        <w:rPr>
          <w:color w:val="231F20"/>
          <w:spacing w:val="-3"/>
        </w:rPr>
        <w:t> </w:t>
      </w:r>
      <w:r>
        <w:rPr>
          <w:color w:val="231F20"/>
        </w:rPr>
        <w:t>not</w:t>
      </w:r>
      <w:r>
        <w:rPr>
          <w:color w:val="231F20"/>
          <w:spacing w:val="-3"/>
        </w:rPr>
        <w:t> </w:t>
      </w:r>
      <w:r>
        <w:rPr>
          <w:color w:val="231F20"/>
        </w:rPr>
        <w:t>absolute</w:t>
      </w:r>
      <w:r>
        <w:rPr>
          <w:color w:val="231F20"/>
          <w:spacing w:val="-3"/>
        </w:rPr>
        <w:t> </w:t>
      </w:r>
      <w:r>
        <w:rPr>
          <w:color w:val="231F20"/>
        </w:rPr>
        <w:t>assurance</w:t>
      </w:r>
      <w:r>
        <w:rPr>
          <w:color w:val="231F20"/>
          <w:spacing w:val="-3"/>
        </w:rPr>
        <w:t> </w:t>
      </w:r>
      <w:r>
        <w:rPr>
          <w:color w:val="231F20"/>
        </w:rPr>
        <w:t>and</w:t>
      </w:r>
      <w:r>
        <w:rPr>
          <w:color w:val="231F20"/>
          <w:spacing w:val="-3"/>
        </w:rPr>
        <w:t> </w:t>
      </w:r>
      <w:r>
        <w:rPr>
          <w:color w:val="231F20"/>
        </w:rPr>
        <w:t>therefore</w:t>
      </w:r>
      <w:r>
        <w:rPr>
          <w:color w:val="231F20"/>
          <w:spacing w:val="-3"/>
        </w:rPr>
        <w:t> </w:t>
      </w:r>
      <w:r>
        <w:rPr>
          <w:color w:val="231F20"/>
        </w:rPr>
        <w:t>is</w:t>
      </w:r>
      <w:r>
        <w:rPr>
          <w:color w:val="231F20"/>
          <w:spacing w:val="-3"/>
        </w:rPr>
        <w:t> </w:t>
      </w:r>
      <w:r>
        <w:rPr>
          <w:color w:val="231F20"/>
        </w:rPr>
        <w:t>not a</w:t>
      </w:r>
      <w:r>
        <w:rPr>
          <w:color w:val="231F20"/>
          <w:spacing w:val="-2"/>
        </w:rPr>
        <w:t> </w:t>
      </w:r>
      <w:r>
        <w:rPr>
          <w:color w:val="231F20"/>
        </w:rPr>
        <w:t>guarantee</w:t>
      </w:r>
      <w:r>
        <w:rPr>
          <w:color w:val="231F20"/>
          <w:spacing w:val="-2"/>
        </w:rPr>
        <w:t> </w:t>
      </w:r>
      <w:r>
        <w:rPr>
          <w:color w:val="231F20"/>
        </w:rPr>
        <w:t>that</w:t>
      </w:r>
      <w:r>
        <w:rPr>
          <w:color w:val="231F20"/>
          <w:spacing w:val="-2"/>
        </w:rPr>
        <w:t> </w:t>
      </w:r>
      <w:r>
        <w:rPr>
          <w:color w:val="231F20"/>
        </w:rPr>
        <w:t>an</w:t>
      </w:r>
      <w:r>
        <w:rPr>
          <w:color w:val="231F20"/>
          <w:spacing w:val="-2"/>
        </w:rPr>
        <w:t> </w:t>
      </w:r>
      <w:r>
        <w:rPr>
          <w:color w:val="231F20"/>
        </w:rPr>
        <w:t>audit</w:t>
      </w:r>
      <w:r>
        <w:rPr>
          <w:color w:val="231F20"/>
          <w:spacing w:val="-2"/>
        </w:rPr>
        <w:t> </w:t>
      </w:r>
      <w:r>
        <w:rPr>
          <w:color w:val="231F20"/>
        </w:rPr>
        <w:t>conducted</w:t>
      </w:r>
      <w:r>
        <w:rPr>
          <w:color w:val="231F20"/>
          <w:spacing w:val="-2"/>
        </w:rPr>
        <w:t> </w:t>
      </w:r>
      <w:r>
        <w:rPr>
          <w:color w:val="231F20"/>
        </w:rPr>
        <w:t>in</w:t>
      </w:r>
      <w:r>
        <w:rPr>
          <w:color w:val="231F20"/>
          <w:spacing w:val="-2"/>
        </w:rPr>
        <w:t> </w:t>
      </w:r>
      <w:r>
        <w:rPr>
          <w:color w:val="231F20"/>
        </w:rPr>
        <w:t>accordance</w:t>
      </w:r>
      <w:r>
        <w:rPr>
          <w:color w:val="231F20"/>
          <w:spacing w:val="-2"/>
        </w:rPr>
        <w:t> </w:t>
      </w:r>
      <w:r>
        <w:rPr>
          <w:color w:val="231F20"/>
        </w:rPr>
        <w:t>with</w:t>
      </w:r>
      <w:r>
        <w:rPr>
          <w:color w:val="231F20"/>
          <w:spacing w:val="-2"/>
        </w:rPr>
        <w:t> </w:t>
      </w:r>
      <w:r>
        <w:rPr>
          <w:color w:val="231F20"/>
        </w:rPr>
        <w:t>GAAS, </w:t>
      </w:r>
      <w:r>
        <w:rPr>
          <w:i/>
          <w:color w:val="231F20"/>
        </w:rPr>
        <w:t>Government</w:t>
      </w:r>
      <w:r>
        <w:rPr>
          <w:i/>
          <w:color w:val="231F20"/>
          <w:spacing w:val="-2"/>
        </w:rPr>
        <w:t> </w:t>
      </w:r>
      <w:r>
        <w:rPr>
          <w:i/>
          <w:color w:val="231F20"/>
        </w:rPr>
        <w:t>Auditing</w:t>
      </w:r>
      <w:r>
        <w:rPr>
          <w:i/>
          <w:color w:val="231F20"/>
          <w:spacing w:val="-2"/>
        </w:rPr>
        <w:t> </w:t>
      </w:r>
      <w:r>
        <w:rPr>
          <w:i/>
          <w:color w:val="231F20"/>
        </w:rPr>
        <w:t>Standards</w:t>
      </w:r>
      <w:r>
        <w:rPr>
          <w:color w:val="231F20"/>
        </w:rPr>
        <w:t>,</w:t>
      </w:r>
      <w:r>
        <w:rPr>
          <w:color w:val="231F20"/>
          <w:spacing w:val="-2"/>
        </w:rPr>
        <w:t> </w:t>
      </w:r>
      <w:r>
        <w:rPr>
          <w:color w:val="231F20"/>
        </w:rPr>
        <w:t>and the Uniform Guidance will always detect material noncompliance when it exists. The risk of not detecting material noncompliance resulting from fraud is higher than for that resulting from error, as fraud may involve collusion, forgery, intentional omissions, misrepresentations, or the override of internal control. Noncompliance with the compliance requirements referred to above is considered material, if there is a</w:t>
      </w:r>
      <w:r>
        <w:rPr>
          <w:color w:val="231F20"/>
          <w:spacing w:val="-1"/>
        </w:rPr>
        <w:t> </w:t>
      </w:r>
      <w:r>
        <w:rPr>
          <w:color w:val="231F20"/>
        </w:rPr>
        <w:t>substantial likelihood that, individually or in the aggregate, it would influence the judgment made by a reasonable user of the report on compliance about New Mexico Institute of Mining and Technology's compliance with the requirements of each major federal program as a </w:t>
      </w:r>
      <w:r>
        <w:rPr>
          <w:color w:val="231F20"/>
          <w:spacing w:val="-2"/>
        </w:rPr>
        <w:t>whole.</w:t>
      </w:r>
    </w:p>
    <w:p>
      <w:pPr>
        <w:spacing w:line="276" w:lineRule="auto" w:before="119"/>
        <w:ind w:left="1080" w:right="1027" w:firstLine="0"/>
        <w:jc w:val="left"/>
        <w:rPr>
          <w:sz w:val="20"/>
        </w:rPr>
      </w:pPr>
      <w:r>
        <w:rPr>
          <w:color w:val="231F20"/>
          <w:sz w:val="20"/>
        </w:rPr>
        <w:t>In</w:t>
      </w:r>
      <w:r>
        <w:rPr>
          <w:color w:val="231F20"/>
          <w:spacing w:val="-4"/>
          <w:sz w:val="20"/>
        </w:rPr>
        <w:t> </w:t>
      </w:r>
      <w:r>
        <w:rPr>
          <w:color w:val="231F20"/>
          <w:sz w:val="20"/>
        </w:rPr>
        <w:t>performing</w:t>
      </w:r>
      <w:r>
        <w:rPr>
          <w:color w:val="231F20"/>
          <w:spacing w:val="-4"/>
          <w:sz w:val="20"/>
        </w:rPr>
        <w:t> </w:t>
      </w:r>
      <w:r>
        <w:rPr>
          <w:color w:val="231F20"/>
          <w:sz w:val="20"/>
        </w:rPr>
        <w:t>an</w:t>
      </w:r>
      <w:r>
        <w:rPr>
          <w:color w:val="231F20"/>
          <w:spacing w:val="-4"/>
          <w:sz w:val="20"/>
        </w:rPr>
        <w:t> </w:t>
      </w:r>
      <w:r>
        <w:rPr>
          <w:color w:val="231F20"/>
          <w:sz w:val="20"/>
        </w:rPr>
        <w:t>audit</w:t>
      </w:r>
      <w:r>
        <w:rPr>
          <w:color w:val="231F20"/>
          <w:spacing w:val="-4"/>
          <w:sz w:val="20"/>
        </w:rPr>
        <w:t> </w:t>
      </w:r>
      <w:r>
        <w:rPr>
          <w:color w:val="231F20"/>
          <w:sz w:val="20"/>
        </w:rPr>
        <w:t>in</w:t>
      </w:r>
      <w:r>
        <w:rPr>
          <w:color w:val="231F20"/>
          <w:spacing w:val="-4"/>
          <w:sz w:val="20"/>
        </w:rPr>
        <w:t> </w:t>
      </w:r>
      <w:r>
        <w:rPr>
          <w:color w:val="231F20"/>
          <w:sz w:val="20"/>
        </w:rPr>
        <w:t>accordance</w:t>
      </w:r>
      <w:r>
        <w:rPr>
          <w:color w:val="231F20"/>
          <w:spacing w:val="-4"/>
          <w:sz w:val="20"/>
        </w:rPr>
        <w:t> </w:t>
      </w:r>
      <w:r>
        <w:rPr>
          <w:color w:val="231F20"/>
          <w:sz w:val="20"/>
        </w:rPr>
        <w:t>with</w:t>
      </w:r>
      <w:r>
        <w:rPr>
          <w:color w:val="231F20"/>
          <w:spacing w:val="-4"/>
          <w:sz w:val="20"/>
        </w:rPr>
        <w:t> </w:t>
      </w:r>
      <w:r>
        <w:rPr>
          <w:color w:val="231F20"/>
          <w:sz w:val="20"/>
        </w:rPr>
        <w:t>GAAS, </w:t>
      </w:r>
      <w:r>
        <w:rPr>
          <w:i/>
          <w:color w:val="231F20"/>
          <w:sz w:val="20"/>
        </w:rPr>
        <w:t>Government</w:t>
      </w:r>
      <w:r>
        <w:rPr>
          <w:i/>
          <w:color w:val="231F20"/>
          <w:spacing w:val="-4"/>
          <w:sz w:val="20"/>
        </w:rPr>
        <w:t> </w:t>
      </w:r>
      <w:r>
        <w:rPr>
          <w:i/>
          <w:color w:val="231F20"/>
          <w:sz w:val="20"/>
        </w:rPr>
        <w:t>Auditing</w:t>
      </w:r>
      <w:r>
        <w:rPr>
          <w:i/>
          <w:color w:val="231F20"/>
          <w:spacing w:val="-4"/>
          <w:sz w:val="20"/>
        </w:rPr>
        <w:t> </w:t>
      </w:r>
      <w:r>
        <w:rPr>
          <w:i/>
          <w:color w:val="231F20"/>
          <w:sz w:val="20"/>
        </w:rPr>
        <w:t>Standards,</w:t>
      </w:r>
      <w:r>
        <w:rPr>
          <w:i/>
          <w:color w:val="231F20"/>
          <w:spacing w:val="-4"/>
          <w:sz w:val="20"/>
        </w:rPr>
        <w:t> </w:t>
      </w:r>
      <w:r>
        <w:rPr>
          <w:color w:val="231F20"/>
          <w:sz w:val="20"/>
        </w:rPr>
        <w:t>and</w:t>
      </w:r>
      <w:r>
        <w:rPr>
          <w:color w:val="231F20"/>
          <w:spacing w:val="-4"/>
          <w:sz w:val="20"/>
        </w:rPr>
        <w:t> </w:t>
      </w:r>
      <w:r>
        <w:rPr>
          <w:color w:val="231F20"/>
          <w:sz w:val="20"/>
        </w:rPr>
        <w:t>the</w:t>
      </w:r>
      <w:r>
        <w:rPr>
          <w:color w:val="231F20"/>
          <w:spacing w:val="-4"/>
          <w:sz w:val="20"/>
        </w:rPr>
        <w:t> </w:t>
      </w:r>
      <w:r>
        <w:rPr>
          <w:color w:val="231F20"/>
          <w:sz w:val="20"/>
        </w:rPr>
        <w:t>Uniform Guidance, we</w:t>
      </w:r>
    </w:p>
    <w:p>
      <w:pPr>
        <w:pStyle w:val="ListParagraph"/>
        <w:numPr>
          <w:ilvl w:val="0"/>
          <w:numId w:val="14"/>
        </w:numPr>
        <w:tabs>
          <w:tab w:pos="1439" w:val="left" w:leader="none"/>
          <w:tab w:pos="1440" w:val="left" w:leader="none"/>
        </w:tabs>
        <w:spacing w:line="240" w:lineRule="auto" w:before="122" w:after="0"/>
        <w:ind w:left="1439" w:right="0" w:hanging="360"/>
        <w:jc w:val="left"/>
        <w:rPr>
          <w:sz w:val="20"/>
        </w:rPr>
      </w:pPr>
      <w:r>
        <w:rPr>
          <w:color w:val="231F20"/>
          <w:sz w:val="20"/>
        </w:rPr>
        <w:t>Exercise</w:t>
      </w:r>
      <w:r>
        <w:rPr>
          <w:color w:val="231F20"/>
          <w:spacing w:val="-10"/>
          <w:sz w:val="20"/>
        </w:rPr>
        <w:t> </w:t>
      </w:r>
      <w:r>
        <w:rPr>
          <w:color w:val="231F20"/>
          <w:sz w:val="20"/>
        </w:rPr>
        <w:t>professional</w:t>
      </w:r>
      <w:r>
        <w:rPr>
          <w:color w:val="231F20"/>
          <w:spacing w:val="-8"/>
          <w:sz w:val="20"/>
        </w:rPr>
        <w:t> </w:t>
      </w:r>
      <w:r>
        <w:rPr>
          <w:color w:val="231F20"/>
          <w:sz w:val="20"/>
        </w:rPr>
        <w:t>judgment</w:t>
      </w:r>
      <w:r>
        <w:rPr>
          <w:color w:val="231F20"/>
          <w:spacing w:val="-8"/>
          <w:sz w:val="20"/>
        </w:rPr>
        <w:t> </w:t>
      </w:r>
      <w:r>
        <w:rPr>
          <w:color w:val="231F20"/>
          <w:sz w:val="20"/>
        </w:rPr>
        <w:t>and</w:t>
      </w:r>
      <w:r>
        <w:rPr>
          <w:color w:val="231F20"/>
          <w:spacing w:val="-8"/>
          <w:sz w:val="20"/>
        </w:rPr>
        <w:t> </w:t>
      </w:r>
      <w:r>
        <w:rPr>
          <w:color w:val="231F20"/>
          <w:sz w:val="20"/>
        </w:rPr>
        <w:t>maintain</w:t>
      </w:r>
      <w:r>
        <w:rPr>
          <w:color w:val="231F20"/>
          <w:spacing w:val="-7"/>
          <w:sz w:val="20"/>
        </w:rPr>
        <w:t> </w:t>
      </w:r>
      <w:r>
        <w:rPr>
          <w:color w:val="231F20"/>
          <w:sz w:val="20"/>
        </w:rPr>
        <w:t>professional</w:t>
      </w:r>
      <w:r>
        <w:rPr>
          <w:color w:val="231F20"/>
          <w:spacing w:val="-7"/>
          <w:sz w:val="20"/>
        </w:rPr>
        <w:t> </w:t>
      </w:r>
      <w:r>
        <w:rPr>
          <w:color w:val="231F20"/>
          <w:sz w:val="20"/>
        </w:rPr>
        <w:t>skepticism</w:t>
      </w:r>
      <w:r>
        <w:rPr>
          <w:color w:val="231F20"/>
          <w:spacing w:val="-8"/>
          <w:sz w:val="20"/>
        </w:rPr>
        <w:t> </w:t>
      </w:r>
      <w:r>
        <w:rPr>
          <w:color w:val="231F20"/>
          <w:sz w:val="20"/>
        </w:rPr>
        <w:t>throughout</w:t>
      </w:r>
      <w:r>
        <w:rPr>
          <w:color w:val="231F20"/>
          <w:spacing w:val="-8"/>
          <w:sz w:val="20"/>
        </w:rPr>
        <w:t> </w:t>
      </w:r>
      <w:r>
        <w:rPr>
          <w:color w:val="231F20"/>
          <w:sz w:val="20"/>
        </w:rPr>
        <w:t>the</w:t>
      </w:r>
      <w:r>
        <w:rPr>
          <w:color w:val="231F20"/>
          <w:spacing w:val="-7"/>
          <w:sz w:val="20"/>
        </w:rPr>
        <w:t> </w:t>
      </w:r>
      <w:r>
        <w:rPr>
          <w:color w:val="231F20"/>
          <w:spacing w:val="-2"/>
          <w:sz w:val="20"/>
        </w:rPr>
        <w:t>audit.</w:t>
      </w:r>
    </w:p>
    <w:p>
      <w:pPr>
        <w:pStyle w:val="ListParagraph"/>
        <w:numPr>
          <w:ilvl w:val="0"/>
          <w:numId w:val="14"/>
        </w:numPr>
        <w:tabs>
          <w:tab w:pos="1439" w:val="left" w:leader="none"/>
          <w:tab w:pos="1440" w:val="left" w:leader="none"/>
        </w:tabs>
        <w:spacing w:line="276" w:lineRule="auto" w:before="152" w:after="0"/>
        <w:ind w:left="1439" w:right="1249" w:hanging="360"/>
        <w:jc w:val="left"/>
        <w:rPr>
          <w:sz w:val="20"/>
        </w:rPr>
      </w:pPr>
      <w:r>
        <w:rPr>
          <w:color w:val="231F20"/>
          <w:sz w:val="20"/>
        </w:rPr>
        <w:t>Identify and assess the risks of material noncompliance, whether due to fraud or error, and design and perform audit procedures responsive to those risks. Such procedures include examining,</w:t>
      </w:r>
      <w:r>
        <w:rPr>
          <w:color w:val="231F20"/>
          <w:spacing w:val="-4"/>
          <w:sz w:val="20"/>
        </w:rPr>
        <w:t> </w:t>
      </w:r>
      <w:r>
        <w:rPr>
          <w:color w:val="231F20"/>
          <w:sz w:val="20"/>
        </w:rPr>
        <w:t>on</w:t>
      </w:r>
      <w:r>
        <w:rPr>
          <w:color w:val="231F20"/>
          <w:spacing w:val="-4"/>
          <w:sz w:val="20"/>
        </w:rPr>
        <w:t> </w:t>
      </w:r>
      <w:r>
        <w:rPr>
          <w:color w:val="231F20"/>
          <w:sz w:val="20"/>
        </w:rPr>
        <w:t>a</w:t>
      </w:r>
      <w:r>
        <w:rPr>
          <w:color w:val="231F20"/>
          <w:spacing w:val="-4"/>
          <w:sz w:val="20"/>
        </w:rPr>
        <w:t> </w:t>
      </w:r>
      <w:r>
        <w:rPr>
          <w:color w:val="231F20"/>
          <w:sz w:val="20"/>
        </w:rPr>
        <w:t>test</w:t>
      </w:r>
      <w:r>
        <w:rPr>
          <w:color w:val="231F20"/>
          <w:spacing w:val="-4"/>
          <w:sz w:val="20"/>
        </w:rPr>
        <w:t> </w:t>
      </w:r>
      <w:r>
        <w:rPr>
          <w:color w:val="231F20"/>
          <w:sz w:val="20"/>
        </w:rPr>
        <w:t>basis,</w:t>
      </w:r>
      <w:r>
        <w:rPr>
          <w:color w:val="231F20"/>
          <w:spacing w:val="-4"/>
          <w:sz w:val="20"/>
        </w:rPr>
        <w:t> </w:t>
      </w:r>
      <w:r>
        <w:rPr>
          <w:color w:val="231F20"/>
          <w:sz w:val="20"/>
        </w:rPr>
        <w:t>evidence</w:t>
      </w:r>
      <w:r>
        <w:rPr>
          <w:color w:val="231F20"/>
          <w:spacing w:val="-4"/>
          <w:sz w:val="20"/>
        </w:rPr>
        <w:t> </w:t>
      </w:r>
      <w:r>
        <w:rPr>
          <w:color w:val="231F20"/>
          <w:sz w:val="20"/>
        </w:rPr>
        <w:t>regarding New</w:t>
      </w:r>
      <w:r>
        <w:rPr>
          <w:color w:val="231F20"/>
          <w:spacing w:val="-5"/>
          <w:sz w:val="20"/>
        </w:rPr>
        <w:t> </w:t>
      </w:r>
      <w:r>
        <w:rPr>
          <w:color w:val="231F20"/>
          <w:sz w:val="20"/>
        </w:rPr>
        <w:t>Mexico</w:t>
      </w:r>
      <w:r>
        <w:rPr>
          <w:color w:val="231F20"/>
          <w:spacing w:val="-4"/>
          <w:sz w:val="20"/>
        </w:rPr>
        <w:t> </w:t>
      </w:r>
      <w:r>
        <w:rPr>
          <w:color w:val="231F20"/>
          <w:sz w:val="20"/>
        </w:rPr>
        <w:t>Institute</w:t>
      </w:r>
      <w:r>
        <w:rPr>
          <w:color w:val="231F20"/>
          <w:spacing w:val="-4"/>
          <w:sz w:val="20"/>
        </w:rPr>
        <w:t> </w:t>
      </w:r>
      <w:r>
        <w:rPr>
          <w:color w:val="231F20"/>
          <w:sz w:val="20"/>
        </w:rPr>
        <w:t>of</w:t>
      </w:r>
      <w:r>
        <w:rPr>
          <w:color w:val="231F20"/>
          <w:spacing w:val="-4"/>
          <w:sz w:val="20"/>
        </w:rPr>
        <w:t> </w:t>
      </w:r>
      <w:r>
        <w:rPr>
          <w:color w:val="231F20"/>
          <w:sz w:val="20"/>
        </w:rPr>
        <w:t>Mining</w:t>
      </w:r>
      <w:r>
        <w:rPr>
          <w:color w:val="231F20"/>
          <w:spacing w:val="-4"/>
          <w:sz w:val="20"/>
        </w:rPr>
        <w:t> </w:t>
      </w:r>
      <w:r>
        <w:rPr>
          <w:color w:val="231F20"/>
          <w:sz w:val="20"/>
        </w:rPr>
        <w:t>and</w:t>
      </w:r>
      <w:r>
        <w:rPr>
          <w:color w:val="231F20"/>
          <w:spacing w:val="-4"/>
          <w:sz w:val="20"/>
        </w:rPr>
        <w:t> </w:t>
      </w:r>
      <w:r>
        <w:rPr>
          <w:color w:val="231F20"/>
          <w:sz w:val="20"/>
        </w:rPr>
        <w:t>Technology's compliance with the compliance requirements referred to above and performing such other procedures as we considered necessary in the circumstances.</w:t>
      </w:r>
    </w:p>
    <w:p>
      <w:pPr>
        <w:pStyle w:val="ListParagraph"/>
        <w:numPr>
          <w:ilvl w:val="0"/>
          <w:numId w:val="14"/>
        </w:numPr>
        <w:tabs>
          <w:tab w:pos="1439" w:val="left" w:leader="none"/>
          <w:tab w:pos="1440" w:val="left" w:leader="none"/>
        </w:tabs>
        <w:spacing w:line="276" w:lineRule="auto" w:before="117" w:after="0"/>
        <w:ind w:left="1440" w:right="1150" w:hanging="361"/>
        <w:jc w:val="left"/>
        <w:rPr>
          <w:sz w:val="20"/>
        </w:rPr>
      </w:pPr>
      <w:r>
        <w:rPr>
          <w:color w:val="231F20"/>
          <w:sz w:val="20"/>
        </w:rPr>
        <w:t>Obtain</w:t>
      </w:r>
      <w:r>
        <w:rPr>
          <w:color w:val="231F20"/>
          <w:spacing w:val="-4"/>
          <w:sz w:val="20"/>
        </w:rPr>
        <w:t> </w:t>
      </w:r>
      <w:r>
        <w:rPr>
          <w:color w:val="231F20"/>
          <w:sz w:val="20"/>
        </w:rPr>
        <w:t>an</w:t>
      </w:r>
      <w:r>
        <w:rPr>
          <w:color w:val="231F20"/>
          <w:spacing w:val="-4"/>
          <w:sz w:val="20"/>
        </w:rPr>
        <w:t> </w:t>
      </w:r>
      <w:r>
        <w:rPr>
          <w:color w:val="231F20"/>
          <w:sz w:val="20"/>
        </w:rPr>
        <w:t>understanding</w:t>
      </w:r>
      <w:r>
        <w:rPr>
          <w:color w:val="231F20"/>
          <w:spacing w:val="-4"/>
          <w:sz w:val="20"/>
        </w:rPr>
        <w:t> </w:t>
      </w:r>
      <w:r>
        <w:rPr>
          <w:color w:val="231F20"/>
          <w:sz w:val="20"/>
        </w:rPr>
        <w:t>of</w:t>
      </w:r>
      <w:r>
        <w:rPr>
          <w:color w:val="231F20"/>
          <w:spacing w:val="-4"/>
          <w:sz w:val="20"/>
        </w:rPr>
        <w:t> </w:t>
      </w:r>
      <w:r>
        <w:rPr>
          <w:color w:val="231F20"/>
          <w:sz w:val="20"/>
        </w:rPr>
        <w:t>New</w:t>
      </w:r>
      <w:r>
        <w:rPr>
          <w:color w:val="231F20"/>
          <w:spacing w:val="-4"/>
          <w:sz w:val="20"/>
        </w:rPr>
        <w:t> </w:t>
      </w:r>
      <w:r>
        <w:rPr>
          <w:color w:val="231F20"/>
          <w:sz w:val="20"/>
        </w:rPr>
        <w:t>Mexico</w:t>
      </w:r>
      <w:r>
        <w:rPr>
          <w:color w:val="231F20"/>
          <w:spacing w:val="-5"/>
          <w:sz w:val="20"/>
        </w:rPr>
        <w:t> </w:t>
      </w:r>
      <w:r>
        <w:rPr>
          <w:color w:val="231F20"/>
          <w:sz w:val="20"/>
        </w:rPr>
        <w:t>Institute</w:t>
      </w:r>
      <w:r>
        <w:rPr>
          <w:color w:val="231F20"/>
          <w:spacing w:val="-4"/>
          <w:sz w:val="20"/>
        </w:rPr>
        <w:t> </w:t>
      </w:r>
      <w:r>
        <w:rPr>
          <w:color w:val="231F20"/>
          <w:sz w:val="20"/>
        </w:rPr>
        <w:t>of</w:t>
      </w:r>
      <w:r>
        <w:rPr>
          <w:color w:val="231F20"/>
          <w:spacing w:val="-2"/>
          <w:sz w:val="20"/>
        </w:rPr>
        <w:t> </w:t>
      </w:r>
      <w:r>
        <w:rPr>
          <w:color w:val="231F20"/>
          <w:sz w:val="20"/>
        </w:rPr>
        <w:t>Mining</w:t>
      </w:r>
      <w:r>
        <w:rPr>
          <w:color w:val="231F20"/>
          <w:spacing w:val="-4"/>
          <w:sz w:val="20"/>
        </w:rPr>
        <w:t> </w:t>
      </w:r>
      <w:r>
        <w:rPr>
          <w:color w:val="231F20"/>
          <w:sz w:val="20"/>
        </w:rPr>
        <w:t>and</w:t>
      </w:r>
      <w:r>
        <w:rPr>
          <w:color w:val="231F20"/>
          <w:spacing w:val="-4"/>
          <w:sz w:val="20"/>
        </w:rPr>
        <w:t> </w:t>
      </w:r>
      <w:r>
        <w:rPr>
          <w:color w:val="231F20"/>
          <w:sz w:val="20"/>
        </w:rPr>
        <w:t>Technology's</w:t>
      </w:r>
      <w:r>
        <w:rPr>
          <w:color w:val="231F20"/>
          <w:spacing w:val="-4"/>
          <w:sz w:val="20"/>
        </w:rPr>
        <w:t> </w:t>
      </w:r>
      <w:r>
        <w:rPr>
          <w:color w:val="231F20"/>
          <w:sz w:val="20"/>
        </w:rPr>
        <w:t>internal</w:t>
      </w:r>
      <w:r>
        <w:rPr>
          <w:color w:val="231F20"/>
          <w:spacing w:val="-4"/>
          <w:sz w:val="20"/>
        </w:rPr>
        <w:t> </w:t>
      </w:r>
      <w:r>
        <w:rPr>
          <w:color w:val="231F20"/>
          <w:sz w:val="20"/>
        </w:rPr>
        <w:t>control</w:t>
      </w:r>
      <w:r>
        <w:rPr>
          <w:color w:val="231F20"/>
          <w:spacing w:val="-4"/>
          <w:sz w:val="20"/>
        </w:rPr>
        <w:t> </w:t>
      </w:r>
      <w:r>
        <w:rPr>
          <w:color w:val="231F20"/>
          <w:sz w:val="20"/>
        </w:rPr>
        <w:t>over compliance relevant to the audit in order to design audit procedures that are appropriate in the circumstances and to test and report on internal control over compliance in accordance with the Uniform Guidance, but not for the purpose of expressing an opinion on the effectiveness of New Mexico Institute of Mining and Technology's internal control over compliance. Accordingly, no such opinion is expressed.</w:t>
      </w:r>
    </w:p>
    <w:p>
      <w:pPr>
        <w:pStyle w:val="BodyText"/>
        <w:spacing w:line="276" w:lineRule="auto" w:before="114"/>
        <w:ind w:left="1080" w:right="1293"/>
      </w:pPr>
      <w:r>
        <w:rPr>
          <w:color w:val="231F20"/>
        </w:rPr>
        <w:t>We are required to communicate with those charged with governance regarding, among other matters,</w:t>
      </w:r>
      <w:r>
        <w:rPr>
          <w:color w:val="231F20"/>
          <w:spacing w:val="-4"/>
        </w:rPr>
        <w:t> </w:t>
      </w:r>
      <w:r>
        <w:rPr>
          <w:color w:val="231F20"/>
        </w:rPr>
        <w:t>the</w:t>
      </w:r>
      <w:r>
        <w:rPr>
          <w:color w:val="231F20"/>
          <w:spacing w:val="-4"/>
        </w:rPr>
        <w:t> </w:t>
      </w:r>
      <w:r>
        <w:rPr>
          <w:color w:val="231F20"/>
        </w:rPr>
        <w:t>planned</w:t>
      </w:r>
      <w:r>
        <w:rPr>
          <w:color w:val="231F20"/>
          <w:spacing w:val="-4"/>
        </w:rPr>
        <w:t> </w:t>
      </w:r>
      <w:r>
        <w:rPr>
          <w:color w:val="231F20"/>
        </w:rPr>
        <w:t>scope</w:t>
      </w:r>
      <w:r>
        <w:rPr>
          <w:color w:val="231F20"/>
          <w:spacing w:val="-4"/>
        </w:rPr>
        <w:t> </w:t>
      </w:r>
      <w:r>
        <w:rPr>
          <w:color w:val="231F20"/>
        </w:rPr>
        <w:t>and</w:t>
      </w:r>
      <w:r>
        <w:rPr>
          <w:color w:val="231F20"/>
          <w:spacing w:val="-4"/>
        </w:rPr>
        <w:t> </w:t>
      </w:r>
      <w:r>
        <w:rPr>
          <w:color w:val="231F20"/>
        </w:rPr>
        <w:t>timing</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audit</w:t>
      </w:r>
      <w:r>
        <w:rPr>
          <w:color w:val="231F20"/>
          <w:spacing w:val="-4"/>
        </w:rPr>
        <w:t> </w:t>
      </w:r>
      <w:r>
        <w:rPr>
          <w:color w:val="231F20"/>
        </w:rPr>
        <w:t>and</w:t>
      </w:r>
      <w:r>
        <w:rPr>
          <w:color w:val="231F20"/>
          <w:spacing w:val="-4"/>
        </w:rPr>
        <w:t> </w:t>
      </w:r>
      <w:r>
        <w:rPr>
          <w:color w:val="231F20"/>
        </w:rPr>
        <w:t>any</w:t>
      </w:r>
      <w:r>
        <w:rPr>
          <w:color w:val="231F20"/>
          <w:spacing w:val="-4"/>
        </w:rPr>
        <w:t> </w:t>
      </w:r>
      <w:r>
        <w:rPr>
          <w:color w:val="231F20"/>
        </w:rPr>
        <w:t>significant</w:t>
      </w:r>
      <w:r>
        <w:rPr>
          <w:color w:val="231F20"/>
          <w:spacing w:val="-4"/>
        </w:rPr>
        <w:t> </w:t>
      </w:r>
      <w:r>
        <w:rPr>
          <w:color w:val="231F20"/>
        </w:rPr>
        <w:t>deficiencies</w:t>
      </w:r>
      <w:r>
        <w:rPr>
          <w:color w:val="231F20"/>
          <w:spacing w:val="-4"/>
        </w:rPr>
        <w:t> </w:t>
      </w:r>
      <w:r>
        <w:rPr>
          <w:color w:val="231F20"/>
        </w:rPr>
        <w:t>and</w:t>
      </w:r>
      <w:r>
        <w:rPr>
          <w:color w:val="231F20"/>
          <w:spacing w:val="-4"/>
        </w:rPr>
        <w:t> </w:t>
      </w:r>
      <w:r>
        <w:rPr>
          <w:color w:val="231F20"/>
        </w:rPr>
        <w:t>material weaknesses in internal control over compliance that we identified during the audit.</w:t>
      </w:r>
    </w:p>
    <w:p>
      <w:pPr>
        <w:spacing w:before="122"/>
        <w:ind w:left="1080" w:right="0" w:firstLine="0"/>
        <w:jc w:val="left"/>
        <w:rPr>
          <w:rFonts w:ascii="Georgia"/>
          <w:b/>
          <w:i/>
          <w:sz w:val="19"/>
        </w:rPr>
      </w:pPr>
      <w:r>
        <w:rPr>
          <w:rFonts w:ascii="Georgia"/>
          <w:b/>
          <w:i/>
          <w:color w:val="231F20"/>
          <w:sz w:val="19"/>
        </w:rPr>
        <w:t>Other</w:t>
      </w:r>
      <w:r>
        <w:rPr>
          <w:rFonts w:ascii="Georgia"/>
          <w:b/>
          <w:i/>
          <w:color w:val="231F20"/>
          <w:spacing w:val="-7"/>
          <w:sz w:val="19"/>
        </w:rPr>
        <w:t> </w:t>
      </w:r>
      <w:r>
        <w:rPr>
          <w:rFonts w:ascii="Georgia"/>
          <w:b/>
          <w:i/>
          <w:color w:val="231F20"/>
          <w:spacing w:val="-2"/>
          <w:sz w:val="19"/>
        </w:rPr>
        <w:t>Matters</w:t>
      </w:r>
    </w:p>
    <w:p>
      <w:pPr>
        <w:pStyle w:val="BodyText"/>
        <w:spacing w:line="276" w:lineRule="auto" w:before="151"/>
        <w:ind w:left="1080" w:right="1027"/>
      </w:pPr>
      <w:r>
        <w:rPr>
          <w:color w:val="231F20"/>
        </w:rPr>
        <w:t>The</w:t>
      </w:r>
      <w:r>
        <w:rPr>
          <w:color w:val="231F20"/>
          <w:spacing w:val="-3"/>
        </w:rPr>
        <w:t> </w:t>
      </w:r>
      <w:r>
        <w:rPr>
          <w:color w:val="231F20"/>
        </w:rPr>
        <w:t>results</w:t>
      </w:r>
      <w:r>
        <w:rPr>
          <w:color w:val="231F20"/>
          <w:spacing w:val="-3"/>
        </w:rPr>
        <w:t> </w:t>
      </w:r>
      <w:r>
        <w:rPr>
          <w:color w:val="231F20"/>
        </w:rPr>
        <w:t>of</w:t>
      </w:r>
      <w:r>
        <w:rPr>
          <w:color w:val="231F20"/>
          <w:spacing w:val="-3"/>
        </w:rPr>
        <w:t> </w:t>
      </w:r>
      <w:r>
        <w:rPr>
          <w:color w:val="231F20"/>
        </w:rPr>
        <w:t>our</w:t>
      </w:r>
      <w:r>
        <w:rPr>
          <w:color w:val="231F20"/>
          <w:spacing w:val="-3"/>
        </w:rPr>
        <w:t> </w:t>
      </w:r>
      <w:r>
        <w:rPr>
          <w:color w:val="231F20"/>
        </w:rPr>
        <w:t>auditing</w:t>
      </w:r>
      <w:r>
        <w:rPr>
          <w:color w:val="231F20"/>
          <w:spacing w:val="-3"/>
        </w:rPr>
        <w:t> </w:t>
      </w:r>
      <w:r>
        <w:rPr>
          <w:color w:val="231F20"/>
        </w:rPr>
        <w:t>procedures</w:t>
      </w:r>
      <w:r>
        <w:rPr>
          <w:color w:val="231F20"/>
          <w:spacing w:val="-3"/>
        </w:rPr>
        <w:t> </w:t>
      </w:r>
      <w:r>
        <w:rPr>
          <w:color w:val="231F20"/>
        </w:rPr>
        <w:t>disclosed</w:t>
      </w:r>
      <w:r>
        <w:rPr>
          <w:color w:val="231F20"/>
          <w:spacing w:val="-3"/>
        </w:rPr>
        <w:t> </w:t>
      </w:r>
      <w:r>
        <w:rPr>
          <w:color w:val="231F20"/>
        </w:rPr>
        <w:t>instances</w:t>
      </w:r>
      <w:r>
        <w:rPr>
          <w:color w:val="231F20"/>
          <w:spacing w:val="-3"/>
        </w:rPr>
        <w:t> </w:t>
      </w:r>
      <w:r>
        <w:rPr>
          <w:color w:val="231F20"/>
        </w:rPr>
        <w:t>of</w:t>
      </w:r>
      <w:r>
        <w:rPr>
          <w:color w:val="231F20"/>
          <w:spacing w:val="-3"/>
        </w:rPr>
        <w:t> </w:t>
      </w:r>
      <w:r>
        <w:rPr>
          <w:color w:val="231F20"/>
        </w:rPr>
        <w:t>noncompliance</w:t>
      </w:r>
      <w:r>
        <w:rPr>
          <w:color w:val="231F20"/>
          <w:spacing w:val="-4"/>
        </w:rPr>
        <w:t> </w:t>
      </w:r>
      <w:r>
        <w:rPr>
          <w:color w:val="231F20"/>
        </w:rPr>
        <w:t>which</w:t>
      </w:r>
      <w:r>
        <w:rPr>
          <w:color w:val="231F20"/>
          <w:spacing w:val="-3"/>
        </w:rPr>
        <w:t> </w:t>
      </w:r>
      <w:r>
        <w:rPr>
          <w:color w:val="231F20"/>
        </w:rPr>
        <w:t>are</w:t>
      </w:r>
      <w:r>
        <w:rPr>
          <w:color w:val="231F20"/>
          <w:spacing w:val="-3"/>
        </w:rPr>
        <w:t> </w:t>
      </w:r>
      <w:r>
        <w:rPr>
          <w:color w:val="231F20"/>
        </w:rPr>
        <w:t>required</w:t>
      </w:r>
      <w:r>
        <w:rPr>
          <w:color w:val="231F20"/>
          <w:spacing w:val="-3"/>
        </w:rPr>
        <w:t> </w:t>
      </w:r>
      <w:r>
        <w:rPr>
          <w:color w:val="231F20"/>
        </w:rPr>
        <w:t>to</w:t>
      </w:r>
      <w:r>
        <w:rPr>
          <w:color w:val="231F20"/>
          <w:spacing w:val="-3"/>
        </w:rPr>
        <w:t> </w:t>
      </w:r>
      <w:r>
        <w:rPr>
          <w:color w:val="231F20"/>
        </w:rPr>
        <w:t>be reported in accordance with the Uniform Guidance and which are described in the accompanying schedule of findings and questioned costs as item 2022-003. Our opinion on each major federal program is not modified with respect to these matters.</w:t>
      </w:r>
    </w:p>
    <w:p>
      <w:pPr>
        <w:pStyle w:val="BodyText"/>
        <w:spacing w:line="276" w:lineRule="auto" w:before="120"/>
        <w:ind w:left="1080" w:right="1027"/>
      </w:pPr>
      <w:r>
        <w:rPr>
          <w:i/>
          <w:color w:val="231F20"/>
        </w:rPr>
        <w:t>Government Auditing Standards </w:t>
      </w:r>
      <w:r>
        <w:rPr>
          <w:color w:val="231F20"/>
        </w:rPr>
        <w:t>requires the auditor to perform limited procedures on New Mexico Institute of Mining and Technology's response to the noncompliance findings identified in our audit described in the accompanying schedule of findings and questioned costs. New Mexico Institute of Mining</w:t>
      </w:r>
      <w:r>
        <w:rPr>
          <w:color w:val="231F20"/>
          <w:spacing w:val="-3"/>
        </w:rPr>
        <w:t> </w:t>
      </w:r>
      <w:r>
        <w:rPr>
          <w:color w:val="231F20"/>
        </w:rPr>
        <w:t>and</w:t>
      </w:r>
      <w:r>
        <w:rPr>
          <w:color w:val="231F20"/>
          <w:spacing w:val="-3"/>
        </w:rPr>
        <w:t> </w:t>
      </w:r>
      <w:r>
        <w:rPr>
          <w:color w:val="231F20"/>
        </w:rPr>
        <w:t>Technology's</w:t>
      </w:r>
      <w:r>
        <w:rPr>
          <w:color w:val="231F20"/>
          <w:spacing w:val="-3"/>
        </w:rPr>
        <w:t> </w:t>
      </w:r>
      <w:r>
        <w:rPr>
          <w:color w:val="231F20"/>
        </w:rPr>
        <w:t>response</w:t>
      </w:r>
      <w:r>
        <w:rPr>
          <w:color w:val="231F20"/>
          <w:spacing w:val="-3"/>
        </w:rPr>
        <w:t> </w:t>
      </w:r>
      <w:r>
        <w:rPr>
          <w:color w:val="231F20"/>
        </w:rPr>
        <w:t>was</w:t>
      </w:r>
      <w:r>
        <w:rPr>
          <w:color w:val="231F20"/>
          <w:spacing w:val="-4"/>
        </w:rPr>
        <w:t> </w:t>
      </w:r>
      <w:r>
        <w:rPr>
          <w:color w:val="231F20"/>
        </w:rPr>
        <w:t>not</w:t>
      </w:r>
      <w:r>
        <w:rPr>
          <w:color w:val="231F20"/>
          <w:spacing w:val="-3"/>
        </w:rPr>
        <w:t> </w:t>
      </w:r>
      <w:r>
        <w:rPr>
          <w:color w:val="231F20"/>
        </w:rPr>
        <w:t>subjected</w:t>
      </w:r>
      <w:r>
        <w:rPr>
          <w:color w:val="231F20"/>
          <w:spacing w:val="-4"/>
        </w:rPr>
        <w:t> </w:t>
      </w:r>
      <w:r>
        <w:rPr>
          <w:color w:val="231F20"/>
        </w:rPr>
        <w:t>to</w:t>
      </w:r>
      <w:r>
        <w:rPr>
          <w:color w:val="231F20"/>
          <w:spacing w:val="-3"/>
        </w:rPr>
        <w:t> </w:t>
      </w:r>
      <w:r>
        <w:rPr>
          <w:color w:val="231F20"/>
        </w:rPr>
        <w:t>the</w:t>
      </w:r>
      <w:r>
        <w:rPr>
          <w:color w:val="231F20"/>
          <w:spacing w:val="-3"/>
        </w:rPr>
        <w:t> </w:t>
      </w:r>
      <w:r>
        <w:rPr>
          <w:color w:val="231F20"/>
        </w:rPr>
        <w:t>other</w:t>
      </w:r>
      <w:r>
        <w:rPr>
          <w:color w:val="231F20"/>
          <w:spacing w:val="-3"/>
        </w:rPr>
        <w:t> </w:t>
      </w:r>
      <w:r>
        <w:rPr>
          <w:color w:val="231F20"/>
        </w:rPr>
        <w:t>auditing</w:t>
      </w:r>
      <w:r>
        <w:rPr>
          <w:color w:val="231F20"/>
          <w:spacing w:val="-3"/>
        </w:rPr>
        <w:t> </w:t>
      </w:r>
      <w:r>
        <w:rPr>
          <w:color w:val="231F20"/>
        </w:rPr>
        <w:t>procedures</w:t>
      </w:r>
      <w:r>
        <w:rPr>
          <w:color w:val="231F20"/>
          <w:spacing w:val="-3"/>
        </w:rPr>
        <w:t> </w:t>
      </w:r>
      <w:r>
        <w:rPr>
          <w:color w:val="231F20"/>
        </w:rPr>
        <w:t>applied</w:t>
      </w:r>
      <w:r>
        <w:rPr>
          <w:color w:val="231F20"/>
          <w:spacing w:val="-3"/>
        </w:rPr>
        <w:t> </w:t>
      </w:r>
      <w:r>
        <w:rPr>
          <w:color w:val="231F20"/>
        </w:rPr>
        <w:t>in</w:t>
      </w:r>
      <w:r>
        <w:rPr>
          <w:color w:val="231F20"/>
          <w:spacing w:val="-3"/>
        </w:rPr>
        <w:t> </w:t>
      </w:r>
      <w:r>
        <w:rPr>
          <w:color w:val="231F20"/>
        </w:rPr>
        <w:t>the audit of compliance and, accordingly, we express no opinion on the response.</w:t>
      </w:r>
    </w:p>
    <w:p>
      <w:pPr>
        <w:spacing w:after="0" w:line="276" w:lineRule="auto"/>
        <w:sectPr>
          <w:headerReference w:type="default" r:id="rId80"/>
          <w:footerReference w:type="default" r:id="rId81"/>
          <w:pgSz w:w="12240" w:h="15840"/>
          <w:pgMar w:header="0" w:footer="743" w:top="1480" w:bottom="940" w:left="540" w:right="500"/>
        </w:sectPr>
      </w:pPr>
    </w:p>
    <w:p>
      <w:pPr>
        <w:pStyle w:val="Heading4"/>
        <w:spacing w:before="80"/>
        <w:ind w:left="1079"/>
        <w:rPr>
          <w:rFonts w:ascii="Georgia"/>
        </w:rPr>
      </w:pPr>
      <w:r>
        <w:rPr>
          <w:rFonts w:ascii="Georgia"/>
          <w:color w:val="231F20"/>
        </w:rPr>
        <w:t>Report</w:t>
      </w:r>
      <w:r>
        <w:rPr>
          <w:rFonts w:ascii="Georgia"/>
          <w:color w:val="231F20"/>
          <w:spacing w:val="-3"/>
        </w:rPr>
        <w:t> </w:t>
      </w:r>
      <w:r>
        <w:rPr>
          <w:rFonts w:ascii="Georgia"/>
          <w:color w:val="231F20"/>
        </w:rPr>
        <w:t>on</w:t>
      </w:r>
      <w:r>
        <w:rPr>
          <w:rFonts w:ascii="Georgia"/>
          <w:color w:val="231F20"/>
          <w:spacing w:val="-3"/>
        </w:rPr>
        <w:t> </w:t>
      </w:r>
      <w:r>
        <w:rPr>
          <w:rFonts w:ascii="Georgia"/>
          <w:color w:val="231F20"/>
        </w:rPr>
        <w:t>Internal</w:t>
      </w:r>
      <w:r>
        <w:rPr>
          <w:rFonts w:ascii="Georgia"/>
          <w:color w:val="231F20"/>
          <w:spacing w:val="-2"/>
        </w:rPr>
        <w:t> </w:t>
      </w:r>
      <w:r>
        <w:rPr>
          <w:rFonts w:ascii="Georgia"/>
          <w:color w:val="231F20"/>
        </w:rPr>
        <w:t>Control</w:t>
      </w:r>
      <w:r>
        <w:rPr>
          <w:rFonts w:ascii="Georgia"/>
          <w:color w:val="231F20"/>
          <w:spacing w:val="-3"/>
        </w:rPr>
        <w:t> </w:t>
      </w:r>
      <w:r>
        <w:rPr>
          <w:rFonts w:ascii="Georgia"/>
          <w:color w:val="231F20"/>
        </w:rPr>
        <w:t>Over</w:t>
      </w:r>
      <w:r>
        <w:rPr>
          <w:rFonts w:ascii="Georgia"/>
          <w:color w:val="231F20"/>
          <w:spacing w:val="-2"/>
        </w:rPr>
        <w:t> Compliance</w:t>
      </w:r>
    </w:p>
    <w:p>
      <w:pPr>
        <w:pStyle w:val="BodyText"/>
        <w:spacing w:line="276" w:lineRule="auto" w:before="154"/>
        <w:ind w:left="1079" w:right="1195"/>
      </w:pPr>
      <w:r>
        <w:rPr>
          <w:color w:val="231F20"/>
        </w:rPr>
        <w:t>Our consideration of internal control over compliance was for the limited purpose described in the Auditor’s</w:t>
      </w:r>
      <w:r>
        <w:rPr>
          <w:color w:val="231F20"/>
          <w:spacing w:val="-3"/>
        </w:rPr>
        <w:t> </w:t>
      </w:r>
      <w:r>
        <w:rPr>
          <w:color w:val="231F20"/>
        </w:rPr>
        <w:t>Responsibilities</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Audit</w:t>
      </w:r>
      <w:r>
        <w:rPr>
          <w:color w:val="231F20"/>
          <w:spacing w:val="-3"/>
        </w:rPr>
        <w:t> </w:t>
      </w:r>
      <w:r>
        <w:rPr>
          <w:color w:val="231F20"/>
        </w:rPr>
        <w:t>of</w:t>
      </w:r>
      <w:r>
        <w:rPr>
          <w:color w:val="231F20"/>
          <w:spacing w:val="-3"/>
        </w:rPr>
        <w:t> </w:t>
      </w:r>
      <w:r>
        <w:rPr>
          <w:color w:val="231F20"/>
        </w:rPr>
        <w:t>Compliance</w:t>
      </w:r>
      <w:r>
        <w:rPr>
          <w:color w:val="231F20"/>
          <w:spacing w:val="-4"/>
        </w:rPr>
        <w:t> </w:t>
      </w:r>
      <w:r>
        <w:rPr>
          <w:color w:val="231F20"/>
        </w:rPr>
        <w:t>section</w:t>
      </w:r>
      <w:r>
        <w:rPr>
          <w:color w:val="231F20"/>
          <w:spacing w:val="-3"/>
        </w:rPr>
        <w:t> </w:t>
      </w:r>
      <w:r>
        <w:rPr>
          <w:color w:val="231F20"/>
        </w:rPr>
        <w:t>above</w:t>
      </w:r>
      <w:r>
        <w:rPr>
          <w:color w:val="231F20"/>
          <w:spacing w:val="-3"/>
        </w:rPr>
        <w:t> </w:t>
      </w:r>
      <w:r>
        <w:rPr>
          <w:color w:val="231F20"/>
        </w:rPr>
        <w:t>and</w:t>
      </w:r>
      <w:r>
        <w:rPr>
          <w:color w:val="231F20"/>
          <w:spacing w:val="-3"/>
        </w:rPr>
        <w:t> </w:t>
      </w:r>
      <w:r>
        <w:rPr>
          <w:color w:val="231F20"/>
        </w:rPr>
        <w:t>was</w:t>
      </w:r>
      <w:r>
        <w:rPr>
          <w:color w:val="231F20"/>
          <w:spacing w:val="-3"/>
        </w:rPr>
        <w:t> </w:t>
      </w:r>
      <w:r>
        <w:rPr>
          <w:color w:val="231F20"/>
        </w:rPr>
        <w:t>not</w:t>
      </w:r>
      <w:r>
        <w:rPr>
          <w:color w:val="231F20"/>
          <w:spacing w:val="-3"/>
        </w:rPr>
        <w:t> </w:t>
      </w:r>
      <w:r>
        <w:rPr>
          <w:color w:val="231F20"/>
        </w:rPr>
        <w:t>designed</w:t>
      </w:r>
      <w:r>
        <w:rPr>
          <w:color w:val="231F20"/>
          <w:spacing w:val="-3"/>
        </w:rPr>
        <w:t> </w:t>
      </w:r>
      <w:r>
        <w:rPr>
          <w:color w:val="231F20"/>
        </w:rPr>
        <w:t>to</w:t>
      </w:r>
      <w:r>
        <w:rPr>
          <w:color w:val="231F20"/>
          <w:spacing w:val="-3"/>
        </w:rPr>
        <w:t> </w:t>
      </w:r>
      <w:r>
        <w:rPr>
          <w:color w:val="231F20"/>
        </w:rPr>
        <w:t>identify all deficiencies in internal control over compliance that might be material weaknesses or significant deficiencies in internal control over compliance and therefore, material weaknesses or significant deficiencies may exist that were not identified. We did not identify any deficiencies in internal control over compliance that we consider to be material weaknesses. However, as discussed below, we did identify certain deficiencies in internal control over compliance that we consider to be significant </w:t>
      </w:r>
      <w:r>
        <w:rPr>
          <w:color w:val="231F20"/>
          <w:spacing w:val="-2"/>
        </w:rPr>
        <w:t>deficiencies.</w:t>
      </w:r>
    </w:p>
    <w:p>
      <w:pPr>
        <w:pStyle w:val="BodyText"/>
        <w:spacing w:line="276" w:lineRule="auto" w:before="119"/>
        <w:ind w:left="1079" w:right="1195"/>
      </w:pPr>
      <w:r>
        <w:rPr>
          <w:color w:val="231F20"/>
        </w:rPr>
        <w:t>A</w:t>
      </w:r>
      <w:r>
        <w:rPr>
          <w:color w:val="231F20"/>
          <w:spacing w:val="-3"/>
        </w:rPr>
        <w:t> </w:t>
      </w:r>
      <w:r>
        <w:rPr>
          <w:i/>
          <w:color w:val="231F20"/>
        </w:rPr>
        <w:t>deficiency</w:t>
      </w:r>
      <w:r>
        <w:rPr>
          <w:i/>
          <w:color w:val="231F20"/>
          <w:spacing w:val="-3"/>
        </w:rPr>
        <w:t> </w:t>
      </w:r>
      <w:r>
        <w:rPr>
          <w:i/>
          <w:color w:val="231F20"/>
        </w:rPr>
        <w:t>in</w:t>
      </w:r>
      <w:r>
        <w:rPr>
          <w:i/>
          <w:color w:val="231F20"/>
          <w:spacing w:val="-3"/>
        </w:rPr>
        <w:t> </w:t>
      </w:r>
      <w:r>
        <w:rPr>
          <w:i/>
          <w:color w:val="231F20"/>
        </w:rPr>
        <w:t>internal</w:t>
      </w:r>
      <w:r>
        <w:rPr>
          <w:i/>
          <w:color w:val="231F20"/>
          <w:spacing w:val="-4"/>
        </w:rPr>
        <w:t> </w:t>
      </w:r>
      <w:r>
        <w:rPr>
          <w:i/>
          <w:color w:val="231F20"/>
        </w:rPr>
        <w:t>control</w:t>
      </w:r>
      <w:r>
        <w:rPr>
          <w:i/>
          <w:color w:val="231F20"/>
          <w:spacing w:val="-3"/>
        </w:rPr>
        <w:t> </w:t>
      </w:r>
      <w:r>
        <w:rPr>
          <w:i/>
          <w:color w:val="231F20"/>
        </w:rPr>
        <w:t>over</w:t>
      </w:r>
      <w:r>
        <w:rPr>
          <w:i/>
          <w:color w:val="231F20"/>
          <w:spacing w:val="-3"/>
        </w:rPr>
        <w:t> </w:t>
      </w:r>
      <w:r>
        <w:rPr>
          <w:i/>
          <w:color w:val="231F20"/>
        </w:rPr>
        <w:t>compliance </w:t>
      </w:r>
      <w:r>
        <w:rPr>
          <w:color w:val="231F20"/>
        </w:rPr>
        <w:t>exists</w:t>
      </w:r>
      <w:r>
        <w:rPr>
          <w:color w:val="231F20"/>
          <w:spacing w:val="-3"/>
        </w:rPr>
        <w:t> </w:t>
      </w:r>
      <w:r>
        <w:rPr>
          <w:color w:val="231F20"/>
        </w:rPr>
        <w:t>when</w:t>
      </w:r>
      <w:r>
        <w:rPr>
          <w:color w:val="231F20"/>
          <w:spacing w:val="-3"/>
        </w:rPr>
        <w:t> </w:t>
      </w:r>
      <w:r>
        <w:rPr>
          <w:color w:val="231F20"/>
        </w:rPr>
        <w:t>the</w:t>
      </w:r>
      <w:r>
        <w:rPr>
          <w:color w:val="231F20"/>
          <w:spacing w:val="-3"/>
        </w:rPr>
        <w:t> </w:t>
      </w:r>
      <w:r>
        <w:rPr>
          <w:color w:val="231F20"/>
        </w:rPr>
        <w:t>design</w:t>
      </w:r>
      <w:r>
        <w:rPr>
          <w:color w:val="231F20"/>
          <w:spacing w:val="-3"/>
        </w:rPr>
        <w:t> </w:t>
      </w:r>
      <w:r>
        <w:rPr>
          <w:color w:val="231F20"/>
        </w:rPr>
        <w:t>or</w:t>
      </w:r>
      <w:r>
        <w:rPr>
          <w:color w:val="231F20"/>
          <w:spacing w:val="-2"/>
        </w:rPr>
        <w:t> </w:t>
      </w:r>
      <w:r>
        <w:rPr>
          <w:color w:val="231F20"/>
        </w:rPr>
        <w:t>operation</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control</w:t>
      </w:r>
      <w:r>
        <w:rPr>
          <w:color w:val="231F20"/>
          <w:spacing w:val="-3"/>
        </w:rPr>
        <w:t> </w:t>
      </w:r>
      <w:r>
        <w:rPr>
          <w:color w:val="231F20"/>
        </w:rPr>
        <w:t>over compliance does not allow management or employees, in the normal course of performing their assigned functions, to prevent, or detect and correct, noncompliance with a type of compliance requirement of a federal program on a timely basis. A </w:t>
      </w:r>
      <w:r>
        <w:rPr>
          <w:i/>
          <w:color w:val="231F20"/>
        </w:rPr>
        <w:t>material weakness in internal control over</w:t>
      </w:r>
      <w:r>
        <w:rPr>
          <w:i/>
          <w:color w:val="231F20"/>
        </w:rPr>
        <w:t> compliance</w:t>
      </w:r>
      <w:r>
        <w:rPr>
          <w:i/>
          <w:color w:val="231F20"/>
          <w:spacing w:val="-2"/>
        </w:rPr>
        <w:t> </w:t>
      </w:r>
      <w:r>
        <w:rPr>
          <w:color w:val="231F20"/>
        </w:rPr>
        <w:t>is</w:t>
      </w:r>
      <w:r>
        <w:rPr>
          <w:color w:val="231F20"/>
          <w:spacing w:val="-3"/>
        </w:rPr>
        <w:t> </w:t>
      </w:r>
      <w:r>
        <w:rPr>
          <w:color w:val="231F20"/>
        </w:rPr>
        <w:t>a</w:t>
      </w:r>
      <w:r>
        <w:rPr>
          <w:color w:val="231F20"/>
          <w:spacing w:val="-3"/>
        </w:rPr>
        <w:t> </w:t>
      </w:r>
      <w:r>
        <w:rPr>
          <w:color w:val="231F20"/>
        </w:rPr>
        <w:t>deficiency,</w:t>
      </w:r>
      <w:r>
        <w:rPr>
          <w:color w:val="231F20"/>
          <w:spacing w:val="-3"/>
        </w:rPr>
        <w:t> </w:t>
      </w:r>
      <w:r>
        <w:rPr>
          <w:color w:val="231F20"/>
        </w:rPr>
        <w:t>or</w:t>
      </w:r>
      <w:r>
        <w:rPr>
          <w:color w:val="231F20"/>
          <w:spacing w:val="-3"/>
        </w:rPr>
        <w:t> </w:t>
      </w:r>
      <w:r>
        <w:rPr>
          <w:color w:val="231F20"/>
        </w:rPr>
        <w:t>a</w:t>
      </w:r>
      <w:r>
        <w:rPr>
          <w:color w:val="231F20"/>
          <w:spacing w:val="-3"/>
        </w:rPr>
        <w:t> </w:t>
      </w:r>
      <w:r>
        <w:rPr>
          <w:color w:val="231F20"/>
        </w:rPr>
        <w:t>combination</w:t>
      </w:r>
      <w:r>
        <w:rPr>
          <w:color w:val="231F20"/>
          <w:spacing w:val="-3"/>
        </w:rPr>
        <w:t> </w:t>
      </w:r>
      <w:r>
        <w:rPr>
          <w:color w:val="231F20"/>
        </w:rPr>
        <w:t>of</w:t>
      </w:r>
      <w:r>
        <w:rPr>
          <w:color w:val="231F20"/>
          <w:spacing w:val="-3"/>
        </w:rPr>
        <w:t> </w:t>
      </w:r>
      <w:r>
        <w:rPr>
          <w:color w:val="231F20"/>
        </w:rPr>
        <w:t>deficiencies,</w:t>
      </w:r>
      <w:r>
        <w:rPr>
          <w:color w:val="231F20"/>
          <w:spacing w:val="-3"/>
        </w:rPr>
        <w:t> </w:t>
      </w:r>
      <w:r>
        <w:rPr>
          <w:color w:val="231F20"/>
        </w:rPr>
        <w:t>in</w:t>
      </w:r>
      <w:r>
        <w:rPr>
          <w:color w:val="231F20"/>
          <w:spacing w:val="-3"/>
        </w:rPr>
        <w:t> </w:t>
      </w:r>
      <w:r>
        <w:rPr>
          <w:color w:val="231F20"/>
        </w:rPr>
        <w:t>internal</w:t>
      </w:r>
      <w:r>
        <w:rPr>
          <w:color w:val="231F20"/>
          <w:spacing w:val="-3"/>
        </w:rPr>
        <w:t> </w:t>
      </w:r>
      <w:r>
        <w:rPr>
          <w:color w:val="231F20"/>
        </w:rPr>
        <w:t>control</w:t>
      </w:r>
      <w:r>
        <w:rPr>
          <w:color w:val="231F20"/>
          <w:spacing w:val="-3"/>
        </w:rPr>
        <w:t> </w:t>
      </w:r>
      <w:r>
        <w:rPr>
          <w:color w:val="231F20"/>
        </w:rPr>
        <w:t>over</w:t>
      </w:r>
      <w:r>
        <w:rPr>
          <w:color w:val="231F20"/>
          <w:spacing w:val="-3"/>
        </w:rPr>
        <w:t> </w:t>
      </w:r>
      <w:r>
        <w:rPr>
          <w:color w:val="231F20"/>
        </w:rPr>
        <w:t>compliance</w:t>
      </w:r>
      <w:r>
        <w:rPr>
          <w:color w:val="231F20"/>
          <w:spacing w:val="-3"/>
        </w:rPr>
        <w:t> </w:t>
      </w:r>
      <w:r>
        <w:rPr>
          <w:color w:val="231F20"/>
        </w:rPr>
        <w:t>such that there is a reasonable possibility that material noncompliance with a type of compliance requirement</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federal</w:t>
      </w:r>
      <w:r>
        <w:rPr>
          <w:color w:val="231F20"/>
          <w:spacing w:val="-3"/>
        </w:rPr>
        <w:t> </w:t>
      </w:r>
      <w:r>
        <w:rPr>
          <w:color w:val="231F20"/>
        </w:rPr>
        <w:t>program</w:t>
      </w:r>
      <w:r>
        <w:rPr>
          <w:color w:val="231F20"/>
          <w:spacing w:val="-3"/>
        </w:rPr>
        <w:t> </w:t>
      </w:r>
      <w:r>
        <w:rPr>
          <w:color w:val="231F20"/>
        </w:rPr>
        <w:t>will</w:t>
      </w:r>
      <w:r>
        <w:rPr>
          <w:color w:val="231F20"/>
          <w:spacing w:val="-3"/>
        </w:rPr>
        <w:t> </w:t>
      </w:r>
      <w:r>
        <w:rPr>
          <w:color w:val="231F20"/>
        </w:rPr>
        <w:t>not</w:t>
      </w:r>
      <w:r>
        <w:rPr>
          <w:color w:val="231F20"/>
          <w:spacing w:val="-3"/>
        </w:rPr>
        <w:t> </w:t>
      </w:r>
      <w:r>
        <w:rPr>
          <w:color w:val="231F20"/>
        </w:rPr>
        <w:t>be</w:t>
      </w:r>
      <w:r>
        <w:rPr>
          <w:color w:val="231F20"/>
          <w:spacing w:val="-3"/>
        </w:rPr>
        <w:t> </w:t>
      </w:r>
      <w:r>
        <w:rPr>
          <w:color w:val="231F20"/>
        </w:rPr>
        <w:t>prevented,</w:t>
      </w:r>
      <w:r>
        <w:rPr>
          <w:color w:val="231F20"/>
          <w:spacing w:val="-3"/>
        </w:rPr>
        <w:t> </w:t>
      </w:r>
      <w:r>
        <w:rPr>
          <w:color w:val="231F20"/>
        </w:rPr>
        <w:t>or</w:t>
      </w:r>
      <w:r>
        <w:rPr>
          <w:color w:val="231F20"/>
          <w:spacing w:val="-3"/>
        </w:rPr>
        <w:t> </w:t>
      </w:r>
      <w:r>
        <w:rPr>
          <w:color w:val="231F20"/>
        </w:rPr>
        <w:t>detected</w:t>
      </w:r>
      <w:r>
        <w:rPr>
          <w:color w:val="231F20"/>
          <w:spacing w:val="-3"/>
        </w:rPr>
        <w:t> </w:t>
      </w:r>
      <w:r>
        <w:rPr>
          <w:color w:val="231F20"/>
        </w:rPr>
        <w:t>and</w:t>
      </w:r>
      <w:r>
        <w:rPr>
          <w:color w:val="231F20"/>
          <w:spacing w:val="-3"/>
        </w:rPr>
        <w:t> </w:t>
      </w:r>
      <w:r>
        <w:rPr>
          <w:color w:val="231F20"/>
        </w:rPr>
        <w:t>corrected,</w:t>
      </w:r>
      <w:r>
        <w:rPr>
          <w:color w:val="231F20"/>
          <w:spacing w:val="-3"/>
        </w:rPr>
        <w:t> </w:t>
      </w:r>
      <w:r>
        <w:rPr>
          <w:color w:val="231F20"/>
        </w:rPr>
        <w:t>on</w:t>
      </w:r>
      <w:r>
        <w:rPr>
          <w:color w:val="231F20"/>
          <w:spacing w:val="-3"/>
        </w:rPr>
        <w:t> </w:t>
      </w:r>
      <w:r>
        <w:rPr>
          <w:color w:val="231F20"/>
        </w:rPr>
        <w:t>a</w:t>
      </w:r>
      <w:r>
        <w:rPr>
          <w:color w:val="231F20"/>
          <w:spacing w:val="-3"/>
        </w:rPr>
        <w:t> </w:t>
      </w:r>
      <w:r>
        <w:rPr>
          <w:color w:val="231F20"/>
        </w:rPr>
        <w:t>timely</w:t>
      </w:r>
      <w:r>
        <w:rPr>
          <w:color w:val="231F20"/>
          <w:spacing w:val="-3"/>
        </w:rPr>
        <w:t> </w:t>
      </w:r>
      <w:r>
        <w:rPr>
          <w:color w:val="231F20"/>
        </w:rPr>
        <w:t>basis. A </w:t>
      </w:r>
      <w:r>
        <w:rPr>
          <w:i/>
          <w:color w:val="231F20"/>
        </w:rPr>
        <w:t>significant deficiency in internal control over compliance </w:t>
      </w:r>
      <w:r>
        <w:rPr>
          <w:color w:val="231F20"/>
        </w:rPr>
        <w:t>is a deficiency, or a combination of deficiencies, in internal control over compliance with a type of compliance requirement of a federal program that is less severe than a material weakness in internal control over compliance, yet important</w:t>
      </w:r>
      <w:r>
        <w:rPr>
          <w:color w:val="231F20"/>
          <w:spacing w:val="-3"/>
        </w:rPr>
        <w:t> </w:t>
      </w:r>
      <w:r>
        <w:rPr>
          <w:color w:val="231F20"/>
        </w:rPr>
        <w:t>enough</w:t>
      </w:r>
      <w:r>
        <w:rPr>
          <w:color w:val="231F20"/>
          <w:spacing w:val="-3"/>
        </w:rPr>
        <w:t> </w:t>
      </w:r>
      <w:r>
        <w:rPr>
          <w:color w:val="231F20"/>
        </w:rPr>
        <w:t>to</w:t>
      </w:r>
      <w:r>
        <w:rPr>
          <w:color w:val="231F20"/>
          <w:spacing w:val="-3"/>
        </w:rPr>
        <w:t> </w:t>
      </w:r>
      <w:r>
        <w:rPr>
          <w:color w:val="231F20"/>
        </w:rPr>
        <w:t>merit</w:t>
      </w:r>
      <w:r>
        <w:rPr>
          <w:color w:val="231F20"/>
          <w:spacing w:val="-3"/>
        </w:rPr>
        <w:t> </w:t>
      </w:r>
      <w:r>
        <w:rPr>
          <w:color w:val="231F20"/>
        </w:rPr>
        <w:t>attention</w:t>
      </w:r>
      <w:r>
        <w:rPr>
          <w:color w:val="231F20"/>
          <w:spacing w:val="-3"/>
        </w:rPr>
        <w:t> </w:t>
      </w:r>
      <w:r>
        <w:rPr>
          <w:color w:val="231F20"/>
        </w:rPr>
        <w:t>by</w:t>
      </w:r>
      <w:r>
        <w:rPr>
          <w:color w:val="231F20"/>
          <w:spacing w:val="-3"/>
        </w:rPr>
        <w:t> </w:t>
      </w:r>
      <w:r>
        <w:rPr>
          <w:color w:val="231F20"/>
        </w:rPr>
        <w:t>those</w:t>
      </w:r>
      <w:r>
        <w:rPr>
          <w:color w:val="231F20"/>
          <w:spacing w:val="-4"/>
        </w:rPr>
        <w:t> </w:t>
      </w:r>
      <w:r>
        <w:rPr>
          <w:color w:val="231F20"/>
        </w:rPr>
        <w:t>charged</w:t>
      </w:r>
      <w:r>
        <w:rPr>
          <w:color w:val="231F20"/>
          <w:spacing w:val="-3"/>
        </w:rPr>
        <w:t> </w:t>
      </w:r>
      <w:r>
        <w:rPr>
          <w:color w:val="231F20"/>
        </w:rPr>
        <w:t>with</w:t>
      </w:r>
      <w:r>
        <w:rPr>
          <w:color w:val="231F20"/>
          <w:spacing w:val="-3"/>
        </w:rPr>
        <w:t> </w:t>
      </w:r>
      <w:r>
        <w:rPr>
          <w:color w:val="231F20"/>
        </w:rPr>
        <w:t>governance.</w:t>
      </w:r>
      <w:r>
        <w:rPr>
          <w:color w:val="231F20"/>
          <w:spacing w:val="-3"/>
        </w:rPr>
        <w:t> </w:t>
      </w:r>
      <w:r>
        <w:rPr>
          <w:color w:val="231F20"/>
        </w:rPr>
        <w:t>We</w:t>
      </w:r>
      <w:r>
        <w:rPr>
          <w:color w:val="231F20"/>
          <w:spacing w:val="-3"/>
        </w:rPr>
        <w:t> </w:t>
      </w:r>
      <w:r>
        <w:rPr>
          <w:color w:val="231F20"/>
        </w:rPr>
        <w:t>consider</w:t>
      </w:r>
      <w:r>
        <w:rPr>
          <w:color w:val="231F20"/>
          <w:spacing w:val="-3"/>
        </w:rPr>
        <w:t> </w:t>
      </w:r>
      <w:r>
        <w:rPr>
          <w:color w:val="231F20"/>
        </w:rPr>
        <w:t>the</w:t>
      </w:r>
      <w:r>
        <w:rPr>
          <w:color w:val="231F20"/>
          <w:spacing w:val="-3"/>
        </w:rPr>
        <w:t> </w:t>
      </w:r>
      <w:r>
        <w:rPr>
          <w:color w:val="231F20"/>
        </w:rPr>
        <w:t>deficiencies in internal control over compliance described in the accompanying schedule of findings and questioned costs as item 2022-003, to be a significant deficiency.</w:t>
      </w:r>
    </w:p>
    <w:p>
      <w:pPr>
        <w:pStyle w:val="BodyText"/>
        <w:spacing w:line="276" w:lineRule="auto" w:before="119"/>
        <w:ind w:left="1079" w:right="1027"/>
      </w:pPr>
      <w:r>
        <w:rPr>
          <w:color w:val="231F20"/>
        </w:rPr>
        <w:t>Our</w:t>
      </w:r>
      <w:r>
        <w:rPr>
          <w:color w:val="231F20"/>
          <w:spacing w:val="-3"/>
        </w:rPr>
        <w:t> </w:t>
      </w:r>
      <w:r>
        <w:rPr>
          <w:color w:val="231F20"/>
        </w:rPr>
        <w:t>audit</w:t>
      </w:r>
      <w:r>
        <w:rPr>
          <w:color w:val="231F20"/>
          <w:spacing w:val="-3"/>
        </w:rPr>
        <w:t> </w:t>
      </w:r>
      <w:r>
        <w:rPr>
          <w:color w:val="231F20"/>
        </w:rPr>
        <w:t>was</w:t>
      </w:r>
      <w:r>
        <w:rPr>
          <w:color w:val="231F20"/>
          <w:spacing w:val="-3"/>
        </w:rPr>
        <w:t> </w:t>
      </w:r>
      <w:r>
        <w:rPr>
          <w:color w:val="231F20"/>
        </w:rPr>
        <w:t>not</w:t>
      </w:r>
      <w:r>
        <w:rPr>
          <w:color w:val="231F20"/>
          <w:spacing w:val="-3"/>
        </w:rPr>
        <w:t> </w:t>
      </w:r>
      <w:r>
        <w:rPr>
          <w:color w:val="231F20"/>
        </w:rPr>
        <w:t>designed</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purpose</w:t>
      </w:r>
      <w:r>
        <w:rPr>
          <w:color w:val="231F20"/>
          <w:spacing w:val="-3"/>
        </w:rPr>
        <w:t> </w:t>
      </w:r>
      <w:r>
        <w:rPr>
          <w:color w:val="231F20"/>
        </w:rPr>
        <w:t>of</w:t>
      </w:r>
      <w:r>
        <w:rPr>
          <w:color w:val="231F20"/>
          <w:spacing w:val="-3"/>
        </w:rPr>
        <w:t> </w:t>
      </w:r>
      <w:r>
        <w:rPr>
          <w:color w:val="231F20"/>
        </w:rPr>
        <w:t>expressing</w:t>
      </w:r>
      <w:r>
        <w:rPr>
          <w:color w:val="231F20"/>
          <w:spacing w:val="-3"/>
        </w:rPr>
        <w:t> </w:t>
      </w:r>
      <w:r>
        <w:rPr>
          <w:color w:val="231F20"/>
        </w:rPr>
        <w:t>an</w:t>
      </w:r>
      <w:r>
        <w:rPr>
          <w:color w:val="231F20"/>
          <w:spacing w:val="-3"/>
        </w:rPr>
        <w:t> </w:t>
      </w:r>
      <w:r>
        <w:rPr>
          <w:color w:val="231F20"/>
        </w:rPr>
        <w:t>opinion</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effectiveness</w:t>
      </w:r>
      <w:r>
        <w:rPr>
          <w:color w:val="231F20"/>
          <w:spacing w:val="-3"/>
        </w:rPr>
        <w:t> </w:t>
      </w:r>
      <w:r>
        <w:rPr>
          <w:color w:val="231F20"/>
        </w:rPr>
        <w:t>of</w:t>
      </w:r>
      <w:r>
        <w:rPr>
          <w:color w:val="231F20"/>
          <w:spacing w:val="-3"/>
        </w:rPr>
        <w:t> </w:t>
      </w:r>
      <w:r>
        <w:rPr>
          <w:color w:val="231F20"/>
        </w:rPr>
        <w:t>internal control over compliance. Accordingly, no such opinion is expressed.</w:t>
      </w:r>
    </w:p>
    <w:p>
      <w:pPr>
        <w:pStyle w:val="BodyText"/>
        <w:spacing w:line="276" w:lineRule="auto" w:before="120"/>
        <w:ind w:left="1079" w:right="1112"/>
      </w:pPr>
      <w:r>
        <w:rPr>
          <w:i/>
          <w:color w:val="231F20"/>
        </w:rPr>
        <w:t>Government Auditing Standards </w:t>
      </w:r>
      <w:r>
        <w:rPr>
          <w:color w:val="231F20"/>
        </w:rPr>
        <w:t>requires the auditor to perform limited procedures on New Mexico Institute of Mining and Technology's response to the internal control over compliance findings identified</w:t>
      </w:r>
      <w:r>
        <w:rPr>
          <w:color w:val="231F20"/>
          <w:spacing w:val="-3"/>
        </w:rPr>
        <w:t> </w:t>
      </w:r>
      <w:r>
        <w:rPr>
          <w:color w:val="231F20"/>
        </w:rPr>
        <w:t>in</w:t>
      </w:r>
      <w:r>
        <w:rPr>
          <w:color w:val="231F20"/>
          <w:spacing w:val="-3"/>
        </w:rPr>
        <w:t> </w:t>
      </w:r>
      <w:r>
        <w:rPr>
          <w:color w:val="231F20"/>
        </w:rPr>
        <w:t>our</w:t>
      </w:r>
      <w:r>
        <w:rPr>
          <w:color w:val="231F20"/>
          <w:spacing w:val="-3"/>
        </w:rPr>
        <w:t> </w:t>
      </w:r>
      <w:r>
        <w:rPr>
          <w:color w:val="231F20"/>
        </w:rPr>
        <w:t>audit</w:t>
      </w:r>
      <w:r>
        <w:rPr>
          <w:color w:val="231F20"/>
          <w:spacing w:val="-3"/>
        </w:rPr>
        <w:t> </w:t>
      </w:r>
      <w:r>
        <w:rPr>
          <w:color w:val="231F20"/>
        </w:rPr>
        <w:t>described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accompanying</w:t>
      </w:r>
      <w:r>
        <w:rPr>
          <w:color w:val="231F20"/>
          <w:spacing w:val="-4"/>
        </w:rPr>
        <w:t> </w:t>
      </w:r>
      <w:r>
        <w:rPr>
          <w:color w:val="231F20"/>
        </w:rPr>
        <w:t>schedule</w:t>
      </w:r>
      <w:r>
        <w:rPr>
          <w:color w:val="231F20"/>
          <w:spacing w:val="-3"/>
        </w:rPr>
        <w:t> </w:t>
      </w:r>
      <w:r>
        <w:rPr>
          <w:color w:val="231F20"/>
        </w:rPr>
        <w:t>of</w:t>
      </w:r>
      <w:r>
        <w:rPr>
          <w:color w:val="231F20"/>
          <w:spacing w:val="-3"/>
        </w:rPr>
        <w:t> </w:t>
      </w:r>
      <w:r>
        <w:rPr>
          <w:color w:val="231F20"/>
        </w:rPr>
        <w:t>findings</w:t>
      </w:r>
      <w:r>
        <w:rPr>
          <w:color w:val="231F20"/>
          <w:spacing w:val="-3"/>
        </w:rPr>
        <w:t> </w:t>
      </w:r>
      <w:r>
        <w:rPr>
          <w:color w:val="231F20"/>
        </w:rPr>
        <w:t>and</w:t>
      </w:r>
      <w:r>
        <w:rPr>
          <w:color w:val="231F20"/>
          <w:spacing w:val="-3"/>
        </w:rPr>
        <w:t> </w:t>
      </w:r>
      <w:r>
        <w:rPr>
          <w:color w:val="231F20"/>
        </w:rPr>
        <w:t>questioned</w:t>
      </w:r>
      <w:r>
        <w:rPr>
          <w:color w:val="231F20"/>
          <w:spacing w:val="-4"/>
        </w:rPr>
        <w:t> </w:t>
      </w:r>
      <w:r>
        <w:rPr>
          <w:color w:val="231F20"/>
        </w:rPr>
        <w:t>costs.</w:t>
      </w:r>
      <w:r>
        <w:rPr>
          <w:color w:val="231F20"/>
          <w:spacing w:val="-3"/>
        </w:rPr>
        <w:t> </w:t>
      </w:r>
      <w:r>
        <w:rPr>
          <w:color w:val="231F20"/>
        </w:rPr>
        <w:t>New Mexico Institute of Mining and Technology's response was not subjected to the other auditing procedures applied in the audit of compliance and, accordingly, we express no opinion on the </w:t>
      </w:r>
      <w:r>
        <w:rPr>
          <w:color w:val="231F20"/>
          <w:spacing w:val="-2"/>
        </w:rPr>
        <w:t>response.</w:t>
      </w:r>
    </w:p>
    <w:p>
      <w:pPr>
        <w:pStyle w:val="BodyText"/>
        <w:spacing w:line="276" w:lineRule="auto" w:before="119"/>
        <w:ind w:left="1079" w:right="1027"/>
      </w:pPr>
      <w:r>
        <w:rPr/>
        <w:drawing>
          <wp:anchor distT="0" distB="0" distL="0" distR="0" allowOverlap="1" layoutInCell="1" locked="0" behindDoc="0" simplePos="0" relativeHeight="264">
            <wp:simplePos x="0" y="0"/>
            <wp:positionH relativeFrom="page">
              <wp:posOffset>1010490</wp:posOffset>
            </wp:positionH>
            <wp:positionV relativeFrom="paragraph">
              <wp:posOffset>610218</wp:posOffset>
            </wp:positionV>
            <wp:extent cx="2476494" cy="435863"/>
            <wp:effectExtent l="0" t="0" r="0" b="0"/>
            <wp:wrapTopAndBottom/>
            <wp:docPr id="9" name="image14.png"/>
            <wp:cNvGraphicFramePr>
              <a:graphicFrameLocks noChangeAspect="1"/>
            </wp:cNvGraphicFramePr>
            <a:graphic>
              <a:graphicData uri="http://schemas.openxmlformats.org/drawingml/2006/picture">
                <pic:pic>
                  <pic:nvPicPr>
                    <pic:cNvPr id="10" name="image14.png"/>
                    <pic:cNvPicPr/>
                  </pic:nvPicPr>
                  <pic:blipFill>
                    <a:blip r:embed="rId20" cstate="print"/>
                    <a:stretch>
                      <a:fillRect/>
                    </a:stretch>
                  </pic:blipFill>
                  <pic:spPr>
                    <a:xfrm>
                      <a:off x="0" y="0"/>
                      <a:ext cx="2476494" cy="435863"/>
                    </a:xfrm>
                    <a:prstGeom prst="rect">
                      <a:avLst/>
                    </a:prstGeom>
                  </pic:spPr>
                </pic:pic>
              </a:graphicData>
            </a:graphic>
          </wp:anchor>
        </w:drawing>
      </w:r>
      <w:r>
        <w:rPr>
          <w:color w:val="231F20"/>
        </w:rPr>
        <w:t>The purpose of this report on internal control over compliance is solely to describe the scope of our testing</w:t>
      </w:r>
      <w:r>
        <w:rPr>
          <w:color w:val="231F20"/>
          <w:spacing w:val="-3"/>
        </w:rPr>
        <w:t> </w:t>
      </w:r>
      <w:r>
        <w:rPr>
          <w:color w:val="231F20"/>
        </w:rPr>
        <w:t>of</w:t>
      </w:r>
      <w:r>
        <w:rPr>
          <w:color w:val="231F20"/>
          <w:spacing w:val="-3"/>
        </w:rPr>
        <w:t> </w:t>
      </w:r>
      <w:r>
        <w:rPr>
          <w:color w:val="231F20"/>
        </w:rPr>
        <w:t>internal</w:t>
      </w:r>
      <w:r>
        <w:rPr>
          <w:color w:val="231F20"/>
          <w:spacing w:val="-3"/>
        </w:rPr>
        <w:t> </w:t>
      </w:r>
      <w:r>
        <w:rPr>
          <w:color w:val="231F20"/>
        </w:rPr>
        <w:t>control</w:t>
      </w:r>
      <w:r>
        <w:rPr>
          <w:color w:val="231F20"/>
          <w:spacing w:val="-3"/>
        </w:rPr>
        <w:t> </w:t>
      </w:r>
      <w:r>
        <w:rPr>
          <w:color w:val="231F20"/>
        </w:rPr>
        <w:t>over</w:t>
      </w:r>
      <w:r>
        <w:rPr>
          <w:color w:val="231F20"/>
          <w:spacing w:val="-4"/>
        </w:rPr>
        <w:t> </w:t>
      </w:r>
      <w:r>
        <w:rPr>
          <w:color w:val="231F20"/>
        </w:rPr>
        <w:t>compliance</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results</w:t>
      </w:r>
      <w:r>
        <w:rPr>
          <w:color w:val="231F20"/>
          <w:spacing w:val="-3"/>
        </w:rPr>
        <w:t> </w:t>
      </w:r>
      <w:r>
        <w:rPr>
          <w:color w:val="231F20"/>
        </w:rPr>
        <w:t>of</w:t>
      </w:r>
      <w:r>
        <w:rPr>
          <w:color w:val="231F20"/>
          <w:spacing w:val="-3"/>
        </w:rPr>
        <w:t> </w:t>
      </w:r>
      <w:r>
        <w:rPr>
          <w:color w:val="231F20"/>
        </w:rPr>
        <w:t>that</w:t>
      </w:r>
      <w:r>
        <w:rPr>
          <w:color w:val="231F20"/>
          <w:spacing w:val="-3"/>
        </w:rPr>
        <w:t> </w:t>
      </w:r>
      <w:r>
        <w:rPr>
          <w:color w:val="231F20"/>
        </w:rPr>
        <w:t>testing</w:t>
      </w:r>
      <w:r>
        <w:rPr>
          <w:color w:val="231F20"/>
          <w:spacing w:val="-3"/>
        </w:rPr>
        <w:t> </w:t>
      </w:r>
      <w:r>
        <w:rPr>
          <w:color w:val="231F20"/>
        </w:rPr>
        <w:t>based</w:t>
      </w:r>
      <w:r>
        <w:rPr>
          <w:color w:val="231F20"/>
          <w:spacing w:val="-4"/>
        </w:rPr>
        <w:t> </w:t>
      </w:r>
      <w:r>
        <w:rPr>
          <w:color w:val="231F20"/>
        </w:rPr>
        <w:t>on</w:t>
      </w:r>
      <w:r>
        <w:rPr>
          <w:color w:val="231F20"/>
          <w:spacing w:val="-3"/>
        </w:rPr>
        <w:t> </w:t>
      </w:r>
      <w:r>
        <w:rPr>
          <w:color w:val="231F20"/>
        </w:rPr>
        <w:t>the</w:t>
      </w:r>
      <w:r>
        <w:rPr>
          <w:color w:val="231F20"/>
          <w:spacing w:val="-3"/>
        </w:rPr>
        <w:t> </w:t>
      </w:r>
      <w:r>
        <w:rPr>
          <w:color w:val="231F20"/>
        </w:rPr>
        <w:t>requirements</w:t>
      </w:r>
      <w:r>
        <w:rPr>
          <w:color w:val="231F20"/>
          <w:spacing w:val="-3"/>
        </w:rPr>
        <w:t> </w:t>
      </w:r>
      <w:r>
        <w:rPr>
          <w:color w:val="231F20"/>
        </w:rPr>
        <w:t>of the Uniform Guidance. Accordingly, this report is not suitable for any other purpose.</w:t>
      </w:r>
    </w:p>
    <w:p>
      <w:pPr>
        <w:pStyle w:val="BodyText"/>
        <w:spacing w:line="276" w:lineRule="auto" w:before="59"/>
        <w:ind w:left="1079" w:right="7123"/>
      </w:pPr>
      <w:r>
        <w:rPr>
          <w:color w:val="231F20"/>
        </w:rPr>
        <w:t>Albuquerque,</w:t>
      </w:r>
      <w:r>
        <w:rPr>
          <w:color w:val="231F20"/>
          <w:spacing w:val="-14"/>
        </w:rPr>
        <w:t> </w:t>
      </w:r>
      <w:r>
        <w:rPr>
          <w:color w:val="231F20"/>
        </w:rPr>
        <w:t>New</w:t>
      </w:r>
      <w:r>
        <w:rPr>
          <w:color w:val="231F20"/>
          <w:spacing w:val="-14"/>
        </w:rPr>
        <w:t> </w:t>
      </w:r>
      <w:r>
        <w:rPr>
          <w:color w:val="231F20"/>
        </w:rPr>
        <w:t>Mexico October 28, 2022</w:t>
      </w:r>
    </w:p>
    <w:p>
      <w:pPr>
        <w:spacing w:after="0" w:line="276" w:lineRule="auto"/>
        <w:sectPr>
          <w:headerReference w:type="default" r:id="rId82"/>
          <w:footerReference w:type="default" r:id="rId83"/>
          <w:pgSz w:w="12240" w:h="15840"/>
          <w:pgMar w:header="0" w:footer="743" w:top="1360" w:bottom="940" w:left="540" w:right="500"/>
        </w:sectPr>
      </w:pPr>
    </w:p>
    <w:p>
      <w:pPr>
        <w:pStyle w:val="Heading3"/>
        <w:ind w:left="3879" w:right="2770" w:hanging="820"/>
        <w:jc w:val="left"/>
      </w:pPr>
      <w:r>
        <w:rPr/>
        <w:pict>
          <v:rect style="position:absolute;margin-left:70.5pt;margin-top:28.525633pt;width:471.001pt;height:1.5pt;mso-position-horizontal-relative:page;mso-position-vertical-relative:paragraph;z-index:-15592960;mso-wrap-distance-left:0;mso-wrap-distance-right:0" id="docshape609" filled="true" fillcolor="#231f20" stroked="false">
            <v:fill type="solid"/>
            <w10:wrap type="topAndBottom"/>
          </v:rect>
        </w:pict>
      </w:r>
      <w:r>
        <w:rPr>
          <w:color w:val="231F20"/>
        </w:rPr>
        <w:t>Schedule</w:t>
      </w:r>
      <w:r>
        <w:rPr>
          <w:color w:val="231F20"/>
          <w:spacing w:val="-7"/>
        </w:rPr>
        <w:t> </w:t>
      </w:r>
      <w:r>
        <w:rPr>
          <w:color w:val="231F20"/>
        </w:rPr>
        <w:t>of</w:t>
      </w:r>
      <w:r>
        <w:rPr>
          <w:color w:val="231F20"/>
          <w:spacing w:val="-7"/>
        </w:rPr>
        <w:t> </w:t>
      </w:r>
      <w:r>
        <w:rPr>
          <w:color w:val="231F20"/>
        </w:rPr>
        <w:t>Findings</w:t>
      </w:r>
      <w:r>
        <w:rPr>
          <w:color w:val="231F20"/>
          <w:spacing w:val="-8"/>
        </w:rPr>
        <w:t> </w:t>
      </w:r>
      <w:r>
        <w:rPr>
          <w:color w:val="231F20"/>
        </w:rPr>
        <w:t>and</w:t>
      </w:r>
      <w:r>
        <w:rPr>
          <w:color w:val="231F20"/>
          <w:spacing w:val="-7"/>
        </w:rPr>
        <w:t> </w:t>
      </w:r>
      <w:r>
        <w:rPr>
          <w:color w:val="231F20"/>
        </w:rPr>
        <w:t>Questioned</w:t>
      </w:r>
      <w:r>
        <w:rPr>
          <w:color w:val="231F20"/>
          <w:spacing w:val="-7"/>
        </w:rPr>
        <w:t> </w:t>
      </w:r>
      <w:r>
        <w:rPr>
          <w:color w:val="231F20"/>
        </w:rPr>
        <w:t>Costs For Year Ended June 30, 2022</w:t>
      </w:r>
    </w:p>
    <w:p>
      <w:pPr>
        <w:pStyle w:val="BodyText"/>
        <w:rPr>
          <w:b/>
        </w:rPr>
      </w:pPr>
    </w:p>
    <w:p>
      <w:pPr>
        <w:pStyle w:val="BodyText"/>
        <w:spacing w:before="1"/>
        <w:rPr>
          <w:b/>
          <w:sz w:val="24"/>
        </w:rPr>
      </w:pPr>
      <w:r>
        <w:rPr/>
        <w:pict>
          <v:rect style="position:absolute;margin-left:70.5pt;margin-top:15.080976pt;width:471.001pt;height:1.5pt;mso-position-horizontal-relative:page;mso-position-vertical-relative:paragraph;z-index:-15592448;mso-wrap-distance-left:0;mso-wrap-distance-right:0" id="docshape610" filled="true" fillcolor="#231f20" stroked="false">
            <v:fill type="solid"/>
            <w10:wrap type="topAndBottom"/>
          </v:rect>
        </w:pict>
      </w:r>
    </w:p>
    <w:p>
      <w:pPr>
        <w:pStyle w:val="Heading4"/>
        <w:spacing w:before="19" w:after="47"/>
        <w:ind w:left="0" w:right="39"/>
        <w:jc w:val="center"/>
      </w:pPr>
      <w:r>
        <w:rPr>
          <w:color w:val="231F20"/>
        </w:rPr>
        <w:t>Section</w:t>
      </w:r>
      <w:r>
        <w:rPr>
          <w:color w:val="231F20"/>
          <w:spacing w:val="-5"/>
        </w:rPr>
        <w:t> </w:t>
      </w:r>
      <w:r>
        <w:rPr>
          <w:color w:val="231F20"/>
        </w:rPr>
        <w:t>I</w:t>
      </w:r>
      <w:r>
        <w:rPr>
          <w:color w:val="231F20"/>
          <w:spacing w:val="-5"/>
        </w:rPr>
        <w:t> </w:t>
      </w:r>
      <w:r>
        <w:rPr>
          <w:color w:val="231F20"/>
        </w:rPr>
        <w:t>–</w:t>
      </w:r>
      <w:r>
        <w:rPr>
          <w:color w:val="231F20"/>
          <w:spacing w:val="-4"/>
        </w:rPr>
        <w:t> </w:t>
      </w:r>
      <w:r>
        <w:rPr>
          <w:color w:val="231F20"/>
        </w:rPr>
        <w:t>Summary</w:t>
      </w:r>
      <w:r>
        <w:rPr>
          <w:color w:val="231F20"/>
          <w:spacing w:val="-5"/>
        </w:rPr>
        <w:t> </w:t>
      </w:r>
      <w:r>
        <w:rPr>
          <w:color w:val="231F20"/>
        </w:rPr>
        <w:t>of</w:t>
      </w:r>
      <w:r>
        <w:rPr>
          <w:color w:val="231F20"/>
          <w:spacing w:val="-5"/>
        </w:rPr>
        <w:t> </w:t>
      </w:r>
      <w:r>
        <w:rPr>
          <w:color w:val="231F20"/>
        </w:rPr>
        <w:t>Auditor’s</w:t>
      </w:r>
      <w:r>
        <w:rPr>
          <w:color w:val="231F20"/>
          <w:spacing w:val="-4"/>
        </w:rPr>
        <w:t> </w:t>
      </w:r>
      <w:r>
        <w:rPr>
          <w:color w:val="231F20"/>
          <w:spacing w:val="-2"/>
        </w:rPr>
        <w:t>Results</w:t>
      </w:r>
    </w:p>
    <w:p>
      <w:pPr>
        <w:pStyle w:val="BodyText"/>
        <w:spacing w:line="30" w:lineRule="exact"/>
        <w:ind w:left="870"/>
        <w:rPr>
          <w:sz w:val="3"/>
        </w:rPr>
      </w:pPr>
      <w:r>
        <w:rPr>
          <w:position w:val="0"/>
          <w:sz w:val="3"/>
        </w:rPr>
        <w:pict>
          <v:group style="width:471.05pt;height:1.5pt;mso-position-horizontal-relative:char;mso-position-vertical-relative:line" id="docshapegroup611" coordorigin="0,0" coordsize="9421,30">
            <v:rect style="position:absolute;left:0;top:0;width:9421;height:30" id="docshape612" filled="true" fillcolor="#231f20" stroked="false">
              <v:fill type="solid"/>
            </v:rect>
          </v:group>
        </w:pict>
      </w:r>
      <w:r>
        <w:rPr>
          <w:position w:val="0"/>
          <w:sz w:val="3"/>
        </w:rPr>
      </w:r>
    </w:p>
    <w:p>
      <w:pPr>
        <w:pStyle w:val="BodyText"/>
        <w:spacing w:before="5"/>
        <w:rPr>
          <w:b/>
          <w:sz w:val="14"/>
        </w:rPr>
      </w:pPr>
    </w:p>
    <w:p>
      <w:pPr>
        <w:spacing w:before="94"/>
        <w:ind w:left="900" w:right="0" w:firstLine="0"/>
        <w:jc w:val="left"/>
        <w:rPr>
          <w:b/>
          <w:sz w:val="20"/>
        </w:rPr>
      </w:pPr>
      <w:r>
        <w:rPr>
          <w:b/>
          <w:color w:val="231F20"/>
          <w:sz w:val="20"/>
        </w:rPr>
        <w:t>Financial</w:t>
      </w:r>
      <w:r>
        <w:rPr>
          <w:b/>
          <w:color w:val="231F20"/>
          <w:spacing w:val="-1"/>
          <w:sz w:val="20"/>
        </w:rPr>
        <w:t> </w:t>
      </w:r>
      <w:r>
        <w:rPr>
          <w:b/>
          <w:color w:val="231F20"/>
          <w:spacing w:val="-2"/>
          <w:sz w:val="20"/>
        </w:rPr>
        <w:t>Statements</w:t>
      </w:r>
    </w:p>
    <w:p>
      <w:pPr>
        <w:pStyle w:val="BodyText"/>
        <w:spacing w:before="6"/>
        <w:rPr>
          <w:b/>
          <w:sz w:val="25"/>
        </w:rPr>
      </w:pPr>
    </w:p>
    <w:p>
      <w:pPr>
        <w:pStyle w:val="BodyText"/>
        <w:spacing w:before="1"/>
        <w:ind w:left="900"/>
      </w:pPr>
      <w:r>
        <w:rPr>
          <w:color w:val="231F20"/>
        </w:rPr>
        <w:t>Type</w:t>
      </w:r>
      <w:r>
        <w:rPr>
          <w:color w:val="231F20"/>
          <w:spacing w:val="-6"/>
        </w:rPr>
        <w:t> </w:t>
      </w:r>
      <w:r>
        <w:rPr>
          <w:color w:val="231F20"/>
        </w:rPr>
        <w:t>of</w:t>
      </w:r>
      <w:r>
        <w:rPr>
          <w:color w:val="231F20"/>
          <w:spacing w:val="-4"/>
        </w:rPr>
        <w:t> </w:t>
      </w:r>
      <w:r>
        <w:rPr>
          <w:color w:val="231F20"/>
        </w:rPr>
        <w:t>report</w:t>
      </w:r>
      <w:r>
        <w:rPr>
          <w:color w:val="231F20"/>
          <w:spacing w:val="-4"/>
        </w:rPr>
        <w:t> </w:t>
      </w:r>
      <w:r>
        <w:rPr>
          <w:color w:val="231F20"/>
        </w:rPr>
        <w:t>the</w:t>
      </w:r>
      <w:r>
        <w:rPr>
          <w:color w:val="231F20"/>
          <w:spacing w:val="-4"/>
        </w:rPr>
        <w:t> </w:t>
      </w:r>
      <w:r>
        <w:rPr>
          <w:color w:val="231F20"/>
        </w:rPr>
        <w:t>auditor</w:t>
      </w:r>
      <w:r>
        <w:rPr>
          <w:color w:val="231F20"/>
          <w:spacing w:val="-4"/>
        </w:rPr>
        <w:t> </w:t>
      </w:r>
      <w:r>
        <w:rPr>
          <w:color w:val="231F20"/>
        </w:rPr>
        <w:t>issued</w:t>
      </w:r>
      <w:r>
        <w:rPr>
          <w:color w:val="231F20"/>
          <w:spacing w:val="-4"/>
        </w:rPr>
        <w:t> </w:t>
      </w:r>
      <w:r>
        <w:rPr>
          <w:color w:val="231F20"/>
        </w:rPr>
        <w:t>on</w:t>
      </w:r>
      <w:r>
        <w:rPr>
          <w:color w:val="231F20"/>
          <w:spacing w:val="-4"/>
        </w:rPr>
        <w:t> </w:t>
      </w:r>
      <w:r>
        <w:rPr>
          <w:color w:val="231F20"/>
        </w:rPr>
        <w:t>whether</w:t>
      </w:r>
      <w:r>
        <w:rPr>
          <w:color w:val="231F20"/>
          <w:spacing w:val="-4"/>
        </w:rPr>
        <w:t> </w:t>
      </w:r>
      <w:r>
        <w:rPr>
          <w:color w:val="231F20"/>
        </w:rPr>
        <w:t>the</w:t>
      </w:r>
      <w:r>
        <w:rPr>
          <w:color w:val="231F20"/>
          <w:spacing w:val="-4"/>
        </w:rPr>
        <w:t> </w:t>
      </w:r>
      <w:r>
        <w:rPr>
          <w:color w:val="231F20"/>
          <w:spacing w:val="-2"/>
        </w:rPr>
        <w:t>financial</w:t>
      </w:r>
    </w:p>
    <w:p>
      <w:pPr>
        <w:pStyle w:val="BodyText"/>
        <w:tabs>
          <w:tab w:pos="6657" w:val="left" w:leader="none"/>
        </w:tabs>
        <w:spacing w:line="540" w:lineRule="auto" w:before="28"/>
        <w:ind w:left="900" w:right="3528"/>
      </w:pPr>
      <w:r>
        <w:rPr>
          <w:color w:val="231F20"/>
        </w:rPr>
        <w:t>statements audited were prepared in accordance with GAAP:</w:t>
        <w:tab/>
      </w:r>
      <w:r>
        <w:rPr>
          <w:color w:val="231F20"/>
          <w:spacing w:val="-2"/>
        </w:rPr>
        <w:t>Unmodified </w:t>
      </w:r>
      <w:r>
        <w:rPr>
          <w:color w:val="231F20"/>
        </w:rPr>
        <w:t>Internal control over financial reporting:</w:t>
      </w:r>
    </w:p>
    <w:p>
      <w:pPr>
        <w:spacing w:after="0" w:line="540" w:lineRule="auto"/>
        <w:sectPr>
          <w:headerReference w:type="default" r:id="rId84"/>
          <w:footerReference w:type="default" r:id="rId85"/>
          <w:pgSz w:w="12240" w:h="15840"/>
          <w:pgMar w:header="850" w:footer="1097" w:top="1160" w:bottom="1280" w:left="540" w:right="500"/>
        </w:sectPr>
      </w:pPr>
    </w:p>
    <w:p>
      <w:pPr>
        <w:pStyle w:val="ListParagraph"/>
        <w:numPr>
          <w:ilvl w:val="0"/>
          <w:numId w:val="15"/>
        </w:numPr>
        <w:tabs>
          <w:tab w:pos="1260" w:val="left" w:leader="none"/>
          <w:tab w:pos="1261" w:val="left" w:leader="none"/>
        </w:tabs>
        <w:spacing w:line="240" w:lineRule="auto" w:before="11" w:after="0"/>
        <w:ind w:left="1260" w:right="0" w:hanging="361"/>
        <w:jc w:val="left"/>
        <w:rPr>
          <w:sz w:val="20"/>
        </w:rPr>
      </w:pPr>
      <w:r>
        <w:rPr>
          <w:color w:val="231F20"/>
          <w:sz w:val="20"/>
        </w:rPr>
        <w:t>Material</w:t>
      </w:r>
      <w:r>
        <w:rPr>
          <w:color w:val="231F20"/>
          <w:spacing w:val="-11"/>
          <w:sz w:val="20"/>
        </w:rPr>
        <w:t> </w:t>
      </w:r>
      <w:r>
        <w:rPr>
          <w:color w:val="231F20"/>
          <w:sz w:val="20"/>
        </w:rPr>
        <w:t>weakness(es)</w:t>
      </w:r>
      <w:r>
        <w:rPr>
          <w:color w:val="231F20"/>
          <w:spacing w:val="-10"/>
          <w:sz w:val="20"/>
        </w:rPr>
        <w:t> </w:t>
      </w:r>
      <w:r>
        <w:rPr>
          <w:color w:val="231F20"/>
          <w:spacing w:val="-2"/>
          <w:sz w:val="20"/>
        </w:rPr>
        <w:t>identified?</w:t>
      </w:r>
    </w:p>
    <w:p>
      <w:pPr>
        <w:pStyle w:val="ListParagraph"/>
        <w:numPr>
          <w:ilvl w:val="0"/>
          <w:numId w:val="15"/>
        </w:numPr>
        <w:tabs>
          <w:tab w:pos="1260" w:val="left" w:leader="none"/>
          <w:tab w:pos="1261" w:val="left" w:leader="none"/>
        </w:tabs>
        <w:spacing w:line="240" w:lineRule="auto" w:before="33" w:after="0"/>
        <w:ind w:left="1260" w:right="0" w:hanging="361"/>
        <w:jc w:val="left"/>
        <w:rPr>
          <w:sz w:val="20"/>
        </w:rPr>
      </w:pPr>
      <w:r>
        <w:rPr>
          <w:color w:val="231F20"/>
          <w:sz w:val="20"/>
        </w:rPr>
        <w:t>Significant</w:t>
      </w:r>
      <w:r>
        <w:rPr>
          <w:color w:val="231F20"/>
          <w:spacing w:val="-12"/>
          <w:sz w:val="20"/>
        </w:rPr>
        <w:t> </w:t>
      </w:r>
      <w:r>
        <w:rPr>
          <w:color w:val="231F20"/>
          <w:sz w:val="20"/>
        </w:rPr>
        <w:t>deficiency(ies)</w:t>
      </w:r>
      <w:r>
        <w:rPr>
          <w:color w:val="231F20"/>
          <w:spacing w:val="-11"/>
          <w:sz w:val="20"/>
        </w:rPr>
        <w:t> </w:t>
      </w:r>
      <w:r>
        <w:rPr>
          <w:color w:val="231F20"/>
          <w:spacing w:val="-2"/>
          <w:sz w:val="20"/>
        </w:rPr>
        <w:t>identified?</w:t>
      </w:r>
    </w:p>
    <w:p>
      <w:pPr>
        <w:pStyle w:val="BodyText"/>
        <w:spacing w:before="24"/>
        <w:ind w:left="1171"/>
      </w:pPr>
      <w:r>
        <w:rPr/>
        <w:br w:type="column"/>
      </w:r>
      <w:r>
        <w:rPr>
          <w:color w:val="231F20"/>
        </w:rPr>
        <w:t>Yes</w:t>
      </w:r>
      <w:r>
        <w:rPr>
          <w:color w:val="231F20"/>
          <w:spacing w:val="46"/>
        </w:rPr>
        <w:t> </w:t>
      </w:r>
      <w:r>
        <w:rPr>
          <w:color w:val="231F20"/>
          <w:position w:val="-2"/>
        </w:rPr>
        <w:drawing>
          <wp:inline distT="0" distB="0" distL="0" distR="0">
            <wp:extent cx="127254" cy="127253"/>
            <wp:effectExtent l="0" t="0" r="0" b="0"/>
            <wp:docPr id="11" name="image25.png"/>
            <wp:cNvGraphicFramePr>
              <a:graphicFrameLocks noChangeAspect="1"/>
            </wp:cNvGraphicFramePr>
            <a:graphic>
              <a:graphicData uri="http://schemas.openxmlformats.org/drawingml/2006/picture">
                <pic:pic>
                  <pic:nvPicPr>
                    <pic:cNvPr id="12" name="image25.png"/>
                    <pic:cNvPicPr/>
                  </pic:nvPicPr>
                  <pic:blipFill>
                    <a:blip r:embed="rId86" cstate="print"/>
                    <a:stretch>
                      <a:fillRect/>
                    </a:stretch>
                  </pic:blipFill>
                  <pic:spPr>
                    <a:xfrm>
                      <a:off x="0" y="0"/>
                      <a:ext cx="127254" cy="127253"/>
                    </a:xfrm>
                    <a:prstGeom prst="rect">
                      <a:avLst/>
                    </a:prstGeom>
                  </pic:spPr>
                </pic:pic>
              </a:graphicData>
            </a:graphic>
          </wp:inline>
        </w:drawing>
      </w:r>
      <w:r>
        <w:rPr>
          <w:color w:val="231F20"/>
          <w:position w:val="-2"/>
        </w:rPr>
      </w:r>
      <w:r>
        <w:rPr>
          <w:rFonts w:ascii="Times New Roman"/>
          <w:color w:val="231F20"/>
          <w:spacing w:val="27"/>
        </w:rPr>
        <w:t> </w:t>
      </w:r>
      <w:r>
        <w:rPr>
          <w:color w:val="231F20"/>
          <w:spacing w:val="-5"/>
        </w:rPr>
        <w:t>No</w:t>
      </w:r>
    </w:p>
    <w:p>
      <w:pPr>
        <w:pStyle w:val="BodyText"/>
        <w:tabs>
          <w:tab w:pos="1891" w:val="left" w:leader="none"/>
        </w:tabs>
        <w:spacing w:before="49"/>
        <w:ind w:left="900"/>
      </w:pPr>
      <w:r>
        <w:rPr/>
        <w:pict>
          <v:rect style="position:absolute;margin-left:361.080994pt;margin-top:-10.31073pt;width:9.3pt;height:9.3pt;mso-position-horizontal-relative:page;mso-position-vertical-relative:paragraph;z-index:15865856" id="docshape613" filled="false" stroked="true" strokeweight=".72pt" strokecolor="#231f20">
            <v:stroke dashstyle="solid"/>
            <w10:wrap type="none"/>
          </v:rect>
        </w:pict>
      </w:r>
      <w:r>
        <w:rPr/>
        <w:pict>
          <v:rect style="position:absolute;margin-left:397.080994pt;margin-top:3.60927pt;width:9.3pt;height:9.3pt;mso-position-horizontal-relative:page;mso-position-vertical-relative:paragraph;z-index:-28247040" id="docshape614" filled="false" stroked="true" strokeweight=".72pt" strokecolor="#231f20">
            <v:stroke dashstyle="solid"/>
            <w10:wrap type="none"/>
          </v:rect>
        </w:pict>
      </w:r>
      <w:r>
        <w:rPr>
          <w:position w:val="-2"/>
        </w:rPr>
        <w:drawing>
          <wp:inline distT="0" distB="0" distL="0" distR="0">
            <wp:extent cx="127254" cy="127266"/>
            <wp:effectExtent l="0" t="0" r="0" b="0"/>
            <wp:docPr id="13" name="image26.png"/>
            <wp:cNvGraphicFramePr>
              <a:graphicFrameLocks noChangeAspect="1"/>
            </wp:cNvGraphicFramePr>
            <a:graphic>
              <a:graphicData uri="http://schemas.openxmlformats.org/drawingml/2006/picture">
                <pic:pic>
                  <pic:nvPicPr>
                    <pic:cNvPr id="14" name="image26.png"/>
                    <pic:cNvPicPr/>
                  </pic:nvPicPr>
                  <pic:blipFill>
                    <a:blip r:embed="rId87" cstate="print"/>
                    <a:stretch>
                      <a:fillRect/>
                    </a:stretch>
                  </pic:blipFill>
                  <pic:spPr>
                    <a:xfrm>
                      <a:off x="0" y="0"/>
                      <a:ext cx="127254" cy="127266"/>
                    </a:xfrm>
                    <a:prstGeom prst="rect">
                      <a:avLst/>
                    </a:prstGeom>
                  </pic:spPr>
                </pic:pic>
              </a:graphicData>
            </a:graphic>
          </wp:inline>
        </w:drawing>
      </w:r>
      <w:r>
        <w:rPr>
          <w:position w:val="-2"/>
        </w:rPr>
      </w:r>
      <w:r>
        <w:rPr>
          <w:rFonts w:ascii="Times New Roman"/>
        </w:rPr>
        <w:t> </w:t>
      </w:r>
      <w:r>
        <w:rPr>
          <w:color w:val="231F20"/>
        </w:rPr>
        <w:t>Yes</w:t>
        <w:tab/>
        <w:t>None</w:t>
      </w:r>
      <w:r>
        <w:rPr>
          <w:color w:val="231F20"/>
          <w:spacing w:val="-4"/>
        </w:rPr>
        <w:t> </w:t>
      </w:r>
      <w:r>
        <w:rPr>
          <w:color w:val="231F20"/>
          <w:spacing w:val="-2"/>
        </w:rPr>
        <w:t>reported</w:t>
      </w:r>
    </w:p>
    <w:p>
      <w:pPr>
        <w:spacing w:after="0"/>
        <w:sectPr>
          <w:type w:val="continuous"/>
          <w:pgSz w:w="12240" w:h="15840"/>
          <w:pgMar w:header="850" w:footer="1097" w:top="1460" w:bottom="280" w:left="540" w:right="500"/>
          <w:cols w:num="2" w:equalWidth="0">
            <w:col w:w="4525" w:space="1249"/>
            <w:col w:w="5426"/>
          </w:cols>
        </w:sectPr>
      </w:pPr>
    </w:p>
    <w:p>
      <w:pPr>
        <w:pStyle w:val="BodyText"/>
        <w:spacing w:before="2"/>
        <w:rPr>
          <w:sz w:val="17"/>
        </w:rPr>
      </w:pPr>
    </w:p>
    <w:p>
      <w:pPr>
        <w:pStyle w:val="BodyText"/>
        <w:tabs>
          <w:tab w:pos="6945" w:val="left" w:leader="none"/>
        </w:tabs>
        <w:spacing w:before="95"/>
        <w:ind w:left="900"/>
      </w:pPr>
      <w:r>
        <w:rPr/>
        <w:pict>
          <v:rect style="position:absolute;margin-left:361.080994pt;margin-top:5.908069pt;width:9.3pt;height:9.3pt;mso-position-horizontal-relative:page;mso-position-vertical-relative:paragraph;z-index:-28246528" id="docshape615" filled="false" stroked="true" strokeweight=".72pt" strokecolor="#231f20">
            <v:stroke dashstyle="solid"/>
            <w10:wrap type="none"/>
          </v:rect>
        </w:pict>
      </w:r>
      <w:r>
        <w:rPr>
          <w:color w:val="231F20"/>
        </w:rPr>
        <w:t>Noncompliance</w:t>
      </w:r>
      <w:r>
        <w:rPr>
          <w:color w:val="231F20"/>
          <w:spacing w:val="-8"/>
        </w:rPr>
        <w:t> </w:t>
      </w:r>
      <w:r>
        <w:rPr>
          <w:color w:val="231F20"/>
        </w:rPr>
        <w:t>material</w:t>
      </w:r>
      <w:r>
        <w:rPr>
          <w:color w:val="231F20"/>
          <w:spacing w:val="-7"/>
        </w:rPr>
        <w:t> </w:t>
      </w:r>
      <w:r>
        <w:rPr>
          <w:color w:val="231F20"/>
        </w:rPr>
        <w:t>to</w:t>
      </w:r>
      <w:r>
        <w:rPr>
          <w:color w:val="231F20"/>
          <w:spacing w:val="-9"/>
        </w:rPr>
        <w:t> </w:t>
      </w:r>
      <w:r>
        <w:rPr>
          <w:color w:val="231F20"/>
        </w:rPr>
        <w:t>financial</w:t>
      </w:r>
      <w:r>
        <w:rPr>
          <w:color w:val="231F20"/>
          <w:spacing w:val="-8"/>
        </w:rPr>
        <w:t> </w:t>
      </w:r>
      <w:r>
        <w:rPr>
          <w:color w:val="231F20"/>
        </w:rPr>
        <w:t>statements</w:t>
      </w:r>
      <w:r>
        <w:rPr>
          <w:color w:val="231F20"/>
          <w:spacing w:val="-7"/>
        </w:rPr>
        <w:t> </w:t>
      </w:r>
      <w:r>
        <w:rPr>
          <w:color w:val="231F20"/>
          <w:spacing w:val="-2"/>
        </w:rPr>
        <w:t>noted?</w:t>
      </w:r>
      <w:r>
        <w:rPr>
          <w:color w:val="231F20"/>
        </w:rPr>
        <w:tab/>
        <w:t>Yes</w:t>
      </w:r>
      <w:r>
        <w:rPr>
          <w:color w:val="231F20"/>
          <w:spacing w:val="44"/>
        </w:rPr>
        <w:t> </w:t>
      </w:r>
      <w:r>
        <w:rPr>
          <w:color w:val="231F20"/>
          <w:position w:val="-2"/>
        </w:rPr>
        <w:drawing>
          <wp:inline distT="0" distB="0" distL="0" distR="0">
            <wp:extent cx="127254" cy="127254"/>
            <wp:effectExtent l="0" t="0" r="0" b="0"/>
            <wp:docPr id="15" name="image27.png"/>
            <wp:cNvGraphicFramePr>
              <a:graphicFrameLocks noChangeAspect="1"/>
            </wp:cNvGraphicFramePr>
            <a:graphic>
              <a:graphicData uri="http://schemas.openxmlformats.org/drawingml/2006/picture">
                <pic:pic>
                  <pic:nvPicPr>
                    <pic:cNvPr id="16" name="image27.png"/>
                    <pic:cNvPicPr/>
                  </pic:nvPicPr>
                  <pic:blipFill>
                    <a:blip r:embed="rId88" cstate="print"/>
                    <a:stretch>
                      <a:fillRect/>
                    </a:stretch>
                  </pic:blipFill>
                  <pic:spPr>
                    <a:xfrm>
                      <a:off x="0" y="0"/>
                      <a:ext cx="127254" cy="127254"/>
                    </a:xfrm>
                    <a:prstGeom prst="rect">
                      <a:avLst/>
                    </a:prstGeom>
                  </pic:spPr>
                </pic:pic>
              </a:graphicData>
            </a:graphic>
          </wp:inline>
        </w:drawing>
      </w:r>
      <w:r>
        <w:rPr>
          <w:color w:val="231F20"/>
          <w:position w:val="-2"/>
        </w:rPr>
      </w:r>
      <w:r>
        <w:rPr>
          <w:rFonts w:ascii="Times New Roman"/>
          <w:color w:val="231F20"/>
          <w:spacing w:val="27"/>
        </w:rPr>
        <w:t> </w:t>
      </w:r>
      <w:r>
        <w:rPr>
          <w:color w:val="231F20"/>
          <w:spacing w:val="-5"/>
        </w:rPr>
        <w:t>No</w:t>
      </w:r>
    </w:p>
    <w:p>
      <w:pPr>
        <w:pStyle w:val="BodyText"/>
        <w:spacing w:before="8"/>
        <w:rPr>
          <w:sz w:val="16"/>
        </w:rPr>
      </w:pPr>
    </w:p>
    <w:p>
      <w:pPr>
        <w:pStyle w:val="Heading4"/>
        <w:spacing w:before="94"/>
        <w:ind w:left="900"/>
      </w:pPr>
      <w:r>
        <w:rPr>
          <w:color w:val="231F20"/>
        </w:rPr>
        <w:t>Federal</w:t>
      </w:r>
      <w:r>
        <w:rPr>
          <w:color w:val="231F20"/>
          <w:spacing w:val="-4"/>
        </w:rPr>
        <w:t> </w:t>
      </w:r>
      <w:r>
        <w:rPr>
          <w:color w:val="231F20"/>
          <w:spacing w:val="-2"/>
        </w:rPr>
        <w:t>Awards</w:t>
      </w:r>
    </w:p>
    <w:p>
      <w:pPr>
        <w:pStyle w:val="BodyText"/>
        <w:rPr>
          <w:b/>
          <w:sz w:val="26"/>
        </w:rPr>
      </w:pPr>
    </w:p>
    <w:p>
      <w:pPr>
        <w:pStyle w:val="BodyText"/>
        <w:ind w:left="900"/>
      </w:pPr>
      <w:r>
        <w:rPr>
          <w:color w:val="231F20"/>
        </w:rPr>
        <w:t>Internal</w:t>
      </w:r>
      <w:r>
        <w:rPr>
          <w:color w:val="231F20"/>
          <w:spacing w:val="-4"/>
        </w:rPr>
        <w:t> </w:t>
      </w:r>
      <w:r>
        <w:rPr>
          <w:color w:val="231F20"/>
        </w:rPr>
        <w:t>control</w:t>
      </w:r>
      <w:r>
        <w:rPr>
          <w:color w:val="231F20"/>
          <w:spacing w:val="-4"/>
        </w:rPr>
        <w:t> </w:t>
      </w:r>
      <w:r>
        <w:rPr>
          <w:color w:val="231F20"/>
        </w:rPr>
        <w:t>over</w:t>
      </w:r>
      <w:r>
        <w:rPr>
          <w:color w:val="231F20"/>
          <w:spacing w:val="-4"/>
        </w:rPr>
        <w:t> </w:t>
      </w:r>
      <w:r>
        <w:rPr>
          <w:color w:val="231F20"/>
        </w:rPr>
        <w:t>major</w:t>
      </w:r>
      <w:r>
        <w:rPr>
          <w:color w:val="231F20"/>
          <w:spacing w:val="-4"/>
        </w:rPr>
        <w:t> </w:t>
      </w:r>
      <w:r>
        <w:rPr>
          <w:color w:val="231F20"/>
        </w:rPr>
        <w:t>federal</w:t>
      </w:r>
      <w:r>
        <w:rPr>
          <w:color w:val="231F20"/>
          <w:spacing w:val="-3"/>
        </w:rPr>
        <w:t> </w:t>
      </w:r>
      <w:r>
        <w:rPr>
          <w:color w:val="231F20"/>
          <w:spacing w:val="-2"/>
        </w:rPr>
        <w:t>programs:</w:t>
      </w:r>
    </w:p>
    <w:p>
      <w:pPr>
        <w:pStyle w:val="BodyText"/>
        <w:spacing w:before="4"/>
        <w:rPr>
          <w:sz w:val="17"/>
        </w:rPr>
      </w:pPr>
    </w:p>
    <w:p>
      <w:pPr>
        <w:spacing w:after="0"/>
        <w:rPr>
          <w:sz w:val="17"/>
        </w:rPr>
        <w:sectPr>
          <w:type w:val="continuous"/>
          <w:pgSz w:w="12240" w:h="15840"/>
          <w:pgMar w:header="850" w:footer="1097" w:top="1460" w:bottom="280" w:left="540" w:right="500"/>
        </w:sectPr>
      </w:pPr>
    </w:p>
    <w:p>
      <w:pPr>
        <w:pStyle w:val="ListParagraph"/>
        <w:numPr>
          <w:ilvl w:val="0"/>
          <w:numId w:val="15"/>
        </w:numPr>
        <w:tabs>
          <w:tab w:pos="1259" w:val="left" w:leader="none"/>
          <w:tab w:pos="1261" w:val="left" w:leader="none"/>
        </w:tabs>
        <w:spacing w:line="240" w:lineRule="auto" w:before="101" w:after="0"/>
        <w:ind w:left="1260" w:right="0" w:hanging="361"/>
        <w:jc w:val="left"/>
        <w:rPr>
          <w:sz w:val="20"/>
        </w:rPr>
      </w:pPr>
      <w:r>
        <w:rPr>
          <w:color w:val="231F20"/>
          <w:sz w:val="20"/>
        </w:rPr>
        <w:t>Material</w:t>
      </w:r>
      <w:r>
        <w:rPr>
          <w:color w:val="231F20"/>
          <w:spacing w:val="-11"/>
          <w:sz w:val="20"/>
        </w:rPr>
        <w:t> </w:t>
      </w:r>
      <w:r>
        <w:rPr>
          <w:color w:val="231F20"/>
          <w:sz w:val="20"/>
        </w:rPr>
        <w:t>weakness(es)</w:t>
      </w:r>
      <w:r>
        <w:rPr>
          <w:color w:val="231F20"/>
          <w:spacing w:val="-9"/>
          <w:sz w:val="20"/>
        </w:rPr>
        <w:t> </w:t>
      </w:r>
      <w:r>
        <w:rPr>
          <w:color w:val="231F20"/>
          <w:spacing w:val="-2"/>
          <w:sz w:val="20"/>
        </w:rPr>
        <w:t>identified?</w:t>
      </w:r>
    </w:p>
    <w:p>
      <w:pPr>
        <w:pStyle w:val="ListParagraph"/>
        <w:numPr>
          <w:ilvl w:val="0"/>
          <w:numId w:val="15"/>
        </w:numPr>
        <w:tabs>
          <w:tab w:pos="1260" w:val="left" w:leader="none"/>
          <w:tab w:pos="1261" w:val="left" w:leader="none"/>
        </w:tabs>
        <w:spacing w:line="240" w:lineRule="auto" w:before="33" w:after="0"/>
        <w:ind w:left="1260" w:right="0" w:hanging="361"/>
        <w:jc w:val="left"/>
        <w:rPr>
          <w:sz w:val="20"/>
        </w:rPr>
      </w:pPr>
      <w:r>
        <w:rPr>
          <w:color w:val="231F20"/>
          <w:sz w:val="20"/>
        </w:rPr>
        <w:t>Significant</w:t>
      </w:r>
      <w:r>
        <w:rPr>
          <w:color w:val="231F20"/>
          <w:spacing w:val="-12"/>
          <w:sz w:val="20"/>
        </w:rPr>
        <w:t> </w:t>
      </w:r>
      <w:r>
        <w:rPr>
          <w:color w:val="231F20"/>
          <w:sz w:val="20"/>
        </w:rPr>
        <w:t>deficiency(ies)</w:t>
      </w:r>
      <w:r>
        <w:rPr>
          <w:color w:val="231F20"/>
          <w:spacing w:val="-11"/>
          <w:sz w:val="20"/>
        </w:rPr>
        <w:t> </w:t>
      </w:r>
      <w:r>
        <w:rPr>
          <w:color w:val="231F20"/>
          <w:spacing w:val="-2"/>
          <w:sz w:val="20"/>
        </w:rPr>
        <w:t>identified?</w:t>
      </w:r>
    </w:p>
    <w:p>
      <w:pPr>
        <w:pStyle w:val="BodyText"/>
        <w:spacing w:before="114"/>
        <w:ind w:left="1171"/>
      </w:pPr>
      <w:r>
        <w:rPr/>
        <w:br w:type="column"/>
      </w:r>
      <w:r>
        <w:rPr>
          <w:color w:val="231F20"/>
        </w:rPr>
        <w:t>Yes</w:t>
      </w:r>
      <w:r>
        <w:rPr>
          <w:color w:val="231F20"/>
          <w:spacing w:val="46"/>
        </w:rPr>
        <w:t> </w:t>
      </w:r>
      <w:r>
        <w:rPr>
          <w:color w:val="231F20"/>
          <w:position w:val="-2"/>
        </w:rPr>
        <w:drawing>
          <wp:inline distT="0" distB="0" distL="0" distR="0">
            <wp:extent cx="127254" cy="127254"/>
            <wp:effectExtent l="0" t="0" r="0" b="0"/>
            <wp:docPr id="17" name="image27.png"/>
            <wp:cNvGraphicFramePr>
              <a:graphicFrameLocks noChangeAspect="1"/>
            </wp:cNvGraphicFramePr>
            <a:graphic>
              <a:graphicData uri="http://schemas.openxmlformats.org/drawingml/2006/picture">
                <pic:pic>
                  <pic:nvPicPr>
                    <pic:cNvPr id="18" name="image27.png"/>
                    <pic:cNvPicPr/>
                  </pic:nvPicPr>
                  <pic:blipFill>
                    <a:blip r:embed="rId88" cstate="print"/>
                    <a:stretch>
                      <a:fillRect/>
                    </a:stretch>
                  </pic:blipFill>
                  <pic:spPr>
                    <a:xfrm>
                      <a:off x="0" y="0"/>
                      <a:ext cx="127254" cy="127254"/>
                    </a:xfrm>
                    <a:prstGeom prst="rect">
                      <a:avLst/>
                    </a:prstGeom>
                  </pic:spPr>
                </pic:pic>
              </a:graphicData>
            </a:graphic>
          </wp:inline>
        </w:drawing>
      </w:r>
      <w:r>
        <w:rPr>
          <w:color w:val="231F20"/>
          <w:position w:val="-2"/>
        </w:rPr>
      </w:r>
      <w:r>
        <w:rPr>
          <w:rFonts w:ascii="Times New Roman"/>
          <w:color w:val="231F20"/>
          <w:spacing w:val="27"/>
        </w:rPr>
        <w:t> </w:t>
      </w:r>
      <w:r>
        <w:rPr>
          <w:color w:val="231F20"/>
          <w:spacing w:val="-5"/>
        </w:rPr>
        <w:t>No</w:t>
      </w:r>
    </w:p>
    <w:p>
      <w:pPr>
        <w:pStyle w:val="BodyText"/>
        <w:tabs>
          <w:tab w:pos="1891" w:val="left" w:leader="none"/>
        </w:tabs>
        <w:spacing w:before="48"/>
        <w:ind w:left="900"/>
      </w:pPr>
      <w:r>
        <w:rPr/>
        <w:pict>
          <v:rect style="position:absolute;margin-left:361.080994pt;margin-top:-10.359811pt;width:9.3pt;height:9.3pt;mso-position-horizontal-relative:page;mso-position-vertical-relative:paragraph;z-index:15867392" id="docshape616" filled="false" stroked="true" strokeweight=".72pt" strokecolor="#231f20">
            <v:stroke dashstyle="solid"/>
            <w10:wrap type="none"/>
          </v:rect>
        </w:pict>
      </w:r>
      <w:r>
        <w:rPr/>
        <w:pict>
          <v:rect style="position:absolute;margin-left:397.080994pt;margin-top:3.560189pt;width:9.3pt;height:9.3pt;mso-position-horizontal-relative:page;mso-position-vertical-relative:paragraph;z-index:-28245504" id="docshape617" filled="false" stroked="true" strokeweight=".72pt" strokecolor="#231f20">
            <v:stroke dashstyle="solid"/>
            <w10:wrap type="none"/>
          </v:rect>
        </w:pict>
      </w:r>
      <w:r>
        <w:rPr>
          <w:position w:val="-2"/>
        </w:rPr>
        <w:drawing>
          <wp:inline distT="0" distB="0" distL="0" distR="0">
            <wp:extent cx="127254" cy="127254"/>
            <wp:effectExtent l="0" t="0" r="0" b="0"/>
            <wp:docPr id="19" name="image27.png"/>
            <wp:cNvGraphicFramePr>
              <a:graphicFrameLocks noChangeAspect="1"/>
            </wp:cNvGraphicFramePr>
            <a:graphic>
              <a:graphicData uri="http://schemas.openxmlformats.org/drawingml/2006/picture">
                <pic:pic>
                  <pic:nvPicPr>
                    <pic:cNvPr id="20" name="image27.png"/>
                    <pic:cNvPicPr/>
                  </pic:nvPicPr>
                  <pic:blipFill>
                    <a:blip r:embed="rId88" cstate="print"/>
                    <a:stretch>
                      <a:fillRect/>
                    </a:stretch>
                  </pic:blipFill>
                  <pic:spPr>
                    <a:xfrm>
                      <a:off x="0" y="0"/>
                      <a:ext cx="127254" cy="127254"/>
                    </a:xfrm>
                    <a:prstGeom prst="rect">
                      <a:avLst/>
                    </a:prstGeom>
                  </pic:spPr>
                </pic:pic>
              </a:graphicData>
            </a:graphic>
          </wp:inline>
        </w:drawing>
      </w:r>
      <w:r>
        <w:rPr>
          <w:position w:val="-2"/>
        </w:rPr>
      </w:r>
      <w:r>
        <w:rPr>
          <w:rFonts w:ascii="Times New Roman"/>
        </w:rPr>
        <w:t> </w:t>
      </w:r>
      <w:r>
        <w:rPr>
          <w:color w:val="231F20"/>
        </w:rPr>
        <w:t>Yes</w:t>
        <w:tab/>
        <w:t>None</w:t>
      </w:r>
      <w:r>
        <w:rPr>
          <w:color w:val="231F20"/>
          <w:spacing w:val="-4"/>
        </w:rPr>
        <w:t> </w:t>
      </w:r>
      <w:r>
        <w:rPr>
          <w:color w:val="231F20"/>
          <w:spacing w:val="-2"/>
        </w:rPr>
        <w:t>reported</w:t>
      </w:r>
    </w:p>
    <w:p>
      <w:pPr>
        <w:spacing w:after="0"/>
        <w:sectPr>
          <w:type w:val="continuous"/>
          <w:pgSz w:w="12240" w:h="15840"/>
          <w:pgMar w:header="850" w:footer="1097" w:top="1460" w:bottom="280" w:left="540" w:right="500"/>
          <w:cols w:num="2" w:equalWidth="0">
            <w:col w:w="4525" w:space="1249"/>
            <w:col w:w="5426"/>
          </w:cols>
        </w:sectPr>
      </w:pPr>
    </w:p>
    <w:p>
      <w:pPr>
        <w:pStyle w:val="BodyText"/>
        <w:spacing w:before="2"/>
        <w:rPr>
          <w:sz w:val="17"/>
        </w:rPr>
      </w:pPr>
    </w:p>
    <w:p>
      <w:pPr>
        <w:pStyle w:val="BodyText"/>
        <w:spacing w:before="94"/>
        <w:ind w:left="900"/>
      </w:pPr>
      <w:r>
        <w:rPr>
          <w:color w:val="231F20"/>
        </w:rPr>
        <w:t>Any</w:t>
      </w:r>
      <w:r>
        <w:rPr>
          <w:color w:val="231F20"/>
          <w:spacing w:val="-7"/>
        </w:rPr>
        <w:t> </w:t>
      </w:r>
      <w:r>
        <w:rPr>
          <w:color w:val="231F20"/>
        </w:rPr>
        <w:t>audit</w:t>
      </w:r>
      <w:r>
        <w:rPr>
          <w:color w:val="231F20"/>
          <w:spacing w:val="-5"/>
        </w:rPr>
        <w:t> </w:t>
      </w:r>
      <w:r>
        <w:rPr>
          <w:color w:val="231F20"/>
        </w:rPr>
        <w:t>findings</w:t>
      </w:r>
      <w:r>
        <w:rPr>
          <w:color w:val="231F20"/>
          <w:spacing w:val="-5"/>
        </w:rPr>
        <w:t> </w:t>
      </w:r>
      <w:r>
        <w:rPr>
          <w:color w:val="231F20"/>
        </w:rPr>
        <w:t>disclosed</w:t>
      </w:r>
      <w:r>
        <w:rPr>
          <w:color w:val="231F20"/>
          <w:spacing w:val="-4"/>
        </w:rPr>
        <w:t> </w:t>
      </w:r>
      <w:r>
        <w:rPr>
          <w:color w:val="231F20"/>
        </w:rPr>
        <w:t>that</w:t>
      </w:r>
      <w:r>
        <w:rPr>
          <w:color w:val="231F20"/>
          <w:spacing w:val="-5"/>
        </w:rPr>
        <w:t> </w:t>
      </w:r>
      <w:r>
        <w:rPr>
          <w:color w:val="231F20"/>
        </w:rPr>
        <w:t>are</w:t>
      </w:r>
      <w:r>
        <w:rPr>
          <w:color w:val="231F20"/>
          <w:spacing w:val="-5"/>
        </w:rPr>
        <w:t> </w:t>
      </w:r>
      <w:r>
        <w:rPr>
          <w:color w:val="231F20"/>
        </w:rPr>
        <w:t>required</w:t>
      </w:r>
      <w:r>
        <w:rPr>
          <w:color w:val="231F20"/>
          <w:spacing w:val="-4"/>
        </w:rPr>
        <w:t> </w:t>
      </w:r>
      <w:r>
        <w:rPr>
          <w:color w:val="231F20"/>
        </w:rPr>
        <w:t>to</w:t>
      </w:r>
      <w:r>
        <w:rPr>
          <w:color w:val="231F20"/>
          <w:spacing w:val="-5"/>
        </w:rPr>
        <w:t> </w:t>
      </w:r>
      <w:r>
        <w:rPr>
          <w:color w:val="231F20"/>
        </w:rPr>
        <w:t>be</w:t>
      </w:r>
      <w:r>
        <w:rPr>
          <w:color w:val="231F20"/>
          <w:spacing w:val="-5"/>
        </w:rPr>
        <w:t> </w:t>
      </w:r>
      <w:r>
        <w:rPr>
          <w:color w:val="231F20"/>
          <w:spacing w:val="-2"/>
        </w:rPr>
        <w:t>reported</w:t>
      </w:r>
    </w:p>
    <w:p>
      <w:pPr>
        <w:pStyle w:val="BodyText"/>
        <w:tabs>
          <w:tab w:pos="6674" w:val="left" w:leader="none"/>
          <w:tab w:pos="7665" w:val="left" w:leader="none"/>
        </w:tabs>
        <w:spacing w:before="28"/>
        <w:ind w:left="900"/>
      </w:pPr>
      <w:r>
        <w:rPr/>
        <w:pict>
          <v:rect style="position:absolute;margin-left:397.080994pt;margin-top:2.562237pt;width:9.3pt;height:9.3001pt;mso-position-horizontal-relative:page;mso-position-vertical-relative:paragraph;z-index:-28244992" id="docshape618" filled="false" stroked="true" strokeweight=".72pt" strokecolor="#231f20">
            <v:stroke dashstyle="solid"/>
            <w10:wrap type="none"/>
          </v:rect>
        </w:pict>
      </w:r>
      <w:r>
        <w:rPr>
          <w:color w:val="231F20"/>
        </w:rPr>
        <w:t>in</w:t>
      </w:r>
      <w:r>
        <w:rPr>
          <w:color w:val="231F20"/>
          <w:spacing w:val="-5"/>
        </w:rPr>
        <w:t> </w:t>
      </w:r>
      <w:r>
        <w:rPr>
          <w:color w:val="231F20"/>
        </w:rPr>
        <w:t>accordance</w:t>
      </w:r>
      <w:r>
        <w:rPr>
          <w:color w:val="231F20"/>
          <w:spacing w:val="-4"/>
        </w:rPr>
        <w:t> </w:t>
      </w:r>
      <w:r>
        <w:rPr>
          <w:color w:val="231F20"/>
        </w:rPr>
        <w:t>with</w:t>
      </w:r>
      <w:r>
        <w:rPr>
          <w:color w:val="231F20"/>
          <w:spacing w:val="-4"/>
        </w:rPr>
        <w:t> </w:t>
      </w:r>
      <w:r>
        <w:rPr>
          <w:color w:val="231F20"/>
        </w:rPr>
        <w:t>2</w:t>
      </w:r>
      <w:r>
        <w:rPr>
          <w:color w:val="231F20"/>
          <w:spacing w:val="-4"/>
        </w:rPr>
        <w:t> </w:t>
      </w:r>
      <w:r>
        <w:rPr>
          <w:color w:val="231F20"/>
        </w:rPr>
        <w:t>CFR</w:t>
      </w:r>
      <w:r>
        <w:rPr>
          <w:color w:val="231F20"/>
          <w:spacing w:val="-5"/>
        </w:rPr>
        <w:t> </w:t>
      </w:r>
      <w:r>
        <w:rPr>
          <w:color w:val="231F20"/>
          <w:spacing w:val="-2"/>
        </w:rPr>
        <w:t>200.516(a)?</w:t>
      </w:r>
      <w:r>
        <w:rPr>
          <w:color w:val="231F20"/>
        </w:rPr>
        <w:tab/>
      </w:r>
      <w:r>
        <w:rPr>
          <w:color w:val="231F20"/>
          <w:position w:val="-2"/>
        </w:rPr>
        <w:drawing>
          <wp:inline distT="0" distB="0" distL="0" distR="0">
            <wp:extent cx="127254" cy="127255"/>
            <wp:effectExtent l="0" t="0" r="0" b="0"/>
            <wp:docPr id="21" name="image25.png"/>
            <wp:cNvGraphicFramePr>
              <a:graphicFrameLocks noChangeAspect="1"/>
            </wp:cNvGraphicFramePr>
            <a:graphic>
              <a:graphicData uri="http://schemas.openxmlformats.org/drawingml/2006/picture">
                <pic:pic>
                  <pic:nvPicPr>
                    <pic:cNvPr id="22" name="image25.png"/>
                    <pic:cNvPicPr/>
                  </pic:nvPicPr>
                  <pic:blipFill>
                    <a:blip r:embed="rId86" cstate="print"/>
                    <a:stretch>
                      <a:fillRect/>
                    </a:stretch>
                  </pic:blipFill>
                  <pic:spPr>
                    <a:xfrm>
                      <a:off x="0" y="0"/>
                      <a:ext cx="127254" cy="127255"/>
                    </a:xfrm>
                    <a:prstGeom prst="rect">
                      <a:avLst/>
                    </a:prstGeom>
                  </pic:spPr>
                </pic:pic>
              </a:graphicData>
            </a:graphic>
          </wp:inline>
        </w:drawing>
      </w:r>
      <w:r>
        <w:rPr>
          <w:color w:val="231F20"/>
          <w:position w:val="-2"/>
        </w:rPr>
      </w:r>
      <w:r>
        <w:rPr>
          <w:rFonts w:ascii="Times New Roman"/>
          <w:color w:val="231F20"/>
        </w:rPr>
        <w:t> </w:t>
      </w:r>
      <w:r>
        <w:rPr>
          <w:color w:val="231F20"/>
        </w:rPr>
        <w:t>Yes</w:t>
        <w:tab/>
      </w:r>
      <w:r>
        <w:rPr>
          <w:color w:val="231F20"/>
          <w:spacing w:val="-5"/>
        </w:rPr>
        <w:t>No</w:t>
      </w:r>
    </w:p>
    <w:p>
      <w:pPr>
        <w:pStyle w:val="BodyText"/>
        <w:spacing w:before="1"/>
        <w:rPr>
          <w:sz w:val="25"/>
        </w:rPr>
      </w:pPr>
    </w:p>
    <w:p>
      <w:pPr>
        <w:pStyle w:val="BodyText"/>
        <w:spacing w:line="268" w:lineRule="auto"/>
        <w:ind w:left="900" w:right="1027"/>
      </w:pPr>
      <w:r>
        <w:rPr>
          <w:color w:val="231F20"/>
        </w:rPr>
        <w:t>Identification</w:t>
      </w:r>
      <w:r>
        <w:rPr>
          <w:color w:val="231F20"/>
          <w:spacing w:val="-4"/>
        </w:rPr>
        <w:t> </w:t>
      </w:r>
      <w:r>
        <w:rPr>
          <w:color w:val="231F20"/>
        </w:rPr>
        <w:t>of</w:t>
      </w:r>
      <w:r>
        <w:rPr>
          <w:color w:val="231F20"/>
          <w:spacing w:val="-3"/>
        </w:rPr>
        <w:t> </w:t>
      </w:r>
      <w:r>
        <w:rPr>
          <w:color w:val="231F20"/>
        </w:rPr>
        <w:t>major</w:t>
      </w:r>
      <w:r>
        <w:rPr>
          <w:color w:val="231F20"/>
          <w:spacing w:val="-3"/>
        </w:rPr>
        <w:t> </w:t>
      </w:r>
      <w:r>
        <w:rPr>
          <w:color w:val="231F20"/>
        </w:rPr>
        <w:t>federal</w:t>
      </w:r>
      <w:r>
        <w:rPr>
          <w:color w:val="231F20"/>
          <w:spacing w:val="-3"/>
        </w:rPr>
        <w:t> </w:t>
      </w:r>
      <w:r>
        <w:rPr>
          <w:color w:val="231F20"/>
        </w:rPr>
        <w:t>programs</w:t>
      </w:r>
      <w:r>
        <w:rPr>
          <w:color w:val="231F20"/>
          <w:spacing w:val="-3"/>
        </w:rPr>
        <w:t> </w:t>
      </w:r>
      <w:r>
        <w:rPr>
          <w:color w:val="231F20"/>
        </w:rPr>
        <w:t>and</w:t>
      </w:r>
      <w:r>
        <w:rPr>
          <w:color w:val="231F20"/>
          <w:spacing w:val="-3"/>
        </w:rPr>
        <w:t> </w:t>
      </w:r>
      <w:r>
        <w:rPr>
          <w:color w:val="231F20"/>
        </w:rPr>
        <w:t>type</w:t>
      </w:r>
      <w:r>
        <w:rPr>
          <w:color w:val="231F20"/>
          <w:spacing w:val="-3"/>
        </w:rPr>
        <w:t> </w:t>
      </w:r>
      <w:r>
        <w:rPr>
          <w:color w:val="231F20"/>
        </w:rPr>
        <w:t>of</w:t>
      </w:r>
      <w:r>
        <w:rPr>
          <w:color w:val="231F20"/>
          <w:spacing w:val="-3"/>
        </w:rPr>
        <w:t> </w:t>
      </w:r>
      <w:r>
        <w:rPr>
          <w:color w:val="231F20"/>
        </w:rPr>
        <w:t>auditor’s</w:t>
      </w:r>
      <w:r>
        <w:rPr>
          <w:color w:val="231F20"/>
          <w:spacing w:val="-3"/>
        </w:rPr>
        <w:t> </w:t>
      </w:r>
      <w:r>
        <w:rPr>
          <w:color w:val="231F20"/>
        </w:rPr>
        <w:t>report</w:t>
      </w:r>
      <w:r>
        <w:rPr>
          <w:color w:val="231F20"/>
          <w:spacing w:val="-4"/>
        </w:rPr>
        <w:t> </w:t>
      </w:r>
      <w:r>
        <w:rPr>
          <w:color w:val="231F20"/>
        </w:rPr>
        <w:t>issued</w:t>
      </w:r>
      <w:r>
        <w:rPr>
          <w:color w:val="231F20"/>
          <w:spacing w:val="-3"/>
        </w:rPr>
        <w:t> </w:t>
      </w:r>
      <w:r>
        <w:rPr>
          <w:color w:val="231F20"/>
        </w:rPr>
        <w:t>on</w:t>
      </w:r>
      <w:r>
        <w:rPr>
          <w:color w:val="231F20"/>
          <w:spacing w:val="-4"/>
        </w:rPr>
        <w:t> </w:t>
      </w:r>
      <w:r>
        <w:rPr>
          <w:color w:val="231F20"/>
        </w:rPr>
        <w:t>compliance</w:t>
      </w:r>
      <w:r>
        <w:rPr>
          <w:color w:val="231F20"/>
          <w:spacing w:val="-3"/>
        </w:rPr>
        <w:t> </w:t>
      </w:r>
      <w:r>
        <w:rPr>
          <w:color w:val="231F20"/>
        </w:rPr>
        <w:t>for</w:t>
      </w:r>
      <w:r>
        <w:rPr>
          <w:color w:val="231F20"/>
          <w:spacing w:val="-4"/>
        </w:rPr>
        <w:t> </w:t>
      </w:r>
      <w:r>
        <w:rPr>
          <w:color w:val="231F20"/>
        </w:rPr>
        <w:t>major federal programs:</w:t>
      </w:r>
    </w:p>
    <w:p>
      <w:pPr>
        <w:pStyle w:val="BodyText"/>
        <w:spacing w:before="7"/>
        <w:rPr>
          <w:sz w:val="22"/>
        </w:rPr>
      </w:pPr>
    </w:p>
    <w:tbl>
      <w:tblPr>
        <w:tblW w:w="0" w:type="auto"/>
        <w:jc w:val="left"/>
        <w:tblInd w:w="917" w:type="dxa"/>
        <w:tblBorders>
          <w:top w:val="single" w:sz="12" w:space="0" w:color="6D6E71"/>
          <w:left w:val="single" w:sz="12" w:space="0" w:color="6D6E71"/>
          <w:bottom w:val="single" w:sz="12" w:space="0" w:color="6D6E71"/>
          <w:right w:val="single" w:sz="12" w:space="0" w:color="6D6E71"/>
          <w:insideH w:val="single" w:sz="12" w:space="0" w:color="6D6E71"/>
          <w:insideV w:val="single" w:sz="12" w:space="0" w:color="6D6E71"/>
        </w:tblBorders>
        <w:tblLayout w:type="fixed"/>
        <w:tblCellMar>
          <w:top w:w="0" w:type="dxa"/>
          <w:left w:w="0" w:type="dxa"/>
          <w:bottom w:w="0" w:type="dxa"/>
          <w:right w:w="0" w:type="dxa"/>
        </w:tblCellMar>
        <w:tblLook w:val="01E0"/>
      </w:tblPr>
      <w:tblGrid>
        <w:gridCol w:w="1112"/>
        <w:gridCol w:w="832"/>
        <w:gridCol w:w="4581"/>
        <w:gridCol w:w="1505"/>
        <w:gridCol w:w="1315"/>
      </w:tblGrid>
      <w:tr>
        <w:trPr>
          <w:trHeight w:val="775" w:hRule="atLeast"/>
        </w:trPr>
        <w:tc>
          <w:tcPr>
            <w:tcW w:w="1112" w:type="dxa"/>
            <w:tcBorders>
              <w:left w:val="single" w:sz="8" w:space="0" w:color="6D6E71"/>
              <w:right w:val="nil"/>
            </w:tcBorders>
            <w:shd w:val="clear" w:color="auto" w:fill="CFCFD0"/>
          </w:tcPr>
          <w:p>
            <w:pPr>
              <w:pStyle w:val="TableParagraph"/>
              <w:spacing w:before="10"/>
              <w:rPr>
                <w:sz w:val="19"/>
              </w:rPr>
            </w:pPr>
          </w:p>
          <w:p>
            <w:pPr>
              <w:pStyle w:val="TableParagraph"/>
              <w:spacing w:line="260" w:lineRule="atLeast"/>
              <w:ind w:left="116"/>
              <w:rPr>
                <w:i/>
                <w:sz w:val="20"/>
              </w:rPr>
            </w:pPr>
            <w:r>
              <w:rPr>
                <w:i/>
                <w:color w:val="231F20"/>
                <w:spacing w:val="-2"/>
                <w:sz w:val="20"/>
              </w:rPr>
              <w:t>Assistance</w:t>
            </w:r>
            <w:r>
              <w:rPr>
                <w:i/>
                <w:color w:val="231F20"/>
                <w:spacing w:val="-2"/>
                <w:sz w:val="20"/>
              </w:rPr>
              <w:t> Number(s)</w:t>
            </w:r>
          </w:p>
        </w:tc>
        <w:tc>
          <w:tcPr>
            <w:tcW w:w="832" w:type="dxa"/>
            <w:tcBorders>
              <w:left w:val="nil"/>
              <w:right w:val="nil"/>
            </w:tcBorders>
            <w:shd w:val="clear" w:color="auto" w:fill="CFCFD0"/>
          </w:tcPr>
          <w:p>
            <w:pPr>
              <w:pStyle w:val="TableParagraph"/>
              <w:spacing w:before="5"/>
              <w:rPr>
                <w:sz w:val="22"/>
              </w:rPr>
            </w:pPr>
          </w:p>
          <w:p>
            <w:pPr>
              <w:pStyle w:val="TableParagraph"/>
              <w:spacing w:before="1"/>
              <w:ind w:left="37"/>
              <w:rPr>
                <w:i/>
                <w:sz w:val="20"/>
              </w:rPr>
            </w:pPr>
            <w:r>
              <w:rPr>
                <w:i/>
                <w:color w:val="231F20"/>
                <w:spacing w:val="-2"/>
                <w:sz w:val="20"/>
              </w:rPr>
              <w:t>Listing</w:t>
            </w:r>
          </w:p>
        </w:tc>
        <w:tc>
          <w:tcPr>
            <w:tcW w:w="4581" w:type="dxa"/>
            <w:tcBorders>
              <w:left w:val="nil"/>
              <w:right w:val="nil"/>
            </w:tcBorders>
            <w:shd w:val="clear" w:color="auto" w:fill="CFCFD0"/>
          </w:tcPr>
          <w:p>
            <w:pPr>
              <w:pStyle w:val="TableParagraph"/>
              <w:rPr>
                <w:sz w:val="22"/>
              </w:rPr>
            </w:pPr>
          </w:p>
          <w:p>
            <w:pPr>
              <w:pStyle w:val="TableParagraph"/>
              <w:rPr>
                <w:sz w:val="23"/>
              </w:rPr>
            </w:pPr>
          </w:p>
          <w:p>
            <w:pPr>
              <w:pStyle w:val="TableParagraph"/>
              <w:ind w:left="235"/>
              <w:rPr>
                <w:i/>
                <w:sz w:val="20"/>
              </w:rPr>
            </w:pPr>
            <w:r>
              <w:rPr>
                <w:i/>
                <w:color w:val="231F20"/>
                <w:sz w:val="20"/>
              </w:rPr>
              <w:t>Name</w:t>
            </w:r>
            <w:r>
              <w:rPr>
                <w:i/>
                <w:color w:val="231F20"/>
                <w:spacing w:val="-4"/>
                <w:sz w:val="20"/>
              </w:rPr>
              <w:t> </w:t>
            </w:r>
            <w:r>
              <w:rPr>
                <w:i/>
                <w:color w:val="231F20"/>
                <w:sz w:val="20"/>
              </w:rPr>
              <w:t>of</w:t>
            </w:r>
            <w:r>
              <w:rPr>
                <w:i/>
                <w:color w:val="231F20"/>
                <w:spacing w:val="-3"/>
                <w:sz w:val="20"/>
              </w:rPr>
              <w:t> </w:t>
            </w:r>
            <w:r>
              <w:rPr>
                <w:i/>
                <w:color w:val="231F20"/>
                <w:sz w:val="20"/>
              </w:rPr>
              <w:t>Federal</w:t>
            </w:r>
            <w:r>
              <w:rPr>
                <w:i/>
                <w:color w:val="231F20"/>
                <w:spacing w:val="-4"/>
                <w:sz w:val="20"/>
              </w:rPr>
              <w:t> </w:t>
            </w:r>
            <w:r>
              <w:rPr>
                <w:i/>
                <w:color w:val="231F20"/>
                <w:sz w:val="20"/>
              </w:rPr>
              <w:t>Program</w:t>
            </w:r>
            <w:r>
              <w:rPr>
                <w:i/>
                <w:color w:val="231F20"/>
                <w:spacing w:val="-3"/>
                <w:sz w:val="20"/>
              </w:rPr>
              <w:t> </w:t>
            </w:r>
            <w:r>
              <w:rPr>
                <w:i/>
                <w:color w:val="231F20"/>
                <w:sz w:val="20"/>
              </w:rPr>
              <w:t>or</w:t>
            </w:r>
            <w:r>
              <w:rPr>
                <w:i/>
                <w:color w:val="231F20"/>
                <w:spacing w:val="-2"/>
                <w:sz w:val="20"/>
              </w:rPr>
              <w:t> Cluster</w:t>
            </w:r>
          </w:p>
        </w:tc>
        <w:tc>
          <w:tcPr>
            <w:tcW w:w="1505" w:type="dxa"/>
            <w:tcBorders>
              <w:left w:val="nil"/>
              <w:right w:val="nil"/>
            </w:tcBorders>
            <w:shd w:val="clear" w:color="auto" w:fill="CFCFD0"/>
          </w:tcPr>
          <w:p>
            <w:pPr>
              <w:pStyle w:val="TableParagraph"/>
              <w:spacing w:line="268" w:lineRule="auto" w:before="1"/>
              <w:ind w:left="252" w:right="-216"/>
              <w:rPr>
                <w:i/>
                <w:sz w:val="20"/>
              </w:rPr>
            </w:pPr>
            <w:r>
              <w:rPr>
                <w:i/>
                <w:color w:val="231F20"/>
                <w:sz w:val="20"/>
              </w:rPr>
              <w:t>Type of Audito</w:t>
            </w:r>
            <w:r>
              <w:rPr>
                <w:i/>
                <w:color w:val="231F20"/>
                <w:sz w:val="20"/>
              </w:rPr>
              <w:t> Issued</w:t>
            </w:r>
            <w:r>
              <w:rPr>
                <w:i/>
                <w:color w:val="231F20"/>
                <w:spacing w:val="-14"/>
                <w:sz w:val="20"/>
              </w:rPr>
              <w:t> </w:t>
            </w:r>
            <w:r>
              <w:rPr>
                <w:i/>
                <w:color w:val="231F20"/>
                <w:sz w:val="20"/>
              </w:rPr>
              <w:t>on</w:t>
            </w:r>
            <w:r>
              <w:rPr>
                <w:i/>
                <w:color w:val="231F20"/>
                <w:spacing w:val="-14"/>
                <w:sz w:val="20"/>
              </w:rPr>
              <w:t> </w:t>
            </w:r>
            <w:r>
              <w:rPr>
                <w:i/>
                <w:color w:val="231F20"/>
                <w:sz w:val="20"/>
              </w:rPr>
              <w:t>Comp</w:t>
            </w:r>
          </w:p>
          <w:p>
            <w:pPr>
              <w:pStyle w:val="TableParagraph"/>
              <w:spacing w:before="2"/>
              <w:ind w:left="252"/>
              <w:rPr>
                <w:i/>
                <w:sz w:val="20"/>
              </w:rPr>
            </w:pPr>
            <w:r>
              <w:rPr>
                <w:i/>
                <w:color w:val="231F20"/>
                <w:sz w:val="20"/>
              </w:rPr>
              <w:t>Major</w:t>
            </w:r>
            <w:r>
              <w:rPr>
                <w:i/>
                <w:color w:val="231F20"/>
                <w:spacing w:val="-3"/>
                <w:sz w:val="20"/>
              </w:rPr>
              <w:t> </w:t>
            </w:r>
            <w:r>
              <w:rPr>
                <w:i/>
                <w:color w:val="231F20"/>
                <w:spacing w:val="-2"/>
                <w:sz w:val="20"/>
              </w:rPr>
              <w:t>Federal</w:t>
            </w:r>
          </w:p>
        </w:tc>
        <w:tc>
          <w:tcPr>
            <w:tcW w:w="1315" w:type="dxa"/>
            <w:tcBorders>
              <w:left w:val="nil"/>
              <w:right w:val="single" w:sz="8" w:space="0" w:color="6D6E71"/>
            </w:tcBorders>
            <w:shd w:val="clear" w:color="auto" w:fill="CFCFD0"/>
          </w:tcPr>
          <w:p>
            <w:pPr>
              <w:pStyle w:val="TableParagraph"/>
              <w:spacing w:line="268" w:lineRule="auto" w:before="1"/>
              <w:ind w:left="193" w:hanging="166"/>
              <w:rPr>
                <w:i/>
                <w:sz w:val="20"/>
              </w:rPr>
            </w:pPr>
            <w:r>
              <w:rPr>
                <w:i/>
                <w:color w:val="231F20"/>
                <w:sz w:val="20"/>
              </w:rPr>
              <w:t>r’s Report</w:t>
            </w:r>
            <w:r>
              <w:rPr>
                <w:i/>
                <w:color w:val="231F20"/>
                <w:sz w:val="20"/>
              </w:rPr>
              <w:t> liance</w:t>
            </w:r>
            <w:r>
              <w:rPr>
                <w:i/>
                <w:color w:val="231F20"/>
                <w:spacing w:val="-3"/>
                <w:sz w:val="20"/>
              </w:rPr>
              <w:t> </w:t>
            </w:r>
            <w:r>
              <w:rPr>
                <w:i/>
                <w:color w:val="231F20"/>
                <w:spacing w:val="-5"/>
                <w:sz w:val="20"/>
              </w:rPr>
              <w:t>for</w:t>
            </w:r>
          </w:p>
          <w:p>
            <w:pPr>
              <w:pStyle w:val="TableParagraph"/>
              <w:spacing w:before="2"/>
              <w:ind w:left="26"/>
              <w:rPr>
                <w:i/>
                <w:sz w:val="20"/>
              </w:rPr>
            </w:pPr>
            <w:r>
              <w:rPr>
                <w:i/>
                <w:color w:val="231F20"/>
                <w:spacing w:val="-2"/>
                <w:sz w:val="20"/>
              </w:rPr>
              <w:t>Programs</w:t>
            </w:r>
          </w:p>
        </w:tc>
      </w:tr>
      <w:tr>
        <w:trPr>
          <w:trHeight w:val="258" w:hRule="atLeast"/>
        </w:trPr>
        <w:tc>
          <w:tcPr>
            <w:tcW w:w="1112" w:type="dxa"/>
            <w:tcBorders>
              <w:left w:val="single" w:sz="8" w:space="0" w:color="6D6E71"/>
              <w:bottom w:val="single" w:sz="8" w:space="0" w:color="6D6E71"/>
              <w:right w:val="nil"/>
            </w:tcBorders>
          </w:tcPr>
          <w:p>
            <w:pPr>
              <w:pStyle w:val="TableParagraph"/>
              <w:spacing w:before="1"/>
              <w:ind w:left="116"/>
              <w:rPr>
                <w:sz w:val="20"/>
              </w:rPr>
            </w:pPr>
            <w:r>
              <w:rPr>
                <w:color w:val="231F20"/>
                <w:spacing w:val="-2"/>
                <w:sz w:val="20"/>
              </w:rPr>
              <w:t>Multiple</w:t>
            </w:r>
          </w:p>
        </w:tc>
        <w:tc>
          <w:tcPr>
            <w:tcW w:w="5413" w:type="dxa"/>
            <w:gridSpan w:val="2"/>
            <w:tcBorders>
              <w:left w:val="nil"/>
              <w:bottom w:val="single" w:sz="8" w:space="0" w:color="6D6E71"/>
              <w:right w:val="nil"/>
            </w:tcBorders>
          </w:tcPr>
          <w:p>
            <w:pPr>
              <w:pStyle w:val="TableParagraph"/>
              <w:spacing w:before="1"/>
              <w:ind w:left="1067"/>
              <w:rPr>
                <w:sz w:val="20"/>
              </w:rPr>
            </w:pPr>
            <w:r>
              <w:rPr>
                <w:color w:val="231F20"/>
                <w:sz w:val="20"/>
              </w:rPr>
              <w:t>Student</w:t>
            </w:r>
            <w:r>
              <w:rPr>
                <w:color w:val="231F20"/>
                <w:spacing w:val="-9"/>
                <w:sz w:val="20"/>
              </w:rPr>
              <w:t> </w:t>
            </w:r>
            <w:r>
              <w:rPr>
                <w:color w:val="231F20"/>
                <w:sz w:val="20"/>
              </w:rPr>
              <w:t>Financial</w:t>
            </w:r>
            <w:r>
              <w:rPr>
                <w:color w:val="231F20"/>
                <w:spacing w:val="-9"/>
                <w:sz w:val="20"/>
              </w:rPr>
              <w:t> </w:t>
            </w:r>
            <w:r>
              <w:rPr>
                <w:color w:val="231F20"/>
                <w:sz w:val="20"/>
              </w:rPr>
              <w:t>Assistance</w:t>
            </w:r>
            <w:r>
              <w:rPr>
                <w:color w:val="231F20"/>
                <w:spacing w:val="-8"/>
                <w:sz w:val="20"/>
              </w:rPr>
              <w:t> </w:t>
            </w:r>
            <w:r>
              <w:rPr>
                <w:color w:val="231F20"/>
                <w:spacing w:val="-2"/>
                <w:sz w:val="20"/>
              </w:rPr>
              <w:t>Cluster</w:t>
            </w:r>
          </w:p>
        </w:tc>
        <w:tc>
          <w:tcPr>
            <w:tcW w:w="2820" w:type="dxa"/>
            <w:gridSpan w:val="2"/>
            <w:tcBorders>
              <w:left w:val="nil"/>
              <w:bottom w:val="single" w:sz="8" w:space="0" w:color="6D6E71"/>
              <w:right w:val="single" w:sz="8" w:space="0" w:color="6D6E71"/>
            </w:tcBorders>
          </w:tcPr>
          <w:p>
            <w:pPr>
              <w:pStyle w:val="TableParagraph"/>
              <w:spacing w:before="1"/>
              <w:ind w:left="241"/>
              <w:rPr>
                <w:sz w:val="20"/>
              </w:rPr>
            </w:pPr>
            <w:r>
              <w:rPr>
                <w:color w:val="231F20"/>
                <w:spacing w:val="-2"/>
                <w:sz w:val="20"/>
              </w:rPr>
              <w:t>Unmodified</w:t>
            </w:r>
          </w:p>
        </w:tc>
      </w:tr>
      <w:tr>
        <w:trPr>
          <w:trHeight w:val="258" w:hRule="atLeast"/>
        </w:trPr>
        <w:tc>
          <w:tcPr>
            <w:tcW w:w="1112" w:type="dxa"/>
            <w:tcBorders>
              <w:top w:val="single" w:sz="8" w:space="0" w:color="6D6E71"/>
              <w:left w:val="single" w:sz="8" w:space="0" w:color="6D6E71"/>
              <w:bottom w:val="single" w:sz="8" w:space="0" w:color="6D6E71"/>
              <w:right w:val="nil"/>
            </w:tcBorders>
          </w:tcPr>
          <w:p>
            <w:pPr>
              <w:pStyle w:val="TableParagraph"/>
              <w:spacing w:before="1"/>
              <w:ind w:left="116"/>
              <w:rPr>
                <w:sz w:val="20"/>
              </w:rPr>
            </w:pPr>
            <w:r>
              <w:rPr>
                <w:color w:val="231F20"/>
                <w:spacing w:val="-2"/>
                <w:sz w:val="20"/>
              </w:rPr>
              <w:t>12.615</w:t>
            </w:r>
          </w:p>
        </w:tc>
        <w:tc>
          <w:tcPr>
            <w:tcW w:w="5413" w:type="dxa"/>
            <w:gridSpan w:val="2"/>
            <w:tcBorders>
              <w:top w:val="single" w:sz="8" w:space="0" w:color="6D6E71"/>
              <w:left w:val="nil"/>
              <w:bottom w:val="single" w:sz="8" w:space="0" w:color="6D6E71"/>
              <w:right w:val="nil"/>
            </w:tcBorders>
          </w:tcPr>
          <w:p>
            <w:pPr>
              <w:pStyle w:val="TableParagraph"/>
              <w:spacing w:before="1"/>
              <w:ind w:left="1067"/>
              <w:rPr>
                <w:sz w:val="20"/>
              </w:rPr>
            </w:pPr>
            <w:r>
              <w:rPr>
                <w:color w:val="231F20"/>
                <w:sz w:val="20"/>
              </w:rPr>
              <w:t>Research</w:t>
            </w:r>
            <w:r>
              <w:rPr>
                <w:color w:val="231F20"/>
                <w:spacing w:val="-4"/>
                <w:sz w:val="20"/>
              </w:rPr>
              <w:t> </w:t>
            </w:r>
            <w:r>
              <w:rPr>
                <w:color w:val="231F20"/>
                <w:sz w:val="20"/>
              </w:rPr>
              <w:t>and</w:t>
            </w:r>
            <w:r>
              <w:rPr>
                <w:color w:val="231F20"/>
                <w:spacing w:val="-4"/>
                <w:sz w:val="20"/>
              </w:rPr>
              <w:t> </w:t>
            </w:r>
            <w:r>
              <w:rPr>
                <w:color w:val="231F20"/>
                <w:sz w:val="20"/>
              </w:rPr>
              <w:t>Technical</w:t>
            </w:r>
            <w:r>
              <w:rPr>
                <w:color w:val="231F20"/>
                <w:spacing w:val="-3"/>
                <w:sz w:val="20"/>
              </w:rPr>
              <w:t> </w:t>
            </w:r>
            <w:r>
              <w:rPr>
                <w:color w:val="231F20"/>
                <w:spacing w:val="-2"/>
                <w:sz w:val="20"/>
              </w:rPr>
              <w:t>Assistance</w:t>
            </w:r>
          </w:p>
        </w:tc>
        <w:tc>
          <w:tcPr>
            <w:tcW w:w="2820" w:type="dxa"/>
            <w:gridSpan w:val="2"/>
            <w:tcBorders>
              <w:top w:val="single" w:sz="8" w:space="0" w:color="6D6E71"/>
              <w:left w:val="nil"/>
              <w:bottom w:val="single" w:sz="8" w:space="0" w:color="6D6E71"/>
              <w:right w:val="single" w:sz="8" w:space="0" w:color="6D6E71"/>
            </w:tcBorders>
          </w:tcPr>
          <w:p>
            <w:pPr>
              <w:pStyle w:val="TableParagraph"/>
              <w:spacing w:before="1"/>
              <w:ind w:left="240"/>
              <w:rPr>
                <w:sz w:val="20"/>
              </w:rPr>
            </w:pPr>
            <w:r>
              <w:rPr>
                <w:color w:val="231F20"/>
                <w:spacing w:val="-2"/>
                <w:sz w:val="20"/>
              </w:rPr>
              <w:t>Unmodified</w:t>
            </w:r>
          </w:p>
        </w:tc>
      </w:tr>
      <w:tr>
        <w:trPr>
          <w:trHeight w:val="258" w:hRule="atLeast"/>
        </w:trPr>
        <w:tc>
          <w:tcPr>
            <w:tcW w:w="1112" w:type="dxa"/>
            <w:tcBorders>
              <w:top w:val="single" w:sz="8" w:space="0" w:color="6D6E71"/>
              <w:left w:val="single" w:sz="8" w:space="0" w:color="6D6E71"/>
              <w:bottom w:val="single" w:sz="8" w:space="0" w:color="6D6E71"/>
              <w:right w:val="nil"/>
            </w:tcBorders>
          </w:tcPr>
          <w:p>
            <w:pPr>
              <w:pStyle w:val="TableParagraph"/>
              <w:spacing w:before="1"/>
              <w:ind w:left="116"/>
              <w:rPr>
                <w:sz w:val="20"/>
              </w:rPr>
            </w:pPr>
            <w:r>
              <w:rPr>
                <w:color w:val="231F20"/>
                <w:spacing w:val="-2"/>
                <w:sz w:val="20"/>
              </w:rPr>
              <w:t>12.800</w:t>
            </w:r>
          </w:p>
        </w:tc>
        <w:tc>
          <w:tcPr>
            <w:tcW w:w="5413" w:type="dxa"/>
            <w:gridSpan w:val="2"/>
            <w:tcBorders>
              <w:top w:val="single" w:sz="8" w:space="0" w:color="6D6E71"/>
              <w:left w:val="nil"/>
              <w:bottom w:val="single" w:sz="8" w:space="0" w:color="6D6E71"/>
              <w:right w:val="nil"/>
            </w:tcBorders>
          </w:tcPr>
          <w:p>
            <w:pPr>
              <w:pStyle w:val="TableParagraph"/>
              <w:spacing w:before="1"/>
              <w:ind w:left="1066"/>
              <w:rPr>
                <w:sz w:val="20"/>
              </w:rPr>
            </w:pPr>
            <w:r>
              <w:rPr>
                <w:color w:val="231F20"/>
                <w:sz w:val="20"/>
              </w:rPr>
              <w:t>Air</w:t>
            </w:r>
            <w:r>
              <w:rPr>
                <w:color w:val="231F20"/>
                <w:spacing w:val="-5"/>
                <w:sz w:val="20"/>
              </w:rPr>
              <w:t> </w:t>
            </w:r>
            <w:r>
              <w:rPr>
                <w:color w:val="231F20"/>
                <w:sz w:val="20"/>
              </w:rPr>
              <w:t>Force</w:t>
            </w:r>
            <w:r>
              <w:rPr>
                <w:color w:val="231F20"/>
                <w:spacing w:val="-4"/>
                <w:sz w:val="20"/>
              </w:rPr>
              <w:t> </w:t>
            </w:r>
            <w:r>
              <w:rPr>
                <w:color w:val="231F20"/>
                <w:sz w:val="20"/>
              </w:rPr>
              <w:t>Defense</w:t>
            </w:r>
            <w:r>
              <w:rPr>
                <w:color w:val="231F20"/>
                <w:spacing w:val="-5"/>
                <w:sz w:val="20"/>
              </w:rPr>
              <w:t> </w:t>
            </w:r>
            <w:r>
              <w:rPr>
                <w:color w:val="231F20"/>
                <w:sz w:val="20"/>
              </w:rPr>
              <w:t>Research</w:t>
            </w:r>
            <w:r>
              <w:rPr>
                <w:color w:val="231F20"/>
                <w:spacing w:val="-4"/>
                <w:sz w:val="20"/>
              </w:rPr>
              <w:t> </w:t>
            </w:r>
            <w:r>
              <w:rPr>
                <w:color w:val="231F20"/>
                <w:sz w:val="20"/>
              </w:rPr>
              <w:t>Science</w:t>
            </w:r>
            <w:r>
              <w:rPr>
                <w:color w:val="231F20"/>
                <w:spacing w:val="-4"/>
                <w:sz w:val="20"/>
              </w:rPr>
              <w:t> </w:t>
            </w:r>
            <w:r>
              <w:rPr>
                <w:color w:val="231F20"/>
                <w:spacing w:val="-2"/>
                <w:sz w:val="20"/>
              </w:rPr>
              <w:t>Program</w:t>
            </w:r>
          </w:p>
        </w:tc>
        <w:tc>
          <w:tcPr>
            <w:tcW w:w="2820" w:type="dxa"/>
            <w:gridSpan w:val="2"/>
            <w:tcBorders>
              <w:top w:val="single" w:sz="8" w:space="0" w:color="6D6E71"/>
              <w:left w:val="nil"/>
              <w:bottom w:val="single" w:sz="8" w:space="0" w:color="6D6E71"/>
              <w:right w:val="single" w:sz="8" w:space="0" w:color="6D6E71"/>
            </w:tcBorders>
          </w:tcPr>
          <w:p>
            <w:pPr>
              <w:pStyle w:val="TableParagraph"/>
              <w:spacing w:before="1"/>
              <w:ind w:left="241"/>
              <w:rPr>
                <w:sz w:val="20"/>
              </w:rPr>
            </w:pPr>
            <w:r>
              <w:rPr>
                <w:color w:val="231F20"/>
                <w:spacing w:val="-2"/>
                <w:sz w:val="20"/>
              </w:rPr>
              <w:t>Unmodified</w:t>
            </w:r>
          </w:p>
        </w:tc>
      </w:tr>
      <w:tr>
        <w:trPr>
          <w:trHeight w:val="259" w:hRule="atLeast"/>
        </w:trPr>
        <w:tc>
          <w:tcPr>
            <w:tcW w:w="1112" w:type="dxa"/>
            <w:tcBorders>
              <w:top w:val="single" w:sz="8" w:space="0" w:color="6D6E71"/>
              <w:left w:val="single" w:sz="8" w:space="0" w:color="6D6E71"/>
              <w:bottom w:val="single" w:sz="8" w:space="0" w:color="6D6E71"/>
              <w:right w:val="nil"/>
            </w:tcBorders>
          </w:tcPr>
          <w:p>
            <w:pPr>
              <w:pStyle w:val="TableParagraph"/>
              <w:spacing w:before="1"/>
              <w:ind w:left="116"/>
              <w:rPr>
                <w:sz w:val="20"/>
              </w:rPr>
            </w:pPr>
            <w:r>
              <w:rPr>
                <w:color w:val="231F20"/>
                <w:spacing w:val="-2"/>
                <w:sz w:val="20"/>
              </w:rPr>
              <w:t>84.425</w:t>
            </w:r>
          </w:p>
        </w:tc>
        <w:tc>
          <w:tcPr>
            <w:tcW w:w="5413" w:type="dxa"/>
            <w:gridSpan w:val="2"/>
            <w:tcBorders>
              <w:top w:val="single" w:sz="8" w:space="0" w:color="6D6E71"/>
              <w:left w:val="nil"/>
              <w:bottom w:val="single" w:sz="8" w:space="0" w:color="6D6E71"/>
              <w:right w:val="nil"/>
            </w:tcBorders>
          </w:tcPr>
          <w:p>
            <w:pPr>
              <w:pStyle w:val="TableParagraph"/>
              <w:spacing w:before="1"/>
              <w:ind w:left="1066"/>
              <w:rPr>
                <w:sz w:val="20"/>
              </w:rPr>
            </w:pPr>
            <w:r>
              <w:rPr>
                <w:color w:val="231F20"/>
                <w:sz w:val="20"/>
              </w:rPr>
              <w:t>Education</w:t>
            </w:r>
            <w:r>
              <w:rPr>
                <w:color w:val="231F20"/>
                <w:spacing w:val="-11"/>
                <w:sz w:val="20"/>
              </w:rPr>
              <w:t> </w:t>
            </w:r>
            <w:r>
              <w:rPr>
                <w:color w:val="231F20"/>
                <w:sz w:val="20"/>
              </w:rPr>
              <w:t>Stabilization</w:t>
            </w:r>
            <w:r>
              <w:rPr>
                <w:color w:val="231F20"/>
                <w:spacing w:val="-11"/>
                <w:sz w:val="20"/>
              </w:rPr>
              <w:t> </w:t>
            </w:r>
            <w:r>
              <w:rPr>
                <w:color w:val="231F20"/>
                <w:spacing w:val="-4"/>
                <w:sz w:val="20"/>
              </w:rPr>
              <w:t>Fund</w:t>
            </w:r>
          </w:p>
        </w:tc>
        <w:tc>
          <w:tcPr>
            <w:tcW w:w="2820" w:type="dxa"/>
            <w:gridSpan w:val="2"/>
            <w:tcBorders>
              <w:top w:val="single" w:sz="8" w:space="0" w:color="6D6E71"/>
              <w:left w:val="nil"/>
              <w:bottom w:val="single" w:sz="8" w:space="0" w:color="6D6E71"/>
              <w:right w:val="single" w:sz="8" w:space="0" w:color="6D6E71"/>
            </w:tcBorders>
          </w:tcPr>
          <w:p>
            <w:pPr>
              <w:pStyle w:val="TableParagraph"/>
              <w:spacing w:before="1"/>
              <w:ind w:left="242"/>
              <w:rPr>
                <w:sz w:val="20"/>
              </w:rPr>
            </w:pPr>
            <w:r>
              <w:rPr>
                <w:color w:val="231F20"/>
                <w:spacing w:val="-2"/>
                <w:sz w:val="20"/>
              </w:rPr>
              <w:t>Unmodified</w:t>
            </w:r>
          </w:p>
        </w:tc>
      </w:tr>
    </w:tbl>
    <w:p>
      <w:pPr>
        <w:pStyle w:val="BodyText"/>
        <w:spacing w:before="9"/>
        <w:rPr>
          <w:sz w:val="22"/>
        </w:rPr>
      </w:pPr>
    </w:p>
    <w:p>
      <w:pPr>
        <w:pStyle w:val="BodyText"/>
        <w:ind w:left="900"/>
      </w:pPr>
      <w:r>
        <w:rPr>
          <w:color w:val="231F20"/>
        </w:rPr>
        <w:t>Dollar</w:t>
      </w:r>
      <w:r>
        <w:rPr>
          <w:color w:val="231F20"/>
          <w:spacing w:val="-6"/>
        </w:rPr>
        <w:t> </w:t>
      </w:r>
      <w:r>
        <w:rPr>
          <w:color w:val="231F20"/>
        </w:rPr>
        <w:t>threshold</w:t>
      </w:r>
      <w:r>
        <w:rPr>
          <w:color w:val="231F20"/>
          <w:spacing w:val="-4"/>
        </w:rPr>
        <w:t> </w:t>
      </w:r>
      <w:r>
        <w:rPr>
          <w:color w:val="231F20"/>
        </w:rPr>
        <w:t>used</w:t>
      </w:r>
      <w:r>
        <w:rPr>
          <w:color w:val="231F20"/>
          <w:spacing w:val="-4"/>
        </w:rPr>
        <w:t> </w:t>
      </w:r>
      <w:r>
        <w:rPr>
          <w:color w:val="231F20"/>
        </w:rPr>
        <w:t>to</w:t>
      </w:r>
      <w:r>
        <w:rPr>
          <w:color w:val="231F20"/>
          <w:spacing w:val="-4"/>
        </w:rPr>
        <w:t> </w:t>
      </w:r>
      <w:r>
        <w:rPr>
          <w:color w:val="231F20"/>
        </w:rPr>
        <w:t>distinguish</w:t>
      </w:r>
      <w:r>
        <w:rPr>
          <w:color w:val="231F20"/>
          <w:spacing w:val="-3"/>
        </w:rPr>
        <w:t> </w:t>
      </w:r>
      <w:r>
        <w:rPr>
          <w:color w:val="231F20"/>
        </w:rPr>
        <w:t>between</w:t>
      </w:r>
      <w:r>
        <w:rPr>
          <w:color w:val="231F20"/>
          <w:spacing w:val="-4"/>
        </w:rPr>
        <w:t> </w:t>
      </w:r>
      <w:r>
        <w:rPr>
          <w:color w:val="231F20"/>
        </w:rPr>
        <w:t>type</w:t>
      </w:r>
      <w:r>
        <w:rPr>
          <w:color w:val="231F20"/>
          <w:spacing w:val="-4"/>
        </w:rPr>
        <w:t> </w:t>
      </w:r>
      <w:r>
        <w:rPr>
          <w:color w:val="231F20"/>
        </w:rPr>
        <w:t>A</w:t>
      </w:r>
      <w:r>
        <w:rPr>
          <w:color w:val="231F20"/>
          <w:spacing w:val="-4"/>
        </w:rPr>
        <w:t> </w:t>
      </w:r>
      <w:r>
        <w:rPr>
          <w:color w:val="231F20"/>
        </w:rPr>
        <w:t>and</w:t>
      </w:r>
      <w:r>
        <w:rPr>
          <w:color w:val="231F20"/>
          <w:spacing w:val="-3"/>
        </w:rPr>
        <w:t> </w:t>
      </w:r>
      <w:r>
        <w:rPr>
          <w:color w:val="231F20"/>
          <w:spacing w:val="-4"/>
        </w:rPr>
        <w:t>type</w:t>
      </w:r>
    </w:p>
    <w:p>
      <w:pPr>
        <w:pStyle w:val="BodyText"/>
        <w:tabs>
          <w:tab w:pos="6660" w:val="left" w:leader="none"/>
        </w:tabs>
        <w:spacing w:before="29"/>
        <w:ind w:left="900"/>
      </w:pPr>
      <w:r>
        <w:rPr>
          <w:color w:val="231F20"/>
        </w:rPr>
        <w:t>B</w:t>
      </w:r>
      <w:r>
        <w:rPr>
          <w:color w:val="231F20"/>
          <w:spacing w:val="-1"/>
        </w:rPr>
        <w:t> </w:t>
      </w:r>
      <w:r>
        <w:rPr>
          <w:color w:val="231F20"/>
          <w:spacing w:val="-2"/>
        </w:rPr>
        <w:t>programs:</w:t>
      </w:r>
      <w:r>
        <w:rPr>
          <w:color w:val="231F20"/>
        </w:rPr>
        <w:tab/>
        <w:t>$</w:t>
      </w:r>
      <w:r>
        <w:rPr>
          <w:color w:val="231F20"/>
          <w:spacing w:val="-3"/>
        </w:rPr>
        <w:t> </w:t>
      </w:r>
      <w:r>
        <w:rPr>
          <w:color w:val="231F20"/>
          <w:spacing w:val="-2"/>
        </w:rPr>
        <w:t>1,811,229</w:t>
      </w:r>
    </w:p>
    <w:p>
      <w:pPr>
        <w:pStyle w:val="BodyText"/>
        <w:spacing w:before="9"/>
        <w:rPr>
          <w:sz w:val="16"/>
        </w:rPr>
      </w:pPr>
    </w:p>
    <w:p>
      <w:pPr>
        <w:pStyle w:val="BodyText"/>
        <w:tabs>
          <w:tab w:pos="6674" w:val="left" w:leader="none"/>
          <w:tab w:pos="7665" w:val="left" w:leader="none"/>
        </w:tabs>
        <w:spacing w:before="94"/>
        <w:ind w:left="900"/>
      </w:pPr>
      <w:r>
        <w:rPr/>
        <w:pict>
          <v:rect style="position:absolute;margin-left:397.080994pt;margin-top:5.857288pt;width:9.3pt;height:9.3001pt;mso-position-horizontal-relative:page;mso-position-vertical-relative:paragraph;z-index:-28244480" id="docshape619" filled="false" stroked="true" strokeweight=".72pt" strokecolor="#231f20">
            <v:stroke dashstyle="solid"/>
            <w10:wrap type="none"/>
          </v:rect>
        </w:pict>
      </w:r>
      <w:r>
        <w:rPr>
          <w:color w:val="231F20"/>
        </w:rPr>
        <w:t>Auditee</w:t>
      </w:r>
      <w:r>
        <w:rPr>
          <w:color w:val="231F20"/>
          <w:spacing w:val="-8"/>
        </w:rPr>
        <w:t> </w:t>
      </w:r>
      <w:r>
        <w:rPr>
          <w:color w:val="231F20"/>
        </w:rPr>
        <w:t>qualified</w:t>
      </w:r>
      <w:r>
        <w:rPr>
          <w:color w:val="231F20"/>
          <w:spacing w:val="-7"/>
        </w:rPr>
        <w:t> </w:t>
      </w:r>
      <w:r>
        <w:rPr>
          <w:color w:val="231F20"/>
        </w:rPr>
        <w:t>as</w:t>
      </w:r>
      <w:r>
        <w:rPr>
          <w:color w:val="231F20"/>
          <w:spacing w:val="-7"/>
        </w:rPr>
        <w:t> </w:t>
      </w:r>
      <w:r>
        <w:rPr>
          <w:color w:val="231F20"/>
        </w:rPr>
        <w:t>low-risk</w:t>
      </w:r>
      <w:r>
        <w:rPr>
          <w:color w:val="231F20"/>
          <w:spacing w:val="-7"/>
        </w:rPr>
        <w:t> </w:t>
      </w:r>
      <w:r>
        <w:rPr>
          <w:color w:val="231F20"/>
          <w:spacing w:val="-2"/>
        </w:rPr>
        <w:t>auditee?</w:t>
      </w:r>
      <w:r>
        <w:rPr>
          <w:color w:val="231F20"/>
        </w:rPr>
        <w:tab/>
      </w:r>
      <w:r>
        <w:rPr>
          <w:color w:val="231F20"/>
          <w:position w:val="-2"/>
        </w:rPr>
        <w:drawing>
          <wp:inline distT="0" distB="0" distL="0" distR="0">
            <wp:extent cx="127254" cy="127255"/>
            <wp:effectExtent l="0" t="0" r="0" b="0"/>
            <wp:docPr id="23" name="image27.png"/>
            <wp:cNvGraphicFramePr>
              <a:graphicFrameLocks noChangeAspect="1"/>
            </wp:cNvGraphicFramePr>
            <a:graphic>
              <a:graphicData uri="http://schemas.openxmlformats.org/drawingml/2006/picture">
                <pic:pic>
                  <pic:nvPicPr>
                    <pic:cNvPr id="24" name="image27.png"/>
                    <pic:cNvPicPr/>
                  </pic:nvPicPr>
                  <pic:blipFill>
                    <a:blip r:embed="rId88" cstate="print"/>
                    <a:stretch>
                      <a:fillRect/>
                    </a:stretch>
                  </pic:blipFill>
                  <pic:spPr>
                    <a:xfrm>
                      <a:off x="0" y="0"/>
                      <a:ext cx="127254" cy="127255"/>
                    </a:xfrm>
                    <a:prstGeom prst="rect">
                      <a:avLst/>
                    </a:prstGeom>
                  </pic:spPr>
                </pic:pic>
              </a:graphicData>
            </a:graphic>
          </wp:inline>
        </w:drawing>
      </w:r>
      <w:r>
        <w:rPr>
          <w:color w:val="231F20"/>
          <w:position w:val="-2"/>
        </w:rPr>
      </w:r>
      <w:r>
        <w:rPr>
          <w:rFonts w:ascii="Times New Roman"/>
          <w:color w:val="231F20"/>
        </w:rPr>
        <w:t> </w:t>
      </w:r>
      <w:r>
        <w:rPr>
          <w:color w:val="231F20"/>
        </w:rPr>
        <w:t>Yes</w:t>
        <w:tab/>
      </w:r>
      <w:r>
        <w:rPr>
          <w:color w:val="231F20"/>
          <w:spacing w:val="-5"/>
        </w:rPr>
        <w:t>No</w:t>
      </w:r>
    </w:p>
    <w:p>
      <w:pPr>
        <w:spacing w:after="0"/>
        <w:sectPr>
          <w:type w:val="continuous"/>
          <w:pgSz w:w="12240" w:h="15840"/>
          <w:pgMar w:header="850" w:footer="1097" w:top="1460" w:bottom="280" w:left="540" w:right="500"/>
        </w:sectPr>
      </w:pPr>
    </w:p>
    <w:p>
      <w:pPr>
        <w:pStyle w:val="Heading3"/>
        <w:ind w:left="3879" w:right="2082" w:hanging="1506"/>
        <w:jc w:val="left"/>
      </w:pPr>
      <w:r>
        <w:rPr>
          <w:color w:val="231F20"/>
        </w:rPr>
        <w:t>Schedule</w:t>
      </w:r>
      <w:r>
        <w:rPr>
          <w:color w:val="231F20"/>
          <w:spacing w:val="-6"/>
        </w:rPr>
        <w:t> </w:t>
      </w:r>
      <w:r>
        <w:rPr>
          <w:color w:val="231F20"/>
        </w:rPr>
        <w:t>of</w:t>
      </w:r>
      <w:r>
        <w:rPr>
          <w:color w:val="231F20"/>
          <w:spacing w:val="-6"/>
        </w:rPr>
        <w:t> </w:t>
      </w:r>
      <w:r>
        <w:rPr>
          <w:color w:val="231F20"/>
        </w:rPr>
        <w:t>Findings</w:t>
      </w:r>
      <w:r>
        <w:rPr>
          <w:color w:val="231F20"/>
          <w:spacing w:val="-6"/>
        </w:rPr>
        <w:t> </w:t>
      </w:r>
      <w:r>
        <w:rPr>
          <w:color w:val="231F20"/>
        </w:rPr>
        <w:t>and</w:t>
      </w:r>
      <w:r>
        <w:rPr>
          <w:color w:val="231F20"/>
          <w:spacing w:val="-6"/>
        </w:rPr>
        <w:t> </w:t>
      </w:r>
      <w:r>
        <w:rPr>
          <w:color w:val="231F20"/>
        </w:rPr>
        <w:t>Questioned</w:t>
      </w:r>
      <w:r>
        <w:rPr>
          <w:color w:val="231F20"/>
          <w:spacing w:val="-6"/>
        </w:rPr>
        <w:t> </w:t>
      </w:r>
      <w:r>
        <w:rPr>
          <w:color w:val="231F20"/>
        </w:rPr>
        <w:t>Costs</w:t>
      </w:r>
      <w:r>
        <w:rPr>
          <w:color w:val="231F20"/>
          <w:spacing w:val="-6"/>
        </w:rPr>
        <w:t> </w:t>
      </w:r>
      <w:r>
        <w:rPr>
          <w:color w:val="231F20"/>
        </w:rPr>
        <w:t>(continued) For Year Ended June 30, 2022</w:t>
      </w:r>
    </w:p>
    <w:p>
      <w:pPr>
        <w:pStyle w:val="BodyText"/>
        <w:spacing w:line="30" w:lineRule="exact"/>
        <w:ind w:left="870"/>
        <w:rPr>
          <w:sz w:val="3"/>
        </w:rPr>
      </w:pPr>
      <w:r>
        <w:rPr>
          <w:position w:val="0"/>
          <w:sz w:val="3"/>
        </w:rPr>
        <w:pict>
          <v:group style="width:471.05pt;height:1.5pt;mso-position-horizontal-relative:char;mso-position-vertical-relative:line" id="docshapegroup620" coordorigin="0,0" coordsize="9421,30">
            <v:rect style="position:absolute;left:0;top:0;width:9421;height:30" id="docshape621" filled="true" fillcolor="#231f20" stroked="false">
              <v:fill type="solid"/>
            </v:rect>
          </v:group>
        </w:pict>
      </w:r>
      <w:r>
        <w:rPr>
          <w:position w:val="0"/>
          <w:sz w:val="3"/>
        </w:rPr>
      </w:r>
    </w:p>
    <w:p>
      <w:pPr>
        <w:pStyle w:val="BodyText"/>
        <w:rPr>
          <w:b/>
        </w:rPr>
      </w:pPr>
    </w:p>
    <w:p>
      <w:pPr>
        <w:pStyle w:val="BodyText"/>
        <w:spacing w:before="5"/>
        <w:rPr>
          <w:b/>
          <w:sz w:val="23"/>
        </w:rPr>
      </w:pPr>
      <w:r>
        <w:rPr/>
        <w:pict>
          <v:rect style="position:absolute;margin-left:70.5pt;margin-top:14.710662pt;width:471.001pt;height:1.5pt;mso-position-horizontal-relative:page;mso-position-vertical-relative:paragraph;z-index:-15587328;mso-wrap-distance-left:0;mso-wrap-distance-right:0" id="docshape622" filled="true" fillcolor="#231f20" stroked="false">
            <v:fill type="solid"/>
            <w10:wrap type="topAndBottom"/>
          </v:rect>
        </w:pict>
      </w:r>
    </w:p>
    <w:p>
      <w:pPr>
        <w:pStyle w:val="Heading4"/>
        <w:spacing w:before="18" w:after="48"/>
        <w:ind w:left="0" w:right="35"/>
        <w:jc w:val="center"/>
      </w:pPr>
      <w:r>
        <w:rPr>
          <w:color w:val="231F20"/>
        </w:rPr>
        <w:t>Section</w:t>
      </w:r>
      <w:r>
        <w:rPr>
          <w:color w:val="231F20"/>
          <w:spacing w:val="-6"/>
        </w:rPr>
        <w:t> </w:t>
      </w:r>
      <w:r>
        <w:rPr>
          <w:color w:val="231F20"/>
        </w:rPr>
        <w:t>II</w:t>
      </w:r>
      <w:r>
        <w:rPr>
          <w:color w:val="231F20"/>
          <w:spacing w:val="-6"/>
        </w:rPr>
        <w:t> </w:t>
      </w:r>
      <w:r>
        <w:rPr>
          <w:color w:val="231F20"/>
        </w:rPr>
        <w:t>–</w:t>
      </w:r>
      <w:r>
        <w:rPr>
          <w:color w:val="231F20"/>
          <w:spacing w:val="-6"/>
        </w:rPr>
        <w:t> </w:t>
      </w:r>
      <w:r>
        <w:rPr>
          <w:color w:val="231F20"/>
        </w:rPr>
        <w:t>Financial</w:t>
      </w:r>
      <w:r>
        <w:rPr>
          <w:color w:val="231F20"/>
          <w:spacing w:val="-6"/>
        </w:rPr>
        <w:t> </w:t>
      </w:r>
      <w:r>
        <w:rPr>
          <w:color w:val="231F20"/>
        </w:rPr>
        <w:t>Statement</w:t>
      </w:r>
      <w:r>
        <w:rPr>
          <w:color w:val="231F20"/>
          <w:spacing w:val="-6"/>
        </w:rPr>
        <w:t> </w:t>
      </w:r>
      <w:r>
        <w:rPr>
          <w:color w:val="231F20"/>
          <w:spacing w:val="-2"/>
        </w:rPr>
        <w:t>Findings</w:t>
      </w:r>
    </w:p>
    <w:p>
      <w:pPr>
        <w:pStyle w:val="BodyText"/>
        <w:spacing w:line="30" w:lineRule="exact"/>
        <w:ind w:left="870"/>
        <w:rPr>
          <w:sz w:val="3"/>
        </w:rPr>
      </w:pPr>
      <w:r>
        <w:rPr>
          <w:position w:val="0"/>
          <w:sz w:val="3"/>
        </w:rPr>
        <w:pict>
          <v:group style="width:471.05pt;height:1.5pt;mso-position-horizontal-relative:char;mso-position-vertical-relative:line" id="docshapegroup623" coordorigin="0,0" coordsize="9421,30">
            <v:rect style="position:absolute;left:0;top:0;width:9421;height:30" id="docshape624" filled="true" fillcolor="#231f20" stroked="false">
              <v:fill type="solid"/>
            </v:rect>
          </v:group>
        </w:pict>
      </w:r>
      <w:r>
        <w:rPr>
          <w:position w:val="0"/>
          <w:sz w:val="3"/>
        </w:rPr>
      </w:r>
    </w:p>
    <w:p>
      <w:pPr>
        <w:pStyle w:val="BodyText"/>
        <w:rPr>
          <w:b/>
        </w:rPr>
      </w:pPr>
    </w:p>
    <w:p>
      <w:pPr>
        <w:pStyle w:val="BodyText"/>
        <w:spacing w:before="1"/>
        <w:rPr>
          <w:b/>
        </w:rPr>
      </w:pPr>
    </w:p>
    <w:p>
      <w:pPr>
        <w:spacing w:before="0"/>
        <w:ind w:left="900" w:right="0" w:firstLine="0"/>
        <w:jc w:val="left"/>
        <w:rPr>
          <w:b/>
          <w:sz w:val="20"/>
        </w:rPr>
      </w:pPr>
      <w:r>
        <w:rPr>
          <w:b/>
          <w:color w:val="231F20"/>
          <w:sz w:val="20"/>
        </w:rPr>
        <w:t>2022-001</w:t>
      </w:r>
      <w:r>
        <w:rPr>
          <w:b/>
          <w:color w:val="231F20"/>
          <w:spacing w:val="-9"/>
          <w:sz w:val="20"/>
        </w:rPr>
        <w:t> </w:t>
      </w:r>
      <w:r>
        <w:rPr>
          <w:b/>
          <w:color w:val="231F20"/>
          <w:sz w:val="20"/>
        </w:rPr>
        <w:t>(2021-001)</w:t>
      </w:r>
      <w:r>
        <w:rPr>
          <w:b/>
          <w:color w:val="231F20"/>
          <w:spacing w:val="-8"/>
          <w:sz w:val="20"/>
        </w:rPr>
        <w:t> </w:t>
      </w:r>
      <w:r>
        <w:rPr>
          <w:b/>
          <w:color w:val="231F20"/>
          <w:sz w:val="20"/>
        </w:rPr>
        <w:t>–</w:t>
      </w:r>
      <w:r>
        <w:rPr>
          <w:b/>
          <w:color w:val="231F20"/>
          <w:spacing w:val="-8"/>
          <w:sz w:val="20"/>
        </w:rPr>
        <w:t> </w:t>
      </w:r>
      <w:r>
        <w:rPr>
          <w:b/>
          <w:color w:val="231F20"/>
          <w:sz w:val="20"/>
        </w:rPr>
        <w:t>Bank</w:t>
      </w:r>
      <w:r>
        <w:rPr>
          <w:b/>
          <w:color w:val="231F20"/>
          <w:spacing w:val="-9"/>
          <w:sz w:val="20"/>
        </w:rPr>
        <w:t> </w:t>
      </w:r>
      <w:r>
        <w:rPr>
          <w:b/>
          <w:color w:val="231F20"/>
          <w:sz w:val="20"/>
        </w:rPr>
        <w:t>Reconciliations</w:t>
      </w:r>
      <w:r>
        <w:rPr>
          <w:b/>
          <w:color w:val="231F20"/>
          <w:spacing w:val="-8"/>
          <w:sz w:val="20"/>
        </w:rPr>
        <w:t> </w:t>
      </w:r>
      <w:r>
        <w:rPr>
          <w:b/>
          <w:color w:val="231F20"/>
          <w:sz w:val="20"/>
        </w:rPr>
        <w:t>(Significant</w:t>
      </w:r>
      <w:r>
        <w:rPr>
          <w:b/>
          <w:color w:val="231F20"/>
          <w:spacing w:val="-8"/>
          <w:sz w:val="20"/>
        </w:rPr>
        <w:t> </w:t>
      </w:r>
      <w:r>
        <w:rPr>
          <w:b/>
          <w:color w:val="231F20"/>
          <w:spacing w:val="-2"/>
          <w:sz w:val="20"/>
        </w:rPr>
        <w:t>Deficiency)</w:t>
      </w:r>
    </w:p>
    <w:p>
      <w:pPr>
        <w:pStyle w:val="BodyText"/>
        <w:spacing w:before="10"/>
        <w:rPr>
          <w:b/>
          <w:sz w:val="19"/>
        </w:rPr>
      </w:pPr>
    </w:p>
    <w:p>
      <w:pPr>
        <w:pStyle w:val="BodyText"/>
        <w:spacing w:line="276" w:lineRule="auto"/>
        <w:ind w:left="900" w:right="1027"/>
      </w:pPr>
      <w:r>
        <w:rPr>
          <w:b/>
          <w:color w:val="231F20"/>
        </w:rPr>
        <w:t>Condition: </w:t>
      </w:r>
      <w:r>
        <w:rPr>
          <w:color w:val="231F20"/>
        </w:rPr>
        <w:t>The Institute’s bank accounts were not reconciled timely, resulting in an aggregate audit adjustment</w:t>
      </w:r>
      <w:r>
        <w:rPr>
          <w:color w:val="231F20"/>
          <w:spacing w:val="-4"/>
        </w:rPr>
        <w:t> </w:t>
      </w:r>
      <w:r>
        <w:rPr>
          <w:color w:val="231F20"/>
        </w:rPr>
        <w:t>to</w:t>
      </w:r>
      <w:r>
        <w:rPr>
          <w:color w:val="231F20"/>
          <w:spacing w:val="-4"/>
        </w:rPr>
        <w:t> </w:t>
      </w:r>
      <w:r>
        <w:rPr>
          <w:color w:val="231F20"/>
        </w:rPr>
        <w:t>cash</w:t>
      </w:r>
      <w:r>
        <w:rPr>
          <w:color w:val="231F20"/>
          <w:spacing w:val="-4"/>
        </w:rPr>
        <w:t> </w:t>
      </w:r>
      <w:r>
        <w:rPr>
          <w:color w:val="231F20"/>
        </w:rPr>
        <w:t>of</w:t>
      </w:r>
      <w:r>
        <w:rPr>
          <w:color w:val="231F20"/>
          <w:spacing w:val="-4"/>
        </w:rPr>
        <w:t> </w:t>
      </w:r>
      <w:r>
        <w:rPr>
          <w:color w:val="231F20"/>
        </w:rPr>
        <w:t>approximately</w:t>
      </w:r>
      <w:r>
        <w:rPr>
          <w:color w:val="231F20"/>
          <w:spacing w:val="-4"/>
        </w:rPr>
        <w:t> </w:t>
      </w:r>
      <w:r>
        <w:rPr>
          <w:color w:val="231F20"/>
        </w:rPr>
        <w:t>$700,000.</w:t>
      </w:r>
      <w:r>
        <w:rPr>
          <w:color w:val="231F20"/>
          <w:spacing w:val="-4"/>
        </w:rPr>
        <w:t> </w:t>
      </w:r>
      <w:r>
        <w:rPr>
          <w:color w:val="231F20"/>
        </w:rPr>
        <w:t>Additionally,</w:t>
      </w:r>
      <w:r>
        <w:rPr>
          <w:color w:val="231F20"/>
          <w:spacing w:val="-4"/>
        </w:rPr>
        <w:t> </w:t>
      </w:r>
      <w:r>
        <w:rPr>
          <w:color w:val="231F20"/>
        </w:rPr>
        <w:t>reconciliations</w:t>
      </w:r>
      <w:r>
        <w:rPr>
          <w:color w:val="231F20"/>
          <w:spacing w:val="-4"/>
        </w:rPr>
        <w:t> </w:t>
      </w:r>
      <w:r>
        <w:rPr>
          <w:color w:val="231F20"/>
        </w:rPr>
        <w:t>were</w:t>
      </w:r>
      <w:r>
        <w:rPr>
          <w:color w:val="231F20"/>
          <w:spacing w:val="-4"/>
        </w:rPr>
        <w:t> </w:t>
      </w:r>
      <w:r>
        <w:rPr>
          <w:color w:val="231F20"/>
        </w:rPr>
        <w:t>not</w:t>
      </w:r>
      <w:r>
        <w:rPr>
          <w:color w:val="231F20"/>
          <w:spacing w:val="-4"/>
        </w:rPr>
        <w:t> </w:t>
      </w:r>
      <w:r>
        <w:rPr>
          <w:color w:val="231F20"/>
        </w:rPr>
        <w:t>properly</w:t>
      </w:r>
      <w:r>
        <w:rPr>
          <w:color w:val="231F20"/>
          <w:spacing w:val="-4"/>
        </w:rPr>
        <w:t> </w:t>
      </w:r>
      <w:r>
        <w:rPr>
          <w:color w:val="231F20"/>
        </w:rPr>
        <w:t>segregated which resulted in the same individual both preparing and reviewing reconciliations.</w:t>
      </w:r>
    </w:p>
    <w:p>
      <w:pPr>
        <w:pStyle w:val="BodyText"/>
        <w:spacing w:before="1"/>
        <w:rPr>
          <w:sz w:val="23"/>
        </w:rPr>
      </w:pPr>
    </w:p>
    <w:p>
      <w:pPr>
        <w:pStyle w:val="BodyText"/>
        <w:spacing w:line="276" w:lineRule="auto"/>
        <w:ind w:left="900" w:right="1027"/>
      </w:pPr>
      <w:r>
        <w:rPr>
          <w:b/>
          <w:color w:val="231F20"/>
        </w:rPr>
        <w:t>Management’s</w:t>
      </w:r>
      <w:r>
        <w:rPr>
          <w:b/>
          <w:color w:val="231F20"/>
          <w:spacing w:val="-4"/>
        </w:rPr>
        <w:t> </w:t>
      </w:r>
      <w:r>
        <w:rPr>
          <w:b/>
          <w:color w:val="231F20"/>
        </w:rPr>
        <w:t>Progress:</w:t>
      </w:r>
      <w:r>
        <w:rPr>
          <w:b/>
          <w:color w:val="231F20"/>
          <w:spacing w:val="-4"/>
        </w:rPr>
        <w:t> </w:t>
      </w:r>
      <w:r>
        <w:rPr>
          <w:color w:val="231F20"/>
        </w:rPr>
        <w:t>Management</w:t>
      </w:r>
      <w:r>
        <w:rPr>
          <w:color w:val="231F20"/>
          <w:spacing w:val="-4"/>
        </w:rPr>
        <w:t> </w:t>
      </w:r>
      <w:r>
        <w:rPr>
          <w:color w:val="231F20"/>
        </w:rPr>
        <w:t>made</w:t>
      </w:r>
      <w:r>
        <w:rPr>
          <w:color w:val="231F20"/>
          <w:spacing w:val="-4"/>
        </w:rPr>
        <w:t> </w:t>
      </w:r>
      <w:r>
        <w:rPr>
          <w:color w:val="231F20"/>
        </w:rPr>
        <w:t>progress</w:t>
      </w:r>
      <w:r>
        <w:rPr>
          <w:color w:val="231F20"/>
          <w:spacing w:val="-4"/>
        </w:rPr>
        <w:t> </w:t>
      </w:r>
      <w:r>
        <w:rPr>
          <w:color w:val="231F20"/>
        </w:rPr>
        <w:t>during</w:t>
      </w:r>
      <w:r>
        <w:rPr>
          <w:color w:val="231F20"/>
          <w:spacing w:val="-4"/>
        </w:rPr>
        <w:t> </w:t>
      </w:r>
      <w:r>
        <w:rPr>
          <w:color w:val="231F20"/>
        </w:rPr>
        <w:t>the</w:t>
      </w:r>
      <w:r>
        <w:rPr>
          <w:color w:val="231F20"/>
          <w:spacing w:val="-4"/>
        </w:rPr>
        <w:t> </w:t>
      </w:r>
      <w:r>
        <w:rPr>
          <w:color w:val="231F20"/>
        </w:rPr>
        <w:t>year</w:t>
      </w:r>
      <w:r>
        <w:rPr>
          <w:color w:val="231F20"/>
          <w:spacing w:val="-3"/>
        </w:rPr>
        <w:t> </w:t>
      </w:r>
      <w:r>
        <w:rPr>
          <w:color w:val="231F20"/>
        </w:rPr>
        <w:t>and</w:t>
      </w:r>
      <w:r>
        <w:rPr>
          <w:color w:val="231F20"/>
          <w:spacing w:val="-5"/>
        </w:rPr>
        <w:t> </w:t>
      </w:r>
      <w:r>
        <w:rPr>
          <w:color w:val="231F20"/>
        </w:rPr>
        <w:t>were</w:t>
      </w:r>
      <w:r>
        <w:rPr>
          <w:color w:val="231F20"/>
          <w:spacing w:val="-4"/>
        </w:rPr>
        <w:t> </w:t>
      </w:r>
      <w:r>
        <w:rPr>
          <w:color w:val="231F20"/>
        </w:rPr>
        <w:t>caught</w:t>
      </w:r>
      <w:r>
        <w:rPr>
          <w:color w:val="231F20"/>
          <w:spacing w:val="-4"/>
        </w:rPr>
        <w:t> </w:t>
      </w:r>
      <w:r>
        <w:rPr>
          <w:color w:val="231F20"/>
        </w:rPr>
        <w:t>up</w:t>
      </w:r>
      <w:r>
        <w:rPr>
          <w:color w:val="231F20"/>
          <w:spacing w:val="-5"/>
        </w:rPr>
        <w:t> </w:t>
      </w:r>
      <w:r>
        <w:rPr>
          <w:color w:val="231F20"/>
        </w:rPr>
        <w:t>with</w:t>
      </w:r>
      <w:r>
        <w:rPr>
          <w:color w:val="231F20"/>
          <w:spacing w:val="-4"/>
        </w:rPr>
        <w:t> </w:t>
      </w:r>
      <w:r>
        <w:rPr>
          <w:color w:val="231F20"/>
        </w:rPr>
        <w:t>bank reconciliations through April 2022; however, due to accounting staff turnover, the timeliness of bank reconciliations fell behind and the June 2022 reconciliations were not completed timely.</w:t>
      </w:r>
    </w:p>
    <w:p>
      <w:pPr>
        <w:pStyle w:val="BodyText"/>
      </w:pPr>
    </w:p>
    <w:p>
      <w:pPr>
        <w:pStyle w:val="BodyText"/>
        <w:spacing w:line="276" w:lineRule="auto"/>
        <w:ind w:left="900" w:right="1027"/>
      </w:pPr>
      <w:r>
        <w:rPr>
          <w:b/>
          <w:color w:val="231F20"/>
        </w:rPr>
        <w:t>Criteria: </w:t>
      </w:r>
      <w:r>
        <w:rPr>
          <w:color w:val="231F20"/>
        </w:rPr>
        <w:t>Management is responsible for establishing and maintaining an effective system of internal control over financial reporting. Properly reconciling bank accounts is a key component of effective internal</w:t>
      </w:r>
      <w:r>
        <w:rPr>
          <w:color w:val="231F20"/>
          <w:spacing w:val="-5"/>
        </w:rPr>
        <w:t> </w:t>
      </w:r>
      <w:r>
        <w:rPr>
          <w:color w:val="231F20"/>
        </w:rPr>
        <w:t>control</w:t>
      </w:r>
      <w:r>
        <w:rPr>
          <w:color w:val="231F20"/>
          <w:spacing w:val="-4"/>
        </w:rPr>
        <w:t> </w:t>
      </w:r>
      <w:r>
        <w:rPr>
          <w:color w:val="231F20"/>
        </w:rPr>
        <w:t>over</w:t>
      </w:r>
      <w:r>
        <w:rPr>
          <w:color w:val="231F20"/>
          <w:spacing w:val="-3"/>
        </w:rPr>
        <w:t> </w:t>
      </w:r>
      <w:r>
        <w:rPr>
          <w:color w:val="231F20"/>
        </w:rPr>
        <w:t>financial</w:t>
      </w:r>
      <w:r>
        <w:rPr>
          <w:color w:val="231F20"/>
          <w:spacing w:val="-4"/>
        </w:rPr>
        <w:t> </w:t>
      </w:r>
      <w:r>
        <w:rPr>
          <w:color w:val="231F20"/>
        </w:rPr>
        <w:t>reporting.</w:t>
      </w:r>
      <w:r>
        <w:rPr>
          <w:color w:val="231F20"/>
          <w:spacing w:val="-5"/>
        </w:rPr>
        <w:t> </w:t>
      </w:r>
      <w:r>
        <w:rPr>
          <w:color w:val="231F20"/>
        </w:rPr>
        <w:t>Additionally,</w:t>
      </w:r>
      <w:r>
        <w:rPr>
          <w:color w:val="231F20"/>
          <w:spacing w:val="-4"/>
        </w:rPr>
        <w:t> </w:t>
      </w:r>
      <w:r>
        <w:rPr>
          <w:color w:val="231F20"/>
        </w:rPr>
        <w:t>Section</w:t>
      </w:r>
      <w:r>
        <w:rPr>
          <w:color w:val="231F20"/>
          <w:spacing w:val="-4"/>
        </w:rPr>
        <w:t> </w:t>
      </w:r>
      <w:r>
        <w:rPr>
          <w:color w:val="231F20"/>
        </w:rPr>
        <w:t>6-10-2</w:t>
      </w:r>
      <w:r>
        <w:rPr>
          <w:color w:val="231F20"/>
          <w:spacing w:val="-4"/>
        </w:rPr>
        <w:t> </w:t>
      </w:r>
      <w:r>
        <w:rPr>
          <w:color w:val="231F20"/>
        </w:rPr>
        <w:t>NMSA</w:t>
      </w:r>
      <w:r>
        <w:rPr>
          <w:color w:val="231F20"/>
          <w:spacing w:val="-4"/>
        </w:rPr>
        <w:t> </w:t>
      </w:r>
      <w:r>
        <w:rPr>
          <w:color w:val="231F20"/>
        </w:rPr>
        <w:t>requires</w:t>
      </w:r>
      <w:r>
        <w:rPr>
          <w:color w:val="231F20"/>
          <w:spacing w:val="-4"/>
        </w:rPr>
        <w:t> </w:t>
      </w:r>
      <w:r>
        <w:rPr>
          <w:color w:val="231F20"/>
        </w:rPr>
        <w:t>all</w:t>
      </w:r>
      <w:r>
        <w:rPr>
          <w:color w:val="231F20"/>
          <w:spacing w:val="-4"/>
        </w:rPr>
        <w:t> </w:t>
      </w:r>
      <w:r>
        <w:rPr>
          <w:color w:val="231F20"/>
        </w:rPr>
        <w:t>public</w:t>
      </w:r>
      <w:r>
        <w:rPr>
          <w:color w:val="231F20"/>
          <w:spacing w:val="-4"/>
        </w:rPr>
        <w:t> </w:t>
      </w:r>
      <w:r>
        <w:rPr>
          <w:color w:val="231F20"/>
        </w:rPr>
        <w:t>bodies</w:t>
      </w:r>
      <w:r>
        <w:rPr>
          <w:color w:val="231F20"/>
          <w:spacing w:val="-3"/>
        </w:rPr>
        <w:t> </w:t>
      </w:r>
      <w:r>
        <w:rPr>
          <w:color w:val="231F20"/>
        </w:rPr>
        <w:t>to “maintain a cash record in which is entered daily, in detail, all items of receipts and disbursements of public money. The cash record shall be balanced daily so as to show the balance of public money on hand at the close of each day's business.”</w:t>
      </w:r>
    </w:p>
    <w:p>
      <w:pPr>
        <w:pStyle w:val="BodyText"/>
      </w:pPr>
    </w:p>
    <w:p>
      <w:pPr>
        <w:pStyle w:val="BodyText"/>
        <w:spacing w:line="276" w:lineRule="auto"/>
        <w:ind w:left="900" w:right="1293"/>
      </w:pPr>
      <w:r>
        <w:rPr>
          <w:b/>
          <w:color w:val="231F20"/>
        </w:rPr>
        <w:t>Cause:</w:t>
      </w:r>
      <w:r>
        <w:rPr>
          <w:b/>
          <w:color w:val="231F20"/>
          <w:spacing w:val="-3"/>
        </w:rPr>
        <w:t> </w:t>
      </w:r>
      <w:r>
        <w:rPr>
          <w:color w:val="231F20"/>
        </w:rPr>
        <w:t>The</w:t>
      </w:r>
      <w:r>
        <w:rPr>
          <w:color w:val="231F20"/>
          <w:spacing w:val="-4"/>
        </w:rPr>
        <w:t> </w:t>
      </w:r>
      <w:r>
        <w:rPr>
          <w:color w:val="231F20"/>
        </w:rPr>
        <w:t>accounting</w:t>
      </w:r>
      <w:r>
        <w:rPr>
          <w:color w:val="231F20"/>
          <w:spacing w:val="-4"/>
        </w:rPr>
        <w:t> </w:t>
      </w:r>
      <w:r>
        <w:rPr>
          <w:color w:val="231F20"/>
        </w:rPr>
        <w:t>policies,</w:t>
      </w:r>
      <w:r>
        <w:rPr>
          <w:color w:val="231F20"/>
          <w:spacing w:val="-4"/>
        </w:rPr>
        <w:t> </w:t>
      </w:r>
      <w:r>
        <w:rPr>
          <w:color w:val="231F20"/>
        </w:rPr>
        <w:t>procedures,</w:t>
      </w:r>
      <w:r>
        <w:rPr>
          <w:color w:val="231F20"/>
          <w:spacing w:val="-4"/>
        </w:rPr>
        <w:t> </w:t>
      </w:r>
      <w:r>
        <w:rPr>
          <w:color w:val="231F20"/>
        </w:rPr>
        <w:t>and</w:t>
      </w:r>
      <w:r>
        <w:rPr>
          <w:color w:val="231F20"/>
          <w:spacing w:val="-5"/>
        </w:rPr>
        <w:t> </w:t>
      </w:r>
      <w:r>
        <w:rPr>
          <w:color w:val="231F20"/>
        </w:rPr>
        <w:t>controls</w:t>
      </w:r>
      <w:r>
        <w:rPr>
          <w:color w:val="231F20"/>
          <w:spacing w:val="-1"/>
        </w:rPr>
        <w:t> </w:t>
      </w:r>
      <w:r>
        <w:rPr>
          <w:color w:val="231F20"/>
        </w:rPr>
        <w:t>to</w:t>
      </w:r>
      <w:r>
        <w:rPr>
          <w:color w:val="231F20"/>
          <w:spacing w:val="-4"/>
        </w:rPr>
        <w:t> </w:t>
      </w:r>
      <w:r>
        <w:rPr>
          <w:color w:val="231F20"/>
        </w:rPr>
        <w:t>ensure</w:t>
      </w:r>
      <w:r>
        <w:rPr>
          <w:color w:val="231F20"/>
          <w:spacing w:val="-4"/>
        </w:rPr>
        <w:t> </w:t>
      </w:r>
      <w:r>
        <w:rPr>
          <w:color w:val="231F20"/>
        </w:rPr>
        <w:t>an</w:t>
      </w:r>
      <w:r>
        <w:rPr>
          <w:color w:val="231F20"/>
          <w:spacing w:val="-4"/>
        </w:rPr>
        <w:t> </w:t>
      </w:r>
      <w:r>
        <w:rPr>
          <w:color w:val="231F20"/>
        </w:rPr>
        <w:t>effective</w:t>
      </w:r>
      <w:r>
        <w:rPr>
          <w:color w:val="231F20"/>
          <w:spacing w:val="-4"/>
        </w:rPr>
        <w:t> </w:t>
      </w:r>
      <w:r>
        <w:rPr>
          <w:color w:val="231F20"/>
        </w:rPr>
        <w:t>system</w:t>
      </w:r>
      <w:r>
        <w:rPr>
          <w:color w:val="231F20"/>
          <w:spacing w:val="-4"/>
        </w:rPr>
        <w:t> </w:t>
      </w:r>
      <w:r>
        <w:rPr>
          <w:color w:val="231F20"/>
        </w:rPr>
        <w:t>of</w:t>
      </w:r>
      <w:r>
        <w:rPr>
          <w:color w:val="231F20"/>
          <w:spacing w:val="-4"/>
        </w:rPr>
        <w:t> </w:t>
      </w:r>
      <w:r>
        <w:rPr>
          <w:color w:val="231F20"/>
        </w:rPr>
        <w:t>internal control over financial reporting the Institute’s cash balances were not functioning as intended.</w:t>
      </w:r>
    </w:p>
    <w:p>
      <w:pPr>
        <w:pStyle w:val="BodyText"/>
        <w:spacing w:before="11"/>
        <w:rPr>
          <w:sz w:val="19"/>
        </w:rPr>
      </w:pPr>
    </w:p>
    <w:p>
      <w:pPr>
        <w:pStyle w:val="BodyText"/>
        <w:ind w:left="900"/>
      </w:pPr>
      <w:r>
        <w:rPr>
          <w:b/>
          <w:color w:val="231F20"/>
        </w:rPr>
        <w:t>Effect:</w:t>
      </w:r>
      <w:r>
        <w:rPr>
          <w:b/>
          <w:color w:val="231F20"/>
          <w:spacing w:val="-8"/>
        </w:rPr>
        <w:t> </w:t>
      </w:r>
      <w:r>
        <w:rPr>
          <w:color w:val="231F20"/>
        </w:rPr>
        <w:t>Cash</w:t>
      </w:r>
      <w:r>
        <w:rPr>
          <w:color w:val="231F20"/>
          <w:spacing w:val="-6"/>
        </w:rPr>
        <w:t> </w:t>
      </w:r>
      <w:r>
        <w:rPr>
          <w:color w:val="231F20"/>
        </w:rPr>
        <w:t>accounts</w:t>
      </w:r>
      <w:r>
        <w:rPr>
          <w:color w:val="231F20"/>
          <w:spacing w:val="-5"/>
        </w:rPr>
        <w:t> </w:t>
      </w:r>
      <w:r>
        <w:rPr>
          <w:color w:val="231F20"/>
        </w:rPr>
        <w:t>were</w:t>
      </w:r>
      <w:r>
        <w:rPr>
          <w:color w:val="231F20"/>
          <w:spacing w:val="-6"/>
        </w:rPr>
        <w:t> </w:t>
      </w:r>
      <w:r>
        <w:rPr>
          <w:color w:val="231F20"/>
        </w:rPr>
        <w:t>not</w:t>
      </w:r>
      <w:r>
        <w:rPr>
          <w:color w:val="231F20"/>
          <w:spacing w:val="-5"/>
        </w:rPr>
        <w:t> </w:t>
      </w:r>
      <w:r>
        <w:rPr>
          <w:color w:val="231F20"/>
        </w:rPr>
        <w:t>reconciled</w:t>
      </w:r>
      <w:r>
        <w:rPr>
          <w:color w:val="231F20"/>
          <w:spacing w:val="-5"/>
        </w:rPr>
        <w:t> </w:t>
      </w:r>
      <w:r>
        <w:rPr>
          <w:color w:val="231F20"/>
        </w:rPr>
        <w:t>timely,</w:t>
      </w:r>
      <w:r>
        <w:rPr>
          <w:color w:val="231F20"/>
          <w:spacing w:val="-6"/>
        </w:rPr>
        <w:t> </w:t>
      </w:r>
      <w:r>
        <w:rPr>
          <w:color w:val="231F20"/>
        </w:rPr>
        <w:t>leading</w:t>
      </w:r>
      <w:r>
        <w:rPr>
          <w:color w:val="231F20"/>
          <w:spacing w:val="-5"/>
        </w:rPr>
        <w:t> </w:t>
      </w:r>
      <w:r>
        <w:rPr>
          <w:color w:val="231F20"/>
        </w:rPr>
        <w:t>to</w:t>
      </w:r>
      <w:r>
        <w:rPr>
          <w:color w:val="231F20"/>
          <w:spacing w:val="-6"/>
        </w:rPr>
        <w:t> </w:t>
      </w:r>
      <w:r>
        <w:rPr>
          <w:color w:val="231F20"/>
        </w:rPr>
        <w:t>a</w:t>
      </w:r>
      <w:r>
        <w:rPr>
          <w:color w:val="231F20"/>
          <w:spacing w:val="-5"/>
        </w:rPr>
        <w:t> </w:t>
      </w:r>
      <w:r>
        <w:rPr>
          <w:color w:val="231F20"/>
        </w:rPr>
        <w:t>financial</w:t>
      </w:r>
      <w:r>
        <w:rPr>
          <w:color w:val="231F20"/>
          <w:spacing w:val="-6"/>
        </w:rPr>
        <w:t> </w:t>
      </w:r>
      <w:r>
        <w:rPr>
          <w:color w:val="231F20"/>
        </w:rPr>
        <w:t>statement</w:t>
      </w:r>
      <w:r>
        <w:rPr>
          <w:color w:val="231F20"/>
          <w:spacing w:val="-5"/>
        </w:rPr>
        <w:t> </w:t>
      </w:r>
      <w:r>
        <w:rPr>
          <w:color w:val="231F20"/>
          <w:spacing w:val="-2"/>
        </w:rPr>
        <w:t>misstatement.</w:t>
      </w:r>
    </w:p>
    <w:p>
      <w:pPr>
        <w:pStyle w:val="BodyText"/>
        <w:spacing w:before="1"/>
        <w:rPr>
          <w:sz w:val="23"/>
        </w:rPr>
      </w:pPr>
    </w:p>
    <w:p>
      <w:pPr>
        <w:spacing w:before="0"/>
        <w:ind w:left="900" w:right="0" w:firstLine="0"/>
        <w:jc w:val="left"/>
        <w:rPr>
          <w:sz w:val="20"/>
        </w:rPr>
      </w:pPr>
      <w:r>
        <w:rPr>
          <w:b/>
          <w:color w:val="231F20"/>
          <w:sz w:val="20"/>
        </w:rPr>
        <w:t>Repeat</w:t>
      </w:r>
      <w:r>
        <w:rPr>
          <w:b/>
          <w:color w:val="231F20"/>
          <w:spacing w:val="-8"/>
          <w:sz w:val="20"/>
        </w:rPr>
        <w:t> </w:t>
      </w:r>
      <w:r>
        <w:rPr>
          <w:b/>
          <w:color w:val="231F20"/>
          <w:sz w:val="20"/>
        </w:rPr>
        <w:t>Finding:</w:t>
      </w:r>
      <w:r>
        <w:rPr>
          <w:b/>
          <w:color w:val="231F20"/>
          <w:spacing w:val="-4"/>
          <w:sz w:val="20"/>
        </w:rPr>
        <w:t> </w:t>
      </w:r>
      <w:r>
        <w:rPr>
          <w:color w:val="231F20"/>
          <w:sz w:val="20"/>
        </w:rPr>
        <w:t>This</w:t>
      </w:r>
      <w:r>
        <w:rPr>
          <w:color w:val="231F20"/>
          <w:spacing w:val="-4"/>
          <w:sz w:val="20"/>
        </w:rPr>
        <w:t> </w:t>
      </w:r>
      <w:r>
        <w:rPr>
          <w:color w:val="231F20"/>
          <w:sz w:val="20"/>
        </w:rPr>
        <w:t>is</w:t>
      </w:r>
      <w:r>
        <w:rPr>
          <w:color w:val="231F20"/>
          <w:spacing w:val="-6"/>
          <w:sz w:val="20"/>
        </w:rPr>
        <w:t> </w:t>
      </w:r>
      <w:r>
        <w:rPr>
          <w:color w:val="231F20"/>
          <w:sz w:val="20"/>
        </w:rPr>
        <w:t>a</w:t>
      </w:r>
      <w:r>
        <w:rPr>
          <w:color w:val="231F20"/>
          <w:spacing w:val="-6"/>
          <w:sz w:val="20"/>
        </w:rPr>
        <w:t> </w:t>
      </w:r>
      <w:r>
        <w:rPr>
          <w:color w:val="231F20"/>
          <w:sz w:val="20"/>
        </w:rPr>
        <w:t>repeat</w:t>
      </w:r>
      <w:r>
        <w:rPr>
          <w:color w:val="231F20"/>
          <w:spacing w:val="-5"/>
          <w:sz w:val="20"/>
        </w:rPr>
        <w:t> </w:t>
      </w:r>
      <w:r>
        <w:rPr>
          <w:color w:val="231F20"/>
          <w:sz w:val="20"/>
        </w:rPr>
        <w:t>finding,</w:t>
      </w:r>
      <w:r>
        <w:rPr>
          <w:color w:val="231F20"/>
          <w:spacing w:val="-6"/>
          <w:sz w:val="20"/>
        </w:rPr>
        <w:t> </w:t>
      </w:r>
      <w:r>
        <w:rPr>
          <w:color w:val="231F20"/>
          <w:sz w:val="20"/>
        </w:rPr>
        <w:t>previously</w:t>
      </w:r>
      <w:r>
        <w:rPr>
          <w:color w:val="231F20"/>
          <w:spacing w:val="-4"/>
          <w:sz w:val="20"/>
        </w:rPr>
        <w:t> </w:t>
      </w:r>
      <w:r>
        <w:rPr>
          <w:color w:val="231F20"/>
          <w:sz w:val="20"/>
        </w:rPr>
        <w:t>reported</w:t>
      </w:r>
      <w:r>
        <w:rPr>
          <w:color w:val="231F20"/>
          <w:spacing w:val="-5"/>
          <w:sz w:val="20"/>
        </w:rPr>
        <w:t> </w:t>
      </w:r>
      <w:r>
        <w:rPr>
          <w:color w:val="231F20"/>
          <w:sz w:val="20"/>
        </w:rPr>
        <w:t>as</w:t>
      </w:r>
      <w:r>
        <w:rPr>
          <w:color w:val="231F20"/>
          <w:spacing w:val="-5"/>
          <w:sz w:val="20"/>
        </w:rPr>
        <w:t> </w:t>
      </w:r>
      <w:r>
        <w:rPr>
          <w:color w:val="231F20"/>
          <w:sz w:val="20"/>
        </w:rPr>
        <w:t>2021-</w:t>
      </w:r>
      <w:r>
        <w:rPr>
          <w:color w:val="231F20"/>
          <w:spacing w:val="-4"/>
          <w:sz w:val="20"/>
        </w:rPr>
        <w:t>001.</w:t>
      </w:r>
    </w:p>
    <w:p>
      <w:pPr>
        <w:pStyle w:val="BodyText"/>
        <w:spacing w:before="10"/>
        <w:rPr>
          <w:sz w:val="19"/>
        </w:rPr>
      </w:pPr>
    </w:p>
    <w:p>
      <w:pPr>
        <w:pStyle w:val="BodyText"/>
        <w:spacing w:line="276" w:lineRule="auto"/>
        <w:ind w:left="900" w:right="1027"/>
      </w:pPr>
      <w:r>
        <w:rPr>
          <w:b/>
          <w:color w:val="231F20"/>
        </w:rPr>
        <w:t>Recommendation: </w:t>
      </w:r>
      <w:r>
        <w:rPr>
          <w:color w:val="231F20"/>
        </w:rPr>
        <w:t>We recommend management implement existing controls to ensure that bank reconciliations</w:t>
      </w:r>
      <w:r>
        <w:rPr>
          <w:color w:val="231F20"/>
          <w:spacing w:val="-4"/>
        </w:rPr>
        <w:t> </w:t>
      </w:r>
      <w:r>
        <w:rPr>
          <w:color w:val="231F20"/>
        </w:rPr>
        <w:t>are</w:t>
      </w:r>
      <w:r>
        <w:rPr>
          <w:color w:val="231F20"/>
          <w:spacing w:val="-4"/>
        </w:rPr>
        <w:t> </w:t>
      </w:r>
      <w:r>
        <w:rPr>
          <w:color w:val="231F20"/>
        </w:rPr>
        <w:t>prepared</w:t>
      </w:r>
      <w:r>
        <w:rPr>
          <w:color w:val="231F20"/>
          <w:spacing w:val="-4"/>
        </w:rPr>
        <w:t> </w:t>
      </w:r>
      <w:r>
        <w:rPr>
          <w:color w:val="231F20"/>
        </w:rPr>
        <w:t>and</w:t>
      </w:r>
      <w:r>
        <w:rPr>
          <w:color w:val="231F20"/>
          <w:spacing w:val="-4"/>
        </w:rPr>
        <w:t> </w:t>
      </w:r>
      <w:r>
        <w:rPr>
          <w:color w:val="231F20"/>
        </w:rPr>
        <w:t>reviewed</w:t>
      </w:r>
      <w:r>
        <w:rPr>
          <w:color w:val="231F20"/>
          <w:spacing w:val="-4"/>
        </w:rPr>
        <w:t> </w:t>
      </w:r>
      <w:r>
        <w:rPr>
          <w:color w:val="231F20"/>
        </w:rPr>
        <w:t>timely.</w:t>
      </w:r>
      <w:r>
        <w:rPr>
          <w:color w:val="231F20"/>
          <w:spacing w:val="-4"/>
        </w:rPr>
        <w:t> </w:t>
      </w:r>
      <w:r>
        <w:rPr>
          <w:color w:val="231F20"/>
        </w:rPr>
        <w:t>Any</w:t>
      </w:r>
      <w:r>
        <w:rPr>
          <w:color w:val="231F20"/>
          <w:spacing w:val="-4"/>
        </w:rPr>
        <w:t> </w:t>
      </w:r>
      <w:r>
        <w:rPr>
          <w:color w:val="231F20"/>
        </w:rPr>
        <w:t>adjustments</w:t>
      </w:r>
      <w:r>
        <w:rPr>
          <w:color w:val="231F20"/>
          <w:spacing w:val="-4"/>
        </w:rPr>
        <w:t> </w:t>
      </w:r>
      <w:r>
        <w:rPr>
          <w:color w:val="231F20"/>
        </w:rPr>
        <w:t>should</w:t>
      </w:r>
      <w:r>
        <w:rPr>
          <w:color w:val="231F20"/>
          <w:spacing w:val="-4"/>
        </w:rPr>
        <w:t> </w:t>
      </w:r>
      <w:r>
        <w:rPr>
          <w:color w:val="231F20"/>
        </w:rPr>
        <w:t>be</w:t>
      </w:r>
      <w:r>
        <w:rPr>
          <w:color w:val="231F20"/>
          <w:spacing w:val="-4"/>
        </w:rPr>
        <w:t> </w:t>
      </w:r>
      <w:r>
        <w:rPr>
          <w:color w:val="231F20"/>
        </w:rPr>
        <w:t>recorded</w:t>
      </w:r>
      <w:r>
        <w:rPr>
          <w:color w:val="231F20"/>
          <w:spacing w:val="-4"/>
        </w:rPr>
        <w:t> </w:t>
      </w:r>
      <w:r>
        <w:rPr>
          <w:color w:val="231F20"/>
        </w:rPr>
        <w:t>prior</w:t>
      </w:r>
      <w:r>
        <w:rPr>
          <w:color w:val="231F20"/>
          <w:spacing w:val="-4"/>
        </w:rPr>
        <w:t> </w:t>
      </w:r>
      <w:r>
        <w:rPr>
          <w:color w:val="231F20"/>
        </w:rPr>
        <w:t>to</w:t>
      </w:r>
      <w:r>
        <w:rPr>
          <w:color w:val="231F20"/>
          <w:spacing w:val="-4"/>
        </w:rPr>
        <w:t> </w:t>
      </w:r>
      <w:r>
        <w:rPr>
          <w:color w:val="231F20"/>
        </w:rPr>
        <w:t>closing.</w:t>
      </w:r>
    </w:p>
    <w:p>
      <w:pPr>
        <w:pStyle w:val="BodyText"/>
        <w:spacing w:before="1"/>
      </w:pPr>
    </w:p>
    <w:p>
      <w:pPr>
        <w:pStyle w:val="BodyText"/>
        <w:spacing w:line="276" w:lineRule="auto"/>
        <w:ind w:left="900" w:right="951"/>
      </w:pPr>
      <w:r>
        <w:rPr>
          <w:b/>
          <w:color w:val="231F20"/>
        </w:rPr>
        <w:t>Views</w:t>
      </w:r>
      <w:r>
        <w:rPr>
          <w:b/>
          <w:color w:val="231F20"/>
          <w:spacing w:val="-4"/>
        </w:rPr>
        <w:t> </w:t>
      </w:r>
      <w:r>
        <w:rPr>
          <w:b/>
          <w:color w:val="231F20"/>
        </w:rPr>
        <w:t>of</w:t>
      </w:r>
      <w:r>
        <w:rPr>
          <w:b/>
          <w:color w:val="231F20"/>
          <w:spacing w:val="-4"/>
        </w:rPr>
        <w:t> </w:t>
      </w:r>
      <w:r>
        <w:rPr>
          <w:b/>
          <w:color w:val="231F20"/>
        </w:rPr>
        <w:t>Responsible</w:t>
      </w:r>
      <w:r>
        <w:rPr>
          <w:b/>
          <w:color w:val="231F20"/>
          <w:spacing w:val="-4"/>
        </w:rPr>
        <w:t> </w:t>
      </w:r>
      <w:r>
        <w:rPr>
          <w:b/>
          <w:color w:val="231F20"/>
        </w:rPr>
        <w:t>Officials</w:t>
      </w:r>
      <w:r>
        <w:rPr>
          <w:b/>
          <w:color w:val="231F20"/>
          <w:spacing w:val="-4"/>
        </w:rPr>
        <w:t> </w:t>
      </w:r>
      <w:r>
        <w:rPr>
          <w:b/>
          <w:color w:val="231F20"/>
        </w:rPr>
        <w:t>and</w:t>
      </w:r>
      <w:r>
        <w:rPr>
          <w:b/>
          <w:color w:val="231F20"/>
          <w:spacing w:val="-4"/>
        </w:rPr>
        <w:t> </w:t>
      </w:r>
      <w:r>
        <w:rPr>
          <w:b/>
          <w:color w:val="231F20"/>
        </w:rPr>
        <w:t>Planned</w:t>
      </w:r>
      <w:r>
        <w:rPr>
          <w:b/>
          <w:color w:val="231F20"/>
          <w:spacing w:val="-5"/>
        </w:rPr>
        <w:t> </w:t>
      </w:r>
      <w:r>
        <w:rPr>
          <w:b/>
          <w:color w:val="231F20"/>
        </w:rPr>
        <w:t>Corrective</w:t>
      </w:r>
      <w:r>
        <w:rPr>
          <w:b/>
          <w:color w:val="231F20"/>
          <w:spacing w:val="-4"/>
        </w:rPr>
        <w:t> </w:t>
      </w:r>
      <w:r>
        <w:rPr>
          <w:b/>
          <w:color w:val="231F20"/>
        </w:rPr>
        <w:t>Actions:</w:t>
      </w:r>
      <w:r>
        <w:rPr>
          <w:b/>
          <w:color w:val="231F20"/>
          <w:spacing w:val="-1"/>
        </w:rPr>
        <w:t> </w:t>
      </w:r>
      <w:r>
        <w:rPr>
          <w:color w:val="231F20"/>
        </w:rPr>
        <w:t>NMT</w:t>
      </w:r>
      <w:r>
        <w:rPr>
          <w:color w:val="231F20"/>
          <w:spacing w:val="-4"/>
        </w:rPr>
        <w:t> </w:t>
      </w:r>
      <w:r>
        <w:rPr>
          <w:color w:val="231F20"/>
        </w:rPr>
        <w:t>has</w:t>
      </w:r>
      <w:r>
        <w:rPr>
          <w:color w:val="231F20"/>
          <w:spacing w:val="-4"/>
        </w:rPr>
        <w:t> </w:t>
      </w:r>
      <w:r>
        <w:rPr>
          <w:color w:val="231F20"/>
        </w:rPr>
        <w:t>general</w:t>
      </w:r>
      <w:r>
        <w:rPr>
          <w:color w:val="231F20"/>
          <w:spacing w:val="-4"/>
        </w:rPr>
        <w:t> </w:t>
      </w:r>
      <w:r>
        <w:rPr>
          <w:color w:val="231F20"/>
        </w:rPr>
        <w:t>internal</w:t>
      </w:r>
      <w:r>
        <w:rPr>
          <w:color w:val="231F20"/>
          <w:spacing w:val="-4"/>
        </w:rPr>
        <w:t> </w:t>
      </w:r>
      <w:r>
        <w:rPr>
          <w:color w:val="231F20"/>
        </w:rPr>
        <w:t>controls</w:t>
      </w:r>
      <w:r>
        <w:rPr>
          <w:color w:val="231F20"/>
          <w:spacing w:val="-3"/>
        </w:rPr>
        <w:t> </w:t>
      </w:r>
      <w:r>
        <w:rPr>
          <w:color w:val="231F20"/>
        </w:rPr>
        <w:t>in place to ensure the cash is maintained properly. Current controls included the continued review of all transactions and cash balances daily within the banking systems to ensure that all transactions were approved. Monthly cash balance reports are provided to the Associate Vice President for Administration and Finance.</w:t>
      </w:r>
    </w:p>
    <w:p>
      <w:pPr>
        <w:pStyle w:val="BodyText"/>
        <w:spacing w:before="11"/>
        <w:rPr>
          <w:sz w:val="22"/>
        </w:rPr>
      </w:pPr>
    </w:p>
    <w:p>
      <w:pPr>
        <w:pStyle w:val="BodyText"/>
        <w:spacing w:line="276" w:lineRule="auto"/>
        <w:ind w:left="900" w:right="1027"/>
      </w:pPr>
      <w:r>
        <w:rPr>
          <w:color w:val="231F20"/>
        </w:rPr>
        <w:t>During</w:t>
      </w:r>
      <w:r>
        <w:rPr>
          <w:color w:val="231F20"/>
          <w:spacing w:val="-3"/>
        </w:rPr>
        <w:t> </w:t>
      </w:r>
      <w:r>
        <w:rPr>
          <w:color w:val="231F20"/>
        </w:rPr>
        <w:t>the</w:t>
      </w:r>
      <w:r>
        <w:rPr>
          <w:color w:val="231F20"/>
          <w:spacing w:val="-3"/>
        </w:rPr>
        <w:t> </w:t>
      </w:r>
      <w:r>
        <w:rPr>
          <w:color w:val="231F20"/>
        </w:rPr>
        <w:t>year-end</w:t>
      </w:r>
      <w:r>
        <w:rPr>
          <w:color w:val="231F20"/>
          <w:spacing w:val="-3"/>
        </w:rPr>
        <w:t> </w:t>
      </w:r>
      <w:r>
        <w:rPr>
          <w:color w:val="231F20"/>
        </w:rPr>
        <w:t>period,</w:t>
      </w:r>
      <w:r>
        <w:rPr>
          <w:color w:val="231F20"/>
          <w:spacing w:val="-3"/>
        </w:rPr>
        <w:t> </w:t>
      </w:r>
      <w:r>
        <w:rPr>
          <w:color w:val="231F20"/>
        </w:rPr>
        <w:t>staff</w:t>
      </w:r>
      <w:r>
        <w:rPr>
          <w:color w:val="231F20"/>
          <w:spacing w:val="-3"/>
        </w:rPr>
        <w:t> </w:t>
      </w:r>
      <w:r>
        <w:rPr>
          <w:color w:val="231F20"/>
        </w:rPr>
        <w:t>turnover</w:t>
      </w:r>
      <w:r>
        <w:rPr>
          <w:color w:val="231F20"/>
          <w:spacing w:val="-2"/>
        </w:rPr>
        <w:t> </w:t>
      </w:r>
      <w:r>
        <w:rPr>
          <w:color w:val="231F20"/>
        </w:rPr>
        <w:t>issues</w:t>
      </w:r>
      <w:r>
        <w:rPr>
          <w:color w:val="231F20"/>
          <w:spacing w:val="-2"/>
        </w:rPr>
        <w:t> </w:t>
      </w:r>
      <w:r>
        <w:rPr>
          <w:color w:val="231F20"/>
        </w:rPr>
        <w:t>occurred,</w:t>
      </w:r>
      <w:r>
        <w:rPr>
          <w:color w:val="231F20"/>
          <w:spacing w:val="-3"/>
        </w:rPr>
        <w:t> </w:t>
      </w:r>
      <w:r>
        <w:rPr>
          <w:color w:val="231F20"/>
        </w:rPr>
        <w:t>resulting</w:t>
      </w:r>
      <w:r>
        <w:rPr>
          <w:color w:val="231F20"/>
          <w:spacing w:val="-4"/>
        </w:rPr>
        <w:t> </w:t>
      </w:r>
      <w:r>
        <w:rPr>
          <w:color w:val="231F20"/>
        </w:rPr>
        <w:t>in</w:t>
      </w:r>
      <w:r>
        <w:rPr>
          <w:color w:val="231F20"/>
          <w:spacing w:val="-3"/>
        </w:rPr>
        <w:t> </w:t>
      </w:r>
      <w:r>
        <w:rPr>
          <w:color w:val="231F20"/>
        </w:rPr>
        <w:t>an</w:t>
      </w:r>
      <w:r>
        <w:rPr>
          <w:color w:val="231F20"/>
          <w:spacing w:val="-3"/>
        </w:rPr>
        <w:t> </w:t>
      </w:r>
      <w:r>
        <w:rPr>
          <w:color w:val="231F20"/>
        </w:rPr>
        <w:t>extended</w:t>
      </w:r>
      <w:r>
        <w:rPr>
          <w:color w:val="231F20"/>
          <w:spacing w:val="-3"/>
        </w:rPr>
        <w:t> </w:t>
      </w:r>
      <w:r>
        <w:rPr>
          <w:color w:val="231F20"/>
        </w:rPr>
        <w:t>time</w:t>
      </w:r>
      <w:r>
        <w:rPr>
          <w:color w:val="231F20"/>
          <w:spacing w:val="-3"/>
        </w:rPr>
        <w:t> </w:t>
      </w:r>
      <w:r>
        <w:rPr>
          <w:color w:val="231F20"/>
        </w:rPr>
        <w:t>to</w:t>
      </w:r>
      <w:r>
        <w:rPr>
          <w:color w:val="231F20"/>
          <w:spacing w:val="-3"/>
        </w:rPr>
        <w:t> </w:t>
      </w:r>
      <w:r>
        <w:rPr>
          <w:color w:val="231F20"/>
        </w:rPr>
        <w:t>hire</w:t>
      </w:r>
      <w:r>
        <w:rPr>
          <w:color w:val="231F20"/>
          <w:spacing w:val="-3"/>
        </w:rPr>
        <w:t> </w:t>
      </w:r>
      <w:r>
        <w:rPr>
          <w:color w:val="231F20"/>
        </w:rPr>
        <w:t>and</w:t>
      </w:r>
      <w:r>
        <w:rPr>
          <w:color w:val="231F20"/>
          <w:spacing w:val="-3"/>
        </w:rPr>
        <w:t> </w:t>
      </w:r>
      <w:r>
        <w:rPr>
          <w:color w:val="231F20"/>
        </w:rPr>
        <w:t>train qualified staff in preparation for year-end bank reconciliations. Additional staff has been brought in to ensure the segregation of duties and a detailed review of the bank reconciliations to ensure accuracy.</w:t>
      </w:r>
    </w:p>
    <w:p>
      <w:pPr>
        <w:pStyle w:val="BodyText"/>
        <w:rPr>
          <w:sz w:val="23"/>
        </w:rPr>
      </w:pPr>
    </w:p>
    <w:p>
      <w:pPr>
        <w:pStyle w:val="BodyText"/>
        <w:spacing w:line="276" w:lineRule="auto" w:before="1"/>
        <w:ind w:left="900" w:right="951"/>
      </w:pPr>
      <w:r>
        <w:rPr>
          <w:color w:val="231F20"/>
        </w:rPr>
        <w:t>Additional</w:t>
      </w:r>
      <w:r>
        <w:rPr>
          <w:color w:val="231F20"/>
          <w:spacing w:val="-3"/>
        </w:rPr>
        <w:t> </w:t>
      </w:r>
      <w:r>
        <w:rPr>
          <w:color w:val="231F20"/>
        </w:rPr>
        <w:t>verification</w:t>
      </w:r>
      <w:r>
        <w:rPr>
          <w:color w:val="231F20"/>
          <w:spacing w:val="-3"/>
        </w:rPr>
        <w:t> </w:t>
      </w:r>
      <w:r>
        <w:rPr>
          <w:color w:val="231F20"/>
        </w:rPr>
        <w:t>controls</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implemented</w:t>
      </w:r>
      <w:r>
        <w:rPr>
          <w:color w:val="231F20"/>
          <w:spacing w:val="-3"/>
        </w:rPr>
        <w:t> </w:t>
      </w:r>
      <w:r>
        <w:rPr>
          <w:color w:val="231F20"/>
        </w:rPr>
        <w:t>that can</w:t>
      </w:r>
      <w:r>
        <w:rPr>
          <w:color w:val="231F20"/>
          <w:spacing w:val="-3"/>
        </w:rPr>
        <w:t> </w:t>
      </w:r>
      <w:r>
        <w:rPr>
          <w:color w:val="231F20"/>
        </w:rPr>
        <w:t>be</w:t>
      </w:r>
      <w:r>
        <w:rPr>
          <w:color w:val="231F20"/>
          <w:spacing w:val="-3"/>
        </w:rPr>
        <w:t> </w:t>
      </w:r>
      <w:r>
        <w:rPr>
          <w:color w:val="231F20"/>
        </w:rPr>
        <w:t>used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reviewing</w:t>
      </w:r>
      <w:r>
        <w:rPr>
          <w:color w:val="231F20"/>
          <w:spacing w:val="-3"/>
        </w:rPr>
        <w:t> </w:t>
      </w:r>
      <w:r>
        <w:rPr>
          <w:color w:val="231F20"/>
        </w:rPr>
        <w:t>process</w:t>
      </w:r>
      <w:r>
        <w:rPr>
          <w:color w:val="231F20"/>
          <w:spacing w:val="-4"/>
        </w:rPr>
        <w:t> </w:t>
      </w:r>
      <w:r>
        <w:rPr>
          <w:color w:val="231F20"/>
        </w:rPr>
        <w:t>to</w:t>
      </w:r>
      <w:r>
        <w:rPr>
          <w:color w:val="231F20"/>
          <w:spacing w:val="-3"/>
        </w:rPr>
        <w:t> </w:t>
      </w:r>
      <w:r>
        <w:rPr>
          <w:color w:val="231F20"/>
        </w:rPr>
        <w:t>verify</w:t>
      </w:r>
      <w:r>
        <w:rPr>
          <w:color w:val="231F20"/>
          <w:spacing w:val="-2"/>
        </w:rPr>
        <w:t> </w:t>
      </w:r>
      <w:r>
        <w:rPr>
          <w:color w:val="231F20"/>
        </w:rPr>
        <w:t>that the daily banking and internal activity control sheets are updated in a timely manner and to ensure the unadjusted trial balance is reconciled within a reasonable adjustment range when sent to the auditor for review. These changes will be implemented by November 30, 2022.</w:t>
      </w:r>
    </w:p>
    <w:p>
      <w:pPr>
        <w:pStyle w:val="BodyText"/>
        <w:spacing w:before="11"/>
        <w:rPr>
          <w:sz w:val="22"/>
        </w:rPr>
      </w:pPr>
    </w:p>
    <w:p>
      <w:pPr>
        <w:spacing w:before="0"/>
        <w:ind w:left="900" w:right="0" w:firstLine="0"/>
        <w:jc w:val="left"/>
        <w:rPr>
          <w:sz w:val="20"/>
        </w:rPr>
      </w:pPr>
      <w:r>
        <w:rPr>
          <w:b/>
          <w:color w:val="231F20"/>
          <w:sz w:val="20"/>
        </w:rPr>
        <w:t>Responsible</w:t>
      </w:r>
      <w:r>
        <w:rPr>
          <w:b/>
          <w:color w:val="231F20"/>
          <w:spacing w:val="-11"/>
          <w:sz w:val="20"/>
        </w:rPr>
        <w:t> </w:t>
      </w:r>
      <w:r>
        <w:rPr>
          <w:b/>
          <w:color w:val="231F20"/>
          <w:sz w:val="20"/>
        </w:rPr>
        <w:t>Person:</w:t>
      </w:r>
      <w:r>
        <w:rPr>
          <w:b/>
          <w:color w:val="231F20"/>
          <w:spacing w:val="-9"/>
          <w:sz w:val="20"/>
        </w:rPr>
        <w:t> </w:t>
      </w:r>
      <w:r>
        <w:rPr>
          <w:color w:val="231F20"/>
          <w:spacing w:val="-2"/>
          <w:sz w:val="20"/>
        </w:rPr>
        <w:t>Controller</w:t>
      </w:r>
    </w:p>
    <w:p>
      <w:pPr>
        <w:spacing w:after="0"/>
        <w:jc w:val="left"/>
        <w:rPr>
          <w:sz w:val="20"/>
        </w:rPr>
        <w:sectPr>
          <w:pgSz w:w="12240" w:h="15840"/>
          <w:pgMar w:header="850" w:footer="1097" w:top="1300" w:bottom="1280" w:left="540" w:right="500"/>
        </w:sectPr>
      </w:pPr>
    </w:p>
    <w:p>
      <w:pPr>
        <w:pStyle w:val="Heading3"/>
        <w:ind w:left="3879" w:right="2082" w:hanging="1506"/>
        <w:jc w:val="left"/>
      </w:pPr>
      <w:r>
        <w:rPr>
          <w:color w:val="231F20"/>
        </w:rPr>
        <w:t>Schedule</w:t>
      </w:r>
      <w:r>
        <w:rPr>
          <w:color w:val="231F20"/>
          <w:spacing w:val="-6"/>
        </w:rPr>
        <w:t> </w:t>
      </w:r>
      <w:r>
        <w:rPr>
          <w:color w:val="231F20"/>
        </w:rPr>
        <w:t>of</w:t>
      </w:r>
      <w:r>
        <w:rPr>
          <w:color w:val="231F20"/>
          <w:spacing w:val="-6"/>
        </w:rPr>
        <w:t> </w:t>
      </w:r>
      <w:r>
        <w:rPr>
          <w:color w:val="231F20"/>
        </w:rPr>
        <w:t>Findings</w:t>
      </w:r>
      <w:r>
        <w:rPr>
          <w:color w:val="231F20"/>
          <w:spacing w:val="-6"/>
        </w:rPr>
        <w:t> </w:t>
      </w:r>
      <w:r>
        <w:rPr>
          <w:color w:val="231F20"/>
        </w:rPr>
        <w:t>and</w:t>
      </w:r>
      <w:r>
        <w:rPr>
          <w:color w:val="231F20"/>
          <w:spacing w:val="-6"/>
        </w:rPr>
        <w:t> </w:t>
      </w:r>
      <w:r>
        <w:rPr>
          <w:color w:val="231F20"/>
        </w:rPr>
        <w:t>Questioned</w:t>
      </w:r>
      <w:r>
        <w:rPr>
          <w:color w:val="231F20"/>
          <w:spacing w:val="-6"/>
        </w:rPr>
        <w:t> </w:t>
      </w:r>
      <w:r>
        <w:rPr>
          <w:color w:val="231F20"/>
        </w:rPr>
        <w:t>Costs</w:t>
      </w:r>
      <w:r>
        <w:rPr>
          <w:color w:val="231F20"/>
          <w:spacing w:val="-6"/>
        </w:rPr>
        <w:t> </w:t>
      </w:r>
      <w:r>
        <w:rPr>
          <w:color w:val="231F20"/>
        </w:rPr>
        <w:t>(continued) For Year Ended June 30, 2022</w:t>
      </w:r>
    </w:p>
    <w:p>
      <w:pPr>
        <w:pStyle w:val="BodyText"/>
        <w:spacing w:line="30" w:lineRule="exact"/>
        <w:ind w:left="870"/>
        <w:rPr>
          <w:sz w:val="3"/>
        </w:rPr>
      </w:pPr>
      <w:r>
        <w:rPr>
          <w:position w:val="0"/>
          <w:sz w:val="3"/>
        </w:rPr>
        <w:pict>
          <v:group style="width:471.05pt;height:1.5pt;mso-position-horizontal-relative:char;mso-position-vertical-relative:line" id="docshapegroup625" coordorigin="0,0" coordsize="9421,30">
            <v:rect style="position:absolute;left:0;top:0;width:9421;height:30" id="docshape626" filled="true" fillcolor="#231f20" stroked="false">
              <v:fill type="solid"/>
            </v:rect>
          </v:group>
        </w:pict>
      </w:r>
      <w:r>
        <w:rPr>
          <w:position w:val="0"/>
          <w:sz w:val="3"/>
        </w:rPr>
      </w:r>
    </w:p>
    <w:p>
      <w:pPr>
        <w:pStyle w:val="BodyText"/>
        <w:rPr>
          <w:b/>
        </w:rPr>
      </w:pPr>
    </w:p>
    <w:p>
      <w:pPr>
        <w:pStyle w:val="BodyText"/>
        <w:spacing w:before="5"/>
        <w:rPr>
          <w:b/>
          <w:sz w:val="23"/>
        </w:rPr>
      </w:pPr>
      <w:r>
        <w:rPr/>
        <w:pict>
          <v:rect style="position:absolute;margin-left:70.5pt;margin-top:14.710662pt;width:471.001pt;height:1.5pt;mso-position-horizontal-relative:page;mso-position-vertical-relative:paragraph;z-index:-15585792;mso-wrap-distance-left:0;mso-wrap-distance-right:0" id="docshape627" filled="true" fillcolor="#231f20" stroked="false">
            <v:fill type="solid"/>
            <w10:wrap type="topAndBottom"/>
          </v:rect>
        </w:pict>
      </w:r>
    </w:p>
    <w:p>
      <w:pPr>
        <w:pStyle w:val="Heading4"/>
        <w:spacing w:before="18" w:after="48"/>
        <w:ind w:left="0" w:right="35"/>
        <w:jc w:val="center"/>
      </w:pPr>
      <w:r>
        <w:rPr>
          <w:color w:val="231F20"/>
        </w:rPr>
        <w:t>Section</w:t>
      </w:r>
      <w:r>
        <w:rPr>
          <w:color w:val="231F20"/>
          <w:spacing w:val="-6"/>
        </w:rPr>
        <w:t> </w:t>
      </w:r>
      <w:r>
        <w:rPr>
          <w:color w:val="231F20"/>
        </w:rPr>
        <w:t>II</w:t>
      </w:r>
      <w:r>
        <w:rPr>
          <w:color w:val="231F20"/>
          <w:spacing w:val="-6"/>
        </w:rPr>
        <w:t> </w:t>
      </w:r>
      <w:r>
        <w:rPr>
          <w:color w:val="231F20"/>
        </w:rPr>
        <w:t>–</w:t>
      </w:r>
      <w:r>
        <w:rPr>
          <w:color w:val="231F20"/>
          <w:spacing w:val="-6"/>
        </w:rPr>
        <w:t> </w:t>
      </w:r>
      <w:r>
        <w:rPr>
          <w:color w:val="231F20"/>
        </w:rPr>
        <w:t>Financial</w:t>
      </w:r>
      <w:r>
        <w:rPr>
          <w:color w:val="231F20"/>
          <w:spacing w:val="-6"/>
        </w:rPr>
        <w:t> </w:t>
      </w:r>
      <w:r>
        <w:rPr>
          <w:color w:val="231F20"/>
        </w:rPr>
        <w:t>Statement</w:t>
      </w:r>
      <w:r>
        <w:rPr>
          <w:color w:val="231F20"/>
          <w:spacing w:val="-6"/>
        </w:rPr>
        <w:t> </w:t>
      </w:r>
      <w:r>
        <w:rPr>
          <w:color w:val="231F20"/>
          <w:spacing w:val="-2"/>
        </w:rPr>
        <w:t>Findings</w:t>
      </w:r>
    </w:p>
    <w:p>
      <w:pPr>
        <w:pStyle w:val="BodyText"/>
        <w:spacing w:line="30" w:lineRule="exact"/>
        <w:ind w:left="870"/>
        <w:rPr>
          <w:sz w:val="3"/>
        </w:rPr>
      </w:pPr>
      <w:r>
        <w:rPr>
          <w:position w:val="0"/>
          <w:sz w:val="3"/>
        </w:rPr>
        <w:pict>
          <v:group style="width:471.05pt;height:1.5pt;mso-position-horizontal-relative:char;mso-position-vertical-relative:line" id="docshapegroup628" coordorigin="0,0" coordsize="9421,30">
            <v:rect style="position:absolute;left:0;top:0;width:9421;height:30" id="docshape629" filled="true" fillcolor="#231f20" stroked="false">
              <v:fill type="solid"/>
            </v:rect>
          </v:group>
        </w:pict>
      </w:r>
      <w:r>
        <w:rPr>
          <w:position w:val="0"/>
          <w:sz w:val="3"/>
        </w:rPr>
      </w:r>
    </w:p>
    <w:p>
      <w:pPr>
        <w:pStyle w:val="BodyText"/>
        <w:rPr>
          <w:b/>
        </w:rPr>
      </w:pPr>
    </w:p>
    <w:p>
      <w:pPr>
        <w:pStyle w:val="BodyText"/>
        <w:spacing w:before="1"/>
        <w:rPr>
          <w:b/>
        </w:rPr>
      </w:pPr>
    </w:p>
    <w:p>
      <w:pPr>
        <w:spacing w:before="0"/>
        <w:ind w:left="900" w:right="0" w:firstLine="0"/>
        <w:jc w:val="left"/>
        <w:rPr>
          <w:b/>
          <w:sz w:val="20"/>
        </w:rPr>
      </w:pPr>
      <w:r>
        <w:rPr>
          <w:b/>
          <w:color w:val="231F20"/>
          <w:sz w:val="20"/>
        </w:rPr>
        <w:t>2022-002</w:t>
      </w:r>
      <w:r>
        <w:rPr>
          <w:b/>
          <w:color w:val="231F20"/>
          <w:spacing w:val="-6"/>
          <w:sz w:val="20"/>
        </w:rPr>
        <w:t> </w:t>
      </w:r>
      <w:r>
        <w:rPr>
          <w:b/>
          <w:color w:val="231F20"/>
          <w:sz w:val="20"/>
        </w:rPr>
        <w:t>–</w:t>
      </w:r>
      <w:r>
        <w:rPr>
          <w:b/>
          <w:color w:val="231F20"/>
          <w:spacing w:val="-6"/>
          <w:sz w:val="20"/>
        </w:rPr>
        <w:t> </w:t>
      </w:r>
      <w:r>
        <w:rPr>
          <w:b/>
          <w:color w:val="231F20"/>
          <w:sz w:val="20"/>
        </w:rPr>
        <w:t>Contract</w:t>
      </w:r>
      <w:r>
        <w:rPr>
          <w:b/>
          <w:color w:val="231F20"/>
          <w:spacing w:val="-6"/>
          <w:sz w:val="20"/>
        </w:rPr>
        <w:t> </w:t>
      </w:r>
      <w:r>
        <w:rPr>
          <w:b/>
          <w:color w:val="231F20"/>
          <w:sz w:val="20"/>
        </w:rPr>
        <w:t>and</w:t>
      </w:r>
      <w:r>
        <w:rPr>
          <w:b/>
          <w:color w:val="231F20"/>
          <w:spacing w:val="-5"/>
          <w:sz w:val="20"/>
        </w:rPr>
        <w:t> </w:t>
      </w:r>
      <w:r>
        <w:rPr>
          <w:b/>
          <w:color w:val="231F20"/>
          <w:sz w:val="20"/>
        </w:rPr>
        <w:t>Grant</w:t>
      </w:r>
      <w:r>
        <w:rPr>
          <w:b/>
          <w:color w:val="231F20"/>
          <w:spacing w:val="-6"/>
          <w:sz w:val="20"/>
        </w:rPr>
        <w:t> </w:t>
      </w:r>
      <w:r>
        <w:rPr>
          <w:b/>
          <w:color w:val="231F20"/>
          <w:sz w:val="20"/>
        </w:rPr>
        <w:t>Receivables</w:t>
      </w:r>
      <w:r>
        <w:rPr>
          <w:b/>
          <w:color w:val="231F20"/>
          <w:spacing w:val="-6"/>
          <w:sz w:val="20"/>
        </w:rPr>
        <w:t> </w:t>
      </w:r>
      <w:r>
        <w:rPr>
          <w:b/>
          <w:color w:val="231F20"/>
          <w:sz w:val="20"/>
        </w:rPr>
        <w:t>(Significant</w:t>
      </w:r>
      <w:r>
        <w:rPr>
          <w:b/>
          <w:color w:val="231F20"/>
          <w:spacing w:val="-6"/>
          <w:sz w:val="20"/>
        </w:rPr>
        <w:t> </w:t>
      </w:r>
      <w:r>
        <w:rPr>
          <w:b/>
          <w:color w:val="231F20"/>
          <w:spacing w:val="-2"/>
          <w:sz w:val="20"/>
        </w:rPr>
        <w:t>Deficiency)</w:t>
      </w:r>
    </w:p>
    <w:p>
      <w:pPr>
        <w:pStyle w:val="BodyText"/>
        <w:spacing w:before="10"/>
        <w:rPr>
          <w:b/>
          <w:sz w:val="19"/>
        </w:rPr>
      </w:pPr>
    </w:p>
    <w:p>
      <w:pPr>
        <w:pStyle w:val="BodyText"/>
        <w:spacing w:line="276" w:lineRule="auto"/>
        <w:ind w:left="900" w:right="951"/>
      </w:pPr>
      <w:r>
        <w:rPr>
          <w:b/>
          <w:color w:val="231F20"/>
        </w:rPr>
        <w:t>Condition:</w:t>
      </w:r>
      <w:r>
        <w:rPr>
          <w:b/>
          <w:color w:val="231F20"/>
          <w:spacing w:val="-3"/>
        </w:rPr>
        <w:t> </w:t>
      </w:r>
      <w:r>
        <w:rPr>
          <w:color w:val="231F20"/>
        </w:rPr>
        <w:t>The</w:t>
      </w:r>
      <w:r>
        <w:rPr>
          <w:color w:val="231F20"/>
          <w:spacing w:val="-4"/>
        </w:rPr>
        <w:t> </w:t>
      </w:r>
      <w:r>
        <w:rPr>
          <w:color w:val="231F20"/>
        </w:rPr>
        <w:t>Institute’s</w:t>
      </w:r>
      <w:r>
        <w:rPr>
          <w:color w:val="231F20"/>
          <w:spacing w:val="-5"/>
        </w:rPr>
        <w:t> </w:t>
      </w:r>
      <w:r>
        <w:rPr>
          <w:color w:val="231F20"/>
        </w:rPr>
        <w:t>receivable</w:t>
      </w:r>
      <w:r>
        <w:rPr>
          <w:color w:val="231F20"/>
          <w:spacing w:val="-4"/>
        </w:rPr>
        <w:t> </w:t>
      </w:r>
      <w:r>
        <w:rPr>
          <w:color w:val="231F20"/>
        </w:rPr>
        <w:t>balances</w:t>
      </w:r>
      <w:r>
        <w:rPr>
          <w:color w:val="231F20"/>
          <w:spacing w:val="-4"/>
        </w:rPr>
        <w:t> </w:t>
      </w:r>
      <w:r>
        <w:rPr>
          <w:color w:val="231F20"/>
        </w:rPr>
        <w:t>included</w:t>
      </w:r>
      <w:r>
        <w:rPr>
          <w:color w:val="231F20"/>
          <w:spacing w:val="-4"/>
        </w:rPr>
        <w:t> </w:t>
      </w:r>
      <w:r>
        <w:rPr>
          <w:color w:val="231F20"/>
        </w:rPr>
        <w:t>approximately</w:t>
      </w:r>
      <w:r>
        <w:rPr>
          <w:color w:val="231F20"/>
          <w:spacing w:val="-4"/>
        </w:rPr>
        <w:t> </w:t>
      </w:r>
      <w:r>
        <w:rPr>
          <w:color w:val="231F20"/>
        </w:rPr>
        <w:t>$3,000,000</w:t>
      </w:r>
      <w:r>
        <w:rPr>
          <w:color w:val="231F20"/>
          <w:spacing w:val="-4"/>
        </w:rPr>
        <w:t> </w:t>
      </w:r>
      <w:r>
        <w:rPr>
          <w:color w:val="231F20"/>
        </w:rPr>
        <w:t>of</w:t>
      </w:r>
      <w:r>
        <w:rPr>
          <w:color w:val="231F20"/>
          <w:spacing w:val="-4"/>
        </w:rPr>
        <w:t> </w:t>
      </w:r>
      <w:r>
        <w:rPr>
          <w:color w:val="231F20"/>
        </w:rPr>
        <w:t>credit</w:t>
      </w:r>
      <w:r>
        <w:rPr>
          <w:color w:val="231F20"/>
          <w:spacing w:val="-4"/>
        </w:rPr>
        <w:t> </w:t>
      </w:r>
      <w:r>
        <w:rPr>
          <w:color w:val="231F20"/>
        </w:rPr>
        <w:t>balances</w:t>
      </w:r>
      <w:r>
        <w:rPr>
          <w:color w:val="231F20"/>
          <w:spacing w:val="-4"/>
        </w:rPr>
        <w:t> </w:t>
      </w:r>
      <w:r>
        <w:rPr>
          <w:color w:val="231F20"/>
        </w:rPr>
        <w:t>that should have been classified as a liability or recorded as income, causing an understatement of contract and grant receivables.</w:t>
      </w:r>
    </w:p>
    <w:p>
      <w:pPr>
        <w:pStyle w:val="BodyText"/>
      </w:pPr>
    </w:p>
    <w:p>
      <w:pPr>
        <w:pStyle w:val="BodyText"/>
        <w:spacing w:line="276" w:lineRule="auto" w:before="1"/>
        <w:ind w:left="899" w:right="951"/>
      </w:pPr>
      <w:r>
        <w:rPr>
          <w:b/>
          <w:color w:val="231F20"/>
        </w:rPr>
        <w:t>Criteria: </w:t>
      </w:r>
      <w:r>
        <w:rPr>
          <w:color w:val="231F20"/>
        </w:rPr>
        <w:t>Management is responsible for the preparation and fair presentation of the financial statements in</w:t>
      </w:r>
      <w:r>
        <w:rPr>
          <w:color w:val="231F20"/>
          <w:spacing w:val="-3"/>
        </w:rPr>
        <w:t> </w:t>
      </w:r>
      <w:r>
        <w:rPr>
          <w:color w:val="231F20"/>
        </w:rPr>
        <w:t>accordance</w:t>
      </w:r>
      <w:r>
        <w:rPr>
          <w:color w:val="231F20"/>
          <w:spacing w:val="-3"/>
        </w:rPr>
        <w:t> </w:t>
      </w:r>
      <w:r>
        <w:rPr>
          <w:color w:val="231F20"/>
        </w:rPr>
        <w:t>with</w:t>
      </w:r>
      <w:r>
        <w:rPr>
          <w:color w:val="231F20"/>
          <w:spacing w:val="-3"/>
        </w:rPr>
        <w:t> </w:t>
      </w:r>
      <w:r>
        <w:rPr>
          <w:color w:val="231F20"/>
        </w:rPr>
        <w:t>accounting</w:t>
      </w:r>
      <w:r>
        <w:rPr>
          <w:color w:val="231F20"/>
          <w:spacing w:val="-3"/>
        </w:rPr>
        <w:t> </w:t>
      </w:r>
      <w:r>
        <w:rPr>
          <w:color w:val="231F20"/>
        </w:rPr>
        <w:t>principles</w:t>
      </w:r>
      <w:r>
        <w:rPr>
          <w:color w:val="231F20"/>
          <w:spacing w:val="-3"/>
        </w:rPr>
        <w:t> </w:t>
      </w:r>
      <w:r>
        <w:rPr>
          <w:color w:val="231F20"/>
        </w:rPr>
        <w:t>generally</w:t>
      </w:r>
      <w:r>
        <w:rPr>
          <w:color w:val="231F20"/>
          <w:spacing w:val="-3"/>
        </w:rPr>
        <w:t> </w:t>
      </w:r>
      <w:r>
        <w:rPr>
          <w:color w:val="231F20"/>
        </w:rPr>
        <w:t>accepted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United</w:t>
      </w:r>
      <w:r>
        <w:rPr>
          <w:color w:val="231F20"/>
          <w:spacing w:val="-3"/>
        </w:rPr>
        <w:t> </w:t>
      </w:r>
      <w:r>
        <w:rPr>
          <w:color w:val="231F20"/>
        </w:rPr>
        <w:t>States</w:t>
      </w:r>
      <w:r>
        <w:rPr>
          <w:color w:val="231F20"/>
          <w:spacing w:val="-3"/>
        </w:rPr>
        <w:t> </w:t>
      </w:r>
      <w:r>
        <w:rPr>
          <w:color w:val="231F20"/>
        </w:rPr>
        <w:t>of</w:t>
      </w:r>
      <w:r>
        <w:rPr>
          <w:color w:val="231F20"/>
          <w:spacing w:val="-3"/>
        </w:rPr>
        <w:t> </w:t>
      </w:r>
      <w:r>
        <w:rPr>
          <w:color w:val="231F20"/>
        </w:rPr>
        <w:t>America;</w:t>
      </w:r>
      <w:r>
        <w:rPr>
          <w:color w:val="231F20"/>
          <w:spacing w:val="-3"/>
        </w:rPr>
        <w:t> </w:t>
      </w:r>
      <w:r>
        <w:rPr>
          <w:color w:val="231F20"/>
        </w:rPr>
        <w:t>this</w:t>
      </w:r>
      <w:r>
        <w:rPr>
          <w:color w:val="231F20"/>
          <w:spacing w:val="-3"/>
        </w:rPr>
        <w:t> </w:t>
      </w:r>
      <w:r>
        <w:rPr>
          <w:color w:val="231F20"/>
        </w:rPr>
        <w:t>includes the design, implementation, and maintenance of internal controls relevant to the preparation and fair presentation of financial statements that are free from material misstatement, whether due to fraud or </w:t>
      </w:r>
      <w:r>
        <w:rPr>
          <w:color w:val="231F20"/>
          <w:spacing w:val="-2"/>
        </w:rPr>
        <w:t>error.</w:t>
      </w:r>
    </w:p>
    <w:p>
      <w:pPr>
        <w:pStyle w:val="BodyText"/>
        <w:spacing w:before="10"/>
        <w:rPr>
          <w:sz w:val="22"/>
        </w:rPr>
      </w:pPr>
    </w:p>
    <w:p>
      <w:pPr>
        <w:pStyle w:val="BodyText"/>
        <w:spacing w:line="276" w:lineRule="auto" w:before="1"/>
        <w:ind w:left="899" w:right="1293"/>
      </w:pPr>
      <w:r>
        <w:rPr>
          <w:b/>
          <w:color w:val="231F20"/>
        </w:rPr>
        <w:t>Cause:</w:t>
      </w:r>
      <w:r>
        <w:rPr>
          <w:b/>
          <w:color w:val="231F20"/>
          <w:spacing w:val="-3"/>
        </w:rPr>
        <w:t> </w:t>
      </w:r>
      <w:r>
        <w:rPr>
          <w:color w:val="231F20"/>
        </w:rPr>
        <w:t>The</w:t>
      </w:r>
      <w:r>
        <w:rPr>
          <w:color w:val="231F20"/>
          <w:spacing w:val="-4"/>
        </w:rPr>
        <w:t> </w:t>
      </w:r>
      <w:r>
        <w:rPr>
          <w:color w:val="231F20"/>
        </w:rPr>
        <w:t>accounting</w:t>
      </w:r>
      <w:r>
        <w:rPr>
          <w:color w:val="231F20"/>
          <w:spacing w:val="-4"/>
        </w:rPr>
        <w:t> </w:t>
      </w:r>
      <w:r>
        <w:rPr>
          <w:color w:val="231F20"/>
        </w:rPr>
        <w:t>policies,</w:t>
      </w:r>
      <w:r>
        <w:rPr>
          <w:color w:val="231F20"/>
          <w:spacing w:val="-4"/>
        </w:rPr>
        <w:t> </w:t>
      </w:r>
      <w:r>
        <w:rPr>
          <w:color w:val="231F20"/>
        </w:rPr>
        <w:t>procedures,</w:t>
      </w:r>
      <w:r>
        <w:rPr>
          <w:color w:val="231F20"/>
          <w:spacing w:val="-4"/>
        </w:rPr>
        <w:t> </w:t>
      </w:r>
      <w:r>
        <w:rPr>
          <w:color w:val="231F20"/>
        </w:rPr>
        <w:t>and</w:t>
      </w:r>
      <w:r>
        <w:rPr>
          <w:color w:val="231F20"/>
          <w:spacing w:val="-5"/>
        </w:rPr>
        <w:t> </w:t>
      </w:r>
      <w:r>
        <w:rPr>
          <w:color w:val="231F20"/>
        </w:rPr>
        <w:t>controls</w:t>
      </w:r>
      <w:r>
        <w:rPr>
          <w:color w:val="231F20"/>
          <w:spacing w:val="-1"/>
        </w:rPr>
        <w:t> </w:t>
      </w:r>
      <w:r>
        <w:rPr>
          <w:color w:val="231F20"/>
        </w:rPr>
        <w:t>to</w:t>
      </w:r>
      <w:r>
        <w:rPr>
          <w:color w:val="231F20"/>
          <w:spacing w:val="-4"/>
        </w:rPr>
        <w:t> </w:t>
      </w:r>
      <w:r>
        <w:rPr>
          <w:color w:val="231F20"/>
        </w:rPr>
        <w:t>ensure</w:t>
      </w:r>
      <w:r>
        <w:rPr>
          <w:color w:val="231F20"/>
          <w:spacing w:val="-4"/>
        </w:rPr>
        <w:t> </w:t>
      </w:r>
      <w:r>
        <w:rPr>
          <w:color w:val="231F20"/>
        </w:rPr>
        <w:t>an</w:t>
      </w:r>
      <w:r>
        <w:rPr>
          <w:color w:val="231F20"/>
          <w:spacing w:val="-4"/>
        </w:rPr>
        <w:t> </w:t>
      </w:r>
      <w:r>
        <w:rPr>
          <w:color w:val="231F20"/>
        </w:rPr>
        <w:t>effective</w:t>
      </w:r>
      <w:r>
        <w:rPr>
          <w:color w:val="231F20"/>
          <w:spacing w:val="-4"/>
        </w:rPr>
        <w:t> </w:t>
      </w:r>
      <w:r>
        <w:rPr>
          <w:color w:val="231F20"/>
        </w:rPr>
        <w:t>system</w:t>
      </w:r>
      <w:r>
        <w:rPr>
          <w:color w:val="231F20"/>
          <w:spacing w:val="-4"/>
        </w:rPr>
        <w:t> </w:t>
      </w:r>
      <w:r>
        <w:rPr>
          <w:color w:val="231F20"/>
        </w:rPr>
        <w:t>of</w:t>
      </w:r>
      <w:r>
        <w:rPr>
          <w:color w:val="231F20"/>
          <w:spacing w:val="-4"/>
        </w:rPr>
        <w:t> </w:t>
      </w:r>
      <w:r>
        <w:rPr>
          <w:color w:val="231F20"/>
        </w:rPr>
        <w:t>internal control over financial reporting the receivable balances were not functioning as intended.</w:t>
      </w:r>
    </w:p>
    <w:p>
      <w:pPr>
        <w:pStyle w:val="BodyText"/>
      </w:pPr>
    </w:p>
    <w:p>
      <w:pPr>
        <w:pStyle w:val="BodyText"/>
        <w:spacing w:line="276" w:lineRule="auto"/>
        <w:ind w:left="899" w:right="951"/>
      </w:pPr>
      <w:r>
        <w:rPr>
          <w:b/>
          <w:color w:val="231F20"/>
        </w:rPr>
        <w:t>Effect:</w:t>
      </w:r>
      <w:r>
        <w:rPr>
          <w:b/>
          <w:color w:val="231F20"/>
          <w:spacing w:val="-2"/>
        </w:rPr>
        <w:t> </w:t>
      </w:r>
      <w:r>
        <w:rPr>
          <w:color w:val="231F20"/>
        </w:rPr>
        <w:t>An</w:t>
      </w:r>
      <w:r>
        <w:rPr>
          <w:color w:val="231F20"/>
          <w:spacing w:val="-3"/>
        </w:rPr>
        <w:t> </w:t>
      </w:r>
      <w:r>
        <w:rPr>
          <w:color w:val="231F20"/>
        </w:rPr>
        <w:t>adjusting</w:t>
      </w:r>
      <w:r>
        <w:rPr>
          <w:color w:val="231F20"/>
          <w:spacing w:val="-3"/>
        </w:rPr>
        <w:t> </w:t>
      </w:r>
      <w:r>
        <w:rPr>
          <w:color w:val="231F20"/>
        </w:rPr>
        <w:t>entry</w:t>
      </w:r>
      <w:r>
        <w:rPr>
          <w:color w:val="231F20"/>
          <w:spacing w:val="-4"/>
        </w:rPr>
        <w:t> </w:t>
      </w:r>
      <w:r>
        <w:rPr>
          <w:color w:val="231F20"/>
        </w:rPr>
        <w:t>was</w:t>
      </w:r>
      <w:r>
        <w:rPr>
          <w:color w:val="231F20"/>
          <w:spacing w:val="-3"/>
        </w:rPr>
        <w:t> </w:t>
      </w:r>
      <w:r>
        <w:rPr>
          <w:color w:val="231F20"/>
        </w:rPr>
        <w:t>necessary</w:t>
      </w:r>
      <w:r>
        <w:rPr>
          <w:color w:val="231F20"/>
          <w:spacing w:val="-3"/>
        </w:rPr>
        <w:t> </w:t>
      </w:r>
      <w:r>
        <w:rPr>
          <w:color w:val="231F20"/>
        </w:rPr>
        <w:t>to</w:t>
      </w:r>
      <w:r>
        <w:rPr>
          <w:color w:val="231F20"/>
          <w:spacing w:val="-3"/>
        </w:rPr>
        <w:t> </w:t>
      </w:r>
      <w:r>
        <w:rPr>
          <w:color w:val="231F20"/>
        </w:rPr>
        <w:t>properly</w:t>
      </w:r>
      <w:r>
        <w:rPr>
          <w:color w:val="231F20"/>
          <w:spacing w:val="-2"/>
        </w:rPr>
        <w:t> </w:t>
      </w:r>
      <w:r>
        <w:rPr>
          <w:color w:val="231F20"/>
        </w:rPr>
        <w:t>reflect</w:t>
      </w:r>
      <w:r>
        <w:rPr>
          <w:color w:val="231F20"/>
          <w:spacing w:val="-3"/>
        </w:rPr>
        <w:t> </w:t>
      </w:r>
      <w:r>
        <w:rPr>
          <w:color w:val="231F20"/>
        </w:rPr>
        <w:t>contract</w:t>
      </w:r>
      <w:r>
        <w:rPr>
          <w:color w:val="231F20"/>
          <w:spacing w:val="-3"/>
        </w:rPr>
        <w:t> </w:t>
      </w:r>
      <w:r>
        <w:rPr>
          <w:color w:val="231F20"/>
        </w:rPr>
        <w:t>and</w:t>
      </w:r>
      <w:r>
        <w:rPr>
          <w:color w:val="231F20"/>
          <w:spacing w:val="-3"/>
        </w:rPr>
        <w:t> </w:t>
      </w:r>
      <w:r>
        <w:rPr>
          <w:color w:val="231F20"/>
        </w:rPr>
        <w:t>grant</w:t>
      </w:r>
      <w:r>
        <w:rPr>
          <w:color w:val="231F20"/>
          <w:spacing w:val="-3"/>
        </w:rPr>
        <w:t> </w:t>
      </w:r>
      <w:r>
        <w:rPr>
          <w:color w:val="231F20"/>
        </w:rPr>
        <w:t>receivable</w:t>
      </w:r>
      <w:r>
        <w:rPr>
          <w:color w:val="231F20"/>
          <w:spacing w:val="-3"/>
        </w:rPr>
        <w:t> </w:t>
      </w:r>
      <w:r>
        <w:rPr>
          <w:color w:val="231F20"/>
        </w:rPr>
        <w:t>balances</w:t>
      </w:r>
      <w:r>
        <w:rPr>
          <w:color w:val="231F20"/>
          <w:spacing w:val="-3"/>
        </w:rPr>
        <w:t> </w:t>
      </w:r>
      <w:r>
        <w:rPr>
          <w:color w:val="231F20"/>
        </w:rPr>
        <w:t>in</w:t>
      </w:r>
      <w:r>
        <w:rPr>
          <w:color w:val="231F20"/>
          <w:spacing w:val="-3"/>
        </w:rPr>
        <w:t> </w:t>
      </w:r>
      <w:r>
        <w:rPr>
          <w:color w:val="231F20"/>
        </w:rPr>
        <w:t>the financial statements.</w:t>
      </w:r>
    </w:p>
    <w:p>
      <w:pPr>
        <w:pStyle w:val="BodyText"/>
        <w:spacing w:before="1"/>
      </w:pPr>
    </w:p>
    <w:p>
      <w:pPr>
        <w:spacing w:before="0"/>
        <w:ind w:left="899" w:right="0" w:firstLine="0"/>
        <w:jc w:val="left"/>
        <w:rPr>
          <w:sz w:val="20"/>
        </w:rPr>
      </w:pPr>
      <w:r>
        <w:rPr>
          <w:b/>
          <w:color w:val="231F20"/>
          <w:sz w:val="20"/>
        </w:rPr>
        <w:t>Repeat</w:t>
      </w:r>
      <w:r>
        <w:rPr>
          <w:b/>
          <w:color w:val="231F20"/>
          <w:spacing w:val="-4"/>
          <w:sz w:val="20"/>
        </w:rPr>
        <w:t> </w:t>
      </w:r>
      <w:r>
        <w:rPr>
          <w:b/>
          <w:color w:val="231F20"/>
          <w:sz w:val="20"/>
        </w:rPr>
        <w:t>Finding:</w:t>
      </w:r>
      <w:r>
        <w:rPr>
          <w:b/>
          <w:color w:val="231F20"/>
          <w:spacing w:val="-3"/>
          <w:sz w:val="20"/>
        </w:rPr>
        <w:t> </w:t>
      </w:r>
      <w:r>
        <w:rPr>
          <w:color w:val="231F20"/>
          <w:sz w:val="20"/>
        </w:rPr>
        <w:t>This</w:t>
      </w:r>
      <w:r>
        <w:rPr>
          <w:color w:val="231F20"/>
          <w:spacing w:val="-2"/>
          <w:sz w:val="20"/>
        </w:rPr>
        <w:t> </w:t>
      </w:r>
      <w:r>
        <w:rPr>
          <w:color w:val="231F20"/>
          <w:sz w:val="20"/>
        </w:rPr>
        <w:t>is</w:t>
      </w:r>
      <w:r>
        <w:rPr>
          <w:color w:val="231F20"/>
          <w:spacing w:val="-4"/>
          <w:sz w:val="20"/>
        </w:rPr>
        <w:t> </w:t>
      </w:r>
      <w:r>
        <w:rPr>
          <w:color w:val="231F20"/>
          <w:sz w:val="20"/>
        </w:rPr>
        <w:t>a</w:t>
      </w:r>
      <w:r>
        <w:rPr>
          <w:color w:val="231F20"/>
          <w:spacing w:val="-5"/>
          <w:sz w:val="20"/>
        </w:rPr>
        <w:t> </w:t>
      </w:r>
      <w:r>
        <w:rPr>
          <w:color w:val="231F20"/>
          <w:sz w:val="20"/>
        </w:rPr>
        <w:t>not</w:t>
      </w:r>
      <w:r>
        <w:rPr>
          <w:color w:val="231F20"/>
          <w:spacing w:val="-3"/>
          <w:sz w:val="20"/>
        </w:rPr>
        <w:t> </w:t>
      </w:r>
      <w:r>
        <w:rPr>
          <w:color w:val="231F20"/>
          <w:sz w:val="20"/>
        </w:rPr>
        <w:t>a</w:t>
      </w:r>
      <w:r>
        <w:rPr>
          <w:color w:val="231F20"/>
          <w:spacing w:val="-4"/>
          <w:sz w:val="20"/>
        </w:rPr>
        <w:t> </w:t>
      </w:r>
      <w:r>
        <w:rPr>
          <w:color w:val="231F20"/>
          <w:sz w:val="20"/>
        </w:rPr>
        <w:t>repeat</w:t>
      </w:r>
      <w:r>
        <w:rPr>
          <w:color w:val="231F20"/>
          <w:spacing w:val="-3"/>
          <w:sz w:val="20"/>
        </w:rPr>
        <w:t> </w:t>
      </w:r>
      <w:r>
        <w:rPr>
          <w:color w:val="231F20"/>
          <w:spacing w:val="-2"/>
          <w:sz w:val="20"/>
        </w:rPr>
        <w:t>finding.</w:t>
      </w:r>
    </w:p>
    <w:p>
      <w:pPr>
        <w:pStyle w:val="BodyText"/>
        <w:spacing w:before="11"/>
        <w:rPr>
          <w:sz w:val="19"/>
        </w:rPr>
      </w:pPr>
    </w:p>
    <w:p>
      <w:pPr>
        <w:pStyle w:val="BodyText"/>
        <w:spacing w:line="276" w:lineRule="auto"/>
        <w:ind w:left="899" w:right="1027"/>
      </w:pPr>
      <w:r>
        <w:rPr>
          <w:b/>
          <w:color w:val="231F20"/>
        </w:rPr>
        <w:t>Recommendation:</w:t>
      </w:r>
      <w:r>
        <w:rPr>
          <w:b/>
          <w:color w:val="231F20"/>
          <w:spacing w:val="-5"/>
        </w:rPr>
        <w:t> </w:t>
      </w:r>
      <w:r>
        <w:rPr>
          <w:color w:val="231F20"/>
        </w:rPr>
        <w:t>We</w:t>
      </w:r>
      <w:r>
        <w:rPr>
          <w:color w:val="231F20"/>
          <w:spacing w:val="-5"/>
        </w:rPr>
        <w:t> </w:t>
      </w:r>
      <w:r>
        <w:rPr>
          <w:color w:val="231F20"/>
        </w:rPr>
        <w:t>recommend</w:t>
      </w:r>
      <w:r>
        <w:rPr>
          <w:color w:val="231F20"/>
          <w:spacing w:val="-5"/>
        </w:rPr>
        <w:t> </w:t>
      </w:r>
      <w:r>
        <w:rPr>
          <w:color w:val="231F20"/>
        </w:rPr>
        <w:t>management</w:t>
      </w:r>
      <w:r>
        <w:rPr>
          <w:color w:val="231F20"/>
          <w:spacing w:val="-5"/>
        </w:rPr>
        <w:t> </w:t>
      </w:r>
      <w:r>
        <w:rPr>
          <w:color w:val="231F20"/>
        </w:rPr>
        <w:t>implement</w:t>
      </w:r>
      <w:r>
        <w:rPr>
          <w:color w:val="231F20"/>
          <w:spacing w:val="-5"/>
        </w:rPr>
        <w:t> </w:t>
      </w:r>
      <w:r>
        <w:rPr>
          <w:color w:val="231F20"/>
        </w:rPr>
        <w:t>a</w:t>
      </w:r>
      <w:r>
        <w:rPr>
          <w:color w:val="231F20"/>
          <w:spacing w:val="-5"/>
        </w:rPr>
        <w:t> </w:t>
      </w:r>
      <w:r>
        <w:rPr>
          <w:color w:val="231F20"/>
        </w:rPr>
        <w:t>regular</w:t>
      </w:r>
      <w:r>
        <w:rPr>
          <w:color w:val="231F20"/>
          <w:spacing w:val="-5"/>
        </w:rPr>
        <w:t> </w:t>
      </w:r>
      <w:r>
        <w:rPr>
          <w:color w:val="231F20"/>
        </w:rPr>
        <w:t>reconciliation</w:t>
      </w:r>
      <w:r>
        <w:rPr>
          <w:color w:val="231F20"/>
          <w:spacing w:val="-5"/>
        </w:rPr>
        <w:t> </w:t>
      </w:r>
      <w:r>
        <w:rPr>
          <w:color w:val="231F20"/>
        </w:rPr>
        <w:t>process</w:t>
      </w:r>
      <w:r>
        <w:rPr>
          <w:color w:val="231F20"/>
          <w:spacing w:val="-5"/>
        </w:rPr>
        <w:t> </w:t>
      </w:r>
      <w:r>
        <w:rPr>
          <w:color w:val="231F20"/>
        </w:rPr>
        <w:t>to</w:t>
      </w:r>
      <w:r>
        <w:rPr>
          <w:color w:val="231F20"/>
          <w:spacing w:val="-5"/>
        </w:rPr>
        <w:t> </w:t>
      </w:r>
      <w:r>
        <w:rPr>
          <w:color w:val="231F20"/>
        </w:rPr>
        <w:t>identify and investigate unusual balances and adjust as necessary.</w:t>
      </w:r>
    </w:p>
    <w:p>
      <w:pPr>
        <w:pStyle w:val="BodyText"/>
        <w:spacing w:before="11"/>
        <w:rPr>
          <w:sz w:val="19"/>
        </w:rPr>
      </w:pPr>
    </w:p>
    <w:p>
      <w:pPr>
        <w:pStyle w:val="BodyText"/>
        <w:spacing w:line="276" w:lineRule="auto"/>
        <w:ind w:left="899" w:right="951"/>
      </w:pPr>
      <w:r>
        <w:rPr>
          <w:b/>
          <w:color w:val="231F20"/>
        </w:rPr>
        <w:t>Views</w:t>
      </w:r>
      <w:r>
        <w:rPr>
          <w:b/>
          <w:color w:val="231F20"/>
          <w:spacing w:val="-4"/>
        </w:rPr>
        <w:t> </w:t>
      </w:r>
      <w:r>
        <w:rPr>
          <w:b/>
          <w:color w:val="231F20"/>
        </w:rPr>
        <w:t>of</w:t>
      </w:r>
      <w:r>
        <w:rPr>
          <w:b/>
          <w:color w:val="231F20"/>
          <w:spacing w:val="-4"/>
        </w:rPr>
        <w:t> </w:t>
      </w:r>
      <w:r>
        <w:rPr>
          <w:b/>
          <w:color w:val="231F20"/>
        </w:rPr>
        <w:t>Responsible</w:t>
      </w:r>
      <w:r>
        <w:rPr>
          <w:b/>
          <w:color w:val="231F20"/>
          <w:spacing w:val="-4"/>
        </w:rPr>
        <w:t> </w:t>
      </w:r>
      <w:r>
        <w:rPr>
          <w:b/>
          <w:color w:val="231F20"/>
        </w:rPr>
        <w:t>Officials</w:t>
      </w:r>
      <w:r>
        <w:rPr>
          <w:b/>
          <w:color w:val="231F20"/>
          <w:spacing w:val="-4"/>
        </w:rPr>
        <w:t> </w:t>
      </w:r>
      <w:r>
        <w:rPr>
          <w:b/>
          <w:color w:val="231F20"/>
        </w:rPr>
        <w:t>and</w:t>
      </w:r>
      <w:r>
        <w:rPr>
          <w:b/>
          <w:color w:val="231F20"/>
          <w:spacing w:val="-4"/>
        </w:rPr>
        <w:t> </w:t>
      </w:r>
      <w:r>
        <w:rPr>
          <w:b/>
          <w:color w:val="231F20"/>
        </w:rPr>
        <w:t>Planned</w:t>
      </w:r>
      <w:r>
        <w:rPr>
          <w:b/>
          <w:color w:val="231F20"/>
          <w:spacing w:val="-5"/>
        </w:rPr>
        <w:t> </w:t>
      </w:r>
      <w:r>
        <w:rPr>
          <w:b/>
          <w:color w:val="231F20"/>
        </w:rPr>
        <w:t>Corrective</w:t>
      </w:r>
      <w:r>
        <w:rPr>
          <w:b/>
          <w:color w:val="231F20"/>
          <w:spacing w:val="-4"/>
        </w:rPr>
        <w:t> </w:t>
      </w:r>
      <w:r>
        <w:rPr>
          <w:b/>
          <w:color w:val="231F20"/>
        </w:rPr>
        <w:t>Actions:</w:t>
      </w:r>
      <w:r>
        <w:rPr>
          <w:b/>
          <w:color w:val="231F20"/>
          <w:spacing w:val="-1"/>
        </w:rPr>
        <w:t> </w:t>
      </w:r>
      <w:r>
        <w:rPr>
          <w:color w:val="231F20"/>
        </w:rPr>
        <w:t>Management</w:t>
      </w:r>
      <w:r>
        <w:rPr>
          <w:color w:val="231F20"/>
          <w:spacing w:val="-4"/>
        </w:rPr>
        <w:t> </w:t>
      </w:r>
      <w:r>
        <w:rPr>
          <w:color w:val="231F20"/>
        </w:rPr>
        <w:t>acknowledges</w:t>
      </w:r>
      <w:r>
        <w:rPr>
          <w:color w:val="231F20"/>
          <w:spacing w:val="-4"/>
        </w:rPr>
        <w:t> </w:t>
      </w:r>
      <w:r>
        <w:rPr>
          <w:color w:val="231F20"/>
        </w:rPr>
        <w:t>this</w:t>
      </w:r>
      <w:r>
        <w:rPr>
          <w:color w:val="231F20"/>
          <w:spacing w:val="-4"/>
        </w:rPr>
        <w:t> </w:t>
      </w:r>
      <w:r>
        <w:rPr>
          <w:color w:val="231F20"/>
        </w:rPr>
        <w:t>and has already taken corrective action. As of October 14, 2022, procedures were put into effect to run a</w:t>
      </w:r>
      <w:r>
        <w:rPr>
          <w:color w:val="231F20"/>
        </w:rPr>
        <w:t> billing on scheduled payment/firm-fixed-price awards on a monthly basis to minimize credit balances at fiscal year-end. Monthly billed aging reports are being sent to all research administrators to review both credit and debit balances and take appropriate action. Prior to fiscal year-end, Sponsored Projects will request a review of the trial balance data from the business office to determine if there are any unusual, outstanding balances that require further adjustment.</w:t>
      </w:r>
    </w:p>
    <w:p>
      <w:pPr>
        <w:pStyle w:val="BodyText"/>
        <w:spacing w:before="1"/>
      </w:pPr>
    </w:p>
    <w:p>
      <w:pPr>
        <w:spacing w:before="0"/>
        <w:ind w:left="899" w:right="0" w:firstLine="0"/>
        <w:jc w:val="left"/>
        <w:rPr>
          <w:sz w:val="20"/>
        </w:rPr>
      </w:pPr>
      <w:r>
        <w:rPr>
          <w:b/>
          <w:color w:val="231F20"/>
          <w:sz w:val="20"/>
        </w:rPr>
        <w:t>Responsible</w:t>
      </w:r>
      <w:r>
        <w:rPr>
          <w:b/>
          <w:color w:val="231F20"/>
          <w:spacing w:val="-9"/>
          <w:sz w:val="20"/>
        </w:rPr>
        <w:t> </w:t>
      </w:r>
      <w:r>
        <w:rPr>
          <w:b/>
          <w:color w:val="231F20"/>
          <w:sz w:val="20"/>
        </w:rPr>
        <w:t>Person:</w:t>
      </w:r>
      <w:r>
        <w:rPr>
          <w:b/>
          <w:color w:val="231F20"/>
          <w:spacing w:val="-8"/>
          <w:sz w:val="20"/>
        </w:rPr>
        <w:t> </w:t>
      </w:r>
      <w:r>
        <w:rPr>
          <w:color w:val="231F20"/>
          <w:sz w:val="20"/>
        </w:rPr>
        <w:t>Director</w:t>
      </w:r>
      <w:r>
        <w:rPr>
          <w:color w:val="231F20"/>
          <w:spacing w:val="-7"/>
          <w:sz w:val="20"/>
        </w:rPr>
        <w:t> </w:t>
      </w:r>
      <w:r>
        <w:rPr>
          <w:color w:val="231F20"/>
          <w:sz w:val="20"/>
        </w:rPr>
        <w:t>of</w:t>
      </w:r>
      <w:r>
        <w:rPr>
          <w:color w:val="231F20"/>
          <w:spacing w:val="-8"/>
          <w:sz w:val="20"/>
        </w:rPr>
        <w:t> </w:t>
      </w:r>
      <w:r>
        <w:rPr>
          <w:color w:val="231F20"/>
          <w:sz w:val="20"/>
        </w:rPr>
        <w:t>Sponsored</w:t>
      </w:r>
      <w:r>
        <w:rPr>
          <w:color w:val="231F20"/>
          <w:spacing w:val="-7"/>
          <w:sz w:val="20"/>
        </w:rPr>
        <w:t> </w:t>
      </w:r>
      <w:r>
        <w:rPr>
          <w:color w:val="231F20"/>
          <w:spacing w:val="-2"/>
          <w:sz w:val="20"/>
        </w:rPr>
        <w:t>Projects</w:t>
      </w:r>
    </w:p>
    <w:p>
      <w:pPr>
        <w:spacing w:after="0"/>
        <w:jc w:val="left"/>
        <w:rPr>
          <w:sz w:val="20"/>
        </w:rPr>
        <w:sectPr>
          <w:pgSz w:w="12240" w:h="15840"/>
          <w:pgMar w:header="850" w:footer="1097" w:top="1300" w:bottom="1280" w:left="540" w:right="500"/>
        </w:sectPr>
      </w:pPr>
    </w:p>
    <w:p>
      <w:pPr>
        <w:pStyle w:val="Heading3"/>
        <w:ind w:right="35"/>
      </w:pPr>
      <w:r>
        <w:rPr>
          <w:color w:val="231F20"/>
        </w:rPr>
        <w:t>Schedule</w:t>
      </w:r>
      <w:r>
        <w:rPr>
          <w:color w:val="231F20"/>
          <w:spacing w:val="-4"/>
        </w:rPr>
        <w:t> </w:t>
      </w:r>
      <w:r>
        <w:rPr>
          <w:color w:val="231F20"/>
        </w:rPr>
        <w:t>of</w:t>
      </w:r>
      <w:r>
        <w:rPr>
          <w:color w:val="231F20"/>
          <w:spacing w:val="-4"/>
        </w:rPr>
        <w:t> </w:t>
      </w:r>
      <w:r>
        <w:rPr>
          <w:color w:val="231F20"/>
        </w:rPr>
        <w:t>Findings</w:t>
      </w:r>
      <w:r>
        <w:rPr>
          <w:color w:val="231F20"/>
          <w:spacing w:val="-3"/>
        </w:rPr>
        <w:t> </w:t>
      </w:r>
      <w:r>
        <w:rPr>
          <w:color w:val="231F20"/>
        </w:rPr>
        <w:t>and</w:t>
      </w:r>
      <w:r>
        <w:rPr>
          <w:color w:val="231F20"/>
          <w:spacing w:val="-4"/>
        </w:rPr>
        <w:t> </w:t>
      </w:r>
      <w:r>
        <w:rPr>
          <w:color w:val="231F20"/>
        </w:rPr>
        <w:t>Questioned</w:t>
      </w:r>
      <w:r>
        <w:rPr>
          <w:color w:val="231F20"/>
          <w:spacing w:val="-4"/>
        </w:rPr>
        <w:t> </w:t>
      </w:r>
      <w:r>
        <w:rPr>
          <w:color w:val="231F20"/>
        </w:rPr>
        <w:t>Costs</w:t>
      </w:r>
      <w:r>
        <w:rPr>
          <w:color w:val="231F20"/>
          <w:spacing w:val="-3"/>
        </w:rPr>
        <w:t> </w:t>
      </w:r>
      <w:r>
        <w:rPr>
          <w:color w:val="231F20"/>
          <w:spacing w:val="-2"/>
        </w:rPr>
        <w:t>(continued)</w:t>
      </w:r>
    </w:p>
    <w:p>
      <w:pPr>
        <w:tabs>
          <w:tab w:pos="3009" w:val="left" w:leader="none"/>
          <w:tab w:pos="9419" w:val="left" w:leader="none"/>
        </w:tabs>
        <w:spacing w:before="0"/>
        <w:ind w:left="0" w:right="37" w:firstLine="0"/>
        <w:jc w:val="center"/>
        <w:rPr>
          <w:b/>
          <w:sz w:val="24"/>
        </w:rPr>
      </w:pPr>
      <w:r>
        <w:rPr>
          <w:b/>
          <w:color w:val="231F20"/>
          <w:sz w:val="24"/>
          <w:u w:val="thick" w:color="231F20"/>
        </w:rPr>
        <w:tab/>
        <w:t>For</w:t>
      </w:r>
      <w:r>
        <w:rPr>
          <w:b/>
          <w:color w:val="231F20"/>
          <w:spacing w:val="-1"/>
          <w:sz w:val="24"/>
          <w:u w:val="thick" w:color="231F20"/>
        </w:rPr>
        <w:t> </w:t>
      </w:r>
      <w:r>
        <w:rPr>
          <w:b/>
          <w:color w:val="231F20"/>
          <w:sz w:val="24"/>
          <w:u w:val="thick" w:color="231F20"/>
        </w:rPr>
        <w:t>Year</w:t>
      </w:r>
      <w:r>
        <w:rPr>
          <w:b/>
          <w:color w:val="231F20"/>
          <w:spacing w:val="-1"/>
          <w:sz w:val="24"/>
          <w:u w:val="thick" w:color="231F20"/>
        </w:rPr>
        <w:t> </w:t>
      </w:r>
      <w:r>
        <w:rPr>
          <w:b/>
          <w:color w:val="231F20"/>
          <w:sz w:val="24"/>
          <w:u w:val="thick" w:color="231F20"/>
        </w:rPr>
        <w:t>Ended</w:t>
      </w:r>
      <w:r>
        <w:rPr>
          <w:b/>
          <w:color w:val="231F20"/>
          <w:spacing w:val="-1"/>
          <w:sz w:val="24"/>
          <w:u w:val="thick" w:color="231F20"/>
        </w:rPr>
        <w:t> </w:t>
      </w:r>
      <w:r>
        <w:rPr>
          <w:b/>
          <w:color w:val="231F20"/>
          <w:sz w:val="24"/>
          <w:u w:val="thick" w:color="231F20"/>
        </w:rPr>
        <w:t>June</w:t>
      </w:r>
      <w:r>
        <w:rPr>
          <w:b/>
          <w:color w:val="231F20"/>
          <w:spacing w:val="-1"/>
          <w:sz w:val="24"/>
          <w:u w:val="thick" w:color="231F20"/>
        </w:rPr>
        <w:t> </w:t>
      </w:r>
      <w:r>
        <w:rPr>
          <w:b/>
          <w:color w:val="231F20"/>
          <w:sz w:val="24"/>
          <w:u w:val="thick" w:color="231F20"/>
        </w:rPr>
        <w:t>30,</w:t>
      </w:r>
      <w:r>
        <w:rPr>
          <w:b/>
          <w:color w:val="231F20"/>
          <w:spacing w:val="-1"/>
          <w:sz w:val="24"/>
          <w:u w:val="thick" w:color="231F20"/>
        </w:rPr>
        <w:t> </w:t>
      </w:r>
      <w:r>
        <w:rPr>
          <w:b/>
          <w:color w:val="231F20"/>
          <w:spacing w:val="-4"/>
          <w:sz w:val="24"/>
          <w:u w:val="thick" w:color="231F20"/>
        </w:rPr>
        <w:t>2022</w:t>
      </w:r>
      <w:r>
        <w:rPr>
          <w:b/>
          <w:color w:val="231F20"/>
          <w:sz w:val="24"/>
          <w:u w:val="thick" w:color="231F20"/>
        </w:rPr>
        <w:tab/>
      </w:r>
    </w:p>
    <w:p>
      <w:pPr>
        <w:pStyle w:val="BodyText"/>
        <w:rPr>
          <w:b/>
        </w:rPr>
      </w:pPr>
    </w:p>
    <w:p>
      <w:pPr>
        <w:pStyle w:val="BodyText"/>
        <w:rPr>
          <w:b/>
          <w:sz w:val="23"/>
        </w:rPr>
      </w:pPr>
      <w:r>
        <w:rPr/>
        <w:pict>
          <v:rect style="position:absolute;margin-left:70.5pt;margin-top:14.470662pt;width:471.001pt;height:1.5pt;mso-position-horizontal-relative:page;mso-position-vertical-relative:paragraph;z-index:-15584768;mso-wrap-distance-left:0;mso-wrap-distance-right:0" id="docshape630" filled="true" fillcolor="#231f20" stroked="false">
            <v:fill type="solid"/>
            <w10:wrap type="topAndBottom"/>
          </v:rect>
        </w:pict>
      </w:r>
    </w:p>
    <w:p>
      <w:pPr>
        <w:pStyle w:val="Heading4"/>
        <w:spacing w:before="19" w:after="47"/>
        <w:ind w:left="0" w:right="39"/>
        <w:jc w:val="center"/>
      </w:pPr>
      <w:r>
        <w:rPr>
          <w:color w:val="231F20"/>
        </w:rPr>
        <w:t>Section</w:t>
      </w:r>
      <w:r>
        <w:rPr>
          <w:color w:val="231F20"/>
          <w:spacing w:val="-6"/>
        </w:rPr>
        <w:t> </w:t>
      </w:r>
      <w:r>
        <w:rPr>
          <w:color w:val="231F20"/>
        </w:rPr>
        <w:t>III</w:t>
      </w:r>
      <w:r>
        <w:rPr>
          <w:color w:val="231F20"/>
          <w:spacing w:val="-6"/>
        </w:rPr>
        <w:t> </w:t>
      </w:r>
      <w:r>
        <w:rPr>
          <w:color w:val="231F20"/>
        </w:rPr>
        <w:t>–</w:t>
      </w:r>
      <w:r>
        <w:rPr>
          <w:color w:val="231F20"/>
          <w:spacing w:val="-5"/>
        </w:rPr>
        <w:t> </w:t>
      </w:r>
      <w:r>
        <w:rPr>
          <w:color w:val="231F20"/>
        </w:rPr>
        <w:t>Federal</w:t>
      </w:r>
      <w:r>
        <w:rPr>
          <w:color w:val="231F20"/>
          <w:spacing w:val="-6"/>
        </w:rPr>
        <w:t> </w:t>
      </w:r>
      <w:r>
        <w:rPr>
          <w:color w:val="231F20"/>
        </w:rPr>
        <w:t>Award</w:t>
      </w:r>
      <w:r>
        <w:rPr>
          <w:color w:val="231F20"/>
          <w:spacing w:val="-6"/>
        </w:rPr>
        <w:t> </w:t>
      </w:r>
      <w:r>
        <w:rPr>
          <w:color w:val="231F20"/>
        </w:rPr>
        <w:t>Findings</w:t>
      </w:r>
      <w:r>
        <w:rPr>
          <w:color w:val="231F20"/>
          <w:spacing w:val="-5"/>
        </w:rPr>
        <w:t> </w:t>
      </w:r>
      <w:r>
        <w:rPr>
          <w:color w:val="231F20"/>
        </w:rPr>
        <w:t>and</w:t>
      </w:r>
      <w:r>
        <w:rPr>
          <w:color w:val="231F20"/>
          <w:spacing w:val="-6"/>
        </w:rPr>
        <w:t> </w:t>
      </w:r>
      <w:r>
        <w:rPr>
          <w:color w:val="231F20"/>
        </w:rPr>
        <w:t>Questioned</w:t>
      </w:r>
      <w:r>
        <w:rPr>
          <w:color w:val="231F20"/>
          <w:spacing w:val="-5"/>
        </w:rPr>
        <w:t> </w:t>
      </w:r>
      <w:r>
        <w:rPr>
          <w:color w:val="231F20"/>
          <w:spacing w:val="-2"/>
        </w:rPr>
        <w:t>Costs</w:t>
      </w:r>
    </w:p>
    <w:p>
      <w:pPr>
        <w:pStyle w:val="BodyText"/>
        <w:spacing w:line="30" w:lineRule="exact"/>
        <w:ind w:left="870"/>
        <w:rPr>
          <w:sz w:val="3"/>
        </w:rPr>
      </w:pPr>
      <w:r>
        <w:rPr>
          <w:position w:val="0"/>
          <w:sz w:val="3"/>
        </w:rPr>
        <w:pict>
          <v:group style="width:471.05pt;height:1.5pt;mso-position-horizontal-relative:char;mso-position-vertical-relative:line" id="docshapegroup631" coordorigin="0,0" coordsize="9421,30">
            <v:rect style="position:absolute;left:0;top:0;width:9421;height:30" id="docshape632" filled="true" fillcolor="#231f20" stroked="false">
              <v:fill type="solid"/>
            </v:rect>
          </v:group>
        </w:pict>
      </w:r>
      <w:r>
        <w:rPr>
          <w:position w:val="0"/>
          <w:sz w:val="3"/>
        </w:rPr>
      </w:r>
    </w:p>
    <w:p>
      <w:pPr>
        <w:pStyle w:val="BodyText"/>
        <w:rPr>
          <w:b/>
        </w:rPr>
      </w:pPr>
    </w:p>
    <w:p>
      <w:pPr>
        <w:pStyle w:val="BodyText"/>
        <w:spacing w:before="7"/>
        <w:rPr>
          <w:b/>
          <w:sz w:val="22"/>
        </w:rPr>
      </w:pPr>
    </w:p>
    <w:p>
      <w:pPr>
        <w:spacing w:before="0"/>
        <w:ind w:left="900" w:right="1027" w:firstLine="0"/>
        <w:jc w:val="left"/>
        <w:rPr>
          <w:b/>
          <w:sz w:val="20"/>
        </w:rPr>
      </w:pPr>
      <w:r>
        <w:rPr>
          <w:b/>
          <w:color w:val="231F20"/>
          <w:sz w:val="20"/>
        </w:rPr>
        <w:t>2022-003</w:t>
      </w:r>
      <w:r>
        <w:rPr>
          <w:b/>
          <w:color w:val="231F20"/>
          <w:spacing w:val="-4"/>
          <w:sz w:val="20"/>
        </w:rPr>
        <w:t> </w:t>
      </w:r>
      <w:r>
        <w:rPr>
          <w:b/>
          <w:color w:val="231F20"/>
          <w:sz w:val="20"/>
        </w:rPr>
        <w:t>–</w:t>
      </w:r>
      <w:r>
        <w:rPr>
          <w:b/>
          <w:color w:val="231F20"/>
          <w:spacing w:val="-4"/>
          <w:sz w:val="20"/>
        </w:rPr>
        <w:t> </w:t>
      </w:r>
      <w:r>
        <w:rPr>
          <w:b/>
          <w:color w:val="231F20"/>
          <w:sz w:val="20"/>
        </w:rPr>
        <w:t>Special</w:t>
      </w:r>
      <w:r>
        <w:rPr>
          <w:b/>
          <w:color w:val="231F20"/>
          <w:spacing w:val="-4"/>
          <w:sz w:val="20"/>
        </w:rPr>
        <w:t> </w:t>
      </w:r>
      <w:r>
        <w:rPr>
          <w:b/>
          <w:color w:val="231F20"/>
          <w:sz w:val="20"/>
        </w:rPr>
        <w:t>Tests</w:t>
      </w:r>
      <w:r>
        <w:rPr>
          <w:b/>
          <w:color w:val="231F20"/>
          <w:spacing w:val="-5"/>
          <w:sz w:val="20"/>
        </w:rPr>
        <w:t> </w:t>
      </w:r>
      <w:r>
        <w:rPr>
          <w:b/>
          <w:color w:val="231F20"/>
          <w:sz w:val="20"/>
        </w:rPr>
        <w:t>and</w:t>
      </w:r>
      <w:r>
        <w:rPr>
          <w:b/>
          <w:color w:val="231F20"/>
          <w:spacing w:val="-4"/>
          <w:sz w:val="20"/>
        </w:rPr>
        <w:t> </w:t>
      </w:r>
      <w:r>
        <w:rPr>
          <w:b/>
          <w:color w:val="231F20"/>
          <w:sz w:val="20"/>
        </w:rPr>
        <w:t>Provisions</w:t>
      </w:r>
      <w:r>
        <w:rPr>
          <w:b/>
          <w:color w:val="231F20"/>
          <w:spacing w:val="-4"/>
          <w:sz w:val="20"/>
        </w:rPr>
        <w:t> </w:t>
      </w:r>
      <w:r>
        <w:rPr>
          <w:b/>
          <w:color w:val="231F20"/>
          <w:sz w:val="20"/>
        </w:rPr>
        <w:t>–</w:t>
      </w:r>
      <w:r>
        <w:rPr>
          <w:b/>
          <w:color w:val="231F20"/>
          <w:spacing w:val="-4"/>
          <w:sz w:val="20"/>
        </w:rPr>
        <w:t> </w:t>
      </w:r>
      <w:r>
        <w:rPr>
          <w:b/>
          <w:color w:val="231F20"/>
          <w:sz w:val="20"/>
        </w:rPr>
        <w:t>Gramm-Leach-Bliley</w:t>
      </w:r>
      <w:r>
        <w:rPr>
          <w:b/>
          <w:color w:val="231F20"/>
          <w:spacing w:val="-4"/>
          <w:sz w:val="20"/>
        </w:rPr>
        <w:t> </w:t>
      </w:r>
      <w:r>
        <w:rPr>
          <w:b/>
          <w:color w:val="231F20"/>
          <w:sz w:val="20"/>
        </w:rPr>
        <w:t>Act,</w:t>
      </w:r>
      <w:r>
        <w:rPr>
          <w:b/>
          <w:color w:val="231F20"/>
          <w:spacing w:val="-4"/>
          <w:sz w:val="20"/>
        </w:rPr>
        <w:t> </w:t>
      </w:r>
      <w:r>
        <w:rPr>
          <w:b/>
          <w:color w:val="231F20"/>
          <w:sz w:val="20"/>
        </w:rPr>
        <w:t>Significant</w:t>
      </w:r>
      <w:r>
        <w:rPr>
          <w:b/>
          <w:color w:val="231F20"/>
          <w:spacing w:val="-4"/>
          <w:sz w:val="20"/>
        </w:rPr>
        <w:t> </w:t>
      </w:r>
      <w:r>
        <w:rPr>
          <w:b/>
          <w:color w:val="231F20"/>
          <w:sz w:val="20"/>
        </w:rPr>
        <w:t>Deficiency</w:t>
      </w:r>
      <w:r>
        <w:rPr>
          <w:b/>
          <w:color w:val="231F20"/>
          <w:spacing w:val="-4"/>
          <w:sz w:val="20"/>
        </w:rPr>
        <w:t> </w:t>
      </w:r>
      <w:r>
        <w:rPr>
          <w:b/>
          <w:color w:val="231F20"/>
          <w:sz w:val="20"/>
        </w:rPr>
        <w:t>and Instance of Noncompliance</w:t>
      </w:r>
    </w:p>
    <w:p>
      <w:pPr>
        <w:pStyle w:val="BodyText"/>
        <w:spacing w:before="11"/>
        <w:rPr>
          <w:b/>
          <w:sz w:val="19"/>
        </w:rPr>
      </w:pPr>
    </w:p>
    <w:tbl>
      <w:tblPr>
        <w:tblW w:w="0" w:type="auto"/>
        <w:jc w:val="left"/>
        <w:tblInd w:w="949" w:type="dxa"/>
        <w:tblBorders>
          <w:top w:val="single" w:sz="12" w:space="0" w:color="6D6E71"/>
          <w:left w:val="single" w:sz="12" w:space="0" w:color="6D6E71"/>
          <w:bottom w:val="single" w:sz="12" w:space="0" w:color="6D6E71"/>
          <w:right w:val="single" w:sz="12" w:space="0" w:color="6D6E71"/>
          <w:insideH w:val="single" w:sz="12" w:space="0" w:color="6D6E71"/>
          <w:insideV w:val="single" w:sz="12" w:space="0" w:color="6D6E71"/>
        </w:tblBorders>
        <w:tblLayout w:type="fixed"/>
        <w:tblCellMar>
          <w:top w:w="0" w:type="dxa"/>
          <w:left w:w="0" w:type="dxa"/>
          <w:bottom w:w="0" w:type="dxa"/>
          <w:right w:w="0" w:type="dxa"/>
        </w:tblCellMar>
        <w:tblLook w:val="01E0"/>
      </w:tblPr>
      <w:tblGrid>
        <w:gridCol w:w="1379"/>
        <w:gridCol w:w="2961"/>
        <w:gridCol w:w="1703"/>
        <w:gridCol w:w="1586"/>
        <w:gridCol w:w="1647"/>
      </w:tblGrid>
      <w:tr>
        <w:trPr>
          <w:trHeight w:val="1035" w:hRule="atLeast"/>
        </w:trPr>
        <w:tc>
          <w:tcPr>
            <w:tcW w:w="1379" w:type="dxa"/>
            <w:tcBorders>
              <w:left w:val="single" w:sz="8" w:space="0" w:color="6D6E71"/>
              <w:right w:val="nil"/>
            </w:tcBorders>
            <w:shd w:val="clear" w:color="auto" w:fill="CFCFD0"/>
          </w:tcPr>
          <w:p>
            <w:pPr>
              <w:pStyle w:val="TableParagraph"/>
              <w:spacing w:line="268" w:lineRule="auto" w:before="1"/>
              <w:ind w:left="234" w:right="153"/>
              <w:jc w:val="center"/>
              <w:rPr>
                <w:i/>
                <w:sz w:val="20"/>
              </w:rPr>
            </w:pPr>
            <w:r>
              <w:rPr>
                <w:i/>
                <w:color w:val="231F20"/>
                <w:spacing w:val="-2"/>
                <w:sz w:val="20"/>
              </w:rPr>
              <w:t>Federal</w:t>
            </w:r>
            <w:r>
              <w:rPr>
                <w:i/>
                <w:color w:val="231F20"/>
                <w:spacing w:val="-2"/>
                <w:sz w:val="20"/>
              </w:rPr>
              <w:t> Assistance Listing</w:t>
            </w:r>
          </w:p>
          <w:p>
            <w:pPr>
              <w:pStyle w:val="TableParagraph"/>
              <w:spacing w:before="3"/>
              <w:ind w:left="231" w:right="153"/>
              <w:jc w:val="center"/>
              <w:rPr>
                <w:i/>
                <w:sz w:val="20"/>
              </w:rPr>
            </w:pPr>
            <w:r>
              <w:rPr>
                <w:i/>
                <w:color w:val="231F20"/>
                <w:spacing w:val="-2"/>
                <w:sz w:val="20"/>
              </w:rPr>
              <w:t>Number(s)</w:t>
            </w:r>
          </w:p>
        </w:tc>
        <w:tc>
          <w:tcPr>
            <w:tcW w:w="2961" w:type="dxa"/>
            <w:tcBorders>
              <w:left w:val="nil"/>
              <w:right w:val="nil"/>
            </w:tcBorders>
            <w:shd w:val="clear" w:color="auto" w:fill="CFCFD0"/>
          </w:tcPr>
          <w:p>
            <w:pPr>
              <w:pStyle w:val="TableParagraph"/>
              <w:rPr>
                <w:b/>
                <w:sz w:val="22"/>
              </w:rPr>
            </w:pPr>
          </w:p>
          <w:p>
            <w:pPr>
              <w:pStyle w:val="TableParagraph"/>
              <w:spacing w:before="5"/>
              <w:rPr>
                <w:b/>
                <w:sz w:val="20"/>
              </w:rPr>
            </w:pPr>
          </w:p>
          <w:p>
            <w:pPr>
              <w:pStyle w:val="TableParagraph"/>
              <w:spacing w:line="260" w:lineRule="atLeast"/>
              <w:ind w:left="471" w:right="123" w:hanging="285"/>
              <w:rPr>
                <w:i/>
                <w:sz w:val="20"/>
              </w:rPr>
            </w:pPr>
            <w:r>
              <w:rPr>
                <w:i/>
                <w:color w:val="231F20"/>
                <w:sz w:val="20"/>
              </w:rPr>
              <w:t>Federal</w:t>
            </w:r>
            <w:r>
              <w:rPr>
                <w:i/>
                <w:color w:val="231F20"/>
                <w:spacing w:val="-14"/>
                <w:sz w:val="20"/>
              </w:rPr>
              <w:t> </w:t>
            </w:r>
            <w:r>
              <w:rPr>
                <w:i/>
                <w:color w:val="231F20"/>
                <w:sz w:val="20"/>
              </w:rPr>
              <w:t>Agency/Pass-through</w:t>
            </w:r>
            <w:r>
              <w:rPr>
                <w:i/>
                <w:color w:val="231F20"/>
                <w:sz w:val="20"/>
              </w:rPr>
              <w:t> Entity – Program Name</w:t>
            </w:r>
          </w:p>
        </w:tc>
        <w:tc>
          <w:tcPr>
            <w:tcW w:w="1703" w:type="dxa"/>
            <w:tcBorders>
              <w:left w:val="nil"/>
              <w:right w:val="nil"/>
            </w:tcBorders>
            <w:shd w:val="clear" w:color="auto" w:fill="CFCFD0"/>
          </w:tcPr>
          <w:p>
            <w:pPr>
              <w:pStyle w:val="TableParagraph"/>
              <w:rPr>
                <w:b/>
                <w:sz w:val="22"/>
              </w:rPr>
            </w:pPr>
          </w:p>
          <w:p>
            <w:pPr>
              <w:pStyle w:val="TableParagraph"/>
              <w:rPr>
                <w:b/>
                <w:sz w:val="22"/>
              </w:rPr>
            </w:pPr>
          </w:p>
          <w:p>
            <w:pPr>
              <w:pStyle w:val="TableParagraph"/>
              <w:spacing w:before="6"/>
              <w:rPr>
                <w:b/>
                <w:sz w:val="23"/>
              </w:rPr>
            </w:pPr>
          </w:p>
          <w:p>
            <w:pPr>
              <w:pStyle w:val="TableParagraph"/>
              <w:ind w:left="139" w:right="208"/>
              <w:jc w:val="center"/>
              <w:rPr>
                <w:i/>
                <w:sz w:val="20"/>
              </w:rPr>
            </w:pPr>
            <w:r>
              <w:rPr>
                <w:i/>
                <w:color w:val="231F20"/>
                <w:sz w:val="20"/>
              </w:rPr>
              <w:t>Award</w:t>
            </w:r>
            <w:r>
              <w:rPr>
                <w:i/>
                <w:color w:val="231F20"/>
                <w:spacing w:val="-7"/>
                <w:sz w:val="20"/>
              </w:rPr>
              <w:t> </w:t>
            </w:r>
            <w:r>
              <w:rPr>
                <w:i/>
                <w:color w:val="231F20"/>
                <w:spacing w:val="-2"/>
                <w:sz w:val="20"/>
              </w:rPr>
              <w:t>Number</w:t>
            </w:r>
          </w:p>
        </w:tc>
        <w:tc>
          <w:tcPr>
            <w:tcW w:w="1586" w:type="dxa"/>
            <w:tcBorders>
              <w:left w:val="nil"/>
              <w:right w:val="nil"/>
            </w:tcBorders>
            <w:shd w:val="clear" w:color="auto" w:fill="CFCFD0"/>
          </w:tcPr>
          <w:p>
            <w:pPr>
              <w:pStyle w:val="TableParagraph"/>
              <w:rPr>
                <w:b/>
                <w:sz w:val="22"/>
              </w:rPr>
            </w:pPr>
          </w:p>
          <w:p>
            <w:pPr>
              <w:pStyle w:val="TableParagraph"/>
              <w:rPr>
                <w:b/>
                <w:sz w:val="22"/>
              </w:rPr>
            </w:pPr>
          </w:p>
          <w:p>
            <w:pPr>
              <w:pStyle w:val="TableParagraph"/>
              <w:spacing w:before="6"/>
              <w:rPr>
                <w:b/>
                <w:sz w:val="23"/>
              </w:rPr>
            </w:pPr>
          </w:p>
          <w:p>
            <w:pPr>
              <w:pStyle w:val="TableParagraph"/>
              <w:ind w:left="243"/>
              <w:rPr>
                <w:i/>
                <w:sz w:val="20"/>
              </w:rPr>
            </w:pPr>
            <w:r>
              <w:rPr>
                <w:i/>
                <w:color w:val="231F20"/>
                <w:sz w:val="20"/>
              </w:rPr>
              <w:t>Award</w:t>
            </w:r>
            <w:r>
              <w:rPr>
                <w:i/>
                <w:color w:val="231F20"/>
                <w:spacing w:val="-5"/>
                <w:sz w:val="20"/>
              </w:rPr>
              <w:t> </w:t>
            </w:r>
            <w:r>
              <w:rPr>
                <w:i/>
                <w:color w:val="231F20"/>
                <w:spacing w:val="-4"/>
                <w:sz w:val="20"/>
              </w:rPr>
              <w:t>Year</w:t>
            </w:r>
          </w:p>
        </w:tc>
        <w:tc>
          <w:tcPr>
            <w:tcW w:w="1647" w:type="dxa"/>
            <w:tcBorders>
              <w:left w:val="nil"/>
              <w:right w:val="single" w:sz="8" w:space="0" w:color="6D6E71"/>
            </w:tcBorders>
            <w:shd w:val="clear" w:color="auto" w:fill="CFCFD0"/>
          </w:tcPr>
          <w:p>
            <w:pPr>
              <w:pStyle w:val="TableParagraph"/>
              <w:rPr>
                <w:b/>
                <w:sz w:val="22"/>
              </w:rPr>
            </w:pPr>
          </w:p>
          <w:p>
            <w:pPr>
              <w:pStyle w:val="TableParagraph"/>
              <w:spacing w:before="5"/>
              <w:rPr>
                <w:b/>
                <w:sz w:val="20"/>
              </w:rPr>
            </w:pPr>
          </w:p>
          <w:p>
            <w:pPr>
              <w:pStyle w:val="TableParagraph"/>
              <w:spacing w:line="260" w:lineRule="atLeast"/>
              <w:ind w:left="567" w:hanging="256"/>
              <w:rPr>
                <w:i/>
                <w:sz w:val="20"/>
              </w:rPr>
            </w:pPr>
            <w:r>
              <w:rPr>
                <w:i/>
                <w:color w:val="231F20"/>
                <w:spacing w:val="-2"/>
                <w:sz w:val="20"/>
              </w:rPr>
              <w:t>Questioned</w:t>
            </w:r>
            <w:r>
              <w:rPr>
                <w:i/>
                <w:color w:val="231F20"/>
                <w:spacing w:val="-2"/>
                <w:sz w:val="20"/>
              </w:rPr>
              <w:t> </w:t>
            </w:r>
            <w:r>
              <w:rPr>
                <w:i/>
                <w:color w:val="231F20"/>
                <w:spacing w:val="-4"/>
                <w:sz w:val="20"/>
              </w:rPr>
              <w:t>Costs</w:t>
            </w:r>
          </w:p>
        </w:tc>
      </w:tr>
      <w:tr>
        <w:trPr>
          <w:trHeight w:val="516" w:hRule="atLeast"/>
        </w:trPr>
        <w:tc>
          <w:tcPr>
            <w:tcW w:w="1379" w:type="dxa"/>
            <w:tcBorders>
              <w:left w:val="single" w:sz="8" w:space="0" w:color="6D6E71"/>
              <w:bottom w:val="single" w:sz="8" w:space="0" w:color="6D6E71"/>
              <w:right w:val="nil"/>
            </w:tcBorders>
          </w:tcPr>
          <w:p>
            <w:pPr>
              <w:pStyle w:val="TableParagraph"/>
              <w:spacing w:before="1"/>
              <w:ind w:left="375"/>
              <w:rPr>
                <w:sz w:val="20"/>
              </w:rPr>
            </w:pPr>
            <w:r>
              <w:rPr>
                <w:color w:val="231F20"/>
                <w:spacing w:val="-2"/>
                <w:sz w:val="20"/>
              </w:rPr>
              <w:t>Multiple</w:t>
            </w:r>
          </w:p>
        </w:tc>
        <w:tc>
          <w:tcPr>
            <w:tcW w:w="2961" w:type="dxa"/>
            <w:tcBorders>
              <w:left w:val="nil"/>
              <w:bottom w:val="single" w:sz="8" w:space="0" w:color="6D6E71"/>
              <w:right w:val="nil"/>
            </w:tcBorders>
          </w:tcPr>
          <w:p>
            <w:pPr>
              <w:pStyle w:val="TableParagraph"/>
              <w:spacing w:before="1"/>
              <w:ind w:left="186"/>
              <w:rPr>
                <w:sz w:val="20"/>
              </w:rPr>
            </w:pPr>
            <w:r>
              <w:rPr>
                <w:color w:val="231F20"/>
                <w:sz w:val="20"/>
              </w:rPr>
              <w:t>Student</w:t>
            </w:r>
            <w:r>
              <w:rPr>
                <w:color w:val="231F20"/>
                <w:spacing w:val="-7"/>
                <w:sz w:val="20"/>
              </w:rPr>
              <w:t> </w:t>
            </w:r>
            <w:r>
              <w:rPr>
                <w:color w:val="231F20"/>
                <w:sz w:val="20"/>
              </w:rPr>
              <w:t>Financial</w:t>
            </w:r>
            <w:r>
              <w:rPr>
                <w:color w:val="231F20"/>
                <w:spacing w:val="-7"/>
                <w:sz w:val="20"/>
              </w:rPr>
              <w:t> </w:t>
            </w:r>
            <w:r>
              <w:rPr>
                <w:color w:val="231F20"/>
                <w:spacing w:val="-2"/>
                <w:sz w:val="20"/>
              </w:rPr>
              <w:t>Assistance</w:t>
            </w:r>
          </w:p>
          <w:p>
            <w:pPr>
              <w:pStyle w:val="TableParagraph"/>
              <w:spacing w:before="28"/>
              <w:ind w:left="185"/>
              <w:rPr>
                <w:sz w:val="20"/>
              </w:rPr>
            </w:pPr>
            <w:r>
              <w:rPr>
                <w:color w:val="231F20"/>
                <w:spacing w:val="-2"/>
                <w:sz w:val="20"/>
              </w:rPr>
              <w:t>Cluster</w:t>
            </w:r>
          </w:p>
        </w:tc>
        <w:tc>
          <w:tcPr>
            <w:tcW w:w="1703" w:type="dxa"/>
            <w:tcBorders>
              <w:left w:val="nil"/>
              <w:bottom w:val="single" w:sz="8" w:space="0" w:color="6D6E71"/>
              <w:right w:val="nil"/>
            </w:tcBorders>
          </w:tcPr>
          <w:p>
            <w:pPr>
              <w:pStyle w:val="TableParagraph"/>
              <w:spacing w:before="1"/>
              <w:ind w:left="96" w:right="208"/>
              <w:jc w:val="center"/>
              <w:rPr>
                <w:sz w:val="20"/>
              </w:rPr>
            </w:pPr>
            <w:r>
              <w:rPr>
                <w:color w:val="231F20"/>
                <w:spacing w:val="-2"/>
                <w:sz w:val="20"/>
              </w:rPr>
              <w:t>Multiple</w:t>
            </w:r>
          </w:p>
        </w:tc>
        <w:tc>
          <w:tcPr>
            <w:tcW w:w="1586" w:type="dxa"/>
            <w:tcBorders>
              <w:left w:val="nil"/>
              <w:bottom w:val="single" w:sz="8" w:space="0" w:color="6D6E71"/>
              <w:right w:val="nil"/>
            </w:tcBorders>
          </w:tcPr>
          <w:p>
            <w:pPr>
              <w:pStyle w:val="TableParagraph"/>
              <w:spacing w:before="1"/>
              <w:ind w:left="319"/>
              <w:rPr>
                <w:sz w:val="20"/>
              </w:rPr>
            </w:pPr>
            <w:r>
              <w:rPr>
                <w:color w:val="231F20"/>
                <w:spacing w:val="-2"/>
                <w:sz w:val="20"/>
              </w:rPr>
              <w:t>Multiple</w:t>
            </w:r>
          </w:p>
        </w:tc>
        <w:tc>
          <w:tcPr>
            <w:tcW w:w="1647" w:type="dxa"/>
            <w:tcBorders>
              <w:left w:val="nil"/>
              <w:bottom w:val="single" w:sz="8" w:space="0" w:color="6D6E71"/>
              <w:right w:val="single" w:sz="8" w:space="0" w:color="6D6E71"/>
            </w:tcBorders>
          </w:tcPr>
          <w:p>
            <w:pPr>
              <w:pStyle w:val="TableParagraph"/>
              <w:spacing w:before="1"/>
              <w:ind w:left="504"/>
              <w:rPr>
                <w:sz w:val="20"/>
              </w:rPr>
            </w:pPr>
            <w:r>
              <w:rPr>
                <w:color w:val="231F20"/>
                <w:spacing w:val="-4"/>
                <w:sz w:val="20"/>
              </w:rPr>
              <w:t>None</w:t>
            </w:r>
          </w:p>
        </w:tc>
      </w:tr>
    </w:tbl>
    <w:p>
      <w:pPr>
        <w:pStyle w:val="BodyText"/>
        <w:spacing w:before="1"/>
        <w:rPr>
          <w:b/>
        </w:rPr>
      </w:pPr>
    </w:p>
    <w:p>
      <w:pPr>
        <w:pStyle w:val="BodyText"/>
        <w:spacing w:line="276" w:lineRule="auto"/>
        <w:ind w:left="900" w:right="951" w:hanging="1"/>
      </w:pPr>
      <w:r>
        <w:rPr>
          <w:b/>
          <w:color w:val="231F20"/>
        </w:rPr>
        <w:t>Criteria:</w:t>
      </w:r>
      <w:r>
        <w:rPr>
          <w:b/>
          <w:color w:val="231F20"/>
          <w:spacing w:val="-3"/>
        </w:rPr>
        <w:t> </w:t>
      </w:r>
      <w:r>
        <w:rPr>
          <w:color w:val="231F20"/>
        </w:rPr>
        <w:t>Per</w:t>
      </w:r>
      <w:r>
        <w:rPr>
          <w:color w:val="231F20"/>
          <w:spacing w:val="-4"/>
        </w:rPr>
        <w:t> </w:t>
      </w:r>
      <w:r>
        <w:rPr>
          <w:color w:val="231F20"/>
        </w:rPr>
        <w:t>16CFR</w:t>
      </w:r>
      <w:r>
        <w:rPr>
          <w:color w:val="231F20"/>
          <w:spacing w:val="-3"/>
        </w:rPr>
        <w:t> </w:t>
      </w:r>
      <w:r>
        <w:rPr>
          <w:color w:val="231F20"/>
        </w:rPr>
        <w:t>314.4,</w:t>
      </w:r>
      <w:r>
        <w:rPr>
          <w:color w:val="231F20"/>
          <w:spacing w:val="-3"/>
        </w:rPr>
        <w:t> </w:t>
      </w:r>
      <w:r>
        <w:rPr>
          <w:color w:val="231F20"/>
        </w:rPr>
        <w:t>the</w:t>
      </w:r>
      <w:r>
        <w:rPr>
          <w:color w:val="231F20"/>
          <w:spacing w:val="-3"/>
        </w:rPr>
        <w:t> </w:t>
      </w:r>
      <w:r>
        <w:rPr>
          <w:color w:val="231F20"/>
        </w:rPr>
        <w:t>Institute</w:t>
      </w:r>
      <w:r>
        <w:rPr>
          <w:color w:val="231F20"/>
          <w:spacing w:val="-2"/>
        </w:rPr>
        <w:t> </w:t>
      </w:r>
      <w:r>
        <w:rPr>
          <w:color w:val="231F20"/>
        </w:rPr>
        <w:t>shall</w:t>
      </w:r>
      <w:r>
        <w:rPr>
          <w:color w:val="231F20"/>
          <w:spacing w:val="-3"/>
        </w:rPr>
        <w:t> </w:t>
      </w:r>
      <w:r>
        <w:rPr>
          <w:color w:val="231F20"/>
        </w:rPr>
        <w:t>base</w:t>
      </w:r>
      <w:r>
        <w:rPr>
          <w:color w:val="231F20"/>
          <w:spacing w:val="-3"/>
        </w:rPr>
        <w:t> </w:t>
      </w:r>
      <w:r>
        <w:rPr>
          <w:color w:val="231F20"/>
        </w:rPr>
        <w:t>an</w:t>
      </w:r>
      <w:r>
        <w:rPr>
          <w:color w:val="231F20"/>
          <w:spacing w:val="-4"/>
        </w:rPr>
        <w:t> </w:t>
      </w:r>
      <w:r>
        <w:rPr>
          <w:color w:val="231F20"/>
        </w:rPr>
        <w:t>information</w:t>
      </w:r>
      <w:r>
        <w:rPr>
          <w:color w:val="231F20"/>
          <w:spacing w:val="-4"/>
        </w:rPr>
        <w:t> </w:t>
      </w:r>
      <w:r>
        <w:rPr>
          <w:color w:val="231F20"/>
        </w:rPr>
        <w:t>security</w:t>
      </w:r>
      <w:r>
        <w:rPr>
          <w:color w:val="231F20"/>
          <w:spacing w:val="-3"/>
        </w:rPr>
        <w:t> </w:t>
      </w:r>
      <w:r>
        <w:rPr>
          <w:color w:val="231F20"/>
        </w:rPr>
        <w:t>program</w:t>
      </w:r>
      <w:r>
        <w:rPr>
          <w:color w:val="231F20"/>
          <w:spacing w:val="-3"/>
        </w:rPr>
        <w:t> </w:t>
      </w:r>
      <w:r>
        <w:rPr>
          <w:color w:val="231F20"/>
        </w:rPr>
        <w:t>on</w:t>
      </w:r>
      <w:r>
        <w:rPr>
          <w:color w:val="231F20"/>
          <w:spacing w:val="-3"/>
        </w:rPr>
        <w:t> </w:t>
      </w:r>
      <w:r>
        <w:rPr>
          <w:color w:val="231F20"/>
        </w:rPr>
        <w:t>a</w:t>
      </w:r>
      <w:r>
        <w:rPr>
          <w:color w:val="231F20"/>
          <w:spacing w:val="-3"/>
        </w:rPr>
        <w:t> </w:t>
      </w:r>
      <w:r>
        <w:rPr>
          <w:color w:val="231F20"/>
        </w:rPr>
        <w:t>risk</w:t>
      </w:r>
      <w:r>
        <w:rPr>
          <w:color w:val="231F20"/>
          <w:spacing w:val="-3"/>
        </w:rPr>
        <w:t> </w:t>
      </w:r>
      <w:r>
        <w:rPr>
          <w:color w:val="231F20"/>
        </w:rPr>
        <w:t>assessment that identifies reasonably foreseeable internal and external risks to the security, confidentiality, and integrity of customer information that could result in the unauthorized disclosure, misuse, alteration, destruction, or other compromise of such information, and assesses the sufficiency of any safeguards in place to control these risks. The risk assessment shall be written and shall include:</w:t>
      </w:r>
    </w:p>
    <w:p>
      <w:pPr>
        <w:pStyle w:val="BodyText"/>
        <w:spacing w:before="11"/>
        <w:rPr>
          <w:sz w:val="22"/>
        </w:rPr>
      </w:pPr>
    </w:p>
    <w:p>
      <w:pPr>
        <w:pStyle w:val="ListParagraph"/>
        <w:numPr>
          <w:ilvl w:val="0"/>
          <w:numId w:val="16"/>
        </w:numPr>
        <w:tabs>
          <w:tab w:pos="1854" w:val="left" w:leader="none"/>
        </w:tabs>
        <w:spacing w:line="240" w:lineRule="auto" w:before="0" w:after="0"/>
        <w:ind w:left="1853" w:right="0" w:hanging="234"/>
        <w:jc w:val="left"/>
        <w:rPr>
          <w:sz w:val="20"/>
        </w:rPr>
      </w:pPr>
      <w:r>
        <w:rPr>
          <w:color w:val="231F20"/>
          <w:sz w:val="20"/>
        </w:rPr>
        <w:t>Criteria</w:t>
      </w:r>
      <w:r>
        <w:rPr>
          <w:color w:val="231F20"/>
          <w:spacing w:val="-7"/>
          <w:sz w:val="20"/>
        </w:rPr>
        <w:t> </w:t>
      </w:r>
      <w:r>
        <w:rPr>
          <w:color w:val="231F20"/>
          <w:sz w:val="20"/>
        </w:rPr>
        <w:t>for</w:t>
      </w:r>
      <w:r>
        <w:rPr>
          <w:color w:val="231F20"/>
          <w:spacing w:val="-5"/>
          <w:sz w:val="20"/>
        </w:rPr>
        <w:t> </w:t>
      </w:r>
      <w:r>
        <w:rPr>
          <w:color w:val="231F20"/>
          <w:sz w:val="20"/>
        </w:rPr>
        <w:t>the</w:t>
      </w:r>
      <w:r>
        <w:rPr>
          <w:color w:val="231F20"/>
          <w:spacing w:val="-5"/>
          <w:sz w:val="20"/>
        </w:rPr>
        <w:t> </w:t>
      </w:r>
      <w:r>
        <w:rPr>
          <w:color w:val="231F20"/>
          <w:sz w:val="20"/>
        </w:rPr>
        <w:t>evaluation</w:t>
      </w:r>
      <w:r>
        <w:rPr>
          <w:color w:val="231F20"/>
          <w:spacing w:val="-5"/>
          <w:sz w:val="20"/>
        </w:rPr>
        <w:t> </w:t>
      </w:r>
      <w:r>
        <w:rPr>
          <w:color w:val="231F20"/>
          <w:sz w:val="20"/>
        </w:rPr>
        <w:t>and</w:t>
      </w:r>
      <w:r>
        <w:rPr>
          <w:color w:val="231F20"/>
          <w:spacing w:val="-5"/>
          <w:sz w:val="20"/>
        </w:rPr>
        <w:t> </w:t>
      </w:r>
      <w:r>
        <w:rPr>
          <w:color w:val="231F20"/>
          <w:sz w:val="20"/>
        </w:rPr>
        <w:t>categorization</w:t>
      </w:r>
      <w:r>
        <w:rPr>
          <w:color w:val="231F20"/>
          <w:spacing w:val="-5"/>
          <w:sz w:val="20"/>
        </w:rPr>
        <w:t> </w:t>
      </w:r>
      <w:r>
        <w:rPr>
          <w:color w:val="231F20"/>
          <w:sz w:val="20"/>
        </w:rPr>
        <w:t>of</w:t>
      </w:r>
      <w:r>
        <w:rPr>
          <w:color w:val="231F20"/>
          <w:spacing w:val="-5"/>
          <w:sz w:val="20"/>
        </w:rPr>
        <w:t> </w:t>
      </w:r>
      <w:r>
        <w:rPr>
          <w:color w:val="231F20"/>
          <w:sz w:val="20"/>
        </w:rPr>
        <w:t>identified</w:t>
      </w:r>
      <w:r>
        <w:rPr>
          <w:color w:val="231F20"/>
          <w:spacing w:val="-5"/>
          <w:sz w:val="20"/>
        </w:rPr>
        <w:t> </w:t>
      </w:r>
      <w:r>
        <w:rPr>
          <w:color w:val="231F20"/>
          <w:sz w:val="20"/>
        </w:rPr>
        <w:t>security</w:t>
      </w:r>
      <w:r>
        <w:rPr>
          <w:color w:val="231F20"/>
          <w:spacing w:val="-4"/>
          <w:sz w:val="20"/>
        </w:rPr>
        <w:t> </w:t>
      </w:r>
      <w:r>
        <w:rPr>
          <w:color w:val="231F20"/>
          <w:sz w:val="20"/>
        </w:rPr>
        <w:t>risks</w:t>
      </w:r>
      <w:r>
        <w:rPr>
          <w:color w:val="231F20"/>
          <w:spacing w:val="-5"/>
          <w:sz w:val="20"/>
        </w:rPr>
        <w:t> </w:t>
      </w:r>
      <w:r>
        <w:rPr>
          <w:color w:val="231F20"/>
          <w:sz w:val="20"/>
        </w:rPr>
        <w:t>or</w:t>
      </w:r>
      <w:r>
        <w:rPr>
          <w:color w:val="231F20"/>
          <w:spacing w:val="-5"/>
          <w:sz w:val="20"/>
        </w:rPr>
        <w:t> </w:t>
      </w:r>
      <w:r>
        <w:rPr>
          <w:color w:val="231F20"/>
          <w:sz w:val="20"/>
        </w:rPr>
        <w:t>threats</w:t>
      </w:r>
      <w:r>
        <w:rPr>
          <w:color w:val="231F20"/>
          <w:spacing w:val="-4"/>
          <w:sz w:val="20"/>
        </w:rPr>
        <w:t> </w:t>
      </w:r>
      <w:r>
        <w:rPr>
          <w:color w:val="231F20"/>
          <w:spacing w:val="-2"/>
          <w:sz w:val="20"/>
        </w:rPr>
        <w:t>faced;</w:t>
      </w:r>
    </w:p>
    <w:p>
      <w:pPr>
        <w:pStyle w:val="BodyText"/>
        <w:rPr>
          <w:sz w:val="26"/>
        </w:rPr>
      </w:pPr>
    </w:p>
    <w:p>
      <w:pPr>
        <w:pStyle w:val="ListParagraph"/>
        <w:numPr>
          <w:ilvl w:val="0"/>
          <w:numId w:val="16"/>
        </w:numPr>
        <w:tabs>
          <w:tab w:pos="1898" w:val="left" w:leader="none"/>
        </w:tabs>
        <w:spacing w:line="276" w:lineRule="auto" w:before="0" w:after="0"/>
        <w:ind w:left="1620" w:right="1089" w:firstLine="0"/>
        <w:jc w:val="left"/>
        <w:rPr>
          <w:sz w:val="20"/>
        </w:rPr>
      </w:pPr>
      <w:r>
        <w:rPr>
          <w:color w:val="231F20"/>
          <w:sz w:val="20"/>
        </w:rPr>
        <w:t>Criteria for the assessment of the confidentiality, integrity, and availability of information systems</w:t>
      </w:r>
      <w:r>
        <w:rPr>
          <w:color w:val="231F20"/>
          <w:spacing w:val="-4"/>
          <w:sz w:val="20"/>
        </w:rPr>
        <w:t> </w:t>
      </w:r>
      <w:r>
        <w:rPr>
          <w:color w:val="231F20"/>
          <w:sz w:val="20"/>
        </w:rPr>
        <w:t>and</w:t>
      </w:r>
      <w:r>
        <w:rPr>
          <w:color w:val="231F20"/>
          <w:spacing w:val="-5"/>
          <w:sz w:val="20"/>
        </w:rPr>
        <w:t> </w:t>
      </w:r>
      <w:r>
        <w:rPr>
          <w:color w:val="231F20"/>
          <w:sz w:val="20"/>
        </w:rPr>
        <w:t>customer</w:t>
      </w:r>
      <w:r>
        <w:rPr>
          <w:color w:val="231F20"/>
          <w:spacing w:val="-3"/>
          <w:sz w:val="20"/>
        </w:rPr>
        <w:t> </w:t>
      </w:r>
      <w:r>
        <w:rPr>
          <w:color w:val="231F20"/>
          <w:sz w:val="20"/>
        </w:rPr>
        <w:t>information,</w:t>
      </w:r>
      <w:r>
        <w:rPr>
          <w:color w:val="231F20"/>
          <w:spacing w:val="-4"/>
          <w:sz w:val="20"/>
        </w:rPr>
        <w:t> </w:t>
      </w:r>
      <w:r>
        <w:rPr>
          <w:color w:val="231F20"/>
          <w:sz w:val="20"/>
        </w:rPr>
        <w:t>including</w:t>
      </w:r>
      <w:r>
        <w:rPr>
          <w:color w:val="231F20"/>
          <w:spacing w:val="-4"/>
          <w:sz w:val="20"/>
        </w:rPr>
        <w:t> </w:t>
      </w:r>
      <w:r>
        <w:rPr>
          <w:color w:val="231F20"/>
          <w:sz w:val="20"/>
        </w:rPr>
        <w:t>the</w:t>
      </w:r>
      <w:r>
        <w:rPr>
          <w:color w:val="231F20"/>
          <w:spacing w:val="-4"/>
          <w:sz w:val="20"/>
        </w:rPr>
        <w:t> </w:t>
      </w:r>
      <w:r>
        <w:rPr>
          <w:color w:val="231F20"/>
          <w:sz w:val="20"/>
        </w:rPr>
        <w:t>adequacy</w:t>
      </w:r>
      <w:r>
        <w:rPr>
          <w:color w:val="231F20"/>
          <w:spacing w:val="-4"/>
          <w:sz w:val="20"/>
        </w:rPr>
        <w:t> </w:t>
      </w:r>
      <w:r>
        <w:rPr>
          <w:color w:val="231F20"/>
          <w:sz w:val="20"/>
        </w:rPr>
        <w:t>of</w:t>
      </w:r>
      <w:r>
        <w:rPr>
          <w:color w:val="231F20"/>
          <w:spacing w:val="-4"/>
          <w:sz w:val="20"/>
        </w:rPr>
        <w:t> </w:t>
      </w:r>
      <w:r>
        <w:rPr>
          <w:color w:val="231F20"/>
          <w:sz w:val="20"/>
        </w:rPr>
        <w:t>the</w:t>
      </w:r>
      <w:r>
        <w:rPr>
          <w:color w:val="231F20"/>
          <w:spacing w:val="-4"/>
          <w:sz w:val="20"/>
        </w:rPr>
        <w:t> </w:t>
      </w:r>
      <w:r>
        <w:rPr>
          <w:color w:val="231F20"/>
          <w:sz w:val="20"/>
        </w:rPr>
        <w:t>existing</w:t>
      </w:r>
      <w:r>
        <w:rPr>
          <w:color w:val="231F20"/>
          <w:spacing w:val="-4"/>
          <w:sz w:val="20"/>
        </w:rPr>
        <w:t> </w:t>
      </w:r>
      <w:r>
        <w:rPr>
          <w:color w:val="231F20"/>
          <w:sz w:val="20"/>
        </w:rPr>
        <w:t>controls</w:t>
      </w:r>
      <w:r>
        <w:rPr>
          <w:color w:val="231F20"/>
          <w:spacing w:val="-3"/>
          <w:sz w:val="20"/>
        </w:rPr>
        <w:t> </w:t>
      </w:r>
      <w:r>
        <w:rPr>
          <w:color w:val="231F20"/>
          <w:sz w:val="20"/>
        </w:rPr>
        <w:t>in</w:t>
      </w:r>
      <w:r>
        <w:rPr>
          <w:color w:val="231F20"/>
          <w:spacing w:val="-4"/>
          <w:sz w:val="20"/>
        </w:rPr>
        <w:t> </w:t>
      </w:r>
      <w:r>
        <w:rPr>
          <w:color w:val="231F20"/>
          <w:sz w:val="20"/>
        </w:rPr>
        <w:t>the</w:t>
      </w:r>
      <w:r>
        <w:rPr>
          <w:color w:val="231F20"/>
          <w:spacing w:val="-4"/>
          <w:sz w:val="20"/>
        </w:rPr>
        <w:t> </w:t>
      </w:r>
      <w:r>
        <w:rPr>
          <w:color w:val="231F20"/>
          <w:sz w:val="20"/>
        </w:rPr>
        <w:t>context of the identified risks or threats faced; and</w:t>
      </w:r>
    </w:p>
    <w:p>
      <w:pPr>
        <w:pStyle w:val="BodyText"/>
        <w:rPr>
          <w:sz w:val="23"/>
        </w:rPr>
      </w:pPr>
    </w:p>
    <w:p>
      <w:pPr>
        <w:pStyle w:val="ListParagraph"/>
        <w:numPr>
          <w:ilvl w:val="0"/>
          <w:numId w:val="16"/>
        </w:numPr>
        <w:tabs>
          <w:tab w:pos="1943" w:val="left" w:leader="none"/>
        </w:tabs>
        <w:spacing w:line="276" w:lineRule="auto" w:before="1" w:after="0"/>
        <w:ind w:left="1620" w:right="1140" w:firstLine="0"/>
        <w:jc w:val="left"/>
        <w:rPr>
          <w:sz w:val="20"/>
        </w:rPr>
      </w:pPr>
      <w:r>
        <w:rPr>
          <w:color w:val="231F20"/>
          <w:sz w:val="20"/>
        </w:rPr>
        <w:t>Requirements</w:t>
      </w:r>
      <w:r>
        <w:rPr>
          <w:color w:val="231F20"/>
          <w:spacing w:val="-3"/>
          <w:sz w:val="20"/>
        </w:rPr>
        <w:t> </w:t>
      </w:r>
      <w:r>
        <w:rPr>
          <w:color w:val="231F20"/>
          <w:sz w:val="20"/>
        </w:rPr>
        <w:t>describing</w:t>
      </w:r>
      <w:r>
        <w:rPr>
          <w:color w:val="231F20"/>
          <w:spacing w:val="-3"/>
          <w:sz w:val="20"/>
        </w:rPr>
        <w:t> </w:t>
      </w:r>
      <w:r>
        <w:rPr>
          <w:color w:val="231F20"/>
          <w:sz w:val="20"/>
        </w:rPr>
        <w:t>how</w:t>
      </w:r>
      <w:r>
        <w:rPr>
          <w:color w:val="231F20"/>
          <w:spacing w:val="-3"/>
          <w:sz w:val="20"/>
        </w:rPr>
        <w:t> </w:t>
      </w:r>
      <w:r>
        <w:rPr>
          <w:color w:val="231F20"/>
          <w:sz w:val="20"/>
        </w:rPr>
        <w:t>identified</w:t>
      </w:r>
      <w:r>
        <w:rPr>
          <w:color w:val="231F20"/>
          <w:spacing w:val="-3"/>
          <w:sz w:val="20"/>
        </w:rPr>
        <w:t> </w:t>
      </w:r>
      <w:r>
        <w:rPr>
          <w:color w:val="231F20"/>
          <w:sz w:val="20"/>
        </w:rPr>
        <w:t>risks</w:t>
      </w:r>
      <w:r>
        <w:rPr>
          <w:color w:val="231F20"/>
          <w:spacing w:val="-4"/>
          <w:sz w:val="20"/>
        </w:rPr>
        <w:t> </w:t>
      </w:r>
      <w:r>
        <w:rPr>
          <w:color w:val="231F20"/>
          <w:sz w:val="20"/>
        </w:rPr>
        <w:t>will</w:t>
      </w:r>
      <w:r>
        <w:rPr>
          <w:color w:val="231F20"/>
          <w:spacing w:val="-3"/>
          <w:sz w:val="20"/>
        </w:rPr>
        <w:t> </w:t>
      </w:r>
      <w:r>
        <w:rPr>
          <w:color w:val="231F20"/>
          <w:sz w:val="20"/>
        </w:rPr>
        <w:t>be</w:t>
      </w:r>
      <w:r>
        <w:rPr>
          <w:color w:val="231F20"/>
          <w:spacing w:val="-3"/>
          <w:sz w:val="20"/>
        </w:rPr>
        <w:t> </w:t>
      </w:r>
      <w:r>
        <w:rPr>
          <w:color w:val="231F20"/>
          <w:sz w:val="20"/>
        </w:rPr>
        <w:t>mitigated</w:t>
      </w:r>
      <w:r>
        <w:rPr>
          <w:color w:val="231F20"/>
          <w:spacing w:val="-4"/>
          <w:sz w:val="20"/>
        </w:rPr>
        <w:t> </w:t>
      </w:r>
      <w:r>
        <w:rPr>
          <w:color w:val="231F20"/>
          <w:sz w:val="20"/>
        </w:rPr>
        <w:t>or</w:t>
      </w:r>
      <w:r>
        <w:rPr>
          <w:color w:val="231F20"/>
          <w:spacing w:val="-3"/>
          <w:sz w:val="20"/>
        </w:rPr>
        <w:t> </w:t>
      </w:r>
      <w:r>
        <w:rPr>
          <w:color w:val="231F20"/>
          <w:sz w:val="20"/>
        </w:rPr>
        <w:t>accepted</w:t>
      </w:r>
      <w:r>
        <w:rPr>
          <w:color w:val="231F20"/>
          <w:spacing w:val="-3"/>
          <w:sz w:val="20"/>
        </w:rPr>
        <w:t> </w:t>
      </w:r>
      <w:r>
        <w:rPr>
          <w:color w:val="231F20"/>
          <w:sz w:val="20"/>
        </w:rPr>
        <w:t>based</w:t>
      </w:r>
      <w:r>
        <w:rPr>
          <w:color w:val="231F20"/>
          <w:spacing w:val="-3"/>
          <w:sz w:val="20"/>
        </w:rPr>
        <w:t> </w:t>
      </w:r>
      <w:r>
        <w:rPr>
          <w:color w:val="231F20"/>
          <w:sz w:val="20"/>
        </w:rPr>
        <w:t>on</w:t>
      </w:r>
      <w:r>
        <w:rPr>
          <w:color w:val="231F20"/>
          <w:spacing w:val="-3"/>
          <w:sz w:val="20"/>
        </w:rPr>
        <w:t> </w:t>
      </w:r>
      <w:r>
        <w:rPr>
          <w:color w:val="231F20"/>
          <w:sz w:val="20"/>
        </w:rPr>
        <w:t>the</w:t>
      </w:r>
      <w:r>
        <w:rPr>
          <w:color w:val="231F20"/>
          <w:spacing w:val="-3"/>
          <w:sz w:val="20"/>
        </w:rPr>
        <w:t> </w:t>
      </w:r>
      <w:r>
        <w:rPr>
          <w:color w:val="231F20"/>
          <w:sz w:val="20"/>
        </w:rPr>
        <w:t>risk assessment and how the information security program will address the risks.</w:t>
      </w:r>
    </w:p>
    <w:p>
      <w:pPr>
        <w:pStyle w:val="BodyText"/>
        <w:spacing w:before="11"/>
        <w:rPr>
          <w:sz w:val="22"/>
        </w:rPr>
      </w:pPr>
    </w:p>
    <w:p>
      <w:pPr>
        <w:pStyle w:val="BodyText"/>
        <w:spacing w:line="276" w:lineRule="auto"/>
        <w:ind w:left="900" w:right="1027"/>
      </w:pPr>
      <w:r>
        <w:rPr>
          <w:b/>
          <w:color w:val="231F20"/>
        </w:rPr>
        <w:t>Condition/Context:</w:t>
      </w:r>
      <w:r>
        <w:rPr>
          <w:b/>
          <w:color w:val="231F20"/>
          <w:spacing w:val="-3"/>
        </w:rPr>
        <w:t> </w:t>
      </w:r>
      <w:r>
        <w:rPr>
          <w:color w:val="231F20"/>
        </w:rPr>
        <w:t>Per</w:t>
      </w:r>
      <w:r>
        <w:rPr>
          <w:color w:val="231F20"/>
          <w:spacing w:val="-3"/>
        </w:rPr>
        <w:t> </w:t>
      </w:r>
      <w:r>
        <w:rPr>
          <w:color w:val="231F20"/>
        </w:rPr>
        <w:t>the</w:t>
      </w:r>
      <w:r>
        <w:rPr>
          <w:color w:val="231F20"/>
          <w:spacing w:val="-3"/>
        </w:rPr>
        <w:t> </w:t>
      </w:r>
      <w:r>
        <w:rPr>
          <w:color w:val="231F20"/>
        </w:rPr>
        <w:t>Gramm-Leach-Bliley</w:t>
      </w:r>
      <w:r>
        <w:rPr>
          <w:color w:val="231F20"/>
          <w:spacing w:val="-3"/>
        </w:rPr>
        <w:t> </w:t>
      </w:r>
      <w:r>
        <w:rPr>
          <w:color w:val="231F20"/>
        </w:rPr>
        <w:t>Act,</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has</w:t>
      </w:r>
      <w:r>
        <w:rPr>
          <w:color w:val="231F20"/>
          <w:spacing w:val="-3"/>
        </w:rPr>
        <w:t> </w:t>
      </w:r>
      <w:r>
        <w:rPr>
          <w:color w:val="231F20"/>
        </w:rPr>
        <w:t>not</w:t>
      </w:r>
      <w:r>
        <w:rPr>
          <w:color w:val="231F20"/>
          <w:spacing w:val="-3"/>
        </w:rPr>
        <w:t> </w:t>
      </w:r>
      <w:r>
        <w:rPr>
          <w:color w:val="231F20"/>
        </w:rPr>
        <w:t>completed</w:t>
      </w:r>
      <w:r>
        <w:rPr>
          <w:color w:val="231F20"/>
          <w:spacing w:val="-3"/>
        </w:rPr>
        <w:t> </w:t>
      </w:r>
      <w:r>
        <w:rPr>
          <w:color w:val="231F20"/>
        </w:rPr>
        <w:t>a</w:t>
      </w:r>
      <w:r>
        <w:rPr>
          <w:color w:val="231F20"/>
          <w:spacing w:val="-3"/>
        </w:rPr>
        <w:t> </w:t>
      </w:r>
      <w:r>
        <w:rPr>
          <w:color w:val="231F20"/>
        </w:rPr>
        <w:t>risk</w:t>
      </w:r>
      <w:r>
        <w:rPr>
          <w:color w:val="231F20"/>
          <w:spacing w:val="-3"/>
        </w:rPr>
        <w:t> </w:t>
      </w:r>
      <w:r>
        <w:rPr>
          <w:color w:val="231F20"/>
        </w:rPr>
        <w:t>assessment as required.</w:t>
      </w:r>
    </w:p>
    <w:p>
      <w:pPr>
        <w:pStyle w:val="BodyText"/>
        <w:rPr>
          <w:sz w:val="23"/>
        </w:rPr>
      </w:pPr>
    </w:p>
    <w:p>
      <w:pPr>
        <w:pStyle w:val="BodyText"/>
        <w:ind w:left="900"/>
      </w:pPr>
      <w:r>
        <w:rPr>
          <w:b/>
          <w:color w:val="231F20"/>
        </w:rPr>
        <w:t>Cause:</w:t>
      </w:r>
      <w:r>
        <w:rPr>
          <w:b/>
          <w:color w:val="231F20"/>
          <w:spacing w:val="-6"/>
        </w:rPr>
        <w:t> </w:t>
      </w:r>
      <w:r>
        <w:rPr>
          <w:color w:val="231F20"/>
        </w:rPr>
        <w:t>The</w:t>
      </w:r>
      <w:r>
        <w:rPr>
          <w:color w:val="231F20"/>
          <w:spacing w:val="-4"/>
        </w:rPr>
        <w:t> </w:t>
      </w:r>
      <w:r>
        <w:rPr>
          <w:color w:val="231F20"/>
        </w:rPr>
        <w:t>Institute</w:t>
      </w:r>
      <w:r>
        <w:rPr>
          <w:color w:val="231F20"/>
          <w:spacing w:val="-4"/>
        </w:rPr>
        <w:t> </w:t>
      </w:r>
      <w:r>
        <w:rPr>
          <w:color w:val="231F20"/>
        </w:rPr>
        <w:t>has</w:t>
      </w:r>
      <w:r>
        <w:rPr>
          <w:color w:val="231F20"/>
          <w:spacing w:val="-5"/>
        </w:rPr>
        <w:t> </w:t>
      </w:r>
      <w:r>
        <w:rPr>
          <w:color w:val="231F20"/>
        </w:rPr>
        <w:t>not</w:t>
      </w:r>
      <w:r>
        <w:rPr>
          <w:color w:val="231F20"/>
          <w:spacing w:val="-4"/>
        </w:rPr>
        <w:t> </w:t>
      </w:r>
      <w:r>
        <w:rPr>
          <w:color w:val="231F20"/>
        </w:rPr>
        <w:t>completed</w:t>
      </w:r>
      <w:r>
        <w:rPr>
          <w:color w:val="231F20"/>
          <w:spacing w:val="-4"/>
        </w:rPr>
        <w:t> </w:t>
      </w:r>
      <w:r>
        <w:rPr>
          <w:color w:val="231F20"/>
        </w:rPr>
        <w:t>a</w:t>
      </w:r>
      <w:r>
        <w:rPr>
          <w:color w:val="231F20"/>
          <w:spacing w:val="-5"/>
        </w:rPr>
        <w:t> </w:t>
      </w:r>
      <w:r>
        <w:rPr>
          <w:color w:val="231F20"/>
        </w:rPr>
        <w:t>risk</w:t>
      </w:r>
      <w:r>
        <w:rPr>
          <w:color w:val="231F20"/>
          <w:spacing w:val="-4"/>
        </w:rPr>
        <w:t> </w:t>
      </w:r>
      <w:r>
        <w:rPr>
          <w:color w:val="231F20"/>
        </w:rPr>
        <w:t>assessment</w:t>
      </w:r>
      <w:r>
        <w:rPr>
          <w:color w:val="231F20"/>
          <w:spacing w:val="-4"/>
        </w:rPr>
        <w:t> </w:t>
      </w:r>
      <w:r>
        <w:rPr>
          <w:color w:val="231F20"/>
        </w:rPr>
        <w:t>as</w:t>
      </w:r>
      <w:r>
        <w:rPr>
          <w:color w:val="231F20"/>
          <w:spacing w:val="-4"/>
        </w:rPr>
        <w:t> </w:t>
      </w:r>
      <w:r>
        <w:rPr>
          <w:color w:val="231F20"/>
          <w:spacing w:val="-2"/>
        </w:rPr>
        <w:t>required.</w:t>
      </w:r>
    </w:p>
    <w:p>
      <w:pPr>
        <w:pStyle w:val="BodyText"/>
        <w:rPr>
          <w:sz w:val="26"/>
        </w:rPr>
      </w:pPr>
    </w:p>
    <w:p>
      <w:pPr>
        <w:pStyle w:val="BodyText"/>
        <w:ind w:left="900"/>
      </w:pPr>
      <w:r>
        <w:rPr>
          <w:b/>
          <w:color w:val="231F20"/>
        </w:rPr>
        <w:t>Effect:</w:t>
      </w:r>
      <w:r>
        <w:rPr>
          <w:b/>
          <w:color w:val="231F20"/>
          <w:spacing w:val="-4"/>
        </w:rPr>
        <w:t> </w:t>
      </w:r>
      <w:r>
        <w:rPr>
          <w:color w:val="231F20"/>
        </w:rPr>
        <w:t>Noncompliance</w:t>
      </w:r>
      <w:r>
        <w:rPr>
          <w:color w:val="231F20"/>
          <w:spacing w:val="-3"/>
        </w:rPr>
        <w:t> </w:t>
      </w:r>
      <w:r>
        <w:rPr>
          <w:color w:val="231F20"/>
        </w:rPr>
        <w:t>with</w:t>
      </w:r>
      <w:r>
        <w:rPr>
          <w:color w:val="231F20"/>
          <w:spacing w:val="-3"/>
        </w:rPr>
        <w:t> </w:t>
      </w:r>
      <w:r>
        <w:rPr>
          <w:color w:val="231F20"/>
        </w:rPr>
        <w:t>federal</w:t>
      </w:r>
      <w:r>
        <w:rPr>
          <w:color w:val="231F20"/>
          <w:spacing w:val="-3"/>
        </w:rPr>
        <w:t> </w:t>
      </w:r>
      <w:r>
        <w:rPr>
          <w:color w:val="231F20"/>
          <w:spacing w:val="-2"/>
        </w:rPr>
        <w:t>regulations.</w:t>
      </w:r>
    </w:p>
    <w:p>
      <w:pPr>
        <w:pStyle w:val="BodyText"/>
        <w:rPr>
          <w:sz w:val="26"/>
        </w:rPr>
      </w:pPr>
    </w:p>
    <w:p>
      <w:pPr>
        <w:spacing w:before="0"/>
        <w:ind w:left="900" w:right="0" w:firstLine="0"/>
        <w:jc w:val="left"/>
        <w:rPr>
          <w:sz w:val="20"/>
        </w:rPr>
      </w:pPr>
      <w:r>
        <w:rPr>
          <w:b/>
          <w:color w:val="231F20"/>
          <w:sz w:val="20"/>
        </w:rPr>
        <w:t>Questioned</w:t>
      </w:r>
      <w:r>
        <w:rPr>
          <w:b/>
          <w:color w:val="231F20"/>
          <w:spacing w:val="-4"/>
          <w:sz w:val="20"/>
        </w:rPr>
        <w:t> </w:t>
      </w:r>
      <w:r>
        <w:rPr>
          <w:b/>
          <w:color w:val="231F20"/>
          <w:sz w:val="20"/>
        </w:rPr>
        <w:t>Costs:</w:t>
      </w:r>
      <w:r>
        <w:rPr>
          <w:b/>
          <w:color w:val="231F20"/>
          <w:spacing w:val="-4"/>
          <w:sz w:val="20"/>
        </w:rPr>
        <w:t> </w:t>
      </w:r>
      <w:r>
        <w:rPr>
          <w:color w:val="231F20"/>
          <w:spacing w:val="-2"/>
          <w:sz w:val="20"/>
        </w:rPr>
        <w:t>Unknown</w:t>
      </w:r>
    </w:p>
    <w:p>
      <w:pPr>
        <w:pStyle w:val="BodyText"/>
        <w:rPr>
          <w:sz w:val="26"/>
        </w:rPr>
      </w:pPr>
    </w:p>
    <w:p>
      <w:pPr>
        <w:spacing w:before="1"/>
        <w:ind w:left="900" w:right="0" w:firstLine="0"/>
        <w:jc w:val="left"/>
        <w:rPr>
          <w:sz w:val="20"/>
        </w:rPr>
      </w:pPr>
      <w:r>
        <w:rPr>
          <w:b/>
          <w:color w:val="231F20"/>
          <w:sz w:val="20"/>
        </w:rPr>
        <w:t>Repeat</w:t>
      </w:r>
      <w:r>
        <w:rPr>
          <w:b/>
          <w:color w:val="231F20"/>
          <w:spacing w:val="-6"/>
          <w:sz w:val="20"/>
        </w:rPr>
        <w:t> </w:t>
      </w:r>
      <w:r>
        <w:rPr>
          <w:b/>
          <w:color w:val="231F20"/>
          <w:sz w:val="20"/>
        </w:rPr>
        <w:t>Finding:</w:t>
      </w:r>
      <w:r>
        <w:rPr>
          <w:b/>
          <w:color w:val="231F20"/>
          <w:spacing w:val="-3"/>
          <w:sz w:val="20"/>
        </w:rPr>
        <w:t> </w:t>
      </w:r>
      <w:r>
        <w:rPr>
          <w:color w:val="231F20"/>
          <w:sz w:val="20"/>
        </w:rPr>
        <w:t>This</w:t>
      </w:r>
      <w:r>
        <w:rPr>
          <w:color w:val="231F20"/>
          <w:spacing w:val="-2"/>
          <w:sz w:val="20"/>
        </w:rPr>
        <w:t> </w:t>
      </w:r>
      <w:r>
        <w:rPr>
          <w:color w:val="231F20"/>
          <w:sz w:val="20"/>
        </w:rPr>
        <w:t>is</w:t>
      </w:r>
      <w:r>
        <w:rPr>
          <w:color w:val="231F20"/>
          <w:spacing w:val="-4"/>
          <w:sz w:val="20"/>
        </w:rPr>
        <w:t> </w:t>
      </w:r>
      <w:r>
        <w:rPr>
          <w:color w:val="231F20"/>
          <w:sz w:val="20"/>
        </w:rPr>
        <w:t>not</w:t>
      </w:r>
      <w:r>
        <w:rPr>
          <w:color w:val="231F20"/>
          <w:spacing w:val="-3"/>
          <w:sz w:val="20"/>
        </w:rPr>
        <w:t> </w:t>
      </w:r>
      <w:r>
        <w:rPr>
          <w:color w:val="231F20"/>
          <w:sz w:val="20"/>
        </w:rPr>
        <w:t>a</w:t>
      </w:r>
      <w:r>
        <w:rPr>
          <w:color w:val="231F20"/>
          <w:spacing w:val="-4"/>
          <w:sz w:val="20"/>
        </w:rPr>
        <w:t> </w:t>
      </w:r>
      <w:r>
        <w:rPr>
          <w:color w:val="231F20"/>
          <w:sz w:val="20"/>
        </w:rPr>
        <w:t>repeat</w:t>
      </w:r>
      <w:r>
        <w:rPr>
          <w:color w:val="231F20"/>
          <w:spacing w:val="-3"/>
          <w:sz w:val="20"/>
        </w:rPr>
        <w:t> </w:t>
      </w:r>
      <w:r>
        <w:rPr>
          <w:color w:val="231F20"/>
          <w:spacing w:val="-2"/>
          <w:sz w:val="20"/>
        </w:rPr>
        <w:t>finding.</w:t>
      </w:r>
    </w:p>
    <w:p>
      <w:pPr>
        <w:pStyle w:val="BodyText"/>
        <w:spacing w:before="10"/>
        <w:rPr>
          <w:sz w:val="25"/>
        </w:rPr>
      </w:pPr>
    </w:p>
    <w:p>
      <w:pPr>
        <w:pStyle w:val="BodyText"/>
        <w:spacing w:line="276" w:lineRule="auto"/>
        <w:ind w:left="900" w:right="1027"/>
      </w:pPr>
      <w:r>
        <w:rPr>
          <w:b/>
          <w:color w:val="231F20"/>
        </w:rPr>
        <w:t>Recommendation:</w:t>
      </w:r>
      <w:r>
        <w:rPr>
          <w:b/>
          <w:color w:val="231F20"/>
          <w:spacing w:val="-4"/>
        </w:rPr>
        <w:t> </w:t>
      </w:r>
      <w:r>
        <w:rPr>
          <w:color w:val="231F20"/>
        </w:rPr>
        <w:t>Management</w:t>
      </w:r>
      <w:r>
        <w:rPr>
          <w:color w:val="231F20"/>
          <w:spacing w:val="-5"/>
        </w:rPr>
        <w:t> </w:t>
      </w:r>
      <w:r>
        <w:rPr>
          <w:color w:val="231F20"/>
        </w:rPr>
        <w:t>should</w:t>
      </w:r>
      <w:r>
        <w:rPr>
          <w:color w:val="231F20"/>
          <w:spacing w:val="-6"/>
        </w:rPr>
        <w:t> </w:t>
      </w:r>
      <w:r>
        <w:rPr>
          <w:color w:val="231F20"/>
        </w:rPr>
        <w:t>complete</w:t>
      </w:r>
      <w:r>
        <w:rPr>
          <w:color w:val="231F20"/>
          <w:spacing w:val="-5"/>
        </w:rPr>
        <w:t> </w:t>
      </w:r>
      <w:r>
        <w:rPr>
          <w:color w:val="231F20"/>
        </w:rPr>
        <w:t>a</w:t>
      </w:r>
      <w:r>
        <w:rPr>
          <w:color w:val="231F20"/>
          <w:spacing w:val="-6"/>
        </w:rPr>
        <w:t> </w:t>
      </w:r>
      <w:r>
        <w:rPr>
          <w:color w:val="231F20"/>
        </w:rPr>
        <w:t>risk</w:t>
      </w:r>
      <w:r>
        <w:rPr>
          <w:color w:val="231F20"/>
          <w:spacing w:val="-5"/>
        </w:rPr>
        <w:t> </w:t>
      </w:r>
      <w:r>
        <w:rPr>
          <w:color w:val="231F20"/>
        </w:rPr>
        <w:t>assessment</w:t>
      </w:r>
      <w:r>
        <w:rPr>
          <w:color w:val="231F20"/>
          <w:spacing w:val="-5"/>
        </w:rPr>
        <w:t> </w:t>
      </w:r>
      <w:r>
        <w:rPr>
          <w:color w:val="231F20"/>
        </w:rPr>
        <w:t>to</w:t>
      </w:r>
      <w:r>
        <w:rPr>
          <w:color w:val="231F20"/>
          <w:spacing w:val="-5"/>
        </w:rPr>
        <w:t> </w:t>
      </w:r>
      <w:r>
        <w:rPr>
          <w:color w:val="231F20"/>
        </w:rPr>
        <w:t>determine</w:t>
      </w:r>
      <w:r>
        <w:rPr>
          <w:color w:val="231F20"/>
          <w:spacing w:val="-5"/>
        </w:rPr>
        <w:t> </w:t>
      </w:r>
      <w:r>
        <w:rPr>
          <w:color w:val="231F20"/>
        </w:rPr>
        <w:t>the</w:t>
      </w:r>
      <w:r>
        <w:rPr>
          <w:color w:val="231F20"/>
          <w:spacing w:val="-5"/>
        </w:rPr>
        <w:t> </w:t>
      </w:r>
      <w:r>
        <w:rPr>
          <w:color w:val="231F20"/>
        </w:rPr>
        <w:t>organizational risks and design and implement safeguards to control identified risks.</w:t>
      </w:r>
    </w:p>
    <w:p>
      <w:pPr>
        <w:spacing w:after="0" w:line="276" w:lineRule="auto"/>
        <w:sectPr>
          <w:pgSz w:w="12240" w:h="15840"/>
          <w:pgMar w:header="850" w:footer="1097" w:top="1300" w:bottom="1280" w:left="540" w:right="500"/>
        </w:sectPr>
      </w:pPr>
    </w:p>
    <w:p>
      <w:pPr>
        <w:pStyle w:val="Heading3"/>
        <w:ind w:left="3879" w:right="2082" w:hanging="1506"/>
        <w:jc w:val="left"/>
      </w:pPr>
      <w:r>
        <w:rPr>
          <w:color w:val="231F20"/>
        </w:rPr>
        <w:t>Schedule</w:t>
      </w:r>
      <w:r>
        <w:rPr>
          <w:color w:val="231F20"/>
          <w:spacing w:val="-6"/>
        </w:rPr>
        <w:t> </w:t>
      </w:r>
      <w:r>
        <w:rPr>
          <w:color w:val="231F20"/>
        </w:rPr>
        <w:t>of</w:t>
      </w:r>
      <w:r>
        <w:rPr>
          <w:color w:val="231F20"/>
          <w:spacing w:val="-6"/>
        </w:rPr>
        <w:t> </w:t>
      </w:r>
      <w:r>
        <w:rPr>
          <w:color w:val="231F20"/>
        </w:rPr>
        <w:t>Findings</w:t>
      </w:r>
      <w:r>
        <w:rPr>
          <w:color w:val="231F20"/>
          <w:spacing w:val="-6"/>
        </w:rPr>
        <w:t> </w:t>
      </w:r>
      <w:r>
        <w:rPr>
          <w:color w:val="231F20"/>
        </w:rPr>
        <w:t>and</w:t>
      </w:r>
      <w:r>
        <w:rPr>
          <w:color w:val="231F20"/>
          <w:spacing w:val="-6"/>
        </w:rPr>
        <w:t> </w:t>
      </w:r>
      <w:r>
        <w:rPr>
          <w:color w:val="231F20"/>
        </w:rPr>
        <w:t>Questioned</w:t>
      </w:r>
      <w:r>
        <w:rPr>
          <w:color w:val="231F20"/>
          <w:spacing w:val="-6"/>
        </w:rPr>
        <w:t> </w:t>
      </w:r>
      <w:r>
        <w:rPr>
          <w:color w:val="231F20"/>
        </w:rPr>
        <w:t>Costs</w:t>
      </w:r>
      <w:r>
        <w:rPr>
          <w:color w:val="231F20"/>
          <w:spacing w:val="-6"/>
        </w:rPr>
        <w:t> </w:t>
      </w:r>
      <w:r>
        <w:rPr>
          <w:color w:val="231F20"/>
        </w:rPr>
        <w:t>(continued) For Year Ended June 30, 2022</w:t>
      </w:r>
    </w:p>
    <w:p>
      <w:pPr>
        <w:pStyle w:val="BodyText"/>
        <w:spacing w:line="30" w:lineRule="exact"/>
        <w:ind w:left="870"/>
        <w:rPr>
          <w:sz w:val="3"/>
        </w:rPr>
      </w:pPr>
      <w:r>
        <w:rPr>
          <w:position w:val="0"/>
          <w:sz w:val="3"/>
        </w:rPr>
        <w:pict>
          <v:group style="width:471.05pt;height:1.5pt;mso-position-horizontal-relative:char;mso-position-vertical-relative:line" id="docshapegroup633" coordorigin="0,0" coordsize="9421,30">
            <v:rect style="position:absolute;left:0;top:0;width:9421;height:30" id="docshape634" filled="true" fillcolor="#231f20" stroked="false">
              <v:fill type="solid"/>
            </v:rect>
          </v:group>
        </w:pict>
      </w:r>
      <w:r>
        <w:rPr>
          <w:position w:val="0"/>
          <w:sz w:val="3"/>
        </w:rPr>
      </w:r>
    </w:p>
    <w:p>
      <w:pPr>
        <w:pStyle w:val="BodyText"/>
        <w:rPr>
          <w:b/>
        </w:rPr>
      </w:pPr>
    </w:p>
    <w:p>
      <w:pPr>
        <w:pStyle w:val="BodyText"/>
        <w:spacing w:before="5"/>
        <w:rPr>
          <w:b/>
        </w:rPr>
      </w:pPr>
      <w:r>
        <w:rPr/>
        <w:pict>
          <v:rect style="position:absolute;margin-left:70.5pt;margin-top:12.970662pt;width:471.001pt;height:1.5pt;mso-position-horizontal-relative:page;mso-position-vertical-relative:paragraph;z-index:-15583232;mso-wrap-distance-left:0;mso-wrap-distance-right:0" id="docshape635" filled="true" fillcolor="#231f20" stroked="false">
            <v:fill type="solid"/>
            <w10:wrap type="topAndBottom"/>
          </v:rect>
        </w:pict>
      </w:r>
    </w:p>
    <w:p>
      <w:pPr>
        <w:pStyle w:val="Heading4"/>
        <w:spacing w:before="19" w:after="47"/>
        <w:ind w:left="0" w:right="39"/>
        <w:jc w:val="center"/>
      </w:pPr>
      <w:r>
        <w:rPr>
          <w:color w:val="231F20"/>
        </w:rPr>
        <w:t>Section</w:t>
      </w:r>
      <w:r>
        <w:rPr>
          <w:color w:val="231F20"/>
          <w:spacing w:val="-6"/>
        </w:rPr>
        <w:t> </w:t>
      </w:r>
      <w:r>
        <w:rPr>
          <w:color w:val="231F20"/>
        </w:rPr>
        <w:t>III</w:t>
      </w:r>
      <w:r>
        <w:rPr>
          <w:color w:val="231F20"/>
          <w:spacing w:val="-6"/>
        </w:rPr>
        <w:t> </w:t>
      </w:r>
      <w:r>
        <w:rPr>
          <w:color w:val="231F20"/>
        </w:rPr>
        <w:t>–</w:t>
      </w:r>
      <w:r>
        <w:rPr>
          <w:color w:val="231F20"/>
          <w:spacing w:val="-5"/>
        </w:rPr>
        <w:t> </w:t>
      </w:r>
      <w:r>
        <w:rPr>
          <w:color w:val="231F20"/>
        </w:rPr>
        <w:t>Federal</w:t>
      </w:r>
      <w:r>
        <w:rPr>
          <w:color w:val="231F20"/>
          <w:spacing w:val="-6"/>
        </w:rPr>
        <w:t> </w:t>
      </w:r>
      <w:r>
        <w:rPr>
          <w:color w:val="231F20"/>
        </w:rPr>
        <w:t>Award</w:t>
      </w:r>
      <w:r>
        <w:rPr>
          <w:color w:val="231F20"/>
          <w:spacing w:val="-6"/>
        </w:rPr>
        <w:t> </w:t>
      </w:r>
      <w:r>
        <w:rPr>
          <w:color w:val="231F20"/>
        </w:rPr>
        <w:t>Findings</w:t>
      </w:r>
      <w:r>
        <w:rPr>
          <w:color w:val="231F20"/>
          <w:spacing w:val="-5"/>
        </w:rPr>
        <w:t> </w:t>
      </w:r>
      <w:r>
        <w:rPr>
          <w:color w:val="231F20"/>
        </w:rPr>
        <w:t>and</w:t>
      </w:r>
      <w:r>
        <w:rPr>
          <w:color w:val="231F20"/>
          <w:spacing w:val="-6"/>
        </w:rPr>
        <w:t> </w:t>
      </w:r>
      <w:r>
        <w:rPr>
          <w:color w:val="231F20"/>
        </w:rPr>
        <w:t>Questioned</w:t>
      </w:r>
      <w:r>
        <w:rPr>
          <w:color w:val="231F20"/>
          <w:spacing w:val="-5"/>
        </w:rPr>
        <w:t> </w:t>
      </w:r>
      <w:r>
        <w:rPr>
          <w:color w:val="231F20"/>
          <w:spacing w:val="-2"/>
        </w:rPr>
        <w:t>Costs</w:t>
      </w:r>
    </w:p>
    <w:p>
      <w:pPr>
        <w:pStyle w:val="BodyText"/>
        <w:spacing w:line="30" w:lineRule="exact"/>
        <w:ind w:left="870"/>
        <w:rPr>
          <w:sz w:val="3"/>
        </w:rPr>
      </w:pPr>
      <w:r>
        <w:rPr>
          <w:position w:val="0"/>
          <w:sz w:val="3"/>
        </w:rPr>
        <w:pict>
          <v:group style="width:471.05pt;height:1.5pt;mso-position-horizontal-relative:char;mso-position-vertical-relative:line" id="docshapegroup636" coordorigin="0,0" coordsize="9421,30">
            <v:rect style="position:absolute;left:0;top:0;width:9421;height:30" id="docshape637" filled="true" fillcolor="#231f20" stroked="false">
              <v:fill type="solid"/>
            </v:rect>
          </v:group>
        </w:pict>
      </w:r>
      <w:r>
        <w:rPr>
          <w:position w:val="0"/>
          <w:sz w:val="3"/>
        </w:rPr>
      </w:r>
    </w:p>
    <w:p>
      <w:pPr>
        <w:pStyle w:val="BodyText"/>
        <w:rPr>
          <w:b/>
        </w:rPr>
      </w:pPr>
    </w:p>
    <w:p>
      <w:pPr>
        <w:pStyle w:val="BodyText"/>
        <w:spacing w:before="7"/>
        <w:rPr>
          <w:b/>
          <w:sz w:val="22"/>
        </w:rPr>
      </w:pPr>
    </w:p>
    <w:p>
      <w:pPr>
        <w:spacing w:before="0"/>
        <w:ind w:left="900" w:right="1027" w:firstLine="0"/>
        <w:jc w:val="left"/>
        <w:rPr>
          <w:b/>
          <w:sz w:val="20"/>
        </w:rPr>
      </w:pPr>
      <w:r>
        <w:rPr>
          <w:b/>
          <w:color w:val="231F20"/>
          <w:sz w:val="20"/>
        </w:rPr>
        <w:t>2022-003</w:t>
      </w:r>
      <w:r>
        <w:rPr>
          <w:b/>
          <w:color w:val="231F20"/>
          <w:spacing w:val="-4"/>
          <w:sz w:val="20"/>
        </w:rPr>
        <w:t> </w:t>
      </w:r>
      <w:r>
        <w:rPr>
          <w:b/>
          <w:color w:val="231F20"/>
          <w:sz w:val="20"/>
        </w:rPr>
        <w:t>–</w:t>
      </w:r>
      <w:r>
        <w:rPr>
          <w:b/>
          <w:color w:val="231F20"/>
          <w:spacing w:val="-4"/>
          <w:sz w:val="20"/>
        </w:rPr>
        <w:t> </w:t>
      </w:r>
      <w:r>
        <w:rPr>
          <w:b/>
          <w:color w:val="231F20"/>
          <w:sz w:val="20"/>
        </w:rPr>
        <w:t>Special</w:t>
      </w:r>
      <w:r>
        <w:rPr>
          <w:b/>
          <w:color w:val="231F20"/>
          <w:spacing w:val="-4"/>
          <w:sz w:val="20"/>
        </w:rPr>
        <w:t> </w:t>
      </w:r>
      <w:r>
        <w:rPr>
          <w:b/>
          <w:color w:val="231F20"/>
          <w:sz w:val="20"/>
        </w:rPr>
        <w:t>Tests</w:t>
      </w:r>
      <w:r>
        <w:rPr>
          <w:b/>
          <w:color w:val="231F20"/>
          <w:spacing w:val="-5"/>
          <w:sz w:val="20"/>
        </w:rPr>
        <w:t> </w:t>
      </w:r>
      <w:r>
        <w:rPr>
          <w:b/>
          <w:color w:val="231F20"/>
          <w:sz w:val="20"/>
        </w:rPr>
        <w:t>and</w:t>
      </w:r>
      <w:r>
        <w:rPr>
          <w:b/>
          <w:color w:val="231F20"/>
          <w:spacing w:val="-4"/>
          <w:sz w:val="20"/>
        </w:rPr>
        <w:t> </w:t>
      </w:r>
      <w:r>
        <w:rPr>
          <w:b/>
          <w:color w:val="231F20"/>
          <w:sz w:val="20"/>
        </w:rPr>
        <w:t>Provisions</w:t>
      </w:r>
      <w:r>
        <w:rPr>
          <w:b/>
          <w:color w:val="231F20"/>
          <w:spacing w:val="-4"/>
          <w:sz w:val="20"/>
        </w:rPr>
        <w:t> </w:t>
      </w:r>
      <w:r>
        <w:rPr>
          <w:b/>
          <w:color w:val="231F20"/>
          <w:sz w:val="20"/>
        </w:rPr>
        <w:t>–</w:t>
      </w:r>
      <w:r>
        <w:rPr>
          <w:b/>
          <w:color w:val="231F20"/>
          <w:spacing w:val="-4"/>
          <w:sz w:val="20"/>
        </w:rPr>
        <w:t> </w:t>
      </w:r>
      <w:r>
        <w:rPr>
          <w:b/>
          <w:color w:val="231F20"/>
          <w:sz w:val="20"/>
        </w:rPr>
        <w:t>Gramm-Leach-Bliley</w:t>
      </w:r>
      <w:r>
        <w:rPr>
          <w:b/>
          <w:color w:val="231F20"/>
          <w:spacing w:val="-4"/>
          <w:sz w:val="20"/>
        </w:rPr>
        <w:t> </w:t>
      </w:r>
      <w:r>
        <w:rPr>
          <w:b/>
          <w:color w:val="231F20"/>
          <w:sz w:val="20"/>
        </w:rPr>
        <w:t>Act,</w:t>
      </w:r>
      <w:r>
        <w:rPr>
          <w:b/>
          <w:color w:val="231F20"/>
          <w:spacing w:val="-4"/>
          <w:sz w:val="20"/>
        </w:rPr>
        <w:t> </w:t>
      </w:r>
      <w:r>
        <w:rPr>
          <w:b/>
          <w:color w:val="231F20"/>
          <w:sz w:val="20"/>
        </w:rPr>
        <w:t>Significant</w:t>
      </w:r>
      <w:r>
        <w:rPr>
          <w:b/>
          <w:color w:val="231F20"/>
          <w:spacing w:val="-4"/>
          <w:sz w:val="20"/>
        </w:rPr>
        <w:t> </w:t>
      </w:r>
      <w:r>
        <w:rPr>
          <w:b/>
          <w:color w:val="231F20"/>
          <w:sz w:val="20"/>
        </w:rPr>
        <w:t>Deficiency</w:t>
      </w:r>
      <w:r>
        <w:rPr>
          <w:b/>
          <w:color w:val="231F20"/>
          <w:spacing w:val="-4"/>
          <w:sz w:val="20"/>
        </w:rPr>
        <w:t> </w:t>
      </w:r>
      <w:r>
        <w:rPr>
          <w:b/>
          <w:color w:val="231F20"/>
          <w:sz w:val="20"/>
        </w:rPr>
        <w:t>and Instance of Noncompliance (continued)</w:t>
      </w:r>
    </w:p>
    <w:p>
      <w:pPr>
        <w:pStyle w:val="BodyText"/>
        <w:spacing w:before="10"/>
        <w:rPr>
          <w:b/>
          <w:sz w:val="19"/>
        </w:rPr>
      </w:pPr>
    </w:p>
    <w:p>
      <w:pPr>
        <w:pStyle w:val="BodyText"/>
        <w:spacing w:line="276" w:lineRule="auto"/>
        <w:ind w:left="900" w:right="951"/>
      </w:pPr>
      <w:r>
        <w:rPr>
          <w:b/>
          <w:color w:val="231F20"/>
        </w:rPr>
        <w:t>Views of Responsible Officials and Planned Corrective Actions: </w:t>
      </w:r>
      <w:r>
        <w:rPr>
          <w:color w:val="231F20"/>
        </w:rPr>
        <w:t>A risk assessment is currently in process, which will provide a holistic plan that includes Gramm-Leach-Bliley Act requirements. This assessment is scheduled for completion by December 2022, as committed in the fiscal year 2021 audit response. It is currently on track for that completion date. Once the assessment is completed, a technical suitability evaluation will be conducted to provide the most appropriate technical solutions to meet the overall</w:t>
      </w:r>
      <w:r>
        <w:rPr>
          <w:color w:val="231F20"/>
          <w:spacing w:val="-4"/>
        </w:rPr>
        <w:t> </w:t>
      </w:r>
      <w:r>
        <w:rPr>
          <w:color w:val="231F20"/>
        </w:rPr>
        <w:t>needs</w:t>
      </w:r>
      <w:r>
        <w:rPr>
          <w:color w:val="231F20"/>
          <w:spacing w:val="-4"/>
        </w:rPr>
        <w:t> </w:t>
      </w:r>
      <w:r>
        <w:rPr>
          <w:color w:val="231F20"/>
        </w:rPr>
        <w:t>based</w:t>
      </w:r>
      <w:r>
        <w:rPr>
          <w:color w:val="231F20"/>
          <w:spacing w:val="-4"/>
        </w:rPr>
        <w:t> </w:t>
      </w:r>
      <w:r>
        <w:rPr>
          <w:color w:val="231F20"/>
        </w:rPr>
        <w:t>on</w:t>
      </w:r>
      <w:r>
        <w:rPr>
          <w:color w:val="231F20"/>
          <w:spacing w:val="-4"/>
        </w:rPr>
        <w:t> </w:t>
      </w:r>
      <w:r>
        <w:rPr>
          <w:color w:val="231F20"/>
        </w:rPr>
        <w:t>the</w:t>
      </w:r>
      <w:r>
        <w:rPr>
          <w:color w:val="231F20"/>
          <w:spacing w:val="-2"/>
        </w:rPr>
        <w:t> </w:t>
      </w:r>
      <w:r>
        <w:rPr>
          <w:color w:val="231F20"/>
        </w:rPr>
        <w:t>assessment</w:t>
      </w:r>
      <w:r>
        <w:rPr>
          <w:color w:val="231F20"/>
          <w:spacing w:val="-4"/>
        </w:rPr>
        <w:t> </w:t>
      </w:r>
      <w:r>
        <w:rPr>
          <w:color w:val="231F20"/>
        </w:rPr>
        <w:t>findings/determinations.</w:t>
      </w:r>
      <w:r>
        <w:rPr>
          <w:color w:val="231F20"/>
          <w:spacing w:val="-4"/>
        </w:rPr>
        <w:t> </w:t>
      </w:r>
      <w:r>
        <w:rPr>
          <w:color w:val="231F20"/>
        </w:rPr>
        <w:t>This</w:t>
      </w:r>
      <w:r>
        <w:rPr>
          <w:color w:val="231F20"/>
          <w:spacing w:val="-4"/>
        </w:rPr>
        <w:t> </w:t>
      </w:r>
      <w:r>
        <w:rPr>
          <w:color w:val="231F20"/>
        </w:rPr>
        <w:t>will</w:t>
      </w:r>
      <w:r>
        <w:rPr>
          <w:color w:val="231F20"/>
          <w:spacing w:val="-4"/>
        </w:rPr>
        <w:t> </w:t>
      </w:r>
      <w:r>
        <w:rPr>
          <w:color w:val="231F20"/>
        </w:rPr>
        <w:t>address</w:t>
      </w:r>
      <w:r>
        <w:rPr>
          <w:color w:val="231F20"/>
          <w:spacing w:val="-4"/>
        </w:rPr>
        <w:t> </w:t>
      </w:r>
      <w:r>
        <w:rPr>
          <w:color w:val="231F20"/>
        </w:rPr>
        <w:t>the</w:t>
      </w:r>
      <w:r>
        <w:rPr>
          <w:color w:val="231F20"/>
          <w:spacing w:val="-4"/>
        </w:rPr>
        <w:t> </w:t>
      </w:r>
      <w:r>
        <w:rPr>
          <w:color w:val="231F20"/>
        </w:rPr>
        <w:t>current</w:t>
      </w:r>
      <w:r>
        <w:rPr>
          <w:color w:val="231F20"/>
          <w:spacing w:val="-4"/>
        </w:rPr>
        <w:t> </w:t>
      </w:r>
      <w:r>
        <w:rPr>
          <w:color w:val="231F20"/>
        </w:rPr>
        <w:t>deficiencies and control gaps.</w:t>
      </w:r>
    </w:p>
    <w:p>
      <w:pPr>
        <w:pStyle w:val="BodyText"/>
        <w:rPr>
          <w:sz w:val="23"/>
        </w:rPr>
      </w:pPr>
    </w:p>
    <w:p>
      <w:pPr>
        <w:spacing w:before="0"/>
        <w:ind w:left="900" w:right="0" w:firstLine="0"/>
        <w:jc w:val="left"/>
        <w:rPr>
          <w:sz w:val="20"/>
        </w:rPr>
      </w:pPr>
      <w:r>
        <w:rPr>
          <w:b/>
          <w:color w:val="231F20"/>
          <w:sz w:val="20"/>
        </w:rPr>
        <w:t>Responsible</w:t>
      </w:r>
      <w:r>
        <w:rPr>
          <w:b/>
          <w:color w:val="231F20"/>
          <w:spacing w:val="-10"/>
          <w:sz w:val="20"/>
        </w:rPr>
        <w:t> </w:t>
      </w:r>
      <w:r>
        <w:rPr>
          <w:b/>
          <w:color w:val="231F20"/>
          <w:sz w:val="20"/>
        </w:rPr>
        <w:t>Person:</w:t>
      </w:r>
      <w:r>
        <w:rPr>
          <w:b/>
          <w:color w:val="231F20"/>
          <w:spacing w:val="-6"/>
          <w:sz w:val="20"/>
        </w:rPr>
        <w:t> </w:t>
      </w:r>
      <w:r>
        <w:rPr>
          <w:color w:val="231F20"/>
          <w:sz w:val="20"/>
        </w:rPr>
        <w:t>Director</w:t>
      </w:r>
      <w:r>
        <w:rPr>
          <w:color w:val="231F20"/>
          <w:spacing w:val="-6"/>
          <w:sz w:val="20"/>
        </w:rPr>
        <w:t> </w:t>
      </w:r>
      <w:r>
        <w:rPr>
          <w:color w:val="231F20"/>
          <w:sz w:val="20"/>
        </w:rPr>
        <w:t>of</w:t>
      </w:r>
      <w:r>
        <w:rPr>
          <w:color w:val="231F20"/>
          <w:spacing w:val="-6"/>
          <w:sz w:val="20"/>
        </w:rPr>
        <w:t> </w:t>
      </w:r>
      <w:r>
        <w:rPr>
          <w:color w:val="231F20"/>
          <w:sz w:val="20"/>
        </w:rPr>
        <w:t>Information</w:t>
      </w:r>
      <w:r>
        <w:rPr>
          <w:color w:val="231F20"/>
          <w:spacing w:val="-6"/>
          <w:sz w:val="20"/>
        </w:rPr>
        <w:t> </w:t>
      </w:r>
      <w:r>
        <w:rPr>
          <w:color w:val="231F20"/>
          <w:sz w:val="20"/>
        </w:rPr>
        <w:t>Technology</w:t>
      </w:r>
      <w:r>
        <w:rPr>
          <w:color w:val="231F20"/>
          <w:spacing w:val="-6"/>
          <w:sz w:val="20"/>
        </w:rPr>
        <w:t> </w:t>
      </w:r>
      <w:r>
        <w:rPr>
          <w:color w:val="231F20"/>
          <w:sz w:val="20"/>
        </w:rPr>
        <w:t>and</w:t>
      </w:r>
      <w:r>
        <w:rPr>
          <w:color w:val="231F20"/>
          <w:spacing w:val="-6"/>
          <w:sz w:val="20"/>
        </w:rPr>
        <w:t> </w:t>
      </w:r>
      <w:r>
        <w:rPr>
          <w:color w:val="231F20"/>
          <w:spacing w:val="-2"/>
          <w:sz w:val="20"/>
        </w:rPr>
        <w:t>Communications</w:t>
      </w:r>
    </w:p>
    <w:p>
      <w:pPr>
        <w:spacing w:after="0"/>
        <w:jc w:val="left"/>
        <w:rPr>
          <w:sz w:val="20"/>
        </w:rPr>
        <w:sectPr>
          <w:pgSz w:w="12240" w:h="15840"/>
          <w:pgMar w:header="850" w:footer="1097" w:top="1300" w:bottom="1280" w:left="540" w:right="500"/>
        </w:sectPr>
      </w:pPr>
    </w:p>
    <w:p>
      <w:pPr>
        <w:pStyle w:val="BodyText"/>
      </w:pPr>
    </w:p>
    <w:p>
      <w:pPr>
        <w:pStyle w:val="BodyText"/>
        <w:spacing w:before="6"/>
        <w:rPr>
          <w:sz w:val="22"/>
        </w:rPr>
      </w:pPr>
    </w:p>
    <w:p>
      <w:pPr>
        <w:pStyle w:val="BodyText"/>
        <w:spacing w:line="30" w:lineRule="exact"/>
        <w:ind w:left="870"/>
        <w:rPr>
          <w:sz w:val="3"/>
        </w:rPr>
      </w:pPr>
      <w:r>
        <w:rPr>
          <w:position w:val="0"/>
          <w:sz w:val="3"/>
        </w:rPr>
        <w:pict>
          <v:group style="width:471.05pt;height:1.5pt;mso-position-horizontal-relative:char;mso-position-vertical-relative:line" id="docshapegroup642" coordorigin="0,0" coordsize="9421,30">
            <v:rect style="position:absolute;left:0;top:0;width:9421;height:30" id="docshape643" filled="true" fillcolor="#231f20" stroked="false">
              <v:fill type="solid"/>
            </v:rect>
          </v:group>
        </w:pict>
      </w:r>
      <w:r>
        <w:rPr>
          <w:position w:val="0"/>
          <w:sz w:val="3"/>
        </w:rPr>
      </w:r>
    </w:p>
    <w:p>
      <w:pPr>
        <w:pStyle w:val="Heading4"/>
        <w:spacing w:before="19"/>
        <w:ind w:left="0" w:right="41"/>
        <w:jc w:val="center"/>
      </w:pPr>
      <w:r>
        <w:rPr/>
        <w:pict>
          <v:rect style="position:absolute;margin-left:70.5pt;margin-top:14.829892pt;width:471.001pt;height:1.5pt;mso-position-horizontal-relative:page;mso-position-vertical-relative:paragraph;z-index:-15581696;mso-wrap-distance-left:0;mso-wrap-distance-right:0" id="docshape644" filled="true" fillcolor="#231f20" stroked="false">
            <v:fill type="solid"/>
            <w10:wrap type="topAndBottom"/>
          </v:rect>
        </w:pict>
      </w:r>
      <w:r>
        <w:rPr>
          <w:color w:val="231F20"/>
        </w:rPr>
        <w:t>Section</w:t>
      </w:r>
      <w:r>
        <w:rPr>
          <w:color w:val="231F20"/>
          <w:spacing w:val="-7"/>
        </w:rPr>
        <w:t> </w:t>
      </w:r>
      <w:r>
        <w:rPr>
          <w:color w:val="231F20"/>
        </w:rPr>
        <w:t>IV</w:t>
      </w:r>
      <w:r>
        <w:rPr>
          <w:color w:val="231F20"/>
          <w:spacing w:val="-4"/>
        </w:rPr>
        <w:t> </w:t>
      </w:r>
      <w:r>
        <w:rPr>
          <w:color w:val="231F20"/>
        </w:rPr>
        <w:t>–</w:t>
      </w:r>
      <w:r>
        <w:rPr>
          <w:color w:val="231F20"/>
          <w:spacing w:val="-4"/>
        </w:rPr>
        <w:t> </w:t>
      </w:r>
      <w:r>
        <w:rPr>
          <w:color w:val="231F20"/>
        </w:rPr>
        <w:t>Other</w:t>
      </w:r>
      <w:r>
        <w:rPr>
          <w:color w:val="231F20"/>
          <w:spacing w:val="-5"/>
        </w:rPr>
        <w:t> </w:t>
      </w:r>
      <w:r>
        <w:rPr>
          <w:color w:val="231F20"/>
        </w:rPr>
        <w:t>Matter</w:t>
      </w:r>
      <w:r>
        <w:rPr>
          <w:color w:val="231F20"/>
          <w:spacing w:val="-5"/>
        </w:rPr>
        <w:t> </w:t>
      </w:r>
      <w:r>
        <w:rPr>
          <w:color w:val="231F20"/>
        </w:rPr>
        <w:t>Findings</w:t>
      </w:r>
      <w:r>
        <w:rPr>
          <w:color w:val="231F20"/>
          <w:spacing w:val="-4"/>
        </w:rPr>
        <w:t> </w:t>
      </w:r>
      <w:r>
        <w:rPr>
          <w:color w:val="231F20"/>
        </w:rPr>
        <w:t>as</w:t>
      </w:r>
      <w:r>
        <w:rPr>
          <w:color w:val="231F20"/>
          <w:spacing w:val="-4"/>
        </w:rPr>
        <w:t> </w:t>
      </w:r>
      <w:r>
        <w:rPr>
          <w:color w:val="231F20"/>
        </w:rPr>
        <w:t>Required</w:t>
      </w:r>
      <w:r>
        <w:rPr>
          <w:color w:val="231F20"/>
          <w:spacing w:val="-4"/>
        </w:rPr>
        <w:t> </w:t>
      </w:r>
      <w:r>
        <w:rPr>
          <w:color w:val="231F20"/>
        </w:rPr>
        <w:t>by</w:t>
      </w:r>
      <w:r>
        <w:rPr>
          <w:color w:val="231F20"/>
          <w:spacing w:val="-6"/>
        </w:rPr>
        <w:t> </w:t>
      </w:r>
      <w:r>
        <w:rPr>
          <w:color w:val="231F20"/>
        </w:rPr>
        <w:t>Section</w:t>
      </w:r>
      <w:r>
        <w:rPr>
          <w:color w:val="231F20"/>
          <w:spacing w:val="-4"/>
        </w:rPr>
        <w:t> </w:t>
      </w:r>
      <w:r>
        <w:rPr>
          <w:color w:val="231F20"/>
        </w:rPr>
        <w:t>12-6-5</w:t>
      </w:r>
      <w:r>
        <w:rPr>
          <w:color w:val="231F20"/>
          <w:spacing w:val="-4"/>
        </w:rPr>
        <w:t> </w:t>
      </w:r>
      <w:r>
        <w:rPr>
          <w:color w:val="231F20"/>
        </w:rPr>
        <w:t>NMSA</w:t>
      </w:r>
      <w:r>
        <w:rPr>
          <w:color w:val="231F20"/>
          <w:spacing w:val="-3"/>
        </w:rPr>
        <w:t> </w:t>
      </w:r>
      <w:r>
        <w:rPr>
          <w:color w:val="231F20"/>
          <w:spacing w:val="-4"/>
        </w:rPr>
        <w:t>1978</w:t>
      </w:r>
    </w:p>
    <w:p>
      <w:pPr>
        <w:pStyle w:val="BodyText"/>
        <w:rPr>
          <w:b/>
        </w:rPr>
      </w:pPr>
    </w:p>
    <w:p>
      <w:pPr>
        <w:pStyle w:val="BodyText"/>
        <w:spacing w:before="1"/>
        <w:rPr>
          <w:b/>
        </w:rPr>
      </w:pPr>
    </w:p>
    <w:p>
      <w:pPr>
        <w:spacing w:line="271" w:lineRule="auto" w:before="0"/>
        <w:ind w:left="900" w:right="1027" w:firstLine="0"/>
        <w:jc w:val="left"/>
        <w:rPr>
          <w:b/>
          <w:sz w:val="20"/>
        </w:rPr>
      </w:pPr>
      <w:r>
        <w:rPr>
          <w:b/>
          <w:color w:val="231F20"/>
          <w:sz w:val="20"/>
        </w:rPr>
        <w:t>2022-004</w:t>
      </w:r>
      <w:r>
        <w:rPr>
          <w:b/>
          <w:color w:val="231F20"/>
          <w:spacing w:val="-4"/>
          <w:sz w:val="20"/>
        </w:rPr>
        <w:t> </w:t>
      </w:r>
      <w:r>
        <w:rPr>
          <w:b/>
          <w:color w:val="231F20"/>
          <w:sz w:val="20"/>
        </w:rPr>
        <w:t>(2021-004)</w:t>
      </w:r>
      <w:r>
        <w:rPr>
          <w:b/>
          <w:color w:val="231F20"/>
          <w:spacing w:val="-3"/>
          <w:sz w:val="20"/>
        </w:rPr>
        <w:t> </w:t>
      </w:r>
      <w:r>
        <w:rPr>
          <w:b/>
          <w:color w:val="231F20"/>
          <w:sz w:val="20"/>
        </w:rPr>
        <w:t>–</w:t>
      </w:r>
      <w:r>
        <w:rPr>
          <w:b/>
          <w:color w:val="231F20"/>
          <w:spacing w:val="-4"/>
          <w:sz w:val="20"/>
        </w:rPr>
        <w:t> </w:t>
      </w:r>
      <w:r>
        <w:rPr>
          <w:b/>
          <w:color w:val="231F20"/>
          <w:sz w:val="20"/>
        </w:rPr>
        <w:t>Information</w:t>
      </w:r>
      <w:r>
        <w:rPr>
          <w:b/>
          <w:color w:val="231F20"/>
          <w:spacing w:val="-5"/>
          <w:sz w:val="20"/>
        </w:rPr>
        <w:t> </w:t>
      </w:r>
      <w:r>
        <w:rPr>
          <w:b/>
          <w:color w:val="231F20"/>
          <w:sz w:val="20"/>
        </w:rPr>
        <w:t>Technology</w:t>
      </w:r>
      <w:r>
        <w:rPr>
          <w:b/>
          <w:color w:val="231F20"/>
          <w:spacing w:val="-4"/>
          <w:sz w:val="20"/>
        </w:rPr>
        <w:t> </w:t>
      </w:r>
      <w:r>
        <w:rPr>
          <w:b/>
          <w:color w:val="231F20"/>
          <w:sz w:val="20"/>
        </w:rPr>
        <w:t>General</w:t>
      </w:r>
      <w:r>
        <w:rPr>
          <w:b/>
          <w:color w:val="231F20"/>
          <w:spacing w:val="-4"/>
          <w:sz w:val="20"/>
        </w:rPr>
        <w:t> </w:t>
      </w:r>
      <w:r>
        <w:rPr>
          <w:b/>
          <w:color w:val="231F20"/>
          <w:sz w:val="20"/>
        </w:rPr>
        <w:t>Controls</w:t>
      </w:r>
      <w:r>
        <w:rPr>
          <w:b/>
          <w:color w:val="231F20"/>
          <w:spacing w:val="-4"/>
          <w:sz w:val="20"/>
        </w:rPr>
        <w:t> </w:t>
      </w:r>
      <w:r>
        <w:rPr>
          <w:b/>
          <w:color w:val="231F20"/>
          <w:sz w:val="20"/>
        </w:rPr>
        <w:t>–</w:t>
      </w:r>
      <w:r>
        <w:rPr>
          <w:b/>
          <w:color w:val="231F20"/>
          <w:spacing w:val="-4"/>
          <w:sz w:val="20"/>
        </w:rPr>
        <w:t> </w:t>
      </w:r>
      <w:r>
        <w:rPr>
          <w:b/>
          <w:color w:val="231F20"/>
          <w:sz w:val="20"/>
        </w:rPr>
        <w:t>Security</w:t>
      </w:r>
      <w:r>
        <w:rPr>
          <w:b/>
          <w:color w:val="231F20"/>
          <w:spacing w:val="-5"/>
          <w:sz w:val="20"/>
        </w:rPr>
        <w:t> </w:t>
      </w:r>
      <w:r>
        <w:rPr>
          <w:b/>
          <w:color w:val="231F20"/>
          <w:sz w:val="20"/>
        </w:rPr>
        <w:t>and</w:t>
      </w:r>
      <w:r>
        <w:rPr>
          <w:b/>
          <w:color w:val="231F20"/>
          <w:spacing w:val="-4"/>
          <w:sz w:val="20"/>
        </w:rPr>
        <w:t> </w:t>
      </w:r>
      <w:r>
        <w:rPr>
          <w:b/>
          <w:color w:val="231F20"/>
          <w:sz w:val="20"/>
        </w:rPr>
        <w:t>Access</w:t>
      </w:r>
      <w:r>
        <w:rPr>
          <w:b/>
          <w:color w:val="231F20"/>
          <w:spacing w:val="-5"/>
          <w:sz w:val="20"/>
        </w:rPr>
        <w:t> </w:t>
      </w:r>
      <w:r>
        <w:rPr>
          <w:b/>
          <w:color w:val="231F20"/>
          <w:sz w:val="20"/>
        </w:rPr>
        <w:t>(Other </w:t>
      </w:r>
      <w:r>
        <w:rPr>
          <w:b/>
          <w:color w:val="231F20"/>
          <w:spacing w:val="-2"/>
          <w:sz w:val="20"/>
        </w:rPr>
        <w:t>Matter)</w:t>
      </w:r>
    </w:p>
    <w:p>
      <w:pPr>
        <w:pStyle w:val="BodyText"/>
        <w:spacing w:before="3"/>
        <w:rPr>
          <w:b/>
          <w:sz w:val="22"/>
        </w:rPr>
      </w:pPr>
    </w:p>
    <w:p>
      <w:pPr>
        <w:pStyle w:val="BodyText"/>
        <w:spacing w:line="276" w:lineRule="auto"/>
        <w:ind w:left="900" w:right="1027"/>
      </w:pPr>
      <w:r>
        <w:rPr>
          <w:b/>
          <w:color w:val="231F20"/>
        </w:rPr>
        <w:t>Condition: </w:t>
      </w:r>
      <w:r>
        <w:rPr>
          <w:color w:val="231F20"/>
        </w:rPr>
        <w:t>During our review of Information Technology (IT) general controls with respect to cybersecurity,</w:t>
      </w:r>
      <w:r>
        <w:rPr>
          <w:color w:val="231F20"/>
          <w:spacing w:val="-3"/>
        </w:rPr>
        <w:t> </w:t>
      </w:r>
      <w:r>
        <w:rPr>
          <w:color w:val="231F20"/>
        </w:rPr>
        <w:t>we</w:t>
      </w:r>
      <w:r>
        <w:rPr>
          <w:color w:val="231F20"/>
          <w:spacing w:val="-3"/>
        </w:rPr>
        <w:t> </w:t>
      </w:r>
      <w:r>
        <w:rPr>
          <w:color w:val="231F20"/>
        </w:rPr>
        <w:t>noted</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does</w:t>
      </w:r>
      <w:r>
        <w:rPr>
          <w:color w:val="231F20"/>
          <w:spacing w:val="-3"/>
        </w:rPr>
        <w:t> </w:t>
      </w:r>
      <w:r>
        <w:rPr>
          <w:color w:val="231F20"/>
        </w:rPr>
        <w:t>not</w:t>
      </w:r>
      <w:r>
        <w:rPr>
          <w:color w:val="231F20"/>
          <w:spacing w:val="-3"/>
        </w:rPr>
        <w:t> </w:t>
      </w:r>
      <w:r>
        <w:rPr>
          <w:color w:val="231F20"/>
        </w:rPr>
        <w:t>have</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cybersecurity</w:t>
      </w:r>
      <w:r>
        <w:rPr>
          <w:color w:val="231F20"/>
          <w:spacing w:val="-3"/>
        </w:rPr>
        <w:t> </w:t>
      </w:r>
      <w:r>
        <w:rPr>
          <w:color w:val="231F20"/>
        </w:rPr>
        <w:t>process</w:t>
      </w:r>
      <w:r>
        <w:rPr>
          <w:color w:val="231F20"/>
          <w:spacing w:val="-3"/>
        </w:rPr>
        <w:t> </w:t>
      </w:r>
      <w:r>
        <w:rPr>
          <w:color w:val="231F20"/>
        </w:rPr>
        <w:t>and</w:t>
      </w:r>
      <w:r>
        <w:rPr>
          <w:color w:val="231F20"/>
          <w:spacing w:val="-4"/>
        </w:rPr>
        <w:t> </w:t>
      </w:r>
      <w:r>
        <w:rPr>
          <w:color w:val="231F20"/>
        </w:rPr>
        <w:t>procedure</w:t>
      </w:r>
      <w:r>
        <w:rPr>
          <w:color w:val="231F20"/>
          <w:spacing w:val="-3"/>
        </w:rPr>
        <w:t> </w:t>
      </w:r>
      <w:r>
        <w:rPr>
          <w:color w:val="231F20"/>
        </w:rPr>
        <w:t>in </w:t>
      </w:r>
      <w:r>
        <w:rPr>
          <w:color w:val="231F20"/>
          <w:spacing w:val="-2"/>
        </w:rPr>
        <w:t>place:</w:t>
      </w:r>
    </w:p>
    <w:p>
      <w:pPr>
        <w:pStyle w:val="ListParagraph"/>
        <w:numPr>
          <w:ilvl w:val="0"/>
          <w:numId w:val="17"/>
        </w:numPr>
        <w:tabs>
          <w:tab w:pos="1619" w:val="left" w:leader="none"/>
          <w:tab w:pos="1621" w:val="left" w:leader="none"/>
        </w:tabs>
        <w:spacing w:line="271" w:lineRule="auto" w:before="120" w:after="0"/>
        <w:ind w:left="1619" w:right="2033" w:hanging="360"/>
        <w:jc w:val="left"/>
        <w:rPr>
          <w:sz w:val="20"/>
        </w:rPr>
      </w:pPr>
      <w:r>
        <w:rPr>
          <w:color w:val="231F20"/>
          <w:sz w:val="20"/>
        </w:rPr>
        <w:t>Management</w:t>
      </w:r>
      <w:r>
        <w:rPr>
          <w:color w:val="231F20"/>
          <w:spacing w:val="-4"/>
          <w:sz w:val="20"/>
        </w:rPr>
        <w:t> </w:t>
      </w:r>
      <w:r>
        <w:rPr>
          <w:color w:val="231F20"/>
          <w:sz w:val="20"/>
        </w:rPr>
        <w:t>has</w:t>
      </w:r>
      <w:r>
        <w:rPr>
          <w:color w:val="231F20"/>
          <w:spacing w:val="-4"/>
          <w:sz w:val="20"/>
        </w:rPr>
        <w:t> </w:t>
      </w:r>
      <w:r>
        <w:rPr>
          <w:color w:val="231F20"/>
          <w:sz w:val="20"/>
        </w:rPr>
        <w:t>not</w:t>
      </w:r>
      <w:r>
        <w:rPr>
          <w:color w:val="231F20"/>
          <w:spacing w:val="-4"/>
          <w:sz w:val="20"/>
        </w:rPr>
        <w:t> </w:t>
      </w:r>
      <w:r>
        <w:rPr>
          <w:color w:val="231F20"/>
          <w:sz w:val="20"/>
        </w:rPr>
        <w:t>secured</w:t>
      </w:r>
      <w:r>
        <w:rPr>
          <w:color w:val="231F20"/>
          <w:spacing w:val="-4"/>
          <w:sz w:val="20"/>
        </w:rPr>
        <w:t> </w:t>
      </w:r>
      <w:r>
        <w:rPr>
          <w:color w:val="231F20"/>
          <w:sz w:val="20"/>
        </w:rPr>
        <w:t>employee</w:t>
      </w:r>
      <w:r>
        <w:rPr>
          <w:color w:val="231F20"/>
          <w:spacing w:val="-4"/>
          <w:sz w:val="20"/>
        </w:rPr>
        <w:t> </w:t>
      </w:r>
      <w:r>
        <w:rPr>
          <w:color w:val="231F20"/>
          <w:sz w:val="20"/>
        </w:rPr>
        <w:t>mobile</w:t>
      </w:r>
      <w:r>
        <w:rPr>
          <w:color w:val="231F20"/>
          <w:spacing w:val="-4"/>
          <w:sz w:val="20"/>
        </w:rPr>
        <w:t> </w:t>
      </w:r>
      <w:r>
        <w:rPr>
          <w:color w:val="231F20"/>
          <w:sz w:val="20"/>
        </w:rPr>
        <w:t>devices,</w:t>
      </w:r>
      <w:r>
        <w:rPr>
          <w:color w:val="231F20"/>
          <w:spacing w:val="-4"/>
          <w:sz w:val="20"/>
        </w:rPr>
        <w:t> </w:t>
      </w:r>
      <w:r>
        <w:rPr>
          <w:color w:val="231F20"/>
          <w:sz w:val="20"/>
        </w:rPr>
        <w:t>PCs,</w:t>
      </w:r>
      <w:r>
        <w:rPr>
          <w:color w:val="231F20"/>
          <w:spacing w:val="-4"/>
          <w:sz w:val="20"/>
        </w:rPr>
        <w:t> </w:t>
      </w:r>
      <w:r>
        <w:rPr>
          <w:color w:val="231F20"/>
          <w:sz w:val="20"/>
        </w:rPr>
        <w:t>etc.,</w:t>
      </w:r>
      <w:r>
        <w:rPr>
          <w:color w:val="231F20"/>
          <w:spacing w:val="-4"/>
          <w:sz w:val="20"/>
        </w:rPr>
        <w:t> </w:t>
      </w:r>
      <w:r>
        <w:rPr>
          <w:color w:val="231F20"/>
          <w:sz w:val="20"/>
        </w:rPr>
        <w:t>with</w:t>
      </w:r>
      <w:r>
        <w:rPr>
          <w:color w:val="231F20"/>
          <w:spacing w:val="-4"/>
          <w:sz w:val="20"/>
        </w:rPr>
        <w:t> </w:t>
      </w:r>
      <w:r>
        <w:rPr>
          <w:color w:val="231F20"/>
          <w:sz w:val="20"/>
        </w:rPr>
        <w:t>encryption</w:t>
      </w:r>
      <w:r>
        <w:rPr>
          <w:color w:val="231F20"/>
          <w:spacing w:val="-4"/>
          <w:sz w:val="20"/>
        </w:rPr>
        <w:t> </w:t>
      </w:r>
      <w:r>
        <w:rPr>
          <w:color w:val="231F20"/>
          <w:sz w:val="20"/>
        </w:rPr>
        <w:t>or implemented a tool to remotely wipe organizational information.</w:t>
      </w:r>
    </w:p>
    <w:p>
      <w:pPr>
        <w:pStyle w:val="ListParagraph"/>
        <w:numPr>
          <w:ilvl w:val="0"/>
          <w:numId w:val="17"/>
        </w:numPr>
        <w:tabs>
          <w:tab w:pos="1619" w:val="left" w:leader="none"/>
          <w:tab w:pos="1621" w:val="left" w:leader="none"/>
        </w:tabs>
        <w:spacing w:line="240" w:lineRule="auto" w:before="6" w:after="0"/>
        <w:ind w:left="1620" w:right="0" w:hanging="361"/>
        <w:jc w:val="left"/>
        <w:rPr>
          <w:sz w:val="20"/>
        </w:rPr>
      </w:pPr>
      <w:r>
        <w:rPr>
          <w:color w:val="231F20"/>
          <w:sz w:val="20"/>
        </w:rPr>
        <w:t>Management</w:t>
      </w:r>
      <w:r>
        <w:rPr>
          <w:color w:val="231F20"/>
          <w:spacing w:val="-6"/>
          <w:sz w:val="20"/>
        </w:rPr>
        <w:t> </w:t>
      </w:r>
      <w:r>
        <w:rPr>
          <w:color w:val="231F20"/>
          <w:sz w:val="20"/>
        </w:rPr>
        <w:t>has</w:t>
      </w:r>
      <w:r>
        <w:rPr>
          <w:color w:val="231F20"/>
          <w:spacing w:val="-5"/>
          <w:sz w:val="20"/>
        </w:rPr>
        <w:t> </w:t>
      </w:r>
      <w:r>
        <w:rPr>
          <w:color w:val="231F20"/>
          <w:sz w:val="20"/>
        </w:rPr>
        <w:t>not</w:t>
      </w:r>
      <w:r>
        <w:rPr>
          <w:color w:val="231F20"/>
          <w:spacing w:val="-6"/>
          <w:sz w:val="20"/>
        </w:rPr>
        <w:t> </w:t>
      </w:r>
      <w:r>
        <w:rPr>
          <w:color w:val="231F20"/>
          <w:sz w:val="20"/>
        </w:rPr>
        <w:t>drafted</w:t>
      </w:r>
      <w:r>
        <w:rPr>
          <w:color w:val="231F20"/>
          <w:spacing w:val="-5"/>
          <w:sz w:val="20"/>
        </w:rPr>
        <w:t> </w:t>
      </w:r>
      <w:r>
        <w:rPr>
          <w:color w:val="231F20"/>
          <w:sz w:val="20"/>
        </w:rPr>
        <w:t>a</w:t>
      </w:r>
      <w:r>
        <w:rPr>
          <w:color w:val="231F20"/>
          <w:spacing w:val="-6"/>
          <w:sz w:val="20"/>
        </w:rPr>
        <w:t> </w:t>
      </w:r>
      <w:r>
        <w:rPr>
          <w:color w:val="231F20"/>
          <w:sz w:val="20"/>
        </w:rPr>
        <w:t>formal</w:t>
      </w:r>
      <w:r>
        <w:rPr>
          <w:color w:val="231F20"/>
          <w:spacing w:val="-5"/>
          <w:sz w:val="20"/>
        </w:rPr>
        <w:t> </w:t>
      </w:r>
      <w:r>
        <w:rPr>
          <w:color w:val="231F20"/>
          <w:sz w:val="20"/>
        </w:rPr>
        <w:t>cyber</w:t>
      </w:r>
      <w:r>
        <w:rPr>
          <w:color w:val="231F20"/>
          <w:spacing w:val="-6"/>
          <w:sz w:val="20"/>
        </w:rPr>
        <w:t> </w:t>
      </w:r>
      <w:r>
        <w:rPr>
          <w:color w:val="231F20"/>
          <w:sz w:val="20"/>
        </w:rPr>
        <w:t>security</w:t>
      </w:r>
      <w:r>
        <w:rPr>
          <w:color w:val="231F20"/>
          <w:spacing w:val="-4"/>
          <w:sz w:val="20"/>
        </w:rPr>
        <w:t> </w:t>
      </w:r>
      <w:r>
        <w:rPr>
          <w:color w:val="231F20"/>
          <w:spacing w:val="-2"/>
          <w:sz w:val="20"/>
        </w:rPr>
        <w:t>policy.</w:t>
      </w:r>
    </w:p>
    <w:p>
      <w:pPr>
        <w:pStyle w:val="ListParagraph"/>
        <w:numPr>
          <w:ilvl w:val="0"/>
          <w:numId w:val="17"/>
        </w:numPr>
        <w:tabs>
          <w:tab w:pos="1619" w:val="left" w:leader="none"/>
          <w:tab w:pos="1621" w:val="left" w:leader="none"/>
        </w:tabs>
        <w:spacing w:line="240" w:lineRule="auto" w:before="34" w:after="0"/>
        <w:ind w:left="1620" w:right="0" w:hanging="361"/>
        <w:jc w:val="left"/>
        <w:rPr>
          <w:sz w:val="20"/>
        </w:rPr>
      </w:pPr>
      <w:r>
        <w:rPr>
          <w:color w:val="231F20"/>
          <w:sz w:val="20"/>
        </w:rPr>
        <w:t>Management</w:t>
      </w:r>
      <w:r>
        <w:rPr>
          <w:color w:val="231F20"/>
          <w:spacing w:val="-6"/>
          <w:sz w:val="20"/>
        </w:rPr>
        <w:t> </w:t>
      </w:r>
      <w:r>
        <w:rPr>
          <w:color w:val="231F20"/>
          <w:sz w:val="20"/>
        </w:rPr>
        <w:t>has</w:t>
      </w:r>
      <w:r>
        <w:rPr>
          <w:color w:val="231F20"/>
          <w:spacing w:val="-3"/>
          <w:sz w:val="20"/>
        </w:rPr>
        <w:t> </w:t>
      </w:r>
      <w:r>
        <w:rPr>
          <w:color w:val="231F20"/>
          <w:sz w:val="20"/>
        </w:rPr>
        <w:t>not</w:t>
      </w:r>
      <w:r>
        <w:rPr>
          <w:color w:val="231F20"/>
          <w:spacing w:val="-4"/>
          <w:sz w:val="20"/>
        </w:rPr>
        <w:t> </w:t>
      </w:r>
      <w:r>
        <w:rPr>
          <w:color w:val="231F20"/>
          <w:sz w:val="20"/>
        </w:rPr>
        <w:t>performed</w:t>
      </w:r>
      <w:r>
        <w:rPr>
          <w:color w:val="231F20"/>
          <w:spacing w:val="-3"/>
          <w:sz w:val="20"/>
        </w:rPr>
        <w:t> </w:t>
      </w:r>
      <w:r>
        <w:rPr>
          <w:color w:val="231F20"/>
          <w:sz w:val="20"/>
        </w:rPr>
        <w:t>a</w:t>
      </w:r>
      <w:r>
        <w:rPr>
          <w:color w:val="231F20"/>
          <w:spacing w:val="-4"/>
          <w:sz w:val="20"/>
        </w:rPr>
        <w:t> </w:t>
      </w:r>
      <w:r>
        <w:rPr>
          <w:color w:val="231F20"/>
          <w:sz w:val="20"/>
        </w:rPr>
        <w:t>formal</w:t>
      </w:r>
      <w:r>
        <w:rPr>
          <w:color w:val="231F20"/>
          <w:spacing w:val="-3"/>
          <w:sz w:val="20"/>
        </w:rPr>
        <w:t> </w:t>
      </w:r>
      <w:r>
        <w:rPr>
          <w:color w:val="231F20"/>
          <w:sz w:val="20"/>
        </w:rPr>
        <w:t>risk</w:t>
      </w:r>
      <w:r>
        <w:rPr>
          <w:color w:val="231F20"/>
          <w:spacing w:val="-4"/>
          <w:sz w:val="20"/>
        </w:rPr>
        <w:t> </w:t>
      </w:r>
      <w:r>
        <w:rPr>
          <w:color w:val="231F20"/>
          <w:sz w:val="20"/>
        </w:rPr>
        <w:t>assessment</w:t>
      </w:r>
      <w:r>
        <w:rPr>
          <w:color w:val="231F20"/>
          <w:spacing w:val="-3"/>
          <w:sz w:val="20"/>
        </w:rPr>
        <w:t> </w:t>
      </w:r>
      <w:r>
        <w:rPr>
          <w:color w:val="231F20"/>
          <w:sz w:val="20"/>
        </w:rPr>
        <w:t>to</w:t>
      </w:r>
      <w:r>
        <w:rPr>
          <w:color w:val="231F20"/>
          <w:spacing w:val="-4"/>
          <w:sz w:val="20"/>
        </w:rPr>
        <w:t> </w:t>
      </w:r>
      <w:r>
        <w:rPr>
          <w:color w:val="231F20"/>
          <w:sz w:val="20"/>
        </w:rPr>
        <w:t>identify</w:t>
      </w:r>
      <w:r>
        <w:rPr>
          <w:color w:val="231F20"/>
          <w:spacing w:val="-3"/>
          <w:sz w:val="20"/>
        </w:rPr>
        <w:t> </w:t>
      </w:r>
      <w:r>
        <w:rPr>
          <w:color w:val="231F20"/>
          <w:sz w:val="20"/>
        </w:rPr>
        <w:t>cyber</w:t>
      </w:r>
      <w:r>
        <w:rPr>
          <w:color w:val="231F20"/>
          <w:spacing w:val="-3"/>
          <w:sz w:val="20"/>
        </w:rPr>
        <w:t> </w:t>
      </w:r>
      <w:r>
        <w:rPr>
          <w:color w:val="231F20"/>
          <w:sz w:val="20"/>
        </w:rPr>
        <w:t>security</w:t>
      </w:r>
      <w:r>
        <w:rPr>
          <w:color w:val="231F20"/>
          <w:spacing w:val="-3"/>
          <w:sz w:val="20"/>
        </w:rPr>
        <w:t> </w:t>
      </w:r>
      <w:r>
        <w:rPr>
          <w:color w:val="231F20"/>
          <w:spacing w:val="-2"/>
          <w:sz w:val="20"/>
        </w:rPr>
        <w:t>risk.</w:t>
      </w:r>
    </w:p>
    <w:p>
      <w:pPr>
        <w:pStyle w:val="ListParagraph"/>
        <w:numPr>
          <w:ilvl w:val="0"/>
          <w:numId w:val="17"/>
        </w:numPr>
        <w:tabs>
          <w:tab w:pos="1619" w:val="left" w:leader="none"/>
          <w:tab w:pos="1621" w:val="left" w:leader="none"/>
        </w:tabs>
        <w:spacing w:line="271" w:lineRule="auto" w:before="32" w:after="0"/>
        <w:ind w:left="1619" w:right="1055" w:hanging="360"/>
        <w:jc w:val="left"/>
        <w:rPr>
          <w:sz w:val="20"/>
        </w:rPr>
      </w:pPr>
      <w:r>
        <w:rPr>
          <w:color w:val="231F20"/>
          <w:sz w:val="20"/>
        </w:rPr>
        <w:t>Management</w:t>
      </w:r>
      <w:r>
        <w:rPr>
          <w:color w:val="231F20"/>
          <w:spacing w:val="-4"/>
          <w:sz w:val="20"/>
        </w:rPr>
        <w:t> </w:t>
      </w:r>
      <w:r>
        <w:rPr>
          <w:color w:val="231F20"/>
          <w:sz w:val="20"/>
        </w:rPr>
        <w:t>does</w:t>
      </w:r>
      <w:r>
        <w:rPr>
          <w:color w:val="231F20"/>
          <w:spacing w:val="-4"/>
          <w:sz w:val="20"/>
        </w:rPr>
        <w:t> </w:t>
      </w:r>
      <w:r>
        <w:rPr>
          <w:color w:val="231F20"/>
          <w:sz w:val="20"/>
        </w:rPr>
        <w:t>not</w:t>
      </w:r>
      <w:r>
        <w:rPr>
          <w:color w:val="231F20"/>
          <w:spacing w:val="-4"/>
          <w:sz w:val="20"/>
        </w:rPr>
        <w:t> </w:t>
      </w:r>
      <w:r>
        <w:rPr>
          <w:color w:val="231F20"/>
          <w:sz w:val="20"/>
        </w:rPr>
        <w:t>have</w:t>
      </w:r>
      <w:r>
        <w:rPr>
          <w:color w:val="231F20"/>
          <w:spacing w:val="-4"/>
          <w:sz w:val="20"/>
        </w:rPr>
        <w:t> </w:t>
      </w:r>
      <w:r>
        <w:rPr>
          <w:color w:val="231F20"/>
          <w:sz w:val="20"/>
        </w:rPr>
        <w:t>tools</w:t>
      </w:r>
      <w:r>
        <w:rPr>
          <w:color w:val="231F20"/>
          <w:spacing w:val="-4"/>
          <w:sz w:val="20"/>
        </w:rPr>
        <w:t> </w:t>
      </w:r>
      <w:r>
        <w:rPr>
          <w:color w:val="231F20"/>
          <w:sz w:val="20"/>
        </w:rPr>
        <w:t>to</w:t>
      </w:r>
      <w:r>
        <w:rPr>
          <w:color w:val="231F20"/>
          <w:spacing w:val="-4"/>
          <w:sz w:val="20"/>
        </w:rPr>
        <w:t> </w:t>
      </w:r>
      <w:r>
        <w:rPr>
          <w:color w:val="231F20"/>
          <w:sz w:val="20"/>
        </w:rPr>
        <w:t>disable</w:t>
      </w:r>
      <w:r>
        <w:rPr>
          <w:color w:val="231F20"/>
          <w:spacing w:val="-4"/>
          <w:sz w:val="20"/>
        </w:rPr>
        <w:t> </w:t>
      </w:r>
      <w:r>
        <w:rPr>
          <w:color w:val="231F20"/>
          <w:sz w:val="20"/>
        </w:rPr>
        <w:t>or</w:t>
      </w:r>
      <w:r>
        <w:rPr>
          <w:color w:val="231F20"/>
          <w:spacing w:val="-4"/>
          <w:sz w:val="20"/>
        </w:rPr>
        <w:t> </w:t>
      </w:r>
      <w:r>
        <w:rPr>
          <w:color w:val="231F20"/>
          <w:sz w:val="20"/>
        </w:rPr>
        <w:t>destroy</w:t>
      </w:r>
      <w:r>
        <w:rPr>
          <w:color w:val="231F20"/>
          <w:spacing w:val="-4"/>
          <w:sz w:val="20"/>
        </w:rPr>
        <w:t> </w:t>
      </w:r>
      <w:r>
        <w:rPr>
          <w:color w:val="231F20"/>
          <w:sz w:val="20"/>
        </w:rPr>
        <w:t>information</w:t>
      </w:r>
      <w:r>
        <w:rPr>
          <w:color w:val="231F20"/>
          <w:spacing w:val="-5"/>
          <w:sz w:val="20"/>
        </w:rPr>
        <w:t> </w:t>
      </w:r>
      <w:r>
        <w:rPr>
          <w:color w:val="231F20"/>
          <w:sz w:val="20"/>
        </w:rPr>
        <w:t>remotely</w:t>
      </w:r>
      <w:r>
        <w:rPr>
          <w:color w:val="231F20"/>
          <w:spacing w:val="-3"/>
          <w:sz w:val="20"/>
        </w:rPr>
        <w:t> </w:t>
      </w:r>
      <w:r>
        <w:rPr>
          <w:color w:val="231F20"/>
          <w:sz w:val="20"/>
        </w:rPr>
        <w:t>on</w:t>
      </w:r>
      <w:r>
        <w:rPr>
          <w:color w:val="231F20"/>
          <w:spacing w:val="-4"/>
          <w:sz w:val="20"/>
        </w:rPr>
        <w:t> </w:t>
      </w:r>
      <w:r>
        <w:rPr>
          <w:color w:val="231F20"/>
          <w:sz w:val="20"/>
        </w:rPr>
        <w:t>employee</w:t>
      </w:r>
      <w:r>
        <w:rPr>
          <w:color w:val="231F20"/>
          <w:spacing w:val="-4"/>
          <w:sz w:val="20"/>
        </w:rPr>
        <w:t> </w:t>
      </w:r>
      <w:r>
        <w:rPr>
          <w:color w:val="231F20"/>
          <w:sz w:val="20"/>
        </w:rPr>
        <w:t>mobile devices, laptops, PCs, etc.</w:t>
      </w:r>
    </w:p>
    <w:p>
      <w:pPr>
        <w:pStyle w:val="ListParagraph"/>
        <w:numPr>
          <w:ilvl w:val="0"/>
          <w:numId w:val="17"/>
        </w:numPr>
        <w:tabs>
          <w:tab w:pos="1619" w:val="left" w:leader="none"/>
          <w:tab w:pos="1621" w:val="left" w:leader="none"/>
        </w:tabs>
        <w:spacing w:line="240" w:lineRule="auto" w:before="7" w:after="0"/>
        <w:ind w:left="1620" w:right="0" w:hanging="361"/>
        <w:jc w:val="left"/>
        <w:rPr>
          <w:sz w:val="20"/>
        </w:rPr>
      </w:pPr>
      <w:r>
        <w:rPr>
          <w:color w:val="231F20"/>
          <w:sz w:val="20"/>
        </w:rPr>
        <w:t>Management</w:t>
      </w:r>
      <w:r>
        <w:rPr>
          <w:color w:val="231F20"/>
          <w:spacing w:val="-5"/>
          <w:sz w:val="20"/>
        </w:rPr>
        <w:t> </w:t>
      </w:r>
      <w:r>
        <w:rPr>
          <w:color w:val="231F20"/>
          <w:sz w:val="20"/>
        </w:rPr>
        <w:t>does</w:t>
      </w:r>
      <w:r>
        <w:rPr>
          <w:color w:val="231F20"/>
          <w:spacing w:val="-4"/>
          <w:sz w:val="20"/>
        </w:rPr>
        <w:t> </w:t>
      </w:r>
      <w:r>
        <w:rPr>
          <w:color w:val="231F20"/>
          <w:sz w:val="20"/>
        </w:rPr>
        <w:t>not</w:t>
      </w:r>
      <w:r>
        <w:rPr>
          <w:color w:val="231F20"/>
          <w:spacing w:val="-4"/>
          <w:sz w:val="20"/>
        </w:rPr>
        <w:t> </w:t>
      </w:r>
      <w:r>
        <w:rPr>
          <w:color w:val="231F20"/>
          <w:sz w:val="20"/>
        </w:rPr>
        <w:t>have</w:t>
      </w:r>
      <w:r>
        <w:rPr>
          <w:color w:val="231F20"/>
          <w:spacing w:val="-4"/>
          <w:sz w:val="20"/>
        </w:rPr>
        <w:t> </w:t>
      </w:r>
      <w:r>
        <w:rPr>
          <w:color w:val="231F20"/>
          <w:sz w:val="20"/>
        </w:rPr>
        <w:t>cybersecurity</w:t>
      </w:r>
      <w:r>
        <w:rPr>
          <w:color w:val="231F20"/>
          <w:spacing w:val="-4"/>
          <w:sz w:val="20"/>
        </w:rPr>
        <w:t> </w:t>
      </w:r>
      <w:r>
        <w:rPr>
          <w:color w:val="231F20"/>
          <w:spacing w:val="-2"/>
          <w:sz w:val="20"/>
        </w:rPr>
        <w:t>insurance.</w:t>
      </w:r>
    </w:p>
    <w:p>
      <w:pPr>
        <w:pStyle w:val="BodyText"/>
        <w:spacing w:before="10"/>
        <w:rPr>
          <w:sz w:val="25"/>
        </w:rPr>
      </w:pPr>
    </w:p>
    <w:p>
      <w:pPr>
        <w:pStyle w:val="BodyText"/>
        <w:spacing w:line="264" w:lineRule="auto"/>
        <w:ind w:left="900" w:right="1027"/>
      </w:pPr>
      <w:r>
        <w:rPr>
          <w:b/>
          <w:color w:val="231F20"/>
        </w:rPr>
        <w:t>Management’s</w:t>
      </w:r>
      <w:r>
        <w:rPr>
          <w:b/>
          <w:color w:val="231F20"/>
          <w:spacing w:val="-4"/>
        </w:rPr>
        <w:t> </w:t>
      </w:r>
      <w:r>
        <w:rPr>
          <w:b/>
          <w:color w:val="231F20"/>
        </w:rPr>
        <w:t>Progress:</w:t>
      </w:r>
      <w:r>
        <w:rPr>
          <w:b/>
          <w:color w:val="231F20"/>
          <w:spacing w:val="-2"/>
        </w:rPr>
        <w:t> </w:t>
      </w:r>
      <w:r>
        <w:rPr>
          <w:color w:val="231F20"/>
        </w:rPr>
        <w:t>Management</w:t>
      </w:r>
      <w:r>
        <w:rPr>
          <w:color w:val="231F20"/>
          <w:spacing w:val="-4"/>
        </w:rPr>
        <w:t> </w:t>
      </w:r>
      <w:r>
        <w:rPr>
          <w:color w:val="231F20"/>
        </w:rPr>
        <w:t>has</w:t>
      </w:r>
      <w:r>
        <w:rPr>
          <w:color w:val="231F20"/>
          <w:spacing w:val="-5"/>
        </w:rPr>
        <w:t> </w:t>
      </w:r>
      <w:r>
        <w:rPr>
          <w:color w:val="231F20"/>
        </w:rPr>
        <w:t>started</w:t>
      </w:r>
      <w:r>
        <w:rPr>
          <w:color w:val="231F20"/>
          <w:spacing w:val="-4"/>
        </w:rPr>
        <w:t> </w:t>
      </w:r>
      <w:r>
        <w:rPr>
          <w:color w:val="231F20"/>
        </w:rPr>
        <w:t>the</w:t>
      </w:r>
      <w:r>
        <w:rPr>
          <w:color w:val="231F20"/>
          <w:spacing w:val="-4"/>
        </w:rPr>
        <w:t> </w:t>
      </w:r>
      <w:r>
        <w:rPr>
          <w:color w:val="231F20"/>
        </w:rPr>
        <w:t>risk</w:t>
      </w:r>
      <w:r>
        <w:rPr>
          <w:color w:val="231F20"/>
          <w:spacing w:val="-4"/>
        </w:rPr>
        <w:t> </w:t>
      </w:r>
      <w:r>
        <w:rPr>
          <w:color w:val="231F20"/>
        </w:rPr>
        <w:t>assessment</w:t>
      </w:r>
      <w:r>
        <w:rPr>
          <w:color w:val="231F20"/>
          <w:spacing w:val="-4"/>
        </w:rPr>
        <w:t> </w:t>
      </w:r>
      <w:r>
        <w:rPr>
          <w:color w:val="231F20"/>
        </w:rPr>
        <w:t>process</w:t>
      </w:r>
      <w:r>
        <w:rPr>
          <w:color w:val="231F20"/>
          <w:spacing w:val="-4"/>
        </w:rPr>
        <w:t> </w:t>
      </w:r>
      <w:r>
        <w:rPr>
          <w:color w:val="231F20"/>
        </w:rPr>
        <w:t>with</w:t>
      </w:r>
      <w:r>
        <w:rPr>
          <w:color w:val="231F20"/>
          <w:spacing w:val="-4"/>
        </w:rPr>
        <w:t> </w:t>
      </w:r>
      <w:r>
        <w:rPr>
          <w:color w:val="231F20"/>
        </w:rPr>
        <w:t>an</w:t>
      </w:r>
      <w:r>
        <w:rPr>
          <w:color w:val="231F20"/>
          <w:spacing w:val="-4"/>
        </w:rPr>
        <w:t> </w:t>
      </w:r>
      <w:r>
        <w:rPr>
          <w:color w:val="231F20"/>
        </w:rPr>
        <w:t>estimated completion date of December 2022.</w:t>
      </w:r>
    </w:p>
    <w:p>
      <w:pPr>
        <w:pStyle w:val="BodyText"/>
        <w:spacing w:before="11"/>
        <w:rPr>
          <w:sz w:val="19"/>
        </w:rPr>
      </w:pPr>
    </w:p>
    <w:p>
      <w:pPr>
        <w:pStyle w:val="BodyText"/>
        <w:spacing w:line="264" w:lineRule="auto"/>
        <w:ind w:left="900" w:right="1027"/>
      </w:pPr>
      <w:r>
        <w:rPr>
          <w:b/>
          <w:color w:val="231F20"/>
        </w:rPr>
        <w:t>Criteria: </w:t>
      </w:r>
      <w:r>
        <w:rPr>
          <w:color w:val="231F20"/>
        </w:rPr>
        <w:t>The entities’ system processes, records, and stores information that is vital to its daily operations. It is critical that access to this system is properly maintained to prevent inappropriate transactions</w:t>
      </w:r>
      <w:r>
        <w:rPr>
          <w:color w:val="231F20"/>
          <w:spacing w:val="-3"/>
        </w:rPr>
        <w:t> </w:t>
      </w:r>
      <w:r>
        <w:rPr>
          <w:color w:val="231F20"/>
        </w:rPr>
        <w:t>from</w:t>
      </w:r>
      <w:r>
        <w:rPr>
          <w:color w:val="231F20"/>
          <w:spacing w:val="-3"/>
        </w:rPr>
        <w:t> </w:t>
      </w:r>
      <w:r>
        <w:rPr>
          <w:color w:val="231F20"/>
        </w:rPr>
        <w:t>occurring</w:t>
      </w:r>
      <w:r>
        <w:rPr>
          <w:color w:val="231F20"/>
          <w:spacing w:val="-4"/>
        </w:rPr>
        <w:t> </w:t>
      </w:r>
      <w:r>
        <w:rPr>
          <w:color w:val="231F20"/>
        </w:rPr>
        <w:t>and</w:t>
      </w:r>
      <w:r>
        <w:rPr>
          <w:color w:val="231F20"/>
          <w:spacing w:val="-3"/>
        </w:rPr>
        <w:t> </w:t>
      </w:r>
      <w:r>
        <w:rPr>
          <w:color w:val="231F20"/>
        </w:rPr>
        <w:t>data</w:t>
      </w:r>
      <w:r>
        <w:rPr>
          <w:color w:val="231F20"/>
          <w:spacing w:val="-3"/>
        </w:rPr>
        <w:t> </w:t>
      </w:r>
      <w:r>
        <w:rPr>
          <w:color w:val="231F20"/>
        </w:rPr>
        <w:t>from</w:t>
      </w:r>
      <w:r>
        <w:rPr>
          <w:color w:val="231F20"/>
          <w:spacing w:val="-3"/>
        </w:rPr>
        <w:t> </w:t>
      </w:r>
      <w:r>
        <w:rPr>
          <w:color w:val="231F20"/>
        </w:rPr>
        <w:t>being</w:t>
      </w:r>
      <w:r>
        <w:rPr>
          <w:color w:val="231F20"/>
          <w:spacing w:val="-3"/>
        </w:rPr>
        <w:t> </w:t>
      </w:r>
      <w:r>
        <w:rPr>
          <w:color w:val="231F20"/>
        </w:rPr>
        <w:t>lost,</w:t>
      </w:r>
      <w:r>
        <w:rPr>
          <w:color w:val="231F20"/>
          <w:spacing w:val="-3"/>
        </w:rPr>
        <w:t> </w:t>
      </w:r>
      <w:r>
        <w:rPr>
          <w:color w:val="231F20"/>
        </w:rPr>
        <w:t>and</w:t>
      </w:r>
      <w:r>
        <w:rPr>
          <w:color w:val="231F20"/>
          <w:spacing w:val="-3"/>
        </w:rPr>
        <w:t> </w:t>
      </w:r>
      <w:r>
        <w:rPr>
          <w:color w:val="231F20"/>
        </w:rPr>
        <w:t>to</w:t>
      </w:r>
      <w:r>
        <w:rPr>
          <w:color w:val="231F20"/>
          <w:spacing w:val="-3"/>
        </w:rPr>
        <w:t> </w:t>
      </w:r>
      <w:r>
        <w:rPr>
          <w:color w:val="231F20"/>
        </w:rPr>
        <w:t>prevent</w:t>
      </w:r>
      <w:r>
        <w:rPr>
          <w:color w:val="231F20"/>
          <w:spacing w:val="-3"/>
        </w:rPr>
        <w:t> </w:t>
      </w:r>
      <w:r>
        <w:rPr>
          <w:color w:val="231F20"/>
        </w:rPr>
        <w:t>unauthorized</w:t>
      </w:r>
      <w:r>
        <w:rPr>
          <w:color w:val="231F20"/>
          <w:spacing w:val="-3"/>
        </w:rPr>
        <w:t> </w:t>
      </w:r>
      <w:r>
        <w:rPr>
          <w:color w:val="231F20"/>
        </w:rPr>
        <w:t>access</w:t>
      </w:r>
      <w:r>
        <w:rPr>
          <w:color w:val="231F20"/>
          <w:spacing w:val="-3"/>
        </w:rPr>
        <w:t> </w:t>
      </w:r>
      <w:r>
        <w:rPr>
          <w:color w:val="231F20"/>
        </w:rPr>
        <w:t>to</w:t>
      </w:r>
      <w:r>
        <w:rPr>
          <w:color w:val="231F20"/>
          <w:spacing w:val="-3"/>
        </w:rPr>
        <w:t> </w:t>
      </w:r>
      <w:r>
        <w:rPr>
          <w:color w:val="231F20"/>
        </w:rPr>
        <w:t>information through employee devices that have access to the system, through proper security controls related to cyber security.</w:t>
      </w:r>
    </w:p>
    <w:p>
      <w:pPr>
        <w:pStyle w:val="BodyText"/>
        <w:spacing w:before="10"/>
        <w:rPr>
          <w:sz w:val="22"/>
        </w:rPr>
      </w:pPr>
    </w:p>
    <w:p>
      <w:pPr>
        <w:pStyle w:val="BodyText"/>
        <w:ind w:left="900"/>
      </w:pPr>
      <w:r>
        <w:rPr>
          <w:b/>
          <w:color w:val="231F20"/>
        </w:rPr>
        <w:t>Cause:</w:t>
      </w:r>
      <w:r>
        <w:rPr>
          <w:b/>
          <w:color w:val="231F20"/>
          <w:spacing w:val="-7"/>
        </w:rPr>
        <w:t> </w:t>
      </w:r>
      <w:r>
        <w:rPr>
          <w:color w:val="231F20"/>
        </w:rPr>
        <w:t>The</w:t>
      </w:r>
      <w:r>
        <w:rPr>
          <w:color w:val="231F20"/>
          <w:spacing w:val="-5"/>
        </w:rPr>
        <w:t> </w:t>
      </w:r>
      <w:r>
        <w:rPr>
          <w:color w:val="231F20"/>
        </w:rPr>
        <w:t>Entity</w:t>
      </w:r>
      <w:r>
        <w:rPr>
          <w:color w:val="231F20"/>
          <w:spacing w:val="-5"/>
        </w:rPr>
        <w:t> </w:t>
      </w:r>
      <w:r>
        <w:rPr>
          <w:color w:val="231F20"/>
        </w:rPr>
        <w:t>does</w:t>
      </w:r>
      <w:r>
        <w:rPr>
          <w:color w:val="231F20"/>
          <w:spacing w:val="-5"/>
        </w:rPr>
        <w:t> </w:t>
      </w:r>
      <w:r>
        <w:rPr>
          <w:color w:val="231F20"/>
        </w:rPr>
        <w:t>not</w:t>
      </w:r>
      <w:r>
        <w:rPr>
          <w:color w:val="231F20"/>
          <w:spacing w:val="-5"/>
        </w:rPr>
        <w:t> </w:t>
      </w:r>
      <w:r>
        <w:rPr>
          <w:color w:val="231F20"/>
        </w:rPr>
        <w:t>have</w:t>
      </w:r>
      <w:r>
        <w:rPr>
          <w:color w:val="231F20"/>
          <w:spacing w:val="-5"/>
        </w:rPr>
        <w:t> </w:t>
      </w:r>
      <w:r>
        <w:rPr>
          <w:color w:val="231F20"/>
        </w:rPr>
        <w:t>a</w:t>
      </w:r>
      <w:r>
        <w:rPr>
          <w:color w:val="231F20"/>
          <w:spacing w:val="-5"/>
        </w:rPr>
        <w:t> </w:t>
      </w:r>
      <w:r>
        <w:rPr>
          <w:color w:val="231F20"/>
        </w:rPr>
        <w:t>formal</w:t>
      </w:r>
      <w:r>
        <w:rPr>
          <w:color w:val="231F20"/>
          <w:spacing w:val="-5"/>
        </w:rPr>
        <w:t> </w:t>
      </w:r>
      <w:r>
        <w:rPr>
          <w:color w:val="231F20"/>
        </w:rPr>
        <w:t>cybersecurity</w:t>
      </w:r>
      <w:r>
        <w:rPr>
          <w:color w:val="231F20"/>
          <w:spacing w:val="-5"/>
        </w:rPr>
        <w:t> </w:t>
      </w:r>
      <w:r>
        <w:rPr>
          <w:color w:val="231F20"/>
          <w:spacing w:val="-2"/>
        </w:rPr>
        <w:t>policy.</w:t>
      </w:r>
    </w:p>
    <w:p>
      <w:pPr>
        <w:pStyle w:val="BodyText"/>
        <w:rPr>
          <w:sz w:val="26"/>
        </w:rPr>
      </w:pPr>
    </w:p>
    <w:p>
      <w:pPr>
        <w:pStyle w:val="BodyText"/>
        <w:spacing w:line="276" w:lineRule="auto"/>
        <w:ind w:left="900" w:right="1027"/>
      </w:pPr>
      <w:r>
        <w:rPr>
          <w:b/>
          <w:color w:val="231F20"/>
        </w:rPr>
        <w:t>Effect:</w:t>
      </w:r>
      <w:r>
        <w:rPr>
          <w:b/>
          <w:color w:val="231F20"/>
          <w:spacing w:val="-3"/>
        </w:rPr>
        <w:t> </w:t>
      </w:r>
      <w:r>
        <w:rPr>
          <w:color w:val="231F20"/>
        </w:rPr>
        <w:t>Without</w:t>
      </w:r>
      <w:r>
        <w:rPr>
          <w:color w:val="231F20"/>
          <w:spacing w:val="-3"/>
        </w:rPr>
        <w:t> </w:t>
      </w:r>
      <w:r>
        <w:rPr>
          <w:color w:val="231F20"/>
        </w:rPr>
        <w:t>security</w:t>
      </w:r>
      <w:r>
        <w:rPr>
          <w:color w:val="231F20"/>
          <w:spacing w:val="-2"/>
        </w:rPr>
        <w:t> </w:t>
      </w:r>
      <w:r>
        <w:rPr>
          <w:color w:val="231F20"/>
        </w:rPr>
        <w:t>protocols</w:t>
      </w:r>
      <w:r>
        <w:rPr>
          <w:color w:val="231F20"/>
          <w:spacing w:val="-3"/>
        </w:rPr>
        <w:t> </w:t>
      </w:r>
      <w:r>
        <w:rPr>
          <w:color w:val="231F20"/>
        </w:rPr>
        <w:t>to</w:t>
      </w:r>
      <w:r>
        <w:rPr>
          <w:color w:val="231F20"/>
          <w:spacing w:val="-3"/>
        </w:rPr>
        <w:t> </w:t>
      </w:r>
      <w:r>
        <w:rPr>
          <w:color w:val="231F20"/>
        </w:rPr>
        <w:t>protect</w:t>
      </w:r>
      <w:r>
        <w:rPr>
          <w:color w:val="231F20"/>
          <w:spacing w:val="-3"/>
        </w:rPr>
        <w:t> </w:t>
      </w:r>
      <w:r>
        <w:rPr>
          <w:color w:val="231F20"/>
        </w:rPr>
        <w:t>sensitive</w:t>
      </w:r>
      <w:r>
        <w:rPr>
          <w:color w:val="231F20"/>
          <w:spacing w:val="-2"/>
        </w:rPr>
        <w:t> </w:t>
      </w:r>
      <w:r>
        <w:rPr>
          <w:color w:val="231F20"/>
        </w:rPr>
        <w:t>data,</w:t>
      </w:r>
      <w:r>
        <w:rPr>
          <w:color w:val="231F20"/>
          <w:spacing w:val="-3"/>
        </w:rPr>
        <w:t> </w:t>
      </w:r>
      <w:r>
        <w:rPr>
          <w:color w:val="231F20"/>
        </w:rPr>
        <w:t>the</w:t>
      </w:r>
      <w:r>
        <w:rPr>
          <w:color w:val="231F20"/>
          <w:spacing w:val="-3"/>
        </w:rPr>
        <w:t> </w:t>
      </w:r>
      <w:r>
        <w:rPr>
          <w:color w:val="231F20"/>
        </w:rPr>
        <w:t>Organization</w:t>
      </w:r>
      <w:r>
        <w:rPr>
          <w:color w:val="231F20"/>
          <w:spacing w:val="-3"/>
        </w:rPr>
        <w:t> </w:t>
      </w:r>
      <w:r>
        <w:rPr>
          <w:color w:val="231F20"/>
        </w:rPr>
        <w:t>poses</w:t>
      </w:r>
      <w:r>
        <w:rPr>
          <w:color w:val="231F20"/>
          <w:spacing w:val="-3"/>
        </w:rPr>
        <w:t> </w:t>
      </w:r>
      <w:r>
        <w:rPr>
          <w:color w:val="231F20"/>
        </w:rPr>
        <w:t>the</w:t>
      </w:r>
      <w:r>
        <w:rPr>
          <w:color w:val="231F20"/>
          <w:spacing w:val="-3"/>
        </w:rPr>
        <w:t> </w:t>
      </w:r>
      <w:r>
        <w:rPr>
          <w:color w:val="231F20"/>
        </w:rPr>
        <w:t>risk</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potential breach to their environment.</w:t>
      </w:r>
    </w:p>
    <w:p>
      <w:pPr>
        <w:pStyle w:val="BodyText"/>
        <w:rPr>
          <w:sz w:val="23"/>
        </w:rPr>
      </w:pPr>
    </w:p>
    <w:p>
      <w:pPr>
        <w:spacing w:before="0"/>
        <w:ind w:left="900" w:right="0" w:firstLine="0"/>
        <w:jc w:val="left"/>
        <w:rPr>
          <w:sz w:val="20"/>
        </w:rPr>
      </w:pPr>
      <w:r>
        <w:rPr>
          <w:b/>
          <w:color w:val="231F20"/>
          <w:sz w:val="20"/>
        </w:rPr>
        <w:t>Repeat</w:t>
      </w:r>
      <w:r>
        <w:rPr>
          <w:b/>
          <w:color w:val="231F20"/>
          <w:spacing w:val="-5"/>
          <w:sz w:val="20"/>
        </w:rPr>
        <w:t> </w:t>
      </w:r>
      <w:r>
        <w:rPr>
          <w:b/>
          <w:color w:val="231F20"/>
          <w:sz w:val="20"/>
        </w:rPr>
        <w:t>Finding:</w:t>
      </w:r>
      <w:r>
        <w:rPr>
          <w:b/>
          <w:color w:val="231F20"/>
          <w:spacing w:val="-4"/>
          <w:sz w:val="20"/>
        </w:rPr>
        <w:t> </w:t>
      </w:r>
      <w:r>
        <w:rPr>
          <w:color w:val="231F20"/>
          <w:sz w:val="20"/>
        </w:rPr>
        <w:t>Previously</w:t>
      </w:r>
      <w:r>
        <w:rPr>
          <w:color w:val="231F20"/>
          <w:spacing w:val="-4"/>
          <w:sz w:val="20"/>
        </w:rPr>
        <w:t> </w:t>
      </w:r>
      <w:r>
        <w:rPr>
          <w:color w:val="231F20"/>
          <w:sz w:val="20"/>
        </w:rPr>
        <w:t>reported</w:t>
      </w:r>
      <w:r>
        <w:rPr>
          <w:color w:val="231F20"/>
          <w:spacing w:val="-5"/>
          <w:sz w:val="20"/>
        </w:rPr>
        <w:t> </w:t>
      </w:r>
      <w:r>
        <w:rPr>
          <w:color w:val="231F20"/>
          <w:sz w:val="20"/>
        </w:rPr>
        <w:t>as</w:t>
      </w:r>
      <w:r>
        <w:rPr>
          <w:color w:val="231F20"/>
          <w:spacing w:val="-5"/>
          <w:sz w:val="20"/>
        </w:rPr>
        <w:t> </w:t>
      </w:r>
      <w:r>
        <w:rPr>
          <w:color w:val="231F20"/>
          <w:sz w:val="20"/>
        </w:rPr>
        <w:t>2021-</w:t>
      </w:r>
      <w:r>
        <w:rPr>
          <w:color w:val="231F20"/>
          <w:spacing w:val="-4"/>
          <w:sz w:val="20"/>
        </w:rPr>
        <w:t>004.</w:t>
      </w:r>
    </w:p>
    <w:p>
      <w:pPr>
        <w:pStyle w:val="BodyText"/>
        <w:rPr>
          <w:sz w:val="26"/>
        </w:rPr>
      </w:pPr>
    </w:p>
    <w:p>
      <w:pPr>
        <w:pStyle w:val="BodyText"/>
        <w:spacing w:line="276" w:lineRule="auto"/>
        <w:ind w:left="900" w:right="1027"/>
      </w:pPr>
      <w:r>
        <w:rPr>
          <w:b/>
          <w:color w:val="231F20"/>
        </w:rPr>
        <w:t>Recommendation: </w:t>
      </w:r>
      <w:r>
        <w:rPr>
          <w:color w:val="231F20"/>
        </w:rPr>
        <w:t>Management should complete a cyber risk assessment to determine the organizational</w:t>
      </w:r>
      <w:r>
        <w:rPr>
          <w:color w:val="231F20"/>
          <w:spacing w:val="-3"/>
        </w:rPr>
        <w:t> </w:t>
      </w:r>
      <w:r>
        <w:rPr>
          <w:color w:val="231F20"/>
        </w:rPr>
        <w:t>needs</w:t>
      </w:r>
      <w:r>
        <w:rPr>
          <w:color w:val="231F20"/>
          <w:spacing w:val="-3"/>
        </w:rPr>
        <w:t> </w:t>
      </w:r>
      <w:r>
        <w:rPr>
          <w:color w:val="231F20"/>
        </w:rPr>
        <w:t>and</w:t>
      </w:r>
      <w:r>
        <w:rPr>
          <w:color w:val="231F20"/>
          <w:spacing w:val="-4"/>
        </w:rPr>
        <w:t> </w:t>
      </w:r>
      <w:r>
        <w:rPr>
          <w:color w:val="231F20"/>
        </w:rPr>
        <w:t>cyber</w:t>
      </w:r>
      <w:r>
        <w:rPr>
          <w:color w:val="231F20"/>
          <w:spacing w:val="-3"/>
        </w:rPr>
        <w:t> </w:t>
      </w:r>
      <w:r>
        <w:rPr>
          <w:color w:val="231F20"/>
        </w:rPr>
        <w:t>programs</w:t>
      </w:r>
      <w:r>
        <w:rPr>
          <w:color w:val="231F20"/>
          <w:spacing w:val="-3"/>
        </w:rPr>
        <w:t> </w:t>
      </w:r>
      <w:r>
        <w:rPr>
          <w:color w:val="231F20"/>
        </w:rPr>
        <w:t>that</w:t>
      </w:r>
      <w:r>
        <w:rPr>
          <w:color w:val="231F20"/>
          <w:spacing w:val="-3"/>
        </w:rPr>
        <w:t> </w:t>
      </w:r>
      <w:r>
        <w:rPr>
          <w:color w:val="231F20"/>
        </w:rPr>
        <w:t>should</w:t>
      </w:r>
      <w:r>
        <w:rPr>
          <w:color w:val="231F20"/>
          <w:spacing w:val="-4"/>
        </w:rPr>
        <w:t> </w:t>
      </w:r>
      <w:r>
        <w:rPr>
          <w:color w:val="231F20"/>
        </w:rPr>
        <w:t>be</w:t>
      </w:r>
      <w:r>
        <w:rPr>
          <w:color w:val="231F20"/>
          <w:spacing w:val="-3"/>
        </w:rPr>
        <w:t> </w:t>
      </w:r>
      <w:r>
        <w:rPr>
          <w:color w:val="231F20"/>
        </w:rPr>
        <w:t>instituted</w:t>
      </w:r>
      <w:r>
        <w:rPr>
          <w:color w:val="231F20"/>
          <w:spacing w:val="-3"/>
        </w:rPr>
        <w:t> </w:t>
      </w:r>
      <w:r>
        <w:rPr>
          <w:color w:val="231F20"/>
        </w:rPr>
        <w:t>to</w:t>
      </w:r>
      <w:r>
        <w:rPr>
          <w:color w:val="231F20"/>
          <w:spacing w:val="-3"/>
        </w:rPr>
        <w:t> </w:t>
      </w:r>
      <w:r>
        <w:rPr>
          <w:color w:val="231F20"/>
        </w:rPr>
        <w:t>prevent</w:t>
      </w:r>
      <w:r>
        <w:rPr>
          <w:color w:val="231F20"/>
          <w:spacing w:val="-3"/>
        </w:rPr>
        <w:t> </w:t>
      </w:r>
      <w:r>
        <w:rPr>
          <w:color w:val="231F20"/>
        </w:rPr>
        <w:t>or</w:t>
      </w:r>
      <w:r>
        <w:rPr>
          <w:color w:val="231F20"/>
          <w:spacing w:val="-3"/>
        </w:rPr>
        <w:t> </w:t>
      </w:r>
      <w:r>
        <w:rPr>
          <w:color w:val="231F20"/>
        </w:rPr>
        <w:t>mitigate</w:t>
      </w:r>
      <w:r>
        <w:rPr>
          <w:color w:val="231F20"/>
          <w:spacing w:val="-3"/>
        </w:rPr>
        <w:t> </w:t>
      </w:r>
      <w:r>
        <w:rPr>
          <w:color w:val="231F20"/>
        </w:rPr>
        <w:t>potential</w:t>
      </w:r>
      <w:r>
        <w:rPr>
          <w:color w:val="231F20"/>
          <w:spacing w:val="-3"/>
        </w:rPr>
        <w:t> </w:t>
      </w:r>
      <w:r>
        <w:rPr>
          <w:color w:val="231F20"/>
        </w:rPr>
        <w:t>cyber security threats.</w:t>
      </w:r>
    </w:p>
    <w:p>
      <w:pPr>
        <w:pStyle w:val="BodyText"/>
        <w:spacing w:before="2"/>
        <w:rPr>
          <w:sz w:val="23"/>
        </w:rPr>
      </w:pPr>
    </w:p>
    <w:p>
      <w:pPr>
        <w:pStyle w:val="BodyText"/>
        <w:spacing w:line="264" w:lineRule="auto"/>
        <w:ind w:left="900" w:right="1027"/>
      </w:pPr>
      <w:r>
        <w:rPr>
          <w:b/>
          <w:color w:val="231F20"/>
        </w:rPr>
        <w:t>Views of Responsible Officials and Planned Corrective Actions: </w:t>
      </w:r>
      <w:r>
        <w:rPr>
          <w:color w:val="231F20"/>
        </w:rPr>
        <w:t>The deficiencies within the finding were identified the previous year and it was agreed by NMT in the previous audit that the first steps should be a risk assessment so a holistic plan could be put in place. We agreed that the assessment would</w:t>
      </w:r>
      <w:r>
        <w:rPr>
          <w:color w:val="231F20"/>
          <w:spacing w:val="-3"/>
        </w:rPr>
        <w:t> </w:t>
      </w:r>
      <w:r>
        <w:rPr>
          <w:color w:val="231F20"/>
        </w:rPr>
        <w:t>be</w:t>
      </w:r>
      <w:r>
        <w:rPr>
          <w:color w:val="231F20"/>
          <w:spacing w:val="-3"/>
        </w:rPr>
        <w:t> </w:t>
      </w:r>
      <w:r>
        <w:rPr>
          <w:color w:val="231F20"/>
        </w:rPr>
        <w:t>completed</w:t>
      </w:r>
      <w:r>
        <w:rPr>
          <w:color w:val="231F20"/>
          <w:spacing w:val="-3"/>
        </w:rPr>
        <w:t> </w:t>
      </w:r>
      <w:r>
        <w:rPr>
          <w:color w:val="231F20"/>
        </w:rPr>
        <w:t>by</w:t>
      </w:r>
      <w:r>
        <w:rPr>
          <w:color w:val="231F20"/>
          <w:spacing w:val="-2"/>
        </w:rPr>
        <w:t> </w:t>
      </w:r>
      <w:r>
        <w:rPr>
          <w:color w:val="231F20"/>
        </w:rPr>
        <w:t>December</w:t>
      </w:r>
      <w:r>
        <w:rPr>
          <w:color w:val="231F20"/>
          <w:spacing w:val="-3"/>
        </w:rPr>
        <w:t> </w:t>
      </w:r>
      <w:r>
        <w:rPr>
          <w:color w:val="231F20"/>
        </w:rPr>
        <w:t>2022</w:t>
      </w:r>
      <w:r>
        <w:rPr>
          <w:color w:val="231F20"/>
          <w:spacing w:val="-3"/>
        </w:rPr>
        <w:t> </w:t>
      </w:r>
      <w:r>
        <w:rPr>
          <w:color w:val="231F20"/>
        </w:rPr>
        <w:t>and</w:t>
      </w:r>
      <w:r>
        <w:rPr>
          <w:color w:val="231F20"/>
          <w:spacing w:val="-3"/>
        </w:rPr>
        <w:t> </w:t>
      </w:r>
      <w:r>
        <w:rPr>
          <w:color w:val="231F20"/>
        </w:rPr>
        <w:t>is</w:t>
      </w:r>
      <w:r>
        <w:rPr>
          <w:color w:val="231F20"/>
          <w:spacing w:val="-3"/>
        </w:rPr>
        <w:t> </w:t>
      </w:r>
      <w:r>
        <w:rPr>
          <w:color w:val="231F20"/>
        </w:rPr>
        <w:t>on</w:t>
      </w:r>
      <w:r>
        <w:rPr>
          <w:color w:val="231F20"/>
          <w:spacing w:val="-3"/>
        </w:rPr>
        <w:t> </w:t>
      </w:r>
      <w:r>
        <w:rPr>
          <w:color w:val="231F20"/>
        </w:rPr>
        <w:t>track</w:t>
      </w:r>
      <w:r>
        <w:rPr>
          <w:color w:val="231F20"/>
          <w:spacing w:val="-1"/>
        </w:rPr>
        <w:t> </w:t>
      </w:r>
      <w:r>
        <w:rPr>
          <w:color w:val="231F20"/>
        </w:rPr>
        <w:t>for</w:t>
      </w:r>
      <w:r>
        <w:rPr>
          <w:color w:val="231F20"/>
          <w:spacing w:val="-3"/>
        </w:rPr>
        <w:t> </w:t>
      </w:r>
      <w:r>
        <w:rPr>
          <w:color w:val="231F20"/>
        </w:rPr>
        <w:t>that</w:t>
      </w:r>
      <w:r>
        <w:rPr>
          <w:color w:val="231F20"/>
          <w:spacing w:val="-3"/>
        </w:rPr>
        <w:t> </w:t>
      </w:r>
      <w:r>
        <w:rPr>
          <w:color w:val="231F20"/>
        </w:rPr>
        <w:t>completion</w:t>
      </w:r>
      <w:r>
        <w:rPr>
          <w:color w:val="231F20"/>
          <w:spacing w:val="-3"/>
        </w:rPr>
        <w:t> </w:t>
      </w:r>
      <w:r>
        <w:rPr>
          <w:color w:val="231F20"/>
        </w:rPr>
        <w:t>date.</w:t>
      </w:r>
      <w:r>
        <w:rPr>
          <w:color w:val="231F20"/>
          <w:spacing w:val="-3"/>
        </w:rPr>
        <w:t> </w:t>
      </w:r>
      <w:r>
        <w:rPr>
          <w:color w:val="231F20"/>
        </w:rPr>
        <w:t>Once</w:t>
      </w:r>
      <w:r>
        <w:rPr>
          <w:color w:val="231F20"/>
          <w:spacing w:val="-3"/>
        </w:rPr>
        <w:t> </w:t>
      </w:r>
      <w:r>
        <w:rPr>
          <w:color w:val="231F20"/>
        </w:rPr>
        <w:t>the</w:t>
      </w:r>
      <w:r>
        <w:rPr>
          <w:color w:val="231F20"/>
          <w:spacing w:val="-3"/>
        </w:rPr>
        <w:t> </w:t>
      </w:r>
      <w:r>
        <w:rPr>
          <w:color w:val="231F20"/>
        </w:rPr>
        <w:t>assessment</w:t>
      </w:r>
      <w:r>
        <w:rPr>
          <w:color w:val="231F20"/>
          <w:spacing w:val="-3"/>
        </w:rPr>
        <w:t> </w:t>
      </w:r>
      <w:r>
        <w:rPr>
          <w:color w:val="231F20"/>
        </w:rPr>
        <w:t>is completed,</w:t>
      </w:r>
      <w:r>
        <w:rPr>
          <w:color w:val="231F20"/>
          <w:spacing w:val="-3"/>
        </w:rPr>
        <w:t> </w:t>
      </w:r>
      <w:r>
        <w:rPr>
          <w:color w:val="231F20"/>
        </w:rPr>
        <w:t>a</w:t>
      </w:r>
      <w:r>
        <w:rPr>
          <w:color w:val="231F20"/>
          <w:spacing w:val="-3"/>
        </w:rPr>
        <w:t> </w:t>
      </w:r>
      <w:r>
        <w:rPr>
          <w:color w:val="231F20"/>
        </w:rPr>
        <w:t>technical</w:t>
      </w:r>
      <w:r>
        <w:rPr>
          <w:color w:val="231F20"/>
          <w:spacing w:val="-3"/>
        </w:rPr>
        <w:t> </w:t>
      </w:r>
      <w:r>
        <w:rPr>
          <w:color w:val="231F20"/>
        </w:rPr>
        <w:t>fit</w:t>
      </w:r>
      <w:r>
        <w:rPr>
          <w:color w:val="231F20"/>
          <w:spacing w:val="-3"/>
        </w:rPr>
        <w:t> </w:t>
      </w:r>
      <w:r>
        <w:rPr>
          <w:color w:val="231F20"/>
        </w:rPr>
        <w:t>evaluation</w:t>
      </w:r>
      <w:r>
        <w:rPr>
          <w:color w:val="231F20"/>
          <w:spacing w:val="-3"/>
        </w:rPr>
        <w:t> </w:t>
      </w:r>
      <w:r>
        <w:rPr>
          <w:color w:val="231F20"/>
        </w:rPr>
        <w:t>will</w:t>
      </w:r>
      <w:r>
        <w:rPr>
          <w:color w:val="231F20"/>
          <w:spacing w:val="-4"/>
        </w:rPr>
        <w:t> </w:t>
      </w:r>
      <w:r>
        <w:rPr>
          <w:color w:val="231F20"/>
        </w:rPr>
        <w:t>be</w:t>
      </w:r>
      <w:r>
        <w:rPr>
          <w:color w:val="231F20"/>
          <w:spacing w:val="-3"/>
        </w:rPr>
        <w:t> </w:t>
      </w:r>
      <w:r>
        <w:rPr>
          <w:color w:val="231F20"/>
        </w:rPr>
        <w:t>performed</w:t>
      </w:r>
      <w:r>
        <w:rPr>
          <w:color w:val="231F20"/>
          <w:spacing w:val="-3"/>
        </w:rPr>
        <w:t> </w:t>
      </w:r>
      <w:r>
        <w:rPr>
          <w:color w:val="231F20"/>
        </w:rPr>
        <w:t>to provide</w:t>
      </w:r>
      <w:r>
        <w:rPr>
          <w:color w:val="231F20"/>
          <w:spacing w:val="-3"/>
        </w:rPr>
        <w:t> </w:t>
      </w:r>
      <w:r>
        <w:rPr>
          <w:color w:val="231F20"/>
        </w:rPr>
        <w:t>the</w:t>
      </w:r>
      <w:r>
        <w:rPr>
          <w:color w:val="231F20"/>
          <w:spacing w:val="-3"/>
        </w:rPr>
        <w:t> </w:t>
      </w:r>
      <w:r>
        <w:rPr>
          <w:color w:val="231F20"/>
        </w:rPr>
        <w:t>most</w:t>
      </w:r>
      <w:r>
        <w:rPr>
          <w:color w:val="231F20"/>
          <w:spacing w:val="-3"/>
        </w:rPr>
        <w:t> </w:t>
      </w:r>
      <w:r>
        <w:rPr>
          <w:color w:val="231F20"/>
        </w:rPr>
        <w:t>appropriate</w:t>
      </w:r>
      <w:r>
        <w:rPr>
          <w:color w:val="231F20"/>
          <w:spacing w:val="-3"/>
        </w:rPr>
        <w:t> </w:t>
      </w:r>
      <w:r>
        <w:rPr>
          <w:color w:val="231F20"/>
        </w:rPr>
        <w:t>technical</w:t>
      </w:r>
      <w:r>
        <w:rPr>
          <w:color w:val="231F20"/>
          <w:spacing w:val="-3"/>
        </w:rPr>
        <w:t> </w:t>
      </w:r>
      <w:r>
        <w:rPr>
          <w:color w:val="231F20"/>
        </w:rPr>
        <w:t>solutions to fit the overall needs based on the assessment findings/determinations.</w:t>
      </w:r>
    </w:p>
    <w:p>
      <w:pPr>
        <w:pStyle w:val="BodyText"/>
        <w:spacing w:before="10"/>
        <w:rPr>
          <w:sz w:val="21"/>
        </w:rPr>
      </w:pPr>
    </w:p>
    <w:p>
      <w:pPr>
        <w:pStyle w:val="BodyText"/>
        <w:spacing w:line="264" w:lineRule="auto" w:before="1"/>
        <w:ind w:left="900" w:right="1293"/>
      </w:pPr>
      <w:r>
        <w:rPr>
          <w:color w:val="231F20"/>
        </w:rPr>
        <w:t>A</w:t>
      </w:r>
      <w:r>
        <w:rPr>
          <w:color w:val="231F20"/>
          <w:spacing w:val="-4"/>
        </w:rPr>
        <w:t> </w:t>
      </w:r>
      <w:r>
        <w:rPr>
          <w:color w:val="231F20"/>
        </w:rPr>
        <w:t>cyber</w:t>
      </w:r>
      <w:r>
        <w:rPr>
          <w:color w:val="231F20"/>
          <w:spacing w:val="-3"/>
        </w:rPr>
        <w:t> </w:t>
      </w:r>
      <w:r>
        <w:rPr>
          <w:color w:val="231F20"/>
        </w:rPr>
        <w:t>security</w:t>
      </w:r>
      <w:r>
        <w:rPr>
          <w:color w:val="231F20"/>
          <w:spacing w:val="-4"/>
        </w:rPr>
        <w:t> </w:t>
      </w:r>
      <w:r>
        <w:rPr>
          <w:color w:val="231F20"/>
        </w:rPr>
        <w:t>policy</w:t>
      </w:r>
      <w:r>
        <w:rPr>
          <w:color w:val="231F20"/>
          <w:spacing w:val="-4"/>
        </w:rPr>
        <w:t> </w:t>
      </w:r>
      <w:r>
        <w:rPr>
          <w:color w:val="231F20"/>
        </w:rPr>
        <w:t>framework</w:t>
      </w:r>
      <w:r>
        <w:rPr>
          <w:color w:val="231F20"/>
          <w:spacing w:val="-4"/>
        </w:rPr>
        <w:t> </w:t>
      </w:r>
      <w:r>
        <w:rPr>
          <w:color w:val="231F20"/>
        </w:rPr>
        <w:t>(which</w:t>
      </w:r>
      <w:r>
        <w:rPr>
          <w:color w:val="231F20"/>
          <w:spacing w:val="-4"/>
        </w:rPr>
        <w:t> </w:t>
      </w:r>
      <w:r>
        <w:rPr>
          <w:color w:val="231F20"/>
        </w:rPr>
        <w:t>includes</w:t>
      </w:r>
      <w:r>
        <w:rPr>
          <w:color w:val="231F20"/>
          <w:spacing w:val="-3"/>
        </w:rPr>
        <w:t> </w:t>
      </w:r>
      <w:r>
        <w:rPr>
          <w:color w:val="231F20"/>
        </w:rPr>
        <w:t>the</w:t>
      </w:r>
      <w:r>
        <w:rPr>
          <w:color w:val="231F20"/>
          <w:spacing w:val="-4"/>
        </w:rPr>
        <w:t> </w:t>
      </w:r>
      <w:r>
        <w:rPr>
          <w:color w:val="231F20"/>
        </w:rPr>
        <w:t>program</w:t>
      </w:r>
      <w:r>
        <w:rPr>
          <w:color w:val="231F20"/>
          <w:spacing w:val="-4"/>
        </w:rPr>
        <w:t> </w:t>
      </w:r>
      <w:r>
        <w:rPr>
          <w:color w:val="231F20"/>
        </w:rPr>
        <w:t>and</w:t>
      </w:r>
      <w:r>
        <w:rPr>
          <w:color w:val="231F20"/>
          <w:spacing w:val="-4"/>
        </w:rPr>
        <w:t> </w:t>
      </w:r>
      <w:r>
        <w:rPr>
          <w:color w:val="231F20"/>
        </w:rPr>
        <w:t>governing</w:t>
      </w:r>
      <w:r>
        <w:rPr>
          <w:color w:val="231F20"/>
          <w:spacing w:val="-4"/>
        </w:rPr>
        <w:t> </w:t>
      </w:r>
      <w:r>
        <w:rPr>
          <w:color w:val="231F20"/>
        </w:rPr>
        <w:t>documentation)</w:t>
      </w:r>
      <w:r>
        <w:rPr>
          <w:color w:val="231F20"/>
          <w:spacing w:val="-4"/>
        </w:rPr>
        <w:t> </w:t>
      </w:r>
      <w:r>
        <w:rPr>
          <w:color w:val="231F20"/>
        </w:rPr>
        <w:t>is</w:t>
      </w:r>
      <w:r>
        <w:rPr>
          <w:color w:val="231F20"/>
          <w:spacing w:val="-4"/>
        </w:rPr>
        <w:t> </w:t>
      </w:r>
      <w:r>
        <w:rPr>
          <w:color w:val="231F20"/>
        </w:rPr>
        <w:t>over 50% completed and will be ready to present to the administration early 2023.</w:t>
      </w:r>
    </w:p>
    <w:p>
      <w:pPr>
        <w:spacing w:after="0" w:line="264" w:lineRule="auto"/>
        <w:sectPr>
          <w:headerReference w:type="default" r:id="rId89"/>
          <w:footerReference w:type="default" r:id="rId90"/>
          <w:pgSz w:w="12240" w:h="15840"/>
          <w:pgMar w:header="994" w:footer="1062" w:top="1880" w:bottom="1260" w:left="540" w:right="500"/>
        </w:sectPr>
      </w:pPr>
    </w:p>
    <w:p>
      <w:pPr>
        <w:pStyle w:val="BodyText"/>
      </w:pPr>
    </w:p>
    <w:p>
      <w:pPr>
        <w:pStyle w:val="BodyText"/>
        <w:spacing w:before="6"/>
        <w:rPr>
          <w:sz w:val="22"/>
        </w:rPr>
      </w:pPr>
    </w:p>
    <w:p>
      <w:pPr>
        <w:pStyle w:val="BodyText"/>
        <w:spacing w:line="30" w:lineRule="exact"/>
        <w:ind w:left="870"/>
        <w:rPr>
          <w:sz w:val="3"/>
        </w:rPr>
      </w:pPr>
      <w:r>
        <w:rPr>
          <w:position w:val="0"/>
          <w:sz w:val="3"/>
        </w:rPr>
        <w:pict>
          <v:group style="width:471.05pt;height:1.5pt;mso-position-horizontal-relative:char;mso-position-vertical-relative:line" id="docshapegroup645" coordorigin="0,0" coordsize="9421,30">
            <v:rect style="position:absolute;left:0;top:0;width:9421;height:30" id="docshape646" filled="true" fillcolor="#231f20" stroked="false">
              <v:fill type="solid"/>
            </v:rect>
          </v:group>
        </w:pict>
      </w:r>
      <w:r>
        <w:rPr>
          <w:position w:val="0"/>
          <w:sz w:val="3"/>
        </w:rPr>
      </w:r>
    </w:p>
    <w:p>
      <w:pPr>
        <w:pStyle w:val="Heading4"/>
        <w:spacing w:before="19"/>
        <w:ind w:left="0" w:right="41"/>
        <w:jc w:val="center"/>
      </w:pPr>
      <w:r>
        <w:rPr/>
        <w:pict>
          <v:rect style="position:absolute;margin-left:70.5pt;margin-top:14.829892pt;width:471.001pt;height:1.5pt;mso-position-horizontal-relative:page;mso-position-vertical-relative:paragraph;z-index:-15580672;mso-wrap-distance-left:0;mso-wrap-distance-right:0" id="docshape647" filled="true" fillcolor="#231f20" stroked="false">
            <v:fill type="solid"/>
            <w10:wrap type="topAndBottom"/>
          </v:rect>
        </w:pict>
      </w:r>
      <w:r>
        <w:rPr>
          <w:color w:val="231F20"/>
        </w:rPr>
        <w:t>Section</w:t>
      </w:r>
      <w:r>
        <w:rPr>
          <w:color w:val="231F20"/>
          <w:spacing w:val="-7"/>
        </w:rPr>
        <w:t> </w:t>
      </w:r>
      <w:r>
        <w:rPr>
          <w:color w:val="231F20"/>
        </w:rPr>
        <w:t>IV</w:t>
      </w:r>
      <w:r>
        <w:rPr>
          <w:color w:val="231F20"/>
          <w:spacing w:val="-4"/>
        </w:rPr>
        <w:t> </w:t>
      </w:r>
      <w:r>
        <w:rPr>
          <w:color w:val="231F20"/>
        </w:rPr>
        <w:t>–</w:t>
      </w:r>
      <w:r>
        <w:rPr>
          <w:color w:val="231F20"/>
          <w:spacing w:val="-4"/>
        </w:rPr>
        <w:t> </w:t>
      </w:r>
      <w:r>
        <w:rPr>
          <w:color w:val="231F20"/>
        </w:rPr>
        <w:t>Other</w:t>
      </w:r>
      <w:r>
        <w:rPr>
          <w:color w:val="231F20"/>
          <w:spacing w:val="-5"/>
        </w:rPr>
        <w:t> </w:t>
      </w:r>
      <w:r>
        <w:rPr>
          <w:color w:val="231F20"/>
        </w:rPr>
        <w:t>Matter</w:t>
      </w:r>
      <w:r>
        <w:rPr>
          <w:color w:val="231F20"/>
          <w:spacing w:val="-5"/>
        </w:rPr>
        <w:t> </w:t>
      </w:r>
      <w:r>
        <w:rPr>
          <w:color w:val="231F20"/>
        </w:rPr>
        <w:t>Findings</w:t>
      </w:r>
      <w:r>
        <w:rPr>
          <w:color w:val="231F20"/>
          <w:spacing w:val="-4"/>
        </w:rPr>
        <w:t> </w:t>
      </w:r>
      <w:r>
        <w:rPr>
          <w:color w:val="231F20"/>
        </w:rPr>
        <w:t>as</w:t>
      </w:r>
      <w:r>
        <w:rPr>
          <w:color w:val="231F20"/>
          <w:spacing w:val="-4"/>
        </w:rPr>
        <w:t> </w:t>
      </w:r>
      <w:r>
        <w:rPr>
          <w:color w:val="231F20"/>
        </w:rPr>
        <w:t>Required</w:t>
      </w:r>
      <w:r>
        <w:rPr>
          <w:color w:val="231F20"/>
          <w:spacing w:val="-4"/>
        </w:rPr>
        <w:t> </w:t>
      </w:r>
      <w:r>
        <w:rPr>
          <w:color w:val="231F20"/>
        </w:rPr>
        <w:t>by</w:t>
      </w:r>
      <w:r>
        <w:rPr>
          <w:color w:val="231F20"/>
          <w:spacing w:val="-6"/>
        </w:rPr>
        <w:t> </w:t>
      </w:r>
      <w:r>
        <w:rPr>
          <w:color w:val="231F20"/>
        </w:rPr>
        <w:t>Section</w:t>
      </w:r>
      <w:r>
        <w:rPr>
          <w:color w:val="231F20"/>
          <w:spacing w:val="-4"/>
        </w:rPr>
        <w:t> </w:t>
      </w:r>
      <w:r>
        <w:rPr>
          <w:color w:val="231F20"/>
        </w:rPr>
        <w:t>12-6-5</w:t>
      </w:r>
      <w:r>
        <w:rPr>
          <w:color w:val="231F20"/>
          <w:spacing w:val="-4"/>
        </w:rPr>
        <w:t> </w:t>
      </w:r>
      <w:r>
        <w:rPr>
          <w:color w:val="231F20"/>
        </w:rPr>
        <w:t>NMSA</w:t>
      </w:r>
      <w:r>
        <w:rPr>
          <w:color w:val="231F20"/>
          <w:spacing w:val="-3"/>
        </w:rPr>
        <w:t> </w:t>
      </w:r>
      <w:r>
        <w:rPr>
          <w:color w:val="231F20"/>
          <w:spacing w:val="-4"/>
        </w:rPr>
        <w:t>1978</w:t>
      </w:r>
    </w:p>
    <w:p>
      <w:pPr>
        <w:pStyle w:val="BodyText"/>
        <w:rPr>
          <w:b/>
        </w:rPr>
      </w:pPr>
    </w:p>
    <w:p>
      <w:pPr>
        <w:pStyle w:val="BodyText"/>
        <w:spacing w:before="1"/>
        <w:rPr>
          <w:b/>
        </w:rPr>
      </w:pPr>
    </w:p>
    <w:p>
      <w:pPr>
        <w:spacing w:line="271" w:lineRule="auto" w:before="0"/>
        <w:ind w:left="900" w:right="1027" w:firstLine="0"/>
        <w:jc w:val="left"/>
        <w:rPr>
          <w:b/>
          <w:sz w:val="20"/>
        </w:rPr>
      </w:pPr>
      <w:r>
        <w:rPr>
          <w:b/>
          <w:color w:val="231F20"/>
          <w:sz w:val="20"/>
        </w:rPr>
        <w:t>2022-004</w:t>
      </w:r>
      <w:r>
        <w:rPr>
          <w:b/>
          <w:color w:val="231F20"/>
          <w:spacing w:val="-4"/>
          <w:sz w:val="20"/>
        </w:rPr>
        <w:t> </w:t>
      </w:r>
      <w:r>
        <w:rPr>
          <w:b/>
          <w:color w:val="231F20"/>
          <w:sz w:val="20"/>
        </w:rPr>
        <w:t>(2021-004)</w:t>
      </w:r>
      <w:r>
        <w:rPr>
          <w:b/>
          <w:color w:val="231F20"/>
          <w:spacing w:val="-3"/>
          <w:sz w:val="20"/>
        </w:rPr>
        <w:t> </w:t>
      </w:r>
      <w:r>
        <w:rPr>
          <w:b/>
          <w:color w:val="231F20"/>
          <w:sz w:val="20"/>
        </w:rPr>
        <w:t>–</w:t>
      </w:r>
      <w:r>
        <w:rPr>
          <w:b/>
          <w:color w:val="231F20"/>
          <w:spacing w:val="-4"/>
          <w:sz w:val="20"/>
        </w:rPr>
        <w:t> </w:t>
      </w:r>
      <w:r>
        <w:rPr>
          <w:b/>
          <w:color w:val="231F20"/>
          <w:sz w:val="20"/>
        </w:rPr>
        <w:t>Information</w:t>
      </w:r>
      <w:r>
        <w:rPr>
          <w:b/>
          <w:color w:val="231F20"/>
          <w:spacing w:val="-5"/>
          <w:sz w:val="20"/>
        </w:rPr>
        <w:t> </w:t>
      </w:r>
      <w:r>
        <w:rPr>
          <w:b/>
          <w:color w:val="231F20"/>
          <w:sz w:val="20"/>
        </w:rPr>
        <w:t>Technology</w:t>
      </w:r>
      <w:r>
        <w:rPr>
          <w:b/>
          <w:color w:val="231F20"/>
          <w:spacing w:val="-4"/>
          <w:sz w:val="20"/>
        </w:rPr>
        <w:t> </w:t>
      </w:r>
      <w:r>
        <w:rPr>
          <w:b/>
          <w:color w:val="231F20"/>
          <w:sz w:val="20"/>
        </w:rPr>
        <w:t>General</w:t>
      </w:r>
      <w:r>
        <w:rPr>
          <w:b/>
          <w:color w:val="231F20"/>
          <w:spacing w:val="-4"/>
          <w:sz w:val="20"/>
        </w:rPr>
        <w:t> </w:t>
      </w:r>
      <w:r>
        <w:rPr>
          <w:b/>
          <w:color w:val="231F20"/>
          <w:sz w:val="20"/>
        </w:rPr>
        <w:t>Controls</w:t>
      </w:r>
      <w:r>
        <w:rPr>
          <w:b/>
          <w:color w:val="231F20"/>
          <w:spacing w:val="-4"/>
          <w:sz w:val="20"/>
        </w:rPr>
        <w:t> </w:t>
      </w:r>
      <w:r>
        <w:rPr>
          <w:b/>
          <w:color w:val="231F20"/>
          <w:sz w:val="20"/>
        </w:rPr>
        <w:t>–</w:t>
      </w:r>
      <w:r>
        <w:rPr>
          <w:b/>
          <w:color w:val="231F20"/>
          <w:spacing w:val="-4"/>
          <w:sz w:val="20"/>
        </w:rPr>
        <w:t> </w:t>
      </w:r>
      <w:r>
        <w:rPr>
          <w:b/>
          <w:color w:val="231F20"/>
          <w:sz w:val="20"/>
        </w:rPr>
        <w:t>Security</w:t>
      </w:r>
      <w:r>
        <w:rPr>
          <w:b/>
          <w:color w:val="231F20"/>
          <w:spacing w:val="-5"/>
          <w:sz w:val="20"/>
        </w:rPr>
        <w:t> </w:t>
      </w:r>
      <w:r>
        <w:rPr>
          <w:b/>
          <w:color w:val="231F20"/>
          <w:sz w:val="20"/>
        </w:rPr>
        <w:t>and</w:t>
      </w:r>
      <w:r>
        <w:rPr>
          <w:b/>
          <w:color w:val="231F20"/>
          <w:spacing w:val="-4"/>
          <w:sz w:val="20"/>
        </w:rPr>
        <w:t> </w:t>
      </w:r>
      <w:r>
        <w:rPr>
          <w:b/>
          <w:color w:val="231F20"/>
          <w:sz w:val="20"/>
        </w:rPr>
        <w:t>Access</w:t>
      </w:r>
      <w:r>
        <w:rPr>
          <w:b/>
          <w:color w:val="231F20"/>
          <w:spacing w:val="-5"/>
          <w:sz w:val="20"/>
        </w:rPr>
        <w:t> </w:t>
      </w:r>
      <w:r>
        <w:rPr>
          <w:b/>
          <w:color w:val="231F20"/>
          <w:sz w:val="20"/>
        </w:rPr>
        <w:t>(Other Matter) (continued)</w:t>
      </w:r>
    </w:p>
    <w:p>
      <w:pPr>
        <w:pStyle w:val="BodyText"/>
        <w:spacing w:before="3"/>
        <w:rPr>
          <w:b/>
          <w:sz w:val="22"/>
        </w:rPr>
      </w:pPr>
    </w:p>
    <w:p>
      <w:pPr>
        <w:pStyle w:val="BodyText"/>
        <w:spacing w:line="276" w:lineRule="auto"/>
        <w:ind w:left="900" w:right="1027"/>
      </w:pPr>
      <w:r>
        <w:rPr>
          <w:color w:val="231F20"/>
        </w:rPr>
        <w:t>An</w:t>
      </w:r>
      <w:r>
        <w:rPr>
          <w:color w:val="231F20"/>
          <w:spacing w:val="-3"/>
        </w:rPr>
        <w:t> </w:t>
      </w:r>
      <w:r>
        <w:rPr>
          <w:color w:val="231F20"/>
        </w:rPr>
        <w:t>Information</w:t>
      </w:r>
      <w:r>
        <w:rPr>
          <w:color w:val="231F20"/>
          <w:spacing w:val="-3"/>
        </w:rPr>
        <w:t> </w:t>
      </w:r>
      <w:r>
        <w:rPr>
          <w:color w:val="231F20"/>
        </w:rPr>
        <w:t>Security</w:t>
      </w:r>
      <w:r>
        <w:rPr>
          <w:color w:val="231F20"/>
          <w:spacing w:val="-3"/>
        </w:rPr>
        <w:t> </w:t>
      </w:r>
      <w:r>
        <w:rPr>
          <w:color w:val="231F20"/>
        </w:rPr>
        <w:t>Officer</w:t>
      </w:r>
      <w:r>
        <w:rPr>
          <w:color w:val="231F20"/>
          <w:spacing w:val="-4"/>
        </w:rPr>
        <w:t> </w:t>
      </w:r>
      <w:r>
        <w:rPr>
          <w:color w:val="231F20"/>
        </w:rPr>
        <w:t>(ISO)</w:t>
      </w:r>
      <w:r>
        <w:rPr>
          <w:color w:val="231F20"/>
          <w:spacing w:val="-3"/>
        </w:rPr>
        <w:t> </w:t>
      </w:r>
      <w:r>
        <w:rPr>
          <w:color w:val="231F20"/>
        </w:rPr>
        <w:t>has</w:t>
      </w:r>
      <w:r>
        <w:rPr>
          <w:color w:val="231F20"/>
          <w:spacing w:val="-3"/>
        </w:rPr>
        <w:t> </w:t>
      </w:r>
      <w:r>
        <w:rPr>
          <w:color w:val="231F20"/>
        </w:rPr>
        <w:t>been</w:t>
      </w:r>
      <w:r>
        <w:rPr>
          <w:color w:val="231F20"/>
          <w:spacing w:val="-3"/>
        </w:rPr>
        <w:t> </w:t>
      </w:r>
      <w:r>
        <w:rPr>
          <w:color w:val="231F20"/>
        </w:rPr>
        <w:t>hired</w:t>
      </w:r>
      <w:r>
        <w:rPr>
          <w:color w:val="231F20"/>
          <w:spacing w:val="-3"/>
        </w:rPr>
        <w:t> </w:t>
      </w:r>
      <w:r>
        <w:rPr>
          <w:color w:val="231F20"/>
        </w:rPr>
        <w:t>and</w:t>
      </w:r>
      <w:r>
        <w:rPr>
          <w:color w:val="231F20"/>
          <w:spacing w:val="-3"/>
        </w:rPr>
        <w:t> </w:t>
      </w:r>
      <w:r>
        <w:rPr>
          <w:color w:val="231F20"/>
        </w:rPr>
        <w:t>is</w:t>
      </w:r>
      <w:r>
        <w:rPr>
          <w:color w:val="231F20"/>
          <w:spacing w:val="-3"/>
        </w:rPr>
        <w:t> </w:t>
      </w:r>
      <w:r>
        <w:rPr>
          <w:color w:val="231F20"/>
        </w:rPr>
        <w:t>leading</w:t>
      </w:r>
      <w:r>
        <w:rPr>
          <w:color w:val="231F20"/>
          <w:spacing w:val="-3"/>
        </w:rPr>
        <w:t> </w:t>
      </w:r>
      <w:r>
        <w:rPr>
          <w:color w:val="231F20"/>
        </w:rPr>
        <w:t>the</w:t>
      </w:r>
      <w:r>
        <w:rPr>
          <w:color w:val="231F20"/>
          <w:spacing w:val="-3"/>
        </w:rPr>
        <w:t> </w:t>
      </w:r>
      <w:r>
        <w:rPr>
          <w:color w:val="231F20"/>
        </w:rPr>
        <w:t>above</w:t>
      </w:r>
      <w:r>
        <w:rPr>
          <w:color w:val="231F20"/>
          <w:spacing w:val="-3"/>
        </w:rPr>
        <w:t> </w:t>
      </w:r>
      <w:r>
        <w:rPr>
          <w:color w:val="231F20"/>
        </w:rPr>
        <w:t>activities.</w:t>
      </w:r>
      <w:r>
        <w:rPr>
          <w:color w:val="231F20"/>
          <w:spacing w:val="-3"/>
        </w:rPr>
        <w:t> </w:t>
      </w:r>
      <w:r>
        <w:rPr>
          <w:color w:val="231F20"/>
        </w:rPr>
        <w:t>Also,</w:t>
      </w:r>
      <w:r>
        <w:rPr>
          <w:color w:val="231F20"/>
          <w:spacing w:val="-4"/>
        </w:rPr>
        <w:t> </w:t>
      </w:r>
      <w:r>
        <w:rPr>
          <w:color w:val="231F20"/>
        </w:rPr>
        <w:t>as</w:t>
      </w:r>
      <w:r>
        <w:rPr>
          <w:color w:val="231F20"/>
          <w:spacing w:val="-3"/>
        </w:rPr>
        <w:t> </w:t>
      </w:r>
      <w:r>
        <w:rPr>
          <w:color w:val="231F20"/>
        </w:rPr>
        <w:t>part</w:t>
      </w:r>
      <w:r>
        <w:rPr>
          <w:color w:val="231F20"/>
          <w:spacing w:val="-3"/>
        </w:rPr>
        <w:t> </w:t>
      </w:r>
      <w:r>
        <w:rPr>
          <w:color w:val="231F20"/>
        </w:rPr>
        <w:t>of the initial discovery phase the ISO has performed an initial gap-assessment to identify critical missing </w:t>
      </w:r>
      <w:r>
        <w:rPr>
          <w:color w:val="231F20"/>
          <w:spacing w:val="-2"/>
        </w:rPr>
        <w:t>controls.</w:t>
      </w:r>
    </w:p>
    <w:p>
      <w:pPr>
        <w:pStyle w:val="BodyText"/>
        <w:rPr>
          <w:sz w:val="23"/>
        </w:rPr>
      </w:pPr>
    </w:p>
    <w:p>
      <w:pPr>
        <w:pStyle w:val="BodyText"/>
        <w:spacing w:line="276" w:lineRule="auto"/>
        <w:ind w:left="900" w:right="1027"/>
      </w:pPr>
      <w:r>
        <w:rPr>
          <w:color w:val="231F20"/>
        </w:rPr>
        <w:t>We</w:t>
      </w:r>
      <w:r>
        <w:rPr>
          <w:color w:val="231F20"/>
          <w:spacing w:val="-3"/>
        </w:rPr>
        <w:t> </w:t>
      </w:r>
      <w:r>
        <w:rPr>
          <w:color w:val="231F20"/>
        </w:rPr>
        <w:t>have</w:t>
      </w:r>
      <w:r>
        <w:rPr>
          <w:color w:val="231F20"/>
          <w:spacing w:val="-3"/>
        </w:rPr>
        <w:t> </w:t>
      </w:r>
      <w:r>
        <w:rPr>
          <w:color w:val="231F20"/>
        </w:rPr>
        <w:t>also</w:t>
      </w:r>
      <w:r>
        <w:rPr>
          <w:color w:val="231F20"/>
          <w:spacing w:val="-4"/>
        </w:rPr>
        <w:t> </w:t>
      </w:r>
      <w:r>
        <w:rPr>
          <w:color w:val="231F20"/>
        </w:rPr>
        <w:t>upgraded</w:t>
      </w:r>
      <w:r>
        <w:rPr>
          <w:color w:val="231F20"/>
          <w:spacing w:val="-3"/>
        </w:rPr>
        <w:t> </w:t>
      </w:r>
      <w:r>
        <w:rPr>
          <w:color w:val="231F20"/>
        </w:rPr>
        <w:t>our</w:t>
      </w:r>
      <w:r>
        <w:rPr>
          <w:color w:val="231F20"/>
          <w:spacing w:val="-2"/>
        </w:rPr>
        <w:t> </w:t>
      </w:r>
      <w:r>
        <w:rPr>
          <w:color w:val="231F20"/>
        </w:rPr>
        <w:t>Microsoft</w:t>
      </w:r>
      <w:r>
        <w:rPr>
          <w:color w:val="231F20"/>
          <w:spacing w:val="-3"/>
        </w:rPr>
        <w:t> </w:t>
      </w:r>
      <w:r>
        <w:rPr>
          <w:color w:val="231F20"/>
        </w:rPr>
        <w:t>environment</w:t>
      </w:r>
      <w:r>
        <w:rPr>
          <w:color w:val="231F20"/>
          <w:spacing w:val="-3"/>
        </w:rPr>
        <w:t> </w:t>
      </w:r>
      <w:r>
        <w:rPr>
          <w:color w:val="231F20"/>
        </w:rPr>
        <w:t>from</w:t>
      </w:r>
      <w:r>
        <w:rPr>
          <w:color w:val="231F20"/>
          <w:spacing w:val="-3"/>
        </w:rPr>
        <w:t> </w:t>
      </w:r>
      <w:r>
        <w:rPr>
          <w:color w:val="231F20"/>
        </w:rPr>
        <w:t>A3</w:t>
      </w:r>
      <w:r>
        <w:rPr>
          <w:color w:val="231F20"/>
          <w:spacing w:val="-3"/>
        </w:rPr>
        <w:t> </w:t>
      </w:r>
      <w:r>
        <w:rPr>
          <w:color w:val="231F20"/>
        </w:rPr>
        <w:t>to</w:t>
      </w:r>
      <w:r>
        <w:rPr>
          <w:color w:val="231F20"/>
          <w:spacing w:val="-3"/>
        </w:rPr>
        <w:t> </w:t>
      </w:r>
      <w:r>
        <w:rPr>
          <w:color w:val="231F20"/>
        </w:rPr>
        <w:t>the</w:t>
      </w:r>
      <w:r>
        <w:rPr>
          <w:color w:val="231F20"/>
          <w:spacing w:val="-2"/>
        </w:rPr>
        <w:t> </w:t>
      </w:r>
      <w:r>
        <w:rPr>
          <w:color w:val="231F20"/>
        </w:rPr>
        <w:t>more</w:t>
      </w:r>
      <w:r>
        <w:rPr>
          <w:color w:val="231F20"/>
          <w:spacing w:val="-4"/>
        </w:rPr>
        <w:t> </w:t>
      </w:r>
      <w:r>
        <w:rPr>
          <w:color w:val="231F20"/>
        </w:rPr>
        <w:t>secure</w:t>
      </w:r>
      <w:r>
        <w:rPr>
          <w:color w:val="231F20"/>
          <w:spacing w:val="-3"/>
        </w:rPr>
        <w:t> </w:t>
      </w:r>
      <w:r>
        <w:rPr>
          <w:color w:val="231F20"/>
        </w:rPr>
        <w:t>A5.</w:t>
      </w:r>
      <w:r>
        <w:rPr>
          <w:color w:val="231F20"/>
          <w:spacing w:val="-3"/>
        </w:rPr>
        <w:t> </w:t>
      </w:r>
      <w:r>
        <w:rPr>
          <w:color w:val="231F20"/>
        </w:rPr>
        <w:t>We</w:t>
      </w:r>
      <w:r>
        <w:rPr>
          <w:color w:val="231F20"/>
          <w:spacing w:val="-3"/>
        </w:rPr>
        <w:t> </w:t>
      </w:r>
      <w:r>
        <w:rPr>
          <w:color w:val="231F20"/>
        </w:rPr>
        <w:t>have</w:t>
      </w:r>
      <w:r>
        <w:rPr>
          <w:color w:val="231F20"/>
          <w:spacing w:val="-4"/>
        </w:rPr>
        <w:t> </w:t>
      </w:r>
      <w:r>
        <w:rPr>
          <w:color w:val="231F20"/>
        </w:rPr>
        <w:t>also upgraded Google Suite services to include the advanced security tools.</w:t>
      </w:r>
    </w:p>
    <w:p>
      <w:pPr>
        <w:pStyle w:val="BodyText"/>
        <w:rPr>
          <w:sz w:val="23"/>
        </w:rPr>
      </w:pPr>
    </w:p>
    <w:p>
      <w:pPr>
        <w:pStyle w:val="BodyText"/>
        <w:spacing w:line="276" w:lineRule="auto"/>
        <w:ind w:left="900" w:right="1027"/>
      </w:pPr>
      <w:r>
        <w:rPr>
          <w:color w:val="231F20"/>
        </w:rPr>
        <w:t>We</w:t>
      </w:r>
      <w:r>
        <w:rPr>
          <w:color w:val="231F20"/>
          <w:spacing w:val="-3"/>
        </w:rPr>
        <w:t> </w:t>
      </w:r>
      <w:r>
        <w:rPr>
          <w:color w:val="231F20"/>
        </w:rPr>
        <w:t>have</w:t>
      </w:r>
      <w:r>
        <w:rPr>
          <w:color w:val="231F20"/>
          <w:spacing w:val="-4"/>
        </w:rPr>
        <w:t> </w:t>
      </w:r>
      <w:r>
        <w:rPr>
          <w:color w:val="231F20"/>
        </w:rPr>
        <w:t>successfully</w:t>
      </w:r>
      <w:r>
        <w:rPr>
          <w:color w:val="231F20"/>
          <w:spacing w:val="-3"/>
        </w:rPr>
        <w:t> </w:t>
      </w:r>
      <w:r>
        <w:rPr>
          <w:color w:val="231F20"/>
        </w:rPr>
        <w:t>obtained</w:t>
      </w:r>
      <w:r>
        <w:rPr>
          <w:color w:val="231F20"/>
          <w:spacing w:val="-3"/>
        </w:rPr>
        <w:t> </w:t>
      </w:r>
      <w:r>
        <w:rPr>
          <w:color w:val="231F20"/>
        </w:rPr>
        <w:t>some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one-time</w:t>
      </w:r>
      <w:r>
        <w:rPr>
          <w:color w:val="231F20"/>
          <w:spacing w:val="-1"/>
        </w:rPr>
        <w:t> </w:t>
      </w:r>
      <w:r>
        <w:rPr>
          <w:color w:val="231F20"/>
        </w:rPr>
        <w:t>funding</w:t>
      </w:r>
      <w:r>
        <w:rPr>
          <w:color w:val="231F20"/>
          <w:spacing w:val="-3"/>
        </w:rPr>
        <w:t> </w:t>
      </w:r>
      <w:r>
        <w:rPr>
          <w:color w:val="231F20"/>
        </w:rPr>
        <w:t>requested</w:t>
      </w:r>
      <w:r>
        <w:rPr>
          <w:color w:val="231F20"/>
          <w:spacing w:val="-3"/>
        </w:rPr>
        <w:t> </w:t>
      </w:r>
      <w:r>
        <w:rPr>
          <w:color w:val="231F20"/>
        </w:rPr>
        <w:t>last</w:t>
      </w:r>
      <w:r>
        <w:rPr>
          <w:color w:val="231F20"/>
          <w:spacing w:val="-3"/>
        </w:rPr>
        <w:t> </w:t>
      </w:r>
      <w:r>
        <w:rPr>
          <w:color w:val="231F20"/>
        </w:rPr>
        <w:t>year</w:t>
      </w:r>
      <w:r>
        <w:rPr>
          <w:color w:val="231F20"/>
          <w:spacing w:val="-4"/>
        </w:rPr>
        <w:t> </w:t>
      </w:r>
      <w:r>
        <w:rPr>
          <w:color w:val="231F20"/>
        </w:rPr>
        <w:t>and</w:t>
      </w:r>
      <w:r>
        <w:rPr>
          <w:color w:val="231F20"/>
          <w:spacing w:val="-3"/>
        </w:rPr>
        <w:t> </w:t>
      </w:r>
      <w:r>
        <w:rPr>
          <w:color w:val="231F20"/>
        </w:rPr>
        <w:t>are</w:t>
      </w:r>
      <w:r>
        <w:rPr>
          <w:color w:val="231F20"/>
          <w:spacing w:val="-4"/>
        </w:rPr>
        <w:t> </w:t>
      </w:r>
      <w:r>
        <w:rPr>
          <w:color w:val="231F20"/>
        </w:rPr>
        <w:t>currently working to get those funds applied to current critical needs.</w:t>
      </w:r>
    </w:p>
    <w:p>
      <w:pPr>
        <w:pStyle w:val="BodyText"/>
        <w:rPr>
          <w:sz w:val="23"/>
        </w:rPr>
      </w:pPr>
    </w:p>
    <w:p>
      <w:pPr>
        <w:spacing w:before="0"/>
        <w:ind w:left="900" w:right="0" w:firstLine="0"/>
        <w:jc w:val="left"/>
        <w:rPr>
          <w:sz w:val="20"/>
        </w:rPr>
      </w:pPr>
      <w:r>
        <w:rPr>
          <w:b/>
          <w:color w:val="231F20"/>
          <w:sz w:val="20"/>
        </w:rPr>
        <w:t>Responsible</w:t>
      </w:r>
      <w:r>
        <w:rPr>
          <w:b/>
          <w:color w:val="231F20"/>
          <w:spacing w:val="-12"/>
          <w:sz w:val="20"/>
        </w:rPr>
        <w:t> </w:t>
      </w:r>
      <w:r>
        <w:rPr>
          <w:b/>
          <w:color w:val="231F20"/>
          <w:sz w:val="20"/>
        </w:rPr>
        <w:t>Person:</w:t>
      </w:r>
      <w:r>
        <w:rPr>
          <w:b/>
          <w:color w:val="231F20"/>
          <w:spacing w:val="-8"/>
          <w:sz w:val="20"/>
        </w:rPr>
        <w:t> </w:t>
      </w:r>
      <w:r>
        <w:rPr>
          <w:color w:val="231F20"/>
          <w:sz w:val="20"/>
        </w:rPr>
        <w:t>Director</w:t>
      </w:r>
      <w:r>
        <w:rPr>
          <w:color w:val="231F20"/>
          <w:spacing w:val="-8"/>
          <w:sz w:val="20"/>
        </w:rPr>
        <w:t> </w:t>
      </w:r>
      <w:r>
        <w:rPr>
          <w:color w:val="231F20"/>
          <w:sz w:val="20"/>
        </w:rPr>
        <w:t>of</w:t>
      </w:r>
      <w:r>
        <w:rPr>
          <w:color w:val="231F20"/>
          <w:spacing w:val="-8"/>
          <w:sz w:val="20"/>
        </w:rPr>
        <w:t> </w:t>
      </w:r>
      <w:r>
        <w:rPr>
          <w:color w:val="231F20"/>
          <w:sz w:val="20"/>
        </w:rPr>
        <w:t>Information</w:t>
      </w:r>
      <w:r>
        <w:rPr>
          <w:color w:val="231F20"/>
          <w:spacing w:val="-8"/>
          <w:sz w:val="20"/>
        </w:rPr>
        <w:t> </w:t>
      </w:r>
      <w:r>
        <w:rPr>
          <w:color w:val="231F20"/>
          <w:sz w:val="20"/>
        </w:rPr>
        <w:t>Technology</w:t>
      </w:r>
      <w:r>
        <w:rPr>
          <w:color w:val="231F20"/>
          <w:spacing w:val="-8"/>
          <w:sz w:val="20"/>
        </w:rPr>
        <w:t> </w:t>
      </w:r>
      <w:r>
        <w:rPr>
          <w:color w:val="231F20"/>
          <w:sz w:val="20"/>
        </w:rPr>
        <w:t>and</w:t>
      </w:r>
      <w:r>
        <w:rPr>
          <w:color w:val="231F20"/>
          <w:spacing w:val="-8"/>
          <w:sz w:val="20"/>
        </w:rPr>
        <w:t> </w:t>
      </w:r>
      <w:r>
        <w:rPr>
          <w:color w:val="231F20"/>
          <w:spacing w:val="-2"/>
          <w:sz w:val="20"/>
        </w:rPr>
        <w:t>Communications</w:t>
      </w:r>
    </w:p>
    <w:p>
      <w:pPr>
        <w:spacing w:after="0"/>
        <w:jc w:val="left"/>
        <w:rPr>
          <w:sz w:val="20"/>
        </w:rPr>
        <w:sectPr>
          <w:pgSz w:w="12240" w:h="15840"/>
          <w:pgMar w:header="994" w:footer="1062" w:top="1880" w:bottom="1280" w:left="540" w:right="500"/>
        </w:sectPr>
      </w:pPr>
    </w:p>
    <w:p>
      <w:pPr>
        <w:pStyle w:val="BodyText"/>
      </w:pPr>
    </w:p>
    <w:p>
      <w:pPr>
        <w:pStyle w:val="BodyText"/>
        <w:spacing w:before="6"/>
        <w:rPr>
          <w:sz w:val="22"/>
        </w:rPr>
      </w:pPr>
    </w:p>
    <w:p>
      <w:pPr>
        <w:pStyle w:val="BodyText"/>
        <w:spacing w:line="30" w:lineRule="exact"/>
        <w:ind w:left="870"/>
        <w:rPr>
          <w:sz w:val="3"/>
        </w:rPr>
      </w:pPr>
      <w:r>
        <w:rPr>
          <w:position w:val="0"/>
          <w:sz w:val="3"/>
        </w:rPr>
        <w:pict>
          <v:group style="width:471.05pt;height:1.5pt;mso-position-horizontal-relative:char;mso-position-vertical-relative:line" id="docshapegroup648" coordorigin="0,0" coordsize="9421,30">
            <v:rect style="position:absolute;left:0;top:0;width:9421;height:30" id="docshape649" filled="true" fillcolor="#231f20" stroked="false">
              <v:fill type="solid"/>
            </v:rect>
          </v:group>
        </w:pict>
      </w:r>
      <w:r>
        <w:rPr>
          <w:position w:val="0"/>
          <w:sz w:val="3"/>
        </w:rPr>
      </w:r>
    </w:p>
    <w:p>
      <w:pPr>
        <w:pStyle w:val="Heading4"/>
        <w:spacing w:before="19"/>
        <w:ind w:left="0" w:right="40"/>
        <w:jc w:val="center"/>
      </w:pPr>
      <w:r>
        <w:rPr/>
        <w:pict>
          <v:rect style="position:absolute;margin-left:70.5pt;margin-top:14.829892pt;width:471.001pt;height:1.5pt;mso-position-horizontal-relative:page;mso-position-vertical-relative:paragraph;z-index:-15579648;mso-wrap-distance-left:0;mso-wrap-distance-right:0" id="docshape650" filled="true" fillcolor="#231f20" stroked="false">
            <v:fill type="solid"/>
            <w10:wrap type="topAndBottom"/>
          </v:rect>
        </w:pict>
      </w:r>
      <w:r>
        <w:rPr>
          <w:color w:val="231F20"/>
        </w:rPr>
        <w:t>Section</w:t>
      </w:r>
      <w:r>
        <w:rPr>
          <w:color w:val="231F20"/>
          <w:spacing w:val="-7"/>
        </w:rPr>
        <w:t> </w:t>
      </w:r>
      <w:r>
        <w:rPr>
          <w:color w:val="231F20"/>
        </w:rPr>
        <w:t>IV</w:t>
      </w:r>
      <w:r>
        <w:rPr>
          <w:color w:val="231F20"/>
          <w:spacing w:val="-4"/>
        </w:rPr>
        <w:t> </w:t>
      </w:r>
      <w:r>
        <w:rPr>
          <w:color w:val="231F20"/>
        </w:rPr>
        <w:t>–</w:t>
      </w:r>
      <w:r>
        <w:rPr>
          <w:color w:val="231F20"/>
          <w:spacing w:val="-4"/>
        </w:rPr>
        <w:t> </w:t>
      </w:r>
      <w:r>
        <w:rPr>
          <w:color w:val="231F20"/>
        </w:rPr>
        <w:t>Other</w:t>
      </w:r>
      <w:r>
        <w:rPr>
          <w:color w:val="231F20"/>
          <w:spacing w:val="-4"/>
        </w:rPr>
        <w:t> </w:t>
      </w:r>
      <w:r>
        <w:rPr>
          <w:color w:val="231F20"/>
        </w:rPr>
        <w:t>Matter</w:t>
      </w:r>
      <w:r>
        <w:rPr>
          <w:color w:val="231F20"/>
          <w:spacing w:val="-5"/>
        </w:rPr>
        <w:t> </w:t>
      </w:r>
      <w:r>
        <w:rPr>
          <w:color w:val="231F20"/>
        </w:rPr>
        <w:t>Findings</w:t>
      </w:r>
      <w:r>
        <w:rPr>
          <w:color w:val="231F20"/>
          <w:spacing w:val="-4"/>
        </w:rPr>
        <w:t> </w:t>
      </w:r>
      <w:r>
        <w:rPr>
          <w:color w:val="231F20"/>
        </w:rPr>
        <w:t>as</w:t>
      </w:r>
      <w:r>
        <w:rPr>
          <w:color w:val="231F20"/>
          <w:spacing w:val="-5"/>
        </w:rPr>
        <w:t> </w:t>
      </w:r>
      <w:r>
        <w:rPr>
          <w:color w:val="231F20"/>
        </w:rPr>
        <w:t>Required</w:t>
      </w:r>
      <w:r>
        <w:rPr>
          <w:color w:val="231F20"/>
          <w:spacing w:val="-4"/>
        </w:rPr>
        <w:t> </w:t>
      </w:r>
      <w:r>
        <w:rPr>
          <w:color w:val="231F20"/>
        </w:rPr>
        <w:t>by</w:t>
      </w:r>
      <w:r>
        <w:rPr>
          <w:color w:val="231F20"/>
          <w:spacing w:val="-5"/>
        </w:rPr>
        <w:t> </w:t>
      </w:r>
      <w:r>
        <w:rPr>
          <w:color w:val="231F20"/>
        </w:rPr>
        <w:t>Section</w:t>
      </w:r>
      <w:r>
        <w:rPr>
          <w:color w:val="231F20"/>
          <w:spacing w:val="-4"/>
        </w:rPr>
        <w:t> </w:t>
      </w:r>
      <w:r>
        <w:rPr>
          <w:color w:val="231F20"/>
        </w:rPr>
        <w:t>12-6-5</w:t>
      </w:r>
      <w:r>
        <w:rPr>
          <w:color w:val="231F20"/>
          <w:spacing w:val="-4"/>
        </w:rPr>
        <w:t> </w:t>
      </w:r>
      <w:r>
        <w:rPr>
          <w:color w:val="231F20"/>
        </w:rPr>
        <w:t>NMSA</w:t>
      </w:r>
      <w:r>
        <w:rPr>
          <w:color w:val="231F20"/>
          <w:spacing w:val="-3"/>
        </w:rPr>
        <w:t> </w:t>
      </w:r>
      <w:r>
        <w:rPr>
          <w:color w:val="231F20"/>
          <w:spacing w:val="-4"/>
        </w:rPr>
        <w:t>1978</w:t>
      </w:r>
    </w:p>
    <w:p>
      <w:pPr>
        <w:pStyle w:val="BodyText"/>
        <w:rPr>
          <w:b/>
        </w:rPr>
      </w:pPr>
    </w:p>
    <w:p>
      <w:pPr>
        <w:pStyle w:val="BodyText"/>
        <w:rPr>
          <w:b/>
        </w:rPr>
      </w:pPr>
    </w:p>
    <w:p>
      <w:pPr>
        <w:spacing w:before="0"/>
        <w:ind w:left="900" w:right="0" w:firstLine="0"/>
        <w:jc w:val="left"/>
        <w:rPr>
          <w:b/>
          <w:sz w:val="20"/>
        </w:rPr>
      </w:pPr>
      <w:r>
        <w:rPr>
          <w:b/>
          <w:color w:val="231F20"/>
          <w:sz w:val="20"/>
        </w:rPr>
        <w:t>2022-005</w:t>
      </w:r>
      <w:r>
        <w:rPr>
          <w:b/>
          <w:color w:val="231F20"/>
          <w:spacing w:val="-7"/>
          <w:sz w:val="20"/>
        </w:rPr>
        <w:t> </w:t>
      </w:r>
      <w:r>
        <w:rPr>
          <w:b/>
          <w:color w:val="231F20"/>
          <w:sz w:val="20"/>
        </w:rPr>
        <w:t>–</w:t>
      </w:r>
      <w:r>
        <w:rPr>
          <w:b/>
          <w:color w:val="231F20"/>
          <w:spacing w:val="-6"/>
          <w:sz w:val="20"/>
        </w:rPr>
        <w:t> </w:t>
      </w:r>
      <w:r>
        <w:rPr>
          <w:b/>
          <w:color w:val="231F20"/>
          <w:sz w:val="20"/>
        </w:rPr>
        <w:t>Direct</w:t>
      </w:r>
      <w:r>
        <w:rPr>
          <w:b/>
          <w:color w:val="231F20"/>
          <w:spacing w:val="-6"/>
          <w:sz w:val="20"/>
        </w:rPr>
        <w:t> </w:t>
      </w:r>
      <w:r>
        <w:rPr>
          <w:b/>
          <w:color w:val="231F20"/>
          <w:sz w:val="20"/>
        </w:rPr>
        <w:t>Loan</w:t>
      </w:r>
      <w:r>
        <w:rPr>
          <w:b/>
          <w:color w:val="231F20"/>
          <w:spacing w:val="-6"/>
          <w:sz w:val="20"/>
        </w:rPr>
        <w:t> </w:t>
      </w:r>
      <w:r>
        <w:rPr>
          <w:b/>
          <w:color w:val="231F20"/>
          <w:sz w:val="20"/>
        </w:rPr>
        <w:t>Program</w:t>
      </w:r>
      <w:r>
        <w:rPr>
          <w:b/>
          <w:color w:val="231F20"/>
          <w:spacing w:val="-4"/>
          <w:sz w:val="20"/>
        </w:rPr>
        <w:t> </w:t>
      </w:r>
      <w:r>
        <w:rPr>
          <w:b/>
          <w:color w:val="231F20"/>
          <w:sz w:val="20"/>
        </w:rPr>
        <w:t>Eligibility</w:t>
      </w:r>
      <w:r>
        <w:rPr>
          <w:b/>
          <w:color w:val="231F20"/>
          <w:spacing w:val="-6"/>
          <w:sz w:val="20"/>
        </w:rPr>
        <w:t> </w:t>
      </w:r>
      <w:r>
        <w:rPr>
          <w:b/>
          <w:color w:val="231F20"/>
          <w:sz w:val="20"/>
        </w:rPr>
        <w:t>(Other</w:t>
      </w:r>
      <w:r>
        <w:rPr>
          <w:b/>
          <w:color w:val="231F20"/>
          <w:spacing w:val="-6"/>
          <w:sz w:val="20"/>
        </w:rPr>
        <w:t> </w:t>
      </w:r>
      <w:r>
        <w:rPr>
          <w:b/>
          <w:color w:val="231F20"/>
          <w:spacing w:val="-2"/>
          <w:sz w:val="20"/>
        </w:rPr>
        <w:t>Matter)</w:t>
      </w:r>
    </w:p>
    <w:p>
      <w:pPr>
        <w:pStyle w:val="BodyText"/>
        <w:rPr>
          <w:b/>
          <w:sz w:val="26"/>
        </w:rPr>
      </w:pPr>
    </w:p>
    <w:p>
      <w:pPr>
        <w:pStyle w:val="BodyText"/>
        <w:spacing w:line="276" w:lineRule="auto"/>
        <w:ind w:left="900" w:right="1293" w:hanging="1"/>
      </w:pPr>
      <w:r>
        <w:rPr>
          <w:b/>
          <w:color w:val="231F20"/>
        </w:rPr>
        <w:t>Condition:</w:t>
      </w:r>
      <w:r>
        <w:rPr>
          <w:b/>
          <w:color w:val="231F20"/>
          <w:spacing w:val="-3"/>
        </w:rPr>
        <w:t> </w:t>
      </w:r>
      <w:r>
        <w:rPr>
          <w:color w:val="231F20"/>
        </w:rPr>
        <w:t>Out</w:t>
      </w:r>
      <w:r>
        <w:rPr>
          <w:color w:val="231F20"/>
          <w:spacing w:val="-3"/>
        </w:rPr>
        <w:t> </w:t>
      </w:r>
      <w:r>
        <w:rPr>
          <w:color w:val="231F20"/>
        </w:rPr>
        <w:t>of</w:t>
      </w:r>
      <w:r>
        <w:rPr>
          <w:color w:val="231F20"/>
          <w:spacing w:val="-4"/>
        </w:rPr>
        <w:t> </w:t>
      </w:r>
      <w:r>
        <w:rPr>
          <w:color w:val="231F20"/>
        </w:rPr>
        <w:t>25</w:t>
      </w:r>
      <w:r>
        <w:rPr>
          <w:color w:val="231F20"/>
          <w:spacing w:val="-3"/>
        </w:rPr>
        <w:t> </w:t>
      </w:r>
      <w:r>
        <w:rPr>
          <w:color w:val="231F20"/>
        </w:rPr>
        <w:t>students</w:t>
      </w:r>
      <w:r>
        <w:rPr>
          <w:color w:val="231F20"/>
          <w:spacing w:val="-3"/>
        </w:rPr>
        <w:t> </w:t>
      </w:r>
      <w:r>
        <w:rPr>
          <w:color w:val="231F20"/>
        </w:rPr>
        <w:t>tested</w:t>
      </w:r>
      <w:r>
        <w:rPr>
          <w:color w:val="231F20"/>
          <w:spacing w:val="-3"/>
        </w:rPr>
        <w:t> </w:t>
      </w:r>
      <w:r>
        <w:rPr>
          <w:color w:val="231F20"/>
        </w:rPr>
        <w:t>for</w:t>
      </w:r>
      <w:r>
        <w:rPr>
          <w:color w:val="231F20"/>
          <w:spacing w:val="-3"/>
        </w:rPr>
        <w:t> </w:t>
      </w:r>
      <w:r>
        <w:rPr>
          <w:color w:val="231F20"/>
        </w:rPr>
        <w:t>eligibility,</w:t>
      </w:r>
      <w:r>
        <w:rPr>
          <w:color w:val="231F20"/>
          <w:spacing w:val="-3"/>
        </w:rPr>
        <w:t> </w:t>
      </w:r>
      <w:r>
        <w:rPr>
          <w:color w:val="231F20"/>
        </w:rPr>
        <w:t>one</w:t>
      </w:r>
      <w:r>
        <w:rPr>
          <w:color w:val="231F20"/>
          <w:spacing w:val="-4"/>
        </w:rPr>
        <w:t> </w:t>
      </w:r>
      <w:r>
        <w:rPr>
          <w:color w:val="231F20"/>
        </w:rPr>
        <w:t>student</w:t>
      </w:r>
      <w:r>
        <w:rPr>
          <w:color w:val="231F20"/>
          <w:spacing w:val="-3"/>
        </w:rPr>
        <w:t> </w:t>
      </w:r>
      <w:r>
        <w:rPr>
          <w:color w:val="231F20"/>
        </w:rPr>
        <w:t>was</w:t>
      </w:r>
      <w:r>
        <w:rPr>
          <w:color w:val="231F20"/>
          <w:spacing w:val="-4"/>
        </w:rPr>
        <w:t> </w:t>
      </w:r>
      <w:r>
        <w:rPr>
          <w:color w:val="231F20"/>
        </w:rPr>
        <w:t>eligible</w:t>
      </w:r>
      <w:r>
        <w:rPr>
          <w:color w:val="231F20"/>
          <w:spacing w:val="-3"/>
        </w:rPr>
        <w:t> </w:t>
      </w:r>
      <w:r>
        <w:rPr>
          <w:color w:val="231F20"/>
        </w:rPr>
        <w:t>for</w:t>
      </w:r>
      <w:r>
        <w:rPr>
          <w:color w:val="231F20"/>
          <w:spacing w:val="-3"/>
        </w:rPr>
        <w:t> </w:t>
      </w:r>
      <w:r>
        <w:rPr>
          <w:color w:val="231F20"/>
        </w:rPr>
        <w:t>but</w:t>
      </w:r>
      <w:r>
        <w:rPr>
          <w:color w:val="231F20"/>
          <w:spacing w:val="-3"/>
        </w:rPr>
        <w:t> </w:t>
      </w:r>
      <w:r>
        <w:rPr>
          <w:color w:val="231F20"/>
        </w:rPr>
        <w:t>was</w:t>
      </w:r>
      <w:r>
        <w:rPr>
          <w:color w:val="231F20"/>
          <w:spacing w:val="-3"/>
        </w:rPr>
        <w:t> </w:t>
      </w:r>
      <w:r>
        <w:rPr>
          <w:color w:val="231F20"/>
        </w:rPr>
        <w:t>not</w:t>
      </w:r>
      <w:r>
        <w:rPr>
          <w:color w:val="231F20"/>
          <w:spacing w:val="-3"/>
        </w:rPr>
        <w:t> </w:t>
      </w:r>
      <w:r>
        <w:rPr>
          <w:color w:val="231F20"/>
        </w:rPr>
        <w:t>offered</w:t>
      </w:r>
      <w:r>
        <w:rPr>
          <w:color w:val="231F20"/>
          <w:spacing w:val="-3"/>
        </w:rPr>
        <w:t> </w:t>
      </w:r>
      <w:r>
        <w:rPr>
          <w:color w:val="231F20"/>
        </w:rPr>
        <w:t>a direct subsidized loan.</w:t>
      </w:r>
    </w:p>
    <w:p>
      <w:pPr>
        <w:pStyle w:val="BodyText"/>
        <w:rPr>
          <w:sz w:val="23"/>
        </w:rPr>
      </w:pPr>
    </w:p>
    <w:p>
      <w:pPr>
        <w:pStyle w:val="BodyText"/>
        <w:ind w:left="900"/>
      </w:pPr>
      <w:r>
        <w:rPr>
          <w:b/>
          <w:color w:val="231F20"/>
        </w:rPr>
        <w:t>Criteria:</w:t>
      </w:r>
      <w:r>
        <w:rPr>
          <w:b/>
          <w:color w:val="231F20"/>
          <w:spacing w:val="-7"/>
        </w:rPr>
        <w:t> </w:t>
      </w:r>
      <w:r>
        <w:rPr>
          <w:color w:val="231F20"/>
        </w:rPr>
        <w:t>34</w:t>
      </w:r>
      <w:r>
        <w:rPr>
          <w:color w:val="231F20"/>
          <w:spacing w:val="-8"/>
        </w:rPr>
        <w:t> </w:t>
      </w:r>
      <w:r>
        <w:rPr>
          <w:color w:val="231F20"/>
        </w:rPr>
        <w:t>CFR</w:t>
      </w:r>
      <w:r>
        <w:rPr>
          <w:color w:val="231F20"/>
          <w:spacing w:val="-6"/>
        </w:rPr>
        <w:t> </w:t>
      </w:r>
      <w:r>
        <w:rPr>
          <w:color w:val="231F20"/>
        </w:rPr>
        <w:t>685.200</w:t>
      </w:r>
      <w:r>
        <w:rPr>
          <w:color w:val="231F20"/>
          <w:spacing w:val="-7"/>
        </w:rPr>
        <w:t> </w:t>
      </w:r>
      <w:r>
        <w:rPr>
          <w:color w:val="231F20"/>
        </w:rPr>
        <w:t>defines</w:t>
      </w:r>
      <w:r>
        <w:rPr>
          <w:color w:val="231F20"/>
          <w:spacing w:val="-6"/>
        </w:rPr>
        <w:t> </w:t>
      </w:r>
      <w:r>
        <w:rPr>
          <w:color w:val="231F20"/>
        </w:rPr>
        <w:t>borrower</w:t>
      </w:r>
      <w:r>
        <w:rPr>
          <w:color w:val="231F20"/>
          <w:spacing w:val="-7"/>
        </w:rPr>
        <w:t> </w:t>
      </w:r>
      <w:r>
        <w:rPr>
          <w:color w:val="231F20"/>
        </w:rPr>
        <w:t>eligibility</w:t>
      </w:r>
      <w:r>
        <w:rPr>
          <w:color w:val="231F20"/>
          <w:spacing w:val="-8"/>
        </w:rPr>
        <w:t> </w:t>
      </w:r>
      <w:r>
        <w:rPr>
          <w:color w:val="231F20"/>
        </w:rPr>
        <w:t>for</w:t>
      </w:r>
      <w:r>
        <w:rPr>
          <w:color w:val="231F20"/>
          <w:spacing w:val="-6"/>
        </w:rPr>
        <w:t> </w:t>
      </w:r>
      <w:r>
        <w:rPr>
          <w:color w:val="231F20"/>
        </w:rPr>
        <w:t>Direct</w:t>
      </w:r>
      <w:r>
        <w:rPr>
          <w:color w:val="231F20"/>
          <w:spacing w:val="-7"/>
        </w:rPr>
        <w:t> </w:t>
      </w:r>
      <w:r>
        <w:rPr>
          <w:color w:val="231F20"/>
        </w:rPr>
        <w:t>Subsidized</w:t>
      </w:r>
      <w:r>
        <w:rPr>
          <w:color w:val="231F20"/>
          <w:spacing w:val="-6"/>
        </w:rPr>
        <w:t> </w:t>
      </w:r>
      <w:r>
        <w:rPr>
          <w:color w:val="231F20"/>
          <w:spacing w:val="-2"/>
        </w:rPr>
        <w:t>Loans/</w:t>
      </w:r>
    </w:p>
    <w:p>
      <w:pPr>
        <w:pStyle w:val="BodyText"/>
        <w:rPr>
          <w:sz w:val="26"/>
        </w:rPr>
      </w:pPr>
    </w:p>
    <w:p>
      <w:pPr>
        <w:pStyle w:val="BodyText"/>
        <w:spacing w:line="276" w:lineRule="auto" w:before="1"/>
        <w:ind w:left="900" w:right="1027"/>
      </w:pPr>
      <w:r>
        <w:rPr>
          <w:b/>
          <w:color w:val="231F20"/>
        </w:rPr>
        <w:t>Cause:</w:t>
      </w:r>
      <w:r>
        <w:rPr>
          <w:b/>
          <w:color w:val="231F20"/>
          <w:spacing w:val="-3"/>
        </w:rPr>
        <w:t> </w:t>
      </w:r>
      <w:r>
        <w:rPr>
          <w:color w:val="231F20"/>
        </w:rPr>
        <w:t>Due</w:t>
      </w:r>
      <w:r>
        <w:rPr>
          <w:color w:val="231F20"/>
          <w:spacing w:val="-3"/>
        </w:rPr>
        <w:t> </w:t>
      </w:r>
      <w:r>
        <w:rPr>
          <w:color w:val="231F20"/>
        </w:rPr>
        <w:t>to</w:t>
      </w:r>
      <w:r>
        <w:rPr>
          <w:color w:val="231F20"/>
          <w:spacing w:val="-3"/>
        </w:rPr>
        <w:t> </w:t>
      </w:r>
      <w:r>
        <w:rPr>
          <w:color w:val="231F20"/>
        </w:rPr>
        <w:t>changes</w:t>
      </w:r>
      <w:r>
        <w:rPr>
          <w:color w:val="231F20"/>
          <w:spacing w:val="-3"/>
        </w:rPr>
        <w:t> </w:t>
      </w:r>
      <w:r>
        <w:rPr>
          <w:color w:val="231F20"/>
        </w:rPr>
        <w:t>in</w:t>
      </w:r>
      <w:r>
        <w:rPr>
          <w:color w:val="231F20"/>
          <w:spacing w:val="-4"/>
        </w:rPr>
        <w:t> </w:t>
      </w:r>
      <w:r>
        <w:rPr>
          <w:color w:val="231F20"/>
        </w:rPr>
        <w:t>a</w:t>
      </w:r>
      <w:r>
        <w:rPr>
          <w:color w:val="231F20"/>
          <w:spacing w:val="-3"/>
        </w:rPr>
        <w:t> </w:t>
      </w:r>
      <w:r>
        <w:rPr>
          <w:color w:val="231F20"/>
        </w:rPr>
        <w:t>student’s</w:t>
      </w:r>
      <w:r>
        <w:rPr>
          <w:color w:val="231F20"/>
          <w:spacing w:val="-3"/>
        </w:rPr>
        <w:t> </w:t>
      </w:r>
      <w:r>
        <w:rPr>
          <w:color w:val="231F20"/>
        </w:rPr>
        <w:t>eligibility</w:t>
      </w:r>
      <w:r>
        <w:rPr>
          <w:color w:val="231F20"/>
          <w:spacing w:val="-3"/>
        </w:rPr>
        <w:t> </w:t>
      </w:r>
      <w:r>
        <w:rPr>
          <w:color w:val="231F20"/>
        </w:rPr>
        <w:t>throughout</w:t>
      </w:r>
      <w:r>
        <w:rPr>
          <w:color w:val="231F20"/>
          <w:spacing w:val="-3"/>
        </w:rPr>
        <w:t> </w:t>
      </w:r>
      <w:r>
        <w:rPr>
          <w:color w:val="231F20"/>
        </w:rPr>
        <w:t>the</w:t>
      </w:r>
      <w:r>
        <w:rPr>
          <w:color w:val="231F20"/>
          <w:spacing w:val="-3"/>
        </w:rPr>
        <w:t> </w:t>
      </w:r>
      <w:r>
        <w:rPr>
          <w:color w:val="231F20"/>
        </w:rPr>
        <w:t>year,</w:t>
      </w:r>
      <w:r>
        <w:rPr>
          <w:color w:val="231F20"/>
          <w:spacing w:val="-4"/>
        </w:rPr>
        <w:t> </w:t>
      </w:r>
      <w:r>
        <w:rPr>
          <w:color w:val="231F20"/>
        </w:rPr>
        <w:t>the</w:t>
      </w:r>
      <w:r>
        <w:rPr>
          <w:color w:val="231F20"/>
          <w:spacing w:val="-3"/>
        </w:rPr>
        <w:t> </w:t>
      </w:r>
      <w:r>
        <w:rPr>
          <w:color w:val="231F20"/>
        </w:rPr>
        <w:t>student’s</w:t>
      </w:r>
      <w:r>
        <w:rPr>
          <w:color w:val="231F20"/>
          <w:spacing w:val="-3"/>
        </w:rPr>
        <w:t> </w:t>
      </w:r>
      <w:r>
        <w:rPr>
          <w:color w:val="231F20"/>
        </w:rPr>
        <w:t>eligibility</w:t>
      </w:r>
      <w:r>
        <w:rPr>
          <w:color w:val="231F20"/>
          <w:spacing w:val="-3"/>
        </w:rPr>
        <w:t> </w:t>
      </w:r>
      <w:r>
        <w:rPr>
          <w:color w:val="231F20"/>
        </w:rPr>
        <w:t>for</w:t>
      </w:r>
      <w:r>
        <w:rPr>
          <w:color w:val="231F20"/>
          <w:spacing w:val="-4"/>
        </w:rPr>
        <w:t> </w:t>
      </w:r>
      <w:r>
        <w:rPr>
          <w:color w:val="231F20"/>
        </w:rPr>
        <w:t>direct subsidized loan was not reevaluated after they became eligible.</w:t>
      </w:r>
    </w:p>
    <w:p>
      <w:pPr>
        <w:pStyle w:val="BodyText"/>
        <w:spacing w:before="11"/>
        <w:rPr>
          <w:sz w:val="22"/>
        </w:rPr>
      </w:pPr>
    </w:p>
    <w:p>
      <w:pPr>
        <w:pStyle w:val="BodyText"/>
        <w:ind w:left="900"/>
      </w:pPr>
      <w:r>
        <w:rPr>
          <w:b/>
          <w:color w:val="231F20"/>
        </w:rPr>
        <w:t>Effect:</w:t>
      </w:r>
      <w:r>
        <w:rPr>
          <w:b/>
          <w:color w:val="231F20"/>
          <w:spacing w:val="-7"/>
        </w:rPr>
        <w:t> </w:t>
      </w:r>
      <w:r>
        <w:rPr>
          <w:color w:val="231F20"/>
        </w:rPr>
        <w:t>Noncompliance</w:t>
      </w:r>
      <w:r>
        <w:rPr>
          <w:color w:val="231F20"/>
          <w:spacing w:val="-5"/>
        </w:rPr>
        <w:t> </w:t>
      </w:r>
      <w:r>
        <w:rPr>
          <w:color w:val="231F20"/>
        </w:rPr>
        <w:t>with</w:t>
      </w:r>
      <w:r>
        <w:rPr>
          <w:color w:val="231F20"/>
          <w:spacing w:val="-4"/>
        </w:rPr>
        <w:t> </w:t>
      </w:r>
      <w:r>
        <w:rPr>
          <w:color w:val="231F20"/>
        </w:rPr>
        <w:t>federal</w:t>
      </w:r>
      <w:r>
        <w:rPr>
          <w:color w:val="231F20"/>
          <w:spacing w:val="-4"/>
        </w:rPr>
        <w:t> </w:t>
      </w:r>
      <w:r>
        <w:rPr>
          <w:color w:val="231F20"/>
        </w:rPr>
        <w:t>direct</w:t>
      </w:r>
      <w:r>
        <w:rPr>
          <w:color w:val="231F20"/>
          <w:spacing w:val="-4"/>
        </w:rPr>
        <w:t> </w:t>
      </w:r>
      <w:r>
        <w:rPr>
          <w:color w:val="231F20"/>
        </w:rPr>
        <w:t>loan</w:t>
      </w:r>
      <w:r>
        <w:rPr>
          <w:color w:val="231F20"/>
          <w:spacing w:val="-4"/>
        </w:rPr>
        <w:t> </w:t>
      </w:r>
      <w:r>
        <w:rPr>
          <w:color w:val="231F20"/>
          <w:spacing w:val="-2"/>
        </w:rPr>
        <w:t>regulations</w:t>
      </w:r>
    </w:p>
    <w:p>
      <w:pPr>
        <w:pStyle w:val="BodyText"/>
        <w:rPr>
          <w:sz w:val="26"/>
        </w:rPr>
      </w:pPr>
    </w:p>
    <w:p>
      <w:pPr>
        <w:spacing w:before="0"/>
        <w:ind w:left="900" w:right="0" w:firstLine="0"/>
        <w:jc w:val="left"/>
        <w:rPr>
          <w:sz w:val="20"/>
        </w:rPr>
      </w:pPr>
      <w:r>
        <w:rPr>
          <w:b/>
          <w:color w:val="231F20"/>
          <w:sz w:val="20"/>
        </w:rPr>
        <w:t>Repeat</w:t>
      </w:r>
      <w:r>
        <w:rPr>
          <w:b/>
          <w:color w:val="231F20"/>
          <w:spacing w:val="-6"/>
          <w:sz w:val="20"/>
        </w:rPr>
        <w:t> </w:t>
      </w:r>
      <w:r>
        <w:rPr>
          <w:b/>
          <w:color w:val="231F20"/>
          <w:sz w:val="20"/>
        </w:rPr>
        <w:t>Finding:</w:t>
      </w:r>
      <w:r>
        <w:rPr>
          <w:b/>
          <w:color w:val="231F20"/>
          <w:spacing w:val="-3"/>
          <w:sz w:val="20"/>
        </w:rPr>
        <w:t> </w:t>
      </w:r>
      <w:r>
        <w:rPr>
          <w:color w:val="231F20"/>
          <w:sz w:val="20"/>
        </w:rPr>
        <w:t>This</w:t>
      </w:r>
      <w:r>
        <w:rPr>
          <w:color w:val="231F20"/>
          <w:spacing w:val="-2"/>
          <w:sz w:val="20"/>
        </w:rPr>
        <w:t> </w:t>
      </w:r>
      <w:r>
        <w:rPr>
          <w:color w:val="231F20"/>
          <w:sz w:val="20"/>
        </w:rPr>
        <w:t>is</w:t>
      </w:r>
      <w:r>
        <w:rPr>
          <w:color w:val="231F20"/>
          <w:spacing w:val="-4"/>
          <w:sz w:val="20"/>
        </w:rPr>
        <w:t> </w:t>
      </w:r>
      <w:r>
        <w:rPr>
          <w:color w:val="231F20"/>
          <w:sz w:val="20"/>
        </w:rPr>
        <w:t>not</w:t>
      </w:r>
      <w:r>
        <w:rPr>
          <w:color w:val="231F20"/>
          <w:spacing w:val="-3"/>
          <w:sz w:val="20"/>
        </w:rPr>
        <w:t> </w:t>
      </w:r>
      <w:r>
        <w:rPr>
          <w:color w:val="231F20"/>
          <w:sz w:val="20"/>
        </w:rPr>
        <w:t>a</w:t>
      </w:r>
      <w:r>
        <w:rPr>
          <w:color w:val="231F20"/>
          <w:spacing w:val="-4"/>
          <w:sz w:val="20"/>
        </w:rPr>
        <w:t> </w:t>
      </w:r>
      <w:r>
        <w:rPr>
          <w:color w:val="231F20"/>
          <w:sz w:val="20"/>
        </w:rPr>
        <w:t>repeat</w:t>
      </w:r>
      <w:r>
        <w:rPr>
          <w:color w:val="231F20"/>
          <w:spacing w:val="-3"/>
          <w:sz w:val="20"/>
        </w:rPr>
        <w:t> </w:t>
      </w:r>
      <w:r>
        <w:rPr>
          <w:color w:val="231F20"/>
          <w:spacing w:val="-2"/>
          <w:sz w:val="20"/>
        </w:rPr>
        <w:t>finding.</w:t>
      </w:r>
    </w:p>
    <w:p>
      <w:pPr>
        <w:pStyle w:val="BodyText"/>
        <w:rPr>
          <w:sz w:val="26"/>
        </w:rPr>
      </w:pPr>
    </w:p>
    <w:p>
      <w:pPr>
        <w:pStyle w:val="BodyText"/>
        <w:spacing w:line="276" w:lineRule="auto"/>
        <w:ind w:left="900" w:right="1027"/>
      </w:pPr>
      <w:r>
        <w:rPr>
          <w:b/>
          <w:color w:val="231F20"/>
        </w:rPr>
        <w:t>Recommendation:</w:t>
      </w:r>
      <w:r>
        <w:rPr>
          <w:b/>
          <w:color w:val="231F20"/>
          <w:spacing w:val="-5"/>
        </w:rPr>
        <w:t> </w:t>
      </w:r>
      <w:r>
        <w:rPr>
          <w:color w:val="231F20"/>
        </w:rPr>
        <w:t>We</w:t>
      </w:r>
      <w:r>
        <w:rPr>
          <w:color w:val="231F20"/>
          <w:spacing w:val="-5"/>
        </w:rPr>
        <w:t> </w:t>
      </w:r>
      <w:r>
        <w:rPr>
          <w:color w:val="231F20"/>
        </w:rPr>
        <w:t>recommend</w:t>
      </w:r>
      <w:r>
        <w:rPr>
          <w:color w:val="231F20"/>
          <w:spacing w:val="-5"/>
        </w:rPr>
        <w:t> </w:t>
      </w:r>
      <w:r>
        <w:rPr>
          <w:color w:val="231F20"/>
        </w:rPr>
        <w:t>the</w:t>
      </w:r>
      <w:r>
        <w:rPr>
          <w:color w:val="231F20"/>
          <w:spacing w:val="-6"/>
        </w:rPr>
        <w:t> </w:t>
      </w:r>
      <w:r>
        <w:rPr>
          <w:color w:val="231F20"/>
        </w:rPr>
        <w:t>Institute</w:t>
      </w:r>
      <w:r>
        <w:rPr>
          <w:color w:val="231F20"/>
          <w:spacing w:val="-5"/>
        </w:rPr>
        <w:t> </w:t>
      </w:r>
      <w:r>
        <w:rPr>
          <w:color w:val="231F20"/>
        </w:rPr>
        <w:t>implement</w:t>
      </w:r>
      <w:r>
        <w:rPr>
          <w:color w:val="231F20"/>
          <w:spacing w:val="-3"/>
        </w:rPr>
        <w:t> </w:t>
      </w:r>
      <w:r>
        <w:rPr>
          <w:color w:val="231F20"/>
        </w:rPr>
        <w:t>procedures</w:t>
      </w:r>
      <w:r>
        <w:rPr>
          <w:color w:val="231F20"/>
          <w:spacing w:val="-4"/>
        </w:rPr>
        <w:t> </w:t>
      </w:r>
      <w:r>
        <w:rPr>
          <w:color w:val="231F20"/>
        </w:rPr>
        <w:t>for</w:t>
      </w:r>
      <w:r>
        <w:rPr>
          <w:color w:val="231F20"/>
          <w:spacing w:val="-5"/>
        </w:rPr>
        <w:t> </w:t>
      </w:r>
      <w:r>
        <w:rPr>
          <w:color w:val="231F20"/>
        </w:rPr>
        <w:t>reevaluating</w:t>
      </w:r>
      <w:r>
        <w:rPr>
          <w:color w:val="231F20"/>
          <w:spacing w:val="-5"/>
        </w:rPr>
        <w:t> </w:t>
      </w:r>
      <w:r>
        <w:rPr>
          <w:color w:val="231F20"/>
        </w:rPr>
        <w:t>eligibility following a change in students’ outside aid received.</w:t>
      </w:r>
    </w:p>
    <w:p>
      <w:pPr>
        <w:pStyle w:val="BodyText"/>
        <w:rPr>
          <w:sz w:val="23"/>
        </w:rPr>
      </w:pPr>
    </w:p>
    <w:p>
      <w:pPr>
        <w:pStyle w:val="BodyText"/>
        <w:spacing w:line="276" w:lineRule="auto"/>
        <w:ind w:left="900" w:right="951"/>
      </w:pPr>
      <w:r>
        <w:rPr>
          <w:b/>
          <w:color w:val="231F20"/>
        </w:rPr>
        <w:t>Views</w:t>
      </w:r>
      <w:r>
        <w:rPr>
          <w:b/>
          <w:color w:val="231F20"/>
          <w:spacing w:val="-4"/>
        </w:rPr>
        <w:t> </w:t>
      </w:r>
      <w:r>
        <w:rPr>
          <w:b/>
          <w:color w:val="231F20"/>
        </w:rPr>
        <w:t>of</w:t>
      </w:r>
      <w:r>
        <w:rPr>
          <w:b/>
          <w:color w:val="231F20"/>
          <w:spacing w:val="-4"/>
        </w:rPr>
        <w:t> </w:t>
      </w:r>
      <w:r>
        <w:rPr>
          <w:b/>
          <w:color w:val="231F20"/>
        </w:rPr>
        <w:t>Responsible</w:t>
      </w:r>
      <w:r>
        <w:rPr>
          <w:b/>
          <w:color w:val="231F20"/>
          <w:spacing w:val="-4"/>
        </w:rPr>
        <w:t> </w:t>
      </w:r>
      <w:r>
        <w:rPr>
          <w:b/>
          <w:color w:val="231F20"/>
        </w:rPr>
        <w:t>Officials</w:t>
      </w:r>
      <w:r>
        <w:rPr>
          <w:b/>
          <w:color w:val="231F20"/>
          <w:spacing w:val="-4"/>
        </w:rPr>
        <w:t> </w:t>
      </w:r>
      <w:r>
        <w:rPr>
          <w:b/>
          <w:color w:val="231F20"/>
        </w:rPr>
        <w:t>and</w:t>
      </w:r>
      <w:r>
        <w:rPr>
          <w:b/>
          <w:color w:val="231F20"/>
          <w:spacing w:val="-4"/>
        </w:rPr>
        <w:t> </w:t>
      </w:r>
      <w:r>
        <w:rPr>
          <w:b/>
          <w:color w:val="231F20"/>
        </w:rPr>
        <w:t>Planned</w:t>
      </w:r>
      <w:r>
        <w:rPr>
          <w:b/>
          <w:color w:val="231F20"/>
          <w:spacing w:val="-5"/>
        </w:rPr>
        <w:t> </w:t>
      </w:r>
      <w:r>
        <w:rPr>
          <w:b/>
          <w:color w:val="231F20"/>
        </w:rPr>
        <w:t>Corrective</w:t>
      </w:r>
      <w:r>
        <w:rPr>
          <w:b/>
          <w:color w:val="231F20"/>
          <w:spacing w:val="-4"/>
        </w:rPr>
        <w:t> </w:t>
      </w:r>
      <w:r>
        <w:rPr>
          <w:b/>
          <w:color w:val="231F20"/>
        </w:rPr>
        <w:t>Actions:</w:t>
      </w:r>
      <w:r>
        <w:rPr>
          <w:b/>
          <w:color w:val="231F20"/>
          <w:spacing w:val="-1"/>
        </w:rPr>
        <w:t> </w:t>
      </w:r>
      <w:r>
        <w:rPr>
          <w:color w:val="231F20"/>
        </w:rPr>
        <w:t>There</w:t>
      </w:r>
      <w:r>
        <w:rPr>
          <w:color w:val="231F20"/>
          <w:spacing w:val="-4"/>
        </w:rPr>
        <w:t> </w:t>
      </w:r>
      <w:r>
        <w:rPr>
          <w:color w:val="231F20"/>
        </w:rPr>
        <w:t>are</w:t>
      </w:r>
      <w:r>
        <w:rPr>
          <w:color w:val="231F20"/>
          <w:spacing w:val="-4"/>
        </w:rPr>
        <w:t> </w:t>
      </w:r>
      <w:r>
        <w:rPr>
          <w:color w:val="231F20"/>
        </w:rPr>
        <w:t>instances</w:t>
      </w:r>
      <w:r>
        <w:rPr>
          <w:color w:val="231F20"/>
          <w:spacing w:val="-4"/>
        </w:rPr>
        <w:t> </w:t>
      </w:r>
      <w:r>
        <w:rPr>
          <w:color w:val="231F20"/>
        </w:rPr>
        <w:t>where</w:t>
      </w:r>
      <w:r>
        <w:rPr>
          <w:color w:val="231F20"/>
          <w:spacing w:val="-4"/>
        </w:rPr>
        <w:t> </w:t>
      </w:r>
      <w:r>
        <w:rPr>
          <w:color w:val="231F20"/>
        </w:rPr>
        <w:t>students receive additional scholarship funding during the course of an academic year, which necessitates adjustments to their financial aid package in order to remain within the school's cost of attendance. This finding is a result of such an instance. Additional training to identify appropriate adjustments will be implemented and documented.</w:t>
      </w:r>
    </w:p>
    <w:p>
      <w:pPr>
        <w:pStyle w:val="BodyText"/>
        <w:rPr>
          <w:sz w:val="23"/>
        </w:rPr>
      </w:pPr>
    </w:p>
    <w:p>
      <w:pPr>
        <w:spacing w:before="0"/>
        <w:ind w:left="900" w:right="0" w:firstLine="0"/>
        <w:jc w:val="left"/>
        <w:rPr>
          <w:sz w:val="20"/>
        </w:rPr>
      </w:pPr>
      <w:r>
        <w:rPr>
          <w:b/>
          <w:color w:val="231F20"/>
          <w:sz w:val="20"/>
        </w:rPr>
        <w:t>Responsible</w:t>
      </w:r>
      <w:r>
        <w:rPr>
          <w:b/>
          <w:color w:val="231F20"/>
          <w:spacing w:val="-8"/>
          <w:sz w:val="20"/>
        </w:rPr>
        <w:t> </w:t>
      </w:r>
      <w:r>
        <w:rPr>
          <w:b/>
          <w:color w:val="231F20"/>
          <w:sz w:val="20"/>
        </w:rPr>
        <w:t>Person:</w:t>
      </w:r>
      <w:r>
        <w:rPr>
          <w:b/>
          <w:color w:val="231F20"/>
          <w:spacing w:val="-7"/>
          <w:sz w:val="20"/>
        </w:rPr>
        <w:t> </w:t>
      </w:r>
      <w:r>
        <w:rPr>
          <w:color w:val="231F20"/>
          <w:sz w:val="20"/>
        </w:rPr>
        <w:t>Director</w:t>
      </w:r>
      <w:r>
        <w:rPr>
          <w:color w:val="231F20"/>
          <w:spacing w:val="-7"/>
          <w:sz w:val="20"/>
        </w:rPr>
        <w:t> </w:t>
      </w:r>
      <w:r>
        <w:rPr>
          <w:color w:val="231F20"/>
          <w:sz w:val="20"/>
        </w:rPr>
        <w:t>of</w:t>
      </w:r>
      <w:r>
        <w:rPr>
          <w:color w:val="231F20"/>
          <w:spacing w:val="-7"/>
          <w:sz w:val="20"/>
        </w:rPr>
        <w:t> </w:t>
      </w:r>
      <w:r>
        <w:rPr>
          <w:color w:val="231F20"/>
          <w:sz w:val="20"/>
        </w:rPr>
        <w:t>Financial</w:t>
      </w:r>
      <w:r>
        <w:rPr>
          <w:color w:val="231F20"/>
          <w:spacing w:val="-6"/>
          <w:sz w:val="20"/>
        </w:rPr>
        <w:t> </w:t>
      </w:r>
      <w:r>
        <w:rPr>
          <w:color w:val="231F20"/>
          <w:spacing w:val="-5"/>
          <w:sz w:val="20"/>
        </w:rPr>
        <w:t>Aid</w:t>
      </w:r>
    </w:p>
    <w:p>
      <w:pPr>
        <w:spacing w:after="0"/>
        <w:jc w:val="left"/>
        <w:rPr>
          <w:sz w:val="20"/>
        </w:rPr>
        <w:sectPr>
          <w:pgSz w:w="12240" w:h="15840"/>
          <w:pgMar w:header="994" w:footer="1062" w:top="1880" w:bottom="1280" w:left="540" w:right="500"/>
        </w:sectPr>
      </w:pPr>
    </w:p>
    <w:p>
      <w:pPr>
        <w:pStyle w:val="BodyText"/>
      </w:pPr>
    </w:p>
    <w:p>
      <w:pPr>
        <w:pStyle w:val="BodyText"/>
        <w:spacing w:before="6"/>
        <w:rPr>
          <w:sz w:val="22"/>
        </w:rPr>
      </w:pPr>
    </w:p>
    <w:p>
      <w:pPr>
        <w:pStyle w:val="BodyText"/>
        <w:spacing w:line="30" w:lineRule="exact"/>
        <w:ind w:left="870"/>
        <w:rPr>
          <w:sz w:val="3"/>
        </w:rPr>
      </w:pPr>
      <w:r>
        <w:rPr>
          <w:position w:val="0"/>
          <w:sz w:val="3"/>
        </w:rPr>
        <w:pict>
          <v:group style="width:471.05pt;height:1.5pt;mso-position-horizontal-relative:char;mso-position-vertical-relative:line" id="docshapegroup651" coordorigin="0,0" coordsize="9421,30">
            <v:rect style="position:absolute;left:0;top:0;width:9421;height:30" id="docshape652" filled="true" fillcolor="#231f20" stroked="false">
              <v:fill type="solid"/>
            </v:rect>
          </v:group>
        </w:pict>
      </w:r>
      <w:r>
        <w:rPr>
          <w:position w:val="0"/>
          <w:sz w:val="3"/>
        </w:rPr>
      </w:r>
    </w:p>
    <w:p>
      <w:pPr>
        <w:pStyle w:val="Heading4"/>
        <w:spacing w:before="19"/>
        <w:ind w:left="0" w:right="40"/>
        <w:jc w:val="center"/>
      </w:pPr>
      <w:r>
        <w:rPr/>
        <w:pict>
          <v:rect style="position:absolute;margin-left:70.5pt;margin-top:14.829892pt;width:471.001pt;height:1.5pt;mso-position-horizontal-relative:page;mso-position-vertical-relative:paragraph;z-index:-15578624;mso-wrap-distance-left:0;mso-wrap-distance-right:0" id="docshape653" filled="true" fillcolor="#231f20" stroked="false">
            <v:fill type="solid"/>
            <w10:wrap type="topAndBottom"/>
          </v:rect>
        </w:pict>
      </w:r>
      <w:r>
        <w:rPr>
          <w:color w:val="231F20"/>
        </w:rPr>
        <w:t>Section</w:t>
      </w:r>
      <w:r>
        <w:rPr>
          <w:color w:val="231F20"/>
          <w:spacing w:val="-7"/>
        </w:rPr>
        <w:t> </w:t>
      </w:r>
      <w:r>
        <w:rPr>
          <w:color w:val="231F20"/>
        </w:rPr>
        <w:t>IV</w:t>
      </w:r>
      <w:r>
        <w:rPr>
          <w:color w:val="231F20"/>
          <w:spacing w:val="-4"/>
        </w:rPr>
        <w:t> </w:t>
      </w:r>
      <w:r>
        <w:rPr>
          <w:color w:val="231F20"/>
        </w:rPr>
        <w:t>–</w:t>
      </w:r>
      <w:r>
        <w:rPr>
          <w:color w:val="231F20"/>
          <w:spacing w:val="-4"/>
        </w:rPr>
        <w:t> </w:t>
      </w:r>
      <w:r>
        <w:rPr>
          <w:color w:val="231F20"/>
        </w:rPr>
        <w:t>Other</w:t>
      </w:r>
      <w:r>
        <w:rPr>
          <w:color w:val="231F20"/>
          <w:spacing w:val="-4"/>
        </w:rPr>
        <w:t> </w:t>
      </w:r>
      <w:r>
        <w:rPr>
          <w:color w:val="231F20"/>
        </w:rPr>
        <w:t>Matter</w:t>
      </w:r>
      <w:r>
        <w:rPr>
          <w:color w:val="231F20"/>
          <w:spacing w:val="-5"/>
        </w:rPr>
        <w:t> </w:t>
      </w:r>
      <w:r>
        <w:rPr>
          <w:color w:val="231F20"/>
        </w:rPr>
        <w:t>Findings</w:t>
      </w:r>
      <w:r>
        <w:rPr>
          <w:color w:val="231F20"/>
          <w:spacing w:val="-4"/>
        </w:rPr>
        <w:t> </w:t>
      </w:r>
      <w:r>
        <w:rPr>
          <w:color w:val="231F20"/>
        </w:rPr>
        <w:t>as</w:t>
      </w:r>
      <w:r>
        <w:rPr>
          <w:color w:val="231F20"/>
          <w:spacing w:val="-5"/>
        </w:rPr>
        <w:t> </w:t>
      </w:r>
      <w:r>
        <w:rPr>
          <w:color w:val="231F20"/>
        </w:rPr>
        <w:t>Required</w:t>
      </w:r>
      <w:r>
        <w:rPr>
          <w:color w:val="231F20"/>
          <w:spacing w:val="-4"/>
        </w:rPr>
        <w:t> </w:t>
      </w:r>
      <w:r>
        <w:rPr>
          <w:color w:val="231F20"/>
        </w:rPr>
        <w:t>by</w:t>
      </w:r>
      <w:r>
        <w:rPr>
          <w:color w:val="231F20"/>
          <w:spacing w:val="-5"/>
        </w:rPr>
        <w:t> </w:t>
      </w:r>
      <w:r>
        <w:rPr>
          <w:color w:val="231F20"/>
        </w:rPr>
        <w:t>Section</w:t>
      </w:r>
      <w:r>
        <w:rPr>
          <w:color w:val="231F20"/>
          <w:spacing w:val="-4"/>
        </w:rPr>
        <w:t> </w:t>
      </w:r>
      <w:r>
        <w:rPr>
          <w:color w:val="231F20"/>
        </w:rPr>
        <w:t>12-6-5</w:t>
      </w:r>
      <w:r>
        <w:rPr>
          <w:color w:val="231F20"/>
          <w:spacing w:val="-4"/>
        </w:rPr>
        <w:t> </w:t>
      </w:r>
      <w:r>
        <w:rPr>
          <w:color w:val="231F20"/>
        </w:rPr>
        <w:t>NMSA</w:t>
      </w:r>
      <w:r>
        <w:rPr>
          <w:color w:val="231F20"/>
          <w:spacing w:val="-3"/>
        </w:rPr>
        <w:t> </w:t>
      </w:r>
      <w:r>
        <w:rPr>
          <w:color w:val="231F20"/>
          <w:spacing w:val="-4"/>
        </w:rPr>
        <w:t>1978</w:t>
      </w:r>
    </w:p>
    <w:p>
      <w:pPr>
        <w:pStyle w:val="BodyText"/>
        <w:rPr>
          <w:b/>
        </w:rPr>
      </w:pPr>
    </w:p>
    <w:p>
      <w:pPr>
        <w:pStyle w:val="BodyText"/>
        <w:rPr>
          <w:b/>
        </w:rPr>
      </w:pPr>
    </w:p>
    <w:p>
      <w:pPr>
        <w:spacing w:line="276" w:lineRule="auto" w:before="0"/>
        <w:ind w:left="900" w:right="951" w:firstLine="0"/>
        <w:jc w:val="left"/>
        <w:rPr>
          <w:b/>
          <w:sz w:val="20"/>
        </w:rPr>
      </w:pPr>
      <w:r>
        <w:rPr>
          <w:b/>
          <w:color w:val="231F20"/>
          <w:sz w:val="20"/>
        </w:rPr>
        <w:t>2022-006</w:t>
      </w:r>
      <w:r>
        <w:rPr>
          <w:b/>
          <w:color w:val="231F20"/>
          <w:spacing w:val="-4"/>
          <w:sz w:val="20"/>
        </w:rPr>
        <w:t> </w:t>
      </w:r>
      <w:r>
        <w:rPr>
          <w:b/>
          <w:color w:val="231F20"/>
          <w:sz w:val="20"/>
        </w:rPr>
        <w:t>(2021-008,</w:t>
      </w:r>
      <w:r>
        <w:rPr>
          <w:b/>
          <w:color w:val="231F20"/>
          <w:spacing w:val="-4"/>
          <w:sz w:val="20"/>
        </w:rPr>
        <w:t> </w:t>
      </w:r>
      <w:r>
        <w:rPr>
          <w:b/>
          <w:color w:val="231F20"/>
          <w:sz w:val="20"/>
        </w:rPr>
        <w:t>2020-006,</w:t>
      </w:r>
      <w:r>
        <w:rPr>
          <w:b/>
          <w:color w:val="231F20"/>
          <w:spacing w:val="-4"/>
          <w:sz w:val="20"/>
        </w:rPr>
        <w:t> </w:t>
      </w:r>
      <w:r>
        <w:rPr>
          <w:b/>
          <w:color w:val="231F20"/>
          <w:sz w:val="20"/>
        </w:rPr>
        <w:t>and</w:t>
      </w:r>
      <w:r>
        <w:rPr>
          <w:b/>
          <w:color w:val="231F20"/>
          <w:spacing w:val="-4"/>
          <w:sz w:val="20"/>
        </w:rPr>
        <w:t> </w:t>
      </w:r>
      <w:r>
        <w:rPr>
          <w:b/>
          <w:color w:val="231F20"/>
          <w:sz w:val="20"/>
        </w:rPr>
        <w:t>2019-006)</w:t>
      </w:r>
      <w:r>
        <w:rPr>
          <w:b/>
          <w:color w:val="231F20"/>
          <w:spacing w:val="-3"/>
          <w:sz w:val="20"/>
        </w:rPr>
        <w:t> </w:t>
      </w:r>
      <w:r>
        <w:rPr>
          <w:b/>
          <w:color w:val="231F20"/>
          <w:sz w:val="20"/>
        </w:rPr>
        <w:t>–</w:t>
      </w:r>
      <w:r>
        <w:rPr>
          <w:b/>
          <w:color w:val="231F20"/>
          <w:spacing w:val="-4"/>
          <w:sz w:val="20"/>
        </w:rPr>
        <w:t> </w:t>
      </w:r>
      <w:r>
        <w:rPr>
          <w:b/>
          <w:color w:val="231F20"/>
          <w:sz w:val="20"/>
        </w:rPr>
        <w:t>Financial</w:t>
      </w:r>
      <w:r>
        <w:rPr>
          <w:b/>
          <w:color w:val="231F20"/>
          <w:spacing w:val="-4"/>
          <w:sz w:val="20"/>
        </w:rPr>
        <w:t> </w:t>
      </w:r>
      <w:r>
        <w:rPr>
          <w:b/>
          <w:color w:val="231F20"/>
          <w:sz w:val="20"/>
        </w:rPr>
        <w:t>Close</w:t>
      </w:r>
      <w:r>
        <w:rPr>
          <w:b/>
          <w:color w:val="231F20"/>
          <w:spacing w:val="-5"/>
          <w:sz w:val="20"/>
        </w:rPr>
        <w:t> </w:t>
      </w:r>
      <w:r>
        <w:rPr>
          <w:b/>
          <w:color w:val="231F20"/>
          <w:sz w:val="20"/>
        </w:rPr>
        <w:t>and</w:t>
      </w:r>
      <w:r>
        <w:rPr>
          <w:b/>
          <w:color w:val="231F20"/>
          <w:spacing w:val="-4"/>
          <w:sz w:val="20"/>
        </w:rPr>
        <w:t> </w:t>
      </w:r>
      <w:r>
        <w:rPr>
          <w:b/>
          <w:color w:val="231F20"/>
          <w:sz w:val="20"/>
        </w:rPr>
        <w:t>Reporting</w:t>
      </w:r>
      <w:r>
        <w:rPr>
          <w:b/>
          <w:color w:val="231F20"/>
          <w:spacing w:val="-4"/>
          <w:sz w:val="20"/>
        </w:rPr>
        <w:t> </w:t>
      </w:r>
      <w:r>
        <w:rPr>
          <w:b/>
          <w:color w:val="231F20"/>
          <w:sz w:val="20"/>
        </w:rPr>
        <w:t>–</w:t>
      </w:r>
      <w:r>
        <w:rPr>
          <w:b/>
          <w:color w:val="231F20"/>
          <w:spacing w:val="-4"/>
          <w:sz w:val="20"/>
        </w:rPr>
        <w:t> </w:t>
      </w:r>
      <w:r>
        <w:rPr>
          <w:b/>
          <w:color w:val="231F20"/>
          <w:sz w:val="20"/>
        </w:rPr>
        <w:t>Material</w:t>
      </w:r>
      <w:r>
        <w:rPr>
          <w:b/>
          <w:color w:val="231F20"/>
          <w:spacing w:val="-4"/>
          <w:sz w:val="20"/>
        </w:rPr>
        <w:t> </w:t>
      </w:r>
      <w:r>
        <w:rPr>
          <w:b/>
          <w:color w:val="231F20"/>
          <w:sz w:val="20"/>
        </w:rPr>
        <w:t>Weakness (At the Individual Component Unit Level – University Research Park Corporation)</w:t>
      </w:r>
    </w:p>
    <w:p>
      <w:pPr>
        <w:pStyle w:val="BodyText"/>
        <w:spacing w:before="6"/>
        <w:rPr>
          <w:b/>
          <w:sz w:val="22"/>
        </w:rPr>
      </w:pPr>
    </w:p>
    <w:p>
      <w:pPr>
        <w:pStyle w:val="BodyText"/>
        <w:spacing w:line="276" w:lineRule="auto" w:before="1"/>
        <w:ind w:left="900" w:right="1027"/>
      </w:pPr>
      <w:r>
        <w:rPr>
          <w:b/>
          <w:color w:val="231F20"/>
        </w:rPr>
        <w:t>Condition:</w:t>
      </w:r>
      <w:r>
        <w:rPr>
          <w:b/>
          <w:color w:val="231F20"/>
          <w:spacing w:val="-4"/>
        </w:rPr>
        <w:t> </w:t>
      </w:r>
      <w:r>
        <w:rPr>
          <w:color w:val="231F20"/>
        </w:rPr>
        <w:t>We</w:t>
      </w:r>
      <w:r>
        <w:rPr>
          <w:color w:val="231F20"/>
          <w:spacing w:val="-3"/>
        </w:rPr>
        <w:t> </w:t>
      </w:r>
      <w:r>
        <w:rPr>
          <w:color w:val="231F20"/>
        </w:rPr>
        <w:t>noted</w:t>
      </w:r>
      <w:r>
        <w:rPr>
          <w:color w:val="231F20"/>
          <w:spacing w:val="-3"/>
        </w:rPr>
        <w:t> </w:t>
      </w:r>
      <w:r>
        <w:rPr>
          <w:color w:val="231F20"/>
        </w:rPr>
        <w:t>the</w:t>
      </w:r>
      <w:r>
        <w:rPr>
          <w:color w:val="231F20"/>
          <w:spacing w:val="-3"/>
        </w:rPr>
        <w:t> </w:t>
      </w:r>
      <w:r>
        <w:rPr>
          <w:color w:val="231F20"/>
        </w:rPr>
        <w:t>following</w:t>
      </w:r>
      <w:r>
        <w:rPr>
          <w:color w:val="231F20"/>
          <w:spacing w:val="-3"/>
        </w:rPr>
        <w:t> </w:t>
      </w:r>
      <w:r>
        <w:rPr>
          <w:color w:val="231F20"/>
        </w:rPr>
        <w:t>items</w:t>
      </w:r>
      <w:r>
        <w:rPr>
          <w:color w:val="231F20"/>
          <w:spacing w:val="-3"/>
        </w:rPr>
        <w:t> </w:t>
      </w:r>
      <w:r>
        <w:rPr>
          <w:color w:val="231F20"/>
        </w:rPr>
        <w:t>that</w:t>
      </w:r>
      <w:r>
        <w:rPr>
          <w:color w:val="231F20"/>
          <w:spacing w:val="-3"/>
        </w:rPr>
        <w:t> </w:t>
      </w:r>
      <w:r>
        <w:rPr>
          <w:color w:val="231F20"/>
        </w:rPr>
        <w:t>indicated</w:t>
      </w:r>
      <w:r>
        <w:rPr>
          <w:color w:val="231F20"/>
          <w:spacing w:val="-3"/>
        </w:rPr>
        <w:t> </w:t>
      </w:r>
      <w:r>
        <w:rPr>
          <w:color w:val="231F20"/>
        </w:rPr>
        <w:t>a</w:t>
      </w:r>
      <w:r>
        <w:rPr>
          <w:color w:val="231F20"/>
          <w:spacing w:val="-3"/>
        </w:rPr>
        <w:t> </w:t>
      </w:r>
      <w:r>
        <w:rPr>
          <w:color w:val="231F20"/>
        </w:rPr>
        <w:t>material</w:t>
      </w:r>
      <w:r>
        <w:rPr>
          <w:color w:val="231F20"/>
          <w:spacing w:val="-3"/>
        </w:rPr>
        <w:t> </w:t>
      </w:r>
      <w:r>
        <w:rPr>
          <w:color w:val="231F20"/>
        </w:rPr>
        <w:t>weakness</w:t>
      </w:r>
      <w:r>
        <w:rPr>
          <w:color w:val="231F20"/>
          <w:spacing w:val="-3"/>
        </w:rPr>
        <w:t> </w:t>
      </w:r>
      <w:r>
        <w:rPr>
          <w:color w:val="231F20"/>
        </w:rPr>
        <w:t>in</w:t>
      </w:r>
      <w:r>
        <w:rPr>
          <w:color w:val="231F20"/>
          <w:spacing w:val="-3"/>
        </w:rPr>
        <w:t> </w:t>
      </w:r>
      <w:r>
        <w:rPr>
          <w:color w:val="231F20"/>
        </w:rPr>
        <w:t>controls</w:t>
      </w:r>
      <w:r>
        <w:rPr>
          <w:color w:val="231F20"/>
          <w:spacing w:val="-3"/>
        </w:rPr>
        <w:t> </w:t>
      </w:r>
      <w:r>
        <w:rPr>
          <w:color w:val="231F20"/>
        </w:rPr>
        <w:t>over</w:t>
      </w:r>
      <w:r>
        <w:rPr>
          <w:color w:val="231F20"/>
          <w:spacing w:val="-3"/>
        </w:rPr>
        <w:t> </w:t>
      </w:r>
      <w:r>
        <w:rPr>
          <w:color w:val="231F20"/>
        </w:rPr>
        <w:t>the</w:t>
      </w:r>
      <w:r>
        <w:rPr>
          <w:color w:val="231F20"/>
          <w:spacing w:val="-3"/>
        </w:rPr>
        <w:t> </w:t>
      </w:r>
      <w:r>
        <w:rPr>
          <w:color w:val="231F20"/>
        </w:rPr>
        <w:t>financial close and reporting process:</w:t>
      </w:r>
    </w:p>
    <w:p>
      <w:pPr>
        <w:pStyle w:val="BodyText"/>
        <w:rPr>
          <w:sz w:val="22"/>
        </w:rPr>
      </w:pPr>
    </w:p>
    <w:p>
      <w:pPr>
        <w:pStyle w:val="ListParagraph"/>
        <w:numPr>
          <w:ilvl w:val="0"/>
          <w:numId w:val="18"/>
        </w:numPr>
        <w:tabs>
          <w:tab w:pos="1619" w:val="left" w:leader="none"/>
          <w:tab w:pos="1621" w:val="left" w:leader="none"/>
        </w:tabs>
        <w:spacing w:line="276" w:lineRule="auto" w:before="132" w:after="0"/>
        <w:ind w:left="1619" w:right="1130" w:hanging="360"/>
        <w:jc w:val="left"/>
        <w:rPr>
          <w:sz w:val="20"/>
        </w:rPr>
      </w:pPr>
      <w:r>
        <w:rPr>
          <w:color w:val="231F20"/>
          <w:sz w:val="20"/>
        </w:rPr>
        <w:t>During</w:t>
      </w:r>
      <w:r>
        <w:rPr>
          <w:color w:val="231F20"/>
          <w:spacing w:val="-3"/>
          <w:sz w:val="20"/>
        </w:rPr>
        <w:t> </w:t>
      </w:r>
      <w:r>
        <w:rPr>
          <w:color w:val="231F20"/>
          <w:sz w:val="20"/>
        </w:rPr>
        <w:t>our</w:t>
      </w:r>
      <w:r>
        <w:rPr>
          <w:color w:val="231F20"/>
          <w:spacing w:val="-3"/>
          <w:sz w:val="20"/>
        </w:rPr>
        <w:t> </w:t>
      </w:r>
      <w:r>
        <w:rPr>
          <w:color w:val="231F20"/>
          <w:sz w:val="20"/>
        </w:rPr>
        <w:t>testing,</w:t>
      </w:r>
      <w:r>
        <w:rPr>
          <w:color w:val="231F20"/>
          <w:spacing w:val="-3"/>
          <w:sz w:val="20"/>
        </w:rPr>
        <w:t> </w:t>
      </w:r>
      <w:r>
        <w:rPr>
          <w:color w:val="231F20"/>
          <w:sz w:val="20"/>
        </w:rPr>
        <w:t>we</w:t>
      </w:r>
      <w:r>
        <w:rPr>
          <w:color w:val="231F20"/>
          <w:spacing w:val="-3"/>
          <w:sz w:val="20"/>
        </w:rPr>
        <w:t> </w:t>
      </w:r>
      <w:r>
        <w:rPr>
          <w:color w:val="231F20"/>
          <w:sz w:val="20"/>
        </w:rPr>
        <w:t>noted</w:t>
      </w:r>
      <w:r>
        <w:rPr>
          <w:color w:val="231F20"/>
          <w:spacing w:val="-3"/>
          <w:sz w:val="20"/>
        </w:rPr>
        <w:t> </w:t>
      </w:r>
      <w:r>
        <w:rPr>
          <w:color w:val="231F20"/>
          <w:sz w:val="20"/>
        </w:rPr>
        <w:t>that</w:t>
      </w:r>
      <w:r>
        <w:rPr>
          <w:color w:val="231F20"/>
          <w:spacing w:val="-3"/>
          <w:sz w:val="20"/>
        </w:rPr>
        <w:t> </w:t>
      </w:r>
      <w:r>
        <w:rPr>
          <w:color w:val="231F20"/>
          <w:sz w:val="20"/>
        </w:rPr>
        <w:t>the</w:t>
      </w:r>
      <w:r>
        <w:rPr>
          <w:color w:val="231F20"/>
          <w:spacing w:val="-3"/>
          <w:sz w:val="20"/>
        </w:rPr>
        <w:t> </w:t>
      </w:r>
      <w:r>
        <w:rPr>
          <w:color w:val="231F20"/>
          <w:sz w:val="20"/>
        </w:rPr>
        <w:t>schedule</w:t>
      </w:r>
      <w:r>
        <w:rPr>
          <w:color w:val="231F20"/>
          <w:spacing w:val="-3"/>
          <w:sz w:val="20"/>
        </w:rPr>
        <w:t> </w:t>
      </w:r>
      <w:r>
        <w:rPr>
          <w:color w:val="231F20"/>
          <w:sz w:val="20"/>
        </w:rPr>
        <w:t>used</w:t>
      </w:r>
      <w:r>
        <w:rPr>
          <w:color w:val="231F20"/>
          <w:spacing w:val="-3"/>
          <w:sz w:val="20"/>
        </w:rPr>
        <w:t> </w:t>
      </w:r>
      <w:r>
        <w:rPr>
          <w:color w:val="231F20"/>
          <w:sz w:val="20"/>
        </w:rPr>
        <w:t>to</w:t>
      </w:r>
      <w:r>
        <w:rPr>
          <w:color w:val="231F20"/>
          <w:spacing w:val="-3"/>
          <w:sz w:val="20"/>
        </w:rPr>
        <w:t> </w:t>
      </w:r>
      <w:r>
        <w:rPr>
          <w:color w:val="231F20"/>
          <w:sz w:val="20"/>
        </w:rPr>
        <w:t>track</w:t>
      </w:r>
      <w:r>
        <w:rPr>
          <w:color w:val="231F20"/>
          <w:spacing w:val="-3"/>
          <w:sz w:val="20"/>
        </w:rPr>
        <w:t> </w:t>
      </w:r>
      <w:r>
        <w:rPr>
          <w:color w:val="231F20"/>
          <w:sz w:val="20"/>
        </w:rPr>
        <w:t>patent</w:t>
      </w:r>
      <w:r>
        <w:rPr>
          <w:color w:val="231F20"/>
          <w:spacing w:val="-4"/>
          <w:sz w:val="20"/>
        </w:rPr>
        <w:t> </w:t>
      </w:r>
      <w:r>
        <w:rPr>
          <w:color w:val="231F20"/>
          <w:sz w:val="20"/>
        </w:rPr>
        <w:t>activity</w:t>
      </w:r>
      <w:r>
        <w:rPr>
          <w:color w:val="231F20"/>
          <w:spacing w:val="-3"/>
          <w:sz w:val="20"/>
        </w:rPr>
        <w:t> </w:t>
      </w:r>
      <w:r>
        <w:rPr>
          <w:color w:val="231F20"/>
          <w:sz w:val="20"/>
        </w:rPr>
        <w:t>did</w:t>
      </w:r>
      <w:r>
        <w:rPr>
          <w:color w:val="231F20"/>
          <w:spacing w:val="-3"/>
          <w:sz w:val="20"/>
        </w:rPr>
        <w:t> </w:t>
      </w:r>
      <w:r>
        <w:rPr>
          <w:color w:val="231F20"/>
          <w:sz w:val="20"/>
        </w:rPr>
        <w:t>not</w:t>
      </w:r>
      <w:r>
        <w:rPr>
          <w:color w:val="231F20"/>
          <w:spacing w:val="-3"/>
          <w:sz w:val="20"/>
        </w:rPr>
        <w:t> </w:t>
      </w:r>
      <w:r>
        <w:rPr>
          <w:color w:val="231F20"/>
          <w:sz w:val="20"/>
        </w:rPr>
        <w:t>include</w:t>
      </w:r>
      <w:r>
        <w:rPr>
          <w:color w:val="231F20"/>
          <w:spacing w:val="-3"/>
          <w:sz w:val="20"/>
        </w:rPr>
        <w:t> </w:t>
      </w:r>
      <w:r>
        <w:rPr>
          <w:color w:val="231F20"/>
          <w:sz w:val="20"/>
        </w:rPr>
        <w:t>some capitalized</w:t>
      </w:r>
      <w:r>
        <w:rPr>
          <w:color w:val="231F20"/>
          <w:spacing w:val="-2"/>
          <w:sz w:val="20"/>
        </w:rPr>
        <w:t> </w:t>
      </w:r>
      <w:r>
        <w:rPr>
          <w:color w:val="231F20"/>
          <w:sz w:val="20"/>
        </w:rPr>
        <w:t>legal</w:t>
      </w:r>
      <w:r>
        <w:rPr>
          <w:color w:val="231F20"/>
          <w:spacing w:val="-2"/>
          <w:sz w:val="20"/>
        </w:rPr>
        <w:t> </w:t>
      </w:r>
      <w:r>
        <w:rPr>
          <w:color w:val="231F20"/>
          <w:sz w:val="20"/>
        </w:rPr>
        <w:t>costs</w:t>
      </w:r>
      <w:r>
        <w:rPr>
          <w:color w:val="231F20"/>
          <w:spacing w:val="-2"/>
          <w:sz w:val="20"/>
        </w:rPr>
        <w:t> </w:t>
      </w:r>
      <w:r>
        <w:rPr>
          <w:color w:val="231F20"/>
          <w:sz w:val="20"/>
        </w:rPr>
        <w:t>for</w:t>
      </w:r>
      <w:r>
        <w:rPr>
          <w:color w:val="231F20"/>
          <w:spacing w:val="-2"/>
          <w:sz w:val="20"/>
        </w:rPr>
        <w:t> </w:t>
      </w:r>
      <w:r>
        <w:rPr>
          <w:color w:val="231F20"/>
          <w:sz w:val="20"/>
        </w:rPr>
        <w:t>invoices</w:t>
      </w:r>
      <w:r>
        <w:rPr>
          <w:color w:val="231F20"/>
          <w:spacing w:val="-2"/>
          <w:sz w:val="20"/>
        </w:rPr>
        <w:t> </w:t>
      </w:r>
      <w:r>
        <w:rPr>
          <w:color w:val="231F20"/>
          <w:sz w:val="20"/>
        </w:rPr>
        <w:t>received</w:t>
      </w:r>
      <w:r>
        <w:rPr>
          <w:color w:val="231F20"/>
          <w:spacing w:val="-2"/>
          <w:sz w:val="20"/>
        </w:rPr>
        <w:t> </w:t>
      </w:r>
      <w:r>
        <w:rPr>
          <w:color w:val="231F20"/>
          <w:sz w:val="20"/>
        </w:rPr>
        <w:t>that</w:t>
      </w:r>
      <w:r>
        <w:rPr>
          <w:color w:val="231F20"/>
          <w:spacing w:val="-2"/>
          <w:sz w:val="20"/>
        </w:rPr>
        <w:t> </w:t>
      </w:r>
      <w:r>
        <w:rPr>
          <w:color w:val="231F20"/>
          <w:sz w:val="20"/>
        </w:rPr>
        <w:t>related</w:t>
      </w:r>
      <w:r>
        <w:rPr>
          <w:color w:val="231F20"/>
          <w:spacing w:val="-2"/>
          <w:sz w:val="20"/>
        </w:rPr>
        <w:t> </w:t>
      </w:r>
      <w:r>
        <w:rPr>
          <w:color w:val="231F20"/>
          <w:sz w:val="20"/>
        </w:rPr>
        <w:t>to</w:t>
      </w:r>
      <w:r>
        <w:rPr>
          <w:color w:val="231F20"/>
          <w:spacing w:val="-2"/>
          <w:sz w:val="20"/>
        </w:rPr>
        <w:t> </w:t>
      </w:r>
      <w:r>
        <w:rPr>
          <w:color w:val="231F20"/>
          <w:sz w:val="20"/>
        </w:rPr>
        <w:t>fiscal</w:t>
      </w:r>
      <w:r>
        <w:rPr>
          <w:color w:val="231F20"/>
          <w:spacing w:val="-3"/>
          <w:sz w:val="20"/>
        </w:rPr>
        <w:t> </w:t>
      </w:r>
      <w:r>
        <w:rPr>
          <w:color w:val="231F20"/>
          <w:sz w:val="20"/>
        </w:rPr>
        <w:t>year</w:t>
      </w:r>
      <w:r>
        <w:rPr>
          <w:color w:val="231F20"/>
          <w:spacing w:val="-2"/>
          <w:sz w:val="20"/>
        </w:rPr>
        <w:t> </w:t>
      </w:r>
      <w:r>
        <w:rPr>
          <w:color w:val="231F20"/>
          <w:sz w:val="20"/>
        </w:rPr>
        <w:t>2022.</w:t>
      </w:r>
      <w:r>
        <w:rPr>
          <w:color w:val="231F20"/>
          <w:spacing w:val="-2"/>
          <w:sz w:val="20"/>
        </w:rPr>
        <w:t> </w:t>
      </w:r>
      <w:r>
        <w:rPr>
          <w:color w:val="231F20"/>
          <w:sz w:val="20"/>
        </w:rPr>
        <w:t>An</w:t>
      </w:r>
      <w:r>
        <w:rPr>
          <w:color w:val="231F20"/>
          <w:spacing w:val="-2"/>
          <w:sz w:val="20"/>
        </w:rPr>
        <w:t> </w:t>
      </w:r>
      <w:r>
        <w:rPr>
          <w:color w:val="231F20"/>
          <w:sz w:val="20"/>
        </w:rPr>
        <w:t>audit</w:t>
      </w:r>
      <w:r>
        <w:rPr>
          <w:color w:val="231F20"/>
          <w:spacing w:val="-2"/>
          <w:sz w:val="20"/>
        </w:rPr>
        <w:t> </w:t>
      </w:r>
      <w:r>
        <w:rPr>
          <w:color w:val="231F20"/>
          <w:sz w:val="20"/>
        </w:rPr>
        <w:t>adjustment of approximately $5,600 was required to capitalize the additional patent costs and associated payable.</w:t>
      </w:r>
      <w:r>
        <w:rPr>
          <w:color w:val="231F20"/>
          <w:spacing w:val="-2"/>
          <w:sz w:val="20"/>
        </w:rPr>
        <w:t> </w:t>
      </w:r>
      <w:r>
        <w:rPr>
          <w:color w:val="231F20"/>
          <w:sz w:val="20"/>
        </w:rPr>
        <w:t>We</w:t>
      </w:r>
      <w:r>
        <w:rPr>
          <w:color w:val="231F20"/>
          <w:spacing w:val="-2"/>
          <w:sz w:val="20"/>
        </w:rPr>
        <w:t> </w:t>
      </w:r>
      <w:r>
        <w:rPr>
          <w:color w:val="231F20"/>
          <w:sz w:val="20"/>
        </w:rPr>
        <w:t>also</w:t>
      </w:r>
      <w:r>
        <w:rPr>
          <w:color w:val="231F20"/>
          <w:spacing w:val="-2"/>
          <w:sz w:val="20"/>
        </w:rPr>
        <w:t> </w:t>
      </w:r>
      <w:r>
        <w:rPr>
          <w:color w:val="231F20"/>
          <w:sz w:val="20"/>
        </w:rPr>
        <w:t>noted</w:t>
      </w:r>
      <w:r>
        <w:rPr>
          <w:color w:val="231F20"/>
          <w:spacing w:val="-2"/>
          <w:sz w:val="20"/>
        </w:rPr>
        <w:t> </w:t>
      </w:r>
      <w:r>
        <w:rPr>
          <w:color w:val="231F20"/>
          <w:sz w:val="20"/>
        </w:rPr>
        <w:t>certain</w:t>
      </w:r>
      <w:r>
        <w:rPr>
          <w:color w:val="231F20"/>
          <w:spacing w:val="-2"/>
          <w:sz w:val="20"/>
        </w:rPr>
        <w:t> </w:t>
      </w:r>
      <w:r>
        <w:rPr>
          <w:color w:val="231F20"/>
          <w:sz w:val="20"/>
        </w:rPr>
        <w:t>inconsistencies</w:t>
      </w:r>
      <w:r>
        <w:rPr>
          <w:color w:val="231F20"/>
          <w:spacing w:val="-2"/>
          <w:sz w:val="20"/>
        </w:rPr>
        <w:t> </w:t>
      </w:r>
      <w:r>
        <w:rPr>
          <w:color w:val="231F20"/>
          <w:sz w:val="20"/>
        </w:rPr>
        <w:t>in the</w:t>
      </w:r>
      <w:r>
        <w:rPr>
          <w:color w:val="231F20"/>
          <w:spacing w:val="-3"/>
          <w:sz w:val="20"/>
        </w:rPr>
        <w:t> </w:t>
      </w:r>
      <w:r>
        <w:rPr>
          <w:color w:val="231F20"/>
          <w:sz w:val="20"/>
        </w:rPr>
        <w:t>accumulated</w:t>
      </w:r>
      <w:r>
        <w:rPr>
          <w:color w:val="231F20"/>
          <w:spacing w:val="-3"/>
          <w:sz w:val="20"/>
        </w:rPr>
        <w:t> </w:t>
      </w:r>
      <w:r>
        <w:rPr>
          <w:color w:val="231F20"/>
          <w:sz w:val="20"/>
        </w:rPr>
        <w:t>amortization</w:t>
      </w:r>
      <w:r>
        <w:rPr>
          <w:color w:val="231F20"/>
          <w:spacing w:val="-3"/>
          <w:sz w:val="20"/>
        </w:rPr>
        <w:t> </w:t>
      </w:r>
      <w:r>
        <w:rPr>
          <w:color w:val="231F20"/>
          <w:sz w:val="20"/>
        </w:rPr>
        <w:t>calculations</w:t>
      </w:r>
      <w:r>
        <w:rPr>
          <w:color w:val="231F20"/>
          <w:spacing w:val="-2"/>
          <w:sz w:val="20"/>
        </w:rPr>
        <w:t> </w:t>
      </w:r>
      <w:r>
        <w:rPr>
          <w:color w:val="231F20"/>
          <w:sz w:val="20"/>
        </w:rPr>
        <w:t>for certain patents in addition to three new patent awards that were not amortized until fiscal year 2022</w:t>
      </w:r>
      <w:r>
        <w:rPr>
          <w:color w:val="231F20"/>
          <w:spacing w:val="-2"/>
          <w:sz w:val="20"/>
        </w:rPr>
        <w:t> </w:t>
      </w:r>
      <w:r>
        <w:rPr>
          <w:color w:val="231F20"/>
          <w:sz w:val="20"/>
        </w:rPr>
        <w:t>although</w:t>
      </w:r>
      <w:r>
        <w:rPr>
          <w:color w:val="231F20"/>
          <w:spacing w:val="-2"/>
          <w:sz w:val="20"/>
        </w:rPr>
        <w:t> </w:t>
      </w:r>
      <w:r>
        <w:rPr>
          <w:color w:val="231F20"/>
          <w:sz w:val="20"/>
        </w:rPr>
        <w:t>they</w:t>
      </w:r>
      <w:r>
        <w:rPr>
          <w:color w:val="231F20"/>
          <w:spacing w:val="-2"/>
          <w:sz w:val="20"/>
        </w:rPr>
        <w:t> </w:t>
      </w:r>
      <w:r>
        <w:rPr>
          <w:color w:val="231F20"/>
          <w:sz w:val="20"/>
        </w:rPr>
        <w:t>were</w:t>
      </w:r>
      <w:r>
        <w:rPr>
          <w:color w:val="231F20"/>
          <w:spacing w:val="-2"/>
          <w:sz w:val="20"/>
        </w:rPr>
        <w:t> </w:t>
      </w:r>
      <w:r>
        <w:rPr>
          <w:color w:val="231F20"/>
          <w:sz w:val="20"/>
        </w:rPr>
        <w:t>awarded</w:t>
      </w:r>
      <w:r>
        <w:rPr>
          <w:color w:val="231F20"/>
          <w:spacing w:val="-2"/>
          <w:sz w:val="20"/>
        </w:rPr>
        <w:t> </w:t>
      </w:r>
      <w:r>
        <w:rPr>
          <w:color w:val="231F20"/>
          <w:sz w:val="20"/>
        </w:rPr>
        <w:t>in</w:t>
      </w:r>
      <w:r>
        <w:rPr>
          <w:color w:val="231F20"/>
          <w:spacing w:val="-2"/>
          <w:sz w:val="20"/>
        </w:rPr>
        <w:t> </w:t>
      </w:r>
      <w:r>
        <w:rPr>
          <w:color w:val="231F20"/>
          <w:sz w:val="20"/>
        </w:rPr>
        <w:t>fiscal</w:t>
      </w:r>
      <w:r>
        <w:rPr>
          <w:color w:val="231F20"/>
          <w:spacing w:val="-2"/>
          <w:sz w:val="20"/>
        </w:rPr>
        <w:t> </w:t>
      </w:r>
      <w:r>
        <w:rPr>
          <w:color w:val="231F20"/>
          <w:sz w:val="20"/>
        </w:rPr>
        <w:t>year</w:t>
      </w:r>
      <w:r>
        <w:rPr>
          <w:color w:val="231F20"/>
          <w:spacing w:val="-1"/>
          <w:sz w:val="20"/>
        </w:rPr>
        <w:t> </w:t>
      </w:r>
      <w:r>
        <w:rPr>
          <w:color w:val="231F20"/>
          <w:sz w:val="20"/>
        </w:rPr>
        <w:t>2021.There</w:t>
      </w:r>
      <w:r>
        <w:rPr>
          <w:color w:val="231F20"/>
          <w:spacing w:val="-2"/>
          <w:sz w:val="20"/>
        </w:rPr>
        <w:t> </w:t>
      </w:r>
      <w:r>
        <w:rPr>
          <w:color w:val="231F20"/>
          <w:sz w:val="20"/>
        </w:rPr>
        <w:t>was</w:t>
      </w:r>
      <w:r>
        <w:rPr>
          <w:color w:val="231F20"/>
          <w:spacing w:val="-2"/>
          <w:sz w:val="20"/>
        </w:rPr>
        <w:t> </w:t>
      </w:r>
      <w:r>
        <w:rPr>
          <w:color w:val="231F20"/>
          <w:sz w:val="20"/>
        </w:rPr>
        <w:t>a</w:t>
      </w:r>
      <w:r>
        <w:rPr>
          <w:color w:val="231F20"/>
          <w:spacing w:val="-3"/>
          <w:sz w:val="20"/>
        </w:rPr>
        <w:t> </w:t>
      </w:r>
      <w:r>
        <w:rPr>
          <w:color w:val="231F20"/>
          <w:sz w:val="20"/>
        </w:rPr>
        <w:t>similar</w:t>
      </w:r>
      <w:r>
        <w:rPr>
          <w:color w:val="231F20"/>
          <w:spacing w:val="-2"/>
          <w:sz w:val="20"/>
        </w:rPr>
        <w:t> </w:t>
      </w:r>
      <w:r>
        <w:rPr>
          <w:color w:val="231F20"/>
          <w:sz w:val="20"/>
        </w:rPr>
        <w:t>issue</w:t>
      </w:r>
      <w:r>
        <w:rPr>
          <w:color w:val="231F20"/>
          <w:spacing w:val="-2"/>
          <w:sz w:val="20"/>
        </w:rPr>
        <w:t> </w:t>
      </w:r>
      <w:r>
        <w:rPr>
          <w:color w:val="231F20"/>
          <w:sz w:val="20"/>
        </w:rPr>
        <w:t>in</w:t>
      </w:r>
      <w:r>
        <w:rPr>
          <w:color w:val="231F20"/>
          <w:spacing w:val="-2"/>
          <w:sz w:val="20"/>
        </w:rPr>
        <w:t> </w:t>
      </w:r>
      <w:r>
        <w:rPr>
          <w:color w:val="231F20"/>
          <w:sz w:val="20"/>
        </w:rPr>
        <w:t>the</w:t>
      </w:r>
      <w:r>
        <w:rPr>
          <w:color w:val="231F20"/>
          <w:spacing w:val="-2"/>
          <w:sz w:val="20"/>
        </w:rPr>
        <w:t> </w:t>
      </w:r>
      <w:r>
        <w:rPr>
          <w:color w:val="231F20"/>
          <w:sz w:val="20"/>
        </w:rPr>
        <w:t>prior</w:t>
      </w:r>
      <w:r>
        <w:rPr>
          <w:color w:val="231F20"/>
          <w:spacing w:val="-2"/>
          <w:sz w:val="20"/>
        </w:rPr>
        <w:t> </w:t>
      </w:r>
      <w:r>
        <w:rPr>
          <w:color w:val="231F20"/>
          <w:sz w:val="20"/>
        </w:rPr>
        <w:t>year related to the patent schedule accuracy and a material weakness was documented.</w:t>
      </w:r>
    </w:p>
    <w:p>
      <w:pPr>
        <w:pStyle w:val="ListParagraph"/>
        <w:numPr>
          <w:ilvl w:val="0"/>
          <w:numId w:val="18"/>
        </w:numPr>
        <w:tabs>
          <w:tab w:pos="1619" w:val="left" w:leader="none"/>
          <w:tab w:pos="1621" w:val="left" w:leader="none"/>
        </w:tabs>
        <w:spacing w:line="273" w:lineRule="auto" w:before="116" w:after="0"/>
        <w:ind w:left="1619" w:right="957" w:hanging="360"/>
        <w:jc w:val="left"/>
        <w:rPr>
          <w:sz w:val="20"/>
        </w:rPr>
      </w:pPr>
      <w:r>
        <w:rPr>
          <w:color w:val="231F20"/>
          <w:sz w:val="20"/>
        </w:rPr>
        <w:t>The</w:t>
      </w:r>
      <w:r>
        <w:rPr>
          <w:color w:val="231F20"/>
          <w:spacing w:val="-3"/>
          <w:sz w:val="20"/>
        </w:rPr>
        <w:t> </w:t>
      </w:r>
      <w:r>
        <w:rPr>
          <w:color w:val="231F20"/>
          <w:sz w:val="20"/>
        </w:rPr>
        <w:t>impairment</w:t>
      </w:r>
      <w:r>
        <w:rPr>
          <w:color w:val="231F20"/>
          <w:spacing w:val="-3"/>
          <w:sz w:val="20"/>
        </w:rPr>
        <w:t> </w:t>
      </w:r>
      <w:r>
        <w:rPr>
          <w:color w:val="231F20"/>
          <w:sz w:val="20"/>
        </w:rPr>
        <w:t>of</w:t>
      </w:r>
      <w:r>
        <w:rPr>
          <w:color w:val="231F20"/>
          <w:spacing w:val="-3"/>
          <w:sz w:val="20"/>
        </w:rPr>
        <w:t> </w:t>
      </w:r>
      <w:r>
        <w:rPr>
          <w:color w:val="231F20"/>
          <w:sz w:val="20"/>
        </w:rPr>
        <w:t>a</w:t>
      </w:r>
      <w:r>
        <w:rPr>
          <w:color w:val="231F20"/>
          <w:spacing w:val="-3"/>
          <w:sz w:val="20"/>
        </w:rPr>
        <w:t> </w:t>
      </w:r>
      <w:r>
        <w:rPr>
          <w:color w:val="231F20"/>
          <w:sz w:val="20"/>
        </w:rPr>
        <w:t>patent</w:t>
      </w:r>
      <w:r>
        <w:rPr>
          <w:color w:val="231F20"/>
          <w:spacing w:val="-3"/>
          <w:sz w:val="20"/>
        </w:rPr>
        <w:t> </w:t>
      </w:r>
      <w:r>
        <w:rPr>
          <w:color w:val="231F20"/>
          <w:sz w:val="20"/>
        </w:rPr>
        <w:t>during</w:t>
      </w:r>
      <w:r>
        <w:rPr>
          <w:color w:val="231F20"/>
          <w:spacing w:val="-3"/>
          <w:sz w:val="20"/>
        </w:rPr>
        <w:t> </w:t>
      </w:r>
      <w:r>
        <w:rPr>
          <w:color w:val="231F20"/>
          <w:sz w:val="20"/>
        </w:rPr>
        <w:t>fiscal</w:t>
      </w:r>
      <w:r>
        <w:rPr>
          <w:color w:val="231F20"/>
          <w:spacing w:val="-3"/>
          <w:sz w:val="20"/>
        </w:rPr>
        <w:t> </w:t>
      </w:r>
      <w:r>
        <w:rPr>
          <w:color w:val="231F20"/>
          <w:sz w:val="20"/>
        </w:rPr>
        <w:t>year</w:t>
      </w:r>
      <w:r>
        <w:rPr>
          <w:color w:val="231F20"/>
          <w:spacing w:val="-3"/>
          <w:sz w:val="20"/>
        </w:rPr>
        <w:t> </w:t>
      </w:r>
      <w:r>
        <w:rPr>
          <w:color w:val="231F20"/>
          <w:sz w:val="20"/>
        </w:rPr>
        <w:t>2022</w:t>
      </w:r>
      <w:r>
        <w:rPr>
          <w:color w:val="231F20"/>
          <w:spacing w:val="-3"/>
          <w:sz w:val="20"/>
        </w:rPr>
        <w:t> </w:t>
      </w:r>
      <w:r>
        <w:rPr>
          <w:color w:val="231F20"/>
          <w:sz w:val="20"/>
        </w:rPr>
        <w:t>was</w:t>
      </w:r>
      <w:r>
        <w:rPr>
          <w:color w:val="231F20"/>
          <w:spacing w:val="-3"/>
          <w:sz w:val="20"/>
        </w:rPr>
        <w:t> </w:t>
      </w:r>
      <w:r>
        <w:rPr>
          <w:color w:val="231F20"/>
          <w:sz w:val="20"/>
        </w:rPr>
        <w:t>recorded</w:t>
      </w:r>
      <w:r>
        <w:rPr>
          <w:color w:val="231F20"/>
          <w:spacing w:val="-3"/>
          <w:sz w:val="20"/>
        </w:rPr>
        <w:t> </w:t>
      </w:r>
      <w:r>
        <w:rPr>
          <w:color w:val="231F20"/>
          <w:sz w:val="20"/>
        </w:rPr>
        <w:t>to</w:t>
      </w:r>
      <w:r>
        <w:rPr>
          <w:color w:val="231F20"/>
          <w:spacing w:val="-3"/>
          <w:sz w:val="20"/>
        </w:rPr>
        <w:t> </w:t>
      </w:r>
      <w:r>
        <w:rPr>
          <w:color w:val="231F20"/>
          <w:sz w:val="20"/>
        </w:rPr>
        <w:t>legal</w:t>
      </w:r>
      <w:r>
        <w:rPr>
          <w:color w:val="231F20"/>
          <w:spacing w:val="-3"/>
          <w:sz w:val="20"/>
        </w:rPr>
        <w:t> </w:t>
      </w:r>
      <w:r>
        <w:rPr>
          <w:color w:val="231F20"/>
          <w:sz w:val="20"/>
        </w:rPr>
        <w:t>fees</w:t>
      </w:r>
      <w:r>
        <w:rPr>
          <w:color w:val="231F20"/>
          <w:spacing w:val="-2"/>
          <w:sz w:val="20"/>
        </w:rPr>
        <w:t> </w:t>
      </w:r>
      <w:r>
        <w:rPr>
          <w:color w:val="231F20"/>
          <w:sz w:val="20"/>
        </w:rPr>
        <w:t>instead</w:t>
      </w:r>
      <w:r>
        <w:rPr>
          <w:color w:val="231F20"/>
          <w:spacing w:val="-3"/>
          <w:sz w:val="20"/>
        </w:rPr>
        <w:t> </w:t>
      </w:r>
      <w:r>
        <w:rPr>
          <w:color w:val="231F20"/>
          <w:sz w:val="20"/>
        </w:rPr>
        <w:t>of</w:t>
      </w:r>
      <w:r>
        <w:rPr>
          <w:color w:val="231F20"/>
          <w:spacing w:val="-3"/>
          <w:sz w:val="20"/>
        </w:rPr>
        <w:t> </w:t>
      </w:r>
      <w:r>
        <w:rPr>
          <w:color w:val="231F20"/>
          <w:sz w:val="20"/>
        </w:rPr>
        <w:t>a</w:t>
      </w:r>
      <w:r>
        <w:rPr>
          <w:color w:val="231F20"/>
          <w:spacing w:val="-3"/>
          <w:sz w:val="20"/>
        </w:rPr>
        <w:t> </w:t>
      </w:r>
      <w:r>
        <w:rPr>
          <w:color w:val="231F20"/>
          <w:sz w:val="20"/>
        </w:rPr>
        <w:t>loss</w:t>
      </w:r>
      <w:r>
        <w:rPr>
          <w:color w:val="231F20"/>
          <w:spacing w:val="-4"/>
          <w:sz w:val="20"/>
        </w:rPr>
        <w:t> </w:t>
      </w:r>
      <w:r>
        <w:rPr>
          <w:color w:val="231F20"/>
          <w:sz w:val="20"/>
        </w:rPr>
        <w:t>on impairment account. An audit adjustment of approximately $3,000 was required to be posted to properly classify the impairment loss.</w:t>
      </w:r>
    </w:p>
    <w:p>
      <w:pPr>
        <w:pStyle w:val="ListParagraph"/>
        <w:numPr>
          <w:ilvl w:val="0"/>
          <w:numId w:val="18"/>
        </w:numPr>
        <w:tabs>
          <w:tab w:pos="1619" w:val="left" w:leader="none"/>
          <w:tab w:pos="1621" w:val="left" w:leader="none"/>
        </w:tabs>
        <w:spacing w:line="273" w:lineRule="auto" w:before="123" w:after="0"/>
        <w:ind w:left="1619" w:right="1445" w:hanging="360"/>
        <w:jc w:val="left"/>
        <w:rPr>
          <w:sz w:val="20"/>
        </w:rPr>
      </w:pPr>
      <w:r>
        <w:rPr>
          <w:color w:val="231F20"/>
          <w:sz w:val="20"/>
        </w:rPr>
        <w:t>The market value of the investment in Socorro Ventures Fund I LP was not adjusted for unrealized</w:t>
      </w:r>
      <w:r>
        <w:rPr>
          <w:color w:val="231F20"/>
          <w:spacing w:val="-4"/>
          <w:sz w:val="20"/>
        </w:rPr>
        <w:t> </w:t>
      </w:r>
      <w:r>
        <w:rPr>
          <w:color w:val="231F20"/>
          <w:sz w:val="20"/>
        </w:rPr>
        <w:t>losses</w:t>
      </w:r>
      <w:r>
        <w:rPr>
          <w:color w:val="231F20"/>
          <w:spacing w:val="-4"/>
          <w:sz w:val="20"/>
        </w:rPr>
        <w:t> </w:t>
      </w:r>
      <w:r>
        <w:rPr>
          <w:color w:val="231F20"/>
          <w:sz w:val="20"/>
        </w:rPr>
        <w:t>incurred</w:t>
      </w:r>
      <w:r>
        <w:rPr>
          <w:color w:val="231F20"/>
          <w:spacing w:val="-5"/>
          <w:sz w:val="20"/>
        </w:rPr>
        <w:t> </w:t>
      </w:r>
      <w:r>
        <w:rPr>
          <w:color w:val="231F20"/>
          <w:sz w:val="20"/>
        </w:rPr>
        <w:t>as</w:t>
      </w:r>
      <w:r>
        <w:rPr>
          <w:color w:val="231F20"/>
          <w:spacing w:val="-4"/>
          <w:sz w:val="20"/>
        </w:rPr>
        <w:t> </w:t>
      </w:r>
      <w:r>
        <w:rPr>
          <w:color w:val="231F20"/>
          <w:sz w:val="20"/>
        </w:rPr>
        <w:t>of</w:t>
      </w:r>
      <w:r>
        <w:rPr>
          <w:color w:val="231F20"/>
          <w:spacing w:val="-4"/>
          <w:sz w:val="20"/>
        </w:rPr>
        <w:t> </w:t>
      </w:r>
      <w:r>
        <w:rPr>
          <w:color w:val="231F20"/>
          <w:sz w:val="20"/>
        </w:rPr>
        <w:t>year-end.</w:t>
      </w:r>
      <w:r>
        <w:rPr>
          <w:color w:val="231F20"/>
          <w:spacing w:val="-1"/>
          <w:sz w:val="20"/>
        </w:rPr>
        <w:t> </w:t>
      </w:r>
      <w:r>
        <w:rPr>
          <w:color w:val="231F20"/>
          <w:sz w:val="20"/>
        </w:rPr>
        <w:t>An</w:t>
      </w:r>
      <w:r>
        <w:rPr>
          <w:color w:val="231F20"/>
          <w:spacing w:val="-4"/>
          <w:sz w:val="20"/>
        </w:rPr>
        <w:t> </w:t>
      </w:r>
      <w:r>
        <w:rPr>
          <w:color w:val="231F20"/>
          <w:sz w:val="20"/>
        </w:rPr>
        <w:t>audit</w:t>
      </w:r>
      <w:r>
        <w:rPr>
          <w:color w:val="231F20"/>
          <w:spacing w:val="-4"/>
          <w:sz w:val="20"/>
        </w:rPr>
        <w:t> </w:t>
      </w:r>
      <w:r>
        <w:rPr>
          <w:color w:val="231F20"/>
          <w:sz w:val="20"/>
        </w:rPr>
        <w:t>adjustment</w:t>
      </w:r>
      <w:r>
        <w:rPr>
          <w:color w:val="231F20"/>
          <w:spacing w:val="-4"/>
          <w:sz w:val="20"/>
        </w:rPr>
        <w:t> </w:t>
      </w:r>
      <w:r>
        <w:rPr>
          <w:color w:val="231F20"/>
          <w:sz w:val="20"/>
        </w:rPr>
        <w:t>of</w:t>
      </w:r>
      <w:r>
        <w:rPr>
          <w:color w:val="231F20"/>
          <w:spacing w:val="-4"/>
          <w:sz w:val="20"/>
        </w:rPr>
        <w:t> </w:t>
      </w:r>
      <w:r>
        <w:rPr>
          <w:color w:val="231F20"/>
          <w:sz w:val="20"/>
        </w:rPr>
        <w:t>approximately</w:t>
      </w:r>
      <w:r>
        <w:rPr>
          <w:color w:val="231F20"/>
          <w:spacing w:val="-4"/>
          <w:sz w:val="20"/>
        </w:rPr>
        <w:t> </w:t>
      </w:r>
      <w:r>
        <w:rPr>
          <w:color w:val="231F20"/>
          <w:sz w:val="20"/>
        </w:rPr>
        <w:t>$3,700</w:t>
      </w:r>
      <w:r>
        <w:rPr>
          <w:color w:val="231F20"/>
          <w:spacing w:val="-4"/>
          <w:sz w:val="20"/>
        </w:rPr>
        <w:t> </w:t>
      </w:r>
      <w:r>
        <w:rPr>
          <w:color w:val="231F20"/>
          <w:sz w:val="20"/>
        </w:rPr>
        <w:t>was required to be posted to accurately state the investment balance.</w:t>
      </w:r>
    </w:p>
    <w:p>
      <w:pPr>
        <w:pStyle w:val="ListParagraph"/>
        <w:numPr>
          <w:ilvl w:val="0"/>
          <w:numId w:val="18"/>
        </w:numPr>
        <w:tabs>
          <w:tab w:pos="1619" w:val="left" w:leader="none"/>
          <w:tab w:pos="1621" w:val="left" w:leader="none"/>
        </w:tabs>
        <w:spacing w:line="271" w:lineRule="auto" w:before="124" w:after="0"/>
        <w:ind w:left="1619" w:right="1508" w:hanging="360"/>
        <w:jc w:val="left"/>
        <w:rPr>
          <w:sz w:val="20"/>
        </w:rPr>
      </w:pPr>
      <w:r>
        <w:rPr>
          <w:color w:val="231F20"/>
          <w:sz w:val="20"/>
        </w:rPr>
        <w:t>Amortization expense was not properly accrued as of year-end. An audit adjustment of approximately</w:t>
      </w:r>
      <w:r>
        <w:rPr>
          <w:color w:val="231F20"/>
          <w:spacing w:val="-4"/>
          <w:sz w:val="20"/>
        </w:rPr>
        <w:t> </w:t>
      </w:r>
      <w:r>
        <w:rPr>
          <w:color w:val="231F20"/>
          <w:sz w:val="20"/>
        </w:rPr>
        <w:t>$35,600</w:t>
      </w:r>
      <w:r>
        <w:rPr>
          <w:color w:val="231F20"/>
          <w:spacing w:val="-4"/>
          <w:sz w:val="20"/>
        </w:rPr>
        <w:t> </w:t>
      </w:r>
      <w:r>
        <w:rPr>
          <w:color w:val="231F20"/>
          <w:sz w:val="20"/>
        </w:rPr>
        <w:t>was</w:t>
      </w:r>
      <w:r>
        <w:rPr>
          <w:color w:val="231F20"/>
          <w:spacing w:val="-4"/>
          <w:sz w:val="20"/>
        </w:rPr>
        <w:t> </w:t>
      </w:r>
      <w:r>
        <w:rPr>
          <w:color w:val="231F20"/>
          <w:sz w:val="20"/>
        </w:rPr>
        <w:t>required</w:t>
      </w:r>
      <w:r>
        <w:rPr>
          <w:color w:val="231F20"/>
          <w:spacing w:val="-4"/>
          <w:sz w:val="20"/>
        </w:rPr>
        <w:t> </w:t>
      </w:r>
      <w:r>
        <w:rPr>
          <w:color w:val="231F20"/>
          <w:sz w:val="20"/>
        </w:rPr>
        <w:t>to</w:t>
      </w:r>
      <w:r>
        <w:rPr>
          <w:color w:val="231F20"/>
          <w:spacing w:val="-4"/>
          <w:sz w:val="20"/>
        </w:rPr>
        <w:t> </w:t>
      </w:r>
      <w:r>
        <w:rPr>
          <w:color w:val="231F20"/>
          <w:sz w:val="20"/>
        </w:rPr>
        <w:t>be</w:t>
      </w:r>
      <w:r>
        <w:rPr>
          <w:color w:val="231F20"/>
          <w:spacing w:val="-4"/>
          <w:sz w:val="20"/>
        </w:rPr>
        <w:t> </w:t>
      </w:r>
      <w:r>
        <w:rPr>
          <w:color w:val="231F20"/>
          <w:sz w:val="20"/>
        </w:rPr>
        <w:t>posted</w:t>
      </w:r>
      <w:r>
        <w:rPr>
          <w:color w:val="231F20"/>
          <w:spacing w:val="-4"/>
          <w:sz w:val="20"/>
        </w:rPr>
        <w:t> </w:t>
      </w:r>
      <w:r>
        <w:rPr>
          <w:color w:val="231F20"/>
          <w:sz w:val="20"/>
        </w:rPr>
        <w:t>to</w:t>
      </w:r>
      <w:r>
        <w:rPr>
          <w:color w:val="231F20"/>
          <w:spacing w:val="-4"/>
          <w:sz w:val="20"/>
        </w:rPr>
        <w:t> </w:t>
      </w:r>
      <w:r>
        <w:rPr>
          <w:color w:val="231F20"/>
          <w:sz w:val="20"/>
        </w:rPr>
        <w:t>accurately</w:t>
      </w:r>
      <w:r>
        <w:rPr>
          <w:color w:val="231F20"/>
          <w:spacing w:val="-5"/>
          <w:sz w:val="20"/>
        </w:rPr>
        <w:t> </w:t>
      </w:r>
      <w:r>
        <w:rPr>
          <w:color w:val="231F20"/>
          <w:sz w:val="20"/>
        </w:rPr>
        <w:t>state</w:t>
      </w:r>
      <w:r>
        <w:rPr>
          <w:color w:val="231F20"/>
          <w:spacing w:val="-4"/>
          <w:sz w:val="20"/>
        </w:rPr>
        <w:t> </w:t>
      </w:r>
      <w:r>
        <w:rPr>
          <w:color w:val="231F20"/>
          <w:sz w:val="20"/>
        </w:rPr>
        <w:t>amortization</w:t>
      </w:r>
      <w:r>
        <w:rPr>
          <w:color w:val="231F20"/>
          <w:spacing w:val="-4"/>
          <w:sz w:val="20"/>
        </w:rPr>
        <w:t> </w:t>
      </w:r>
      <w:r>
        <w:rPr>
          <w:color w:val="231F20"/>
          <w:sz w:val="20"/>
        </w:rPr>
        <w:t>expense.</w:t>
      </w:r>
    </w:p>
    <w:p>
      <w:pPr>
        <w:pStyle w:val="BodyText"/>
        <w:spacing w:before="5"/>
      </w:pPr>
    </w:p>
    <w:p>
      <w:pPr>
        <w:pStyle w:val="BodyText"/>
        <w:spacing w:line="264" w:lineRule="auto"/>
        <w:ind w:left="900" w:right="963"/>
      </w:pPr>
      <w:r>
        <w:rPr>
          <w:b/>
          <w:color w:val="231F20"/>
        </w:rPr>
        <w:t>Management’s Progress: </w:t>
      </w:r>
      <w:r>
        <w:rPr>
          <w:color w:val="231F20"/>
        </w:rPr>
        <w:t>As of October 20, 2022, the RPC manager has made correcting adjustments to accurately reflect the RPC's patent-related account balances and RPC investments at year-end. The RPC will require timely and accurate information from the patent legal firm to ensure the accuracy of patent assets. As of October 27, 2022, the RPC's patent tracker is up-to-date and all legal expense invoices through September 30, 2022 service dates have been received by the legal firms and reviewed. As of July 30, 2022, an Intellectual Property (IP) Management software program has been implemented</w:t>
      </w:r>
      <w:r>
        <w:rPr>
          <w:color w:val="231F20"/>
          <w:spacing w:val="40"/>
        </w:rPr>
        <w:t> </w:t>
      </w:r>
      <w:r>
        <w:rPr>
          <w:color w:val="231F20"/>
        </w:rPr>
        <w:t>to</w:t>
      </w:r>
      <w:r>
        <w:rPr>
          <w:color w:val="231F20"/>
          <w:spacing w:val="-3"/>
        </w:rPr>
        <w:t> </w:t>
      </w:r>
      <w:r>
        <w:rPr>
          <w:color w:val="231F20"/>
        </w:rPr>
        <w:t>track</w:t>
      </w:r>
      <w:r>
        <w:rPr>
          <w:color w:val="231F20"/>
          <w:spacing w:val="-3"/>
        </w:rPr>
        <w:t> </w:t>
      </w:r>
      <w:r>
        <w:rPr>
          <w:color w:val="231F20"/>
        </w:rPr>
        <w:t>and</w:t>
      </w:r>
      <w:r>
        <w:rPr>
          <w:color w:val="231F20"/>
          <w:spacing w:val="-4"/>
        </w:rPr>
        <w:t> </w:t>
      </w:r>
      <w:r>
        <w:rPr>
          <w:color w:val="231F20"/>
        </w:rPr>
        <w:t>manage</w:t>
      </w:r>
      <w:r>
        <w:rPr>
          <w:color w:val="231F20"/>
          <w:spacing w:val="-3"/>
        </w:rPr>
        <w:t> </w:t>
      </w:r>
      <w:r>
        <w:rPr>
          <w:color w:val="231F20"/>
        </w:rPr>
        <w:t>all</w:t>
      </w:r>
      <w:r>
        <w:rPr>
          <w:color w:val="231F20"/>
          <w:spacing w:val="-3"/>
        </w:rPr>
        <w:t> </w:t>
      </w:r>
      <w:r>
        <w:rPr>
          <w:color w:val="231F20"/>
        </w:rPr>
        <w:t>RPC</w:t>
      </w:r>
      <w:r>
        <w:rPr>
          <w:color w:val="231F20"/>
          <w:spacing w:val="-3"/>
        </w:rPr>
        <w:t> </w:t>
      </w:r>
      <w:r>
        <w:rPr>
          <w:color w:val="231F20"/>
        </w:rPr>
        <w:t>IP,</w:t>
      </w:r>
      <w:r>
        <w:rPr>
          <w:color w:val="231F20"/>
          <w:spacing w:val="-3"/>
        </w:rPr>
        <w:t> </w:t>
      </w:r>
      <w:r>
        <w:rPr>
          <w:color w:val="231F20"/>
        </w:rPr>
        <w:t>including</w:t>
      </w:r>
      <w:r>
        <w:rPr>
          <w:color w:val="231F20"/>
          <w:spacing w:val="-3"/>
        </w:rPr>
        <w:t> </w:t>
      </w:r>
      <w:r>
        <w:rPr>
          <w:color w:val="231F20"/>
        </w:rPr>
        <w:t>new</w:t>
      </w:r>
      <w:r>
        <w:rPr>
          <w:color w:val="231F20"/>
          <w:spacing w:val="-3"/>
        </w:rPr>
        <w:t> </w:t>
      </w:r>
      <w:r>
        <w:rPr>
          <w:color w:val="231F20"/>
        </w:rPr>
        <w:t>patents</w:t>
      </w:r>
      <w:r>
        <w:rPr>
          <w:color w:val="231F20"/>
          <w:spacing w:val="-3"/>
        </w:rPr>
        <w:t> </w:t>
      </w:r>
      <w:r>
        <w:rPr>
          <w:color w:val="231F20"/>
        </w:rPr>
        <w:t>and</w:t>
      </w:r>
      <w:r>
        <w:rPr>
          <w:color w:val="231F20"/>
          <w:spacing w:val="-3"/>
        </w:rPr>
        <w:t> </w:t>
      </w:r>
      <w:r>
        <w:rPr>
          <w:color w:val="231F20"/>
        </w:rPr>
        <w:t>applications.</w:t>
      </w:r>
      <w:r>
        <w:rPr>
          <w:color w:val="231F20"/>
          <w:spacing w:val="-3"/>
        </w:rPr>
        <w:t> </w:t>
      </w:r>
      <w:r>
        <w:rPr>
          <w:color w:val="231F20"/>
        </w:rPr>
        <w:t>The</w:t>
      </w:r>
      <w:r>
        <w:rPr>
          <w:color w:val="231F20"/>
          <w:spacing w:val="-3"/>
        </w:rPr>
        <w:t> </w:t>
      </w:r>
      <w:r>
        <w:rPr>
          <w:color w:val="231F20"/>
        </w:rPr>
        <w:t>market</w:t>
      </w:r>
      <w:r>
        <w:rPr>
          <w:color w:val="231F20"/>
          <w:spacing w:val="-3"/>
        </w:rPr>
        <w:t> </w:t>
      </w:r>
      <w:r>
        <w:rPr>
          <w:color w:val="231F20"/>
        </w:rPr>
        <w:t>value</w:t>
      </w:r>
      <w:r>
        <w:rPr>
          <w:color w:val="231F20"/>
          <w:spacing w:val="-3"/>
        </w:rPr>
        <w:t> </w:t>
      </w:r>
      <w:r>
        <w:rPr>
          <w:color w:val="231F20"/>
        </w:rPr>
        <w:t>of</w:t>
      </w:r>
      <w:r>
        <w:rPr>
          <w:color w:val="231F20"/>
          <w:spacing w:val="-3"/>
        </w:rPr>
        <w:t> </w:t>
      </w:r>
      <w:r>
        <w:rPr>
          <w:color w:val="231F20"/>
        </w:rPr>
        <w:t>Investments will be reviewed and adjusted in a timely manner.</w:t>
      </w:r>
    </w:p>
    <w:p>
      <w:pPr>
        <w:pStyle w:val="BodyText"/>
        <w:spacing w:before="1"/>
        <w:rPr>
          <w:sz w:val="22"/>
        </w:rPr>
      </w:pPr>
    </w:p>
    <w:p>
      <w:pPr>
        <w:pStyle w:val="BodyText"/>
        <w:spacing w:line="264" w:lineRule="auto"/>
        <w:ind w:left="900" w:right="1195"/>
      </w:pPr>
      <w:r>
        <w:rPr>
          <w:b/>
          <w:color w:val="231F20"/>
        </w:rPr>
        <w:t>Criteria: </w:t>
      </w:r>
      <w:r>
        <w:rPr>
          <w:color w:val="231F20"/>
        </w:rPr>
        <w:t>Management is responsible for establishing and maintaining an effective system of internal control</w:t>
      </w:r>
      <w:r>
        <w:rPr>
          <w:color w:val="231F20"/>
          <w:spacing w:val="-4"/>
        </w:rPr>
        <w:t> </w:t>
      </w:r>
      <w:r>
        <w:rPr>
          <w:color w:val="231F20"/>
        </w:rPr>
        <w:t>over</w:t>
      </w:r>
      <w:r>
        <w:rPr>
          <w:color w:val="231F20"/>
          <w:spacing w:val="-4"/>
        </w:rPr>
        <w:t> </w:t>
      </w:r>
      <w:r>
        <w:rPr>
          <w:color w:val="231F20"/>
        </w:rPr>
        <w:t>financial</w:t>
      </w:r>
      <w:r>
        <w:rPr>
          <w:color w:val="231F20"/>
          <w:spacing w:val="-4"/>
        </w:rPr>
        <w:t> </w:t>
      </w:r>
      <w:r>
        <w:rPr>
          <w:color w:val="231F20"/>
        </w:rPr>
        <w:t>close</w:t>
      </w:r>
      <w:r>
        <w:rPr>
          <w:color w:val="231F20"/>
          <w:spacing w:val="-5"/>
        </w:rPr>
        <w:t> </w:t>
      </w:r>
      <w:r>
        <w:rPr>
          <w:color w:val="231F20"/>
        </w:rPr>
        <w:t>and</w:t>
      </w:r>
      <w:r>
        <w:rPr>
          <w:color w:val="231F20"/>
          <w:spacing w:val="-4"/>
        </w:rPr>
        <w:t> </w:t>
      </w:r>
      <w:r>
        <w:rPr>
          <w:color w:val="231F20"/>
        </w:rPr>
        <w:t>reporting.</w:t>
      </w:r>
      <w:r>
        <w:rPr>
          <w:color w:val="231F20"/>
          <w:spacing w:val="-4"/>
        </w:rPr>
        <w:t> </w:t>
      </w:r>
      <w:r>
        <w:rPr>
          <w:color w:val="231F20"/>
        </w:rPr>
        <w:t>Section</w:t>
      </w:r>
      <w:r>
        <w:rPr>
          <w:color w:val="231F20"/>
          <w:spacing w:val="-4"/>
        </w:rPr>
        <w:t> </w:t>
      </w:r>
      <w:r>
        <w:rPr>
          <w:color w:val="231F20"/>
        </w:rPr>
        <w:t>2.20.5.8</w:t>
      </w:r>
      <w:r>
        <w:rPr>
          <w:color w:val="231F20"/>
          <w:spacing w:val="-4"/>
        </w:rPr>
        <w:t> </w:t>
      </w:r>
      <w:r>
        <w:rPr>
          <w:color w:val="231F20"/>
        </w:rPr>
        <w:t>NMAC</w:t>
      </w:r>
      <w:r>
        <w:rPr>
          <w:color w:val="231F20"/>
          <w:spacing w:val="-4"/>
        </w:rPr>
        <w:t> </w:t>
      </w:r>
      <w:r>
        <w:rPr>
          <w:color w:val="231F20"/>
        </w:rPr>
        <w:t>requires</w:t>
      </w:r>
      <w:r>
        <w:rPr>
          <w:color w:val="231F20"/>
          <w:spacing w:val="-4"/>
        </w:rPr>
        <w:t> </w:t>
      </w:r>
      <w:r>
        <w:rPr>
          <w:color w:val="231F20"/>
        </w:rPr>
        <w:t>all</w:t>
      </w:r>
      <w:r>
        <w:rPr>
          <w:color w:val="231F20"/>
          <w:spacing w:val="-4"/>
        </w:rPr>
        <w:t> </w:t>
      </w:r>
      <w:r>
        <w:rPr>
          <w:color w:val="231F20"/>
        </w:rPr>
        <w:t>public</w:t>
      </w:r>
      <w:r>
        <w:rPr>
          <w:color w:val="231F20"/>
          <w:spacing w:val="-4"/>
        </w:rPr>
        <w:t> </w:t>
      </w:r>
      <w:r>
        <w:rPr>
          <w:color w:val="231F20"/>
        </w:rPr>
        <w:t>bodies</w:t>
      </w:r>
      <w:r>
        <w:rPr>
          <w:color w:val="231F20"/>
          <w:spacing w:val="-4"/>
        </w:rPr>
        <w:t> </w:t>
      </w:r>
      <w:r>
        <w:rPr>
          <w:color w:val="231F20"/>
        </w:rPr>
        <w:t>to</w:t>
      </w:r>
      <w:r>
        <w:rPr>
          <w:color w:val="231F20"/>
          <w:spacing w:val="-5"/>
        </w:rPr>
        <w:t> </w:t>
      </w:r>
      <w:r>
        <w:rPr>
          <w:color w:val="231F20"/>
        </w:rPr>
        <w:t>maintain an</w:t>
      </w:r>
      <w:r>
        <w:rPr>
          <w:color w:val="231F20"/>
          <w:spacing w:val="-3"/>
        </w:rPr>
        <w:t> </w:t>
      </w:r>
      <w:r>
        <w:rPr>
          <w:color w:val="231F20"/>
        </w:rPr>
        <w:t>internal</w:t>
      </w:r>
      <w:r>
        <w:rPr>
          <w:color w:val="231F20"/>
          <w:spacing w:val="-3"/>
        </w:rPr>
        <w:t> </w:t>
      </w:r>
      <w:r>
        <w:rPr>
          <w:color w:val="231F20"/>
        </w:rPr>
        <w:t>control</w:t>
      </w:r>
      <w:r>
        <w:rPr>
          <w:color w:val="231F20"/>
          <w:spacing w:val="-3"/>
        </w:rPr>
        <w:t> </w:t>
      </w:r>
      <w:r>
        <w:rPr>
          <w:color w:val="231F20"/>
        </w:rPr>
        <w:t>structure</w:t>
      </w:r>
      <w:r>
        <w:rPr>
          <w:color w:val="231F20"/>
          <w:spacing w:val="-4"/>
        </w:rPr>
        <w:t> </w:t>
      </w:r>
      <w:r>
        <w:rPr>
          <w:color w:val="231F20"/>
        </w:rPr>
        <w:t>and</w:t>
      </w:r>
      <w:r>
        <w:rPr>
          <w:color w:val="231F20"/>
          <w:spacing w:val="-3"/>
        </w:rPr>
        <w:t> </w:t>
      </w:r>
      <w:r>
        <w:rPr>
          <w:color w:val="231F20"/>
        </w:rPr>
        <w:t>that</w:t>
      </w:r>
      <w:r>
        <w:rPr>
          <w:color w:val="231F20"/>
          <w:spacing w:val="-3"/>
        </w:rPr>
        <w:t> </w:t>
      </w:r>
      <w:r>
        <w:rPr>
          <w:color w:val="231F20"/>
        </w:rPr>
        <w:t>all</w:t>
      </w:r>
      <w:r>
        <w:rPr>
          <w:color w:val="231F20"/>
          <w:spacing w:val="-3"/>
        </w:rPr>
        <w:t> </w:t>
      </w:r>
      <w:r>
        <w:rPr>
          <w:color w:val="231F20"/>
        </w:rPr>
        <w:t>reporting</w:t>
      </w:r>
      <w:r>
        <w:rPr>
          <w:color w:val="231F20"/>
          <w:spacing w:val="-3"/>
        </w:rPr>
        <w:t> </w:t>
      </w:r>
      <w:r>
        <w:rPr>
          <w:color w:val="231F20"/>
        </w:rPr>
        <w:t>of</w:t>
      </w:r>
      <w:r>
        <w:rPr>
          <w:color w:val="231F20"/>
          <w:spacing w:val="-3"/>
        </w:rPr>
        <w:t> </w:t>
      </w:r>
      <w:r>
        <w:rPr>
          <w:color w:val="231F20"/>
        </w:rPr>
        <w:t>financial</w:t>
      </w:r>
      <w:r>
        <w:rPr>
          <w:color w:val="231F20"/>
          <w:spacing w:val="-3"/>
        </w:rPr>
        <w:t> </w:t>
      </w:r>
      <w:r>
        <w:rPr>
          <w:color w:val="231F20"/>
        </w:rPr>
        <w:t>information</w:t>
      </w:r>
      <w:r>
        <w:rPr>
          <w:color w:val="231F20"/>
          <w:spacing w:val="-3"/>
        </w:rPr>
        <w:t> </w:t>
      </w:r>
      <w:r>
        <w:rPr>
          <w:color w:val="231F20"/>
        </w:rPr>
        <w:t>must</w:t>
      </w:r>
      <w:r>
        <w:rPr>
          <w:color w:val="231F20"/>
          <w:spacing w:val="-3"/>
        </w:rPr>
        <w:t> </w:t>
      </w:r>
      <w:r>
        <w:rPr>
          <w:color w:val="231F20"/>
        </w:rPr>
        <w:t>be</w:t>
      </w:r>
      <w:r>
        <w:rPr>
          <w:color w:val="231F20"/>
          <w:spacing w:val="-4"/>
        </w:rPr>
        <w:t> </w:t>
      </w:r>
      <w:r>
        <w:rPr>
          <w:color w:val="231F20"/>
        </w:rPr>
        <w:t>timely,</w:t>
      </w:r>
      <w:r>
        <w:rPr>
          <w:color w:val="231F20"/>
          <w:spacing w:val="-3"/>
        </w:rPr>
        <w:t> </w:t>
      </w:r>
      <w:r>
        <w:rPr>
          <w:color w:val="231F20"/>
        </w:rPr>
        <w:t>complete,</w:t>
      </w:r>
      <w:r>
        <w:rPr>
          <w:color w:val="231F20"/>
          <w:spacing w:val="-3"/>
        </w:rPr>
        <w:t> </w:t>
      </w:r>
      <w:r>
        <w:rPr>
          <w:color w:val="231F20"/>
        </w:rPr>
        <w:t>and </w:t>
      </w:r>
      <w:r>
        <w:rPr>
          <w:color w:val="231F20"/>
          <w:spacing w:val="-2"/>
        </w:rPr>
        <w:t>accurate.</w:t>
      </w:r>
    </w:p>
    <w:p>
      <w:pPr>
        <w:pStyle w:val="BodyText"/>
        <w:rPr>
          <w:sz w:val="22"/>
        </w:rPr>
      </w:pPr>
    </w:p>
    <w:p>
      <w:pPr>
        <w:pStyle w:val="BodyText"/>
        <w:spacing w:line="264" w:lineRule="auto"/>
        <w:ind w:left="899" w:right="1027"/>
      </w:pPr>
      <w:r>
        <w:rPr>
          <w:b/>
          <w:color w:val="231F20"/>
        </w:rPr>
        <w:t>Cause:</w:t>
      </w:r>
      <w:r>
        <w:rPr>
          <w:b/>
          <w:color w:val="231F20"/>
          <w:spacing w:val="-3"/>
        </w:rPr>
        <w:t> </w:t>
      </w:r>
      <w:r>
        <w:rPr>
          <w:color w:val="231F20"/>
        </w:rPr>
        <w:t>Insufficient</w:t>
      </w:r>
      <w:r>
        <w:rPr>
          <w:color w:val="231F20"/>
          <w:spacing w:val="-4"/>
        </w:rPr>
        <w:t> </w:t>
      </w:r>
      <w:r>
        <w:rPr>
          <w:color w:val="231F20"/>
        </w:rPr>
        <w:t>training,</w:t>
      </w:r>
      <w:r>
        <w:rPr>
          <w:color w:val="231F20"/>
          <w:spacing w:val="-4"/>
        </w:rPr>
        <w:t> </w:t>
      </w:r>
      <w:r>
        <w:rPr>
          <w:color w:val="231F20"/>
        </w:rPr>
        <w:t>lack</w:t>
      </w:r>
      <w:r>
        <w:rPr>
          <w:color w:val="231F20"/>
          <w:spacing w:val="-4"/>
        </w:rPr>
        <w:t> </w:t>
      </w:r>
      <w:r>
        <w:rPr>
          <w:color w:val="231F20"/>
        </w:rPr>
        <w:t>of</w:t>
      </w:r>
      <w:r>
        <w:rPr>
          <w:color w:val="231F20"/>
          <w:spacing w:val="-4"/>
        </w:rPr>
        <w:t> </w:t>
      </w:r>
      <w:r>
        <w:rPr>
          <w:color w:val="231F20"/>
        </w:rPr>
        <w:t>knowledge</w:t>
      </w:r>
      <w:r>
        <w:rPr>
          <w:color w:val="231F20"/>
          <w:spacing w:val="-4"/>
        </w:rPr>
        <w:t> </w:t>
      </w:r>
      <w:r>
        <w:rPr>
          <w:color w:val="231F20"/>
        </w:rPr>
        <w:t>related</w:t>
      </w:r>
      <w:r>
        <w:rPr>
          <w:color w:val="231F20"/>
          <w:spacing w:val="-4"/>
        </w:rPr>
        <w:t> </w:t>
      </w:r>
      <w:r>
        <w:rPr>
          <w:color w:val="231F20"/>
        </w:rPr>
        <w:t>to</w:t>
      </w:r>
      <w:r>
        <w:rPr>
          <w:color w:val="231F20"/>
          <w:spacing w:val="-4"/>
        </w:rPr>
        <w:t> </w:t>
      </w:r>
      <w:r>
        <w:rPr>
          <w:color w:val="231F20"/>
        </w:rPr>
        <w:t>accounting</w:t>
      </w:r>
      <w:r>
        <w:rPr>
          <w:color w:val="231F20"/>
          <w:spacing w:val="-5"/>
        </w:rPr>
        <w:t> </w:t>
      </w:r>
      <w:r>
        <w:rPr>
          <w:color w:val="231F20"/>
        </w:rPr>
        <w:t>principles,</w:t>
      </w:r>
      <w:r>
        <w:rPr>
          <w:color w:val="231F20"/>
          <w:spacing w:val="-4"/>
        </w:rPr>
        <w:t> </w:t>
      </w:r>
      <w:r>
        <w:rPr>
          <w:color w:val="231F20"/>
        </w:rPr>
        <w:t>and</w:t>
      </w:r>
      <w:r>
        <w:rPr>
          <w:color w:val="231F20"/>
          <w:spacing w:val="-4"/>
        </w:rPr>
        <w:t> </w:t>
      </w:r>
      <w:r>
        <w:rPr>
          <w:color w:val="231F20"/>
        </w:rPr>
        <w:t>lack</w:t>
      </w:r>
      <w:r>
        <w:rPr>
          <w:color w:val="231F20"/>
          <w:spacing w:val="-4"/>
        </w:rPr>
        <w:t> </w:t>
      </w:r>
      <w:r>
        <w:rPr>
          <w:color w:val="231F20"/>
        </w:rPr>
        <w:t>of</w:t>
      </w:r>
      <w:r>
        <w:rPr>
          <w:color w:val="231F20"/>
          <w:spacing w:val="-4"/>
        </w:rPr>
        <w:t> </w:t>
      </w:r>
      <w:r>
        <w:rPr>
          <w:color w:val="231F20"/>
        </w:rPr>
        <w:t>effective review and approval by management over the financial close and reporting process.</w:t>
      </w:r>
    </w:p>
    <w:p>
      <w:pPr>
        <w:pStyle w:val="BodyText"/>
        <w:spacing w:before="11"/>
        <w:rPr>
          <w:sz w:val="21"/>
        </w:rPr>
      </w:pPr>
    </w:p>
    <w:p>
      <w:pPr>
        <w:pStyle w:val="BodyText"/>
        <w:ind w:left="899"/>
      </w:pPr>
      <w:r>
        <w:rPr>
          <w:b/>
          <w:color w:val="231F20"/>
        </w:rPr>
        <w:t>Effect:</w:t>
      </w:r>
      <w:r>
        <w:rPr>
          <w:b/>
          <w:color w:val="231F20"/>
          <w:spacing w:val="-8"/>
        </w:rPr>
        <w:t> </w:t>
      </w:r>
      <w:r>
        <w:rPr>
          <w:color w:val="231F20"/>
        </w:rPr>
        <w:t>Misstatements</w:t>
      </w:r>
      <w:r>
        <w:rPr>
          <w:color w:val="231F20"/>
          <w:spacing w:val="-6"/>
        </w:rPr>
        <w:t> </w:t>
      </w:r>
      <w:r>
        <w:rPr>
          <w:color w:val="231F20"/>
        </w:rPr>
        <w:t>of</w:t>
      </w:r>
      <w:r>
        <w:rPr>
          <w:color w:val="231F20"/>
          <w:spacing w:val="-7"/>
        </w:rPr>
        <w:t> </w:t>
      </w:r>
      <w:r>
        <w:rPr>
          <w:color w:val="231F20"/>
        </w:rPr>
        <w:t>the</w:t>
      </w:r>
      <w:r>
        <w:rPr>
          <w:color w:val="231F20"/>
          <w:spacing w:val="-6"/>
        </w:rPr>
        <w:t> </w:t>
      </w:r>
      <w:r>
        <w:rPr>
          <w:color w:val="231F20"/>
        </w:rPr>
        <w:t>financial</w:t>
      </w:r>
      <w:r>
        <w:rPr>
          <w:color w:val="231F20"/>
          <w:spacing w:val="-7"/>
        </w:rPr>
        <w:t> </w:t>
      </w:r>
      <w:r>
        <w:rPr>
          <w:color w:val="231F20"/>
        </w:rPr>
        <w:t>statements</w:t>
      </w:r>
      <w:r>
        <w:rPr>
          <w:color w:val="231F20"/>
          <w:spacing w:val="-6"/>
        </w:rPr>
        <w:t> </w:t>
      </w:r>
      <w:r>
        <w:rPr>
          <w:color w:val="231F20"/>
        </w:rPr>
        <w:t>and</w:t>
      </w:r>
      <w:r>
        <w:rPr>
          <w:color w:val="231F20"/>
          <w:spacing w:val="-8"/>
        </w:rPr>
        <w:t> </w:t>
      </w:r>
      <w:r>
        <w:rPr>
          <w:color w:val="231F20"/>
        </w:rPr>
        <w:t>untimely</w:t>
      </w:r>
      <w:r>
        <w:rPr>
          <w:color w:val="231F20"/>
          <w:spacing w:val="-6"/>
        </w:rPr>
        <w:t> </w:t>
      </w:r>
      <w:r>
        <w:rPr>
          <w:color w:val="231F20"/>
        </w:rPr>
        <w:t>financial</w:t>
      </w:r>
      <w:r>
        <w:rPr>
          <w:color w:val="231F20"/>
          <w:spacing w:val="-6"/>
        </w:rPr>
        <w:t> </w:t>
      </w:r>
      <w:r>
        <w:rPr>
          <w:color w:val="231F20"/>
          <w:spacing w:val="-2"/>
        </w:rPr>
        <w:t>reporting.</w:t>
      </w:r>
    </w:p>
    <w:p>
      <w:pPr>
        <w:spacing w:after="0"/>
        <w:sectPr>
          <w:pgSz w:w="12240" w:h="15840"/>
          <w:pgMar w:header="994" w:footer="1062" w:top="1880" w:bottom="1280" w:left="540" w:right="500"/>
        </w:sectPr>
      </w:pPr>
    </w:p>
    <w:p>
      <w:pPr>
        <w:pStyle w:val="BodyText"/>
      </w:pPr>
    </w:p>
    <w:p>
      <w:pPr>
        <w:pStyle w:val="BodyText"/>
        <w:spacing w:before="6"/>
        <w:rPr>
          <w:sz w:val="22"/>
        </w:rPr>
      </w:pPr>
    </w:p>
    <w:p>
      <w:pPr>
        <w:pStyle w:val="BodyText"/>
        <w:spacing w:line="30" w:lineRule="exact"/>
        <w:ind w:left="870"/>
        <w:rPr>
          <w:sz w:val="3"/>
        </w:rPr>
      </w:pPr>
      <w:r>
        <w:rPr>
          <w:position w:val="0"/>
          <w:sz w:val="3"/>
        </w:rPr>
        <w:pict>
          <v:group style="width:471.05pt;height:1.5pt;mso-position-horizontal-relative:char;mso-position-vertical-relative:line" id="docshapegroup654" coordorigin="0,0" coordsize="9421,30">
            <v:rect style="position:absolute;left:0;top:0;width:9421;height:30" id="docshape655" filled="true" fillcolor="#231f20" stroked="false">
              <v:fill type="solid"/>
            </v:rect>
          </v:group>
        </w:pict>
      </w:r>
      <w:r>
        <w:rPr>
          <w:position w:val="0"/>
          <w:sz w:val="3"/>
        </w:rPr>
      </w:r>
    </w:p>
    <w:p>
      <w:pPr>
        <w:pStyle w:val="Heading4"/>
        <w:spacing w:before="19"/>
        <w:ind w:left="0" w:right="40"/>
        <w:jc w:val="center"/>
      </w:pPr>
      <w:r>
        <w:rPr/>
        <w:pict>
          <v:rect style="position:absolute;margin-left:70.5pt;margin-top:14.829892pt;width:471.001pt;height:1.5pt;mso-position-horizontal-relative:page;mso-position-vertical-relative:paragraph;z-index:-15577600;mso-wrap-distance-left:0;mso-wrap-distance-right:0" id="docshape656" filled="true" fillcolor="#231f20" stroked="false">
            <v:fill type="solid"/>
            <w10:wrap type="topAndBottom"/>
          </v:rect>
        </w:pict>
      </w:r>
      <w:r>
        <w:rPr>
          <w:color w:val="231F20"/>
        </w:rPr>
        <w:t>Section</w:t>
      </w:r>
      <w:r>
        <w:rPr>
          <w:color w:val="231F20"/>
          <w:spacing w:val="-7"/>
        </w:rPr>
        <w:t> </w:t>
      </w:r>
      <w:r>
        <w:rPr>
          <w:color w:val="231F20"/>
        </w:rPr>
        <w:t>IV</w:t>
      </w:r>
      <w:r>
        <w:rPr>
          <w:color w:val="231F20"/>
          <w:spacing w:val="-4"/>
        </w:rPr>
        <w:t> </w:t>
      </w:r>
      <w:r>
        <w:rPr>
          <w:color w:val="231F20"/>
        </w:rPr>
        <w:t>–</w:t>
      </w:r>
      <w:r>
        <w:rPr>
          <w:color w:val="231F20"/>
          <w:spacing w:val="-4"/>
        </w:rPr>
        <w:t> </w:t>
      </w:r>
      <w:r>
        <w:rPr>
          <w:color w:val="231F20"/>
        </w:rPr>
        <w:t>Other</w:t>
      </w:r>
      <w:r>
        <w:rPr>
          <w:color w:val="231F20"/>
          <w:spacing w:val="-4"/>
        </w:rPr>
        <w:t> </w:t>
      </w:r>
      <w:r>
        <w:rPr>
          <w:color w:val="231F20"/>
        </w:rPr>
        <w:t>Matter</w:t>
      </w:r>
      <w:r>
        <w:rPr>
          <w:color w:val="231F20"/>
          <w:spacing w:val="-5"/>
        </w:rPr>
        <w:t> </w:t>
      </w:r>
      <w:r>
        <w:rPr>
          <w:color w:val="231F20"/>
        </w:rPr>
        <w:t>Findings</w:t>
      </w:r>
      <w:r>
        <w:rPr>
          <w:color w:val="231F20"/>
          <w:spacing w:val="-4"/>
        </w:rPr>
        <w:t> </w:t>
      </w:r>
      <w:r>
        <w:rPr>
          <w:color w:val="231F20"/>
        </w:rPr>
        <w:t>as</w:t>
      </w:r>
      <w:r>
        <w:rPr>
          <w:color w:val="231F20"/>
          <w:spacing w:val="-5"/>
        </w:rPr>
        <w:t> </w:t>
      </w:r>
      <w:r>
        <w:rPr>
          <w:color w:val="231F20"/>
        </w:rPr>
        <w:t>Required</w:t>
      </w:r>
      <w:r>
        <w:rPr>
          <w:color w:val="231F20"/>
          <w:spacing w:val="-4"/>
        </w:rPr>
        <w:t> </w:t>
      </w:r>
      <w:r>
        <w:rPr>
          <w:color w:val="231F20"/>
        </w:rPr>
        <w:t>by</w:t>
      </w:r>
      <w:r>
        <w:rPr>
          <w:color w:val="231F20"/>
          <w:spacing w:val="-5"/>
        </w:rPr>
        <w:t> </w:t>
      </w:r>
      <w:r>
        <w:rPr>
          <w:color w:val="231F20"/>
        </w:rPr>
        <w:t>Section</w:t>
      </w:r>
      <w:r>
        <w:rPr>
          <w:color w:val="231F20"/>
          <w:spacing w:val="-4"/>
        </w:rPr>
        <w:t> </w:t>
      </w:r>
      <w:r>
        <w:rPr>
          <w:color w:val="231F20"/>
        </w:rPr>
        <w:t>12-6-5</w:t>
      </w:r>
      <w:r>
        <w:rPr>
          <w:color w:val="231F20"/>
          <w:spacing w:val="-4"/>
        </w:rPr>
        <w:t> </w:t>
      </w:r>
      <w:r>
        <w:rPr>
          <w:color w:val="231F20"/>
        </w:rPr>
        <w:t>NMSA</w:t>
      </w:r>
      <w:r>
        <w:rPr>
          <w:color w:val="231F20"/>
          <w:spacing w:val="-3"/>
        </w:rPr>
        <w:t> </w:t>
      </w:r>
      <w:r>
        <w:rPr>
          <w:color w:val="231F20"/>
          <w:spacing w:val="-4"/>
        </w:rPr>
        <w:t>1978</w:t>
      </w:r>
    </w:p>
    <w:p>
      <w:pPr>
        <w:pStyle w:val="BodyText"/>
        <w:rPr>
          <w:b/>
        </w:rPr>
      </w:pPr>
    </w:p>
    <w:p>
      <w:pPr>
        <w:pStyle w:val="BodyText"/>
        <w:spacing w:before="10"/>
        <w:rPr>
          <w:b/>
          <w:sz w:val="17"/>
        </w:rPr>
      </w:pPr>
    </w:p>
    <w:p>
      <w:pPr>
        <w:spacing w:line="276" w:lineRule="auto" w:before="94"/>
        <w:ind w:left="900" w:right="951" w:firstLine="0"/>
        <w:jc w:val="left"/>
        <w:rPr>
          <w:b/>
          <w:sz w:val="20"/>
        </w:rPr>
      </w:pPr>
      <w:r>
        <w:rPr>
          <w:b/>
          <w:color w:val="231F20"/>
          <w:sz w:val="20"/>
        </w:rPr>
        <w:t>2022-006</w:t>
      </w:r>
      <w:r>
        <w:rPr>
          <w:b/>
          <w:color w:val="231F20"/>
          <w:spacing w:val="-4"/>
          <w:sz w:val="20"/>
        </w:rPr>
        <w:t> </w:t>
      </w:r>
      <w:r>
        <w:rPr>
          <w:b/>
          <w:color w:val="231F20"/>
          <w:sz w:val="20"/>
        </w:rPr>
        <w:t>(2021-008,</w:t>
      </w:r>
      <w:r>
        <w:rPr>
          <w:b/>
          <w:color w:val="231F20"/>
          <w:spacing w:val="-4"/>
          <w:sz w:val="20"/>
        </w:rPr>
        <w:t> </w:t>
      </w:r>
      <w:r>
        <w:rPr>
          <w:b/>
          <w:color w:val="231F20"/>
          <w:sz w:val="20"/>
        </w:rPr>
        <w:t>2020-006,</w:t>
      </w:r>
      <w:r>
        <w:rPr>
          <w:b/>
          <w:color w:val="231F20"/>
          <w:spacing w:val="-4"/>
          <w:sz w:val="20"/>
        </w:rPr>
        <w:t> </w:t>
      </w:r>
      <w:r>
        <w:rPr>
          <w:b/>
          <w:color w:val="231F20"/>
          <w:sz w:val="20"/>
        </w:rPr>
        <w:t>and</w:t>
      </w:r>
      <w:r>
        <w:rPr>
          <w:b/>
          <w:color w:val="231F20"/>
          <w:spacing w:val="-4"/>
          <w:sz w:val="20"/>
        </w:rPr>
        <w:t> </w:t>
      </w:r>
      <w:r>
        <w:rPr>
          <w:b/>
          <w:color w:val="231F20"/>
          <w:sz w:val="20"/>
        </w:rPr>
        <w:t>2019-006)</w:t>
      </w:r>
      <w:r>
        <w:rPr>
          <w:b/>
          <w:color w:val="231F20"/>
          <w:spacing w:val="-3"/>
          <w:sz w:val="20"/>
        </w:rPr>
        <w:t> </w:t>
      </w:r>
      <w:r>
        <w:rPr>
          <w:b/>
          <w:color w:val="231F20"/>
          <w:sz w:val="20"/>
        </w:rPr>
        <w:t>–</w:t>
      </w:r>
      <w:r>
        <w:rPr>
          <w:b/>
          <w:color w:val="231F20"/>
          <w:spacing w:val="-4"/>
          <w:sz w:val="20"/>
        </w:rPr>
        <w:t> </w:t>
      </w:r>
      <w:r>
        <w:rPr>
          <w:b/>
          <w:color w:val="231F20"/>
          <w:sz w:val="20"/>
        </w:rPr>
        <w:t>Financial</w:t>
      </w:r>
      <w:r>
        <w:rPr>
          <w:b/>
          <w:color w:val="231F20"/>
          <w:spacing w:val="-4"/>
          <w:sz w:val="20"/>
        </w:rPr>
        <w:t> </w:t>
      </w:r>
      <w:r>
        <w:rPr>
          <w:b/>
          <w:color w:val="231F20"/>
          <w:sz w:val="20"/>
        </w:rPr>
        <w:t>Close</w:t>
      </w:r>
      <w:r>
        <w:rPr>
          <w:b/>
          <w:color w:val="231F20"/>
          <w:spacing w:val="-5"/>
          <w:sz w:val="20"/>
        </w:rPr>
        <w:t> </w:t>
      </w:r>
      <w:r>
        <w:rPr>
          <w:b/>
          <w:color w:val="231F20"/>
          <w:sz w:val="20"/>
        </w:rPr>
        <w:t>and</w:t>
      </w:r>
      <w:r>
        <w:rPr>
          <w:b/>
          <w:color w:val="231F20"/>
          <w:spacing w:val="-4"/>
          <w:sz w:val="20"/>
        </w:rPr>
        <w:t> </w:t>
      </w:r>
      <w:r>
        <w:rPr>
          <w:b/>
          <w:color w:val="231F20"/>
          <w:sz w:val="20"/>
        </w:rPr>
        <w:t>Reporting</w:t>
      </w:r>
      <w:r>
        <w:rPr>
          <w:b/>
          <w:color w:val="231F20"/>
          <w:spacing w:val="-4"/>
          <w:sz w:val="20"/>
        </w:rPr>
        <w:t> </w:t>
      </w:r>
      <w:r>
        <w:rPr>
          <w:b/>
          <w:color w:val="231F20"/>
          <w:sz w:val="20"/>
        </w:rPr>
        <w:t>–</w:t>
      </w:r>
      <w:r>
        <w:rPr>
          <w:b/>
          <w:color w:val="231F20"/>
          <w:spacing w:val="-4"/>
          <w:sz w:val="20"/>
        </w:rPr>
        <w:t> </w:t>
      </w:r>
      <w:r>
        <w:rPr>
          <w:b/>
          <w:color w:val="231F20"/>
          <w:sz w:val="20"/>
        </w:rPr>
        <w:t>Material</w:t>
      </w:r>
      <w:r>
        <w:rPr>
          <w:b/>
          <w:color w:val="231F20"/>
          <w:spacing w:val="-4"/>
          <w:sz w:val="20"/>
        </w:rPr>
        <w:t> </w:t>
      </w:r>
      <w:r>
        <w:rPr>
          <w:b/>
          <w:color w:val="231F20"/>
          <w:sz w:val="20"/>
        </w:rPr>
        <w:t>Weakness (At the Individual Component Unit Level – University Research Park Corporation) (continued)</w:t>
      </w:r>
    </w:p>
    <w:p>
      <w:pPr>
        <w:pStyle w:val="BodyText"/>
        <w:spacing w:before="5"/>
        <w:rPr>
          <w:b/>
          <w:sz w:val="22"/>
        </w:rPr>
      </w:pPr>
    </w:p>
    <w:p>
      <w:pPr>
        <w:pStyle w:val="BodyText"/>
        <w:spacing w:line="276" w:lineRule="auto" w:before="1"/>
        <w:ind w:left="900" w:right="962"/>
      </w:pPr>
      <w:r>
        <w:rPr>
          <w:b/>
          <w:color w:val="231F20"/>
        </w:rPr>
        <w:t>Repeat</w:t>
      </w:r>
      <w:r>
        <w:rPr>
          <w:b/>
          <w:color w:val="231F20"/>
          <w:spacing w:val="-3"/>
        </w:rPr>
        <w:t> </w:t>
      </w:r>
      <w:r>
        <w:rPr>
          <w:b/>
          <w:color w:val="231F20"/>
        </w:rPr>
        <w:t>finding:</w:t>
      </w:r>
      <w:r>
        <w:rPr>
          <w:b/>
          <w:color w:val="231F20"/>
          <w:spacing w:val="-2"/>
        </w:rPr>
        <w:t> </w:t>
      </w:r>
      <w:r>
        <w:rPr>
          <w:color w:val="231F20"/>
        </w:rPr>
        <w:t>Yes,</w:t>
      </w:r>
      <w:r>
        <w:rPr>
          <w:color w:val="231F20"/>
          <w:spacing w:val="-3"/>
        </w:rPr>
        <w:t> </w:t>
      </w:r>
      <w:r>
        <w:rPr>
          <w:color w:val="231F20"/>
        </w:rPr>
        <w:t>this</w:t>
      </w:r>
      <w:r>
        <w:rPr>
          <w:color w:val="231F20"/>
          <w:spacing w:val="-4"/>
        </w:rPr>
        <w:t> </w:t>
      </w:r>
      <w:r>
        <w:rPr>
          <w:color w:val="231F20"/>
        </w:rPr>
        <w:t>is</w:t>
      </w:r>
      <w:r>
        <w:rPr>
          <w:color w:val="231F20"/>
          <w:spacing w:val="-3"/>
        </w:rPr>
        <w:t> </w:t>
      </w:r>
      <w:r>
        <w:rPr>
          <w:color w:val="231F20"/>
        </w:rPr>
        <w:t>a</w:t>
      </w:r>
      <w:r>
        <w:rPr>
          <w:color w:val="231F20"/>
          <w:spacing w:val="-3"/>
        </w:rPr>
        <w:t> </w:t>
      </w:r>
      <w:r>
        <w:rPr>
          <w:color w:val="231F20"/>
        </w:rPr>
        <w:t>modification</w:t>
      </w:r>
      <w:r>
        <w:rPr>
          <w:color w:val="231F20"/>
          <w:spacing w:val="-3"/>
        </w:rPr>
        <w:t> </w:t>
      </w:r>
      <w:r>
        <w:rPr>
          <w:color w:val="231F20"/>
        </w:rPr>
        <w:t>of</w:t>
      </w:r>
      <w:r>
        <w:rPr>
          <w:color w:val="231F20"/>
          <w:spacing w:val="-3"/>
        </w:rPr>
        <w:t> </w:t>
      </w:r>
      <w:r>
        <w:rPr>
          <w:color w:val="231F20"/>
        </w:rPr>
        <w:t>repeat</w:t>
      </w:r>
      <w:r>
        <w:rPr>
          <w:color w:val="231F20"/>
          <w:spacing w:val="-3"/>
        </w:rPr>
        <w:t> </w:t>
      </w:r>
      <w:r>
        <w:rPr>
          <w:color w:val="231F20"/>
        </w:rPr>
        <w:t>finding</w:t>
      </w:r>
      <w:r>
        <w:rPr>
          <w:color w:val="231F20"/>
          <w:spacing w:val="-3"/>
        </w:rPr>
        <w:t> </w:t>
      </w:r>
      <w:r>
        <w:rPr>
          <w:color w:val="231F20"/>
        </w:rPr>
        <w:t>previously</w:t>
      </w:r>
      <w:r>
        <w:rPr>
          <w:color w:val="231F20"/>
          <w:spacing w:val="-3"/>
        </w:rPr>
        <w:t> </w:t>
      </w:r>
      <w:r>
        <w:rPr>
          <w:color w:val="231F20"/>
        </w:rPr>
        <w:t>noted</w:t>
      </w:r>
      <w:r>
        <w:rPr>
          <w:color w:val="231F20"/>
          <w:spacing w:val="-3"/>
        </w:rPr>
        <w:t> </w:t>
      </w:r>
      <w:r>
        <w:rPr>
          <w:color w:val="231F20"/>
        </w:rPr>
        <w:t>as</w:t>
      </w:r>
      <w:r>
        <w:rPr>
          <w:color w:val="231F20"/>
          <w:spacing w:val="-2"/>
        </w:rPr>
        <w:t> </w:t>
      </w:r>
      <w:r>
        <w:rPr>
          <w:color w:val="231F20"/>
        </w:rPr>
        <w:t>2021-001,</w:t>
      </w:r>
      <w:r>
        <w:rPr>
          <w:color w:val="231F20"/>
          <w:spacing w:val="-3"/>
        </w:rPr>
        <w:t> </w:t>
      </w:r>
      <w:r>
        <w:rPr>
          <w:color w:val="231F20"/>
        </w:rPr>
        <w:t>2020-001,</w:t>
      </w:r>
      <w:r>
        <w:rPr>
          <w:color w:val="231F20"/>
          <w:spacing w:val="-3"/>
        </w:rPr>
        <w:t> </w:t>
      </w:r>
      <w:r>
        <w:rPr>
          <w:color w:val="231F20"/>
        </w:rPr>
        <w:t>and </w:t>
      </w:r>
      <w:r>
        <w:rPr>
          <w:color w:val="231F20"/>
          <w:spacing w:val="-2"/>
        </w:rPr>
        <w:t>2019-001.</w:t>
      </w:r>
    </w:p>
    <w:p>
      <w:pPr>
        <w:pStyle w:val="BodyText"/>
        <w:spacing w:before="11"/>
        <w:rPr>
          <w:sz w:val="22"/>
        </w:rPr>
      </w:pPr>
    </w:p>
    <w:p>
      <w:pPr>
        <w:pStyle w:val="BodyText"/>
        <w:spacing w:line="276" w:lineRule="auto"/>
        <w:ind w:left="900" w:right="1027"/>
      </w:pPr>
      <w:r>
        <w:rPr>
          <w:b/>
          <w:color w:val="231F20"/>
        </w:rPr>
        <w:t>Recommendation:</w:t>
      </w:r>
      <w:r>
        <w:rPr>
          <w:b/>
          <w:color w:val="231F20"/>
          <w:spacing w:val="-4"/>
        </w:rPr>
        <w:t> </w:t>
      </w:r>
      <w:r>
        <w:rPr>
          <w:color w:val="231F20"/>
        </w:rPr>
        <w:t>We</w:t>
      </w:r>
      <w:r>
        <w:rPr>
          <w:color w:val="231F20"/>
          <w:spacing w:val="-4"/>
        </w:rPr>
        <w:t> </w:t>
      </w:r>
      <w:r>
        <w:rPr>
          <w:color w:val="231F20"/>
        </w:rPr>
        <w:t>recommend</w:t>
      </w:r>
      <w:r>
        <w:rPr>
          <w:color w:val="231F20"/>
          <w:spacing w:val="-4"/>
        </w:rPr>
        <w:t> </w:t>
      </w:r>
      <w:r>
        <w:rPr>
          <w:color w:val="231F20"/>
        </w:rPr>
        <w:t>that</w:t>
      </w:r>
      <w:r>
        <w:rPr>
          <w:color w:val="231F20"/>
          <w:spacing w:val="-4"/>
        </w:rPr>
        <w:t> </w:t>
      </w:r>
      <w:r>
        <w:rPr>
          <w:color w:val="231F20"/>
        </w:rPr>
        <w:t>the</w:t>
      </w:r>
      <w:r>
        <w:rPr>
          <w:color w:val="231F20"/>
          <w:spacing w:val="-4"/>
        </w:rPr>
        <w:t> </w:t>
      </w:r>
      <w:r>
        <w:rPr>
          <w:color w:val="231F20"/>
        </w:rPr>
        <w:t>Corporation’s</w:t>
      </w:r>
      <w:r>
        <w:rPr>
          <w:color w:val="231F20"/>
          <w:spacing w:val="-4"/>
        </w:rPr>
        <w:t> </w:t>
      </w:r>
      <w:r>
        <w:rPr>
          <w:color w:val="231F20"/>
        </w:rPr>
        <w:t>accounting</w:t>
      </w:r>
      <w:r>
        <w:rPr>
          <w:color w:val="231F20"/>
          <w:spacing w:val="-4"/>
        </w:rPr>
        <w:t> </w:t>
      </w:r>
      <w:r>
        <w:rPr>
          <w:color w:val="231F20"/>
        </w:rPr>
        <w:t>policies,</w:t>
      </w:r>
      <w:r>
        <w:rPr>
          <w:color w:val="231F20"/>
          <w:spacing w:val="-4"/>
        </w:rPr>
        <w:t> </w:t>
      </w:r>
      <w:r>
        <w:rPr>
          <w:color w:val="231F20"/>
        </w:rPr>
        <w:t>procedures,</w:t>
      </w:r>
      <w:r>
        <w:rPr>
          <w:color w:val="231F20"/>
          <w:spacing w:val="-4"/>
        </w:rPr>
        <w:t> </w:t>
      </w:r>
      <w:r>
        <w:rPr>
          <w:color w:val="231F20"/>
        </w:rPr>
        <w:t>and</w:t>
      </w:r>
      <w:r>
        <w:rPr>
          <w:color w:val="231F20"/>
          <w:spacing w:val="-4"/>
        </w:rPr>
        <w:t> </w:t>
      </w:r>
      <w:r>
        <w:rPr>
          <w:color w:val="231F20"/>
        </w:rPr>
        <w:t>internal controls be re-examined to establish effective internal controls and procedures to ensure timely and accurate financial statements.</w:t>
      </w:r>
    </w:p>
    <w:p>
      <w:pPr>
        <w:pStyle w:val="BodyText"/>
        <w:rPr>
          <w:sz w:val="23"/>
        </w:rPr>
      </w:pPr>
    </w:p>
    <w:p>
      <w:pPr>
        <w:pStyle w:val="BodyText"/>
        <w:spacing w:line="276" w:lineRule="auto"/>
        <w:ind w:left="900" w:right="951"/>
      </w:pPr>
      <w:r>
        <w:rPr>
          <w:b/>
          <w:color w:val="231F20"/>
        </w:rPr>
        <w:t>Views of Responsible Officials and Planned Corrective Actions: </w:t>
      </w:r>
      <w:r>
        <w:rPr>
          <w:color w:val="48484A"/>
        </w:rPr>
        <w:t>As of October 20, 2022, the RPC manager has made correcting adjustments to accurately reflect the RPC's patent-related account balances and RPC investments at year-end. The RPC will require timely and accurate information from the patent legal firm to ensure the accuracy of patent assets. As of October 27, 2022, the RPC's patent tracker</w:t>
      </w:r>
      <w:r>
        <w:rPr>
          <w:color w:val="48484A"/>
          <w:spacing w:val="-3"/>
        </w:rPr>
        <w:t> </w:t>
      </w:r>
      <w:r>
        <w:rPr>
          <w:color w:val="48484A"/>
        </w:rPr>
        <w:t>is</w:t>
      </w:r>
      <w:r>
        <w:rPr>
          <w:color w:val="48484A"/>
          <w:spacing w:val="-3"/>
        </w:rPr>
        <w:t> </w:t>
      </w:r>
      <w:r>
        <w:rPr>
          <w:color w:val="48484A"/>
        </w:rPr>
        <w:t>up-to-date</w:t>
      </w:r>
      <w:r>
        <w:rPr>
          <w:color w:val="48484A"/>
          <w:spacing w:val="-3"/>
        </w:rPr>
        <w:t> </w:t>
      </w:r>
      <w:r>
        <w:rPr>
          <w:color w:val="48484A"/>
        </w:rPr>
        <w:t>and</w:t>
      </w:r>
      <w:r>
        <w:rPr>
          <w:color w:val="48484A"/>
          <w:spacing w:val="-3"/>
        </w:rPr>
        <w:t> </w:t>
      </w:r>
      <w:r>
        <w:rPr>
          <w:color w:val="48484A"/>
        </w:rPr>
        <w:t>all</w:t>
      </w:r>
      <w:r>
        <w:rPr>
          <w:color w:val="48484A"/>
          <w:spacing w:val="-4"/>
        </w:rPr>
        <w:t> </w:t>
      </w:r>
      <w:r>
        <w:rPr>
          <w:color w:val="48484A"/>
        </w:rPr>
        <w:t>legal</w:t>
      </w:r>
      <w:r>
        <w:rPr>
          <w:color w:val="48484A"/>
          <w:spacing w:val="-3"/>
        </w:rPr>
        <w:t> </w:t>
      </w:r>
      <w:r>
        <w:rPr>
          <w:color w:val="48484A"/>
        </w:rPr>
        <w:t>expense</w:t>
      </w:r>
      <w:r>
        <w:rPr>
          <w:color w:val="48484A"/>
          <w:spacing w:val="-3"/>
        </w:rPr>
        <w:t> </w:t>
      </w:r>
      <w:r>
        <w:rPr>
          <w:color w:val="48484A"/>
        </w:rPr>
        <w:t>invoices</w:t>
      </w:r>
      <w:r>
        <w:rPr>
          <w:color w:val="48484A"/>
          <w:spacing w:val="-3"/>
        </w:rPr>
        <w:t> </w:t>
      </w:r>
      <w:r>
        <w:rPr>
          <w:color w:val="48484A"/>
        </w:rPr>
        <w:t>through</w:t>
      </w:r>
      <w:r>
        <w:rPr>
          <w:color w:val="48484A"/>
          <w:spacing w:val="-3"/>
        </w:rPr>
        <w:t> </w:t>
      </w:r>
      <w:r>
        <w:rPr>
          <w:color w:val="48484A"/>
        </w:rPr>
        <w:t>September</w:t>
      </w:r>
      <w:r>
        <w:rPr>
          <w:color w:val="48484A"/>
          <w:spacing w:val="-3"/>
        </w:rPr>
        <w:t> </w:t>
      </w:r>
      <w:r>
        <w:rPr>
          <w:color w:val="48484A"/>
        </w:rPr>
        <w:t>30,</w:t>
      </w:r>
      <w:r>
        <w:rPr>
          <w:color w:val="48484A"/>
          <w:spacing w:val="-3"/>
        </w:rPr>
        <w:t> </w:t>
      </w:r>
      <w:r>
        <w:rPr>
          <w:color w:val="48484A"/>
        </w:rPr>
        <w:t>2022</w:t>
      </w:r>
      <w:r>
        <w:rPr>
          <w:color w:val="48484A"/>
          <w:spacing w:val="-4"/>
        </w:rPr>
        <w:t> </w:t>
      </w:r>
      <w:r>
        <w:rPr>
          <w:color w:val="48484A"/>
        </w:rPr>
        <w:t>service</w:t>
      </w:r>
      <w:r>
        <w:rPr>
          <w:color w:val="48484A"/>
          <w:spacing w:val="-3"/>
        </w:rPr>
        <w:t> </w:t>
      </w:r>
      <w:r>
        <w:rPr>
          <w:color w:val="48484A"/>
        </w:rPr>
        <w:t>dates</w:t>
      </w:r>
      <w:r>
        <w:rPr>
          <w:color w:val="48484A"/>
          <w:spacing w:val="-3"/>
        </w:rPr>
        <w:t> </w:t>
      </w:r>
      <w:r>
        <w:rPr>
          <w:color w:val="48484A"/>
        </w:rPr>
        <w:t>have</w:t>
      </w:r>
      <w:r>
        <w:rPr>
          <w:color w:val="48484A"/>
          <w:spacing w:val="-3"/>
        </w:rPr>
        <w:t> </w:t>
      </w:r>
      <w:r>
        <w:rPr>
          <w:color w:val="48484A"/>
        </w:rPr>
        <w:t>been received by the legal firms and reviewed. As of July 30, 2022, an Intellectual Property (IP) Management software program has been implemented to track and manage all RPC IP, including new patents and applications. The market value of Investments will be reviewed and adjusted in a timely manner.</w:t>
      </w:r>
    </w:p>
    <w:p>
      <w:pPr>
        <w:pStyle w:val="BodyText"/>
        <w:spacing w:line="276" w:lineRule="auto"/>
        <w:ind w:left="900" w:right="1027"/>
      </w:pPr>
      <w:r>
        <w:rPr>
          <w:color w:val="48484A"/>
        </w:rPr>
        <w:t>A review of the accounting policies, procedures, and controls will be performed to determine if any additional</w:t>
      </w:r>
      <w:r>
        <w:rPr>
          <w:color w:val="48484A"/>
          <w:spacing w:val="-4"/>
        </w:rPr>
        <w:t> </w:t>
      </w:r>
      <w:r>
        <w:rPr>
          <w:color w:val="48484A"/>
        </w:rPr>
        <w:t>controls</w:t>
      </w:r>
      <w:r>
        <w:rPr>
          <w:color w:val="48484A"/>
          <w:spacing w:val="-4"/>
        </w:rPr>
        <w:t> </w:t>
      </w:r>
      <w:r>
        <w:rPr>
          <w:color w:val="48484A"/>
        </w:rPr>
        <w:t>or</w:t>
      </w:r>
      <w:r>
        <w:rPr>
          <w:color w:val="48484A"/>
          <w:spacing w:val="-3"/>
        </w:rPr>
        <w:t> </w:t>
      </w:r>
      <w:r>
        <w:rPr>
          <w:color w:val="48484A"/>
        </w:rPr>
        <w:t>processes</w:t>
      </w:r>
      <w:r>
        <w:rPr>
          <w:color w:val="48484A"/>
          <w:spacing w:val="-4"/>
        </w:rPr>
        <w:t> </w:t>
      </w:r>
      <w:r>
        <w:rPr>
          <w:color w:val="48484A"/>
        </w:rPr>
        <w:t>are</w:t>
      </w:r>
      <w:r>
        <w:rPr>
          <w:color w:val="48484A"/>
          <w:spacing w:val="-4"/>
        </w:rPr>
        <w:t> </w:t>
      </w:r>
      <w:r>
        <w:rPr>
          <w:color w:val="48484A"/>
        </w:rPr>
        <w:t>necessary.</w:t>
      </w:r>
      <w:r>
        <w:rPr>
          <w:color w:val="48484A"/>
          <w:spacing w:val="-4"/>
        </w:rPr>
        <w:t> </w:t>
      </w:r>
      <w:r>
        <w:rPr>
          <w:color w:val="48484A"/>
        </w:rPr>
        <w:t>The</w:t>
      </w:r>
      <w:r>
        <w:rPr>
          <w:color w:val="48484A"/>
          <w:spacing w:val="-5"/>
        </w:rPr>
        <w:t> </w:t>
      </w:r>
      <w:r>
        <w:rPr>
          <w:color w:val="48484A"/>
        </w:rPr>
        <w:t>effective</w:t>
      </w:r>
      <w:r>
        <w:rPr>
          <w:color w:val="48484A"/>
          <w:spacing w:val="-4"/>
        </w:rPr>
        <w:t> </w:t>
      </w:r>
      <w:r>
        <w:rPr>
          <w:color w:val="48484A"/>
        </w:rPr>
        <w:t>date</w:t>
      </w:r>
      <w:r>
        <w:rPr>
          <w:color w:val="48484A"/>
          <w:spacing w:val="-5"/>
        </w:rPr>
        <w:t> </w:t>
      </w:r>
      <w:r>
        <w:rPr>
          <w:color w:val="48484A"/>
        </w:rPr>
        <w:t>for</w:t>
      </w:r>
      <w:r>
        <w:rPr>
          <w:color w:val="48484A"/>
          <w:spacing w:val="-4"/>
        </w:rPr>
        <w:t> </w:t>
      </w:r>
      <w:r>
        <w:rPr>
          <w:color w:val="48484A"/>
        </w:rPr>
        <w:t>implementation</w:t>
      </w:r>
      <w:r>
        <w:rPr>
          <w:color w:val="48484A"/>
          <w:spacing w:val="-4"/>
        </w:rPr>
        <w:t> </w:t>
      </w:r>
      <w:r>
        <w:rPr>
          <w:color w:val="48484A"/>
        </w:rPr>
        <w:t>of</w:t>
      </w:r>
      <w:r>
        <w:rPr>
          <w:color w:val="48484A"/>
          <w:spacing w:val="-4"/>
        </w:rPr>
        <w:t> </w:t>
      </w:r>
      <w:r>
        <w:rPr>
          <w:color w:val="48484A"/>
        </w:rPr>
        <w:t>the</w:t>
      </w:r>
      <w:r>
        <w:rPr>
          <w:color w:val="48484A"/>
          <w:spacing w:val="-4"/>
        </w:rPr>
        <w:t> </w:t>
      </w:r>
      <w:r>
        <w:rPr>
          <w:color w:val="48484A"/>
        </w:rPr>
        <w:t>corrective action plan is March 31, 2023.</w:t>
      </w:r>
    </w:p>
    <w:p>
      <w:pPr>
        <w:pStyle w:val="BodyText"/>
        <w:rPr>
          <w:sz w:val="23"/>
        </w:rPr>
      </w:pPr>
    </w:p>
    <w:p>
      <w:pPr>
        <w:spacing w:before="1"/>
        <w:ind w:left="900" w:right="0" w:firstLine="0"/>
        <w:jc w:val="left"/>
        <w:rPr>
          <w:sz w:val="20"/>
        </w:rPr>
      </w:pPr>
      <w:r>
        <w:rPr>
          <w:b/>
          <w:color w:val="231F20"/>
          <w:sz w:val="20"/>
        </w:rPr>
        <w:t>Responsible</w:t>
      </w:r>
      <w:r>
        <w:rPr>
          <w:b/>
          <w:color w:val="231F20"/>
          <w:spacing w:val="-9"/>
          <w:sz w:val="20"/>
        </w:rPr>
        <w:t> </w:t>
      </w:r>
      <w:r>
        <w:rPr>
          <w:b/>
          <w:color w:val="231F20"/>
          <w:sz w:val="20"/>
        </w:rPr>
        <w:t>Person:</w:t>
      </w:r>
      <w:r>
        <w:rPr>
          <w:b/>
          <w:color w:val="231F20"/>
          <w:spacing w:val="-6"/>
          <w:sz w:val="20"/>
        </w:rPr>
        <w:t> </w:t>
      </w:r>
      <w:r>
        <w:rPr>
          <w:color w:val="231F20"/>
          <w:sz w:val="20"/>
        </w:rPr>
        <w:t>RPC</w:t>
      </w:r>
      <w:r>
        <w:rPr>
          <w:color w:val="231F20"/>
          <w:spacing w:val="-5"/>
          <w:sz w:val="20"/>
        </w:rPr>
        <w:t> </w:t>
      </w:r>
      <w:r>
        <w:rPr>
          <w:color w:val="231F20"/>
          <w:sz w:val="20"/>
        </w:rPr>
        <w:t>Manager,</w:t>
      </w:r>
      <w:r>
        <w:rPr>
          <w:color w:val="231F20"/>
          <w:spacing w:val="-6"/>
          <w:sz w:val="20"/>
        </w:rPr>
        <w:t> </w:t>
      </w:r>
      <w:r>
        <w:rPr>
          <w:color w:val="231F20"/>
          <w:sz w:val="20"/>
        </w:rPr>
        <w:t>Interim</w:t>
      </w:r>
      <w:r>
        <w:rPr>
          <w:color w:val="231F20"/>
          <w:spacing w:val="-5"/>
          <w:sz w:val="20"/>
        </w:rPr>
        <w:t> </w:t>
      </w:r>
      <w:r>
        <w:rPr>
          <w:color w:val="231F20"/>
          <w:sz w:val="20"/>
        </w:rPr>
        <w:t>Chief</w:t>
      </w:r>
      <w:r>
        <w:rPr>
          <w:color w:val="231F20"/>
          <w:spacing w:val="-6"/>
          <w:sz w:val="20"/>
        </w:rPr>
        <w:t> </w:t>
      </w:r>
      <w:r>
        <w:rPr>
          <w:color w:val="231F20"/>
          <w:sz w:val="20"/>
        </w:rPr>
        <w:t>Operating</w:t>
      </w:r>
      <w:r>
        <w:rPr>
          <w:color w:val="231F20"/>
          <w:spacing w:val="-5"/>
          <w:sz w:val="20"/>
        </w:rPr>
        <w:t> </w:t>
      </w:r>
      <w:r>
        <w:rPr>
          <w:color w:val="231F20"/>
          <w:spacing w:val="-2"/>
          <w:sz w:val="20"/>
        </w:rPr>
        <w:t>Officer</w:t>
      </w:r>
    </w:p>
    <w:p>
      <w:pPr>
        <w:spacing w:after="0"/>
        <w:jc w:val="left"/>
        <w:rPr>
          <w:sz w:val="20"/>
        </w:rPr>
        <w:sectPr>
          <w:pgSz w:w="12240" w:h="15840"/>
          <w:pgMar w:header="994" w:footer="1062" w:top="1880" w:bottom="1280" w:left="540" w:right="500"/>
        </w:sectPr>
      </w:pPr>
    </w:p>
    <w:p>
      <w:pPr>
        <w:pStyle w:val="Heading3"/>
        <w:ind w:left="3879" w:right="2842" w:hanging="747"/>
        <w:jc w:val="left"/>
      </w:pPr>
      <w:r>
        <w:rPr/>
        <w:pict>
          <v:rect style="position:absolute;margin-left:70.5pt;margin-top:28.525633pt;width:471.001pt;height:1.5pt;mso-position-horizontal-relative:page;mso-position-vertical-relative:paragraph;z-index:-15577088;mso-wrap-distance-left:0;mso-wrap-distance-right:0" id="docshape660" filled="true" fillcolor="#231f20" stroked="false">
            <v:fill type="solid"/>
            <w10:wrap type="topAndBottom"/>
          </v:rect>
        </w:pict>
      </w:r>
      <w:r>
        <w:rPr>
          <w:color w:val="231F20"/>
        </w:rPr>
        <w:t>Summary</w:t>
      </w:r>
      <w:r>
        <w:rPr>
          <w:color w:val="231F20"/>
          <w:spacing w:val="-7"/>
        </w:rPr>
        <w:t> </w:t>
      </w:r>
      <w:r>
        <w:rPr>
          <w:color w:val="231F20"/>
        </w:rPr>
        <w:t>Schedule</w:t>
      </w:r>
      <w:r>
        <w:rPr>
          <w:color w:val="231F20"/>
          <w:spacing w:val="-7"/>
        </w:rPr>
        <w:t> </w:t>
      </w:r>
      <w:r>
        <w:rPr>
          <w:color w:val="231F20"/>
        </w:rPr>
        <w:t>of</w:t>
      </w:r>
      <w:r>
        <w:rPr>
          <w:color w:val="231F20"/>
          <w:spacing w:val="-7"/>
        </w:rPr>
        <w:t> </w:t>
      </w:r>
      <w:r>
        <w:rPr>
          <w:color w:val="231F20"/>
        </w:rPr>
        <w:t>Prior</w:t>
      </w:r>
      <w:r>
        <w:rPr>
          <w:color w:val="231F20"/>
          <w:spacing w:val="-7"/>
        </w:rPr>
        <w:t> </w:t>
      </w:r>
      <w:r>
        <w:rPr>
          <w:color w:val="231F20"/>
        </w:rPr>
        <w:t>Audit</w:t>
      </w:r>
      <w:r>
        <w:rPr>
          <w:color w:val="231F20"/>
          <w:spacing w:val="-7"/>
        </w:rPr>
        <w:t> </w:t>
      </w:r>
      <w:r>
        <w:rPr>
          <w:color w:val="231F20"/>
        </w:rPr>
        <w:t>Findings For Year Ended June 30, 2022</w:t>
      </w:r>
    </w:p>
    <w:p>
      <w:pPr>
        <w:pStyle w:val="BodyText"/>
        <w:rPr>
          <w:b/>
        </w:rPr>
      </w:pPr>
    </w:p>
    <w:p>
      <w:pPr>
        <w:pStyle w:val="BodyText"/>
        <w:spacing w:before="10"/>
        <w:rPr>
          <w:b/>
          <w:sz w:val="17"/>
        </w:rPr>
      </w:pPr>
    </w:p>
    <w:p>
      <w:pPr>
        <w:pStyle w:val="Heading4"/>
        <w:spacing w:before="94"/>
        <w:ind w:left="900"/>
      </w:pPr>
      <w:r>
        <w:rPr>
          <w:color w:val="231F20"/>
        </w:rPr>
        <w:t>SECTION</w:t>
      </w:r>
      <w:r>
        <w:rPr>
          <w:color w:val="231F20"/>
          <w:spacing w:val="-6"/>
        </w:rPr>
        <w:t> </w:t>
      </w:r>
      <w:r>
        <w:rPr>
          <w:color w:val="231F20"/>
        </w:rPr>
        <w:t>II</w:t>
      </w:r>
      <w:r>
        <w:rPr>
          <w:color w:val="231F20"/>
          <w:spacing w:val="-5"/>
        </w:rPr>
        <w:t> </w:t>
      </w:r>
      <w:r>
        <w:rPr>
          <w:color w:val="231F20"/>
        </w:rPr>
        <w:t>–</w:t>
      </w:r>
      <w:r>
        <w:rPr>
          <w:color w:val="231F20"/>
          <w:spacing w:val="-5"/>
        </w:rPr>
        <w:t> </w:t>
      </w:r>
      <w:r>
        <w:rPr>
          <w:color w:val="231F20"/>
        </w:rPr>
        <w:t>FINANCIAL</w:t>
      </w:r>
      <w:r>
        <w:rPr>
          <w:color w:val="231F20"/>
          <w:spacing w:val="-5"/>
        </w:rPr>
        <w:t> </w:t>
      </w:r>
      <w:r>
        <w:rPr>
          <w:color w:val="231F20"/>
        </w:rPr>
        <w:t>STATEMENT</w:t>
      </w:r>
      <w:r>
        <w:rPr>
          <w:color w:val="231F20"/>
          <w:spacing w:val="-5"/>
        </w:rPr>
        <w:t> </w:t>
      </w:r>
      <w:r>
        <w:rPr>
          <w:color w:val="231F20"/>
          <w:spacing w:val="-2"/>
        </w:rPr>
        <w:t>FINDINGS</w:t>
      </w:r>
    </w:p>
    <w:p>
      <w:pPr>
        <w:pStyle w:val="BodyText"/>
        <w:rPr>
          <w:b/>
          <w:sz w:val="26"/>
        </w:rPr>
      </w:pPr>
    </w:p>
    <w:p>
      <w:pPr>
        <w:pStyle w:val="BodyText"/>
        <w:spacing w:before="1"/>
        <w:ind w:left="900"/>
      </w:pPr>
      <w:r>
        <w:rPr>
          <w:color w:val="231F20"/>
        </w:rPr>
        <w:t>2021-001</w:t>
      </w:r>
      <w:r>
        <w:rPr>
          <w:color w:val="231F20"/>
          <w:spacing w:val="-11"/>
        </w:rPr>
        <w:t> </w:t>
      </w:r>
      <w:r>
        <w:rPr>
          <w:color w:val="231F20"/>
        </w:rPr>
        <w:t>–</w:t>
      </w:r>
      <w:r>
        <w:rPr>
          <w:color w:val="231F20"/>
          <w:spacing w:val="-8"/>
        </w:rPr>
        <w:t> </w:t>
      </w:r>
      <w:r>
        <w:rPr>
          <w:color w:val="231F20"/>
        </w:rPr>
        <w:t>Bank</w:t>
      </w:r>
      <w:r>
        <w:rPr>
          <w:color w:val="231F20"/>
          <w:spacing w:val="-8"/>
        </w:rPr>
        <w:t> </w:t>
      </w:r>
      <w:r>
        <w:rPr>
          <w:color w:val="231F20"/>
        </w:rPr>
        <w:t>Reconciliations</w:t>
      </w:r>
      <w:r>
        <w:rPr>
          <w:color w:val="231F20"/>
          <w:spacing w:val="-8"/>
        </w:rPr>
        <w:t> </w:t>
      </w:r>
      <w:r>
        <w:rPr>
          <w:color w:val="231F20"/>
        </w:rPr>
        <w:t>(Significant</w:t>
      </w:r>
      <w:r>
        <w:rPr>
          <w:color w:val="231F20"/>
          <w:spacing w:val="-8"/>
        </w:rPr>
        <w:t> </w:t>
      </w:r>
      <w:r>
        <w:rPr>
          <w:color w:val="231F20"/>
        </w:rPr>
        <w:t>Deficiency)</w:t>
      </w:r>
      <w:r>
        <w:rPr>
          <w:color w:val="231F20"/>
          <w:spacing w:val="-8"/>
        </w:rPr>
        <w:t> </w:t>
      </w:r>
      <w:r>
        <w:rPr>
          <w:color w:val="231F20"/>
        </w:rPr>
        <w:t>–</w:t>
      </w:r>
      <w:r>
        <w:rPr>
          <w:color w:val="231F20"/>
          <w:spacing w:val="-8"/>
        </w:rPr>
        <w:t> </w:t>
      </w:r>
      <w:r>
        <w:rPr>
          <w:color w:val="231F20"/>
        </w:rPr>
        <w:t>Repeated</w:t>
      </w:r>
      <w:r>
        <w:rPr>
          <w:color w:val="231F20"/>
          <w:spacing w:val="-8"/>
        </w:rPr>
        <w:t> </w:t>
      </w:r>
      <w:r>
        <w:rPr>
          <w:color w:val="231F20"/>
        </w:rPr>
        <w:t>and</w:t>
      </w:r>
      <w:r>
        <w:rPr>
          <w:color w:val="231F20"/>
          <w:spacing w:val="-8"/>
        </w:rPr>
        <w:t> </w:t>
      </w:r>
      <w:r>
        <w:rPr>
          <w:color w:val="231F20"/>
        </w:rPr>
        <w:t>modified</w:t>
      </w:r>
      <w:r>
        <w:rPr>
          <w:color w:val="231F20"/>
          <w:spacing w:val="-8"/>
        </w:rPr>
        <w:t> </w:t>
      </w:r>
      <w:r>
        <w:rPr>
          <w:color w:val="231F20"/>
        </w:rPr>
        <w:t>as</w:t>
      </w:r>
      <w:r>
        <w:rPr>
          <w:color w:val="231F20"/>
          <w:spacing w:val="-8"/>
        </w:rPr>
        <w:t> </w:t>
      </w:r>
      <w:r>
        <w:rPr>
          <w:color w:val="231F20"/>
        </w:rPr>
        <w:t>2022-</w:t>
      </w:r>
      <w:r>
        <w:rPr>
          <w:color w:val="231F20"/>
          <w:spacing w:val="-5"/>
        </w:rPr>
        <w:t>001</w:t>
      </w:r>
    </w:p>
    <w:p>
      <w:pPr>
        <w:pStyle w:val="BodyText"/>
        <w:spacing w:before="9"/>
        <w:rPr>
          <w:sz w:val="23"/>
        </w:rPr>
      </w:pPr>
    </w:p>
    <w:p>
      <w:pPr>
        <w:pStyle w:val="Heading4"/>
        <w:ind w:left="900"/>
      </w:pPr>
      <w:r>
        <w:rPr>
          <w:color w:val="231F20"/>
        </w:rPr>
        <w:t>SECTION</w:t>
      </w:r>
      <w:r>
        <w:rPr>
          <w:color w:val="231F20"/>
          <w:spacing w:val="-8"/>
        </w:rPr>
        <w:t> </w:t>
      </w:r>
      <w:r>
        <w:rPr>
          <w:color w:val="231F20"/>
        </w:rPr>
        <w:t>III</w:t>
      </w:r>
      <w:r>
        <w:rPr>
          <w:color w:val="231F20"/>
          <w:spacing w:val="-5"/>
        </w:rPr>
        <w:t> </w:t>
      </w:r>
      <w:r>
        <w:rPr>
          <w:color w:val="231F20"/>
        </w:rPr>
        <w:t>–</w:t>
      </w:r>
      <w:r>
        <w:rPr>
          <w:color w:val="231F20"/>
          <w:spacing w:val="-5"/>
        </w:rPr>
        <w:t> </w:t>
      </w:r>
      <w:r>
        <w:rPr>
          <w:color w:val="231F20"/>
        </w:rPr>
        <w:t>FEDERAL</w:t>
      </w:r>
      <w:r>
        <w:rPr>
          <w:color w:val="231F20"/>
          <w:spacing w:val="-7"/>
        </w:rPr>
        <w:t> </w:t>
      </w:r>
      <w:r>
        <w:rPr>
          <w:color w:val="231F20"/>
        </w:rPr>
        <w:t>AWARD</w:t>
      </w:r>
      <w:r>
        <w:rPr>
          <w:color w:val="231F20"/>
          <w:spacing w:val="-5"/>
        </w:rPr>
        <w:t> </w:t>
      </w:r>
      <w:r>
        <w:rPr>
          <w:color w:val="231F20"/>
        </w:rPr>
        <w:t>FINDINGS</w:t>
      </w:r>
      <w:r>
        <w:rPr>
          <w:color w:val="231F20"/>
          <w:spacing w:val="-6"/>
        </w:rPr>
        <w:t> </w:t>
      </w:r>
      <w:r>
        <w:rPr>
          <w:color w:val="231F20"/>
        </w:rPr>
        <w:t>AND</w:t>
      </w:r>
      <w:r>
        <w:rPr>
          <w:color w:val="231F20"/>
          <w:spacing w:val="-6"/>
        </w:rPr>
        <w:t> </w:t>
      </w:r>
      <w:r>
        <w:rPr>
          <w:color w:val="231F20"/>
        </w:rPr>
        <w:t>QUESTIONED</w:t>
      </w:r>
      <w:r>
        <w:rPr>
          <w:color w:val="231F20"/>
          <w:spacing w:val="-5"/>
        </w:rPr>
        <w:t> </w:t>
      </w:r>
      <w:r>
        <w:rPr>
          <w:color w:val="231F20"/>
          <w:spacing w:val="-2"/>
        </w:rPr>
        <w:t>COSTS</w:t>
      </w:r>
    </w:p>
    <w:p>
      <w:pPr>
        <w:pStyle w:val="BodyText"/>
        <w:rPr>
          <w:b/>
          <w:sz w:val="26"/>
        </w:rPr>
      </w:pPr>
    </w:p>
    <w:p>
      <w:pPr>
        <w:spacing w:line="552" w:lineRule="auto" w:before="0"/>
        <w:ind w:left="900" w:right="1533" w:firstLine="0"/>
        <w:jc w:val="left"/>
        <w:rPr>
          <w:b/>
          <w:sz w:val="20"/>
        </w:rPr>
      </w:pPr>
      <w:r>
        <w:rPr>
          <w:color w:val="231F20"/>
          <w:sz w:val="20"/>
        </w:rPr>
        <w:t>2021-002</w:t>
      </w:r>
      <w:r>
        <w:rPr>
          <w:color w:val="231F20"/>
          <w:spacing w:val="-5"/>
          <w:sz w:val="20"/>
        </w:rPr>
        <w:t> </w:t>
      </w:r>
      <w:r>
        <w:rPr>
          <w:color w:val="231F20"/>
          <w:sz w:val="20"/>
        </w:rPr>
        <w:t>–</w:t>
      </w:r>
      <w:r>
        <w:rPr>
          <w:color w:val="231F20"/>
          <w:spacing w:val="-5"/>
          <w:sz w:val="20"/>
        </w:rPr>
        <w:t> </w:t>
      </w:r>
      <w:r>
        <w:rPr>
          <w:color w:val="231F20"/>
          <w:sz w:val="20"/>
        </w:rPr>
        <w:t>Equipment</w:t>
      </w:r>
      <w:r>
        <w:rPr>
          <w:color w:val="231F20"/>
          <w:spacing w:val="-5"/>
          <w:sz w:val="20"/>
        </w:rPr>
        <w:t> </w:t>
      </w:r>
      <w:r>
        <w:rPr>
          <w:color w:val="231F20"/>
          <w:sz w:val="20"/>
        </w:rPr>
        <w:t>Tracking,</w:t>
      </w:r>
      <w:r>
        <w:rPr>
          <w:color w:val="231F20"/>
          <w:spacing w:val="-5"/>
          <w:sz w:val="20"/>
        </w:rPr>
        <w:t> </w:t>
      </w:r>
      <w:r>
        <w:rPr>
          <w:color w:val="231F20"/>
          <w:sz w:val="20"/>
        </w:rPr>
        <w:t>Significant</w:t>
      </w:r>
      <w:r>
        <w:rPr>
          <w:color w:val="231F20"/>
          <w:spacing w:val="-5"/>
          <w:sz w:val="20"/>
        </w:rPr>
        <w:t> </w:t>
      </w:r>
      <w:r>
        <w:rPr>
          <w:color w:val="231F20"/>
          <w:sz w:val="20"/>
        </w:rPr>
        <w:t>Deficiency</w:t>
      </w:r>
      <w:r>
        <w:rPr>
          <w:color w:val="231F20"/>
          <w:spacing w:val="-5"/>
          <w:sz w:val="20"/>
        </w:rPr>
        <w:t> </w:t>
      </w:r>
      <w:r>
        <w:rPr>
          <w:color w:val="231F20"/>
          <w:sz w:val="20"/>
        </w:rPr>
        <w:t>and</w:t>
      </w:r>
      <w:r>
        <w:rPr>
          <w:color w:val="231F20"/>
          <w:spacing w:val="-5"/>
          <w:sz w:val="20"/>
        </w:rPr>
        <w:t> </w:t>
      </w:r>
      <w:r>
        <w:rPr>
          <w:color w:val="231F20"/>
          <w:sz w:val="20"/>
        </w:rPr>
        <w:t>Instance</w:t>
      </w:r>
      <w:r>
        <w:rPr>
          <w:color w:val="231F20"/>
          <w:spacing w:val="-5"/>
          <w:sz w:val="20"/>
        </w:rPr>
        <w:t> </w:t>
      </w:r>
      <w:r>
        <w:rPr>
          <w:color w:val="231F20"/>
          <w:sz w:val="20"/>
        </w:rPr>
        <w:t>of</w:t>
      </w:r>
      <w:r>
        <w:rPr>
          <w:color w:val="231F20"/>
          <w:spacing w:val="-5"/>
          <w:sz w:val="20"/>
        </w:rPr>
        <w:t> </w:t>
      </w:r>
      <w:r>
        <w:rPr>
          <w:color w:val="231F20"/>
          <w:sz w:val="20"/>
        </w:rPr>
        <w:t>Noncompliance</w:t>
      </w:r>
      <w:r>
        <w:rPr>
          <w:color w:val="231F20"/>
          <w:spacing w:val="-5"/>
          <w:sz w:val="20"/>
        </w:rPr>
        <w:t> </w:t>
      </w:r>
      <w:r>
        <w:rPr>
          <w:color w:val="231F20"/>
          <w:sz w:val="20"/>
        </w:rPr>
        <w:t>–</w:t>
      </w:r>
      <w:r>
        <w:rPr>
          <w:color w:val="231F20"/>
          <w:spacing w:val="-5"/>
          <w:sz w:val="20"/>
        </w:rPr>
        <w:t> </w:t>
      </w:r>
      <w:r>
        <w:rPr>
          <w:color w:val="231F20"/>
          <w:sz w:val="20"/>
        </w:rPr>
        <w:t>Resolved 2021-003 – Reporting, Significant Deficiency and Instance of Noncompliance – Resolved</w:t>
      </w:r>
      <w:r>
        <w:rPr>
          <w:color w:val="231F20"/>
          <w:spacing w:val="40"/>
          <w:sz w:val="20"/>
        </w:rPr>
        <w:t> </w:t>
      </w:r>
      <w:r>
        <w:rPr>
          <w:b/>
          <w:color w:val="231F20"/>
          <w:sz w:val="20"/>
        </w:rPr>
        <w:t>SECTION IV – OTHER MATTER FINDINGS AS REQUIRED BY 12-6-5 NMSA 1978</w:t>
      </w:r>
    </w:p>
    <w:p>
      <w:pPr>
        <w:pStyle w:val="BodyText"/>
        <w:spacing w:line="276" w:lineRule="auto" w:before="1"/>
        <w:ind w:left="900" w:right="1752"/>
      </w:pPr>
      <w:r>
        <w:rPr>
          <w:color w:val="231F20"/>
        </w:rPr>
        <w:t>2021-004</w:t>
      </w:r>
      <w:r>
        <w:rPr>
          <w:color w:val="231F20"/>
          <w:spacing w:val="-4"/>
        </w:rPr>
        <w:t> </w:t>
      </w:r>
      <w:r>
        <w:rPr>
          <w:color w:val="231F20"/>
        </w:rPr>
        <w:t>–</w:t>
      </w:r>
      <w:r>
        <w:rPr>
          <w:color w:val="231F20"/>
          <w:spacing w:val="-4"/>
        </w:rPr>
        <w:t> </w:t>
      </w:r>
      <w:r>
        <w:rPr>
          <w:color w:val="231F20"/>
        </w:rPr>
        <w:t>Information</w:t>
      </w:r>
      <w:r>
        <w:rPr>
          <w:color w:val="231F20"/>
          <w:spacing w:val="-4"/>
        </w:rPr>
        <w:t> </w:t>
      </w:r>
      <w:r>
        <w:rPr>
          <w:color w:val="231F20"/>
        </w:rPr>
        <w:t>Technology</w:t>
      </w:r>
      <w:r>
        <w:rPr>
          <w:color w:val="231F20"/>
          <w:spacing w:val="-5"/>
        </w:rPr>
        <w:t> </w:t>
      </w:r>
      <w:r>
        <w:rPr>
          <w:color w:val="231F20"/>
        </w:rPr>
        <w:t>Controls</w:t>
      </w:r>
      <w:r>
        <w:rPr>
          <w:color w:val="231F20"/>
          <w:spacing w:val="-4"/>
        </w:rPr>
        <w:t> </w:t>
      </w:r>
      <w:r>
        <w:rPr>
          <w:color w:val="231F20"/>
        </w:rPr>
        <w:t>–</w:t>
      </w:r>
      <w:r>
        <w:rPr>
          <w:color w:val="231F20"/>
          <w:spacing w:val="-4"/>
        </w:rPr>
        <w:t> </w:t>
      </w:r>
      <w:r>
        <w:rPr>
          <w:color w:val="231F20"/>
        </w:rPr>
        <w:t>Security</w:t>
      </w:r>
      <w:r>
        <w:rPr>
          <w:color w:val="231F20"/>
          <w:spacing w:val="-4"/>
        </w:rPr>
        <w:t> </w:t>
      </w:r>
      <w:r>
        <w:rPr>
          <w:color w:val="231F20"/>
        </w:rPr>
        <w:t>and</w:t>
      </w:r>
      <w:r>
        <w:rPr>
          <w:color w:val="231F20"/>
          <w:spacing w:val="-4"/>
        </w:rPr>
        <w:t> </w:t>
      </w:r>
      <w:r>
        <w:rPr>
          <w:color w:val="231F20"/>
        </w:rPr>
        <w:t>Access</w:t>
      </w:r>
      <w:r>
        <w:rPr>
          <w:color w:val="231F20"/>
          <w:spacing w:val="-4"/>
        </w:rPr>
        <w:t> </w:t>
      </w:r>
      <w:r>
        <w:rPr>
          <w:color w:val="231F20"/>
        </w:rPr>
        <w:t>–</w:t>
      </w:r>
      <w:r>
        <w:rPr>
          <w:color w:val="231F20"/>
          <w:spacing w:val="-5"/>
        </w:rPr>
        <w:t> </w:t>
      </w:r>
      <w:r>
        <w:rPr>
          <w:color w:val="231F20"/>
        </w:rPr>
        <w:t>Repeated</w:t>
      </w:r>
      <w:r>
        <w:rPr>
          <w:color w:val="231F20"/>
          <w:spacing w:val="-4"/>
        </w:rPr>
        <w:t> </w:t>
      </w:r>
      <w:r>
        <w:rPr>
          <w:color w:val="231F20"/>
        </w:rPr>
        <w:t>and</w:t>
      </w:r>
      <w:r>
        <w:rPr>
          <w:color w:val="231F20"/>
          <w:spacing w:val="-4"/>
        </w:rPr>
        <w:t> </w:t>
      </w:r>
      <w:r>
        <w:rPr>
          <w:color w:val="231F20"/>
        </w:rPr>
        <w:t>modified</w:t>
      </w:r>
      <w:r>
        <w:rPr>
          <w:color w:val="231F20"/>
          <w:spacing w:val="-4"/>
        </w:rPr>
        <w:t> </w:t>
      </w:r>
      <w:r>
        <w:rPr>
          <w:color w:val="231F20"/>
        </w:rPr>
        <w:t>as </w:t>
      </w:r>
      <w:r>
        <w:rPr>
          <w:color w:val="231F20"/>
          <w:spacing w:val="-2"/>
        </w:rPr>
        <w:t>2022-004</w:t>
      </w:r>
    </w:p>
    <w:p>
      <w:pPr>
        <w:pStyle w:val="BodyText"/>
        <w:spacing w:before="9"/>
      </w:pPr>
    </w:p>
    <w:p>
      <w:pPr>
        <w:pStyle w:val="BodyText"/>
        <w:spacing w:line="276" w:lineRule="auto"/>
        <w:ind w:left="900" w:right="1027"/>
      </w:pPr>
      <w:r>
        <w:rPr>
          <w:color w:val="231F20"/>
        </w:rPr>
        <w:t>2021-005</w:t>
      </w:r>
      <w:r>
        <w:rPr>
          <w:color w:val="231F20"/>
          <w:spacing w:val="-3"/>
        </w:rPr>
        <w:t> </w:t>
      </w:r>
      <w:r>
        <w:rPr>
          <w:color w:val="231F20"/>
        </w:rPr>
        <w:t>–</w:t>
      </w:r>
      <w:r>
        <w:rPr>
          <w:color w:val="231F20"/>
          <w:spacing w:val="-3"/>
        </w:rPr>
        <w:t> </w:t>
      </w:r>
      <w:r>
        <w:rPr>
          <w:color w:val="231F20"/>
        </w:rPr>
        <w:t>Bank</w:t>
      </w:r>
      <w:r>
        <w:rPr>
          <w:color w:val="231F20"/>
          <w:spacing w:val="-4"/>
        </w:rPr>
        <w:t> </w:t>
      </w:r>
      <w:r>
        <w:rPr>
          <w:color w:val="231F20"/>
        </w:rPr>
        <w:t>Reconciliations</w:t>
      </w:r>
      <w:r>
        <w:rPr>
          <w:color w:val="231F20"/>
          <w:spacing w:val="-3"/>
        </w:rPr>
        <w:t> </w:t>
      </w:r>
      <w:r>
        <w:rPr>
          <w:color w:val="231F20"/>
        </w:rPr>
        <w:t>–</w:t>
      </w:r>
      <w:r>
        <w:rPr>
          <w:color w:val="231F20"/>
          <w:spacing w:val="-3"/>
        </w:rPr>
        <w:t> </w:t>
      </w:r>
      <w:r>
        <w:rPr>
          <w:color w:val="231F20"/>
        </w:rPr>
        <w:t>Significant</w:t>
      </w:r>
      <w:r>
        <w:rPr>
          <w:color w:val="231F20"/>
          <w:spacing w:val="-3"/>
        </w:rPr>
        <w:t> </w:t>
      </w:r>
      <w:r>
        <w:rPr>
          <w:color w:val="231F20"/>
        </w:rPr>
        <w:t>Deficiency</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individual</w:t>
      </w:r>
      <w:r>
        <w:rPr>
          <w:color w:val="231F20"/>
          <w:spacing w:val="-3"/>
        </w:rPr>
        <w:t> </w:t>
      </w:r>
      <w:r>
        <w:rPr>
          <w:color w:val="231F20"/>
        </w:rPr>
        <w:t>Component</w:t>
      </w:r>
      <w:r>
        <w:rPr>
          <w:color w:val="231F20"/>
          <w:spacing w:val="-3"/>
        </w:rPr>
        <w:t> </w:t>
      </w:r>
      <w:r>
        <w:rPr>
          <w:color w:val="231F20"/>
        </w:rPr>
        <w:t>Unit</w:t>
      </w:r>
      <w:r>
        <w:rPr>
          <w:color w:val="231F20"/>
          <w:spacing w:val="-3"/>
        </w:rPr>
        <w:t> </w:t>
      </w:r>
      <w:r>
        <w:rPr>
          <w:color w:val="231F20"/>
        </w:rPr>
        <w:t>Level</w:t>
      </w:r>
      <w:r>
        <w:rPr>
          <w:color w:val="231F20"/>
          <w:spacing w:val="-3"/>
        </w:rPr>
        <w:t> </w:t>
      </w:r>
      <w:r>
        <w:rPr>
          <w:color w:val="231F20"/>
        </w:rPr>
        <w:t>–</w:t>
      </w:r>
      <w:r>
        <w:rPr>
          <w:color w:val="231F20"/>
          <w:spacing w:val="-4"/>
        </w:rPr>
        <w:t> </w:t>
      </w:r>
      <w:r>
        <w:rPr>
          <w:color w:val="231F20"/>
        </w:rPr>
        <w:t>New Mexico Institute of Mining and Technology Employee Benefit Trust) – Resolved</w:t>
      </w:r>
    </w:p>
    <w:p>
      <w:pPr>
        <w:pStyle w:val="BodyText"/>
        <w:spacing w:before="10"/>
      </w:pPr>
    </w:p>
    <w:p>
      <w:pPr>
        <w:pStyle w:val="BodyText"/>
        <w:spacing w:line="276" w:lineRule="auto" w:before="1"/>
        <w:ind w:left="900" w:right="1027"/>
      </w:pPr>
      <w:r>
        <w:rPr>
          <w:color w:val="231F20"/>
        </w:rPr>
        <w:t>2021-006</w:t>
      </w:r>
      <w:r>
        <w:rPr>
          <w:color w:val="231F20"/>
          <w:spacing w:val="-3"/>
        </w:rPr>
        <w:t> </w:t>
      </w:r>
      <w:r>
        <w:rPr>
          <w:color w:val="231F20"/>
        </w:rPr>
        <w:t>–</w:t>
      </w:r>
      <w:r>
        <w:rPr>
          <w:color w:val="231F20"/>
          <w:spacing w:val="-3"/>
        </w:rPr>
        <w:t> </w:t>
      </w:r>
      <w:r>
        <w:rPr>
          <w:color w:val="231F20"/>
        </w:rPr>
        <w:t>Promises</w:t>
      </w:r>
      <w:r>
        <w:rPr>
          <w:color w:val="231F20"/>
          <w:spacing w:val="-3"/>
        </w:rPr>
        <w:t> </w:t>
      </w:r>
      <w:r>
        <w:rPr>
          <w:color w:val="231F20"/>
        </w:rPr>
        <w:t>to</w:t>
      </w:r>
      <w:r>
        <w:rPr>
          <w:color w:val="231F20"/>
          <w:spacing w:val="-3"/>
        </w:rPr>
        <w:t> </w:t>
      </w:r>
      <w:r>
        <w:rPr>
          <w:color w:val="231F20"/>
        </w:rPr>
        <w:t>Give</w:t>
      </w:r>
      <w:r>
        <w:rPr>
          <w:color w:val="231F20"/>
          <w:spacing w:val="-3"/>
        </w:rPr>
        <w:t> </w:t>
      </w:r>
      <w:r>
        <w:rPr>
          <w:color w:val="231F20"/>
        </w:rPr>
        <w:t>–</w:t>
      </w:r>
      <w:r>
        <w:rPr>
          <w:color w:val="231F20"/>
          <w:spacing w:val="-3"/>
        </w:rPr>
        <w:t> </w:t>
      </w:r>
      <w:r>
        <w:rPr>
          <w:color w:val="231F20"/>
        </w:rPr>
        <w:t>Material</w:t>
      </w:r>
      <w:r>
        <w:rPr>
          <w:color w:val="231F20"/>
          <w:spacing w:val="-4"/>
        </w:rPr>
        <w:t> </w:t>
      </w:r>
      <w:r>
        <w:rPr>
          <w:color w:val="231F20"/>
        </w:rPr>
        <w:t>Weakness</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Individual</w:t>
      </w:r>
      <w:r>
        <w:rPr>
          <w:color w:val="231F20"/>
          <w:spacing w:val="-3"/>
        </w:rPr>
        <w:t> </w:t>
      </w:r>
      <w:r>
        <w:rPr>
          <w:color w:val="231F20"/>
        </w:rPr>
        <w:t>Component</w:t>
      </w:r>
      <w:r>
        <w:rPr>
          <w:color w:val="231F20"/>
          <w:spacing w:val="-3"/>
        </w:rPr>
        <w:t> </w:t>
      </w:r>
      <w:r>
        <w:rPr>
          <w:color w:val="231F20"/>
        </w:rPr>
        <w:t>Unit</w:t>
      </w:r>
      <w:r>
        <w:rPr>
          <w:color w:val="231F20"/>
          <w:spacing w:val="-3"/>
        </w:rPr>
        <w:t> </w:t>
      </w:r>
      <w:r>
        <w:rPr>
          <w:color w:val="231F20"/>
        </w:rPr>
        <w:t>Level</w:t>
      </w:r>
      <w:r>
        <w:rPr>
          <w:color w:val="231F20"/>
          <w:spacing w:val="-3"/>
        </w:rPr>
        <w:t> </w:t>
      </w:r>
      <w:r>
        <w:rPr>
          <w:color w:val="231F20"/>
        </w:rPr>
        <w:t>–</w:t>
      </w:r>
      <w:r>
        <w:rPr>
          <w:color w:val="231F20"/>
          <w:spacing w:val="-4"/>
        </w:rPr>
        <w:t> </w:t>
      </w:r>
      <w:r>
        <w:rPr>
          <w:color w:val="231F20"/>
        </w:rPr>
        <w:t>New Mexico Tech Foundation) – Resolved</w:t>
      </w:r>
    </w:p>
    <w:p>
      <w:pPr>
        <w:pStyle w:val="BodyText"/>
        <w:spacing w:before="11"/>
        <w:rPr>
          <w:sz w:val="22"/>
        </w:rPr>
      </w:pPr>
    </w:p>
    <w:p>
      <w:pPr>
        <w:pStyle w:val="BodyText"/>
        <w:spacing w:line="276" w:lineRule="auto"/>
        <w:ind w:left="900" w:right="1027"/>
      </w:pPr>
      <w:r>
        <w:rPr>
          <w:color w:val="231F20"/>
        </w:rPr>
        <w:t>2021-007</w:t>
      </w:r>
      <w:r>
        <w:rPr>
          <w:color w:val="231F20"/>
          <w:spacing w:val="-3"/>
        </w:rPr>
        <w:t> </w:t>
      </w:r>
      <w:r>
        <w:rPr>
          <w:color w:val="231F20"/>
        </w:rPr>
        <w:t>–</w:t>
      </w:r>
      <w:r>
        <w:rPr>
          <w:color w:val="231F20"/>
          <w:spacing w:val="-3"/>
        </w:rPr>
        <w:t> </w:t>
      </w:r>
      <w:r>
        <w:rPr>
          <w:color w:val="231F20"/>
        </w:rPr>
        <w:t>Revenue</w:t>
      </w:r>
      <w:r>
        <w:rPr>
          <w:color w:val="231F20"/>
          <w:spacing w:val="-4"/>
        </w:rPr>
        <w:t> </w:t>
      </w:r>
      <w:r>
        <w:rPr>
          <w:color w:val="231F20"/>
        </w:rPr>
        <w:t>Classification</w:t>
      </w:r>
      <w:r>
        <w:rPr>
          <w:color w:val="231F20"/>
          <w:spacing w:val="-3"/>
        </w:rPr>
        <w:t> </w:t>
      </w:r>
      <w:r>
        <w:rPr>
          <w:color w:val="231F20"/>
        </w:rPr>
        <w:t>Error</w:t>
      </w:r>
      <w:r>
        <w:rPr>
          <w:color w:val="231F20"/>
          <w:spacing w:val="-3"/>
        </w:rPr>
        <w:t> </w:t>
      </w:r>
      <w:r>
        <w:rPr>
          <w:color w:val="231F20"/>
        </w:rPr>
        <w:t>–</w:t>
      </w:r>
      <w:r>
        <w:rPr>
          <w:color w:val="231F20"/>
          <w:spacing w:val="-3"/>
        </w:rPr>
        <w:t> </w:t>
      </w:r>
      <w:r>
        <w:rPr>
          <w:color w:val="231F20"/>
        </w:rPr>
        <w:t>Material</w:t>
      </w:r>
      <w:r>
        <w:rPr>
          <w:color w:val="231F20"/>
          <w:spacing w:val="-3"/>
        </w:rPr>
        <w:t> </w:t>
      </w:r>
      <w:r>
        <w:rPr>
          <w:color w:val="231F20"/>
        </w:rPr>
        <w:t>Weakness</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Individual</w:t>
      </w:r>
      <w:r>
        <w:rPr>
          <w:color w:val="231F20"/>
          <w:spacing w:val="-4"/>
        </w:rPr>
        <w:t> </w:t>
      </w:r>
      <w:r>
        <w:rPr>
          <w:color w:val="231F20"/>
        </w:rPr>
        <w:t>Component</w:t>
      </w:r>
      <w:r>
        <w:rPr>
          <w:color w:val="231F20"/>
          <w:spacing w:val="-3"/>
        </w:rPr>
        <w:t> </w:t>
      </w:r>
      <w:r>
        <w:rPr>
          <w:color w:val="231F20"/>
        </w:rPr>
        <w:t>Unit</w:t>
      </w:r>
      <w:r>
        <w:rPr>
          <w:color w:val="231F20"/>
          <w:spacing w:val="-3"/>
        </w:rPr>
        <w:t> </w:t>
      </w:r>
      <w:r>
        <w:rPr>
          <w:color w:val="231F20"/>
        </w:rPr>
        <w:t>Level</w:t>
      </w:r>
      <w:r>
        <w:rPr>
          <w:color w:val="231F20"/>
          <w:spacing w:val="-3"/>
        </w:rPr>
        <w:t> </w:t>
      </w:r>
      <w:r>
        <w:rPr>
          <w:color w:val="231F20"/>
        </w:rPr>
        <w:t>– New Mexico Tech Foundation) – Resolved</w:t>
      </w:r>
    </w:p>
    <w:p>
      <w:pPr>
        <w:pStyle w:val="BodyText"/>
        <w:spacing w:before="11"/>
        <w:rPr>
          <w:sz w:val="22"/>
        </w:rPr>
      </w:pPr>
    </w:p>
    <w:p>
      <w:pPr>
        <w:pStyle w:val="BodyText"/>
        <w:ind w:left="900"/>
      </w:pPr>
      <w:r>
        <w:rPr>
          <w:color w:val="231F20"/>
        </w:rPr>
        <w:t>2021-008</w:t>
      </w:r>
      <w:r>
        <w:rPr>
          <w:color w:val="231F20"/>
          <w:spacing w:val="-5"/>
        </w:rPr>
        <w:t> </w:t>
      </w:r>
      <w:r>
        <w:rPr>
          <w:color w:val="231F20"/>
        </w:rPr>
        <w:t>–</w:t>
      </w:r>
      <w:r>
        <w:rPr>
          <w:color w:val="231F20"/>
          <w:spacing w:val="-3"/>
        </w:rPr>
        <w:t> </w:t>
      </w:r>
      <w:r>
        <w:rPr>
          <w:color w:val="231F20"/>
        </w:rPr>
        <w:t>Intangible</w:t>
      </w:r>
      <w:r>
        <w:rPr>
          <w:color w:val="231F20"/>
          <w:spacing w:val="-3"/>
        </w:rPr>
        <w:t> </w:t>
      </w:r>
      <w:r>
        <w:rPr>
          <w:color w:val="231F20"/>
        </w:rPr>
        <w:t>Assets</w:t>
      </w:r>
      <w:r>
        <w:rPr>
          <w:color w:val="231F20"/>
          <w:spacing w:val="-3"/>
        </w:rPr>
        <w:t> </w:t>
      </w:r>
      <w:r>
        <w:rPr>
          <w:color w:val="231F20"/>
        </w:rPr>
        <w:t>Tracking</w:t>
      </w:r>
      <w:r>
        <w:rPr>
          <w:color w:val="231F20"/>
          <w:spacing w:val="-4"/>
        </w:rPr>
        <w:t> </w:t>
      </w:r>
      <w:r>
        <w:rPr>
          <w:color w:val="231F20"/>
        </w:rPr>
        <w:t>and</w:t>
      </w:r>
      <w:r>
        <w:rPr>
          <w:color w:val="231F20"/>
          <w:spacing w:val="-2"/>
        </w:rPr>
        <w:t> </w:t>
      </w:r>
      <w:r>
        <w:rPr>
          <w:color w:val="231F20"/>
        </w:rPr>
        <w:t>Analysis</w:t>
      </w:r>
      <w:r>
        <w:rPr>
          <w:color w:val="231F20"/>
          <w:spacing w:val="-4"/>
        </w:rPr>
        <w:t> </w:t>
      </w:r>
      <w:r>
        <w:rPr>
          <w:color w:val="231F20"/>
        </w:rPr>
        <w:t>Process</w:t>
      </w:r>
      <w:r>
        <w:rPr>
          <w:color w:val="231F20"/>
          <w:spacing w:val="-3"/>
        </w:rPr>
        <w:t> </w:t>
      </w:r>
      <w:r>
        <w:rPr>
          <w:color w:val="231F20"/>
        </w:rPr>
        <w:t>–</w:t>
      </w:r>
      <w:r>
        <w:rPr>
          <w:color w:val="231F20"/>
          <w:spacing w:val="-3"/>
        </w:rPr>
        <w:t> </w:t>
      </w:r>
      <w:r>
        <w:rPr>
          <w:color w:val="231F20"/>
        </w:rPr>
        <w:t>Material</w:t>
      </w:r>
      <w:r>
        <w:rPr>
          <w:color w:val="231F20"/>
          <w:spacing w:val="-3"/>
        </w:rPr>
        <w:t> </w:t>
      </w:r>
      <w:r>
        <w:rPr>
          <w:color w:val="231F20"/>
        </w:rPr>
        <w:t>Weakness</w:t>
      </w:r>
      <w:r>
        <w:rPr>
          <w:color w:val="231F20"/>
          <w:spacing w:val="-3"/>
        </w:rPr>
        <w:t> </w:t>
      </w:r>
      <w:r>
        <w:rPr>
          <w:color w:val="231F20"/>
          <w:spacing w:val="-5"/>
        </w:rPr>
        <w:t>(At</w:t>
      </w:r>
    </w:p>
    <w:p>
      <w:pPr>
        <w:pStyle w:val="BodyText"/>
        <w:spacing w:line="276" w:lineRule="auto" w:before="35"/>
        <w:ind w:left="900" w:right="1027"/>
      </w:pPr>
      <w:r>
        <w:rPr>
          <w:color w:val="231F20"/>
        </w:rPr>
        <w:t>the</w:t>
      </w:r>
      <w:r>
        <w:rPr>
          <w:color w:val="231F20"/>
          <w:spacing w:val="-3"/>
        </w:rPr>
        <w:t> </w:t>
      </w:r>
      <w:r>
        <w:rPr>
          <w:color w:val="231F20"/>
        </w:rPr>
        <w:t>Individual</w:t>
      </w:r>
      <w:r>
        <w:rPr>
          <w:color w:val="231F20"/>
          <w:spacing w:val="-4"/>
        </w:rPr>
        <w:t> </w:t>
      </w:r>
      <w:r>
        <w:rPr>
          <w:color w:val="231F20"/>
        </w:rPr>
        <w:t>Component</w:t>
      </w:r>
      <w:r>
        <w:rPr>
          <w:color w:val="231F20"/>
          <w:spacing w:val="-4"/>
        </w:rPr>
        <w:t> </w:t>
      </w:r>
      <w:r>
        <w:rPr>
          <w:color w:val="231F20"/>
        </w:rPr>
        <w:t>Unit</w:t>
      </w:r>
      <w:r>
        <w:rPr>
          <w:color w:val="231F20"/>
          <w:spacing w:val="-3"/>
        </w:rPr>
        <w:t> </w:t>
      </w:r>
      <w:r>
        <w:rPr>
          <w:color w:val="231F20"/>
        </w:rPr>
        <w:t>Level</w:t>
      </w:r>
      <w:r>
        <w:rPr>
          <w:color w:val="231F20"/>
          <w:spacing w:val="-3"/>
        </w:rPr>
        <w:t> </w:t>
      </w:r>
      <w:r>
        <w:rPr>
          <w:color w:val="231F20"/>
        </w:rPr>
        <w:t>–</w:t>
      </w:r>
      <w:r>
        <w:rPr>
          <w:color w:val="231F20"/>
          <w:spacing w:val="-4"/>
        </w:rPr>
        <w:t> </w:t>
      </w:r>
      <w:r>
        <w:rPr>
          <w:color w:val="231F20"/>
        </w:rPr>
        <w:t>University</w:t>
      </w:r>
      <w:r>
        <w:rPr>
          <w:color w:val="231F20"/>
          <w:spacing w:val="-3"/>
        </w:rPr>
        <w:t> </w:t>
      </w:r>
      <w:r>
        <w:rPr>
          <w:color w:val="231F20"/>
        </w:rPr>
        <w:t>Research</w:t>
      </w:r>
      <w:r>
        <w:rPr>
          <w:color w:val="231F20"/>
          <w:spacing w:val="-3"/>
        </w:rPr>
        <w:t> </w:t>
      </w:r>
      <w:r>
        <w:rPr>
          <w:color w:val="231F20"/>
        </w:rPr>
        <w:t>Park</w:t>
      </w:r>
      <w:r>
        <w:rPr>
          <w:color w:val="231F20"/>
          <w:spacing w:val="-3"/>
        </w:rPr>
        <w:t> </w:t>
      </w:r>
      <w:r>
        <w:rPr>
          <w:color w:val="231F20"/>
        </w:rPr>
        <w:t>Corporation)</w:t>
      </w:r>
      <w:r>
        <w:rPr>
          <w:color w:val="231F20"/>
          <w:spacing w:val="-3"/>
        </w:rPr>
        <w:t> </w:t>
      </w:r>
      <w:r>
        <w:rPr>
          <w:color w:val="231F20"/>
        </w:rPr>
        <w:t>–</w:t>
      </w:r>
      <w:r>
        <w:rPr>
          <w:color w:val="231F20"/>
          <w:spacing w:val="-3"/>
        </w:rPr>
        <w:t> </w:t>
      </w:r>
      <w:r>
        <w:rPr>
          <w:color w:val="231F20"/>
        </w:rPr>
        <w:t>Repeated</w:t>
      </w:r>
      <w:r>
        <w:rPr>
          <w:color w:val="231F20"/>
          <w:spacing w:val="-3"/>
        </w:rPr>
        <w:t> </w:t>
      </w:r>
      <w:r>
        <w:rPr>
          <w:color w:val="231F20"/>
        </w:rPr>
        <w:t>and</w:t>
      </w:r>
      <w:r>
        <w:rPr>
          <w:color w:val="231F20"/>
          <w:spacing w:val="-3"/>
        </w:rPr>
        <w:t> </w:t>
      </w:r>
      <w:r>
        <w:rPr>
          <w:color w:val="231F20"/>
        </w:rPr>
        <w:t>modified as 2022-006</w:t>
      </w:r>
    </w:p>
    <w:p>
      <w:pPr>
        <w:pStyle w:val="BodyText"/>
        <w:rPr>
          <w:sz w:val="23"/>
        </w:rPr>
      </w:pPr>
    </w:p>
    <w:p>
      <w:pPr>
        <w:pStyle w:val="BodyText"/>
        <w:spacing w:line="276" w:lineRule="auto"/>
        <w:ind w:left="900" w:right="1027"/>
      </w:pPr>
      <w:r>
        <w:rPr>
          <w:color w:val="231F20"/>
        </w:rPr>
        <w:t>2021-009</w:t>
      </w:r>
      <w:r>
        <w:rPr>
          <w:color w:val="231F20"/>
          <w:spacing w:val="-3"/>
        </w:rPr>
        <w:t> </w:t>
      </w:r>
      <w:r>
        <w:rPr>
          <w:color w:val="231F20"/>
        </w:rPr>
        <w:t>–</w:t>
      </w:r>
      <w:r>
        <w:rPr>
          <w:color w:val="231F20"/>
          <w:spacing w:val="-3"/>
        </w:rPr>
        <w:t> </w:t>
      </w:r>
      <w:r>
        <w:rPr>
          <w:color w:val="231F20"/>
        </w:rPr>
        <w:t>Beginning</w:t>
      </w:r>
      <w:r>
        <w:rPr>
          <w:color w:val="231F20"/>
          <w:spacing w:val="-3"/>
        </w:rPr>
        <w:t> </w:t>
      </w:r>
      <w:r>
        <w:rPr>
          <w:color w:val="231F20"/>
        </w:rPr>
        <w:t>Net</w:t>
      </w:r>
      <w:r>
        <w:rPr>
          <w:color w:val="231F20"/>
          <w:spacing w:val="-4"/>
        </w:rPr>
        <w:t> </w:t>
      </w:r>
      <w:r>
        <w:rPr>
          <w:color w:val="231F20"/>
        </w:rPr>
        <w:t>Position</w:t>
      </w:r>
      <w:r>
        <w:rPr>
          <w:color w:val="231F20"/>
          <w:spacing w:val="-3"/>
        </w:rPr>
        <w:t> </w:t>
      </w:r>
      <w:r>
        <w:rPr>
          <w:color w:val="231F20"/>
        </w:rPr>
        <w:t>–</w:t>
      </w:r>
      <w:r>
        <w:rPr>
          <w:color w:val="231F20"/>
          <w:spacing w:val="-3"/>
        </w:rPr>
        <w:t> </w:t>
      </w:r>
      <w:r>
        <w:rPr>
          <w:color w:val="231F20"/>
        </w:rPr>
        <w:t>Material</w:t>
      </w:r>
      <w:r>
        <w:rPr>
          <w:color w:val="231F20"/>
          <w:spacing w:val="-3"/>
        </w:rPr>
        <w:t> </w:t>
      </w:r>
      <w:r>
        <w:rPr>
          <w:color w:val="231F20"/>
        </w:rPr>
        <w:t>Weakness</w:t>
      </w:r>
      <w:r>
        <w:rPr>
          <w:color w:val="231F20"/>
          <w:spacing w:val="-4"/>
        </w:rPr>
        <w:t> </w:t>
      </w:r>
      <w:r>
        <w:rPr>
          <w:color w:val="231F20"/>
        </w:rPr>
        <w:t>(At</w:t>
      </w:r>
      <w:r>
        <w:rPr>
          <w:color w:val="231F20"/>
          <w:spacing w:val="-3"/>
        </w:rPr>
        <w:t> </w:t>
      </w:r>
      <w:r>
        <w:rPr>
          <w:color w:val="231F20"/>
        </w:rPr>
        <w:t>the</w:t>
      </w:r>
      <w:r>
        <w:rPr>
          <w:color w:val="231F20"/>
          <w:spacing w:val="-3"/>
        </w:rPr>
        <w:t> </w:t>
      </w:r>
      <w:r>
        <w:rPr>
          <w:color w:val="231F20"/>
        </w:rPr>
        <w:t>Individual</w:t>
      </w:r>
      <w:r>
        <w:rPr>
          <w:color w:val="231F20"/>
          <w:spacing w:val="-3"/>
        </w:rPr>
        <w:t> </w:t>
      </w:r>
      <w:r>
        <w:rPr>
          <w:color w:val="231F20"/>
        </w:rPr>
        <w:t>Component</w:t>
      </w:r>
      <w:r>
        <w:rPr>
          <w:color w:val="231F20"/>
          <w:spacing w:val="-3"/>
        </w:rPr>
        <w:t> </w:t>
      </w:r>
      <w:r>
        <w:rPr>
          <w:color w:val="231F20"/>
        </w:rPr>
        <w:t>Unit</w:t>
      </w:r>
      <w:r>
        <w:rPr>
          <w:color w:val="231F20"/>
          <w:spacing w:val="-3"/>
        </w:rPr>
        <w:t> </w:t>
      </w:r>
      <w:r>
        <w:rPr>
          <w:color w:val="231F20"/>
        </w:rPr>
        <w:t>Level</w:t>
      </w:r>
      <w:r>
        <w:rPr>
          <w:color w:val="231F20"/>
          <w:spacing w:val="-3"/>
        </w:rPr>
        <w:t> </w:t>
      </w:r>
      <w:r>
        <w:rPr>
          <w:color w:val="231F20"/>
        </w:rPr>
        <w:t>– University Research Park Corporation) – Resolved</w:t>
      </w:r>
    </w:p>
    <w:p>
      <w:pPr>
        <w:pStyle w:val="BodyText"/>
        <w:rPr>
          <w:sz w:val="23"/>
        </w:rPr>
      </w:pPr>
    </w:p>
    <w:p>
      <w:pPr>
        <w:pStyle w:val="BodyText"/>
        <w:spacing w:line="276" w:lineRule="auto"/>
        <w:ind w:left="900" w:right="1027"/>
      </w:pPr>
      <w:r>
        <w:rPr>
          <w:color w:val="231F20"/>
        </w:rPr>
        <w:t>2021-010</w:t>
      </w:r>
      <w:r>
        <w:rPr>
          <w:color w:val="231F20"/>
          <w:spacing w:val="-3"/>
        </w:rPr>
        <w:t> </w:t>
      </w:r>
      <w:r>
        <w:rPr>
          <w:color w:val="231F20"/>
        </w:rPr>
        <w:t>–</w:t>
      </w:r>
      <w:r>
        <w:rPr>
          <w:color w:val="231F20"/>
          <w:spacing w:val="-3"/>
        </w:rPr>
        <w:t> </w:t>
      </w:r>
      <w:r>
        <w:rPr>
          <w:color w:val="231F20"/>
        </w:rPr>
        <w:t>Timeliness</w:t>
      </w:r>
      <w:r>
        <w:rPr>
          <w:color w:val="231F20"/>
          <w:spacing w:val="-3"/>
        </w:rPr>
        <w:t> </w:t>
      </w:r>
      <w:r>
        <w:rPr>
          <w:color w:val="231F20"/>
        </w:rPr>
        <w:t>of</w:t>
      </w:r>
      <w:r>
        <w:rPr>
          <w:color w:val="231F20"/>
          <w:spacing w:val="-4"/>
        </w:rPr>
        <w:t> </w:t>
      </w:r>
      <w:r>
        <w:rPr>
          <w:color w:val="231F20"/>
        </w:rPr>
        <w:t>Bank</w:t>
      </w:r>
      <w:r>
        <w:rPr>
          <w:color w:val="231F20"/>
          <w:spacing w:val="-3"/>
        </w:rPr>
        <w:t> </w:t>
      </w:r>
      <w:r>
        <w:rPr>
          <w:color w:val="231F20"/>
        </w:rPr>
        <w:t>Reconciliations</w:t>
      </w:r>
      <w:r>
        <w:rPr>
          <w:color w:val="231F20"/>
          <w:spacing w:val="-3"/>
        </w:rPr>
        <w:t> </w:t>
      </w:r>
      <w:r>
        <w:rPr>
          <w:color w:val="231F20"/>
        </w:rPr>
        <w:t>–</w:t>
      </w:r>
      <w:r>
        <w:rPr>
          <w:color w:val="231F20"/>
          <w:spacing w:val="-3"/>
        </w:rPr>
        <w:t> </w:t>
      </w:r>
      <w:r>
        <w:rPr>
          <w:color w:val="231F20"/>
        </w:rPr>
        <w:t>Other</w:t>
      </w:r>
      <w:r>
        <w:rPr>
          <w:color w:val="231F20"/>
          <w:spacing w:val="-3"/>
        </w:rPr>
        <w:t> </w:t>
      </w:r>
      <w:r>
        <w:rPr>
          <w:color w:val="231F20"/>
        </w:rPr>
        <w:t>Matter</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Individual</w:t>
      </w:r>
      <w:r>
        <w:rPr>
          <w:color w:val="231F20"/>
          <w:spacing w:val="-4"/>
        </w:rPr>
        <w:t> </w:t>
      </w:r>
      <w:r>
        <w:rPr>
          <w:color w:val="231F20"/>
        </w:rPr>
        <w:t>Component</w:t>
      </w:r>
      <w:r>
        <w:rPr>
          <w:color w:val="231F20"/>
          <w:spacing w:val="-3"/>
        </w:rPr>
        <w:t> </w:t>
      </w:r>
      <w:r>
        <w:rPr>
          <w:color w:val="231F20"/>
        </w:rPr>
        <w:t>Unit</w:t>
      </w:r>
      <w:r>
        <w:rPr>
          <w:color w:val="231F20"/>
          <w:spacing w:val="-3"/>
        </w:rPr>
        <w:t> </w:t>
      </w:r>
      <w:r>
        <w:rPr>
          <w:color w:val="231F20"/>
        </w:rPr>
        <w:t>Level</w:t>
      </w:r>
      <w:r>
        <w:rPr>
          <w:color w:val="231F20"/>
          <w:spacing w:val="-3"/>
        </w:rPr>
        <w:t> </w:t>
      </w:r>
      <w:r>
        <w:rPr>
          <w:color w:val="231F20"/>
        </w:rPr>
        <w:t>– University Research Park Corporation) – Resolved</w:t>
      </w:r>
    </w:p>
    <w:p>
      <w:pPr>
        <w:spacing w:after="0" w:line="276" w:lineRule="auto"/>
        <w:sectPr>
          <w:headerReference w:type="default" r:id="rId91"/>
          <w:footerReference w:type="default" r:id="rId92"/>
          <w:pgSz w:w="12240" w:h="15840"/>
          <w:pgMar w:header="850" w:footer="1097" w:top="1160" w:bottom="1280" w:left="540" w:right="500"/>
        </w:sectPr>
      </w:pPr>
    </w:p>
    <w:p>
      <w:pPr>
        <w:pStyle w:val="BodyText"/>
        <w:ind w:left="1716"/>
      </w:pPr>
      <w:r>
        <w:rPr/>
        <w:drawing>
          <wp:inline distT="0" distB="0" distL="0" distR="0">
            <wp:extent cx="4912161" cy="1365503"/>
            <wp:effectExtent l="0" t="0" r="0" b="0"/>
            <wp:docPr id="25" name="image28.jpeg"/>
            <wp:cNvGraphicFramePr>
              <a:graphicFrameLocks noChangeAspect="1"/>
            </wp:cNvGraphicFramePr>
            <a:graphic>
              <a:graphicData uri="http://schemas.openxmlformats.org/drawingml/2006/picture">
                <pic:pic>
                  <pic:nvPicPr>
                    <pic:cNvPr id="26" name="image28.jpeg"/>
                    <pic:cNvPicPr/>
                  </pic:nvPicPr>
                  <pic:blipFill>
                    <a:blip r:embed="rId95" cstate="print"/>
                    <a:stretch>
                      <a:fillRect/>
                    </a:stretch>
                  </pic:blipFill>
                  <pic:spPr>
                    <a:xfrm>
                      <a:off x="0" y="0"/>
                      <a:ext cx="4912161" cy="1365503"/>
                    </a:xfrm>
                    <a:prstGeom prst="rect">
                      <a:avLst/>
                    </a:prstGeom>
                  </pic:spPr>
                </pic:pic>
              </a:graphicData>
            </a:graphic>
          </wp:inline>
        </w:drawing>
      </w:r>
      <w:r>
        <w:rPr/>
      </w:r>
    </w:p>
    <w:p>
      <w:pPr>
        <w:pStyle w:val="BodyText"/>
        <w:spacing w:before="11"/>
        <w:rPr>
          <w:sz w:val="6"/>
        </w:rPr>
      </w:pPr>
    </w:p>
    <w:p>
      <w:pPr>
        <w:spacing w:line="276" w:lineRule="auto" w:before="55"/>
        <w:ind w:left="4414" w:right="4454" w:firstLine="0"/>
        <w:jc w:val="center"/>
        <w:rPr>
          <w:rFonts w:ascii="Calibri"/>
          <w:b/>
          <w:sz w:val="22"/>
        </w:rPr>
      </w:pPr>
      <w:r>
        <w:rPr>
          <w:rFonts w:ascii="Calibri"/>
          <w:b/>
          <w:color w:val="231F20"/>
          <w:sz w:val="22"/>
        </w:rPr>
        <w:t>Corrective Action Plan Year</w:t>
      </w:r>
      <w:r>
        <w:rPr>
          <w:rFonts w:ascii="Calibri"/>
          <w:b/>
          <w:color w:val="231F20"/>
          <w:spacing w:val="-9"/>
          <w:sz w:val="22"/>
        </w:rPr>
        <w:t> </w:t>
      </w:r>
      <w:r>
        <w:rPr>
          <w:rFonts w:ascii="Calibri"/>
          <w:b/>
          <w:color w:val="231F20"/>
          <w:sz w:val="22"/>
        </w:rPr>
        <w:t>Ended</w:t>
      </w:r>
      <w:r>
        <w:rPr>
          <w:rFonts w:ascii="Calibri"/>
          <w:b/>
          <w:color w:val="231F20"/>
          <w:spacing w:val="-9"/>
          <w:sz w:val="22"/>
        </w:rPr>
        <w:t> </w:t>
      </w:r>
      <w:r>
        <w:rPr>
          <w:rFonts w:ascii="Calibri"/>
          <w:b/>
          <w:color w:val="231F20"/>
          <w:sz w:val="22"/>
        </w:rPr>
        <w:t>June</w:t>
      </w:r>
      <w:r>
        <w:rPr>
          <w:rFonts w:ascii="Calibri"/>
          <w:b/>
          <w:color w:val="231F20"/>
          <w:spacing w:val="-10"/>
          <w:sz w:val="22"/>
        </w:rPr>
        <w:t> </w:t>
      </w:r>
      <w:r>
        <w:rPr>
          <w:rFonts w:ascii="Calibri"/>
          <w:b/>
          <w:color w:val="231F20"/>
          <w:sz w:val="22"/>
        </w:rPr>
        <w:t>30,</w:t>
      </w:r>
      <w:r>
        <w:rPr>
          <w:rFonts w:ascii="Calibri"/>
          <w:b/>
          <w:color w:val="231F20"/>
          <w:spacing w:val="-10"/>
          <w:sz w:val="22"/>
        </w:rPr>
        <w:t> </w:t>
      </w:r>
      <w:r>
        <w:rPr>
          <w:rFonts w:ascii="Calibri"/>
          <w:b/>
          <w:color w:val="231F20"/>
          <w:sz w:val="22"/>
        </w:rPr>
        <w:t>2022</w:t>
      </w:r>
    </w:p>
    <w:p>
      <w:pPr>
        <w:pStyle w:val="BodyText"/>
        <w:spacing w:before="4"/>
        <w:rPr>
          <w:rFonts w:ascii="Calibri"/>
          <w:b/>
          <w:sz w:val="25"/>
        </w:r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77"/>
        <w:gridCol w:w="6361"/>
        <w:gridCol w:w="1619"/>
        <w:gridCol w:w="1723"/>
      </w:tblGrid>
      <w:tr>
        <w:trPr>
          <w:trHeight w:val="732" w:hRule="atLeast"/>
        </w:trPr>
        <w:tc>
          <w:tcPr>
            <w:tcW w:w="1277" w:type="dxa"/>
          </w:tcPr>
          <w:p>
            <w:pPr>
              <w:pStyle w:val="TableParagraph"/>
              <w:ind w:left="297" w:right="281" w:firstLine="37"/>
              <w:rPr>
                <w:rFonts w:ascii="Calibri"/>
                <w:b/>
                <w:sz w:val="20"/>
              </w:rPr>
            </w:pPr>
            <w:r>
              <w:rPr>
                <w:rFonts w:ascii="Calibri"/>
                <w:b/>
                <w:color w:val="231F20"/>
                <w:spacing w:val="-2"/>
                <w:sz w:val="20"/>
              </w:rPr>
              <w:t>Finding Number</w:t>
            </w:r>
          </w:p>
        </w:tc>
        <w:tc>
          <w:tcPr>
            <w:tcW w:w="6361" w:type="dxa"/>
          </w:tcPr>
          <w:p>
            <w:pPr>
              <w:pStyle w:val="TableParagraph"/>
              <w:spacing w:line="243" w:lineRule="exact"/>
              <w:ind w:left="2091" w:right="2082"/>
              <w:jc w:val="center"/>
              <w:rPr>
                <w:rFonts w:ascii="Calibri"/>
                <w:b/>
                <w:sz w:val="20"/>
              </w:rPr>
            </w:pPr>
            <w:r>
              <w:rPr>
                <w:rFonts w:ascii="Calibri"/>
                <w:b/>
                <w:color w:val="231F20"/>
                <w:sz w:val="20"/>
              </w:rPr>
              <w:t>Planned</w:t>
            </w:r>
            <w:r>
              <w:rPr>
                <w:rFonts w:ascii="Calibri"/>
                <w:b/>
                <w:color w:val="231F20"/>
                <w:spacing w:val="-6"/>
                <w:sz w:val="20"/>
              </w:rPr>
              <w:t> </w:t>
            </w:r>
            <w:r>
              <w:rPr>
                <w:rFonts w:ascii="Calibri"/>
                <w:b/>
                <w:color w:val="231F20"/>
                <w:sz w:val="20"/>
              </w:rPr>
              <w:t>Corrective</w:t>
            </w:r>
            <w:r>
              <w:rPr>
                <w:rFonts w:ascii="Calibri"/>
                <w:b/>
                <w:color w:val="231F20"/>
                <w:spacing w:val="-4"/>
                <w:sz w:val="20"/>
              </w:rPr>
              <w:t> </w:t>
            </w:r>
            <w:r>
              <w:rPr>
                <w:rFonts w:ascii="Calibri"/>
                <w:b/>
                <w:color w:val="231F20"/>
                <w:spacing w:val="-2"/>
                <w:sz w:val="20"/>
              </w:rPr>
              <w:t>Action</w:t>
            </w:r>
          </w:p>
        </w:tc>
        <w:tc>
          <w:tcPr>
            <w:tcW w:w="1619" w:type="dxa"/>
          </w:tcPr>
          <w:p>
            <w:pPr>
              <w:pStyle w:val="TableParagraph"/>
              <w:ind w:left="324" w:right="314" w:firstLine="2"/>
              <w:jc w:val="center"/>
              <w:rPr>
                <w:rFonts w:ascii="Calibri"/>
                <w:b/>
                <w:sz w:val="20"/>
              </w:rPr>
            </w:pPr>
            <w:r>
              <w:rPr>
                <w:rFonts w:ascii="Calibri"/>
                <w:b/>
                <w:color w:val="231F20"/>
                <w:spacing w:val="-2"/>
                <w:sz w:val="20"/>
              </w:rPr>
              <w:t>Anticipated Completion</w:t>
            </w:r>
          </w:p>
          <w:p>
            <w:pPr>
              <w:pStyle w:val="TableParagraph"/>
              <w:spacing w:line="225" w:lineRule="exact"/>
              <w:ind w:left="599" w:right="590"/>
              <w:jc w:val="center"/>
              <w:rPr>
                <w:rFonts w:ascii="Calibri"/>
                <w:b/>
                <w:sz w:val="20"/>
              </w:rPr>
            </w:pPr>
            <w:r>
              <w:rPr>
                <w:rFonts w:ascii="Calibri"/>
                <w:b/>
                <w:color w:val="231F20"/>
                <w:spacing w:val="-4"/>
                <w:sz w:val="20"/>
              </w:rPr>
              <w:t>Date</w:t>
            </w:r>
          </w:p>
        </w:tc>
        <w:tc>
          <w:tcPr>
            <w:tcW w:w="1723" w:type="dxa"/>
          </w:tcPr>
          <w:p>
            <w:pPr>
              <w:pStyle w:val="TableParagraph"/>
              <w:ind w:left="230" w:right="215" w:firstLine="128"/>
              <w:rPr>
                <w:rFonts w:ascii="Calibri"/>
                <w:b/>
                <w:sz w:val="20"/>
              </w:rPr>
            </w:pPr>
            <w:r>
              <w:rPr>
                <w:rFonts w:ascii="Calibri"/>
                <w:b/>
                <w:color w:val="231F20"/>
                <w:spacing w:val="-2"/>
                <w:sz w:val="20"/>
              </w:rPr>
              <w:t>Responsible </w:t>
            </w:r>
            <w:r>
              <w:rPr>
                <w:rFonts w:ascii="Calibri"/>
                <w:b/>
                <w:color w:val="231F20"/>
                <w:sz w:val="20"/>
              </w:rPr>
              <w:t>Contact</w:t>
            </w:r>
            <w:r>
              <w:rPr>
                <w:rFonts w:ascii="Calibri"/>
                <w:b/>
                <w:color w:val="231F20"/>
                <w:spacing w:val="-12"/>
                <w:sz w:val="20"/>
              </w:rPr>
              <w:t> </w:t>
            </w:r>
            <w:r>
              <w:rPr>
                <w:rFonts w:ascii="Calibri"/>
                <w:b/>
                <w:color w:val="231F20"/>
                <w:sz w:val="20"/>
              </w:rPr>
              <w:t>Person</w:t>
            </w:r>
          </w:p>
        </w:tc>
      </w:tr>
      <w:tr>
        <w:trPr>
          <w:trHeight w:val="1360" w:hRule="atLeast"/>
        </w:trPr>
        <w:tc>
          <w:tcPr>
            <w:tcW w:w="1277" w:type="dxa"/>
            <w:tcBorders>
              <w:bottom w:val="nil"/>
            </w:tcBorders>
          </w:tcPr>
          <w:p>
            <w:pPr>
              <w:pStyle w:val="TableParagraph"/>
              <w:spacing w:line="243" w:lineRule="exact"/>
              <w:ind w:left="107"/>
              <w:rPr>
                <w:rFonts w:ascii="Calibri"/>
                <w:sz w:val="20"/>
              </w:rPr>
            </w:pPr>
            <w:r>
              <w:rPr>
                <w:rFonts w:ascii="Calibri"/>
                <w:color w:val="231F20"/>
                <w:spacing w:val="-2"/>
                <w:sz w:val="20"/>
              </w:rPr>
              <w:t>2022-</w:t>
            </w:r>
            <w:r>
              <w:rPr>
                <w:rFonts w:ascii="Calibri"/>
                <w:color w:val="231F20"/>
                <w:spacing w:val="-5"/>
                <w:sz w:val="20"/>
              </w:rPr>
              <w:t>001</w:t>
            </w:r>
          </w:p>
          <w:p>
            <w:pPr>
              <w:pStyle w:val="TableParagraph"/>
              <w:ind w:left="107"/>
              <w:rPr>
                <w:rFonts w:ascii="Calibri"/>
                <w:sz w:val="20"/>
              </w:rPr>
            </w:pPr>
            <w:r>
              <w:rPr>
                <w:rFonts w:ascii="Calibri"/>
                <w:color w:val="231F20"/>
                <w:spacing w:val="-2"/>
                <w:sz w:val="20"/>
              </w:rPr>
              <w:t>(2021-</w:t>
            </w:r>
            <w:r>
              <w:rPr>
                <w:rFonts w:ascii="Calibri"/>
                <w:color w:val="231F20"/>
                <w:spacing w:val="-4"/>
                <w:sz w:val="20"/>
              </w:rPr>
              <w:t>001)</w:t>
            </w:r>
          </w:p>
        </w:tc>
        <w:tc>
          <w:tcPr>
            <w:tcW w:w="6361" w:type="dxa"/>
            <w:tcBorders>
              <w:bottom w:val="nil"/>
            </w:tcBorders>
          </w:tcPr>
          <w:p>
            <w:pPr>
              <w:pStyle w:val="TableParagraph"/>
              <w:ind w:left="108" w:hanging="1"/>
              <w:rPr>
                <w:rFonts w:ascii="Calibri"/>
                <w:sz w:val="20"/>
              </w:rPr>
            </w:pPr>
            <w:r>
              <w:rPr>
                <w:rFonts w:ascii="Calibri"/>
                <w:color w:val="231F20"/>
                <w:sz w:val="20"/>
              </w:rPr>
              <w:t>NMT</w:t>
            </w:r>
            <w:r>
              <w:rPr>
                <w:rFonts w:ascii="Calibri"/>
                <w:color w:val="231F20"/>
                <w:spacing w:val="-4"/>
                <w:sz w:val="20"/>
              </w:rPr>
              <w:t> </w:t>
            </w:r>
            <w:r>
              <w:rPr>
                <w:rFonts w:ascii="Calibri"/>
                <w:color w:val="231F20"/>
                <w:sz w:val="20"/>
              </w:rPr>
              <w:t>has</w:t>
            </w:r>
            <w:r>
              <w:rPr>
                <w:rFonts w:ascii="Calibri"/>
                <w:color w:val="231F20"/>
                <w:spacing w:val="-3"/>
                <w:sz w:val="20"/>
              </w:rPr>
              <w:t> </w:t>
            </w:r>
            <w:r>
              <w:rPr>
                <w:rFonts w:ascii="Calibri"/>
                <w:color w:val="231F20"/>
                <w:sz w:val="20"/>
              </w:rPr>
              <w:t>general</w:t>
            </w:r>
            <w:r>
              <w:rPr>
                <w:rFonts w:ascii="Calibri"/>
                <w:color w:val="231F20"/>
                <w:spacing w:val="-4"/>
                <w:sz w:val="20"/>
              </w:rPr>
              <w:t> </w:t>
            </w:r>
            <w:r>
              <w:rPr>
                <w:rFonts w:ascii="Calibri"/>
                <w:color w:val="231F20"/>
                <w:sz w:val="20"/>
              </w:rPr>
              <w:t>internal</w:t>
            </w:r>
            <w:r>
              <w:rPr>
                <w:rFonts w:ascii="Calibri"/>
                <w:color w:val="231F20"/>
                <w:spacing w:val="-4"/>
                <w:sz w:val="20"/>
              </w:rPr>
              <w:t> </w:t>
            </w:r>
            <w:r>
              <w:rPr>
                <w:rFonts w:ascii="Calibri"/>
                <w:color w:val="231F20"/>
                <w:sz w:val="20"/>
              </w:rPr>
              <w:t>controls</w:t>
            </w:r>
            <w:r>
              <w:rPr>
                <w:rFonts w:ascii="Calibri"/>
                <w:color w:val="231F20"/>
                <w:spacing w:val="-3"/>
                <w:sz w:val="20"/>
              </w:rPr>
              <w:t> </w:t>
            </w:r>
            <w:r>
              <w:rPr>
                <w:rFonts w:ascii="Calibri"/>
                <w:color w:val="231F20"/>
                <w:sz w:val="20"/>
              </w:rPr>
              <w:t>in</w:t>
            </w:r>
            <w:r>
              <w:rPr>
                <w:rFonts w:ascii="Calibri"/>
                <w:color w:val="231F20"/>
                <w:spacing w:val="-2"/>
                <w:sz w:val="20"/>
              </w:rPr>
              <w:t> </w:t>
            </w:r>
            <w:r>
              <w:rPr>
                <w:rFonts w:ascii="Calibri"/>
                <w:color w:val="231F20"/>
                <w:sz w:val="20"/>
              </w:rPr>
              <w:t>place</w:t>
            </w:r>
            <w:r>
              <w:rPr>
                <w:rFonts w:ascii="Calibri"/>
                <w:color w:val="231F20"/>
                <w:spacing w:val="-4"/>
                <w:sz w:val="20"/>
              </w:rPr>
              <w:t> </w:t>
            </w:r>
            <w:r>
              <w:rPr>
                <w:rFonts w:ascii="Calibri"/>
                <w:color w:val="231F20"/>
                <w:sz w:val="20"/>
              </w:rPr>
              <w:t>to</w:t>
            </w:r>
            <w:r>
              <w:rPr>
                <w:rFonts w:ascii="Calibri"/>
                <w:color w:val="231F20"/>
                <w:spacing w:val="-3"/>
                <w:sz w:val="20"/>
              </w:rPr>
              <w:t> </w:t>
            </w:r>
            <w:r>
              <w:rPr>
                <w:rFonts w:ascii="Calibri"/>
                <w:color w:val="231F20"/>
                <w:sz w:val="20"/>
              </w:rPr>
              <w:t>ensure</w:t>
            </w:r>
            <w:r>
              <w:rPr>
                <w:rFonts w:ascii="Calibri"/>
                <w:color w:val="231F20"/>
                <w:spacing w:val="-4"/>
                <w:sz w:val="20"/>
              </w:rPr>
              <w:t> </w:t>
            </w:r>
            <w:r>
              <w:rPr>
                <w:rFonts w:ascii="Calibri"/>
                <w:color w:val="231F20"/>
                <w:sz w:val="20"/>
              </w:rPr>
              <w:t>the</w:t>
            </w:r>
            <w:r>
              <w:rPr>
                <w:rFonts w:ascii="Calibri"/>
                <w:color w:val="231F20"/>
                <w:spacing w:val="-4"/>
                <w:sz w:val="20"/>
              </w:rPr>
              <w:t> </w:t>
            </w:r>
            <w:r>
              <w:rPr>
                <w:rFonts w:ascii="Calibri"/>
                <w:color w:val="231F20"/>
                <w:sz w:val="20"/>
              </w:rPr>
              <w:t>cash</w:t>
            </w:r>
            <w:r>
              <w:rPr>
                <w:rFonts w:ascii="Calibri"/>
                <w:color w:val="231F20"/>
                <w:spacing w:val="-3"/>
                <w:sz w:val="20"/>
              </w:rPr>
              <w:t> </w:t>
            </w:r>
            <w:r>
              <w:rPr>
                <w:rFonts w:ascii="Calibri"/>
                <w:color w:val="231F20"/>
                <w:sz w:val="20"/>
              </w:rPr>
              <w:t>is</w:t>
            </w:r>
            <w:r>
              <w:rPr>
                <w:rFonts w:ascii="Calibri"/>
                <w:color w:val="231F20"/>
                <w:spacing w:val="-3"/>
                <w:sz w:val="20"/>
              </w:rPr>
              <w:t> </w:t>
            </w:r>
            <w:r>
              <w:rPr>
                <w:rFonts w:ascii="Calibri"/>
                <w:color w:val="231F20"/>
                <w:sz w:val="20"/>
              </w:rPr>
              <w:t>maintained properly.</w:t>
            </w:r>
            <w:r>
              <w:rPr>
                <w:rFonts w:ascii="Calibri"/>
                <w:color w:val="231F20"/>
                <w:spacing w:val="-5"/>
                <w:sz w:val="20"/>
              </w:rPr>
              <w:t> </w:t>
            </w:r>
            <w:r>
              <w:rPr>
                <w:rFonts w:ascii="Calibri"/>
                <w:color w:val="231F20"/>
                <w:sz w:val="20"/>
              </w:rPr>
              <w:t>Current</w:t>
            </w:r>
            <w:r>
              <w:rPr>
                <w:rFonts w:ascii="Calibri"/>
                <w:color w:val="231F20"/>
                <w:spacing w:val="-5"/>
                <w:sz w:val="20"/>
              </w:rPr>
              <w:t> </w:t>
            </w:r>
            <w:r>
              <w:rPr>
                <w:rFonts w:ascii="Calibri"/>
                <w:color w:val="231F20"/>
                <w:sz w:val="20"/>
              </w:rPr>
              <w:t>controls</w:t>
            </w:r>
            <w:r>
              <w:rPr>
                <w:rFonts w:ascii="Calibri"/>
                <w:color w:val="231F20"/>
                <w:spacing w:val="-4"/>
                <w:sz w:val="20"/>
              </w:rPr>
              <w:t> </w:t>
            </w:r>
            <w:r>
              <w:rPr>
                <w:rFonts w:ascii="Calibri"/>
                <w:color w:val="231F20"/>
                <w:sz w:val="20"/>
              </w:rPr>
              <w:t>included</w:t>
            </w:r>
            <w:r>
              <w:rPr>
                <w:rFonts w:ascii="Calibri"/>
                <w:color w:val="231F20"/>
                <w:spacing w:val="-2"/>
                <w:sz w:val="20"/>
              </w:rPr>
              <w:t> </w:t>
            </w:r>
            <w:r>
              <w:rPr>
                <w:rFonts w:ascii="Calibri"/>
                <w:color w:val="231F20"/>
                <w:sz w:val="20"/>
              </w:rPr>
              <w:t>the</w:t>
            </w:r>
            <w:r>
              <w:rPr>
                <w:rFonts w:ascii="Calibri"/>
                <w:color w:val="231F20"/>
                <w:spacing w:val="-5"/>
                <w:sz w:val="20"/>
              </w:rPr>
              <w:t> </w:t>
            </w:r>
            <w:r>
              <w:rPr>
                <w:rFonts w:ascii="Calibri"/>
                <w:color w:val="231F20"/>
                <w:sz w:val="20"/>
              </w:rPr>
              <w:t>continued</w:t>
            </w:r>
            <w:r>
              <w:rPr>
                <w:rFonts w:ascii="Calibri"/>
                <w:color w:val="231F20"/>
                <w:spacing w:val="-5"/>
                <w:sz w:val="20"/>
              </w:rPr>
              <w:t> </w:t>
            </w:r>
            <w:r>
              <w:rPr>
                <w:rFonts w:ascii="Calibri"/>
                <w:color w:val="231F20"/>
                <w:sz w:val="20"/>
              </w:rPr>
              <w:t>review</w:t>
            </w:r>
            <w:r>
              <w:rPr>
                <w:rFonts w:ascii="Calibri"/>
                <w:color w:val="231F20"/>
                <w:spacing w:val="-5"/>
                <w:sz w:val="20"/>
              </w:rPr>
              <w:t> </w:t>
            </w:r>
            <w:r>
              <w:rPr>
                <w:rFonts w:ascii="Calibri"/>
                <w:color w:val="231F20"/>
                <w:sz w:val="20"/>
              </w:rPr>
              <w:t>of</w:t>
            </w:r>
            <w:r>
              <w:rPr>
                <w:rFonts w:ascii="Calibri"/>
                <w:color w:val="231F20"/>
                <w:spacing w:val="-4"/>
                <w:sz w:val="20"/>
              </w:rPr>
              <w:t> </w:t>
            </w:r>
            <w:r>
              <w:rPr>
                <w:rFonts w:ascii="Calibri"/>
                <w:color w:val="231F20"/>
                <w:sz w:val="20"/>
              </w:rPr>
              <w:t>all</w:t>
            </w:r>
            <w:r>
              <w:rPr>
                <w:rFonts w:ascii="Calibri"/>
                <w:color w:val="231F20"/>
                <w:spacing w:val="-4"/>
                <w:sz w:val="20"/>
              </w:rPr>
              <w:t> </w:t>
            </w:r>
            <w:r>
              <w:rPr>
                <w:rFonts w:ascii="Calibri"/>
                <w:color w:val="231F20"/>
                <w:sz w:val="20"/>
              </w:rPr>
              <w:t>transactions and cash balances daily within the banking systems to ensure that all transactions were approved.</w:t>
            </w:r>
            <w:r>
              <w:rPr>
                <w:rFonts w:ascii="Calibri"/>
                <w:color w:val="231F20"/>
                <w:spacing w:val="-1"/>
                <w:sz w:val="20"/>
              </w:rPr>
              <w:t> </w:t>
            </w:r>
            <w:r>
              <w:rPr>
                <w:rFonts w:ascii="Calibri"/>
                <w:color w:val="231F20"/>
                <w:sz w:val="20"/>
              </w:rPr>
              <w:t>Monthly cash</w:t>
            </w:r>
            <w:r>
              <w:rPr>
                <w:rFonts w:ascii="Calibri"/>
                <w:color w:val="231F20"/>
                <w:spacing w:val="-2"/>
                <w:sz w:val="20"/>
              </w:rPr>
              <w:t> </w:t>
            </w:r>
            <w:r>
              <w:rPr>
                <w:rFonts w:ascii="Calibri"/>
                <w:color w:val="231F20"/>
                <w:sz w:val="20"/>
              </w:rPr>
              <w:t>balance reports</w:t>
            </w:r>
            <w:r>
              <w:rPr>
                <w:rFonts w:ascii="Calibri"/>
                <w:color w:val="231F20"/>
                <w:spacing w:val="-1"/>
                <w:sz w:val="20"/>
              </w:rPr>
              <w:t> </w:t>
            </w:r>
            <w:r>
              <w:rPr>
                <w:rFonts w:ascii="Calibri"/>
                <w:color w:val="231F20"/>
                <w:sz w:val="20"/>
              </w:rPr>
              <w:t>are provided</w:t>
            </w:r>
            <w:r>
              <w:rPr>
                <w:rFonts w:ascii="Calibri"/>
                <w:color w:val="231F20"/>
                <w:spacing w:val="-1"/>
                <w:sz w:val="20"/>
              </w:rPr>
              <w:t> </w:t>
            </w:r>
            <w:r>
              <w:rPr>
                <w:rFonts w:ascii="Calibri"/>
                <w:color w:val="231F20"/>
                <w:sz w:val="20"/>
              </w:rPr>
              <w:t>to the Associate Vice President for Administration and Finance.</w:t>
            </w:r>
          </w:p>
        </w:tc>
        <w:tc>
          <w:tcPr>
            <w:tcW w:w="1619" w:type="dxa"/>
            <w:tcBorders>
              <w:bottom w:val="nil"/>
            </w:tcBorders>
          </w:tcPr>
          <w:p>
            <w:pPr>
              <w:pStyle w:val="TableParagraph"/>
              <w:spacing w:line="243" w:lineRule="exact"/>
              <w:ind w:left="108"/>
              <w:rPr>
                <w:rFonts w:ascii="Calibri"/>
                <w:sz w:val="20"/>
              </w:rPr>
            </w:pPr>
            <w:r>
              <w:rPr>
                <w:rFonts w:ascii="Calibri"/>
                <w:color w:val="231F20"/>
                <w:sz w:val="20"/>
              </w:rPr>
              <w:t>November</w:t>
            </w:r>
            <w:r>
              <w:rPr>
                <w:rFonts w:ascii="Calibri"/>
                <w:color w:val="231F20"/>
                <w:spacing w:val="-1"/>
                <w:sz w:val="20"/>
              </w:rPr>
              <w:t> </w:t>
            </w:r>
            <w:r>
              <w:rPr>
                <w:rFonts w:ascii="Calibri"/>
                <w:color w:val="231F20"/>
                <w:spacing w:val="-5"/>
                <w:sz w:val="20"/>
              </w:rPr>
              <w:t>30,</w:t>
            </w:r>
          </w:p>
          <w:p>
            <w:pPr>
              <w:pStyle w:val="TableParagraph"/>
              <w:ind w:left="108"/>
              <w:rPr>
                <w:rFonts w:ascii="Calibri"/>
                <w:sz w:val="20"/>
              </w:rPr>
            </w:pPr>
            <w:r>
              <w:rPr>
                <w:rFonts w:ascii="Calibri"/>
                <w:color w:val="231F20"/>
                <w:spacing w:val="-4"/>
                <w:sz w:val="20"/>
              </w:rPr>
              <w:t>2022</w:t>
            </w:r>
          </w:p>
        </w:tc>
        <w:tc>
          <w:tcPr>
            <w:tcW w:w="1723" w:type="dxa"/>
            <w:tcBorders>
              <w:bottom w:val="nil"/>
            </w:tcBorders>
          </w:tcPr>
          <w:p>
            <w:pPr>
              <w:pStyle w:val="TableParagraph"/>
              <w:spacing w:line="243" w:lineRule="exact"/>
              <w:ind w:left="108"/>
              <w:rPr>
                <w:rFonts w:ascii="Calibri"/>
                <w:sz w:val="20"/>
              </w:rPr>
            </w:pPr>
            <w:r>
              <w:rPr>
                <w:rFonts w:ascii="Calibri"/>
                <w:color w:val="231F20"/>
                <w:spacing w:val="-2"/>
                <w:sz w:val="20"/>
              </w:rPr>
              <w:t>Controller</w:t>
            </w:r>
          </w:p>
        </w:tc>
      </w:tr>
      <w:tr>
        <w:trPr>
          <w:trHeight w:val="1465" w:hRule="atLeast"/>
        </w:trPr>
        <w:tc>
          <w:tcPr>
            <w:tcW w:w="1277" w:type="dxa"/>
            <w:tcBorders>
              <w:top w:val="nil"/>
              <w:bottom w:val="nil"/>
            </w:tcBorders>
          </w:tcPr>
          <w:p>
            <w:pPr>
              <w:pStyle w:val="TableParagraph"/>
              <w:rPr>
                <w:rFonts w:ascii="Times New Roman"/>
                <w:sz w:val="20"/>
              </w:rPr>
            </w:pPr>
          </w:p>
        </w:tc>
        <w:tc>
          <w:tcPr>
            <w:tcW w:w="6361" w:type="dxa"/>
            <w:tcBorders>
              <w:top w:val="nil"/>
              <w:bottom w:val="nil"/>
            </w:tcBorders>
          </w:tcPr>
          <w:p>
            <w:pPr>
              <w:pStyle w:val="TableParagraph"/>
              <w:spacing w:before="103"/>
              <w:ind w:left="107"/>
              <w:rPr>
                <w:rFonts w:ascii="Calibri"/>
                <w:sz w:val="20"/>
              </w:rPr>
            </w:pPr>
            <w:r>
              <w:rPr>
                <w:rFonts w:ascii="Calibri"/>
                <w:color w:val="231F20"/>
                <w:sz w:val="20"/>
              </w:rPr>
              <w:t>During</w:t>
            </w:r>
            <w:r>
              <w:rPr>
                <w:rFonts w:ascii="Calibri"/>
                <w:color w:val="231F20"/>
                <w:spacing w:val="-2"/>
                <w:sz w:val="20"/>
              </w:rPr>
              <w:t> </w:t>
            </w:r>
            <w:r>
              <w:rPr>
                <w:rFonts w:ascii="Calibri"/>
                <w:color w:val="231F20"/>
                <w:sz w:val="20"/>
              </w:rPr>
              <w:t>the</w:t>
            </w:r>
            <w:r>
              <w:rPr>
                <w:rFonts w:ascii="Calibri"/>
                <w:color w:val="231F20"/>
                <w:spacing w:val="-4"/>
                <w:sz w:val="20"/>
              </w:rPr>
              <w:t> </w:t>
            </w:r>
            <w:r>
              <w:rPr>
                <w:rFonts w:ascii="Calibri"/>
                <w:color w:val="231F20"/>
                <w:sz w:val="20"/>
              </w:rPr>
              <w:t>year-end</w:t>
            </w:r>
            <w:r>
              <w:rPr>
                <w:rFonts w:ascii="Calibri"/>
                <w:color w:val="231F20"/>
                <w:spacing w:val="-5"/>
                <w:sz w:val="20"/>
              </w:rPr>
              <w:t> </w:t>
            </w:r>
            <w:r>
              <w:rPr>
                <w:rFonts w:ascii="Calibri"/>
                <w:color w:val="231F20"/>
                <w:sz w:val="20"/>
              </w:rPr>
              <w:t>period,</w:t>
            </w:r>
            <w:r>
              <w:rPr>
                <w:rFonts w:ascii="Calibri"/>
                <w:color w:val="231F20"/>
                <w:spacing w:val="-4"/>
                <w:sz w:val="20"/>
              </w:rPr>
              <w:t> </w:t>
            </w:r>
            <w:r>
              <w:rPr>
                <w:rFonts w:ascii="Calibri"/>
                <w:color w:val="231F20"/>
                <w:sz w:val="20"/>
              </w:rPr>
              <w:t>staff</w:t>
            </w:r>
            <w:r>
              <w:rPr>
                <w:rFonts w:ascii="Calibri"/>
                <w:color w:val="231F20"/>
                <w:spacing w:val="-4"/>
                <w:sz w:val="20"/>
              </w:rPr>
              <w:t> </w:t>
            </w:r>
            <w:r>
              <w:rPr>
                <w:rFonts w:ascii="Calibri"/>
                <w:color w:val="231F20"/>
                <w:sz w:val="20"/>
              </w:rPr>
              <w:t>turnover</w:t>
            </w:r>
            <w:r>
              <w:rPr>
                <w:rFonts w:ascii="Calibri"/>
                <w:color w:val="231F20"/>
                <w:spacing w:val="-4"/>
                <w:sz w:val="20"/>
              </w:rPr>
              <w:t> </w:t>
            </w:r>
            <w:r>
              <w:rPr>
                <w:rFonts w:ascii="Calibri"/>
                <w:color w:val="231F20"/>
                <w:sz w:val="20"/>
              </w:rPr>
              <w:t>issues</w:t>
            </w:r>
            <w:r>
              <w:rPr>
                <w:rFonts w:ascii="Calibri"/>
                <w:color w:val="231F20"/>
                <w:spacing w:val="-4"/>
                <w:sz w:val="20"/>
              </w:rPr>
              <w:t> </w:t>
            </w:r>
            <w:r>
              <w:rPr>
                <w:rFonts w:ascii="Calibri"/>
                <w:color w:val="231F20"/>
                <w:sz w:val="20"/>
              </w:rPr>
              <w:t>occurred,</w:t>
            </w:r>
            <w:r>
              <w:rPr>
                <w:rFonts w:ascii="Calibri"/>
                <w:color w:val="231F20"/>
                <w:spacing w:val="-4"/>
                <w:sz w:val="20"/>
              </w:rPr>
              <w:t> </w:t>
            </w:r>
            <w:r>
              <w:rPr>
                <w:rFonts w:ascii="Calibri"/>
                <w:color w:val="231F20"/>
                <w:sz w:val="20"/>
              </w:rPr>
              <w:t>resulting</w:t>
            </w:r>
            <w:r>
              <w:rPr>
                <w:rFonts w:ascii="Calibri"/>
                <w:color w:val="231F20"/>
                <w:spacing w:val="-4"/>
                <w:sz w:val="20"/>
              </w:rPr>
              <w:t> </w:t>
            </w:r>
            <w:r>
              <w:rPr>
                <w:rFonts w:ascii="Calibri"/>
                <w:color w:val="231F20"/>
                <w:sz w:val="20"/>
              </w:rPr>
              <w:t>in</w:t>
            </w:r>
            <w:r>
              <w:rPr>
                <w:rFonts w:ascii="Calibri"/>
                <w:color w:val="231F20"/>
                <w:spacing w:val="-5"/>
                <w:sz w:val="20"/>
              </w:rPr>
              <w:t> </w:t>
            </w:r>
            <w:r>
              <w:rPr>
                <w:rFonts w:ascii="Calibri"/>
                <w:color w:val="231F20"/>
                <w:sz w:val="20"/>
              </w:rPr>
              <w:t>an extended</w:t>
            </w:r>
            <w:r>
              <w:rPr>
                <w:rFonts w:ascii="Calibri"/>
                <w:color w:val="231F20"/>
                <w:spacing w:val="-4"/>
                <w:sz w:val="20"/>
              </w:rPr>
              <w:t> </w:t>
            </w:r>
            <w:r>
              <w:rPr>
                <w:rFonts w:ascii="Calibri"/>
                <w:color w:val="231F20"/>
                <w:sz w:val="20"/>
              </w:rPr>
              <w:t>time</w:t>
            </w:r>
            <w:r>
              <w:rPr>
                <w:rFonts w:ascii="Calibri"/>
                <w:color w:val="231F20"/>
                <w:spacing w:val="-5"/>
                <w:sz w:val="20"/>
              </w:rPr>
              <w:t> </w:t>
            </w:r>
            <w:r>
              <w:rPr>
                <w:rFonts w:ascii="Calibri"/>
                <w:color w:val="231F20"/>
                <w:sz w:val="20"/>
              </w:rPr>
              <w:t>to</w:t>
            </w:r>
            <w:r>
              <w:rPr>
                <w:rFonts w:ascii="Calibri"/>
                <w:color w:val="231F20"/>
                <w:spacing w:val="-4"/>
                <w:sz w:val="20"/>
              </w:rPr>
              <w:t> </w:t>
            </w:r>
            <w:r>
              <w:rPr>
                <w:rFonts w:ascii="Calibri"/>
                <w:color w:val="231F20"/>
                <w:sz w:val="20"/>
              </w:rPr>
              <w:t>hire</w:t>
            </w:r>
            <w:r>
              <w:rPr>
                <w:rFonts w:ascii="Calibri"/>
                <w:color w:val="231F20"/>
                <w:spacing w:val="-5"/>
                <w:sz w:val="20"/>
              </w:rPr>
              <w:t> </w:t>
            </w:r>
            <w:r>
              <w:rPr>
                <w:rFonts w:ascii="Calibri"/>
                <w:color w:val="231F20"/>
                <w:sz w:val="20"/>
              </w:rPr>
              <w:t>and</w:t>
            </w:r>
            <w:r>
              <w:rPr>
                <w:rFonts w:ascii="Calibri"/>
                <w:color w:val="231F20"/>
                <w:spacing w:val="-5"/>
                <w:sz w:val="20"/>
              </w:rPr>
              <w:t> </w:t>
            </w:r>
            <w:r>
              <w:rPr>
                <w:rFonts w:ascii="Calibri"/>
                <w:color w:val="231F20"/>
                <w:sz w:val="20"/>
              </w:rPr>
              <w:t>train</w:t>
            </w:r>
            <w:r>
              <w:rPr>
                <w:rFonts w:ascii="Calibri"/>
                <w:color w:val="231F20"/>
                <w:spacing w:val="-3"/>
                <w:sz w:val="20"/>
              </w:rPr>
              <w:t> </w:t>
            </w:r>
            <w:r>
              <w:rPr>
                <w:rFonts w:ascii="Calibri"/>
                <w:color w:val="231F20"/>
                <w:sz w:val="20"/>
              </w:rPr>
              <w:t>qualified</w:t>
            </w:r>
            <w:r>
              <w:rPr>
                <w:rFonts w:ascii="Calibri"/>
                <w:color w:val="231F20"/>
                <w:spacing w:val="-2"/>
                <w:sz w:val="20"/>
              </w:rPr>
              <w:t> </w:t>
            </w:r>
            <w:r>
              <w:rPr>
                <w:rFonts w:ascii="Calibri"/>
                <w:color w:val="231F20"/>
                <w:sz w:val="20"/>
              </w:rPr>
              <w:t>staff</w:t>
            </w:r>
            <w:r>
              <w:rPr>
                <w:rFonts w:ascii="Calibri"/>
                <w:color w:val="231F20"/>
                <w:spacing w:val="-4"/>
                <w:sz w:val="20"/>
              </w:rPr>
              <w:t> </w:t>
            </w:r>
            <w:r>
              <w:rPr>
                <w:rFonts w:ascii="Calibri"/>
                <w:color w:val="231F20"/>
                <w:sz w:val="20"/>
              </w:rPr>
              <w:t>in</w:t>
            </w:r>
            <w:r>
              <w:rPr>
                <w:rFonts w:ascii="Calibri"/>
                <w:color w:val="231F20"/>
                <w:spacing w:val="-5"/>
                <w:sz w:val="20"/>
              </w:rPr>
              <w:t> </w:t>
            </w:r>
            <w:r>
              <w:rPr>
                <w:rFonts w:ascii="Calibri"/>
                <w:color w:val="231F20"/>
                <w:sz w:val="20"/>
              </w:rPr>
              <w:t>preparation</w:t>
            </w:r>
            <w:r>
              <w:rPr>
                <w:rFonts w:ascii="Calibri"/>
                <w:color w:val="231F20"/>
                <w:spacing w:val="-2"/>
                <w:sz w:val="20"/>
              </w:rPr>
              <w:t> </w:t>
            </w:r>
            <w:r>
              <w:rPr>
                <w:rFonts w:ascii="Calibri"/>
                <w:color w:val="231F20"/>
                <w:sz w:val="20"/>
              </w:rPr>
              <w:t>for</w:t>
            </w:r>
            <w:r>
              <w:rPr>
                <w:rFonts w:ascii="Calibri"/>
                <w:color w:val="231F20"/>
                <w:spacing w:val="-5"/>
                <w:sz w:val="20"/>
              </w:rPr>
              <w:t> </w:t>
            </w:r>
            <w:r>
              <w:rPr>
                <w:rFonts w:ascii="Calibri"/>
                <w:color w:val="231F20"/>
                <w:sz w:val="20"/>
              </w:rPr>
              <w:t>year-end bank reconciliations. Additional staff has been brought in to ensure the segregation of</w:t>
            </w:r>
            <w:r>
              <w:rPr>
                <w:rFonts w:ascii="Calibri"/>
                <w:color w:val="231F20"/>
                <w:spacing w:val="-1"/>
                <w:sz w:val="20"/>
              </w:rPr>
              <w:t> </w:t>
            </w:r>
            <w:r>
              <w:rPr>
                <w:rFonts w:ascii="Calibri"/>
                <w:color w:val="231F20"/>
                <w:sz w:val="20"/>
              </w:rPr>
              <w:t>duties and a detailed review of the bank reconciliations to ensure accuracy.</w:t>
            </w:r>
          </w:p>
        </w:tc>
        <w:tc>
          <w:tcPr>
            <w:tcW w:w="1619" w:type="dxa"/>
            <w:tcBorders>
              <w:top w:val="nil"/>
              <w:bottom w:val="nil"/>
            </w:tcBorders>
          </w:tcPr>
          <w:p>
            <w:pPr>
              <w:pStyle w:val="TableParagraph"/>
              <w:rPr>
                <w:rFonts w:ascii="Times New Roman"/>
                <w:sz w:val="20"/>
              </w:rPr>
            </w:pPr>
          </w:p>
        </w:tc>
        <w:tc>
          <w:tcPr>
            <w:tcW w:w="1723" w:type="dxa"/>
            <w:tcBorders>
              <w:top w:val="nil"/>
              <w:bottom w:val="nil"/>
            </w:tcBorders>
          </w:tcPr>
          <w:p>
            <w:pPr>
              <w:pStyle w:val="TableParagraph"/>
              <w:rPr>
                <w:rFonts w:ascii="Times New Roman"/>
                <w:sz w:val="20"/>
              </w:rPr>
            </w:pPr>
          </w:p>
        </w:tc>
      </w:tr>
      <w:tr>
        <w:trPr>
          <w:trHeight w:val="1464" w:hRule="atLeast"/>
        </w:trPr>
        <w:tc>
          <w:tcPr>
            <w:tcW w:w="1277" w:type="dxa"/>
            <w:tcBorders>
              <w:top w:val="nil"/>
              <w:bottom w:val="nil"/>
            </w:tcBorders>
          </w:tcPr>
          <w:p>
            <w:pPr>
              <w:pStyle w:val="TableParagraph"/>
              <w:rPr>
                <w:rFonts w:ascii="Times New Roman"/>
                <w:sz w:val="20"/>
              </w:rPr>
            </w:pPr>
          </w:p>
        </w:tc>
        <w:tc>
          <w:tcPr>
            <w:tcW w:w="6361" w:type="dxa"/>
            <w:tcBorders>
              <w:top w:val="nil"/>
              <w:bottom w:val="nil"/>
            </w:tcBorders>
          </w:tcPr>
          <w:p>
            <w:pPr>
              <w:pStyle w:val="TableParagraph"/>
              <w:spacing w:before="104"/>
              <w:ind w:left="108" w:right="126" w:hanging="1"/>
              <w:rPr>
                <w:rFonts w:ascii="Calibri"/>
                <w:sz w:val="20"/>
              </w:rPr>
            </w:pPr>
            <w:r>
              <w:rPr>
                <w:rFonts w:ascii="Calibri"/>
                <w:color w:val="231F20"/>
                <w:sz w:val="20"/>
              </w:rPr>
              <w:t>Additional</w:t>
            </w:r>
            <w:r>
              <w:rPr>
                <w:rFonts w:ascii="Calibri"/>
                <w:color w:val="231F20"/>
                <w:spacing w:val="-4"/>
                <w:sz w:val="20"/>
              </w:rPr>
              <w:t> </w:t>
            </w:r>
            <w:r>
              <w:rPr>
                <w:rFonts w:ascii="Calibri"/>
                <w:color w:val="231F20"/>
                <w:sz w:val="20"/>
              </w:rPr>
              <w:t>verification</w:t>
            </w:r>
            <w:r>
              <w:rPr>
                <w:rFonts w:ascii="Calibri"/>
                <w:color w:val="231F20"/>
                <w:spacing w:val="-5"/>
                <w:sz w:val="20"/>
              </w:rPr>
              <w:t> </w:t>
            </w:r>
            <w:r>
              <w:rPr>
                <w:rFonts w:ascii="Calibri"/>
                <w:color w:val="231F20"/>
                <w:sz w:val="20"/>
              </w:rPr>
              <w:t>controls</w:t>
            </w:r>
            <w:r>
              <w:rPr>
                <w:rFonts w:ascii="Calibri"/>
                <w:color w:val="231F20"/>
                <w:spacing w:val="-4"/>
                <w:sz w:val="20"/>
              </w:rPr>
              <w:t> </w:t>
            </w:r>
            <w:r>
              <w:rPr>
                <w:rFonts w:ascii="Calibri"/>
                <w:color w:val="231F20"/>
                <w:sz w:val="20"/>
              </w:rPr>
              <w:t>will</w:t>
            </w:r>
            <w:r>
              <w:rPr>
                <w:rFonts w:ascii="Calibri"/>
                <w:color w:val="231F20"/>
                <w:spacing w:val="-4"/>
                <w:sz w:val="20"/>
              </w:rPr>
              <w:t> </w:t>
            </w:r>
            <w:r>
              <w:rPr>
                <w:rFonts w:ascii="Calibri"/>
                <w:color w:val="231F20"/>
                <w:sz w:val="20"/>
              </w:rPr>
              <w:t>be</w:t>
            </w:r>
            <w:r>
              <w:rPr>
                <w:rFonts w:ascii="Calibri"/>
                <w:color w:val="231F20"/>
                <w:spacing w:val="-4"/>
                <w:sz w:val="20"/>
              </w:rPr>
              <w:t> </w:t>
            </w:r>
            <w:r>
              <w:rPr>
                <w:rFonts w:ascii="Calibri"/>
                <w:color w:val="231F20"/>
                <w:sz w:val="20"/>
              </w:rPr>
              <w:t>implemented</w:t>
            </w:r>
            <w:r>
              <w:rPr>
                <w:rFonts w:ascii="Calibri"/>
                <w:color w:val="231F20"/>
                <w:spacing w:val="-4"/>
                <w:sz w:val="20"/>
              </w:rPr>
              <w:t> </w:t>
            </w:r>
            <w:r>
              <w:rPr>
                <w:rFonts w:ascii="Calibri"/>
                <w:color w:val="231F20"/>
                <w:sz w:val="20"/>
              </w:rPr>
              <w:t>that</w:t>
            </w:r>
            <w:r>
              <w:rPr>
                <w:rFonts w:ascii="Calibri"/>
                <w:color w:val="231F20"/>
                <w:spacing w:val="-5"/>
                <w:sz w:val="20"/>
              </w:rPr>
              <w:t> </w:t>
            </w:r>
            <w:r>
              <w:rPr>
                <w:rFonts w:ascii="Calibri"/>
                <w:color w:val="231F20"/>
                <w:sz w:val="20"/>
              </w:rPr>
              <w:t>can</w:t>
            </w:r>
            <w:r>
              <w:rPr>
                <w:rFonts w:ascii="Calibri"/>
                <w:color w:val="231F20"/>
                <w:spacing w:val="-4"/>
                <w:sz w:val="20"/>
              </w:rPr>
              <w:t> </w:t>
            </w:r>
            <w:r>
              <w:rPr>
                <w:rFonts w:ascii="Calibri"/>
                <w:color w:val="231F20"/>
                <w:sz w:val="20"/>
              </w:rPr>
              <w:t>be</w:t>
            </w:r>
            <w:r>
              <w:rPr>
                <w:rFonts w:ascii="Calibri"/>
                <w:color w:val="231F20"/>
                <w:spacing w:val="-5"/>
                <w:sz w:val="20"/>
              </w:rPr>
              <w:t> </w:t>
            </w:r>
            <w:r>
              <w:rPr>
                <w:rFonts w:ascii="Calibri"/>
                <w:color w:val="231F20"/>
                <w:sz w:val="20"/>
              </w:rPr>
              <w:t>used</w:t>
            </w:r>
            <w:r>
              <w:rPr>
                <w:rFonts w:ascii="Calibri"/>
                <w:color w:val="231F20"/>
                <w:spacing w:val="-3"/>
                <w:sz w:val="20"/>
              </w:rPr>
              <w:t> </w:t>
            </w:r>
            <w:r>
              <w:rPr>
                <w:rFonts w:ascii="Calibri"/>
                <w:color w:val="231F20"/>
                <w:sz w:val="20"/>
              </w:rPr>
              <w:t>in</w:t>
            </w:r>
            <w:r>
              <w:rPr>
                <w:rFonts w:ascii="Calibri"/>
                <w:color w:val="231F20"/>
                <w:spacing w:val="-5"/>
                <w:sz w:val="20"/>
              </w:rPr>
              <w:t> </w:t>
            </w:r>
            <w:r>
              <w:rPr>
                <w:rFonts w:ascii="Calibri"/>
                <w:color w:val="231F20"/>
                <w:sz w:val="20"/>
              </w:rPr>
              <w:t>the reviewing process to verify that the daily banking and internal activity control sheets are updated in a timely manner and to ensure the unadjusted trial balance is reconciled within a reasonable adjustment</w:t>
            </w:r>
            <w:r>
              <w:rPr>
                <w:rFonts w:ascii="Calibri"/>
                <w:color w:val="231F20"/>
                <w:spacing w:val="40"/>
                <w:sz w:val="20"/>
              </w:rPr>
              <w:t> </w:t>
            </w:r>
            <w:r>
              <w:rPr>
                <w:rFonts w:ascii="Calibri"/>
                <w:color w:val="231F20"/>
                <w:sz w:val="20"/>
              </w:rPr>
              <w:t>range when sent to the auditor for review.</w:t>
            </w:r>
          </w:p>
        </w:tc>
        <w:tc>
          <w:tcPr>
            <w:tcW w:w="1619" w:type="dxa"/>
            <w:tcBorders>
              <w:top w:val="nil"/>
              <w:bottom w:val="nil"/>
            </w:tcBorders>
          </w:tcPr>
          <w:p>
            <w:pPr>
              <w:pStyle w:val="TableParagraph"/>
              <w:rPr>
                <w:rFonts w:ascii="Times New Roman"/>
                <w:sz w:val="20"/>
              </w:rPr>
            </w:pPr>
          </w:p>
        </w:tc>
        <w:tc>
          <w:tcPr>
            <w:tcW w:w="1723" w:type="dxa"/>
            <w:tcBorders>
              <w:top w:val="nil"/>
              <w:bottom w:val="nil"/>
            </w:tcBorders>
          </w:tcPr>
          <w:p>
            <w:pPr>
              <w:pStyle w:val="TableParagraph"/>
              <w:rPr>
                <w:rFonts w:ascii="Times New Roman"/>
                <w:sz w:val="20"/>
              </w:rPr>
            </w:pPr>
          </w:p>
        </w:tc>
      </w:tr>
      <w:tr>
        <w:trPr>
          <w:trHeight w:val="349" w:hRule="atLeast"/>
        </w:trPr>
        <w:tc>
          <w:tcPr>
            <w:tcW w:w="1277" w:type="dxa"/>
            <w:tcBorders>
              <w:top w:val="nil"/>
            </w:tcBorders>
          </w:tcPr>
          <w:p>
            <w:pPr>
              <w:pStyle w:val="TableParagraph"/>
              <w:rPr>
                <w:rFonts w:ascii="Times New Roman"/>
                <w:sz w:val="20"/>
              </w:rPr>
            </w:pPr>
          </w:p>
        </w:tc>
        <w:tc>
          <w:tcPr>
            <w:tcW w:w="6361" w:type="dxa"/>
            <w:tcBorders>
              <w:top w:val="nil"/>
            </w:tcBorders>
          </w:tcPr>
          <w:p>
            <w:pPr>
              <w:pStyle w:val="TableParagraph"/>
              <w:spacing w:line="225" w:lineRule="exact" w:before="103"/>
              <w:ind w:left="107"/>
              <w:rPr>
                <w:rFonts w:ascii="Calibri"/>
                <w:sz w:val="20"/>
              </w:rPr>
            </w:pPr>
            <w:r>
              <w:rPr>
                <w:rFonts w:ascii="Calibri"/>
                <w:color w:val="231F20"/>
                <w:sz w:val="20"/>
              </w:rPr>
              <w:t>These</w:t>
            </w:r>
            <w:r>
              <w:rPr>
                <w:rFonts w:ascii="Calibri"/>
                <w:color w:val="231F20"/>
                <w:spacing w:val="-3"/>
                <w:sz w:val="20"/>
              </w:rPr>
              <w:t> </w:t>
            </w:r>
            <w:r>
              <w:rPr>
                <w:rFonts w:ascii="Calibri"/>
                <w:color w:val="231F20"/>
                <w:sz w:val="20"/>
              </w:rPr>
              <w:t>changes</w:t>
            </w:r>
            <w:r>
              <w:rPr>
                <w:rFonts w:ascii="Calibri"/>
                <w:color w:val="231F20"/>
                <w:spacing w:val="-5"/>
                <w:sz w:val="20"/>
              </w:rPr>
              <w:t> </w:t>
            </w:r>
            <w:r>
              <w:rPr>
                <w:rFonts w:ascii="Calibri"/>
                <w:color w:val="231F20"/>
                <w:sz w:val="20"/>
              </w:rPr>
              <w:t>will</w:t>
            </w:r>
            <w:r>
              <w:rPr>
                <w:rFonts w:ascii="Calibri"/>
                <w:color w:val="231F20"/>
                <w:spacing w:val="-3"/>
                <w:sz w:val="20"/>
              </w:rPr>
              <w:t> </w:t>
            </w:r>
            <w:r>
              <w:rPr>
                <w:rFonts w:ascii="Calibri"/>
                <w:color w:val="231F20"/>
                <w:sz w:val="20"/>
              </w:rPr>
              <w:t>be</w:t>
            </w:r>
            <w:r>
              <w:rPr>
                <w:rFonts w:ascii="Calibri"/>
                <w:color w:val="231F20"/>
                <w:spacing w:val="-2"/>
                <w:sz w:val="20"/>
              </w:rPr>
              <w:t> </w:t>
            </w:r>
            <w:r>
              <w:rPr>
                <w:rFonts w:ascii="Calibri"/>
                <w:color w:val="231F20"/>
                <w:sz w:val="20"/>
              </w:rPr>
              <w:t>implemented</w:t>
            </w:r>
            <w:r>
              <w:rPr>
                <w:rFonts w:ascii="Calibri"/>
                <w:color w:val="231F20"/>
                <w:spacing w:val="-3"/>
                <w:sz w:val="20"/>
              </w:rPr>
              <w:t> </w:t>
            </w:r>
            <w:r>
              <w:rPr>
                <w:rFonts w:ascii="Calibri"/>
                <w:color w:val="231F20"/>
                <w:sz w:val="20"/>
              </w:rPr>
              <w:t>by</w:t>
            </w:r>
            <w:r>
              <w:rPr>
                <w:rFonts w:ascii="Calibri"/>
                <w:color w:val="231F20"/>
                <w:spacing w:val="-3"/>
                <w:sz w:val="20"/>
              </w:rPr>
              <w:t> </w:t>
            </w:r>
            <w:r>
              <w:rPr>
                <w:rFonts w:ascii="Calibri"/>
                <w:color w:val="231F20"/>
                <w:sz w:val="20"/>
              </w:rPr>
              <w:t>November</w:t>
            </w:r>
            <w:r>
              <w:rPr>
                <w:rFonts w:ascii="Calibri"/>
                <w:color w:val="231F20"/>
                <w:spacing w:val="-4"/>
                <w:sz w:val="20"/>
              </w:rPr>
              <w:t> </w:t>
            </w:r>
            <w:r>
              <w:rPr>
                <w:rFonts w:ascii="Calibri"/>
                <w:color w:val="231F20"/>
                <w:sz w:val="20"/>
              </w:rPr>
              <w:t>30,</w:t>
            </w:r>
            <w:r>
              <w:rPr>
                <w:rFonts w:ascii="Calibri"/>
                <w:color w:val="231F20"/>
                <w:spacing w:val="-3"/>
                <w:sz w:val="20"/>
              </w:rPr>
              <w:t> </w:t>
            </w:r>
            <w:r>
              <w:rPr>
                <w:rFonts w:ascii="Calibri"/>
                <w:color w:val="231F20"/>
                <w:spacing w:val="-2"/>
                <w:sz w:val="20"/>
              </w:rPr>
              <w:t>2022.</w:t>
            </w:r>
          </w:p>
        </w:tc>
        <w:tc>
          <w:tcPr>
            <w:tcW w:w="1619" w:type="dxa"/>
            <w:tcBorders>
              <w:top w:val="nil"/>
            </w:tcBorders>
          </w:tcPr>
          <w:p>
            <w:pPr>
              <w:pStyle w:val="TableParagraph"/>
              <w:rPr>
                <w:rFonts w:ascii="Times New Roman"/>
                <w:sz w:val="20"/>
              </w:rPr>
            </w:pPr>
          </w:p>
        </w:tc>
        <w:tc>
          <w:tcPr>
            <w:tcW w:w="1723" w:type="dxa"/>
            <w:tcBorders>
              <w:top w:val="nil"/>
            </w:tcBorders>
          </w:tcPr>
          <w:p>
            <w:pPr>
              <w:pStyle w:val="TableParagraph"/>
              <w:rPr>
                <w:rFonts w:ascii="Times New Roman"/>
                <w:sz w:val="20"/>
              </w:rPr>
            </w:pPr>
          </w:p>
        </w:tc>
      </w:tr>
      <w:tr>
        <w:trPr>
          <w:trHeight w:val="2196" w:hRule="atLeast"/>
        </w:trPr>
        <w:tc>
          <w:tcPr>
            <w:tcW w:w="1277" w:type="dxa"/>
          </w:tcPr>
          <w:p>
            <w:pPr>
              <w:pStyle w:val="TableParagraph"/>
              <w:spacing w:line="243" w:lineRule="exact"/>
              <w:ind w:left="107"/>
              <w:rPr>
                <w:rFonts w:ascii="Calibri"/>
                <w:sz w:val="20"/>
              </w:rPr>
            </w:pPr>
            <w:r>
              <w:rPr>
                <w:rFonts w:ascii="Calibri"/>
                <w:color w:val="231F20"/>
                <w:spacing w:val="-2"/>
                <w:sz w:val="20"/>
              </w:rPr>
              <w:t>2022-</w:t>
            </w:r>
            <w:r>
              <w:rPr>
                <w:rFonts w:ascii="Calibri"/>
                <w:color w:val="231F20"/>
                <w:spacing w:val="-5"/>
                <w:sz w:val="20"/>
              </w:rPr>
              <w:t>002</w:t>
            </w:r>
          </w:p>
        </w:tc>
        <w:tc>
          <w:tcPr>
            <w:tcW w:w="6361" w:type="dxa"/>
          </w:tcPr>
          <w:p>
            <w:pPr>
              <w:pStyle w:val="TableParagraph"/>
              <w:ind w:left="107" w:right="94" w:hanging="1"/>
              <w:jc w:val="both"/>
              <w:rPr>
                <w:rFonts w:ascii="Calibri"/>
                <w:sz w:val="20"/>
              </w:rPr>
            </w:pPr>
            <w:r>
              <w:rPr>
                <w:rFonts w:ascii="Calibri"/>
                <w:color w:val="231F20"/>
                <w:sz w:val="20"/>
              </w:rPr>
              <w:t>Management</w:t>
            </w:r>
            <w:r>
              <w:rPr>
                <w:rFonts w:ascii="Calibri"/>
                <w:color w:val="231F20"/>
                <w:spacing w:val="-7"/>
                <w:sz w:val="20"/>
              </w:rPr>
              <w:t> </w:t>
            </w:r>
            <w:r>
              <w:rPr>
                <w:rFonts w:ascii="Calibri"/>
                <w:color w:val="231F20"/>
                <w:sz w:val="20"/>
              </w:rPr>
              <w:t>acknowledges</w:t>
            </w:r>
            <w:r>
              <w:rPr>
                <w:rFonts w:ascii="Calibri"/>
                <w:color w:val="231F20"/>
                <w:spacing w:val="-5"/>
                <w:sz w:val="20"/>
              </w:rPr>
              <w:t> </w:t>
            </w:r>
            <w:r>
              <w:rPr>
                <w:rFonts w:ascii="Calibri"/>
                <w:color w:val="231F20"/>
                <w:sz w:val="20"/>
              </w:rPr>
              <w:t>this</w:t>
            </w:r>
            <w:r>
              <w:rPr>
                <w:rFonts w:ascii="Calibri"/>
                <w:color w:val="231F20"/>
                <w:spacing w:val="-4"/>
                <w:sz w:val="20"/>
              </w:rPr>
              <w:t> </w:t>
            </w:r>
            <w:r>
              <w:rPr>
                <w:rFonts w:ascii="Calibri"/>
                <w:color w:val="231F20"/>
                <w:sz w:val="20"/>
              </w:rPr>
              <w:t>and</w:t>
            </w:r>
            <w:r>
              <w:rPr>
                <w:rFonts w:ascii="Calibri"/>
                <w:color w:val="231F20"/>
                <w:spacing w:val="-5"/>
                <w:sz w:val="20"/>
              </w:rPr>
              <w:t> </w:t>
            </w:r>
            <w:r>
              <w:rPr>
                <w:rFonts w:ascii="Calibri"/>
                <w:color w:val="231F20"/>
                <w:sz w:val="20"/>
              </w:rPr>
              <w:t>has</w:t>
            </w:r>
            <w:r>
              <w:rPr>
                <w:rFonts w:ascii="Calibri"/>
                <w:color w:val="231F20"/>
                <w:spacing w:val="-4"/>
                <w:sz w:val="20"/>
              </w:rPr>
              <w:t> </w:t>
            </w:r>
            <w:r>
              <w:rPr>
                <w:rFonts w:ascii="Calibri"/>
                <w:color w:val="231F20"/>
                <w:sz w:val="20"/>
              </w:rPr>
              <w:t>already</w:t>
            </w:r>
            <w:r>
              <w:rPr>
                <w:rFonts w:ascii="Calibri"/>
                <w:color w:val="231F20"/>
                <w:spacing w:val="-5"/>
                <w:sz w:val="20"/>
              </w:rPr>
              <w:t> </w:t>
            </w:r>
            <w:r>
              <w:rPr>
                <w:rFonts w:ascii="Calibri"/>
                <w:color w:val="231F20"/>
                <w:sz w:val="20"/>
              </w:rPr>
              <w:t>taken</w:t>
            </w:r>
            <w:r>
              <w:rPr>
                <w:rFonts w:ascii="Calibri"/>
                <w:color w:val="231F20"/>
                <w:spacing w:val="-5"/>
                <w:sz w:val="20"/>
              </w:rPr>
              <w:t> </w:t>
            </w:r>
            <w:r>
              <w:rPr>
                <w:rFonts w:ascii="Calibri"/>
                <w:color w:val="231F20"/>
                <w:sz w:val="20"/>
              </w:rPr>
              <w:t>corrective</w:t>
            </w:r>
            <w:r>
              <w:rPr>
                <w:rFonts w:ascii="Calibri"/>
                <w:color w:val="231F20"/>
                <w:spacing w:val="-5"/>
                <w:sz w:val="20"/>
              </w:rPr>
              <w:t> </w:t>
            </w:r>
            <w:r>
              <w:rPr>
                <w:rFonts w:ascii="Calibri"/>
                <w:color w:val="231F20"/>
                <w:sz w:val="20"/>
              </w:rPr>
              <w:t>action.</w:t>
            </w:r>
            <w:r>
              <w:rPr>
                <w:rFonts w:ascii="Calibri"/>
                <w:color w:val="231F20"/>
                <w:spacing w:val="-6"/>
                <w:sz w:val="20"/>
              </w:rPr>
              <w:t> </w:t>
            </w:r>
            <w:r>
              <w:rPr>
                <w:rFonts w:ascii="Calibri"/>
                <w:color w:val="231F20"/>
                <w:sz w:val="20"/>
              </w:rPr>
              <w:t>As of October 14, 2022, procedures were put into effect to run a billing on scheduled</w:t>
            </w:r>
            <w:r>
              <w:rPr>
                <w:rFonts w:ascii="Calibri"/>
                <w:color w:val="231F20"/>
                <w:spacing w:val="-4"/>
                <w:sz w:val="20"/>
              </w:rPr>
              <w:t> </w:t>
            </w:r>
            <w:r>
              <w:rPr>
                <w:rFonts w:ascii="Calibri"/>
                <w:color w:val="231F20"/>
                <w:sz w:val="20"/>
              </w:rPr>
              <w:t>payment/firm-fixed-price</w:t>
            </w:r>
            <w:r>
              <w:rPr>
                <w:rFonts w:ascii="Calibri"/>
                <w:color w:val="231F20"/>
                <w:spacing w:val="-4"/>
                <w:sz w:val="20"/>
              </w:rPr>
              <w:t> </w:t>
            </w:r>
            <w:r>
              <w:rPr>
                <w:rFonts w:ascii="Calibri"/>
                <w:color w:val="231F20"/>
                <w:sz w:val="20"/>
              </w:rPr>
              <w:t>awards</w:t>
            </w:r>
            <w:r>
              <w:rPr>
                <w:rFonts w:ascii="Calibri"/>
                <w:color w:val="231F20"/>
                <w:spacing w:val="-4"/>
                <w:sz w:val="20"/>
              </w:rPr>
              <w:t> </w:t>
            </w:r>
            <w:r>
              <w:rPr>
                <w:rFonts w:ascii="Calibri"/>
                <w:color w:val="231F20"/>
                <w:sz w:val="20"/>
              </w:rPr>
              <w:t>on</w:t>
            </w:r>
            <w:r>
              <w:rPr>
                <w:rFonts w:ascii="Calibri"/>
                <w:color w:val="231F20"/>
                <w:spacing w:val="-4"/>
                <w:sz w:val="20"/>
              </w:rPr>
              <w:t> </w:t>
            </w:r>
            <w:r>
              <w:rPr>
                <w:rFonts w:ascii="Calibri"/>
                <w:color w:val="231F20"/>
                <w:sz w:val="20"/>
              </w:rPr>
              <w:t>a</w:t>
            </w:r>
            <w:r>
              <w:rPr>
                <w:rFonts w:ascii="Calibri"/>
                <w:color w:val="231F20"/>
                <w:spacing w:val="-4"/>
                <w:sz w:val="20"/>
              </w:rPr>
              <w:t> </w:t>
            </w:r>
            <w:r>
              <w:rPr>
                <w:rFonts w:ascii="Calibri"/>
                <w:color w:val="231F20"/>
                <w:sz w:val="20"/>
              </w:rPr>
              <w:t>monthly</w:t>
            </w:r>
            <w:r>
              <w:rPr>
                <w:rFonts w:ascii="Calibri"/>
                <w:color w:val="231F20"/>
                <w:spacing w:val="-5"/>
                <w:sz w:val="20"/>
              </w:rPr>
              <w:t> </w:t>
            </w:r>
            <w:r>
              <w:rPr>
                <w:rFonts w:ascii="Calibri"/>
                <w:color w:val="231F20"/>
                <w:sz w:val="20"/>
              </w:rPr>
              <w:t>basis</w:t>
            </w:r>
            <w:r>
              <w:rPr>
                <w:rFonts w:ascii="Calibri"/>
                <w:color w:val="231F20"/>
                <w:spacing w:val="-4"/>
                <w:sz w:val="20"/>
              </w:rPr>
              <w:t> </w:t>
            </w:r>
            <w:r>
              <w:rPr>
                <w:rFonts w:ascii="Calibri"/>
                <w:color w:val="231F20"/>
                <w:sz w:val="20"/>
              </w:rPr>
              <w:t>to</w:t>
            </w:r>
            <w:r>
              <w:rPr>
                <w:rFonts w:ascii="Calibri"/>
                <w:color w:val="231F20"/>
                <w:spacing w:val="-4"/>
                <w:sz w:val="20"/>
              </w:rPr>
              <w:t> </w:t>
            </w:r>
            <w:r>
              <w:rPr>
                <w:rFonts w:ascii="Calibri"/>
                <w:color w:val="231F20"/>
                <w:sz w:val="20"/>
              </w:rPr>
              <w:t>minimize credit</w:t>
            </w:r>
            <w:r>
              <w:rPr>
                <w:rFonts w:ascii="Calibri"/>
                <w:color w:val="231F20"/>
                <w:spacing w:val="-12"/>
                <w:sz w:val="20"/>
              </w:rPr>
              <w:t> </w:t>
            </w:r>
            <w:r>
              <w:rPr>
                <w:rFonts w:ascii="Calibri"/>
                <w:color w:val="231F20"/>
                <w:sz w:val="20"/>
              </w:rPr>
              <w:t>balances</w:t>
            </w:r>
            <w:r>
              <w:rPr>
                <w:rFonts w:ascii="Calibri"/>
                <w:color w:val="231F20"/>
                <w:spacing w:val="-11"/>
                <w:sz w:val="20"/>
              </w:rPr>
              <w:t> </w:t>
            </w:r>
            <w:r>
              <w:rPr>
                <w:rFonts w:ascii="Calibri"/>
                <w:color w:val="231F20"/>
                <w:sz w:val="20"/>
              </w:rPr>
              <w:t>at</w:t>
            </w:r>
            <w:r>
              <w:rPr>
                <w:rFonts w:ascii="Calibri"/>
                <w:color w:val="231F20"/>
                <w:spacing w:val="-11"/>
                <w:sz w:val="20"/>
              </w:rPr>
              <w:t> </w:t>
            </w:r>
            <w:r>
              <w:rPr>
                <w:rFonts w:ascii="Calibri"/>
                <w:color w:val="231F20"/>
                <w:sz w:val="20"/>
              </w:rPr>
              <w:t>fiscal</w:t>
            </w:r>
            <w:r>
              <w:rPr>
                <w:rFonts w:ascii="Calibri"/>
                <w:color w:val="231F20"/>
                <w:spacing w:val="-12"/>
                <w:sz w:val="20"/>
              </w:rPr>
              <w:t> </w:t>
            </w:r>
            <w:r>
              <w:rPr>
                <w:rFonts w:ascii="Calibri"/>
                <w:color w:val="231F20"/>
                <w:sz w:val="20"/>
              </w:rPr>
              <w:t>year-end.</w:t>
            </w:r>
            <w:r>
              <w:rPr>
                <w:rFonts w:ascii="Calibri"/>
                <w:color w:val="231F20"/>
                <w:spacing w:val="-11"/>
                <w:sz w:val="20"/>
              </w:rPr>
              <w:t> </w:t>
            </w:r>
            <w:r>
              <w:rPr>
                <w:rFonts w:ascii="Calibri"/>
                <w:color w:val="231F20"/>
                <w:sz w:val="20"/>
              </w:rPr>
              <w:t>Monthly</w:t>
            </w:r>
            <w:r>
              <w:rPr>
                <w:rFonts w:ascii="Calibri"/>
                <w:color w:val="231F20"/>
                <w:spacing w:val="-11"/>
                <w:sz w:val="20"/>
              </w:rPr>
              <w:t> </w:t>
            </w:r>
            <w:r>
              <w:rPr>
                <w:rFonts w:ascii="Calibri"/>
                <w:color w:val="231F20"/>
                <w:sz w:val="20"/>
              </w:rPr>
              <w:t>billed</w:t>
            </w:r>
            <w:r>
              <w:rPr>
                <w:rFonts w:ascii="Calibri"/>
                <w:color w:val="231F20"/>
                <w:spacing w:val="-12"/>
                <w:sz w:val="20"/>
              </w:rPr>
              <w:t> </w:t>
            </w:r>
            <w:r>
              <w:rPr>
                <w:rFonts w:ascii="Calibri"/>
                <w:color w:val="231F20"/>
                <w:sz w:val="20"/>
              </w:rPr>
              <w:t>aging</w:t>
            </w:r>
            <w:r>
              <w:rPr>
                <w:rFonts w:ascii="Calibri"/>
                <w:color w:val="231F20"/>
                <w:spacing w:val="-11"/>
                <w:sz w:val="20"/>
              </w:rPr>
              <w:t> </w:t>
            </w:r>
            <w:r>
              <w:rPr>
                <w:rFonts w:ascii="Calibri"/>
                <w:color w:val="231F20"/>
                <w:sz w:val="20"/>
              </w:rPr>
              <w:t>reports</w:t>
            </w:r>
            <w:r>
              <w:rPr>
                <w:rFonts w:ascii="Calibri"/>
                <w:color w:val="231F20"/>
                <w:spacing w:val="-11"/>
                <w:sz w:val="20"/>
              </w:rPr>
              <w:t> </w:t>
            </w:r>
            <w:r>
              <w:rPr>
                <w:rFonts w:ascii="Calibri"/>
                <w:color w:val="231F20"/>
                <w:sz w:val="20"/>
              </w:rPr>
              <w:t>are</w:t>
            </w:r>
            <w:r>
              <w:rPr>
                <w:rFonts w:ascii="Calibri"/>
                <w:color w:val="231F20"/>
                <w:spacing w:val="-12"/>
                <w:sz w:val="20"/>
              </w:rPr>
              <w:t> </w:t>
            </w:r>
            <w:r>
              <w:rPr>
                <w:rFonts w:ascii="Calibri"/>
                <w:color w:val="231F20"/>
                <w:sz w:val="20"/>
              </w:rPr>
              <w:t>being</w:t>
            </w:r>
            <w:r>
              <w:rPr>
                <w:rFonts w:ascii="Calibri"/>
                <w:color w:val="231F20"/>
                <w:spacing w:val="-11"/>
                <w:sz w:val="20"/>
              </w:rPr>
              <w:t> </w:t>
            </w:r>
            <w:r>
              <w:rPr>
                <w:rFonts w:ascii="Calibri"/>
                <w:color w:val="231F20"/>
                <w:sz w:val="20"/>
              </w:rPr>
              <w:t>sent to all research administrators to review both credit and debit balances and take appropriate action. Prior to fiscal year-end, Sponsored Projects will request a review of the trial balance data from the business office to determine</w:t>
            </w:r>
            <w:r>
              <w:rPr>
                <w:rFonts w:ascii="Calibri"/>
                <w:color w:val="231F20"/>
                <w:spacing w:val="50"/>
                <w:sz w:val="20"/>
              </w:rPr>
              <w:t> </w:t>
            </w:r>
            <w:r>
              <w:rPr>
                <w:rFonts w:ascii="Calibri"/>
                <w:color w:val="231F20"/>
                <w:sz w:val="20"/>
              </w:rPr>
              <w:t>if</w:t>
            </w:r>
            <w:r>
              <w:rPr>
                <w:rFonts w:ascii="Calibri"/>
                <w:color w:val="231F20"/>
                <w:spacing w:val="50"/>
                <w:sz w:val="20"/>
              </w:rPr>
              <w:t> </w:t>
            </w:r>
            <w:r>
              <w:rPr>
                <w:rFonts w:ascii="Calibri"/>
                <w:color w:val="231F20"/>
                <w:sz w:val="20"/>
              </w:rPr>
              <w:t>there</w:t>
            </w:r>
            <w:r>
              <w:rPr>
                <w:rFonts w:ascii="Calibri"/>
                <w:color w:val="231F20"/>
                <w:spacing w:val="50"/>
                <w:sz w:val="20"/>
              </w:rPr>
              <w:t> </w:t>
            </w:r>
            <w:r>
              <w:rPr>
                <w:rFonts w:ascii="Calibri"/>
                <w:color w:val="231F20"/>
                <w:sz w:val="20"/>
              </w:rPr>
              <w:t>are</w:t>
            </w:r>
            <w:r>
              <w:rPr>
                <w:rFonts w:ascii="Calibri"/>
                <w:color w:val="231F20"/>
                <w:spacing w:val="50"/>
                <w:sz w:val="20"/>
              </w:rPr>
              <w:t> </w:t>
            </w:r>
            <w:r>
              <w:rPr>
                <w:rFonts w:ascii="Calibri"/>
                <w:color w:val="231F20"/>
                <w:sz w:val="20"/>
              </w:rPr>
              <w:t>any</w:t>
            </w:r>
            <w:r>
              <w:rPr>
                <w:rFonts w:ascii="Calibri"/>
                <w:color w:val="231F20"/>
                <w:spacing w:val="49"/>
                <w:sz w:val="20"/>
              </w:rPr>
              <w:t> </w:t>
            </w:r>
            <w:r>
              <w:rPr>
                <w:rFonts w:ascii="Calibri"/>
                <w:color w:val="231F20"/>
                <w:sz w:val="20"/>
              </w:rPr>
              <w:t>unusual,</w:t>
            </w:r>
            <w:r>
              <w:rPr>
                <w:rFonts w:ascii="Calibri"/>
                <w:color w:val="231F20"/>
                <w:spacing w:val="52"/>
                <w:sz w:val="20"/>
              </w:rPr>
              <w:t> </w:t>
            </w:r>
            <w:r>
              <w:rPr>
                <w:rFonts w:ascii="Calibri"/>
                <w:color w:val="231F20"/>
                <w:sz w:val="20"/>
              </w:rPr>
              <w:t>outstanding</w:t>
            </w:r>
            <w:r>
              <w:rPr>
                <w:rFonts w:ascii="Calibri"/>
                <w:color w:val="231F20"/>
                <w:spacing w:val="52"/>
                <w:sz w:val="20"/>
              </w:rPr>
              <w:t> </w:t>
            </w:r>
            <w:r>
              <w:rPr>
                <w:rFonts w:ascii="Calibri"/>
                <w:color w:val="231F20"/>
                <w:sz w:val="20"/>
              </w:rPr>
              <w:t>balances</w:t>
            </w:r>
            <w:r>
              <w:rPr>
                <w:rFonts w:ascii="Calibri"/>
                <w:color w:val="231F20"/>
                <w:spacing w:val="50"/>
                <w:sz w:val="20"/>
              </w:rPr>
              <w:t> </w:t>
            </w:r>
            <w:r>
              <w:rPr>
                <w:rFonts w:ascii="Calibri"/>
                <w:color w:val="231F20"/>
                <w:sz w:val="20"/>
              </w:rPr>
              <w:t>that</w:t>
            </w:r>
            <w:r>
              <w:rPr>
                <w:rFonts w:ascii="Calibri"/>
                <w:color w:val="231F20"/>
                <w:spacing w:val="51"/>
                <w:sz w:val="20"/>
              </w:rPr>
              <w:t> </w:t>
            </w:r>
            <w:r>
              <w:rPr>
                <w:rFonts w:ascii="Calibri"/>
                <w:color w:val="231F20"/>
                <w:spacing w:val="-2"/>
                <w:sz w:val="20"/>
              </w:rPr>
              <w:t>require</w:t>
            </w:r>
          </w:p>
          <w:p>
            <w:pPr>
              <w:pStyle w:val="TableParagraph"/>
              <w:spacing w:line="224" w:lineRule="exact"/>
              <w:ind w:left="109"/>
              <w:jc w:val="both"/>
              <w:rPr>
                <w:rFonts w:ascii="Calibri"/>
                <w:sz w:val="20"/>
              </w:rPr>
            </w:pPr>
            <w:r>
              <w:rPr>
                <w:rFonts w:ascii="Calibri"/>
                <w:color w:val="231F20"/>
                <w:sz w:val="20"/>
              </w:rPr>
              <w:t>further</w:t>
            </w:r>
            <w:r>
              <w:rPr>
                <w:rFonts w:ascii="Calibri"/>
                <w:color w:val="231F20"/>
                <w:spacing w:val="-1"/>
                <w:sz w:val="20"/>
              </w:rPr>
              <w:t> </w:t>
            </w:r>
            <w:r>
              <w:rPr>
                <w:rFonts w:ascii="Calibri"/>
                <w:color w:val="231F20"/>
                <w:spacing w:val="-2"/>
                <w:sz w:val="20"/>
              </w:rPr>
              <w:t>adjustment.</w:t>
            </w:r>
          </w:p>
        </w:tc>
        <w:tc>
          <w:tcPr>
            <w:tcW w:w="1619" w:type="dxa"/>
          </w:tcPr>
          <w:p>
            <w:pPr>
              <w:pStyle w:val="TableParagraph"/>
              <w:spacing w:line="243" w:lineRule="exact"/>
              <w:ind w:left="109"/>
              <w:rPr>
                <w:rFonts w:ascii="Calibri"/>
                <w:sz w:val="20"/>
              </w:rPr>
            </w:pPr>
            <w:r>
              <w:rPr>
                <w:rFonts w:ascii="Calibri"/>
                <w:color w:val="231F20"/>
                <w:sz w:val="20"/>
              </w:rPr>
              <w:t>October</w:t>
            </w:r>
            <w:r>
              <w:rPr>
                <w:rFonts w:ascii="Calibri"/>
                <w:color w:val="231F20"/>
                <w:spacing w:val="-3"/>
                <w:sz w:val="20"/>
              </w:rPr>
              <w:t> </w:t>
            </w:r>
            <w:r>
              <w:rPr>
                <w:rFonts w:ascii="Calibri"/>
                <w:color w:val="231F20"/>
                <w:spacing w:val="-5"/>
                <w:sz w:val="20"/>
              </w:rPr>
              <w:t>14,</w:t>
            </w:r>
          </w:p>
          <w:p>
            <w:pPr>
              <w:pStyle w:val="TableParagraph"/>
              <w:ind w:left="109"/>
              <w:rPr>
                <w:rFonts w:ascii="Calibri"/>
                <w:sz w:val="20"/>
              </w:rPr>
            </w:pPr>
            <w:r>
              <w:rPr>
                <w:rFonts w:ascii="Calibri"/>
                <w:color w:val="231F20"/>
                <w:spacing w:val="-4"/>
                <w:sz w:val="20"/>
              </w:rPr>
              <w:t>2022</w:t>
            </w:r>
          </w:p>
        </w:tc>
        <w:tc>
          <w:tcPr>
            <w:tcW w:w="1723" w:type="dxa"/>
          </w:tcPr>
          <w:p>
            <w:pPr>
              <w:pStyle w:val="TableParagraph"/>
              <w:ind w:left="107" w:right="723" w:firstLine="1"/>
              <w:jc w:val="both"/>
              <w:rPr>
                <w:rFonts w:ascii="Calibri"/>
                <w:sz w:val="20"/>
              </w:rPr>
            </w:pPr>
            <w:r>
              <w:rPr>
                <w:rFonts w:ascii="Calibri"/>
                <w:color w:val="231F20"/>
                <w:sz w:val="20"/>
              </w:rPr>
              <w:t>Director</w:t>
            </w:r>
            <w:r>
              <w:rPr>
                <w:rFonts w:ascii="Calibri"/>
                <w:color w:val="231F20"/>
                <w:spacing w:val="-12"/>
                <w:sz w:val="20"/>
              </w:rPr>
              <w:t> </w:t>
            </w:r>
            <w:r>
              <w:rPr>
                <w:rFonts w:ascii="Calibri"/>
                <w:color w:val="231F20"/>
                <w:sz w:val="20"/>
              </w:rPr>
              <w:t>of </w:t>
            </w:r>
            <w:r>
              <w:rPr>
                <w:rFonts w:ascii="Calibri"/>
                <w:color w:val="231F20"/>
                <w:spacing w:val="-2"/>
                <w:sz w:val="20"/>
              </w:rPr>
              <w:t>Sponsored Projects</w:t>
            </w:r>
          </w:p>
        </w:tc>
      </w:tr>
      <w:tr>
        <w:trPr>
          <w:trHeight w:val="1953" w:hRule="atLeast"/>
        </w:trPr>
        <w:tc>
          <w:tcPr>
            <w:tcW w:w="1277" w:type="dxa"/>
          </w:tcPr>
          <w:p>
            <w:pPr>
              <w:pStyle w:val="TableParagraph"/>
              <w:spacing w:line="243" w:lineRule="exact"/>
              <w:ind w:left="107"/>
              <w:rPr>
                <w:rFonts w:ascii="Calibri"/>
                <w:sz w:val="20"/>
              </w:rPr>
            </w:pPr>
            <w:r>
              <w:rPr>
                <w:rFonts w:ascii="Calibri"/>
                <w:color w:val="231F20"/>
                <w:spacing w:val="-2"/>
                <w:sz w:val="20"/>
              </w:rPr>
              <w:t>2022-</w:t>
            </w:r>
            <w:r>
              <w:rPr>
                <w:rFonts w:ascii="Calibri"/>
                <w:color w:val="231F20"/>
                <w:spacing w:val="-5"/>
                <w:sz w:val="20"/>
              </w:rPr>
              <w:t>003</w:t>
            </w:r>
          </w:p>
        </w:tc>
        <w:tc>
          <w:tcPr>
            <w:tcW w:w="6361" w:type="dxa"/>
          </w:tcPr>
          <w:p>
            <w:pPr>
              <w:pStyle w:val="TableParagraph"/>
              <w:ind w:left="107" w:right="130" w:hanging="1"/>
              <w:rPr>
                <w:rFonts w:ascii="Calibri"/>
                <w:sz w:val="20"/>
              </w:rPr>
            </w:pPr>
            <w:r>
              <w:rPr>
                <w:rFonts w:ascii="Calibri"/>
                <w:color w:val="231F20"/>
                <w:sz w:val="20"/>
              </w:rPr>
              <w:t>A risk assessment is currently in process, which will provide a holistic plan that includes Gramm-Leach-Bliley Act requirements. This assessment is scheduled for completion by December 2022, as committed in the FY21 audit response. It is currently on track for that completion date. Once the assessment is completed, a technical suitability evaluation will be conducted</w:t>
            </w:r>
            <w:r>
              <w:rPr>
                <w:rFonts w:ascii="Calibri"/>
                <w:color w:val="231F20"/>
                <w:spacing w:val="-4"/>
                <w:sz w:val="20"/>
              </w:rPr>
              <w:t> </w:t>
            </w:r>
            <w:r>
              <w:rPr>
                <w:rFonts w:ascii="Calibri"/>
                <w:color w:val="231F20"/>
                <w:sz w:val="20"/>
              </w:rPr>
              <w:t>to</w:t>
            </w:r>
            <w:r>
              <w:rPr>
                <w:rFonts w:ascii="Calibri"/>
                <w:color w:val="231F20"/>
                <w:spacing w:val="-5"/>
                <w:sz w:val="20"/>
              </w:rPr>
              <w:t> </w:t>
            </w:r>
            <w:r>
              <w:rPr>
                <w:rFonts w:ascii="Calibri"/>
                <w:color w:val="231F20"/>
                <w:sz w:val="20"/>
              </w:rPr>
              <w:t>provide</w:t>
            </w:r>
            <w:r>
              <w:rPr>
                <w:rFonts w:ascii="Calibri"/>
                <w:color w:val="231F20"/>
                <w:spacing w:val="-3"/>
                <w:sz w:val="20"/>
              </w:rPr>
              <w:t> </w:t>
            </w:r>
            <w:r>
              <w:rPr>
                <w:rFonts w:ascii="Calibri"/>
                <w:color w:val="231F20"/>
                <w:sz w:val="20"/>
              </w:rPr>
              <w:t>the</w:t>
            </w:r>
            <w:r>
              <w:rPr>
                <w:rFonts w:ascii="Calibri"/>
                <w:color w:val="231F20"/>
                <w:spacing w:val="-5"/>
                <w:sz w:val="20"/>
              </w:rPr>
              <w:t> </w:t>
            </w:r>
            <w:r>
              <w:rPr>
                <w:rFonts w:ascii="Calibri"/>
                <w:color w:val="231F20"/>
                <w:sz w:val="20"/>
              </w:rPr>
              <w:t>most</w:t>
            </w:r>
            <w:r>
              <w:rPr>
                <w:rFonts w:ascii="Calibri"/>
                <w:color w:val="231F20"/>
                <w:spacing w:val="-4"/>
                <w:sz w:val="20"/>
              </w:rPr>
              <w:t> </w:t>
            </w:r>
            <w:r>
              <w:rPr>
                <w:rFonts w:ascii="Calibri"/>
                <w:color w:val="231F20"/>
                <w:sz w:val="20"/>
              </w:rPr>
              <w:t>appropriate</w:t>
            </w:r>
            <w:r>
              <w:rPr>
                <w:rFonts w:ascii="Calibri"/>
                <w:color w:val="231F20"/>
                <w:spacing w:val="-4"/>
                <w:sz w:val="20"/>
              </w:rPr>
              <w:t> </w:t>
            </w:r>
            <w:r>
              <w:rPr>
                <w:rFonts w:ascii="Calibri"/>
                <w:color w:val="231F20"/>
                <w:sz w:val="20"/>
              </w:rPr>
              <w:t>technical</w:t>
            </w:r>
            <w:r>
              <w:rPr>
                <w:rFonts w:ascii="Calibri"/>
                <w:color w:val="231F20"/>
                <w:spacing w:val="-4"/>
                <w:sz w:val="20"/>
              </w:rPr>
              <w:t> </w:t>
            </w:r>
            <w:r>
              <w:rPr>
                <w:rFonts w:ascii="Calibri"/>
                <w:color w:val="231F20"/>
                <w:sz w:val="20"/>
              </w:rPr>
              <w:t>solutions</w:t>
            </w:r>
            <w:r>
              <w:rPr>
                <w:rFonts w:ascii="Calibri"/>
                <w:color w:val="231F20"/>
                <w:spacing w:val="-4"/>
                <w:sz w:val="20"/>
              </w:rPr>
              <w:t> </w:t>
            </w:r>
            <w:r>
              <w:rPr>
                <w:rFonts w:ascii="Calibri"/>
                <w:color w:val="231F20"/>
                <w:sz w:val="20"/>
              </w:rPr>
              <w:t>to</w:t>
            </w:r>
            <w:r>
              <w:rPr>
                <w:rFonts w:ascii="Calibri"/>
                <w:color w:val="231F20"/>
                <w:spacing w:val="-5"/>
                <w:sz w:val="20"/>
              </w:rPr>
              <w:t> </w:t>
            </w:r>
            <w:r>
              <w:rPr>
                <w:rFonts w:ascii="Calibri"/>
                <w:color w:val="231F20"/>
                <w:sz w:val="20"/>
              </w:rPr>
              <w:t>meet</w:t>
            </w:r>
            <w:r>
              <w:rPr>
                <w:rFonts w:ascii="Calibri"/>
                <w:color w:val="231F20"/>
                <w:spacing w:val="-5"/>
                <w:sz w:val="20"/>
              </w:rPr>
              <w:t> </w:t>
            </w:r>
            <w:r>
              <w:rPr>
                <w:rFonts w:ascii="Calibri"/>
                <w:color w:val="231F20"/>
                <w:sz w:val="20"/>
              </w:rPr>
              <w:t>the overall needs based on the assessment findings/determinations. This will</w:t>
            </w:r>
          </w:p>
          <w:p>
            <w:pPr>
              <w:pStyle w:val="TableParagraph"/>
              <w:spacing w:line="224" w:lineRule="exact"/>
              <w:ind w:left="108"/>
              <w:rPr>
                <w:rFonts w:ascii="Calibri"/>
                <w:sz w:val="20"/>
              </w:rPr>
            </w:pPr>
            <w:r>
              <w:rPr>
                <w:rFonts w:ascii="Calibri"/>
                <w:color w:val="231F20"/>
                <w:sz w:val="20"/>
              </w:rPr>
              <w:t>address</w:t>
            </w:r>
            <w:r>
              <w:rPr>
                <w:rFonts w:ascii="Calibri"/>
                <w:color w:val="231F20"/>
                <w:spacing w:val="-2"/>
                <w:sz w:val="20"/>
              </w:rPr>
              <w:t> </w:t>
            </w:r>
            <w:r>
              <w:rPr>
                <w:rFonts w:ascii="Calibri"/>
                <w:color w:val="231F20"/>
                <w:sz w:val="20"/>
              </w:rPr>
              <w:t>the</w:t>
            </w:r>
            <w:r>
              <w:rPr>
                <w:rFonts w:ascii="Calibri"/>
                <w:color w:val="231F20"/>
                <w:spacing w:val="-1"/>
                <w:sz w:val="20"/>
              </w:rPr>
              <w:t> </w:t>
            </w:r>
            <w:r>
              <w:rPr>
                <w:rFonts w:ascii="Calibri"/>
                <w:color w:val="231F20"/>
                <w:sz w:val="20"/>
              </w:rPr>
              <w:t>current</w:t>
            </w:r>
            <w:r>
              <w:rPr>
                <w:rFonts w:ascii="Calibri"/>
                <w:color w:val="231F20"/>
                <w:spacing w:val="-2"/>
                <w:sz w:val="20"/>
              </w:rPr>
              <w:t> </w:t>
            </w:r>
            <w:r>
              <w:rPr>
                <w:rFonts w:ascii="Calibri"/>
                <w:color w:val="231F20"/>
                <w:sz w:val="20"/>
              </w:rPr>
              <w:t>deficiencies</w:t>
            </w:r>
            <w:r>
              <w:rPr>
                <w:rFonts w:ascii="Calibri"/>
                <w:color w:val="231F20"/>
                <w:spacing w:val="-2"/>
                <w:sz w:val="20"/>
              </w:rPr>
              <w:t> </w:t>
            </w:r>
            <w:r>
              <w:rPr>
                <w:rFonts w:ascii="Calibri"/>
                <w:color w:val="231F20"/>
                <w:sz w:val="20"/>
              </w:rPr>
              <w:t>and</w:t>
            </w:r>
            <w:r>
              <w:rPr>
                <w:rFonts w:ascii="Calibri"/>
                <w:color w:val="231F20"/>
                <w:spacing w:val="-2"/>
                <w:sz w:val="20"/>
              </w:rPr>
              <w:t> </w:t>
            </w:r>
            <w:r>
              <w:rPr>
                <w:rFonts w:ascii="Calibri"/>
                <w:color w:val="231F20"/>
                <w:sz w:val="20"/>
              </w:rPr>
              <w:t>control</w:t>
            </w:r>
            <w:r>
              <w:rPr>
                <w:rFonts w:ascii="Calibri"/>
                <w:color w:val="231F20"/>
                <w:spacing w:val="-1"/>
                <w:sz w:val="20"/>
              </w:rPr>
              <w:t> </w:t>
            </w:r>
            <w:r>
              <w:rPr>
                <w:rFonts w:ascii="Calibri"/>
                <w:color w:val="231F20"/>
                <w:spacing w:val="-2"/>
                <w:sz w:val="20"/>
              </w:rPr>
              <w:t>gaps.</w:t>
            </w:r>
          </w:p>
        </w:tc>
        <w:tc>
          <w:tcPr>
            <w:tcW w:w="1619" w:type="dxa"/>
          </w:tcPr>
          <w:p>
            <w:pPr>
              <w:pStyle w:val="TableParagraph"/>
              <w:spacing w:line="243" w:lineRule="exact"/>
              <w:ind w:left="109"/>
              <w:rPr>
                <w:rFonts w:ascii="Calibri"/>
                <w:sz w:val="20"/>
              </w:rPr>
            </w:pPr>
            <w:r>
              <w:rPr>
                <w:rFonts w:ascii="Calibri"/>
                <w:color w:val="231F20"/>
                <w:sz w:val="20"/>
              </w:rPr>
              <w:t>December </w:t>
            </w:r>
            <w:r>
              <w:rPr>
                <w:rFonts w:ascii="Calibri"/>
                <w:color w:val="231F20"/>
                <w:spacing w:val="-5"/>
                <w:sz w:val="20"/>
              </w:rPr>
              <w:t>31,</w:t>
            </w:r>
          </w:p>
          <w:p>
            <w:pPr>
              <w:pStyle w:val="TableParagraph"/>
              <w:ind w:left="109"/>
              <w:rPr>
                <w:rFonts w:ascii="Calibri"/>
                <w:sz w:val="20"/>
              </w:rPr>
            </w:pPr>
            <w:r>
              <w:rPr>
                <w:rFonts w:ascii="Calibri"/>
                <w:color w:val="231F20"/>
                <w:spacing w:val="-4"/>
                <w:sz w:val="20"/>
              </w:rPr>
              <w:t>2022</w:t>
            </w:r>
          </w:p>
        </w:tc>
        <w:tc>
          <w:tcPr>
            <w:tcW w:w="1723" w:type="dxa"/>
          </w:tcPr>
          <w:p>
            <w:pPr>
              <w:pStyle w:val="TableParagraph"/>
              <w:ind w:left="109" w:right="215"/>
              <w:rPr>
                <w:rFonts w:ascii="Calibri"/>
                <w:sz w:val="20"/>
              </w:rPr>
            </w:pPr>
            <w:r>
              <w:rPr>
                <w:rFonts w:ascii="Calibri"/>
                <w:color w:val="231F20"/>
                <w:sz w:val="20"/>
              </w:rPr>
              <w:t>Director of </w:t>
            </w:r>
            <w:r>
              <w:rPr>
                <w:rFonts w:ascii="Calibri"/>
                <w:color w:val="231F20"/>
                <w:spacing w:val="-2"/>
                <w:sz w:val="20"/>
              </w:rPr>
              <w:t>Information </w:t>
            </w:r>
            <w:r>
              <w:rPr>
                <w:rFonts w:ascii="Calibri"/>
                <w:color w:val="231F20"/>
                <w:sz w:val="20"/>
              </w:rPr>
              <w:t>Technology and </w:t>
            </w:r>
            <w:r>
              <w:rPr>
                <w:rFonts w:ascii="Calibri"/>
                <w:color w:val="231F20"/>
                <w:spacing w:val="-2"/>
                <w:sz w:val="20"/>
              </w:rPr>
              <w:t>Communications</w:t>
            </w:r>
          </w:p>
        </w:tc>
      </w:tr>
      <w:tr>
        <w:trPr>
          <w:trHeight w:val="1098" w:hRule="atLeast"/>
        </w:trPr>
        <w:tc>
          <w:tcPr>
            <w:tcW w:w="1277" w:type="dxa"/>
          </w:tcPr>
          <w:p>
            <w:pPr>
              <w:pStyle w:val="TableParagraph"/>
              <w:spacing w:line="243" w:lineRule="exact"/>
              <w:ind w:left="107"/>
              <w:rPr>
                <w:rFonts w:ascii="Calibri"/>
                <w:sz w:val="20"/>
              </w:rPr>
            </w:pPr>
            <w:r>
              <w:rPr>
                <w:rFonts w:ascii="Calibri"/>
                <w:color w:val="231F20"/>
                <w:spacing w:val="-2"/>
                <w:sz w:val="20"/>
              </w:rPr>
              <w:t>2022-</w:t>
            </w:r>
            <w:r>
              <w:rPr>
                <w:rFonts w:ascii="Calibri"/>
                <w:color w:val="231F20"/>
                <w:spacing w:val="-5"/>
                <w:sz w:val="20"/>
              </w:rPr>
              <w:t>004</w:t>
            </w:r>
          </w:p>
          <w:p>
            <w:pPr>
              <w:pStyle w:val="TableParagraph"/>
              <w:ind w:left="107"/>
              <w:rPr>
                <w:rFonts w:ascii="Calibri"/>
                <w:sz w:val="20"/>
              </w:rPr>
            </w:pPr>
            <w:r>
              <w:rPr>
                <w:rFonts w:ascii="Calibri"/>
                <w:color w:val="231F20"/>
                <w:spacing w:val="-2"/>
                <w:sz w:val="20"/>
              </w:rPr>
              <w:t>(2021-</w:t>
            </w:r>
            <w:r>
              <w:rPr>
                <w:rFonts w:ascii="Calibri"/>
                <w:color w:val="231F20"/>
                <w:spacing w:val="-4"/>
                <w:sz w:val="20"/>
              </w:rPr>
              <w:t>004)</w:t>
            </w:r>
          </w:p>
        </w:tc>
        <w:tc>
          <w:tcPr>
            <w:tcW w:w="6361" w:type="dxa"/>
          </w:tcPr>
          <w:p>
            <w:pPr>
              <w:pStyle w:val="TableParagraph"/>
              <w:spacing w:line="271" w:lineRule="auto"/>
              <w:ind w:left="107" w:right="130"/>
              <w:rPr>
                <w:rFonts w:ascii="Calibri"/>
                <w:sz w:val="20"/>
              </w:rPr>
            </w:pPr>
            <w:r>
              <w:rPr>
                <w:rFonts w:ascii="Calibri"/>
                <w:color w:val="231F20"/>
                <w:sz w:val="20"/>
              </w:rPr>
              <w:t>The</w:t>
            </w:r>
            <w:r>
              <w:rPr>
                <w:rFonts w:ascii="Calibri"/>
                <w:color w:val="231F20"/>
                <w:spacing w:val="-1"/>
                <w:sz w:val="20"/>
              </w:rPr>
              <w:t> </w:t>
            </w:r>
            <w:r>
              <w:rPr>
                <w:rFonts w:ascii="Calibri"/>
                <w:color w:val="231F20"/>
                <w:sz w:val="20"/>
              </w:rPr>
              <w:t>deficiencies</w:t>
            </w:r>
            <w:r>
              <w:rPr>
                <w:rFonts w:ascii="Calibri"/>
                <w:color w:val="231F20"/>
                <w:spacing w:val="-1"/>
                <w:sz w:val="20"/>
              </w:rPr>
              <w:t> </w:t>
            </w:r>
            <w:r>
              <w:rPr>
                <w:rFonts w:ascii="Calibri"/>
                <w:color w:val="231F20"/>
                <w:sz w:val="20"/>
              </w:rPr>
              <w:t>within the</w:t>
            </w:r>
            <w:r>
              <w:rPr>
                <w:rFonts w:ascii="Calibri"/>
                <w:color w:val="231F20"/>
                <w:spacing w:val="-1"/>
                <w:sz w:val="20"/>
              </w:rPr>
              <w:t> </w:t>
            </w:r>
            <w:r>
              <w:rPr>
                <w:rFonts w:ascii="Calibri"/>
                <w:color w:val="231F20"/>
                <w:sz w:val="20"/>
              </w:rPr>
              <w:t>finding</w:t>
            </w:r>
            <w:r>
              <w:rPr>
                <w:rFonts w:ascii="Calibri"/>
                <w:color w:val="231F20"/>
                <w:spacing w:val="-1"/>
                <w:sz w:val="20"/>
              </w:rPr>
              <w:t> </w:t>
            </w:r>
            <w:r>
              <w:rPr>
                <w:rFonts w:ascii="Calibri"/>
                <w:color w:val="231F20"/>
                <w:sz w:val="20"/>
              </w:rPr>
              <w:t>were</w:t>
            </w:r>
            <w:r>
              <w:rPr>
                <w:rFonts w:ascii="Calibri"/>
                <w:color w:val="231F20"/>
                <w:spacing w:val="-1"/>
                <w:sz w:val="20"/>
              </w:rPr>
              <w:t> </w:t>
            </w:r>
            <w:r>
              <w:rPr>
                <w:rFonts w:ascii="Calibri"/>
                <w:color w:val="231F20"/>
                <w:sz w:val="20"/>
              </w:rPr>
              <w:t>identified the</w:t>
            </w:r>
            <w:r>
              <w:rPr>
                <w:rFonts w:ascii="Calibri"/>
                <w:color w:val="231F20"/>
                <w:spacing w:val="-2"/>
                <w:sz w:val="20"/>
              </w:rPr>
              <w:t> </w:t>
            </w:r>
            <w:r>
              <w:rPr>
                <w:rFonts w:ascii="Calibri"/>
                <w:color w:val="231F20"/>
                <w:sz w:val="20"/>
              </w:rPr>
              <w:t>previous</w:t>
            </w:r>
            <w:r>
              <w:rPr>
                <w:rFonts w:ascii="Calibri"/>
                <w:color w:val="231F20"/>
                <w:spacing w:val="-1"/>
                <w:sz w:val="20"/>
              </w:rPr>
              <w:t> </w:t>
            </w:r>
            <w:r>
              <w:rPr>
                <w:rFonts w:ascii="Calibri"/>
                <w:color w:val="231F20"/>
                <w:sz w:val="20"/>
              </w:rPr>
              <w:t>year</w:t>
            </w:r>
            <w:r>
              <w:rPr>
                <w:rFonts w:ascii="Calibri"/>
                <w:color w:val="231F20"/>
                <w:spacing w:val="-2"/>
                <w:sz w:val="20"/>
              </w:rPr>
              <w:t> </w:t>
            </w:r>
            <w:r>
              <w:rPr>
                <w:rFonts w:ascii="Calibri"/>
                <w:color w:val="231F20"/>
                <w:sz w:val="20"/>
              </w:rPr>
              <w:t>and it was agreed by NMT in the previous audit that the first steps should be a risk</w:t>
            </w:r>
            <w:r>
              <w:rPr>
                <w:rFonts w:ascii="Calibri"/>
                <w:color w:val="231F20"/>
                <w:spacing w:val="-3"/>
                <w:sz w:val="20"/>
              </w:rPr>
              <w:t> </w:t>
            </w:r>
            <w:r>
              <w:rPr>
                <w:rFonts w:ascii="Calibri"/>
                <w:color w:val="231F20"/>
                <w:sz w:val="20"/>
              </w:rPr>
              <w:t>assessment</w:t>
            </w:r>
            <w:r>
              <w:rPr>
                <w:rFonts w:ascii="Calibri"/>
                <w:color w:val="231F20"/>
                <w:spacing w:val="-3"/>
                <w:sz w:val="20"/>
              </w:rPr>
              <w:t> </w:t>
            </w:r>
            <w:r>
              <w:rPr>
                <w:rFonts w:ascii="Calibri"/>
                <w:color w:val="231F20"/>
                <w:sz w:val="20"/>
              </w:rPr>
              <w:t>so</w:t>
            </w:r>
            <w:r>
              <w:rPr>
                <w:rFonts w:ascii="Calibri"/>
                <w:color w:val="231F20"/>
                <w:spacing w:val="-3"/>
                <w:sz w:val="20"/>
              </w:rPr>
              <w:t> </w:t>
            </w:r>
            <w:r>
              <w:rPr>
                <w:rFonts w:ascii="Calibri"/>
                <w:color w:val="231F20"/>
                <w:sz w:val="20"/>
              </w:rPr>
              <w:t>a</w:t>
            </w:r>
            <w:r>
              <w:rPr>
                <w:rFonts w:ascii="Calibri"/>
                <w:color w:val="231F20"/>
                <w:spacing w:val="-4"/>
                <w:sz w:val="20"/>
              </w:rPr>
              <w:t> </w:t>
            </w:r>
            <w:r>
              <w:rPr>
                <w:rFonts w:ascii="Calibri"/>
                <w:color w:val="231F20"/>
                <w:sz w:val="20"/>
              </w:rPr>
              <w:t>holistic</w:t>
            </w:r>
            <w:r>
              <w:rPr>
                <w:rFonts w:ascii="Calibri"/>
                <w:color w:val="231F20"/>
                <w:spacing w:val="-1"/>
                <w:sz w:val="20"/>
              </w:rPr>
              <w:t> </w:t>
            </w:r>
            <w:r>
              <w:rPr>
                <w:rFonts w:ascii="Calibri"/>
                <w:color w:val="231F20"/>
                <w:sz w:val="20"/>
              </w:rPr>
              <w:t>plan</w:t>
            </w:r>
            <w:r>
              <w:rPr>
                <w:rFonts w:ascii="Calibri"/>
                <w:color w:val="231F20"/>
                <w:spacing w:val="-3"/>
                <w:sz w:val="20"/>
              </w:rPr>
              <w:t> </w:t>
            </w:r>
            <w:r>
              <w:rPr>
                <w:rFonts w:ascii="Calibri"/>
                <w:color w:val="231F20"/>
                <w:sz w:val="20"/>
              </w:rPr>
              <w:t>could</w:t>
            </w:r>
            <w:r>
              <w:rPr>
                <w:rFonts w:ascii="Calibri"/>
                <w:color w:val="231F20"/>
                <w:spacing w:val="-4"/>
                <w:sz w:val="20"/>
              </w:rPr>
              <w:t> </w:t>
            </w:r>
            <w:r>
              <w:rPr>
                <w:rFonts w:ascii="Calibri"/>
                <w:color w:val="231F20"/>
                <w:sz w:val="20"/>
              </w:rPr>
              <w:t>be</w:t>
            </w:r>
            <w:r>
              <w:rPr>
                <w:rFonts w:ascii="Calibri"/>
                <w:color w:val="231F20"/>
                <w:spacing w:val="-4"/>
                <w:sz w:val="20"/>
              </w:rPr>
              <w:t> </w:t>
            </w:r>
            <w:r>
              <w:rPr>
                <w:rFonts w:ascii="Calibri"/>
                <w:color w:val="231F20"/>
                <w:sz w:val="20"/>
              </w:rPr>
              <w:t>put</w:t>
            </w:r>
            <w:r>
              <w:rPr>
                <w:rFonts w:ascii="Calibri"/>
                <w:color w:val="231F20"/>
                <w:spacing w:val="-3"/>
                <w:sz w:val="20"/>
              </w:rPr>
              <w:t> </w:t>
            </w:r>
            <w:r>
              <w:rPr>
                <w:rFonts w:ascii="Calibri"/>
                <w:color w:val="231F20"/>
                <w:sz w:val="20"/>
              </w:rPr>
              <w:t>in</w:t>
            </w:r>
            <w:r>
              <w:rPr>
                <w:rFonts w:ascii="Calibri"/>
                <w:color w:val="231F20"/>
                <w:spacing w:val="-4"/>
                <w:sz w:val="20"/>
              </w:rPr>
              <w:t> </w:t>
            </w:r>
            <w:r>
              <w:rPr>
                <w:rFonts w:ascii="Calibri"/>
                <w:color w:val="231F20"/>
                <w:sz w:val="20"/>
              </w:rPr>
              <w:t>place.</w:t>
            </w:r>
            <w:r>
              <w:rPr>
                <w:rFonts w:ascii="Calibri"/>
                <w:color w:val="231F20"/>
                <w:spacing w:val="-4"/>
                <w:sz w:val="20"/>
              </w:rPr>
              <w:t> </w:t>
            </w:r>
            <w:r>
              <w:rPr>
                <w:rFonts w:ascii="Calibri"/>
                <w:color w:val="231F20"/>
                <w:sz w:val="20"/>
              </w:rPr>
              <w:t>We</w:t>
            </w:r>
            <w:r>
              <w:rPr>
                <w:rFonts w:ascii="Calibri"/>
                <w:color w:val="231F20"/>
                <w:spacing w:val="-4"/>
                <w:sz w:val="20"/>
              </w:rPr>
              <w:t> </w:t>
            </w:r>
            <w:r>
              <w:rPr>
                <w:rFonts w:ascii="Calibri"/>
                <w:color w:val="231F20"/>
                <w:sz w:val="20"/>
              </w:rPr>
              <w:t>agreed</w:t>
            </w:r>
            <w:r>
              <w:rPr>
                <w:rFonts w:ascii="Calibri"/>
                <w:color w:val="231F20"/>
                <w:spacing w:val="-3"/>
                <w:sz w:val="20"/>
              </w:rPr>
              <w:t> </w:t>
            </w:r>
            <w:r>
              <w:rPr>
                <w:rFonts w:ascii="Calibri"/>
                <w:color w:val="231F20"/>
                <w:sz w:val="20"/>
              </w:rPr>
              <w:t>that</w:t>
            </w:r>
            <w:r>
              <w:rPr>
                <w:rFonts w:ascii="Calibri"/>
                <w:color w:val="231F20"/>
                <w:spacing w:val="-3"/>
                <w:sz w:val="20"/>
              </w:rPr>
              <w:t> </w:t>
            </w:r>
            <w:r>
              <w:rPr>
                <w:rFonts w:ascii="Calibri"/>
                <w:color w:val="231F20"/>
                <w:sz w:val="20"/>
              </w:rPr>
              <w:t>the</w:t>
            </w:r>
          </w:p>
          <w:p>
            <w:pPr>
              <w:pStyle w:val="TableParagraph"/>
              <w:spacing w:line="241" w:lineRule="exact"/>
              <w:ind w:left="107"/>
              <w:rPr>
                <w:rFonts w:ascii="Calibri"/>
                <w:sz w:val="20"/>
              </w:rPr>
            </w:pPr>
            <w:r>
              <w:rPr>
                <w:rFonts w:ascii="Calibri"/>
                <w:color w:val="231F20"/>
                <w:sz w:val="20"/>
              </w:rPr>
              <w:t>assessment</w:t>
            </w:r>
            <w:r>
              <w:rPr>
                <w:rFonts w:ascii="Calibri"/>
                <w:color w:val="231F20"/>
                <w:spacing w:val="-3"/>
                <w:sz w:val="20"/>
              </w:rPr>
              <w:t> </w:t>
            </w:r>
            <w:r>
              <w:rPr>
                <w:rFonts w:ascii="Calibri"/>
                <w:color w:val="231F20"/>
                <w:sz w:val="20"/>
              </w:rPr>
              <w:t>would</w:t>
            </w:r>
            <w:r>
              <w:rPr>
                <w:rFonts w:ascii="Calibri"/>
                <w:color w:val="231F20"/>
                <w:spacing w:val="-3"/>
                <w:sz w:val="20"/>
              </w:rPr>
              <w:t> </w:t>
            </w:r>
            <w:r>
              <w:rPr>
                <w:rFonts w:ascii="Calibri"/>
                <w:color w:val="231F20"/>
                <w:sz w:val="20"/>
              </w:rPr>
              <w:t>be</w:t>
            </w:r>
            <w:r>
              <w:rPr>
                <w:rFonts w:ascii="Calibri"/>
                <w:color w:val="231F20"/>
                <w:spacing w:val="-2"/>
                <w:sz w:val="20"/>
              </w:rPr>
              <w:t> </w:t>
            </w:r>
            <w:r>
              <w:rPr>
                <w:rFonts w:ascii="Calibri"/>
                <w:color w:val="231F20"/>
                <w:sz w:val="20"/>
              </w:rPr>
              <w:t>completed</w:t>
            </w:r>
            <w:r>
              <w:rPr>
                <w:rFonts w:ascii="Calibri"/>
                <w:color w:val="231F20"/>
                <w:spacing w:val="-3"/>
                <w:sz w:val="20"/>
              </w:rPr>
              <w:t> </w:t>
            </w:r>
            <w:r>
              <w:rPr>
                <w:rFonts w:ascii="Calibri"/>
                <w:color w:val="231F20"/>
                <w:sz w:val="20"/>
              </w:rPr>
              <w:t>by</w:t>
            </w:r>
            <w:r>
              <w:rPr>
                <w:rFonts w:ascii="Calibri"/>
                <w:color w:val="231F20"/>
                <w:spacing w:val="-2"/>
                <w:sz w:val="20"/>
              </w:rPr>
              <w:t> </w:t>
            </w:r>
            <w:r>
              <w:rPr>
                <w:rFonts w:ascii="Calibri"/>
                <w:color w:val="231F20"/>
                <w:sz w:val="20"/>
              </w:rPr>
              <w:t>December</w:t>
            </w:r>
            <w:r>
              <w:rPr>
                <w:rFonts w:ascii="Calibri"/>
                <w:color w:val="231F20"/>
                <w:spacing w:val="-2"/>
                <w:sz w:val="20"/>
              </w:rPr>
              <w:t> </w:t>
            </w:r>
            <w:r>
              <w:rPr>
                <w:rFonts w:ascii="Calibri"/>
                <w:color w:val="231F20"/>
                <w:sz w:val="20"/>
              </w:rPr>
              <w:t>2022</w:t>
            </w:r>
            <w:r>
              <w:rPr>
                <w:rFonts w:ascii="Calibri"/>
                <w:color w:val="231F20"/>
                <w:spacing w:val="-3"/>
                <w:sz w:val="20"/>
              </w:rPr>
              <w:t> </w:t>
            </w:r>
            <w:r>
              <w:rPr>
                <w:rFonts w:ascii="Calibri"/>
                <w:color w:val="231F20"/>
                <w:sz w:val="20"/>
              </w:rPr>
              <w:t>and</w:t>
            </w:r>
            <w:r>
              <w:rPr>
                <w:rFonts w:ascii="Calibri"/>
                <w:color w:val="231F20"/>
                <w:spacing w:val="-3"/>
                <w:sz w:val="20"/>
              </w:rPr>
              <w:t> </w:t>
            </w:r>
            <w:r>
              <w:rPr>
                <w:rFonts w:ascii="Calibri"/>
                <w:color w:val="231F20"/>
                <w:sz w:val="20"/>
              </w:rPr>
              <w:t>is</w:t>
            </w:r>
            <w:r>
              <w:rPr>
                <w:rFonts w:ascii="Calibri"/>
                <w:color w:val="231F20"/>
                <w:spacing w:val="-2"/>
                <w:sz w:val="20"/>
              </w:rPr>
              <w:t> </w:t>
            </w:r>
            <w:r>
              <w:rPr>
                <w:rFonts w:ascii="Calibri"/>
                <w:color w:val="231F20"/>
                <w:sz w:val="20"/>
              </w:rPr>
              <w:t>on</w:t>
            </w:r>
            <w:r>
              <w:rPr>
                <w:rFonts w:ascii="Calibri"/>
                <w:color w:val="231F20"/>
                <w:spacing w:val="-1"/>
                <w:sz w:val="20"/>
              </w:rPr>
              <w:t> </w:t>
            </w:r>
            <w:r>
              <w:rPr>
                <w:rFonts w:ascii="Calibri"/>
                <w:color w:val="231F20"/>
                <w:sz w:val="20"/>
              </w:rPr>
              <w:t>track</w:t>
            </w:r>
            <w:r>
              <w:rPr>
                <w:rFonts w:ascii="Calibri"/>
                <w:color w:val="231F20"/>
                <w:spacing w:val="-2"/>
                <w:sz w:val="20"/>
              </w:rPr>
              <w:t> </w:t>
            </w:r>
            <w:r>
              <w:rPr>
                <w:rFonts w:ascii="Calibri"/>
                <w:color w:val="231F20"/>
                <w:sz w:val="20"/>
              </w:rPr>
              <w:t>for</w:t>
            </w:r>
            <w:r>
              <w:rPr>
                <w:rFonts w:ascii="Calibri"/>
                <w:color w:val="231F20"/>
                <w:spacing w:val="-2"/>
                <w:sz w:val="20"/>
              </w:rPr>
              <w:t> </w:t>
            </w:r>
            <w:r>
              <w:rPr>
                <w:rFonts w:ascii="Calibri"/>
                <w:color w:val="231F20"/>
                <w:spacing w:val="-4"/>
                <w:sz w:val="20"/>
              </w:rPr>
              <w:t>that</w:t>
            </w:r>
          </w:p>
        </w:tc>
        <w:tc>
          <w:tcPr>
            <w:tcW w:w="1619" w:type="dxa"/>
          </w:tcPr>
          <w:p>
            <w:pPr>
              <w:pStyle w:val="TableParagraph"/>
              <w:spacing w:line="243" w:lineRule="exact"/>
              <w:ind w:left="108"/>
              <w:rPr>
                <w:rFonts w:ascii="Calibri"/>
                <w:sz w:val="20"/>
              </w:rPr>
            </w:pPr>
            <w:r>
              <w:rPr>
                <w:rFonts w:ascii="Calibri"/>
                <w:color w:val="231F20"/>
                <w:sz w:val="20"/>
              </w:rPr>
              <w:t>October</w:t>
            </w:r>
            <w:r>
              <w:rPr>
                <w:rFonts w:ascii="Calibri"/>
                <w:color w:val="231F20"/>
                <w:spacing w:val="-3"/>
                <w:sz w:val="20"/>
              </w:rPr>
              <w:t> </w:t>
            </w:r>
            <w:r>
              <w:rPr>
                <w:rFonts w:ascii="Calibri"/>
                <w:color w:val="231F20"/>
                <w:spacing w:val="-5"/>
                <w:sz w:val="20"/>
              </w:rPr>
              <w:t>31,</w:t>
            </w:r>
          </w:p>
          <w:p>
            <w:pPr>
              <w:pStyle w:val="TableParagraph"/>
              <w:ind w:left="108"/>
              <w:rPr>
                <w:rFonts w:ascii="Calibri"/>
                <w:sz w:val="20"/>
              </w:rPr>
            </w:pPr>
            <w:r>
              <w:rPr>
                <w:rFonts w:ascii="Calibri"/>
                <w:color w:val="231F20"/>
                <w:spacing w:val="-4"/>
                <w:sz w:val="20"/>
              </w:rPr>
              <w:t>2023</w:t>
            </w:r>
          </w:p>
        </w:tc>
        <w:tc>
          <w:tcPr>
            <w:tcW w:w="1723" w:type="dxa"/>
          </w:tcPr>
          <w:p>
            <w:pPr>
              <w:pStyle w:val="TableParagraph"/>
              <w:ind w:left="108" w:right="215"/>
              <w:rPr>
                <w:rFonts w:ascii="Calibri"/>
                <w:sz w:val="20"/>
              </w:rPr>
            </w:pPr>
            <w:r>
              <w:rPr>
                <w:rFonts w:ascii="Calibri"/>
                <w:color w:val="231F20"/>
                <w:sz w:val="20"/>
              </w:rPr>
              <w:t>Director of </w:t>
            </w:r>
            <w:r>
              <w:rPr>
                <w:rFonts w:ascii="Calibri"/>
                <w:color w:val="231F20"/>
                <w:spacing w:val="-2"/>
                <w:sz w:val="20"/>
              </w:rPr>
              <w:t>Information </w:t>
            </w:r>
            <w:r>
              <w:rPr>
                <w:rFonts w:ascii="Calibri"/>
                <w:color w:val="231F20"/>
                <w:sz w:val="20"/>
              </w:rPr>
              <w:t>Technology and </w:t>
            </w:r>
            <w:r>
              <w:rPr>
                <w:rFonts w:ascii="Calibri"/>
                <w:color w:val="231F20"/>
                <w:spacing w:val="-2"/>
                <w:sz w:val="20"/>
              </w:rPr>
              <w:t>Communications</w:t>
            </w:r>
          </w:p>
        </w:tc>
      </w:tr>
    </w:tbl>
    <w:p>
      <w:pPr>
        <w:spacing w:after="0"/>
        <w:rPr>
          <w:rFonts w:ascii="Calibri"/>
          <w:sz w:val="20"/>
        </w:rPr>
        <w:sectPr>
          <w:headerReference w:type="default" r:id="rId93"/>
          <w:footerReference w:type="default" r:id="rId94"/>
          <w:pgSz w:w="12240" w:h="15840"/>
          <w:pgMar w:header="0" w:footer="768" w:top="720" w:bottom="960" w:left="540" w:right="500"/>
        </w:sect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77"/>
        <w:gridCol w:w="6361"/>
        <w:gridCol w:w="1619"/>
        <w:gridCol w:w="1723"/>
      </w:tblGrid>
      <w:tr>
        <w:trPr>
          <w:trHeight w:val="5493" w:hRule="atLeast"/>
        </w:trPr>
        <w:tc>
          <w:tcPr>
            <w:tcW w:w="1277" w:type="dxa"/>
          </w:tcPr>
          <w:p>
            <w:pPr>
              <w:pStyle w:val="TableParagraph"/>
              <w:rPr>
                <w:rFonts w:ascii="Times New Roman"/>
                <w:sz w:val="20"/>
              </w:rPr>
            </w:pPr>
          </w:p>
        </w:tc>
        <w:tc>
          <w:tcPr>
            <w:tcW w:w="6361" w:type="dxa"/>
          </w:tcPr>
          <w:p>
            <w:pPr>
              <w:pStyle w:val="TableParagraph"/>
              <w:spacing w:line="271" w:lineRule="auto"/>
              <w:ind w:left="107"/>
              <w:rPr>
                <w:rFonts w:ascii="Calibri"/>
                <w:sz w:val="20"/>
              </w:rPr>
            </w:pPr>
            <w:r>
              <w:rPr>
                <w:rFonts w:ascii="Calibri"/>
                <w:color w:val="231F20"/>
                <w:sz w:val="20"/>
              </w:rPr>
              <w:t>completion date. Once the assessment is completed, a technical fit evaluation</w:t>
            </w:r>
            <w:r>
              <w:rPr>
                <w:rFonts w:ascii="Calibri"/>
                <w:color w:val="231F20"/>
                <w:spacing w:val="-4"/>
                <w:sz w:val="20"/>
              </w:rPr>
              <w:t> </w:t>
            </w:r>
            <w:r>
              <w:rPr>
                <w:rFonts w:ascii="Calibri"/>
                <w:color w:val="231F20"/>
                <w:sz w:val="20"/>
              </w:rPr>
              <w:t>will</w:t>
            </w:r>
            <w:r>
              <w:rPr>
                <w:rFonts w:ascii="Calibri"/>
                <w:color w:val="231F20"/>
                <w:spacing w:val="-5"/>
                <w:sz w:val="20"/>
              </w:rPr>
              <w:t> </w:t>
            </w:r>
            <w:r>
              <w:rPr>
                <w:rFonts w:ascii="Calibri"/>
                <w:color w:val="231F20"/>
                <w:sz w:val="20"/>
              </w:rPr>
              <w:t>be</w:t>
            </w:r>
            <w:r>
              <w:rPr>
                <w:rFonts w:ascii="Calibri"/>
                <w:color w:val="231F20"/>
                <w:spacing w:val="-4"/>
                <w:sz w:val="20"/>
              </w:rPr>
              <w:t> </w:t>
            </w:r>
            <w:r>
              <w:rPr>
                <w:rFonts w:ascii="Calibri"/>
                <w:color w:val="231F20"/>
                <w:sz w:val="20"/>
              </w:rPr>
              <w:t>performed</w:t>
            </w:r>
            <w:r>
              <w:rPr>
                <w:rFonts w:ascii="Calibri"/>
                <w:color w:val="231F20"/>
                <w:spacing w:val="-5"/>
                <w:sz w:val="20"/>
              </w:rPr>
              <w:t> </w:t>
            </w:r>
            <w:r>
              <w:rPr>
                <w:rFonts w:ascii="Calibri"/>
                <w:color w:val="231F20"/>
                <w:sz w:val="20"/>
              </w:rPr>
              <w:t>to</w:t>
            </w:r>
            <w:r>
              <w:rPr>
                <w:rFonts w:ascii="Calibri"/>
                <w:color w:val="231F20"/>
                <w:spacing w:val="-4"/>
                <w:sz w:val="20"/>
              </w:rPr>
              <w:t> </w:t>
            </w:r>
            <w:r>
              <w:rPr>
                <w:rFonts w:ascii="Calibri"/>
                <w:color w:val="231F20"/>
                <w:sz w:val="20"/>
              </w:rPr>
              <w:t>provide</w:t>
            </w:r>
            <w:r>
              <w:rPr>
                <w:rFonts w:ascii="Calibri"/>
                <w:color w:val="231F20"/>
                <w:spacing w:val="-5"/>
                <w:sz w:val="20"/>
              </w:rPr>
              <w:t> </w:t>
            </w:r>
            <w:r>
              <w:rPr>
                <w:rFonts w:ascii="Calibri"/>
                <w:color w:val="231F20"/>
                <w:sz w:val="20"/>
              </w:rPr>
              <w:t>the</w:t>
            </w:r>
            <w:r>
              <w:rPr>
                <w:rFonts w:ascii="Calibri"/>
                <w:color w:val="231F20"/>
                <w:spacing w:val="-5"/>
                <w:sz w:val="20"/>
              </w:rPr>
              <w:t> </w:t>
            </w:r>
            <w:r>
              <w:rPr>
                <w:rFonts w:ascii="Calibri"/>
                <w:color w:val="231F20"/>
                <w:sz w:val="20"/>
              </w:rPr>
              <w:t>most</w:t>
            </w:r>
            <w:r>
              <w:rPr>
                <w:rFonts w:ascii="Calibri"/>
                <w:color w:val="231F20"/>
                <w:spacing w:val="-4"/>
                <w:sz w:val="20"/>
              </w:rPr>
              <w:t> </w:t>
            </w:r>
            <w:r>
              <w:rPr>
                <w:rFonts w:ascii="Calibri"/>
                <w:color w:val="231F20"/>
                <w:sz w:val="20"/>
              </w:rPr>
              <w:t>appropriate</w:t>
            </w:r>
            <w:r>
              <w:rPr>
                <w:rFonts w:ascii="Calibri"/>
                <w:color w:val="231F20"/>
                <w:spacing w:val="-4"/>
                <w:sz w:val="20"/>
              </w:rPr>
              <w:t> </w:t>
            </w:r>
            <w:r>
              <w:rPr>
                <w:rFonts w:ascii="Calibri"/>
                <w:color w:val="231F20"/>
                <w:sz w:val="20"/>
              </w:rPr>
              <w:t>technical solutions to fit the overall needs based on the assessment </w:t>
            </w:r>
            <w:r>
              <w:rPr>
                <w:rFonts w:ascii="Calibri"/>
                <w:color w:val="231F20"/>
                <w:spacing w:val="-2"/>
                <w:sz w:val="20"/>
              </w:rPr>
              <w:t>findings/determinations.</w:t>
            </w:r>
          </w:p>
          <w:p>
            <w:pPr>
              <w:pStyle w:val="TableParagraph"/>
              <w:spacing w:before="2"/>
              <w:rPr>
                <w:rFonts w:ascii="Calibri"/>
                <w:b/>
                <w:sz w:val="22"/>
              </w:rPr>
            </w:pPr>
          </w:p>
          <w:p>
            <w:pPr>
              <w:pStyle w:val="TableParagraph"/>
              <w:spacing w:line="271" w:lineRule="auto"/>
              <w:ind w:left="107"/>
              <w:rPr>
                <w:rFonts w:ascii="Calibri"/>
                <w:sz w:val="20"/>
              </w:rPr>
            </w:pPr>
            <w:r>
              <w:rPr>
                <w:rFonts w:ascii="Calibri"/>
                <w:color w:val="231F20"/>
                <w:sz w:val="20"/>
              </w:rPr>
              <w:t>A cyber security policy framework (which includes the program and governing</w:t>
            </w:r>
            <w:r>
              <w:rPr>
                <w:rFonts w:ascii="Calibri"/>
                <w:color w:val="231F20"/>
                <w:spacing w:val="-3"/>
                <w:sz w:val="20"/>
              </w:rPr>
              <w:t> </w:t>
            </w:r>
            <w:r>
              <w:rPr>
                <w:rFonts w:ascii="Calibri"/>
                <w:color w:val="231F20"/>
                <w:sz w:val="20"/>
              </w:rPr>
              <w:t>documentation)</w:t>
            </w:r>
            <w:r>
              <w:rPr>
                <w:rFonts w:ascii="Calibri"/>
                <w:color w:val="231F20"/>
                <w:spacing w:val="-3"/>
                <w:sz w:val="20"/>
              </w:rPr>
              <w:t> </w:t>
            </w:r>
            <w:r>
              <w:rPr>
                <w:rFonts w:ascii="Calibri"/>
                <w:color w:val="231F20"/>
                <w:sz w:val="20"/>
              </w:rPr>
              <w:t>is</w:t>
            </w:r>
            <w:r>
              <w:rPr>
                <w:rFonts w:ascii="Calibri"/>
                <w:color w:val="231F20"/>
                <w:spacing w:val="-5"/>
                <w:sz w:val="20"/>
              </w:rPr>
              <w:t> </w:t>
            </w:r>
            <w:r>
              <w:rPr>
                <w:rFonts w:ascii="Calibri"/>
                <w:color w:val="231F20"/>
                <w:sz w:val="20"/>
              </w:rPr>
              <w:t>over</w:t>
            </w:r>
            <w:r>
              <w:rPr>
                <w:rFonts w:ascii="Calibri"/>
                <w:color w:val="231F20"/>
                <w:spacing w:val="-4"/>
                <w:sz w:val="20"/>
              </w:rPr>
              <w:t> </w:t>
            </w:r>
            <w:r>
              <w:rPr>
                <w:rFonts w:ascii="Calibri"/>
                <w:color w:val="231F20"/>
                <w:sz w:val="20"/>
              </w:rPr>
              <w:t>50%</w:t>
            </w:r>
            <w:r>
              <w:rPr>
                <w:rFonts w:ascii="Calibri"/>
                <w:color w:val="231F20"/>
                <w:spacing w:val="-4"/>
                <w:sz w:val="20"/>
              </w:rPr>
              <w:t> </w:t>
            </w:r>
            <w:r>
              <w:rPr>
                <w:rFonts w:ascii="Calibri"/>
                <w:color w:val="231F20"/>
                <w:sz w:val="20"/>
              </w:rPr>
              <w:t>completed</w:t>
            </w:r>
            <w:r>
              <w:rPr>
                <w:rFonts w:ascii="Calibri"/>
                <w:color w:val="231F20"/>
                <w:spacing w:val="-4"/>
                <w:sz w:val="20"/>
              </w:rPr>
              <w:t> </w:t>
            </w:r>
            <w:r>
              <w:rPr>
                <w:rFonts w:ascii="Calibri"/>
                <w:color w:val="231F20"/>
                <w:sz w:val="20"/>
              </w:rPr>
              <w:t>and</w:t>
            </w:r>
            <w:r>
              <w:rPr>
                <w:rFonts w:ascii="Calibri"/>
                <w:color w:val="231F20"/>
                <w:spacing w:val="-5"/>
                <w:sz w:val="20"/>
              </w:rPr>
              <w:t> </w:t>
            </w:r>
            <w:r>
              <w:rPr>
                <w:rFonts w:ascii="Calibri"/>
                <w:color w:val="231F20"/>
                <w:sz w:val="20"/>
              </w:rPr>
              <w:t>will</w:t>
            </w:r>
            <w:r>
              <w:rPr>
                <w:rFonts w:ascii="Calibri"/>
                <w:color w:val="231F20"/>
                <w:spacing w:val="-4"/>
                <w:sz w:val="20"/>
              </w:rPr>
              <w:t> </w:t>
            </w:r>
            <w:r>
              <w:rPr>
                <w:rFonts w:ascii="Calibri"/>
                <w:color w:val="231F20"/>
                <w:sz w:val="20"/>
              </w:rPr>
              <w:t>be</w:t>
            </w:r>
            <w:r>
              <w:rPr>
                <w:rFonts w:ascii="Calibri"/>
                <w:color w:val="231F20"/>
                <w:spacing w:val="-4"/>
                <w:sz w:val="20"/>
              </w:rPr>
              <w:t> </w:t>
            </w:r>
            <w:r>
              <w:rPr>
                <w:rFonts w:ascii="Calibri"/>
                <w:color w:val="231F20"/>
                <w:sz w:val="20"/>
              </w:rPr>
              <w:t>ready</w:t>
            </w:r>
            <w:r>
              <w:rPr>
                <w:rFonts w:ascii="Calibri"/>
                <w:color w:val="231F20"/>
                <w:spacing w:val="-5"/>
                <w:sz w:val="20"/>
              </w:rPr>
              <w:t> </w:t>
            </w:r>
            <w:r>
              <w:rPr>
                <w:rFonts w:ascii="Calibri"/>
                <w:color w:val="231F20"/>
                <w:sz w:val="20"/>
              </w:rPr>
              <w:t>to present to the administration early 2023.</w:t>
            </w:r>
          </w:p>
          <w:p>
            <w:pPr>
              <w:pStyle w:val="TableParagraph"/>
              <w:spacing w:before="1"/>
              <w:rPr>
                <w:rFonts w:ascii="Calibri"/>
                <w:b/>
                <w:sz w:val="22"/>
              </w:rPr>
            </w:pPr>
          </w:p>
          <w:p>
            <w:pPr>
              <w:pStyle w:val="TableParagraph"/>
              <w:spacing w:line="271" w:lineRule="auto" w:before="1"/>
              <w:ind w:left="107" w:right="130"/>
              <w:rPr>
                <w:rFonts w:ascii="Calibri"/>
                <w:sz w:val="20"/>
              </w:rPr>
            </w:pPr>
            <w:r>
              <w:rPr>
                <w:rFonts w:ascii="Calibri"/>
                <w:color w:val="231F20"/>
                <w:sz w:val="20"/>
              </w:rPr>
              <w:t>An Information Security Officer (ISO) has been hired and is leading the above activities. Also, as part of the initial discovery phase the ISO has performed</w:t>
            </w:r>
            <w:r>
              <w:rPr>
                <w:rFonts w:ascii="Calibri"/>
                <w:color w:val="231F20"/>
                <w:spacing w:val="-5"/>
                <w:sz w:val="20"/>
              </w:rPr>
              <w:t> </w:t>
            </w:r>
            <w:r>
              <w:rPr>
                <w:rFonts w:ascii="Calibri"/>
                <w:color w:val="231F20"/>
                <w:sz w:val="20"/>
              </w:rPr>
              <w:t>an</w:t>
            </w:r>
            <w:r>
              <w:rPr>
                <w:rFonts w:ascii="Calibri"/>
                <w:color w:val="231F20"/>
                <w:spacing w:val="-5"/>
                <w:sz w:val="20"/>
              </w:rPr>
              <w:t> </w:t>
            </w:r>
            <w:r>
              <w:rPr>
                <w:rFonts w:ascii="Calibri"/>
                <w:color w:val="231F20"/>
                <w:sz w:val="20"/>
              </w:rPr>
              <w:t>initial</w:t>
            </w:r>
            <w:r>
              <w:rPr>
                <w:rFonts w:ascii="Calibri"/>
                <w:color w:val="231F20"/>
                <w:spacing w:val="-5"/>
                <w:sz w:val="20"/>
              </w:rPr>
              <w:t> </w:t>
            </w:r>
            <w:r>
              <w:rPr>
                <w:rFonts w:ascii="Calibri"/>
                <w:color w:val="231F20"/>
                <w:sz w:val="20"/>
              </w:rPr>
              <w:t>gap-assessment</w:t>
            </w:r>
            <w:r>
              <w:rPr>
                <w:rFonts w:ascii="Calibri"/>
                <w:color w:val="231F20"/>
                <w:spacing w:val="-5"/>
                <w:sz w:val="20"/>
              </w:rPr>
              <w:t> </w:t>
            </w:r>
            <w:r>
              <w:rPr>
                <w:rFonts w:ascii="Calibri"/>
                <w:color w:val="231F20"/>
                <w:sz w:val="20"/>
              </w:rPr>
              <w:t>to</w:t>
            </w:r>
            <w:r>
              <w:rPr>
                <w:rFonts w:ascii="Calibri"/>
                <w:color w:val="231F20"/>
                <w:spacing w:val="-5"/>
                <w:sz w:val="20"/>
              </w:rPr>
              <w:t> </w:t>
            </w:r>
            <w:r>
              <w:rPr>
                <w:rFonts w:ascii="Calibri"/>
                <w:color w:val="231F20"/>
                <w:sz w:val="20"/>
              </w:rPr>
              <w:t>identify</w:t>
            </w:r>
            <w:r>
              <w:rPr>
                <w:rFonts w:ascii="Calibri"/>
                <w:color w:val="231F20"/>
                <w:spacing w:val="-5"/>
                <w:sz w:val="20"/>
              </w:rPr>
              <w:t> </w:t>
            </w:r>
            <w:r>
              <w:rPr>
                <w:rFonts w:ascii="Calibri"/>
                <w:color w:val="231F20"/>
                <w:sz w:val="20"/>
              </w:rPr>
              <w:t>critical</w:t>
            </w:r>
            <w:r>
              <w:rPr>
                <w:rFonts w:ascii="Calibri"/>
                <w:color w:val="231F20"/>
                <w:spacing w:val="-5"/>
                <w:sz w:val="20"/>
              </w:rPr>
              <w:t> </w:t>
            </w:r>
            <w:r>
              <w:rPr>
                <w:rFonts w:ascii="Calibri"/>
                <w:color w:val="231F20"/>
                <w:sz w:val="20"/>
              </w:rPr>
              <w:t>missing</w:t>
            </w:r>
            <w:r>
              <w:rPr>
                <w:rFonts w:ascii="Calibri"/>
                <w:color w:val="231F20"/>
                <w:spacing w:val="-4"/>
                <w:sz w:val="20"/>
              </w:rPr>
              <w:t> </w:t>
            </w:r>
            <w:r>
              <w:rPr>
                <w:rFonts w:ascii="Calibri"/>
                <w:color w:val="231F20"/>
                <w:sz w:val="20"/>
              </w:rPr>
              <w:t>controls.</w:t>
            </w:r>
          </w:p>
          <w:p>
            <w:pPr>
              <w:pStyle w:val="TableParagraph"/>
              <w:spacing w:before="2"/>
              <w:rPr>
                <w:rFonts w:ascii="Calibri"/>
                <w:b/>
                <w:sz w:val="22"/>
              </w:rPr>
            </w:pPr>
          </w:p>
          <w:p>
            <w:pPr>
              <w:pStyle w:val="TableParagraph"/>
              <w:spacing w:line="271" w:lineRule="auto" w:before="1"/>
              <w:ind w:left="107"/>
              <w:rPr>
                <w:rFonts w:ascii="Calibri"/>
                <w:sz w:val="20"/>
              </w:rPr>
            </w:pPr>
            <w:r>
              <w:rPr>
                <w:rFonts w:ascii="Calibri"/>
                <w:color w:val="231F20"/>
                <w:sz w:val="20"/>
              </w:rPr>
              <w:t>We</w:t>
            </w:r>
            <w:r>
              <w:rPr>
                <w:rFonts w:ascii="Calibri"/>
                <w:color w:val="231F20"/>
                <w:spacing w:val="-4"/>
                <w:sz w:val="20"/>
              </w:rPr>
              <w:t> </w:t>
            </w:r>
            <w:r>
              <w:rPr>
                <w:rFonts w:ascii="Calibri"/>
                <w:color w:val="231F20"/>
                <w:sz w:val="20"/>
              </w:rPr>
              <w:t>have</w:t>
            </w:r>
            <w:r>
              <w:rPr>
                <w:rFonts w:ascii="Calibri"/>
                <w:color w:val="231F20"/>
                <w:spacing w:val="-3"/>
                <w:sz w:val="20"/>
              </w:rPr>
              <w:t> </w:t>
            </w:r>
            <w:r>
              <w:rPr>
                <w:rFonts w:ascii="Calibri"/>
                <w:color w:val="231F20"/>
                <w:sz w:val="20"/>
              </w:rPr>
              <w:t>also</w:t>
            </w:r>
            <w:r>
              <w:rPr>
                <w:rFonts w:ascii="Calibri"/>
                <w:color w:val="231F20"/>
                <w:spacing w:val="-4"/>
                <w:sz w:val="20"/>
              </w:rPr>
              <w:t> </w:t>
            </w:r>
            <w:r>
              <w:rPr>
                <w:rFonts w:ascii="Calibri"/>
                <w:color w:val="231F20"/>
                <w:sz w:val="20"/>
              </w:rPr>
              <w:t>upgraded</w:t>
            </w:r>
            <w:r>
              <w:rPr>
                <w:rFonts w:ascii="Calibri"/>
                <w:color w:val="231F20"/>
                <w:spacing w:val="-4"/>
                <w:sz w:val="20"/>
              </w:rPr>
              <w:t> </w:t>
            </w:r>
            <w:r>
              <w:rPr>
                <w:rFonts w:ascii="Calibri"/>
                <w:color w:val="231F20"/>
                <w:sz w:val="20"/>
              </w:rPr>
              <w:t>our</w:t>
            </w:r>
            <w:r>
              <w:rPr>
                <w:rFonts w:ascii="Calibri"/>
                <w:color w:val="231F20"/>
                <w:spacing w:val="-6"/>
                <w:sz w:val="20"/>
              </w:rPr>
              <w:t> </w:t>
            </w:r>
            <w:r>
              <w:rPr>
                <w:rFonts w:ascii="Calibri"/>
                <w:color w:val="231F20"/>
                <w:sz w:val="20"/>
              </w:rPr>
              <w:t>Microsoft</w:t>
            </w:r>
            <w:r>
              <w:rPr>
                <w:rFonts w:ascii="Calibri"/>
                <w:color w:val="231F20"/>
                <w:spacing w:val="-3"/>
                <w:sz w:val="20"/>
              </w:rPr>
              <w:t> </w:t>
            </w:r>
            <w:r>
              <w:rPr>
                <w:rFonts w:ascii="Calibri"/>
                <w:color w:val="231F20"/>
                <w:sz w:val="20"/>
              </w:rPr>
              <w:t>environment</w:t>
            </w:r>
            <w:r>
              <w:rPr>
                <w:rFonts w:ascii="Calibri"/>
                <w:color w:val="231F20"/>
                <w:spacing w:val="-3"/>
                <w:sz w:val="20"/>
              </w:rPr>
              <w:t> </w:t>
            </w:r>
            <w:r>
              <w:rPr>
                <w:rFonts w:ascii="Calibri"/>
                <w:color w:val="231F20"/>
                <w:sz w:val="20"/>
              </w:rPr>
              <w:t>from</w:t>
            </w:r>
            <w:r>
              <w:rPr>
                <w:rFonts w:ascii="Calibri"/>
                <w:color w:val="231F20"/>
                <w:spacing w:val="-6"/>
                <w:sz w:val="20"/>
              </w:rPr>
              <w:t> </w:t>
            </w:r>
            <w:r>
              <w:rPr>
                <w:rFonts w:ascii="Calibri"/>
                <w:color w:val="231F20"/>
                <w:sz w:val="20"/>
              </w:rPr>
              <w:t>A3</w:t>
            </w:r>
            <w:r>
              <w:rPr>
                <w:rFonts w:ascii="Calibri"/>
                <w:color w:val="231F20"/>
                <w:spacing w:val="-4"/>
                <w:sz w:val="20"/>
              </w:rPr>
              <w:t> </w:t>
            </w:r>
            <w:r>
              <w:rPr>
                <w:rFonts w:ascii="Calibri"/>
                <w:color w:val="231F20"/>
                <w:sz w:val="20"/>
              </w:rPr>
              <w:t>to</w:t>
            </w:r>
            <w:r>
              <w:rPr>
                <w:rFonts w:ascii="Calibri"/>
                <w:color w:val="231F20"/>
                <w:spacing w:val="-3"/>
                <w:sz w:val="20"/>
              </w:rPr>
              <w:t> </w:t>
            </w:r>
            <w:r>
              <w:rPr>
                <w:rFonts w:ascii="Calibri"/>
                <w:color w:val="231F20"/>
                <w:sz w:val="20"/>
              </w:rPr>
              <w:t>the</w:t>
            </w:r>
            <w:r>
              <w:rPr>
                <w:rFonts w:ascii="Calibri"/>
                <w:color w:val="231F20"/>
                <w:spacing w:val="-3"/>
                <w:sz w:val="20"/>
              </w:rPr>
              <w:t> </w:t>
            </w:r>
            <w:r>
              <w:rPr>
                <w:rFonts w:ascii="Calibri"/>
                <w:color w:val="231F20"/>
                <w:sz w:val="20"/>
              </w:rPr>
              <w:t>more secure A5. We have also upgraded Google Suite services to include the advanced security tools.</w:t>
            </w:r>
          </w:p>
          <w:p>
            <w:pPr>
              <w:pStyle w:val="TableParagraph"/>
              <w:rPr>
                <w:rFonts w:ascii="Calibri"/>
                <w:b/>
                <w:sz w:val="20"/>
              </w:rPr>
            </w:pPr>
          </w:p>
          <w:p>
            <w:pPr>
              <w:pStyle w:val="TableParagraph"/>
              <w:spacing w:line="270" w:lineRule="atLeast"/>
              <w:ind w:left="107" w:right="376"/>
              <w:jc w:val="both"/>
              <w:rPr>
                <w:rFonts w:ascii="Calibri"/>
                <w:sz w:val="20"/>
              </w:rPr>
            </w:pPr>
            <w:r>
              <w:rPr>
                <w:rFonts w:ascii="Calibri"/>
                <w:color w:val="231F20"/>
                <w:sz w:val="20"/>
              </w:rPr>
              <w:t>We</w:t>
            </w:r>
            <w:r>
              <w:rPr>
                <w:rFonts w:ascii="Calibri"/>
                <w:color w:val="231F20"/>
                <w:spacing w:val="-2"/>
                <w:sz w:val="20"/>
              </w:rPr>
              <w:t> </w:t>
            </w:r>
            <w:r>
              <w:rPr>
                <w:rFonts w:ascii="Calibri"/>
                <w:color w:val="231F20"/>
                <w:sz w:val="20"/>
              </w:rPr>
              <w:t>have</w:t>
            </w:r>
            <w:r>
              <w:rPr>
                <w:rFonts w:ascii="Calibri"/>
                <w:color w:val="231F20"/>
                <w:spacing w:val="-1"/>
                <w:sz w:val="20"/>
              </w:rPr>
              <w:t> </w:t>
            </w:r>
            <w:r>
              <w:rPr>
                <w:rFonts w:ascii="Calibri"/>
                <w:color w:val="231F20"/>
                <w:sz w:val="20"/>
              </w:rPr>
              <w:t>successfully obtained</w:t>
            </w:r>
            <w:r>
              <w:rPr>
                <w:rFonts w:ascii="Calibri"/>
                <w:color w:val="231F20"/>
                <w:spacing w:val="-1"/>
                <w:sz w:val="20"/>
              </w:rPr>
              <w:t> </w:t>
            </w:r>
            <w:r>
              <w:rPr>
                <w:rFonts w:ascii="Calibri"/>
                <w:color w:val="231F20"/>
                <w:sz w:val="20"/>
              </w:rPr>
              <w:t>some</w:t>
            </w:r>
            <w:r>
              <w:rPr>
                <w:rFonts w:ascii="Calibri"/>
                <w:color w:val="231F20"/>
                <w:spacing w:val="-1"/>
                <w:sz w:val="20"/>
              </w:rPr>
              <w:t> </w:t>
            </w:r>
            <w:r>
              <w:rPr>
                <w:rFonts w:ascii="Calibri"/>
                <w:color w:val="231F20"/>
                <w:sz w:val="20"/>
              </w:rPr>
              <w:t>of</w:t>
            </w:r>
            <w:r>
              <w:rPr>
                <w:rFonts w:ascii="Calibri"/>
                <w:color w:val="231F20"/>
                <w:spacing w:val="-2"/>
                <w:sz w:val="20"/>
              </w:rPr>
              <w:t> </w:t>
            </w:r>
            <w:r>
              <w:rPr>
                <w:rFonts w:ascii="Calibri"/>
                <w:color w:val="231F20"/>
                <w:sz w:val="20"/>
              </w:rPr>
              <w:t>the</w:t>
            </w:r>
            <w:r>
              <w:rPr>
                <w:rFonts w:ascii="Calibri"/>
                <w:color w:val="231F20"/>
                <w:spacing w:val="-4"/>
                <w:sz w:val="20"/>
              </w:rPr>
              <w:t> </w:t>
            </w:r>
            <w:r>
              <w:rPr>
                <w:rFonts w:ascii="Calibri"/>
                <w:color w:val="231F20"/>
                <w:sz w:val="20"/>
              </w:rPr>
              <w:t>one-time</w:t>
            </w:r>
            <w:r>
              <w:rPr>
                <w:rFonts w:ascii="Calibri"/>
                <w:color w:val="231F20"/>
                <w:spacing w:val="-1"/>
                <w:sz w:val="20"/>
              </w:rPr>
              <w:t> </w:t>
            </w:r>
            <w:r>
              <w:rPr>
                <w:rFonts w:ascii="Calibri"/>
                <w:color w:val="231F20"/>
                <w:sz w:val="20"/>
              </w:rPr>
              <w:t>funding requested last</w:t>
            </w:r>
            <w:r>
              <w:rPr>
                <w:rFonts w:ascii="Calibri"/>
                <w:color w:val="231F20"/>
                <w:spacing w:val="-4"/>
                <w:sz w:val="20"/>
              </w:rPr>
              <w:t> </w:t>
            </w:r>
            <w:r>
              <w:rPr>
                <w:rFonts w:ascii="Calibri"/>
                <w:color w:val="231F20"/>
                <w:sz w:val="20"/>
              </w:rPr>
              <w:t>year</w:t>
            </w:r>
            <w:r>
              <w:rPr>
                <w:rFonts w:ascii="Calibri"/>
                <w:color w:val="231F20"/>
                <w:spacing w:val="-4"/>
                <w:sz w:val="20"/>
              </w:rPr>
              <w:t> </w:t>
            </w:r>
            <w:r>
              <w:rPr>
                <w:rFonts w:ascii="Calibri"/>
                <w:color w:val="231F20"/>
                <w:sz w:val="20"/>
              </w:rPr>
              <w:t>and</w:t>
            </w:r>
            <w:r>
              <w:rPr>
                <w:rFonts w:ascii="Calibri"/>
                <w:color w:val="231F20"/>
                <w:spacing w:val="-5"/>
                <w:sz w:val="20"/>
              </w:rPr>
              <w:t> </w:t>
            </w:r>
            <w:r>
              <w:rPr>
                <w:rFonts w:ascii="Calibri"/>
                <w:color w:val="231F20"/>
                <w:sz w:val="20"/>
              </w:rPr>
              <w:t>are</w:t>
            </w:r>
            <w:r>
              <w:rPr>
                <w:rFonts w:ascii="Calibri"/>
                <w:color w:val="231F20"/>
                <w:spacing w:val="-4"/>
                <w:sz w:val="20"/>
              </w:rPr>
              <w:t> </w:t>
            </w:r>
            <w:r>
              <w:rPr>
                <w:rFonts w:ascii="Calibri"/>
                <w:color w:val="231F20"/>
                <w:sz w:val="20"/>
              </w:rPr>
              <w:t>currently</w:t>
            </w:r>
            <w:r>
              <w:rPr>
                <w:rFonts w:ascii="Calibri"/>
                <w:color w:val="231F20"/>
                <w:spacing w:val="-3"/>
                <w:sz w:val="20"/>
              </w:rPr>
              <w:t> </w:t>
            </w:r>
            <w:r>
              <w:rPr>
                <w:rFonts w:ascii="Calibri"/>
                <w:color w:val="231F20"/>
                <w:sz w:val="20"/>
              </w:rPr>
              <w:t>working</w:t>
            </w:r>
            <w:r>
              <w:rPr>
                <w:rFonts w:ascii="Calibri"/>
                <w:color w:val="231F20"/>
                <w:spacing w:val="-3"/>
                <w:sz w:val="20"/>
              </w:rPr>
              <w:t> </w:t>
            </w:r>
            <w:r>
              <w:rPr>
                <w:rFonts w:ascii="Calibri"/>
                <w:color w:val="231F20"/>
                <w:sz w:val="20"/>
              </w:rPr>
              <w:t>to</w:t>
            </w:r>
            <w:r>
              <w:rPr>
                <w:rFonts w:ascii="Calibri"/>
                <w:color w:val="231F20"/>
                <w:spacing w:val="-4"/>
                <w:sz w:val="20"/>
              </w:rPr>
              <w:t> </w:t>
            </w:r>
            <w:r>
              <w:rPr>
                <w:rFonts w:ascii="Calibri"/>
                <w:color w:val="231F20"/>
                <w:sz w:val="20"/>
              </w:rPr>
              <w:t>get</w:t>
            </w:r>
            <w:r>
              <w:rPr>
                <w:rFonts w:ascii="Calibri"/>
                <w:color w:val="231F20"/>
                <w:spacing w:val="-4"/>
                <w:sz w:val="20"/>
              </w:rPr>
              <w:t> </w:t>
            </w:r>
            <w:r>
              <w:rPr>
                <w:rFonts w:ascii="Calibri"/>
                <w:color w:val="231F20"/>
                <w:sz w:val="20"/>
              </w:rPr>
              <w:t>those</w:t>
            </w:r>
            <w:r>
              <w:rPr>
                <w:rFonts w:ascii="Calibri"/>
                <w:color w:val="231F20"/>
                <w:spacing w:val="-4"/>
                <w:sz w:val="20"/>
              </w:rPr>
              <w:t> </w:t>
            </w:r>
            <w:r>
              <w:rPr>
                <w:rFonts w:ascii="Calibri"/>
                <w:color w:val="231F20"/>
                <w:sz w:val="20"/>
              </w:rPr>
              <w:t>funds</w:t>
            </w:r>
            <w:r>
              <w:rPr>
                <w:rFonts w:ascii="Calibri"/>
                <w:color w:val="231F20"/>
                <w:spacing w:val="-5"/>
                <w:sz w:val="20"/>
              </w:rPr>
              <w:t> </w:t>
            </w:r>
            <w:r>
              <w:rPr>
                <w:rFonts w:ascii="Calibri"/>
                <w:color w:val="231F20"/>
                <w:sz w:val="20"/>
              </w:rPr>
              <w:t>applied</w:t>
            </w:r>
            <w:r>
              <w:rPr>
                <w:rFonts w:ascii="Calibri"/>
                <w:color w:val="231F20"/>
                <w:spacing w:val="-3"/>
                <w:sz w:val="20"/>
              </w:rPr>
              <w:t> </w:t>
            </w:r>
            <w:r>
              <w:rPr>
                <w:rFonts w:ascii="Calibri"/>
                <w:color w:val="231F20"/>
                <w:sz w:val="20"/>
              </w:rPr>
              <w:t>to</w:t>
            </w:r>
            <w:r>
              <w:rPr>
                <w:rFonts w:ascii="Calibri"/>
                <w:color w:val="231F20"/>
                <w:spacing w:val="-5"/>
                <w:sz w:val="20"/>
              </w:rPr>
              <w:t> </w:t>
            </w:r>
            <w:r>
              <w:rPr>
                <w:rFonts w:ascii="Calibri"/>
                <w:color w:val="231F20"/>
                <w:sz w:val="20"/>
              </w:rPr>
              <w:t>current critical needs.</w:t>
            </w:r>
          </w:p>
        </w:tc>
        <w:tc>
          <w:tcPr>
            <w:tcW w:w="1619" w:type="dxa"/>
          </w:tcPr>
          <w:p>
            <w:pPr>
              <w:pStyle w:val="TableParagraph"/>
              <w:rPr>
                <w:rFonts w:ascii="Times New Roman"/>
                <w:sz w:val="20"/>
              </w:rPr>
            </w:pPr>
          </w:p>
        </w:tc>
        <w:tc>
          <w:tcPr>
            <w:tcW w:w="1723" w:type="dxa"/>
          </w:tcPr>
          <w:p>
            <w:pPr>
              <w:pStyle w:val="TableParagraph"/>
              <w:rPr>
                <w:rFonts w:ascii="Times New Roman"/>
                <w:sz w:val="20"/>
              </w:rPr>
            </w:pPr>
          </w:p>
        </w:tc>
      </w:tr>
      <w:tr>
        <w:trPr>
          <w:trHeight w:val="1221" w:hRule="atLeast"/>
        </w:trPr>
        <w:tc>
          <w:tcPr>
            <w:tcW w:w="1277" w:type="dxa"/>
          </w:tcPr>
          <w:p>
            <w:pPr>
              <w:pStyle w:val="TableParagraph"/>
              <w:spacing w:line="243" w:lineRule="exact"/>
              <w:ind w:left="107"/>
              <w:rPr>
                <w:rFonts w:ascii="Calibri"/>
                <w:sz w:val="20"/>
              </w:rPr>
            </w:pPr>
            <w:r>
              <w:rPr>
                <w:rFonts w:ascii="Calibri"/>
                <w:color w:val="231F20"/>
                <w:spacing w:val="-2"/>
                <w:sz w:val="20"/>
              </w:rPr>
              <w:t>2022-</w:t>
            </w:r>
            <w:r>
              <w:rPr>
                <w:rFonts w:ascii="Calibri"/>
                <w:color w:val="231F20"/>
                <w:spacing w:val="-5"/>
                <w:sz w:val="20"/>
              </w:rPr>
              <w:t>005</w:t>
            </w:r>
          </w:p>
        </w:tc>
        <w:tc>
          <w:tcPr>
            <w:tcW w:w="6361" w:type="dxa"/>
          </w:tcPr>
          <w:p>
            <w:pPr>
              <w:pStyle w:val="TableParagraph"/>
              <w:ind w:left="108" w:hanging="1"/>
              <w:rPr>
                <w:rFonts w:ascii="Calibri"/>
                <w:sz w:val="20"/>
              </w:rPr>
            </w:pPr>
            <w:r>
              <w:rPr>
                <w:rFonts w:ascii="Calibri"/>
                <w:color w:val="231F20"/>
                <w:sz w:val="20"/>
              </w:rPr>
              <w:t>There</w:t>
            </w:r>
            <w:r>
              <w:rPr>
                <w:rFonts w:ascii="Calibri"/>
                <w:color w:val="231F20"/>
                <w:spacing w:val="-5"/>
                <w:sz w:val="20"/>
              </w:rPr>
              <w:t> </w:t>
            </w:r>
            <w:r>
              <w:rPr>
                <w:rFonts w:ascii="Calibri"/>
                <w:color w:val="231F20"/>
                <w:sz w:val="20"/>
              </w:rPr>
              <w:t>are</w:t>
            </w:r>
            <w:r>
              <w:rPr>
                <w:rFonts w:ascii="Calibri"/>
                <w:color w:val="231F20"/>
                <w:spacing w:val="-5"/>
                <w:sz w:val="20"/>
              </w:rPr>
              <w:t> </w:t>
            </w:r>
            <w:r>
              <w:rPr>
                <w:rFonts w:ascii="Calibri"/>
                <w:color w:val="231F20"/>
                <w:sz w:val="20"/>
              </w:rPr>
              <w:t>instances</w:t>
            </w:r>
            <w:r>
              <w:rPr>
                <w:rFonts w:ascii="Calibri"/>
                <w:color w:val="231F20"/>
                <w:spacing w:val="-5"/>
                <w:sz w:val="20"/>
              </w:rPr>
              <w:t> </w:t>
            </w:r>
            <w:r>
              <w:rPr>
                <w:rFonts w:ascii="Calibri"/>
                <w:color w:val="231F20"/>
                <w:sz w:val="20"/>
              </w:rPr>
              <w:t>where</w:t>
            </w:r>
            <w:r>
              <w:rPr>
                <w:rFonts w:ascii="Calibri"/>
                <w:color w:val="231F20"/>
                <w:spacing w:val="-5"/>
                <w:sz w:val="20"/>
              </w:rPr>
              <w:t> </w:t>
            </w:r>
            <w:r>
              <w:rPr>
                <w:rFonts w:ascii="Calibri"/>
                <w:color w:val="231F20"/>
                <w:sz w:val="20"/>
              </w:rPr>
              <w:t>students</w:t>
            </w:r>
            <w:r>
              <w:rPr>
                <w:rFonts w:ascii="Calibri"/>
                <w:color w:val="231F20"/>
                <w:spacing w:val="-5"/>
                <w:sz w:val="20"/>
              </w:rPr>
              <w:t> </w:t>
            </w:r>
            <w:r>
              <w:rPr>
                <w:rFonts w:ascii="Calibri"/>
                <w:color w:val="231F20"/>
                <w:sz w:val="20"/>
              </w:rPr>
              <w:t>receive</w:t>
            </w:r>
            <w:r>
              <w:rPr>
                <w:rFonts w:ascii="Calibri"/>
                <w:color w:val="231F20"/>
                <w:spacing w:val="-6"/>
                <w:sz w:val="20"/>
              </w:rPr>
              <w:t> </w:t>
            </w:r>
            <w:r>
              <w:rPr>
                <w:rFonts w:ascii="Calibri"/>
                <w:color w:val="231F20"/>
                <w:sz w:val="20"/>
              </w:rPr>
              <w:t>additional</w:t>
            </w:r>
            <w:r>
              <w:rPr>
                <w:rFonts w:ascii="Calibri"/>
                <w:color w:val="231F20"/>
                <w:spacing w:val="-6"/>
                <w:sz w:val="20"/>
              </w:rPr>
              <w:t> </w:t>
            </w:r>
            <w:r>
              <w:rPr>
                <w:rFonts w:ascii="Calibri"/>
                <w:color w:val="231F20"/>
                <w:sz w:val="20"/>
              </w:rPr>
              <w:t>scholarship</w:t>
            </w:r>
            <w:r>
              <w:rPr>
                <w:rFonts w:ascii="Calibri"/>
                <w:color w:val="231F20"/>
                <w:spacing w:val="-4"/>
                <w:sz w:val="20"/>
              </w:rPr>
              <w:t> </w:t>
            </w:r>
            <w:r>
              <w:rPr>
                <w:rFonts w:ascii="Calibri"/>
                <w:color w:val="231F20"/>
                <w:sz w:val="20"/>
              </w:rPr>
              <w:t>funding during</w:t>
            </w:r>
            <w:r>
              <w:rPr>
                <w:rFonts w:ascii="Calibri"/>
                <w:color w:val="231F20"/>
                <w:spacing w:val="-1"/>
                <w:sz w:val="20"/>
              </w:rPr>
              <w:t> </w:t>
            </w:r>
            <w:r>
              <w:rPr>
                <w:rFonts w:ascii="Calibri"/>
                <w:color w:val="231F20"/>
                <w:sz w:val="20"/>
              </w:rPr>
              <w:t>the</w:t>
            </w:r>
            <w:r>
              <w:rPr>
                <w:rFonts w:ascii="Calibri"/>
                <w:color w:val="231F20"/>
                <w:spacing w:val="-2"/>
                <w:sz w:val="20"/>
              </w:rPr>
              <w:t> </w:t>
            </w:r>
            <w:r>
              <w:rPr>
                <w:rFonts w:ascii="Calibri"/>
                <w:color w:val="231F20"/>
                <w:sz w:val="20"/>
              </w:rPr>
              <w:t>course</w:t>
            </w:r>
            <w:r>
              <w:rPr>
                <w:rFonts w:ascii="Calibri"/>
                <w:color w:val="231F20"/>
                <w:spacing w:val="-2"/>
                <w:sz w:val="20"/>
              </w:rPr>
              <w:t> </w:t>
            </w:r>
            <w:r>
              <w:rPr>
                <w:rFonts w:ascii="Calibri"/>
                <w:color w:val="231F20"/>
                <w:sz w:val="20"/>
              </w:rPr>
              <w:t>of</w:t>
            </w:r>
            <w:r>
              <w:rPr>
                <w:rFonts w:ascii="Calibri"/>
                <w:color w:val="231F20"/>
                <w:spacing w:val="-2"/>
                <w:sz w:val="20"/>
              </w:rPr>
              <w:t> </w:t>
            </w:r>
            <w:r>
              <w:rPr>
                <w:rFonts w:ascii="Calibri"/>
                <w:color w:val="231F20"/>
                <w:sz w:val="20"/>
              </w:rPr>
              <w:t>an</w:t>
            </w:r>
            <w:r>
              <w:rPr>
                <w:rFonts w:ascii="Calibri"/>
                <w:color w:val="231F20"/>
                <w:spacing w:val="-3"/>
                <w:sz w:val="20"/>
              </w:rPr>
              <w:t> </w:t>
            </w:r>
            <w:r>
              <w:rPr>
                <w:rFonts w:ascii="Calibri"/>
                <w:color w:val="231F20"/>
                <w:sz w:val="20"/>
              </w:rPr>
              <w:t>academic</w:t>
            </w:r>
            <w:r>
              <w:rPr>
                <w:rFonts w:ascii="Calibri"/>
                <w:color w:val="231F20"/>
                <w:spacing w:val="-1"/>
                <w:sz w:val="20"/>
              </w:rPr>
              <w:t> </w:t>
            </w:r>
            <w:r>
              <w:rPr>
                <w:rFonts w:ascii="Calibri"/>
                <w:color w:val="231F20"/>
                <w:sz w:val="20"/>
              </w:rPr>
              <w:t>year,</w:t>
            </w:r>
            <w:r>
              <w:rPr>
                <w:rFonts w:ascii="Calibri"/>
                <w:color w:val="231F20"/>
                <w:spacing w:val="-2"/>
                <w:sz w:val="20"/>
              </w:rPr>
              <w:t> </w:t>
            </w:r>
            <w:r>
              <w:rPr>
                <w:rFonts w:ascii="Calibri"/>
                <w:color w:val="231F20"/>
                <w:sz w:val="20"/>
              </w:rPr>
              <w:t>which</w:t>
            </w:r>
            <w:r>
              <w:rPr>
                <w:rFonts w:ascii="Calibri"/>
                <w:color w:val="231F20"/>
                <w:spacing w:val="-3"/>
                <w:sz w:val="20"/>
              </w:rPr>
              <w:t> </w:t>
            </w:r>
            <w:r>
              <w:rPr>
                <w:rFonts w:ascii="Calibri"/>
                <w:color w:val="231F20"/>
                <w:sz w:val="20"/>
              </w:rPr>
              <w:t>necessitates</w:t>
            </w:r>
            <w:r>
              <w:rPr>
                <w:rFonts w:ascii="Calibri"/>
                <w:color w:val="231F20"/>
                <w:spacing w:val="-1"/>
                <w:sz w:val="20"/>
              </w:rPr>
              <w:t> </w:t>
            </w:r>
            <w:r>
              <w:rPr>
                <w:rFonts w:ascii="Calibri"/>
                <w:color w:val="231F20"/>
                <w:sz w:val="20"/>
              </w:rPr>
              <w:t>adjustments</w:t>
            </w:r>
            <w:r>
              <w:rPr>
                <w:rFonts w:ascii="Calibri"/>
                <w:color w:val="231F20"/>
                <w:spacing w:val="-3"/>
                <w:sz w:val="20"/>
              </w:rPr>
              <w:t> </w:t>
            </w:r>
            <w:r>
              <w:rPr>
                <w:rFonts w:ascii="Calibri"/>
                <w:color w:val="231F20"/>
                <w:sz w:val="20"/>
              </w:rPr>
              <w:t>to their financial aid package in order to remain within the school's cost of attendance. This finding</w:t>
            </w:r>
            <w:r>
              <w:rPr>
                <w:rFonts w:ascii="Calibri"/>
                <w:color w:val="231F20"/>
                <w:spacing w:val="-1"/>
                <w:sz w:val="20"/>
              </w:rPr>
              <w:t> </w:t>
            </w:r>
            <w:r>
              <w:rPr>
                <w:rFonts w:ascii="Calibri"/>
                <w:color w:val="231F20"/>
                <w:sz w:val="20"/>
              </w:rPr>
              <w:t>is a result of such</w:t>
            </w:r>
            <w:r>
              <w:rPr>
                <w:rFonts w:ascii="Calibri"/>
                <w:color w:val="231F20"/>
                <w:spacing w:val="-2"/>
                <w:sz w:val="20"/>
              </w:rPr>
              <w:t> </w:t>
            </w:r>
            <w:r>
              <w:rPr>
                <w:rFonts w:ascii="Calibri"/>
                <w:color w:val="231F20"/>
                <w:sz w:val="20"/>
              </w:rPr>
              <w:t>an instance.</w:t>
            </w:r>
            <w:r>
              <w:rPr>
                <w:rFonts w:ascii="Calibri"/>
                <w:color w:val="231F20"/>
                <w:spacing w:val="-1"/>
                <w:sz w:val="20"/>
              </w:rPr>
              <w:t> </w:t>
            </w:r>
            <w:r>
              <w:rPr>
                <w:rFonts w:ascii="Calibri"/>
                <w:color w:val="231F20"/>
                <w:sz w:val="20"/>
              </w:rPr>
              <w:t>Additional training</w:t>
            </w:r>
          </w:p>
          <w:p>
            <w:pPr>
              <w:pStyle w:val="TableParagraph"/>
              <w:spacing w:line="225" w:lineRule="exact"/>
              <w:ind w:left="110"/>
              <w:rPr>
                <w:rFonts w:ascii="Calibri"/>
                <w:sz w:val="20"/>
              </w:rPr>
            </w:pPr>
            <w:r>
              <w:rPr>
                <w:rFonts w:ascii="Calibri"/>
                <w:color w:val="231F20"/>
                <w:sz w:val="20"/>
              </w:rPr>
              <w:t>to</w:t>
            </w:r>
            <w:r>
              <w:rPr>
                <w:rFonts w:ascii="Calibri"/>
                <w:color w:val="231F20"/>
                <w:spacing w:val="-6"/>
                <w:sz w:val="20"/>
              </w:rPr>
              <w:t> </w:t>
            </w:r>
            <w:r>
              <w:rPr>
                <w:rFonts w:ascii="Calibri"/>
                <w:color w:val="231F20"/>
                <w:sz w:val="20"/>
              </w:rPr>
              <w:t>identify</w:t>
            </w:r>
            <w:r>
              <w:rPr>
                <w:rFonts w:ascii="Calibri"/>
                <w:color w:val="231F20"/>
                <w:spacing w:val="-5"/>
                <w:sz w:val="20"/>
              </w:rPr>
              <w:t> </w:t>
            </w:r>
            <w:r>
              <w:rPr>
                <w:rFonts w:ascii="Calibri"/>
                <w:color w:val="231F20"/>
                <w:sz w:val="20"/>
              </w:rPr>
              <w:t>appropriate</w:t>
            </w:r>
            <w:r>
              <w:rPr>
                <w:rFonts w:ascii="Calibri"/>
                <w:color w:val="231F20"/>
                <w:spacing w:val="-6"/>
                <w:sz w:val="20"/>
              </w:rPr>
              <w:t> </w:t>
            </w:r>
            <w:r>
              <w:rPr>
                <w:rFonts w:ascii="Calibri"/>
                <w:color w:val="231F20"/>
                <w:sz w:val="20"/>
              </w:rPr>
              <w:t>adjustments</w:t>
            </w:r>
            <w:r>
              <w:rPr>
                <w:rFonts w:ascii="Calibri"/>
                <w:color w:val="231F20"/>
                <w:spacing w:val="-6"/>
                <w:sz w:val="20"/>
              </w:rPr>
              <w:t> </w:t>
            </w:r>
            <w:r>
              <w:rPr>
                <w:rFonts w:ascii="Calibri"/>
                <w:color w:val="231F20"/>
                <w:sz w:val="20"/>
              </w:rPr>
              <w:t>will</w:t>
            </w:r>
            <w:r>
              <w:rPr>
                <w:rFonts w:ascii="Calibri"/>
                <w:color w:val="231F20"/>
                <w:spacing w:val="-6"/>
                <w:sz w:val="20"/>
              </w:rPr>
              <w:t> </w:t>
            </w:r>
            <w:r>
              <w:rPr>
                <w:rFonts w:ascii="Calibri"/>
                <w:color w:val="231F20"/>
                <w:sz w:val="20"/>
              </w:rPr>
              <w:t>be</w:t>
            </w:r>
            <w:r>
              <w:rPr>
                <w:rFonts w:ascii="Calibri"/>
                <w:color w:val="231F20"/>
                <w:spacing w:val="-6"/>
                <w:sz w:val="20"/>
              </w:rPr>
              <w:t> </w:t>
            </w:r>
            <w:r>
              <w:rPr>
                <w:rFonts w:ascii="Calibri"/>
                <w:color w:val="231F20"/>
                <w:sz w:val="20"/>
              </w:rPr>
              <w:t>implemented</w:t>
            </w:r>
            <w:r>
              <w:rPr>
                <w:rFonts w:ascii="Calibri"/>
                <w:color w:val="231F20"/>
                <w:spacing w:val="-7"/>
                <w:sz w:val="20"/>
              </w:rPr>
              <w:t> </w:t>
            </w:r>
            <w:r>
              <w:rPr>
                <w:rFonts w:ascii="Calibri"/>
                <w:color w:val="231F20"/>
                <w:sz w:val="20"/>
              </w:rPr>
              <w:t>and</w:t>
            </w:r>
            <w:r>
              <w:rPr>
                <w:rFonts w:ascii="Calibri"/>
                <w:color w:val="231F20"/>
                <w:spacing w:val="-6"/>
                <w:sz w:val="20"/>
              </w:rPr>
              <w:t> </w:t>
            </w:r>
            <w:r>
              <w:rPr>
                <w:rFonts w:ascii="Calibri"/>
                <w:color w:val="231F20"/>
                <w:spacing w:val="-2"/>
                <w:sz w:val="20"/>
              </w:rPr>
              <w:t>documented.</w:t>
            </w:r>
          </w:p>
        </w:tc>
        <w:tc>
          <w:tcPr>
            <w:tcW w:w="1619" w:type="dxa"/>
          </w:tcPr>
          <w:p>
            <w:pPr>
              <w:pStyle w:val="TableParagraph"/>
              <w:spacing w:line="243" w:lineRule="exact"/>
              <w:ind w:left="108"/>
              <w:rPr>
                <w:rFonts w:ascii="Calibri"/>
                <w:sz w:val="20"/>
              </w:rPr>
            </w:pPr>
            <w:r>
              <w:rPr>
                <w:rFonts w:ascii="Calibri"/>
                <w:color w:val="231F20"/>
                <w:sz w:val="20"/>
              </w:rPr>
              <w:t>December</w:t>
            </w:r>
            <w:r>
              <w:rPr>
                <w:rFonts w:ascii="Calibri"/>
                <w:color w:val="231F20"/>
                <w:spacing w:val="-7"/>
                <w:sz w:val="20"/>
              </w:rPr>
              <w:t> </w:t>
            </w:r>
            <w:r>
              <w:rPr>
                <w:rFonts w:ascii="Calibri"/>
                <w:color w:val="231F20"/>
                <w:spacing w:val="-5"/>
                <w:sz w:val="20"/>
              </w:rPr>
              <w:t>31,</w:t>
            </w:r>
          </w:p>
          <w:p>
            <w:pPr>
              <w:pStyle w:val="TableParagraph"/>
              <w:ind w:left="108"/>
              <w:rPr>
                <w:rFonts w:ascii="Calibri"/>
                <w:sz w:val="20"/>
              </w:rPr>
            </w:pPr>
            <w:r>
              <w:rPr>
                <w:rFonts w:ascii="Calibri"/>
                <w:color w:val="231F20"/>
                <w:spacing w:val="-4"/>
                <w:sz w:val="20"/>
              </w:rPr>
              <w:t>2022</w:t>
            </w:r>
          </w:p>
        </w:tc>
        <w:tc>
          <w:tcPr>
            <w:tcW w:w="1723" w:type="dxa"/>
          </w:tcPr>
          <w:p>
            <w:pPr>
              <w:pStyle w:val="TableParagraph"/>
              <w:ind w:left="107" w:right="570"/>
              <w:rPr>
                <w:rFonts w:ascii="Calibri"/>
                <w:sz w:val="20"/>
              </w:rPr>
            </w:pPr>
            <w:r>
              <w:rPr>
                <w:rFonts w:ascii="Calibri"/>
                <w:color w:val="231F20"/>
                <w:sz w:val="20"/>
              </w:rPr>
              <w:t>Director of Financial</w:t>
            </w:r>
            <w:r>
              <w:rPr>
                <w:rFonts w:ascii="Calibri"/>
                <w:color w:val="231F20"/>
                <w:spacing w:val="-12"/>
                <w:sz w:val="20"/>
              </w:rPr>
              <w:t> </w:t>
            </w:r>
            <w:r>
              <w:rPr>
                <w:rFonts w:ascii="Calibri"/>
                <w:color w:val="231F20"/>
                <w:sz w:val="20"/>
              </w:rPr>
              <w:t>Aid</w:t>
            </w:r>
          </w:p>
        </w:tc>
      </w:tr>
      <w:tr>
        <w:trPr>
          <w:trHeight w:val="261" w:hRule="atLeast"/>
        </w:trPr>
        <w:tc>
          <w:tcPr>
            <w:tcW w:w="1277" w:type="dxa"/>
            <w:tcBorders>
              <w:bottom w:val="nil"/>
            </w:tcBorders>
          </w:tcPr>
          <w:p>
            <w:pPr>
              <w:pStyle w:val="TableParagraph"/>
              <w:spacing w:line="241" w:lineRule="exact"/>
              <w:ind w:left="107"/>
              <w:rPr>
                <w:rFonts w:ascii="Calibri"/>
                <w:sz w:val="20"/>
              </w:rPr>
            </w:pPr>
            <w:r>
              <w:rPr>
                <w:rFonts w:ascii="Calibri"/>
                <w:color w:val="231F20"/>
                <w:spacing w:val="-2"/>
                <w:sz w:val="20"/>
              </w:rPr>
              <w:t>2022-</w:t>
            </w:r>
            <w:r>
              <w:rPr>
                <w:rFonts w:ascii="Calibri"/>
                <w:color w:val="231F20"/>
                <w:spacing w:val="-5"/>
                <w:sz w:val="20"/>
              </w:rPr>
              <w:t>006</w:t>
            </w:r>
          </w:p>
        </w:tc>
        <w:tc>
          <w:tcPr>
            <w:tcW w:w="6361" w:type="dxa"/>
            <w:tcBorders>
              <w:bottom w:val="nil"/>
            </w:tcBorders>
          </w:tcPr>
          <w:p>
            <w:pPr>
              <w:pStyle w:val="TableParagraph"/>
              <w:spacing w:line="241" w:lineRule="exact"/>
              <w:ind w:left="107"/>
              <w:rPr>
                <w:rFonts w:ascii="Calibri"/>
                <w:sz w:val="20"/>
              </w:rPr>
            </w:pPr>
            <w:r>
              <w:rPr>
                <w:rFonts w:ascii="Calibri"/>
                <w:color w:val="231F20"/>
                <w:sz w:val="20"/>
              </w:rPr>
              <w:t>As</w:t>
            </w:r>
            <w:r>
              <w:rPr>
                <w:rFonts w:ascii="Calibri"/>
                <w:color w:val="231F20"/>
                <w:spacing w:val="-3"/>
                <w:sz w:val="20"/>
              </w:rPr>
              <w:t> </w:t>
            </w:r>
            <w:r>
              <w:rPr>
                <w:rFonts w:ascii="Calibri"/>
                <w:color w:val="231F20"/>
                <w:sz w:val="20"/>
              </w:rPr>
              <w:t>of</w:t>
            </w:r>
            <w:r>
              <w:rPr>
                <w:rFonts w:ascii="Calibri"/>
                <w:color w:val="231F20"/>
                <w:spacing w:val="-4"/>
                <w:sz w:val="20"/>
              </w:rPr>
              <w:t> </w:t>
            </w:r>
            <w:r>
              <w:rPr>
                <w:rFonts w:ascii="Calibri"/>
                <w:color w:val="231F20"/>
                <w:sz w:val="20"/>
              </w:rPr>
              <w:t>October</w:t>
            </w:r>
            <w:r>
              <w:rPr>
                <w:rFonts w:ascii="Calibri"/>
                <w:color w:val="231F20"/>
                <w:spacing w:val="-5"/>
                <w:sz w:val="20"/>
              </w:rPr>
              <w:t> </w:t>
            </w:r>
            <w:r>
              <w:rPr>
                <w:rFonts w:ascii="Calibri"/>
                <w:color w:val="231F20"/>
                <w:sz w:val="20"/>
              </w:rPr>
              <w:t>20,</w:t>
            </w:r>
            <w:r>
              <w:rPr>
                <w:rFonts w:ascii="Calibri"/>
                <w:color w:val="231F20"/>
                <w:spacing w:val="-3"/>
                <w:sz w:val="20"/>
              </w:rPr>
              <w:t> </w:t>
            </w:r>
            <w:r>
              <w:rPr>
                <w:rFonts w:ascii="Calibri"/>
                <w:color w:val="231F20"/>
                <w:sz w:val="20"/>
              </w:rPr>
              <w:t>2022,</w:t>
            </w:r>
            <w:r>
              <w:rPr>
                <w:rFonts w:ascii="Calibri"/>
                <w:color w:val="231F20"/>
                <w:spacing w:val="-4"/>
                <w:sz w:val="20"/>
              </w:rPr>
              <w:t> </w:t>
            </w:r>
            <w:r>
              <w:rPr>
                <w:rFonts w:ascii="Calibri"/>
                <w:color w:val="231F20"/>
                <w:sz w:val="20"/>
              </w:rPr>
              <w:t>the</w:t>
            </w:r>
            <w:r>
              <w:rPr>
                <w:rFonts w:ascii="Calibri"/>
                <w:color w:val="231F20"/>
                <w:spacing w:val="-4"/>
                <w:sz w:val="20"/>
              </w:rPr>
              <w:t> </w:t>
            </w:r>
            <w:r>
              <w:rPr>
                <w:rFonts w:ascii="Calibri"/>
                <w:color w:val="231F20"/>
                <w:sz w:val="20"/>
              </w:rPr>
              <w:t>RPC</w:t>
            </w:r>
            <w:r>
              <w:rPr>
                <w:rFonts w:ascii="Calibri"/>
                <w:color w:val="231F20"/>
                <w:spacing w:val="-3"/>
                <w:sz w:val="20"/>
              </w:rPr>
              <w:t> </w:t>
            </w:r>
            <w:r>
              <w:rPr>
                <w:rFonts w:ascii="Calibri"/>
                <w:color w:val="231F20"/>
                <w:sz w:val="20"/>
              </w:rPr>
              <w:t>manager</w:t>
            </w:r>
            <w:r>
              <w:rPr>
                <w:rFonts w:ascii="Calibri"/>
                <w:color w:val="231F20"/>
                <w:spacing w:val="-2"/>
                <w:sz w:val="20"/>
              </w:rPr>
              <w:t> </w:t>
            </w:r>
            <w:r>
              <w:rPr>
                <w:rFonts w:ascii="Calibri"/>
                <w:color w:val="231F20"/>
                <w:sz w:val="20"/>
              </w:rPr>
              <w:t>has</w:t>
            </w:r>
            <w:r>
              <w:rPr>
                <w:rFonts w:ascii="Calibri"/>
                <w:color w:val="231F20"/>
                <w:spacing w:val="-3"/>
                <w:sz w:val="20"/>
              </w:rPr>
              <w:t> </w:t>
            </w:r>
            <w:r>
              <w:rPr>
                <w:rFonts w:ascii="Calibri"/>
                <w:color w:val="231F20"/>
                <w:sz w:val="20"/>
              </w:rPr>
              <w:t>made</w:t>
            </w:r>
            <w:r>
              <w:rPr>
                <w:rFonts w:ascii="Calibri"/>
                <w:color w:val="231F20"/>
                <w:spacing w:val="-5"/>
                <w:sz w:val="20"/>
              </w:rPr>
              <w:t> </w:t>
            </w:r>
            <w:r>
              <w:rPr>
                <w:rFonts w:ascii="Calibri"/>
                <w:color w:val="231F20"/>
                <w:sz w:val="20"/>
              </w:rPr>
              <w:t>correcting</w:t>
            </w:r>
            <w:r>
              <w:rPr>
                <w:rFonts w:ascii="Calibri"/>
                <w:color w:val="231F20"/>
                <w:spacing w:val="-2"/>
                <w:sz w:val="20"/>
              </w:rPr>
              <w:t> adjustments</w:t>
            </w:r>
          </w:p>
        </w:tc>
        <w:tc>
          <w:tcPr>
            <w:tcW w:w="1619" w:type="dxa"/>
            <w:tcBorders>
              <w:bottom w:val="nil"/>
            </w:tcBorders>
          </w:tcPr>
          <w:p>
            <w:pPr>
              <w:pStyle w:val="TableParagraph"/>
              <w:spacing w:line="241" w:lineRule="exact"/>
              <w:ind w:left="107"/>
              <w:rPr>
                <w:rFonts w:ascii="Calibri"/>
                <w:sz w:val="20"/>
              </w:rPr>
            </w:pPr>
            <w:r>
              <w:rPr>
                <w:rFonts w:ascii="Calibri"/>
                <w:color w:val="231F20"/>
                <w:sz w:val="20"/>
              </w:rPr>
              <w:t>March</w:t>
            </w:r>
            <w:r>
              <w:rPr>
                <w:rFonts w:ascii="Calibri"/>
                <w:color w:val="231F20"/>
                <w:spacing w:val="-4"/>
                <w:sz w:val="20"/>
              </w:rPr>
              <w:t> </w:t>
            </w:r>
            <w:r>
              <w:rPr>
                <w:rFonts w:ascii="Calibri"/>
                <w:color w:val="231F20"/>
                <w:sz w:val="20"/>
              </w:rPr>
              <w:t>31,</w:t>
            </w:r>
            <w:r>
              <w:rPr>
                <w:rFonts w:ascii="Calibri"/>
                <w:color w:val="231F20"/>
                <w:spacing w:val="-3"/>
                <w:sz w:val="20"/>
              </w:rPr>
              <w:t> </w:t>
            </w:r>
            <w:r>
              <w:rPr>
                <w:rFonts w:ascii="Calibri"/>
                <w:color w:val="231F20"/>
                <w:spacing w:val="-4"/>
                <w:sz w:val="20"/>
              </w:rPr>
              <w:t>2023</w:t>
            </w:r>
          </w:p>
        </w:tc>
        <w:tc>
          <w:tcPr>
            <w:tcW w:w="1723" w:type="dxa"/>
            <w:tcBorders>
              <w:bottom w:val="nil"/>
            </w:tcBorders>
          </w:tcPr>
          <w:p>
            <w:pPr>
              <w:pStyle w:val="TableParagraph"/>
              <w:spacing w:line="241" w:lineRule="exact"/>
              <w:ind w:left="108"/>
              <w:rPr>
                <w:rFonts w:ascii="Calibri"/>
                <w:sz w:val="20"/>
              </w:rPr>
            </w:pPr>
            <w:r>
              <w:rPr>
                <w:rFonts w:ascii="Calibri"/>
                <w:color w:val="231F20"/>
                <w:sz w:val="20"/>
              </w:rPr>
              <w:t>RPC</w:t>
            </w:r>
            <w:r>
              <w:rPr>
                <w:rFonts w:ascii="Calibri"/>
                <w:color w:val="231F20"/>
                <w:spacing w:val="-1"/>
                <w:sz w:val="20"/>
              </w:rPr>
              <w:t> </w:t>
            </w:r>
            <w:r>
              <w:rPr>
                <w:rFonts w:ascii="Calibri"/>
                <w:color w:val="231F20"/>
                <w:spacing w:val="-2"/>
                <w:sz w:val="20"/>
              </w:rPr>
              <w:t>Manager,</w:t>
            </w:r>
          </w:p>
        </w:tc>
      </w:tr>
      <w:tr>
        <w:trPr>
          <w:trHeight w:val="244" w:hRule="atLeast"/>
        </w:trPr>
        <w:tc>
          <w:tcPr>
            <w:tcW w:w="1277" w:type="dxa"/>
            <w:tcBorders>
              <w:top w:val="nil"/>
              <w:bottom w:val="nil"/>
            </w:tcBorders>
          </w:tcPr>
          <w:p>
            <w:pPr>
              <w:pStyle w:val="TableParagraph"/>
              <w:spacing w:line="224" w:lineRule="exact"/>
              <w:ind w:left="107"/>
              <w:rPr>
                <w:rFonts w:ascii="Calibri"/>
                <w:sz w:val="20"/>
              </w:rPr>
            </w:pPr>
            <w:r>
              <w:rPr>
                <w:rFonts w:ascii="Calibri"/>
                <w:color w:val="231F20"/>
                <w:spacing w:val="-2"/>
                <w:sz w:val="20"/>
              </w:rPr>
              <w:t>(2021-</w:t>
            </w:r>
            <w:r>
              <w:rPr>
                <w:rFonts w:ascii="Calibri"/>
                <w:color w:val="231F20"/>
                <w:spacing w:val="-4"/>
                <w:sz w:val="20"/>
              </w:rPr>
              <w:t>008,</w:t>
            </w:r>
          </w:p>
        </w:tc>
        <w:tc>
          <w:tcPr>
            <w:tcW w:w="6361" w:type="dxa"/>
            <w:tcBorders>
              <w:top w:val="nil"/>
              <w:bottom w:val="nil"/>
            </w:tcBorders>
          </w:tcPr>
          <w:p>
            <w:pPr>
              <w:pStyle w:val="TableParagraph"/>
              <w:spacing w:line="224" w:lineRule="exact"/>
              <w:ind w:left="107"/>
              <w:rPr>
                <w:rFonts w:ascii="Calibri"/>
                <w:sz w:val="20"/>
              </w:rPr>
            </w:pPr>
            <w:r>
              <w:rPr>
                <w:rFonts w:ascii="Calibri"/>
                <w:color w:val="231F20"/>
                <w:sz w:val="20"/>
              </w:rPr>
              <w:t>to</w:t>
            </w:r>
            <w:r>
              <w:rPr>
                <w:rFonts w:ascii="Calibri"/>
                <w:color w:val="231F20"/>
                <w:spacing w:val="-6"/>
                <w:sz w:val="20"/>
              </w:rPr>
              <w:t> </w:t>
            </w:r>
            <w:r>
              <w:rPr>
                <w:rFonts w:ascii="Calibri"/>
                <w:color w:val="231F20"/>
                <w:sz w:val="20"/>
              </w:rPr>
              <w:t>accurately</w:t>
            </w:r>
            <w:r>
              <w:rPr>
                <w:rFonts w:ascii="Calibri"/>
                <w:color w:val="231F20"/>
                <w:spacing w:val="-4"/>
                <w:sz w:val="20"/>
              </w:rPr>
              <w:t> </w:t>
            </w:r>
            <w:r>
              <w:rPr>
                <w:rFonts w:ascii="Calibri"/>
                <w:color w:val="231F20"/>
                <w:sz w:val="20"/>
              </w:rPr>
              <w:t>reflect</w:t>
            </w:r>
            <w:r>
              <w:rPr>
                <w:rFonts w:ascii="Calibri"/>
                <w:color w:val="231F20"/>
                <w:spacing w:val="-5"/>
                <w:sz w:val="20"/>
              </w:rPr>
              <w:t> </w:t>
            </w:r>
            <w:r>
              <w:rPr>
                <w:rFonts w:ascii="Calibri"/>
                <w:color w:val="231F20"/>
                <w:sz w:val="20"/>
              </w:rPr>
              <w:t>the</w:t>
            </w:r>
            <w:r>
              <w:rPr>
                <w:rFonts w:ascii="Calibri"/>
                <w:color w:val="231F20"/>
                <w:spacing w:val="-6"/>
                <w:sz w:val="20"/>
              </w:rPr>
              <w:t> </w:t>
            </w:r>
            <w:r>
              <w:rPr>
                <w:rFonts w:ascii="Calibri"/>
                <w:color w:val="231F20"/>
                <w:sz w:val="20"/>
              </w:rPr>
              <w:t>RPC's</w:t>
            </w:r>
            <w:r>
              <w:rPr>
                <w:rFonts w:ascii="Calibri"/>
                <w:color w:val="231F20"/>
                <w:spacing w:val="-5"/>
                <w:sz w:val="20"/>
              </w:rPr>
              <w:t> </w:t>
            </w:r>
            <w:r>
              <w:rPr>
                <w:rFonts w:ascii="Calibri"/>
                <w:color w:val="231F20"/>
                <w:sz w:val="20"/>
              </w:rPr>
              <w:t>patent-related</w:t>
            </w:r>
            <w:r>
              <w:rPr>
                <w:rFonts w:ascii="Calibri"/>
                <w:color w:val="231F20"/>
                <w:spacing w:val="-5"/>
                <w:sz w:val="20"/>
              </w:rPr>
              <w:t> </w:t>
            </w:r>
            <w:r>
              <w:rPr>
                <w:rFonts w:ascii="Calibri"/>
                <w:color w:val="231F20"/>
                <w:sz w:val="20"/>
              </w:rPr>
              <w:t>account</w:t>
            </w:r>
            <w:r>
              <w:rPr>
                <w:rFonts w:ascii="Calibri"/>
                <w:color w:val="231F20"/>
                <w:spacing w:val="-6"/>
                <w:sz w:val="20"/>
              </w:rPr>
              <w:t> </w:t>
            </w:r>
            <w:r>
              <w:rPr>
                <w:rFonts w:ascii="Calibri"/>
                <w:color w:val="231F20"/>
                <w:sz w:val="20"/>
              </w:rPr>
              <w:t>balances</w:t>
            </w:r>
            <w:r>
              <w:rPr>
                <w:rFonts w:ascii="Calibri"/>
                <w:color w:val="231F20"/>
                <w:spacing w:val="-5"/>
                <w:sz w:val="20"/>
              </w:rPr>
              <w:t> </w:t>
            </w:r>
            <w:r>
              <w:rPr>
                <w:rFonts w:ascii="Calibri"/>
                <w:color w:val="231F20"/>
                <w:sz w:val="20"/>
              </w:rPr>
              <w:t>and</w:t>
            </w:r>
            <w:r>
              <w:rPr>
                <w:rFonts w:ascii="Calibri"/>
                <w:color w:val="231F20"/>
                <w:spacing w:val="-6"/>
                <w:sz w:val="20"/>
              </w:rPr>
              <w:t> </w:t>
            </w:r>
            <w:r>
              <w:rPr>
                <w:rFonts w:ascii="Calibri"/>
                <w:color w:val="231F20"/>
                <w:spacing w:val="-5"/>
                <w:sz w:val="20"/>
              </w:rPr>
              <w:t>RPC</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spacing w:line="224" w:lineRule="exact"/>
              <w:ind w:left="108"/>
              <w:rPr>
                <w:rFonts w:ascii="Calibri"/>
                <w:sz w:val="20"/>
              </w:rPr>
            </w:pPr>
            <w:r>
              <w:rPr>
                <w:rFonts w:ascii="Calibri"/>
                <w:color w:val="231F20"/>
                <w:sz w:val="20"/>
              </w:rPr>
              <w:t>Interim</w:t>
            </w:r>
            <w:r>
              <w:rPr>
                <w:rFonts w:ascii="Calibri"/>
                <w:color w:val="231F20"/>
                <w:spacing w:val="-6"/>
                <w:sz w:val="20"/>
              </w:rPr>
              <w:t> </w:t>
            </w:r>
            <w:r>
              <w:rPr>
                <w:rFonts w:ascii="Calibri"/>
                <w:color w:val="231F20"/>
                <w:spacing w:val="-2"/>
                <w:sz w:val="20"/>
              </w:rPr>
              <w:t>Chief</w:t>
            </w:r>
          </w:p>
        </w:tc>
      </w:tr>
      <w:tr>
        <w:trPr>
          <w:trHeight w:val="244" w:hRule="atLeast"/>
        </w:trPr>
        <w:tc>
          <w:tcPr>
            <w:tcW w:w="1277" w:type="dxa"/>
            <w:tcBorders>
              <w:top w:val="nil"/>
              <w:bottom w:val="nil"/>
            </w:tcBorders>
          </w:tcPr>
          <w:p>
            <w:pPr>
              <w:pStyle w:val="TableParagraph"/>
              <w:spacing w:line="224" w:lineRule="exact"/>
              <w:ind w:left="107"/>
              <w:rPr>
                <w:rFonts w:ascii="Calibri"/>
                <w:sz w:val="20"/>
              </w:rPr>
            </w:pPr>
            <w:r>
              <w:rPr>
                <w:rFonts w:ascii="Calibri"/>
                <w:color w:val="231F20"/>
                <w:spacing w:val="-2"/>
                <w:sz w:val="20"/>
              </w:rPr>
              <w:t>2020-</w:t>
            </w:r>
            <w:r>
              <w:rPr>
                <w:rFonts w:ascii="Calibri"/>
                <w:color w:val="231F20"/>
                <w:spacing w:val="-4"/>
                <w:sz w:val="20"/>
              </w:rPr>
              <w:t>006,</w:t>
            </w:r>
          </w:p>
        </w:tc>
        <w:tc>
          <w:tcPr>
            <w:tcW w:w="6361" w:type="dxa"/>
            <w:tcBorders>
              <w:top w:val="nil"/>
              <w:bottom w:val="nil"/>
            </w:tcBorders>
          </w:tcPr>
          <w:p>
            <w:pPr>
              <w:pStyle w:val="TableParagraph"/>
              <w:spacing w:line="224" w:lineRule="exact"/>
              <w:ind w:left="107"/>
              <w:rPr>
                <w:rFonts w:ascii="Calibri"/>
                <w:sz w:val="20"/>
              </w:rPr>
            </w:pPr>
            <w:r>
              <w:rPr>
                <w:rFonts w:ascii="Calibri"/>
                <w:color w:val="231F20"/>
                <w:sz w:val="20"/>
              </w:rPr>
              <w:t>investments</w:t>
            </w:r>
            <w:r>
              <w:rPr>
                <w:rFonts w:ascii="Calibri"/>
                <w:color w:val="231F20"/>
                <w:spacing w:val="-5"/>
                <w:sz w:val="20"/>
              </w:rPr>
              <w:t> </w:t>
            </w:r>
            <w:r>
              <w:rPr>
                <w:rFonts w:ascii="Calibri"/>
                <w:color w:val="231F20"/>
                <w:sz w:val="20"/>
              </w:rPr>
              <w:t>at</w:t>
            </w:r>
            <w:r>
              <w:rPr>
                <w:rFonts w:ascii="Calibri"/>
                <w:color w:val="231F20"/>
                <w:spacing w:val="-5"/>
                <w:sz w:val="20"/>
              </w:rPr>
              <w:t> </w:t>
            </w:r>
            <w:r>
              <w:rPr>
                <w:rFonts w:ascii="Calibri"/>
                <w:color w:val="231F20"/>
                <w:sz w:val="20"/>
              </w:rPr>
              <w:t>year-end.</w:t>
            </w:r>
            <w:r>
              <w:rPr>
                <w:rFonts w:ascii="Calibri"/>
                <w:color w:val="231F20"/>
                <w:spacing w:val="-4"/>
                <w:sz w:val="20"/>
              </w:rPr>
              <w:t> </w:t>
            </w:r>
            <w:r>
              <w:rPr>
                <w:rFonts w:ascii="Calibri"/>
                <w:color w:val="231F20"/>
                <w:sz w:val="20"/>
              </w:rPr>
              <w:t>The</w:t>
            </w:r>
            <w:r>
              <w:rPr>
                <w:rFonts w:ascii="Calibri"/>
                <w:color w:val="231F20"/>
                <w:spacing w:val="-5"/>
                <w:sz w:val="20"/>
              </w:rPr>
              <w:t> </w:t>
            </w:r>
            <w:r>
              <w:rPr>
                <w:rFonts w:ascii="Calibri"/>
                <w:color w:val="231F20"/>
                <w:sz w:val="20"/>
              </w:rPr>
              <w:t>RPC</w:t>
            </w:r>
            <w:r>
              <w:rPr>
                <w:rFonts w:ascii="Calibri"/>
                <w:color w:val="231F20"/>
                <w:spacing w:val="-4"/>
                <w:sz w:val="20"/>
              </w:rPr>
              <w:t> </w:t>
            </w:r>
            <w:r>
              <w:rPr>
                <w:rFonts w:ascii="Calibri"/>
                <w:color w:val="231F20"/>
                <w:sz w:val="20"/>
              </w:rPr>
              <w:t>will</w:t>
            </w:r>
            <w:r>
              <w:rPr>
                <w:rFonts w:ascii="Calibri"/>
                <w:color w:val="231F20"/>
                <w:spacing w:val="-4"/>
                <w:sz w:val="20"/>
              </w:rPr>
              <w:t> </w:t>
            </w:r>
            <w:r>
              <w:rPr>
                <w:rFonts w:ascii="Calibri"/>
                <w:color w:val="231F20"/>
                <w:sz w:val="20"/>
              </w:rPr>
              <w:t>require</w:t>
            </w:r>
            <w:r>
              <w:rPr>
                <w:rFonts w:ascii="Calibri"/>
                <w:color w:val="231F20"/>
                <w:spacing w:val="-4"/>
                <w:sz w:val="20"/>
              </w:rPr>
              <w:t> </w:t>
            </w:r>
            <w:r>
              <w:rPr>
                <w:rFonts w:ascii="Calibri"/>
                <w:color w:val="231F20"/>
                <w:sz w:val="20"/>
              </w:rPr>
              <w:t>timely</w:t>
            </w:r>
            <w:r>
              <w:rPr>
                <w:rFonts w:ascii="Calibri"/>
                <w:color w:val="231F20"/>
                <w:spacing w:val="-3"/>
                <w:sz w:val="20"/>
              </w:rPr>
              <w:t> </w:t>
            </w:r>
            <w:r>
              <w:rPr>
                <w:rFonts w:ascii="Calibri"/>
                <w:color w:val="231F20"/>
                <w:sz w:val="20"/>
              </w:rPr>
              <w:t>and</w:t>
            </w:r>
            <w:r>
              <w:rPr>
                <w:rFonts w:ascii="Calibri"/>
                <w:color w:val="231F20"/>
                <w:spacing w:val="-3"/>
                <w:sz w:val="20"/>
              </w:rPr>
              <w:t> </w:t>
            </w:r>
            <w:r>
              <w:rPr>
                <w:rFonts w:ascii="Calibri"/>
                <w:color w:val="231F20"/>
                <w:spacing w:val="-2"/>
                <w:sz w:val="20"/>
              </w:rPr>
              <w:t>accurate</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spacing w:line="224" w:lineRule="exact"/>
              <w:ind w:left="108"/>
              <w:rPr>
                <w:rFonts w:ascii="Calibri"/>
                <w:sz w:val="20"/>
              </w:rPr>
            </w:pPr>
            <w:r>
              <w:rPr>
                <w:rFonts w:ascii="Calibri"/>
                <w:color w:val="231F20"/>
                <w:sz w:val="20"/>
              </w:rPr>
              <w:t>Operating</w:t>
            </w:r>
            <w:r>
              <w:rPr>
                <w:rFonts w:ascii="Calibri"/>
                <w:color w:val="231F20"/>
                <w:spacing w:val="-3"/>
                <w:sz w:val="20"/>
              </w:rPr>
              <w:t> </w:t>
            </w:r>
            <w:r>
              <w:rPr>
                <w:rFonts w:ascii="Calibri"/>
                <w:color w:val="231F20"/>
                <w:spacing w:val="-2"/>
                <w:sz w:val="20"/>
              </w:rPr>
              <w:t>Officer</w:t>
            </w:r>
          </w:p>
        </w:tc>
      </w:tr>
      <w:tr>
        <w:trPr>
          <w:trHeight w:val="244" w:hRule="atLeast"/>
        </w:trPr>
        <w:tc>
          <w:tcPr>
            <w:tcW w:w="1277" w:type="dxa"/>
            <w:tcBorders>
              <w:top w:val="nil"/>
              <w:bottom w:val="nil"/>
            </w:tcBorders>
          </w:tcPr>
          <w:p>
            <w:pPr>
              <w:pStyle w:val="TableParagraph"/>
              <w:spacing w:line="224" w:lineRule="exact"/>
              <w:ind w:left="107"/>
              <w:rPr>
                <w:rFonts w:ascii="Calibri"/>
                <w:sz w:val="20"/>
              </w:rPr>
            </w:pPr>
            <w:r>
              <w:rPr>
                <w:rFonts w:ascii="Calibri"/>
                <w:color w:val="231F20"/>
                <w:spacing w:val="-2"/>
                <w:sz w:val="20"/>
              </w:rPr>
              <w:t>2019-</w:t>
            </w:r>
            <w:r>
              <w:rPr>
                <w:rFonts w:ascii="Calibri"/>
                <w:color w:val="231F20"/>
                <w:spacing w:val="-4"/>
                <w:sz w:val="20"/>
              </w:rPr>
              <w:t>006)</w:t>
            </w:r>
          </w:p>
        </w:tc>
        <w:tc>
          <w:tcPr>
            <w:tcW w:w="6361" w:type="dxa"/>
            <w:tcBorders>
              <w:top w:val="nil"/>
              <w:bottom w:val="nil"/>
            </w:tcBorders>
          </w:tcPr>
          <w:p>
            <w:pPr>
              <w:pStyle w:val="TableParagraph"/>
              <w:spacing w:line="224" w:lineRule="exact"/>
              <w:ind w:left="107"/>
              <w:rPr>
                <w:rFonts w:ascii="Calibri"/>
                <w:sz w:val="20"/>
              </w:rPr>
            </w:pPr>
            <w:r>
              <w:rPr>
                <w:rFonts w:ascii="Calibri"/>
                <w:color w:val="231F20"/>
                <w:sz w:val="20"/>
              </w:rPr>
              <w:t>information</w:t>
            </w:r>
            <w:r>
              <w:rPr>
                <w:rFonts w:ascii="Calibri"/>
                <w:color w:val="231F20"/>
                <w:spacing w:val="-7"/>
                <w:sz w:val="20"/>
              </w:rPr>
              <w:t> </w:t>
            </w:r>
            <w:r>
              <w:rPr>
                <w:rFonts w:ascii="Calibri"/>
                <w:color w:val="231F20"/>
                <w:sz w:val="20"/>
              </w:rPr>
              <w:t>from</w:t>
            </w:r>
            <w:r>
              <w:rPr>
                <w:rFonts w:ascii="Calibri"/>
                <w:color w:val="231F20"/>
                <w:spacing w:val="-4"/>
                <w:sz w:val="20"/>
              </w:rPr>
              <w:t> </w:t>
            </w:r>
            <w:r>
              <w:rPr>
                <w:rFonts w:ascii="Calibri"/>
                <w:color w:val="231F20"/>
                <w:sz w:val="20"/>
              </w:rPr>
              <w:t>the</w:t>
            </w:r>
            <w:r>
              <w:rPr>
                <w:rFonts w:ascii="Calibri"/>
                <w:color w:val="231F20"/>
                <w:spacing w:val="-5"/>
                <w:sz w:val="20"/>
              </w:rPr>
              <w:t> </w:t>
            </w:r>
            <w:r>
              <w:rPr>
                <w:rFonts w:ascii="Calibri"/>
                <w:color w:val="231F20"/>
                <w:sz w:val="20"/>
              </w:rPr>
              <w:t>patent</w:t>
            </w:r>
            <w:r>
              <w:rPr>
                <w:rFonts w:ascii="Calibri"/>
                <w:color w:val="231F20"/>
                <w:spacing w:val="-5"/>
                <w:sz w:val="20"/>
              </w:rPr>
              <w:t> </w:t>
            </w:r>
            <w:r>
              <w:rPr>
                <w:rFonts w:ascii="Calibri"/>
                <w:color w:val="231F20"/>
                <w:sz w:val="20"/>
              </w:rPr>
              <w:t>legal</w:t>
            </w:r>
            <w:r>
              <w:rPr>
                <w:rFonts w:ascii="Calibri"/>
                <w:color w:val="231F20"/>
                <w:spacing w:val="-5"/>
                <w:sz w:val="20"/>
              </w:rPr>
              <w:t> </w:t>
            </w:r>
            <w:r>
              <w:rPr>
                <w:rFonts w:ascii="Calibri"/>
                <w:color w:val="231F20"/>
                <w:sz w:val="20"/>
              </w:rPr>
              <w:t>firm</w:t>
            </w:r>
            <w:r>
              <w:rPr>
                <w:rFonts w:ascii="Calibri"/>
                <w:color w:val="231F20"/>
                <w:spacing w:val="-4"/>
                <w:sz w:val="20"/>
              </w:rPr>
              <w:t> </w:t>
            </w:r>
            <w:r>
              <w:rPr>
                <w:rFonts w:ascii="Calibri"/>
                <w:color w:val="231F20"/>
                <w:sz w:val="20"/>
              </w:rPr>
              <w:t>to</w:t>
            </w:r>
            <w:r>
              <w:rPr>
                <w:rFonts w:ascii="Calibri"/>
                <w:color w:val="231F20"/>
                <w:spacing w:val="-4"/>
                <w:sz w:val="20"/>
              </w:rPr>
              <w:t> </w:t>
            </w:r>
            <w:r>
              <w:rPr>
                <w:rFonts w:ascii="Calibri"/>
                <w:color w:val="231F20"/>
                <w:sz w:val="20"/>
              </w:rPr>
              <w:t>ensure</w:t>
            </w:r>
            <w:r>
              <w:rPr>
                <w:rFonts w:ascii="Calibri"/>
                <w:color w:val="231F20"/>
                <w:spacing w:val="-4"/>
                <w:sz w:val="20"/>
              </w:rPr>
              <w:t> </w:t>
            </w:r>
            <w:r>
              <w:rPr>
                <w:rFonts w:ascii="Calibri"/>
                <w:color w:val="231F20"/>
                <w:sz w:val="20"/>
              </w:rPr>
              <w:t>the</w:t>
            </w:r>
            <w:r>
              <w:rPr>
                <w:rFonts w:ascii="Calibri"/>
                <w:color w:val="231F20"/>
                <w:spacing w:val="-4"/>
                <w:sz w:val="20"/>
              </w:rPr>
              <w:t> </w:t>
            </w:r>
            <w:r>
              <w:rPr>
                <w:rFonts w:ascii="Calibri"/>
                <w:color w:val="231F20"/>
                <w:sz w:val="20"/>
              </w:rPr>
              <w:t>accuracy</w:t>
            </w:r>
            <w:r>
              <w:rPr>
                <w:rFonts w:ascii="Calibri"/>
                <w:color w:val="231F20"/>
                <w:spacing w:val="-5"/>
                <w:sz w:val="20"/>
              </w:rPr>
              <w:t> </w:t>
            </w:r>
            <w:r>
              <w:rPr>
                <w:rFonts w:ascii="Calibri"/>
                <w:color w:val="231F20"/>
                <w:sz w:val="20"/>
              </w:rPr>
              <w:t>of</w:t>
            </w:r>
            <w:r>
              <w:rPr>
                <w:rFonts w:ascii="Calibri"/>
                <w:color w:val="231F20"/>
                <w:spacing w:val="-4"/>
                <w:sz w:val="20"/>
              </w:rPr>
              <w:t> </w:t>
            </w:r>
            <w:r>
              <w:rPr>
                <w:rFonts w:ascii="Calibri"/>
                <w:color w:val="231F20"/>
                <w:spacing w:val="-2"/>
                <w:sz w:val="20"/>
              </w:rPr>
              <w:t>patent</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rPr>
                <w:rFonts w:ascii="Times New Roman"/>
                <w:sz w:val="16"/>
              </w:rPr>
            </w:pPr>
          </w:p>
        </w:tc>
      </w:tr>
      <w:tr>
        <w:trPr>
          <w:trHeight w:val="244" w:hRule="atLeast"/>
        </w:trPr>
        <w:tc>
          <w:tcPr>
            <w:tcW w:w="1277" w:type="dxa"/>
            <w:tcBorders>
              <w:top w:val="nil"/>
              <w:bottom w:val="nil"/>
            </w:tcBorders>
          </w:tcPr>
          <w:p>
            <w:pPr>
              <w:pStyle w:val="TableParagraph"/>
              <w:rPr>
                <w:rFonts w:ascii="Times New Roman"/>
                <w:sz w:val="16"/>
              </w:rPr>
            </w:pPr>
          </w:p>
        </w:tc>
        <w:tc>
          <w:tcPr>
            <w:tcW w:w="6361" w:type="dxa"/>
            <w:tcBorders>
              <w:top w:val="nil"/>
              <w:bottom w:val="nil"/>
            </w:tcBorders>
          </w:tcPr>
          <w:p>
            <w:pPr>
              <w:pStyle w:val="TableParagraph"/>
              <w:spacing w:line="224" w:lineRule="exact"/>
              <w:ind w:left="107"/>
              <w:rPr>
                <w:rFonts w:ascii="Calibri"/>
                <w:sz w:val="20"/>
              </w:rPr>
            </w:pPr>
            <w:r>
              <w:rPr>
                <w:rFonts w:ascii="Calibri"/>
                <w:color w:val="231F20"/>
                <w:sz w:val="20"/>
              </w:rPr>
              <w:t>assets.</w:t>
            </w:r>
            <w:r>
              <w:rPr>
                <w:rFonts w:ascii="Calibri"/>
                <w:color w:val="231F20"/>
                <w:spacing w:val="-2"/>
                <w:sz w:val="20"/>
              </w:rPr>
              <w:t> </w:t>
            </w:r>
            <w:r>
              <w:rPr>
                <w:rFonts w:ascii="Calibri"/>
                <w:color w:val="231F20"/>
                <w:sz w:val="20"/>
              </w:rPr>
              <w:t>As</w:t>
            </w:r>
            <w:r>
              <w:rPr>
                <w:rFonts w:ascii="Calibri"/>
                <w:color w:val="231F20"/>
                <w:spacing w:val="-2"/>
                <w:sz w:val="20"/>
              </w:rPr>
              <w:t> </w:t>
            </w:r>
            <w:r>
              <w:rPr>
                <w:rFonts w:ascii="Calibri"/>
                <w:color w:val="231F20"/>
                <w:sz w:val="20"/>
              </w:rPr>
              <w:t>of</w:t>
            </w:r>
            <w:r>
              <w:rPr>
                <w:rFonts w:ascii="Calibri"/>
                <w:color w:val="231F20"/>
                <w:spacing w:val="-2"/>
                <w:sz w:val="20"/>
              </w:rPr>
              <w:t> </w:t>
            </w:r>
            <w:r>
              <w:rPr>
                <w:rFonts w:ascii="Calibri"/>
                <w:color w:val="231F20"/>
                <w:sz w:val="20"/>
              </w:rPr>
              <w:t>October</w:t>
            </w:r>
            <w:r>
              <w:rPr>
                <w:rFonts w:ascii="Calibri"/>
                <w:color w:val="231F20"/>
                <w:spacing w:val="-3"/>
                <w:sz w:val="20"/>
              </w:rPr>
              <w:t> </w:t>
            </w:r>
            <w:r>
              <w:rPr>
                <w:rFonts w:ascii="Calibri"/>
                <w:color w:val="231F20"/>
                <w:sz w:val="20"/>
              </w:rPr>
              <w:t>27,</w:t>
            </w:r>
            <w:r>
              <w:rPr>
                <w:rFonts w:ascii="Calibri"/>
                <w:color w:val="231F20"/>
                <w:spacing w:val="-2"/>
                <w:sz w:val="20"/>
              </w:rPr>
              <w:t> </w:t>
            </w:r>
            <w:r>
              <w:rPr>
                <w:rFonts w:ascii="Calibri"/>
                <w:color w:val="231F20"/>
                <w:sz w:val="20"/>
              </w:rPr>
              <w:t>2022,</w:t>
            </w:r>
            <w:r>
              <w:rPr>
                <w:rFonts w:ascii="Calibri"/>
                <w:color w:val="231F20"/>
                <w:spacing w:val="-2"/>
                <w:sz w:val="20"/>
              </w:rPr>
              <w:t> </w:t>
            </w:r>
            <w:r>
              <w:rPr>
                <w:rFonts w:ascii="Calibri"/>
                <w:color w:val="231F20"/>
                <w:sz w:val="20"/>
              </w:rPr>
              <w:t>the</w:t>
            </w:r>
            <w:r>
              <w:rPr>
                <w:rFonts w:ascii="Calibri"/>
                <w:color w:val="231F20"/>
                <w:spacing w:val="-2"/>
                <w:sz w:val="20"/>
              </w:rPr>
              <w:t> </w:t>
            </w:r>
            <w:r>
              <w:rPr>
                <w:rFonts w:ascii="Calibri"/>
                <w:color w:val="231F20"/>
                <w:sz w:val="20"/>
              </w:rPr>
              <w:t>RPC's</w:t>
            </w:r>
            <w:r>
              <w:rPr>
                <w:rFonts w:ascii="Calibri"/>
                <w:color w:val="231F20"/>
                <w:spacing w:val="-3"/>
                <w:sz w:val="20"/>
              </w:rPr>
              <w:t> </w:t>
            </w:r>
            <w:r>
              <w:rPr>
                <w:rFonts w:ascii="Calibri"/>
                <w:color w:val="231F20"/>
                <w:sz w:val="20"/>
              </w:rPr>
              <w:t>patent</w:t>
            </w:r>
            <w:r>
              <w:rPr>
                <w:rFonts w:ascii="Calibri"/>
                <w:color w:val="231F20"/>
                <w:spacing w:val="-2"/>
                <w:sz w:val="20"/>
              </w:rPr>
              <w:t> </w:t>
            </w:r>
            <w:r>
              <w:rPr>
                <w:rFonts w:ascii="Calibri"/>
                <w:color w:val="231F20"/>
                <w:sz w:val="20"/>
              </w:rPr>
              <w:t>tracker</w:t>
            </w:r>
            <w:r>
              <w:rPr>
                <w:rFonts w:ascii="Calibri"/>
                <w:color w:val="231F20"/>
                <w:spacing w:val="-3"/>
                <w:sz w:val="20"/>
              </w:rPr>
              <w:t> </w:t>
            </w:r>
            <w:r>
              <w:rPr>
                <w:rFonts w:ascii="Calibri"/>
                <w:color w:val="231F20"/>
                <w:sz w:val="20"/>
              </w:rPr>
              <w:t>is</w:t>
            </w:r>
            <w:r>
              <w:rPr>
                <w:rFonts w:ascii="Calibri"/>
                <w:color w:val="231F20"/>
                <w:spacing w:val="-3"/>
                <w:sz w:val="20"/>
              </w:rPr>
              <w:t> </w:t>
            </w:r>
            <w:r>
              <w:rPr>
                <w:rFonts w:ascii="Calibri"/>
                <w:color w:val="231F20"/>
                <w:sz w:val="20"/>
              </w:rPr>
              <w:t>up-to-date</w:t>
            </w:r>
            <w:r>
              <w:rPr>
                <w:rFonts w:ascii="Calibri"/>
                <w:color w:val="231F20"/>
                <w:spacing w:val="-1"/>
                <w:sz w:val="20"/>
              </w:rPr>
              <w:t> </w:t>
            </w:r>
            <w:r>
              <w:rPr>
                <w:rFonts w:ascii="Calibri"/>
                <w:color w:val="231F20"/>
                <w:spacing w:val="-5"/>
                <w:sz w:val="20"/>
              </w:rPr>
              <w:t>and</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rPr>
                <w:rFonts w:ascii="Times New Roman"/>
                <w:sz w:val="16"/>
              </w:rPr>
            </w:pPr>
          </w:p>
        </w:tc>
      </w:tr>
      <w:tr>
        <w:trPr>
          <w:trHeight w:val="244" w:hRule="atLeast"/>
        </w:trPr>
        <w:tc>
          <w:tcPr>
            <w:tcW w:w="1277" w:type="dxa"/>
            <w:tcBorders>
              <w:top w:val="nil"/>
              <w:bottom w:val="nil"/>
            </w:tcBorders>
          </w:tcPr>
          <w:p>
            <w:pPr>
              <w:pStyle w:val="TableParagraph"/>
              <w:rPr>
                <w:rFonts w:ascii="Times New Roman"/>
                <w:sz w:val="16"/>
              </w:rPr>
            </w:pPr>
          </w:p>
        </w:tc>
        <w:tc>
          <w:tcPr>
            <w:tcW w:w="6361" w:type="dxa"/>
            <w:tcBorders>
              <w:top w:val="nil"/>
              <w:bottom w:val="nil"/>
            </w:tcBorders>
          </w:tcPr>
          <w:p>
            <w:pPr>
              <w:pStyle w:val="TableParagraph"/>
              <w:spacing w:line="224" w:lineRule="exact"/>
              <w:ind w:left="107"/>
              <w:rPr>
                <w:rFonts w:ascii="Calibri"/>
                <w:sz w:val="20"/>
              </w:rPr>
            </w:pPr>
            <w:r>
              <w:rPr>
                <w:rFonts w:ascii="Calibri"/>
                <w:color w:val="231F20"/>
                <w:sz w:val="20"/>
              </w:rPr>
              <w:t>all</w:t>
            </w:r>
            <w:r>
              <w:rPr>
                <w:rFonts w:ascii="Calibri"/>
                <w:color w:val="231F20"/>
                <w:spacing w:val="-5"/>
                <w:sz w:val="20"/>
              </w:rPr>
              <w:t> </w:t>
            </w:r>
            <w:r>
              <w:rPr>
                <w:rFonts w:ascii="Calibri"/>
                <w:color w:val="231F20"/>
                <w:sz w:val="20"/>
              </w:rPr>
              <w:t>legal</w:t>
            </w:r>
            <w:r>
              <w:rPr>
                <w:rFonts w:ascii="Calibri"/>
                <w:color w:val="231F20"/>
                <w:spacing w:val="-5"/>
                <w:sz w:val="20"/>
              </w:rPr>
              <w:t> </w:t>
            </w:r>
            <w:r>
              <w:rPr>
                <w:rFonts w:ascii="Calibri"/>
                <w:color w:val="231F20"/>
                <w:sz w:val="20"/>
              </w:rPr>
              <w:t>expense</w:t>
            </w:r>
            <w:r>
              <w:rPr>
                <w:rFonts w:ascii="Calibri"/>
                <w:color w:val="231F20"/>
                <w:spacing w:val="-5"/>
                <w:sz w:val="20"/>
              </w:rPr>
              <w:t> </w:t>
            </w:r>
            <w:r>
              <w:rPr>
                <w:rFonts w:ascii="Calibri"/>
                <w:color w:val="231F20"/>
                <w:sz w:val="20"/>
              </w:rPr>
              <w:t>invoices</w:t>
            </w:r>
            <w:r>
              <w:rPr>
                <w:rFonts w:ascii="Calibri"/>
                <w:color w:val="231F20"/>
                <w:spacing w:val="-5"/>
                <w:sz w:val="20"/>
              </w:rPr>
              <w:t> </w:t>
            </w:r>
            <w:r>
              <w:rPr>
                <w:rFonts w:ascii="Calibri"/>
                <w:color w:val="231F20"/>
                <w:sz w:val="20"/>
              </w:rPr>
              <w:t>through</w:t>
            </w:r>
            <w:r>
              <w:rPr>
                <w:rFonts w:ascii="Calibri"/>
                <w:color w:val="231F20"/>
                <w:spacing w:val="-5"/>
                <w:sz w:val="20"/>
              </w:rPr>
              <w:t> </w:t>
            </w:r>
            <w:r>
              <w:rPr>
                <w:rFonts w:ascii="Calibri"/>
                <w:color w:val="231F20"/>
                <w:sz w:val="20"/>
              </w:rPr>
              <w:t>September</w:t>
            </w:r>
            <w:r>
              <w:rPr>
                <w:rFonts w:ascii="Calibri"/>
                <w:color w:val="231F20"/>
                <w:spacing w:val="-6"/>
                <w:sz w:val="20"/>
              </w:rPr>
              <w:t> </w:t>
            </w:r>
            <w:r>
              <w:rPr>
                <w:rFonts w:ascii="Calibri"/>
                <w:color w:val="231F20"/>
                <w:sz w:val="20"/>
              </w:rPr>
              <w:t>30,</w:t>
            </w:r>
            <w:r>
              <w:rPr>
                <w:rFonts w:ascii="Calibri"/>
                <w:color w:val="231F20"/>
                <w:spacing w:val="-5"/>
                <w:sz w:val="20"/>
              </w:rPr>
              <w:t> </w:t>
            </w:r>
            <w:r>
              <w:rPr>
                <w:rFonts w:ascii="Calibri"/>
                <w:color w:val="231F20"/>
                <w:sz w:val="20"/>
              </w:rPr>
              <w:t>2022</w:t>
            </w:r>
            <w:r>
              <w:rPr>
                <w:rFonts w:ascii="Calibri"/>
                <w:color w:val="231F20"/>
                <w:spacing w:val="-6"/>
                <w:sz w:val="20"/>
              </w:rPr>
              <w:t> </w:t>
            </w:r>
            <w:r>
              <w:rPr>
                <w:rFonts w:ascii="Calibri"/>
                <w:color w:val="231F20"/>
                <w:sz w:val="20"/>
              </w:rPr>
              <w:t>service</w:t>
            </w:r>
            <w:r>
              <w:rPr>
                <w:rFonts w:ascii="Calibri"/>
                <w:color w:val="231F20"/>
                <w:spacing w:val="-5"/>
                <w:sz w:val="20"/>
              </w:rPr>
              <w:t> </w:t>
            </w:r>
            <w:r>
              <w:rPr>
                <w:rFonts w:ascii="Calibri"/>
                <w:color w:val="231F20"/>
                <w:sz w:val="20"/>
              </w:rPr>
              <w:t>dates</w:t>
            </w:r>
            <w:r>
              <w:rPr>
                <w:rFonts w:ascii="Calibri"/>
                <w:color w:val="231F20"/>
                <w:spacing w:val="-6"/>
                <w:sz w:val="20"/>
              </w:rPr>
              <w:t> </w:t>
            </w:r>
            <w:r>
              <w:rPr>
                <w:rFonts w:ascii="Calibri"/>
                <w:color w:val="231F20"/>
                <w:spacing w:val="-4"/>
                <w:sz w:val="20"/>
              </w:rPr>
              <w:t>have</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rPr>
                <w:rFonts w:ascii="Times New Roman"/>
                <w:sz w:val="16"/>
              </w:rPr>
            </w:pPr>
          </w:p>
        </w:tc>
      </w:tr>
      <w:tr>
        <w:trPr>
          <w:trHeight w:val="244" w:hRule="atLeast"/>
        </w:trPr>
        <w:tc>
          <w:tcPr>
            <w:tcW w:w="1277" w:type="dxa"/>
            <w:tcBorders>
              <w:top w:val="nil"/>
              <w:bottom w:val="nil"/>
            </w:tcBorders>
          </w:tcPr>
          <w:p>
            <w:pPr>
              <w:pStyle w:val="TableParagraph"/>
              <w:rPr>
                <w:rFonts w:ascii="Times New Roman"/>
                <w:sz w:val="16"/>
              </w:rPr>
            </w:pPr>
          </w:p>
        </w:tc>
        <w:tc>
          <w:tcPr>
            <w:tcW w:w="6361" w:type="dxa"/>
            <w:tcBorders>
              <w:top w:val="nil"/>
              <w:bottom w:val="nil"/>
            </w:tcBorders>
          </w:tcPr>
          <w:p>
            <w:pPr>
              <w:pStyle w:val="TableParagraph"/>
              <w:spacing w:line="224" w:lineRule="exact"/>
              <w:ind w:left="107"/>
              <w:rPr>
                <w:rFonts w:ascii="Calibri"/>
                <w:sz w:val="20"/>
              </w:rPr>
            </w:pPr>
            <w:r>
              <w:rPr>
                <w:rFonts w:ascii="Calibri"/>
                <w:color w:val="231F20"/>
                <w:sz w:val="20"/>
              </w:rPr>
              <w:t>been</w:t>
            </w:r>
            <w:r>
              <w:rPr>
                <w:rFonts w:ascii="Calibri"/>
                <w:color w:val="231F20"/>
                <w:spacing w:val="-6"/>
                <w:sz w:val="20"/>
              </w:rPr>
              <w:t> </w:t>
            </w:r>
            <w:r>
              <w:rPr>
                <w:rFonts w:ascii="Calibri"/>
                <w:color w:val="231F20"/>
                <w:sz w:val="20"/>
              </w:rPr>
              <w:t>received</w:t>
            </w:r>
            <w:r>
              <w:rPr>
                <w:rFonts w:ascii="Calibri"/>
                <w:color w:val="231F20"/>
                <w:spacing w:val="-4"/>
                <w:sz w:val="20"/>
              </w:rPr>
              <w:t> </w:t>
            </w:r>
            <w:r>
              <w:rPr>
                <w:rFonts w:ascii="Calibri"/>
                <w:color w:val="231F20"/>
                <w:sz w:val="20"/>
              </w:rPr>
              <w:t>by</w:t>
            </w:r>
            <w:r>
              <w:rPr>
                <w:rFonts w:ascii="Calibri"/>
                <w:color w:val="231F20"/>
                <w:spacing w:val="-3"/>
                <w:sz w:val="20"/>
              </w:rPr>
              <w:t> </w:t>
            </w:r>
            <w:r>
              <w:rPr>
                <w:rFonts w:ascii="Calibri"/>
                <w:color w:val="231F20"/>
                <w:sz w:val="20"/>
              </w:rPr>
              <w:t>the</w:t>
            </w:r>
            <w:r>
              <w:rPr>
                <w:rFonts w:ascii="Calibri"/>
                <w:color w:val="231F20"/>
                <w:spacing w:val="-4"/>
                <w:sz w:val="20"/>
              </w:rPr>
              <w:t> </w:t>
            </w:r>
            <w:r>
              <w:rPr>
                <w:rFonts w:ascii="Calibri"/>
                <w:color w:val="231F20"/>
                <w:sz w:val="20"/>
              </w:rPr>
              <w:t>legal</w:t>
            </w:r>
            <w:r>
              <w:rPr>
                <w:rFonts w:ascii="Calibri"/>
                <w:color w:val="231F20"/>
                <w:spacing w:val="-3"/>
                <w:sz w:val="20"/>
              </w:rPr>
              <w:t> </w:t>
            </w:r>
            <w:r>
              <w:rPr>
                <w:rFonts w:ascii="Calibri"/>
                <w:color w:val="231F20"/>
                <w:sz w:val="20"/>
              </w:rPr>
              <w:t>firms</w:t>
            </w:r>
            <w:r>
              <w:rPr>
                <w:rFonts w:ascii="Calibri"/>
                <w:color w:val="231F20"/>
                <w:spacing w:val="-3"/>
                <w:sz w:val="20"/>
              </w:rPr>
              <w:t> </w:t>
            </w:r>
            <w:r>
              <w:rPr>
                <w:rFonts w:ascii="Calibri"/>
                <w:color w:val="231F20"/>
                <w:sz w:val="20"/>
              </w:rPr>
              <w:t>and</w:t>
            </w:r>
            <w:r>
              <w:rPr>
                <w:rFonts w:ascii="Calibri"/>
                <w:color w:val="231F20"/>
                <w:spacing w:val="-4"/>
                <w:sz w:val="20"/>
              </w:rPr>
              <w:t> </w:t>
            </w:r>
            <w:r>
              <w:rPr>
                <w:rFonts w:ascii="Calibri"/>
                <w:color w:val="231F20"/>
                <w:sz w:val="20"/>
              </w:rPr>
              <w:t>reviewed.</w:t>
            </w:r>
            <w:r>
              <w:rPr>
                <w:rFonts w:ascii="Calibri"/>
                <w:color w:val="231F20"/>
                <w:spacing w:val="-4"/>
                <w:sz w:val="20"/>
              </w:rPr>
              <w:t> </w:t>
            </w:r>
            <w:r>
              <w:rPr>
                <w:rFonts w:ascii="Calibri"/>
                <w:color w:val="231F20"/>
                <w:sz w:val="20"/>
              </w:rPr>
              <w:t>As</w:t>
            </w:r>
            <w:r>
              <w:rPr>
                <w:rFonts w:ascii="Calibri"/>
                <w:color w:val="231F20"/>
                <w:spacing w:val="-5"/>
                <w:sz w:val="20"/>
              </w:rPr>
              <w:t> </w:t>
            </w:r>
            <w:r>
              <w:rPr>
                <w:rFonts w:ascii="Calibri"/>
                <w:color w:val="231F20"/>
                <w:sz w:val="20"/>
              </w:rPr>
              <w:t>of</w:t>
            </w:r>
            <w:r>
              <w:rPr>
                <w:rFonts w:ascii="Calibri"/>
                <w:color w:val="231F20"/>
                <w:spacing w:val="-4"/>
                <w:sz w:val="20"/>
              </w:rPr>
              <w:t> </w:t>
            </w:r>
            <w:r>
              <w:rPr>
                <w:rFonts w:ascii="Calibri"/>
                <w:color w:val="231F20"/>
                <w:sz w:val="20"/>
              </w:rPr>
              <w:t>July</w:t>
            </w:r>
            <w:r>
              <w:rPr>
                <w:rFonts w:ascii="Calibri"/>
                <w:color w:val="231F20"/>
                <w:spacing w:val="-4"/>
                <w:sz w:val="20"/>
              </w:rPr>
              <w:t> </w:t>
            </w:r>
            <w:r>
              <w:rPr>
                <w:rFonts w:ascii="Calibri"/>
                <w:color w:val="231F20"/>
                <w:sz w:val="20"/>
              </w:rPr>
              <w:t>30,</w:t>
            </w:r>
            <w:r>
              <w:rPr>
                <w:rFonts w:ascii="Calibri"/>
                <w:color w:val="231F20"/>
                <w:spacing w:val="-4"/>
                <w:sz w:val="20"/>
              </w:rPr>
              <w:t> </w:t>
            </w:r>
            <w:r>
              <w:rPr>
                <w:rFonts w:ascii="Calibri"/>
                <w:color w:val="231F20"/>
                <w:sz w:val="20"/>
              </w:rPr>
              <w:t>2022,</w:t>
            </w:r>
            <w:r>
              <w:rPr>
                <w:rFonts w:ascii="Calibri"/>
                <w:color w:val="231F20"/>
                <w:spacing w:val="-3"/>
                <w:sz w:val="20"/>
              </w:rPr>
              <w:t> </w:t>
            </w:r>
            <w:r>
              <w:rPr>
                <w:rFonts w:ascii="Calibri"/>
                <w:color w:val="231F20"/>
                <w:spacing w:val="-5"/>
                <w:sz w:val="20"/>
              </w:rPr>
              <w:t>an</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rPr>
                <w:rFonts w:ascii="Times New Roman"/>
                <w:sz w:val="16"/>
              </w:rPr>
            </w:pPr>
          </w:p>
        </w:tc>
      </w:tr>
      <w:tr>
        <w:trPr>
          <w:trHeight w:val="243" w:hRule="atLeast"/>
        </w:trPr>
        <w:tc>
          <w:tcPr>
            <w:tcW w:w="1277" w:type="dxa"/>
            <w:tcBorders>
              <w:top w:val="nil"/>
              <w:bottom w:val="nil"/>
            </w:tcBorders>
          </w:tcPr>
          <w:p>
            <w:pPr>
              <w:pStyle w:val="TableParagraph"/>
              <w:rPr>
                <w:rFonts w:ascii="Times New Roman"/>
                <w:sz w:val="16"/>
              </w:rPr>
            </w:pPr>
          </w:p>
        </w:tc>
        <w:tc>
          <w:tcPr>
            <w:tcW w:w="6361" w:type="dxa"/>
            <w:tcBorders>
              <w:top w:val="nil"/>
              <w:bottom w:val="nil"/>
            </w:tcBorders>
          </w:tcPr>
          <w:p>
            <w:pPr>
              <w:pStyle w:val="TableParagraph"/>
              <w:spacing w:line="224" w:lineRule="exact"/>
              <w:ind w:left="107"/>
              <w:rPr>
                <w:rFonts w:ascii="Calibri"/>
                <w:sz w:val="20"/>
              </w:rPr>
            </w:pPr>
            <w:r>
              <w:rPr>
                <w:rFonts w:ascii="Calibri"/>
                <w:color w:val="231F20"/>
                <w:sz w:val="20"/>
              </w:rPr>
              <w:t>Intellectual</w:t>
            </w:r>
            <w:r>
              <w:rPr>
                <w:rFonts w:ascii="Calibri"/>
                <w:color w:val="231F20"/>
                <w:spacing w:val="-5"/>
                <w:sz w:val="20"/>
              </w:rPr>
              <w:t> </w:t>
            </w:r>
            <w:r>
              <w:rPr>
                <w:rFonts w:ascii="Calibri"/>
                <w:color w:val="231F20"/>
                <w:sz w:val="20"/>
              </w:rPr>
              <w:t>Property</w:t>
            </w:r>
            <w:r>
              <w:rPr>
                <w:rFonts w:ascii="Calibri"/>
                <w:color w:val="231F20"/>
                <w:spacing w:val="-6"/>
                <w:sz w:val="20"/>
              </w:rPr>
              <w:t> </w:t>
            </w:r>
            <w:r>
              <w:rPr>
                <w:rFonts w:ascii="Calibri"/>
                <w:color w:val="231F20"/>
                <w:sz w:val="20"/>
              </w:rPr>
              <w:t>(IP)</w:t>
            </w:r>
            <w:r>
              <w:rPr>
                <w:rFonts w:ascii="Calibri"/>
                <w:color w:val="231F20"/>
                <w:spacing w:val="-6"/>
                <w:sz w:val="20"/>
              </w:rPr>
              <w:t> </w:t>
            </w:r>
            <w:r>
              <w:rPr>
                <w:rFonts w:ascii="Calibri"/>
                <w:color w:val="231F20"/>
                <w:sz w:val="20"/>
              </w:rPr>
              <w:t>Management</w:t>
            </w:r>
            <w:r>
              <w:rPr>
                <w:rFonts w:ascii="Calibri"/>
                <w:color w:val="231F20"/>
                <w:spacing w:val="-5"/>
                <w:sz w:val="20"/>
              </w:rPr>
              <w:t> </w:t>
            </w:r>
            <w:r>
              <w:rPr>
                <w:rFonts w:ascii="Calibri"/>
                <w:color w:val="231F20"/>
                <w:sz w:val="20"/>
              </w:rPr>
              <w:t>software</w:t>
            </w:r>
            <w:r>
              <w:rPr>
                <w:rFonts w:ascii="Calibri"/>
                <w:color w:val="231F20"/>
                <w:spacing w:val="-5"/>
                <w:sz w:val="20"/>
              </w:rPr>
              <w:t> </w:t>
            </w:r>
            <w:r>
              <w:rPr>
                <w:rFonts w:ascii="Calibri"/>
                <w:color w:val="231F20"/>
                <w:sz w:val="20"/>
              </w:rPr>
              <w:t>program</w:t>
            </w:r>
            <w:r>
              <w:rPr>
                <w:rFonts w:ascii="Calibri"/>
                <w:color w:val="231F20"/>
                <w:spacing w:val="-8"/>
                <w:sz w:val="20"/>
              </w:rPr>
              <w:t> </w:t>
            </w:r>
            <w:r>
              <w:rPr>
                <w:rFonts w:ascii="Calibri"/>
                <w:color w:val="231F20"/>
                <w:sz w:val="20"/>
              </w:rPr>
              <w:t>has</w:t>
            </w:r>
            <w:r>
              <w:rPr>
                <w:rFonts w:ascii="Calibri"/>
                <w:color w:val="231F20"/>
                <w:spacing w:val="-4"/>
                <w:sz w:val="20"/>
              </w:rPr>
              <w:t> been</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rPr>
                <w:rFonts w:ascii="Times New Roman"/>
                <w:sz w:val="16"/>
              </w:rPr>
            </w:pPr>
          </w:p>
        </w:tc>
      </w:tr>
      <w:tr>
        <w:trPr>
          <w:trHeight w:val="244" w:hRule="atLeast"/>
        </w:trPr>
        <w:tc>
          <w:tcPr>
            <w:tcW w:w="1277" w:type="dxa"/>
            <w:tcBorders>
              <w:top w:val="nil"/>
              <w:bottom w:val="nil"/>
            </w:tcBorders>
          </w:tcPr>
          <w:p>
            <w:pPr>
              <w:pStyle w:val="TableParagraph"/>
              <w:rPr>
                <w:rFonts w:ascii="Times New Roman"/>
                <w:sz w:val="16"/>
              </w:rPr>
            </w:pPr>
          </w:p>
        </w:tc>
        <w:tc>
          <w:tcPr>
            <w:tcW w:w="6361" w:type="dxa"/>
            <w:tcBorders>
              <w:top w:val="nil"/>
              <w:bottom w:val="nil"/>
            </w:tcBorders>
          </w:tcPr>
          <w:p>
            <w:pPr>
              <w:pStyle w:val="TableParagraph"/>
              <w:spacing w:line="224" w:lineRule="exact"/>
              <w:ind w:left="107"/>
              <w:rPr>
                <w:rFonts w:ascii="Calibri"/>
                <w:sz w:val="20"/>
              </w:rPr>
            </w:pPr>
            <w:r>
              <w:rPr>
                <w:rFonts w:ascii="Calibri"/>
                <w:color w:val="231F20"/>
                <w:sz w:val="20"/>
              </w:rPr>
              <w:t>implemented</w:t>
            </w:r>
            <w:r>
              <w:rPr>
                <w:rFonts w:ascii="Calibri"/>
                <w:color w:val="231F20"/>
                <w:spacing w:val="-4"/>
                <w:sz w:val="20"/>
              </w:rPr>
              <w:t> </w:t>
            </w:r>
            <w:r>
              <w:rPr>
                <w:rFonts w:ascii="Calibri"/>
                <w:color w:val="231F20"/>
                <w:sz w:val="20"/>
              </w:rPr>
              <w:t>to</w:t>
            </w:r>
            <w:r>
              <w:rPr>
                <w:rFonts w:ascii="Calibri"/>
                <w:color w:val="231F20"/>
                <w:spacing w:val="-4"/>
                <w:sz w:val="20"/>
              </w:rPr>
              <w:t> </w:t>
            </w:r>
            <w:r>
              <w:rPr>
                <w:rFonts w:ascii="Calibri"/>
                <w:color w:val="231F20"/>
                <w:sz w:val="20"/>
              </w:rPr>
              <w:t>track</w:t>
            </w:r>
            <w:r>
              <w:rPr>
                <w:rFonts w:ascii="Calibri"/>
                <w:color w:val="231F20"/>
                <w:spacing w:val="-5"/>
                <w:sz w:val="20"/>
              </w:rPr>
              <w:t> </w:t>
            </w:r>
            <w:r>
              <w:rPr>
                <w:rFonts w:ascii="Calibri"/>
                <w:color w:val="231F20"/>
                <w:sz w:val="20"/>
              </w:rPr>
              <w:t>and</w:t>
            </w:r>
            <w:r>
              <w:rPr>
                <w:rFonts w:ascii="Calibri"/>
                <w:color w:val="231F20"/>
                <w:spacing w:val="-4"/>
                <w:sz w:val="20"/>
              </w:rPr>
              <w:t> </w:t>
            </w:r>
            <w:r>
              <w:rPr>
                <w:rFonts w:ascii="Calibri"/>
                <w:color w:val="231F20"/>
                <w:sz w:val="20"/>
              </w:rPr>
              <w:t>manage</w:t>
            </w:r>
            <w:r>
              <w:rPr>
                <w:rFonts w:ascii="Calibri"/>
                <w:color w:val="231F20"/>
                <w:spacing w:val="-6"/>
                <w:sz w:val="20"/>
              </w:rPr>
              <w:t> </w:t>
            </w:r>
            <w:r>
              <w:rPr>
                <w:rFonts w:ascii="Calibri"/>
                <w:color w:val="231F20"/>
                <w:sz w:val="20"/>
              </w:rPr>
              <w:t>all</w:t>
            </w:r>
            <w:r>
              <w:rPr>
                <w:rFonts w:ascii="Calibri"/>
                <w:color w:val="231F20"/>
                <w:spacing w:val="-4"/>
                <w:sz w:val="20"/>
              </w:rPr>
              <w:t> </w:t>
            </w:r>
            <w:r>
              <w:rPr>
                <w:rFonts w:ascii="Calibri"/>
                <w:color w:val="231F20"/>
                <w:sz w:val="20"/>
              </w:rPr>
              <w:t>RPC</w:t>
            </w:r>
            <w:r>
              <w:rPr>
                <w:rFonts w:ascii="Calibri"/>
                <w:color w:val="231F20"/>
                <w:spacing w:val="-4"/>
                <w:sz w:val="20"/>
              </w:rPr>
              <w:t> </w:t>
            </w:r>
            <w:r>
              <w:rPr>
                <w:rFonts w:ascii="Calibri"/>
                <w:color w:val="231F20"/>
                <w:sz w:val="20"/>
              </w:rPr>
              <w:t>IP,</w:t>
            </w:r>
            <w:r>
              <w:rPr>
                <w:rFonts w:ascii="Calibri"/>
                <w:color w:val="231F20"/>
                <w:spacing w:val="-4"/>
                <w:sz w:val="20"/>
              </w:rPr>
              <w:t> </w:t>
            </w:r>
            <w:r>
              <w:rPr>
                <w:rFonts w:ascii="Calibri"/>
                <w:color w:val="231F20"/>
                <w:sz w:val="20"/>
              </w:rPr>
              <w:t>including</w:t>
            </w:r>
            <w:r>
              <w:rPr>
                <w:rFonts w:ascii="Calibri"/>
                <w:color w:val="231F20"/>
                <w:spacing w:val="-5"/>
                <w:sz w:val="20"/>
              </w:rPr>
              <w:t> </w:t>
            </w:r>
            <w:r>
              <w:rPr>
                <w:rFonts w:ascii="Calibri"/>
                <w:color w:val="231F20"/>
                <w:sz w:val="20"/>
              </w:rPr>
              <w:t>new</w:t>
            </w:r>
            <w:r>
              <w:rPr>
                <w:rFonts w:ascii="Calibri"/>
                <w:color w:val="231F20"/>
                <w:spacing w:val="-6"/>
                <w:sz w:val="20"/>
              </w:rPr>
              <w:t> </w:t>
            </w:r>
            <w:r>
              <w:rPr>
                <w:rFonts w:ascii="Calibri"/>
                <w:color w:val="231F20"/>
                <w:sz w:val="20"/>
              </w:rPr>
              <w:t>patents</w:t>
            </w:r>
            <w:r>
              <w:rPr>
                <w:rFonts w:ascii="Calibri"/>
                <w:color w:val="231F20"/>
                <w:spacing w:val="-3"/>
                <w:sz w:val="20"/>
              </w:rPr>
              <w:t> </w:t>
            </w:r>
            <w:r>
              <w:rPr>
                <w:rFonts w:ascii="Calibri"/>
                <w:color w:val="231F20"/>
                <w:spacing w:val="-5"/>
                <w:sz w:val="20"/>
              </w:rPr>
              <w:t>and</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rPr>
                <w:rFonts w:ascii="Times New Roman"/>
                <w:sz w:val="16"/>
              </w:rPr>
            </w:pPr>
          </w:p>
        </w:tc>
      </w:tr>
      <w:tr>
        <w:trPr>
          <w:trHeight w:val="244" w:hRule="atLeast"/>
        </w:trPr>
        <w:tc>
          <w:tcPr>
            <w:tcW w:w="1277" w:type="dxa"/>
            <w:tcBorders>
              <w:top w:val="nil"/>
              <w:bottom w:val="nil"/>
            </w:tcBorders>
          </w:tcPr>
          <w:p>
            <w:pPr>
              <w:pStyle w:val="TableParagraph"/>
              <w:rPr>
                <w:rFonts w:ascii="Times New Roman"/>
                <w:sz w:val="16"/>
              </w:rPr>
            </w:pPr>
          </w:p>
        </w:tc>
        <w:tc>
          <w:tcPr>
            <w:tcW w:w="6361" w:type="dxa"/>
            <w:tcBorders>
              <w:top w:val="nil"/>
              <w:bottom w:val="nil"/>
            </w:tcBorders>
          </w:tcPr>
          <w:p>
            <w:pPr>
              <w:pStyle w:val="TableParagraph"/>
              <w:spacing w:line="224" w:lineRule="exact"/>
              <w:ind w:left="107"/>
              <w:rPr>
                <w:rFonts w:ascii="Calibri"/>
                <w:sz w:val="20"/>
              </w:rPr>
            </w:pPr>
            <w:r>
              <w:rPr>
                <w:rFonts w:ascii="Calibri"/>
                <w:color w:val="231F20"/>
                <w:sz w:val="20"/>
              </w:rPr>
              <w:t>applications.</w:t>
            </w:r>
            <w:r>
              <w:rPr>
                <w:rFonts w:ascii="Calibri"/>
                <w:color w:val="231F20"/>
                <w:spacing w:val="-6"/>
                <w:sz w:val="20"/>
              </w:rPr>
              <w:t> </w:t>
            </w:r>
            <w:r>
              <w:rPr>
                <w:rFonts w:ascii="Calibri"/>
                <w:color w:val="231F20"/>
                <w:sz w:val="20"/>
              </w:rPr>
              <w:t>The</w:t>
            </w:r>
            <w:r>
              <w:rPr>
                <w:rFonts w:ascii="Calibri"/>
                <w:color w:val="231F20"/>
                <w:spacing w:val="-5"/>
                <w:sz w:val="20"/>
              </w:rPr>
              <w:t> </w:t>
            </w:r>
            <w:r>
              <w:rPr>
                <w:rFonts w:ascii="Calibri"/>
                <w:color w:val="231F20"/>
                <w:sz w:val="20"/>
              </w:rPr>
              <w:t>market</w:t>
            </w:r>
            <w:r>
              <w:rPr>
                <w:rFonts w:ascii="Calibri"/>
                <w:color w:val="231F20"/>
                <w:spacing w:val="-6"/>
                <w:sz w:val="20"/>
              </w:rPr>
              <w:t> </w:t>
            </w:r>
            <w:r>
              <w:rPr>
                <w:rFonts w:ascii="Calibri"/>
                <w:color w:val="231F20"/>
                <w:sz w:val="20"/>
              </w:rPr>
              <w:t>value</w:t>
            </w:r>
            <w:r>
              <w:rPr>
                <w:rFonts w:ascii="Calibri"/>
                <w:color w:val="231F20"/>
                <w:spacing w:val="-5"/>
                <w:sz w:val="20"/>
              </w:rPr>
              <w:t> </w:t>
            </w:r>
            <w:r>
              <w:rPr>
                <w:rFonts w:ascii="Calibri"/>
                <w:color w:val="231F20"/>
                <w:sz w:val="20"/>
              </w:rPr>
              <w:t>of</w:t>
            </w:r>
            <w:r>
              <w:rPr>
                <w:rFonts w:ascii="Calibri"/>
                <w:color w:val="231F20"/>
                <w:spacing w:val="-6"/>
                <w:sz w:val="20"/>
              </w:rPr>
              <w:t> </w:t>
            </w:r>
            <w:r>
              <w:rPr>
                <w:rFonts w:ascii="Calibri"/>
                <w:color w:val="231F20"/>
                <w:sz w:val="20"/>
              </w:rPr>
              <w:t>Investments</w:t>
            </w:r>
            <w:r>
              <w:rPr>
                <w:rFonts w:ascii="Calibri"/>
                <w:color w:val="231F20"/>
                <w:spacing w:val="-6"/>
                <w:sz w:val="20"/>
              </w:rPr>
              <w:t> </w:t>
            </w:r>
            <w:r>
              <w:rPr>
                <w:rFonts w:ascii="Calibri"/>
                <w:color w:val="231F20"/>
                <w:sz w:val="20"/>
              </w:rPr>
              <w:t>will</w:t>
            </w:r>
            <w:r>
              <w:rPr>
                <w:rFonts w:ascii="Calibri"/>
                <w:color w:val="231F20"/>
                <w:spacing w:val="-5"/>
                <w:sz w:val="20"/>
              </w:rPr>
              <w:t> </w:t>
            </w:r>
            <w:r>
              <w:rPr>
                <w:rFonts w:ascii="Calibri"/>
                <w:color w:val="231F20"/>
                <w:sz w:val="20"/>
              </w:rPr>
              <w:t>be</w:t>
            </w:r>
            <w:r>
              <w:rPr>
                <w:rFonts w:ascii="Calibri"/>
                <w:color w:val="231F20"/>
                <w:spacing w:val="-5"/>
                <w:sz w:val="20"/>
              </w:rPr>
              <w:t> </w:t>
            </w:r>
            <w:r>
              <w:rPr>
                <w:rFonts w:ascii="Calibri"/>
                <w:color w:val="231F20"/>
                <w:sz w:val="20"/>
              </w:rPr>
              <w:t>reviewed</w:t>
            </w:r>
            <w:r>
              <w:rPr>
                <w:rFonts w:ascii="Calibri"/>
                <w:color w:val="231F20"/>
                <w:spacing w:val="-5"/>
                <w:sz w:val="20"/>
              </w:rPr>
              <w:t> and</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rPr>
                <w:rFonts w:ascii="Times New Roman"/>
                <w:sz w:val="16"/>
              </w:rPr>
            </w:pPr>
          </w:p>
        </w:tc>
      </w:tr>
      <w:tr>
        <w:trPr>
          <w:trHeight w:val="366" w:hRule="atLeast"/>
        </w:trPr>
        <w:tc>
          <w:tcPr>
            <w:tcW w:w="1277" w:type="dxa"/>
            <w:tcBorders>
              <w:top w:val="nil"/>
              <w:bottom w:val="nil"/>
            </w:tcBorders>
          </w:tcPr>
          <w:p>
            <w:pPr>
              <w:pStyle w:val="TableParagraph"/>
              <w:rPr>
                <w:rFonts w:ascii="Times New Roman"/>
                <w:sz w:val="20"/>
              </w:rPr>
            </w:pPr>
          </w:p>
        </w:tc>
        <w:tc>
          <w:tcPr>
            <w:tcW w:w="6361" w:type="dxa"/>
            <w:tcBorders>
              <w:top w:val="nil"/>
              <w:bottom w:val="nil"/>
            </w:tcBorders>
          </w:tcPr>
          <w:p>
            <w:pPr>
              <w:pStyle w:val="TableParagraph"/>
              <w:spacing w:line="226" w:lineRule="exact"/>
              <w:ind w:left="107"/>
              <w:rPr>
                <w:rFonts w:ascii="Calibri"/>
                <w:sz w:val="20"/>
              </w:rPr>
            </w:pPr>
            <w:r>
              <w:rPr>
                <w:rFonts w:ascii="Calibri"/>
                <w:color w:val="231F20"/>
                <w:sz w:val="20"/>
              </w:rPr>
              <w:t>adjusted</w:t>
            </w:r>
            <w:r>
              <w:rPr>
                <w:rFonts w:ascii="Calibri"/>
                <w:color w:val="231F20"/>
                <w:spacing w:val="-4"/>
                <w:sz w:val="20"/>
              </w:rPr>
              <w:t> </w:t>
            </w:r>
            <w:r>
              <w:rPr>
                <w:rFonts w:ascii="Calibri"/>
                <w:color w:val="231F20"/>
                <w:sz w:val="20"/>
              </w:rPr>
              <w:t>in</w:t>
            </w:r>
            <w:r>
              <w:rPr>
                <w:rFonts w:ascii="Calibri"/>
                <w:color w:val="231F20"/>
                <w:spacing w:val="-5"/>
                <w:sz w:val="20"/>
              </w:rPr>
              <w:t> </w:t>
            </w:r>
            <w:r>
              <w:rPr>
                <w:rFonts w:ascii="Calibri"/>
                <w:color w:val="231F20"/>
                <w:sz w:val="20"/>
              </w:rPr>
              <w:t>a</w:t>
            </w:r>
            <w:r>
              <w:rPr>
                <w:rFonts w:ascii="Calibri"/>
                <w:color w:val="231F20"/>
                <w:spacing w:val="-4"/>
                <w:sz w:val="20"/>
              </w:rPr>
              <w:t> </w:t>
            </w:r>
            <w:r>
              <w:rPr>
                <w:rFonts w:ascii="Calibri"/>
                <w:color w:val="231F20"/>
                <w:sz w:val="20"/>
              </w:rPr>
              <w:t>timely</w:t>
            </w:r>
            <w:r>
              <w:rPr>
                <w:rFonts w:ascii="Calibri"/>
                <w:color w:val="231F20"/>
                <w:spacing w:val="-2"/>
                <w:sz w:val="20"/>
              </w:rPr>
              <w:t> manner.</w:t>
            </w:r>
          </w:p>
        </w:tc>
        <w:tc>
          <w:tcPr>
            <w:tcW w:w="1619" w:type="dxa"/>
            <w:tcBorders>
              <w:top w:val="nil"/>
              <w:bottom w:val="nil"/>
            </w:tcBorders>
          </w:tcPr>
          <w:p>
            <w:pPr>
              <w:pStyle w:val="TableParagraph"/>
              <w:rPr>
                <w:rFonts w:ascii="Times New Roman"/>
                <w:sz w:val="20"/>
              </w:rPr>
            </w:pPr>
          </w:p>
        </w:tc>
        <w:tc>
          <w:tcPr>
            <w:tcW w:w="1723" w:type="dxa"/>
            <w:tcBorders>
              <w:top w:val="nil"/>
              <w:bottom w:val="nil"/>
            </w:tcBorders>
          </w:tcPr>
          <w:p>
            <w:pPr>
              <w:pStyle w:val="TableParagraph"/>
              <w:rPr>
                <w:rFonts w:ascii="Times New Roman"/>
                <w:sz w:val="20"/>
              </w:rPr>
            </w:pPr>
          </w:p>
        </w:tc>
      </w:tr>
      <w:tr>
        <w:trPr>
          <w:trHeight w:val="366" w:hRule="atLeast"/>
        </w:trPr>
        <w:tc>
          <w:tcPr>
            <w:tcW w:w="1277" w:type="dxa"/>
            <w:tcBorders>
              <w:top w:val="nil"/>
              <w:bottom w:val="nil"/>
            </w:tcBorders>
          </w:tcPr>
          <w:p>
            <w:pPr>
              <w:pStyle w:val="TableParagraph"/>
              <w:rPr>
                <w:rFonts w:ascii="Times New Roman"/>
                <w:sz w:val="20"/>
              </w:rPr>
            </w:pPr>
          </w:p>
        </w:tc>
        <w:tc>
          <w:tcPr>
            <w:tcW w:w="6361" w:type="dxa"/>
            <w:tcBorders>
              <w:top w:val="nil"/>
              <w:bottom w:val="nil"/>
            </w:tcBorders>
          </w:tcPr>
          <w:p>
            <w:pPr>
              <w:pStyle w:val="TableParagraph"/>
              <w:spacing w:line="243" w:lineRule="exact" w:before="104"/>
              <w:ind w:left="107"/>
              <w:rPr>
                <w:rFonts w:ascii="Calibri"/>
                <w:sz w:val="20"/>
              </w:rPr>
            </w:pPr>
            <w:r>
              <w:rPr>
                <w:rFonts w:ascii="Calibri"/>
                <w:color w:val="231F20"/>
                <w:sz w:val="20"/>
              </w:rPr>
              <w:t>A</w:t>
            </w:r>
            <w:r>
              <w:rPr>
                <w:rFonts w:ascii="Calibri"/>
                <w:color w:val="231F20"/>
                <w:spacing w:val="-4"/>
                <w:sz w:val="20"/>
              </w:rPr>
              <w:t> </w:t>
            </w:r>
            <w:r>
              <w:rPr>
                <w:rFonts w:ascii="Calibri"/>
                <w:color w:val="231F20"/>
                <w:sz w:val="20"/>
              </w:rPr>
              <w:t>review</w:t>
            </w:r>
            <w:r>
              <w:rPr>
                <w:rFonts w:ascii="Calibri"/>
                <w:color w:val="231F20"/>
                <w:spacing w:val="-6"/>
                <w:sz w:val="20"/>
              </w:rPr>
              <w:t> </w:t>
            </w:r>
            <w:r>
              <w:rPr>
                <w:rFonts w:ascii="Calibri"/>
                <w:color w:val="231F20"/>
                <w:sz w:val="20"/>
              </w:rPr>
              <w:t>of</w:t>
            </w:r>
            <w:r>
              <w:rPr>
                <w:rFonts w:ascii="Calibri"/>
                <w:color w:val="231F20"/>
                <w:spacing w:val="-5"/>
                <w:sz w:val="20"/>
              </w:rPr>
              <w:t> </w:t>
            </w:r>
            <w:r>
              <w:rPr>
                <w:rFonts w:ascii="Calibri"/>
                <w:color w:val="231F20"/>
                <w:sz w:val="20"/>
              </w:rPr>
              <w:t>the</w:t>
            </w:r>
            <w:r>
              <w:rPr>
                <w:rFonts w:ascii="Calibri"/>
                <w:color w:val="231F20"/>
                <w:spacing w:val="-5"/>
                <w:sz w:val="20"/>
              </w:rPr>
              <w:t> </w:t>
            </w:r>
            <w:r>
              <w:rPr>
                <w:rFonts w:ascii="Calibri"/>
                <w:color w:val="231F20"/>
                <w:sz w:val="20"/>
              </w:rPr>
              <w:t>accounting</w:t>
            </w:r>
            <w:r>
              <w:rPr>
                <w:rFonts w:ascii="Calibri"/>
                <w:color w:val="231F20"/>
                <w:spacing w:val="-4"/>
                <w:sz w:val="20"/>
              </w:rPr>
              <w:t> </w:t>
            </w:r>
            <w:r>
              <w:rPr>
                <w:rFonts w:ascii="Calibri"/>
                <w:color w:val="231F20"/>
                <w:sz w:val="20"/>
              </w:rPr>
              <w:t>policies,</w:t>
            </w:r>
            <w:r>
              <w:rPr>
                <w:rFonts w:ascii="Calibri"/>
                <w:color w:val="231F20"/>
                <w:spacing w:val="-3"/>
                <w:sz w:val="20"/>
              </w:rPr>
              <w:t> </w:t>
            </w:r>
            <w:r>
              <w:rPr>
                <w:rFonts w:ascii="Calibri"/>
                <w:color w:val="231F20"/>
                <w:sz w:val="20"/>
              </w:rPr>
              <w:t>procedures,</w:t>
            </w:r>
            <w:r>
              <w:rPr>
                <w:rFonts w:ascii="Calibri"/>
                <w:color w:val="231F20"/>
                <w:spacing w:val="-5"/>
                <w:sz w:val="20"/>
              </w:rPr>
              <w:t> </w:t>
            </w:r>
            <w:r>
              <w:rPr>
                <w:rFonts w:ascii="Calibri"/>
                <w:color w:val="231F20"/>
                <w:sz w:val="20"/>
              </w:rPr>
              <w:t>and</w:t>
            </w:r>
            <w:r>
              <w:rPr>
                <w:rFonts w:ascii="Calibri"/>
                <w:color w:val="231F20"/>
                <w:spacing w:val="-6"/>
                <w:sz w:val="20"/>
              </w:rPr>
              <w:t> </w:t>
            </w:r>
            <w:r>
              <w:rPr>
                <w:rFonts w:ascii="Calibri"/>
                <w:color w:val="231F20"/>
                <w:sz w:val="20"/>
              </w:rPr>
              <w:t>controls</w:t>
            </w:r>
            <w:r>
              <w:rPr>
                <w:rFonts w:ascii="Calibri"/>
                <w:color w:val="231F20"/>
                <w:spacing w:val="-5"/>
                <w:sz w:val="20"/>
              </w:rPr>
              <w:t> </w:t>
            </w:r>
            <w:r>
              <w:rPr>
                <w:rFonts w:ascii="Calibri"/>
                <w:color w:val="231F20"/>
                <w:sz w:val="20"/>
              </w:rPr>
              <w:t>will</w:t>
            </w:r>
            <w:r>
              <w:rPr>
                <w:rFonts w:ascii="Calibri"/>
                <w:color w:val="231F20"/>
                <w:spacing w:val="-4"/>
                <w:sz w:val="20"/>
              </w:rPr>
              <w:t> </w:t>
            </w:r>
            <w:r>
              <w:rPr>
                <w:rFonts w:ascii="Calibri"/>
                <w:color w:val="231F20"/>
                <w:spacing w:val="-5"/>
                <w:sz w:val="20"/>
              </w:rPr>
              <w:t>be</w:t>
            </w:r>
          </w:p>
        </w:tc>
        <w:tc>
          <w:tcPr>
            <w:tcW w:w="1619" w:type="dxa"/>
            <w:tcBorders>
              <w:top w:val="nil"/>
              <w:bottom w:val="nil"/>
            </w:tcBorders>
          </w:tcPr>
          <w:p>
            <w:pPr>
              <w:pStyle w:val="TableParagraph"/>
              <w:rPr>
                <w:rFonts w:ascii="Times New Roman"/>
                <w:sz w:val="20"/>
              </w:rPr>
            </w:pPr>
          </w:p>
        </w:tc>
        <w:tc>
          <w:tcPr>
            <w:tcW w:w="1723" w:type="dxa"/>
            <w:tcBorders>
              <w:top w:val="nil"/>
              <w:bottom w:val="nil"/>
            </w:tcBorders>
          </w:tcPr>
          <w:p>
            <w:pPr>
              <w:pStyle w:val="TableParagraph"/>
              <w:rPr>
                <w:rFonts w:ascii="Times New Roman"/>
                <w:sz w:val="20"/>
              </w:rPr>
            </w:pPr>
          </w:p>
        </w:tc>
      </w:tr>
      <w:tr>
        <w:trPr>
          <w:trHeight w:val="244" w:hRule="atLeast"/>
        </w:trPr>
        <w:tc>
          <w:tcPr>
            <w:tcW w:w="1277" w:type="dxa"/>
            <w:tcBorders>
              <w:top w:val="nil"/>
              <w:bottom w:val="nil"/>
            </w:tcBorders>
          </w:tcPr>
          <w:p>
            <w:pPr>
              <w:pStyle w:val="TableParagraph"/>
              <w:rPr>
                <w:rFonts w:ascii="Times New Roman"/>
                <w:sz w:val="16"/>
              </w:rPr>
            </w:pPr>
          </w:p>
        </w:tc>
        <w:tc>
          <w:tcPr>
            <w:tcW w:w="6361" w:type="dxa"/>
            <w:tcBorders>
              <w:top w:val="nil"/>
              <w:bottom w:val="nil"/>
            </w:tcBorders>
          </w:tcPr>
          <w:p>
            <w:pPr>
              <w:pStyle w:val="TableParagraph"/>
              <w:spacing w:line="224" w:lineRule="exact"/>
              <w:ind w:left="108"/>
              <w:rPr>
                <w:rFonts w:ascii="Calibri"/>
                <w:sz w:val="20"/>
              </w:rPr>
            </w:pPr>
            <w:r>
              <w:rPr>
                <w:rFonts w:ascii="Calibri"/>
                <w:color w:val="231F20"/>
                <w:sz w:val="20"/>
              </w:rPr>
              <w:t>performed</w:t>
            </w:r>
            <w:r>
              <w:rPr>
                <w:rFonts w:ascii="Calibri"/>
                <w:color w:val="231F20"/>
                <w:spacing w:val="-6"/>
                <w:sz w:val="20"/>
              </w:rPr>
              <w:t> </w:t>
            </w:r>
            <w:r>
              <w:rPr>
                <w:rFonts w:ascii="Calibri"/>
                <w:color w:val="231F20"/>
                <w:sz w:val="20"/>
              </w:rPr>
              <w:t>to</w:t>
            </w:r>
            <w:r>
              <w:rPr>
                <w:rFonts w:ascii="Calibri"/>
                <w:color w:val="231F20"/>
                <w:spacing w:val="-6"/>
                <w:sz w:val="20"/>
              </w:rPr>
              <w:t> </w:t>
            </w:r>
            <w:r>
              <w:rPr>
                <w:rFonts w:ascii="Calibri"/>
                <w:color w:val="231F20"/>
                <w:sz w:val="20"/>
              </w:rPr>
              <w:t>determine</w:t>
            </w:r>
            <w:r>
              <w:rPr>
                <w:rFonts w:ascii="Calibri"/>
                <w:color w:val="231F20"/>
                <w:spacing w:val="-5"/>
                <w:sz w:val="20"/>
              </w:rPr>
              <w:t> </w:t>
            </w:r>
            <w:r>
              <w:rPr>
                <w:rFonts w:ascii="Calibri"/>
                <w:color w:val="231F20"/>
                <w:sz w:val="20"/>
              </w:rPr>
              <w:t>if</w:t>
            </w:r>
            <w:r>
              <w:rPr>
                <w:rFonts w:ascii="Calibri"/>
                <w:color w:val="231F20"/>
                <w:spacing w:val="-7"/>
                <w:sz w:val="20"/>
              </w:rPr>
              <w:t> </w:t>
            </w:r>
            <w:r>
              <w:rPr>
                <w:rFonts w:ascii="Calibri"/>
                <w:color w:val="231F20"/>
                <w:sz w:val="20"/>
              </w:rPr>
              <w:t>any</w:t>
            </w:r>
            <w:r>
              <w:rPr>
                <w:rFonts w:ascii="Calibri"/>
                <w:color w:val="231F20"/>
                <w:spacing w:val="-5"/>
                <w:sz w:val="20"/>
              </w:rPr>
              <w:t> </w:t>
            </w:r>
            <w:r>
              <w:rPr>
                <w:rFonts w:ascii="Calibri"/>
                <w:color w:val="231F20"/>
                <w:sz w:val="20"/>
              </w:rPr>
              <w:t>additional</w:t>
            </w:r>
            <w:r>
              <w:rPr>
                <w:rFonts w:ascii="Calibri"/>
                <w:color w:val="231F20"/>
                <w:spacing w:val="-5"/>
                <w:sz w:val="20"/>
              </w:rPr>
              <w:t> </w:t>
            </w:r>
            <w:r>
              <w:rPr>
                <w:rFonts w:ascii="Calibri"/>
                <w:color w:val="231F20"/>
                <w:sz w:val="20"/>
              </w:rPr>
              <w:t>controls</w:t>
            </w:r>
            <w:r>
              <w:rPr>
                <w:rFonts w:ascii="Calibri"/>
                <w:color w:val="231F20"/>
                <w:spacing w:val="-6"/>
                <w:sz w:val="20"/>
              </w:rPr>
              <w:t> </w:t>
            </w:r>
            <w:r>
              <w:rPr>
                <w:rFonts w:ascii="Calibri"/>
                <w:color w:val="231F20"/>
                <w:sz w:val="20"/>
              </w:rPr>
              <w:t>or</w:t>
            </w:r>
            <w:r>
              <w:rPr>
                <w:rFonts w:ascii="Calibri"/>
                <w:color w:val="231F20"/>
                <w:spacing w:val="-5"/>
                <w:sz w:val="20"/>
              </w:rPr>
              <w:t> </w:t>
            </w:r>
            <w:r>
              <w:rPr>
                <w:rFonts w:ascii="Calibri"/>
                <w:color w:val="231F20"/>
                <w:sz w:val="20"/>
              </w:rPr>
              <w:t>processes</w:t>
            </w:r>
            <w:r>
              <w:rPr>
                <w:rFonts w:ascii="Calibri"/>
                <w:color w:val="231F20"/>
                <w:spacing w:val="-6"/>
                <w:sz w:val="20"/>
              </w:rPr>
              <w:t> </w:t>
            </w:r>
            <w:r>
              <w:rPr>
                <w:rFonts w:ascii="Calibri"/>
                <w:color w:val="231F20"/>
                <w:spacing w:val="-5"/>
                <w:sz w:val="20"/>
              </w:rPr>
              <w:t>are</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rPr>
                <w:rFonts w:ascii="Times New Roman"/>
                <w:sz w:val="16"/>
              </w:rPr>
            </w:pPr>
          </w:p>
        </w:tc>
      </w:tr>
      <w:tr>
        <w:trPr>
          <w:trHeight w:val="244" w:hRule="atLeast"/>
        </w:trPr>
        <w:tc>
          <w:tcPr>
            <w:tcW w:w="1277" w:type="dxa"/>
            <w:tcBorders>
              <w:top w:val="nil"/>
              <w:bottom w:val="nil"/>
            </w:tcBorders>
          </w:tcPr>
          <w:p>
            <w:pPr>
              <w:pStyle w:val="TableParagraph"/>
              <w:rPr>
                <w:rFonts w:ascii="Times New Roman"/>
                <w:sz w:val="16"/>
              </w:rPr>
            </w:pPr>
          </w:p>
        </w:tc>
        <w:tc>
          <w:tcPr>
            <w:tcW w:w="6361" w:type="dxa"/>
            <w:tcBorders>
              <w:top w:val="nil"/>
              <w:bottom w:val="nil"/>
            </w:tcBorders>
          </w:tcPr>
          <w:p>
            <w:pPr>
              <w:pStyle w:val="TableParagraph"/>
              <w:spacing w:line="224" w:lineRule="exact"/>
              <w:ind w:left="108"/>
              <w:rPr>
                <w:rFonts w:ascii="Calibri"/>
                <w:sz w:val="20"/>
              </w:rPr>
            </w:pPr>
            <w:r>
              <w:rPr>
                <w:rFonts w:ascii="Calibri"/>
                <w:color w:val="231F20"/>
                <w:sz w:val="20"/>
              </w:rPr>
              <w:t>necessary.</w:t>
            </w:r>
            <w:r>
              <w:rPr>
                <w:rFonts w:ascii="Calibri"/>
                <w:color w:val="231F20"/>
                <w:spacing w:val="-8"/>
                <w:sz w:val="20"/>
              </w:rPr>
              <w:t> </w:t>
            </w:r>
            <w:r>
              <w:rPr>
                <w:rFonts w:ascii="Calibri"/>
                <w:color w:val="231F20"/>
                <w:sz w:val="20"/>
              </w:rPr>
              <w:t>The</w:t>
            </w:r>
            <w:r>
              <w:rPr>
                <w:rFonts w:ascii="Calibri"/>
                <w:color w:val="231F20"/>
                <w:spacing w:val="-4"/>
                <w:sz w:val="20"/>
              </w:rPr>
              <w:t> </w:t>
            </w:r>
            <w:r>
              <w:rPr>
                <w:rFonts w:ascii="Calibri"/>
                <w:color w:val="231F20"/>
                <w:sz w:val="20"/>
              </w:rPr>
              <w:t>effective</w:t>
            </w:r>
            <w:r>
              <w:rPr>
                <w:rFonts w:ascii="Calibri"/>
                <w:color w:val="231F20"/>
                <w:spacing w:val="-4"/>
                <w:sz w:val="20"/>
              </w:rPr>
              <w:t> </w:t>
            </w:r>
            <w:r>
              <w:rPr>
                <w:rFonts w:ascii="Calibri"/>
                <w:color w:val="231F20"/>
                <w:sz w:val="20"/>
              </w:rPr>
              <w:t>date</w:t>
            </w:r>
            <w:r>
              <w:rPr>
                <w:rFonts w:ascii="Calibri"/>
                <w:color w:val="231F20"/>
                <w:spacing w:val="-5"/>
                <w:sz w:val="20"/>
              </w:rPr>
              <w:t> </w:t>
            </w:r>
            <w:r>
              <w:rPr>
                <w:rFonts w:ascii="Calibri"/>
                <w:color w:val="231F20"/>
                <w:sz w:val="20"/>
              </w:rPr>
              <w:t>for</w:t>
            </w:r>
            <w:r>
              <w:rPr>
                <w:rFonts w:ascii="Calibri"/>
                <w:color w:val="231F20"/>
                <w:spacing w:val="-4"/>
                <w:sz w:val="20"/>
              </w:rPr>
              <w:t> </w:t>
            </w:r>
            <w:r>
              <w:rPr>
                <w:rFonts w:ascii="Calibri"/>
                <w:color w:val="231F20"/>
                <w:sz w:val="20"/>
              </w:rPr>
              <w:t>implementation</w:t>
            </w:r>
            <w:r>
              <w:rPr>
                <w:rFonts w:ascii="Calibri"/>
                <w:color w:val="231F20"/>
                <w:spacing w:val="-3"/>
                <w:sz w:val="20"/>
              </w:rPr>
              <w:t> </w:t>
            </w:r>
            <w:r>
              <w:rPr>
                <w:rFonts w:ascii="Calibri"/>
                <w:color w:val="231F20"/>
                <w:sz w:val="20"/>
              </w:rPr>
              <w:t>of</w:t>
            </w:r>
            <w:r>
              <w:rPr>
                <w:rFonts w:ascii="Calibri"/>
                <w:color w:val="231F20"/>
                <w:spacing w:val="-4"/>
                <w:sz w:val="20"/>
              </w:rPr>
              <w:t> </w:t>
            </w:r>
            <w:r>
              <w:rPr>
                <w:rFonts w:ascii="Calibri"/>
                <w:color w:val="231F20"/>
                <w:sz w:val="20"/>
              </w:rPr>
              <w:t>the</w:t>
            </w:r>
            <w:r>
              <w:rPr>
                <w:rFonts w:ascii="Calibri"/>
                <w:color w:val="231F20"/>
                <w:spacing w:val="-4"/>
                <w:sz w:val="20"/>
              </w:rPr>
              <w:t> </w:t>
            </w:r>
            <w:r>
              <w:rPr>
                <w:rFonts w:ascii="Calibri"/>
                <w:color w:val="231F20"/>
                <w:sz w:val="20"/>
              </w:rPr>
              <w:t>corrective</w:t>
            </w:r>
            <w:r>
              <w:rPr>
                <w:rFonts w:ascii="Calibri"/>
                <w:color w:val="231F20"/>
                <w:spacing w:val="-4"/>
                <w:sz w:val="20"/>
              </w:rPr>
              <w:t> </w:t>
            </w:r>
            <w:r>
              <w:rPr>
                <w:rFonts w:ascii="Calibri"/>
                <w:color w:val="231F20"/>
                <w:spacing w:val="-2"/>
                <w:sz w:val="20"/>
              </w:rPr>
              <w:t>action</w:t>
            </w:r>
          </w:p>
        </w:tc>
        <w:tc>
          <w:tcPr>
            <w:tcW w:w="1619" w:type="dxa"/>
            <w:tcBorders>
              <w:top w:val="nil"/>
              <w:bottom w:val="nil"/>
            </w:tcBorders>
          </w:tcPr>
          <w:p>
            <w:pPr>
              <w:pStyle w:val="TableParagraph"/>
              <w:rPr>
                <w:rFonts w:ascii="Times New Roman"/>
                <w:sz w:val="16"/>
              </w:rPr>
            </w:pPr>
          </w:p>
        </w:tc>
        <w:tc>
          <w:tcPr>
            <w:tcW w:w="1723" w:type="dxa"/>
            <w:tcBorders>
              <w:top w:val="nil"/>
              <w:bottom w:val="nil"/>
            </w:tcBorders>
          </w:tcPr>
          <w:p>
            <w:pPr>
              <w:pStyle w:val="TableParagraph"/>
              <w:rPr>
                <w:rFonts w:ascii="Times New Roman"/>
                <w:sz w:val="16"/>
              </w:rPr>
            </w:pPr>
          </w:p>
        </w:tc>
      </w:tr>
      <w:tr>
        <w:trPr>
          <w:trHeight w:val="225" w:hRule="atLeast"/>
        </w:trPr>
        <w:tc>
          <w:tcPr>
            <w:tcW w:w="1277" w:type="dxa"/>
            <w:tcBorders>
              <w:top w:val="nil"/>
            </w:tcBorders>
          </w:tcPr>
          <w:p>
            <w:pPr>
              <w:pStyle w:val="TableParagraph"/>
              <w:rPr>
                <w:rFonts w:ascii="Times New Roman"/>
                <w:sz w:val="16"/>
              </w:rPr>
            </w:pPr>
          </w:p>
        </w:tc>
        <w:tc>
          <w:tcPr>
            <w:tcW w:w="6361" w:type="dxa"/>
            <w:tcBorders>
              <w:top w:val="nil"/>
            </w:tcBorders>
          </w:tcPr>
          <w:p>
            <w:pPr>
              <w:pStyle w:val="TableParagraph"/>
              <w:spacing w:line="206" w:lineRule="exact"/>
              <w:ind w:left="109"/>
              <w:rPr>
                <w:rFonts w:ascii="Calibri"/>
                <w:sz w:val="20"/>
              </w:rPr>
            </w:pPr>
            <w:r>
              <w:rPr>
                <w:rFonts w:ascii="Calibri"/>
                <w:color w:val="231F20"/>
                <w:sz w:val="20"/>
              </w:rPr>
              <w:t>plan</w:t>
            </w:r>
            <w:r>
              <w:rPr>
                <w:rFonts w:ascii="Calibri"/>
                <w:color w:val="231F20"/>
                <w:spacing w:val="-5"/>
                <w:sz w:val="20"/>
              </w:rPr>
              <w:t> </w:t>
            </w:r>
            <w:r>
              <w:rPr>
                <w:rFonts w:ascii="Calibri"/>
                <w:color w:val="231F20"/>
                <w:sz w:val="20"/>
              </w:rPr>
              <w:t>is</w:t>
            </w:r>
            <w:r>
              <w:rPr>
                <w:rFonts w:ascii="Calibri"/>
                <w:color w:val="231F20"/>
                <w:spacing w:val="-3"/>
                <w:sz w:val="20"/>
              </w:rPr>
              <w:t> </w:t>
            </w:r>
            <w:r>
              <w:rPr>
                <w:rFonts w:ascii="Calibri"/>
                <w:color w:val="231F20"/>
                <w:sz w:val="20"/>
              </w:rPr>
              <w:t>March</w:t>
            </w:r>
            <w:r>
              <w:rPr>
                <w:rFonts w:ascii="Calibri"/>
                <w:color w:val="231F20"/>
                <w:spacing w:val="-3"/>
                <w:sz w:val="20"/>
              </w:rPr>
              <w:t> </w:t>
            </w:r>
            <w:r>
              <w:rPr>
                <w:rFonts w:ascii="Calibri"/>
                <w:color w:val="231F20"/>
                <w:sz w:val="20"/>
              </w:rPr>
              <w:t>31,</w:t>
            </w:r>
            <w:r>
              <w:rPr>
                <w:rFonts w:ascii="Calibri"/>
                <w:color w:val="231F20"/>
                <w:spacing w:val="-3"/>
                <w:sz w:val="20"/>
              </w:rPr>
              <w:t> </w:t>
            </w:r>
            <w:r>
              <w:rPr>
                <w:rFonts w:ascii="Calibri"/>
                <w:color w:val="231F20"/>
                <w:spacing w:val="-4"/>
                <w:sz w:val="20"/>
              </w:rPr>
              <w:t>2023.</w:t>
            </w:r>
          </w:p>
        </w:tc>
        <w:tc>
          <w:tcPr>
            <w:tcW w:w="1619" w:type="dxa"/>
            <w:tcBorders>
              <w:top w:val="nil"/>
            </w:tcBorders>
          </w:tcPr>
          <w:p>
            <w:pPr>
              <w:pStyle w:val="TableParagraph"/>
              <w:rPr>
                <w:rFonts w:ascii="Times New Roman"/>
                <w:sz w:val="16"/>
              </w:rPr>
            </w:pPr>
          </w:p>
        </w:tc>
        <w:tc>
          <w:tcPr>
            <w:tcW w:w="1723" w:type="dxa"/>
            <w:tcBorders>
              <w:top w:val="nil"/>
            </w:tcBorders>
          </w:tcPr>
          <w:p>
            <w:pPr>
              <w:pStyle w:val="TableParagraph"/>
              <w:rPr>
                <w:rFonts w:ascii="Times New Roman"/>
                <w:sz w:val="16"/>
              </w:rPr>
            </w:pPr>
          </w:p>
        </w:tc>
      </w:tr>
    </w:tbl>
    <w:p>
      <w:pPr>
        <w:pStyle w:val="BodyText"/>
        <w:spacing w:before="4"/>
        <w:rPr>
          <w:rFonts w:ascii="Calibri"/>
          <w:b/>
          <w:sz w:val="22"/>
        </w:rPr>
      </w:pPr>
    </w:p>
    <w:p>
      <w:pPr>
        <w:pStyle w:val="BodyText"/>
        <w:tabs>
          <w:tab w:pos="1900" w:val="left" w:leader="none"/>
          <w:tab w:pos="2695" w:val="left" w:leader="none"/>
        </w:tabs>
        <w:spacing w:before="61"/>
        <w:ind w:left="900"/>
        <w:rPr>
          <w:rFonts w:ascii="Calibri"/>
        </w:rPr>
      </w:pPr>
      <w:r>
        <w:rPr/>
        <w:pict>
          <v:shape style="position:absolute;margin-left:78.159393pt;margin-top:5.056483pt;width:36.4pt;height:10.050pt;mso-position-horizontal-relative:page;mso-position-vertical-relative:paragraph;z-index:-28232704" type="#_x0000_t202" id="docshape663" filled="false" stroked="false">
            <v:textbox inset="0,0,0,0">
              <w:txbxContent>
                <w:p>
                  <w:pPr>
                    <w:pStyle w:val="BodyText"/>
                    <w:spacing w:line="200" w:lineRule="exact"/>
                    <w:rPr>
                      <w:rFonts w:ascii="Calibri"/>
                    </w:rPr>
                  </w:pPr>
                  <w:r>
                    <w:rPr>
                      <w:rFonts w:ascii="Calibri"/>
                      <w:color w:val="231F20"/>
                      <w:spacing w:val="-2"/>
                    </w:rPr>
                    <w:t>ocument</w:t>
                  </w:r>
                </w:p>
              </w:txbxContent>
            </v:textbox>
            <w10:wrap type="none"/>
          </v:shape>
        </w:pict>
      </w:r>
      <w:r>
        <w:rPr/>
        <w:pict>
          <v:shape style="position:absolute;margin-left:116.736229pt;margin-top:5.056483pt;width:37.5pt;height:10.050pt;mso-position-horizontal-relative:page;mso-position-vertical-relative:paragraph;z-index:-28232192" type="#_x0000_t202" id="docshape664" filled="false" stroked="false">
            <v:textbox inset="0,0,0,0">
              <w:txbxContent>
                <w:p>
                  <w:pPr>
                    <w:pStyle w:val="BodyText"/>
                    <w:spacing w:line="200" w:lineRule="exact"/>
                    <w:rPr>
                      <w:rFonts w:ascii="Calibri"/>
                    </w:rPr>
                  </w:pPr>
                  <w:r>
                    <w:rPr>
                      <w:rFonts w:ascii="Calibri"/>
                      <w:color w:val="231F20"/>
                      <w:spacing w:val="-2"/>
                    </w:rPr>
                    <w:t>prepared</w:t>
                  </w:r>
                </w:p>
              </w:txbxContent>
            </v:textbox>
            <w10:wrap type="none"/>
          </v:shape>
        </w:pict>
      </w:r>
      <w:r>
        <w:rPr/>
        <w:pict>
          <v:shape style="position:absolute;margin-left:156.447296pt;margin-top:5.056483pt;width:12.5pt;height:10.050pt;mso-position-horizontal-relative:page;mso-position-vertical-relative:paragraph;z-index:-28231680" type="#_x0000_t202" id="docshape665" filled="false" stroked="false">
            <v:textbox inset="0,0,0,0">
              <w:txbxContent>
                <w:p>
                  <w:pPr>
                    <w:pStyle w:val="BodyText"/>
                    <w:spacing w:line="200" w:lineRule="exact"/>
                    <w:rPr>
                      <w:rFonts w:ascii="Calibri"/>
                    </w:rPr>
                  </w:pPr>
                  <w:r>
                    <w:rPr>
                      <w:rFonts w:ascii="Calibri"/>
                      <w:color w:val="231F20"/>
                      <w:spacing w:val="-5"/>
                    </w:rPr>
                    <w:t>by:</w:t>
                  </w:r>
                </w:p>
              </w:txbxContent>
            </v:textbox>
            <w10:wrap type="none"/>
          </v:shape>
        </w:pict>
      </w:r>
      <w:r>
        <w:rPr/>
        <w:pict>
          <v:group style="position:absolute;margin-left:72.000099pt;margin-top:8.669383pt;width:164.35pt;height:45.95pt;mso-position-horizontal-relative:page;mso-position-vertical-relative:paragraph;z-index:-28230144" id="docshapegroup666" coordorigin="1440,173" coordsize="3287,919">
            <v:line style="position:absolute" from="1440,842" to="4727,842" stroked="true" strokeweight=".650674pt" strokecolor="#221e1f">
              <v:stroke dashstyle="solid"/>
            </v:line>
            <v:shape style="position:absolute;left:1578;top:173;width:1972;height:919" type="#_x0000_t75" id="docshape667" stroked="false">
              <v:imagedata r:id="rId98" o:title=""/>
            </v:shape>
            <v:shape style="position:absolute;left:2350;top:173;width:720;height:114" type="#_x0000_t75" id="docshape668" stroked="false">
              <v:imagedata r:id="rId99" o:title=""/>
            </v:shape>
            <v:shape style="position:absolute;left:3144;top:173;width:220;height:114" type="#_x0000_t75" id="docshape669" stroked="false">
              <v:imagedata r:id="rId100" o:title=""/>
            </v:shape>
            <v:shape style="position:absolute;left:1578;top:835;width:1972;height:14" type="#_x0000_t75" id="docshape670" stroked="false">
              <v:imagedata r:id="rId101" o:title=""/>
            </v:shape>
            <v:shape style="position:absolute;left:1578;top:957;width:462;height:135" type="#_x0000_t75" id="docshape671" stroked="false">
              <v:imagedata r:id="rId102" o:title=""/>
            </v:shape>
            <v:shape style="position:absolute;left:2101;top:957;width:278;height:135" type="#_x0000_t75" id="docshape672" stroked="false">
              <v:imagedata r:id="rId103" o:title=""/>
            </v:shape>
            <w10:wrap type="none"/>
          </v:group>
        </w:pict>
      </w:r>
      <w:r>
        <w:rPr>
          <w:rFonts w:ascii="Calibri"/>
          <w:color w:val="231F20"/>
          <w:spacing w:val="-10"/>
        </w:rPr>
        <w:t>D</w:t>
      </w:r>
      <w:r>
        <w:rPr>
          <w:rFonts w:ascii="Calibri"/>
          <w:color w:val="231F20"/>
        </w:rPr>
        <w:tab/>
      </w:r>
      <w:r>
        <w:rPr>
          <w:rFonts w:ascii="Calibri"/>
          <w:color w:val="231F20"/>
          <w:spacing w:val="-2"/>
        </w:rPr>
        <w:t>repare</w:t>
      </w:r>
      <w:r>
        <w:rPr>
          <w:rFonts w:ascii="Calibri"/>
          <w:color w:val="231F20"/>
        </w:rPr>
        <w:tab/>
      </w:r>
      <w:r>
        <w:rPr>
          <w:rFonts w:ascii="Calibri"/>
          <w:color w:val="231F20"/>
          <w:spacing w:val="-10"/>
        </w:rPr>
        <w:t>y</w:t>
      </w:r>
    </w:p>
    <w:p>
      <w:pPr>
        <w:pStyle w:val="BodyText"/>
        <w:spacing w:before="1"/>
        <w:rPr>
          <w:rFonts w:ascii="Calibri"/>
          <w:sz w:val="21"/>
        </w:rPr>
      </w:pPr>
    </w:p>
    <w:p>
      <w:pPr>
        <w:pStyle w:val="BodyText"/>
        <w:spacing w:before="60"/>
        <w:ind w:left="5220"/>
        <w:rPr>
          <w:rFonts w:ascii="Calibri"/>
        </w:rPr>
      </w:pPr>
      <w:r>
        <w:rPr>
          <w:rFonts w:ascii="Calibri"/>
          <w:color w:val="231F20"/>
        </w:rPr>
        <w:t>Date</w:t>
      </w:r>
      <w:r>
        <w:rPr>
          <w:rFonts w:ascii="Calibri"/>
          <w:color w:val="231F20"/>
          <w:spacing w:val="-4"/>
        </w:rPr>
        <w:t> </w:t>
      </w:r>
      <w:r>
        <w:rPr>
          <w:rFonts w:ascii="Calibri"/>
          <w:color w:val="231F20"/>
          <w:spacing w:val="-2"/>
          <w:u w:val="single" w:color="231F20"/>
        </w:rPr>
        <w:t>10/27/2022</w:t>
      </w:r>
    </w:p>
    <w:p>
      <w:pPr>
        <w:pStyle w:val="BodyText"/>
        <w:spacing w:line="276" w:lineRule="auto" w:before="36"/>
        <w:ind w:left="900" w:right="9383"/>
        <w:rPr>
          <w:rFonts w:ascii="Calibri"/>
        </w:rPr>
      </w:pPr>
      <w:r>
        <w:rPr/>
        <w:pict>
          <v:shape style="position:absolute;margin-left:80.55217pt;margin-top:3.806489pt;width:22.15pt;height:10.050pt;mso-position-horizontal-relative:page;mso-position-vertical-relative:paragraph;z-index:-28231168" type="#_x0000_t202" id="docshape673" filled="false" stroked="false">
            <v:textbox inset="0,0,0,0">
              <w:txbxContent>
                <w:p>
                  <w:pPr>
                    <w:pStyle w:val="BodyText"/>
                    <w:spacing w:line="200" w:lineRule="exact"/>
                    <w:rPr>
                      <w:rFonts w:ascii="Calibri"/>
                    </w:rPr>
                  </w:pPr>
                  <w:r>
                    <w:rPr>
                      <w:rFonts w:ascii="Calibri"/>
                      <w:color w:val="231F20"/>
                      <w:spacing w:val="-2"/>
                    </w:rPr>
                    <w:t>elissa</w:t>
                  </w:r>
                </w:p>
              </w:txbxContent>
            </v:textbox>
            <w10:wrap type="none"/>
          </v:shape>
        </w:pict>
      </w:r>
      <w:r>
        <w:rPr/>
        <w:pict>
          <v:shape style="position:absolute;margin-left:105.002884pt;margin-top:3.806489pt;width:14.7pt;height:10.050pt;mso-position-horizontal-relative:page;mso-position-vertical-relative:paragraph;z-index:-28230656" type="#_x0000_t202" id="docshape674" filled="false" stroked="false">
            <v:textbox inset="0,0,0,0">
              <w:txbxContent>
                <w:p>
                  <w:pPr>
                    <w:pStyle w:val="BodyText"/>
                    <w:spacing w:line="200" w:lineRule="exact"/>
                    <w:rPr>
                      <w:rFonts w:ascii="Calibri"/>
                    </w:rPr>
                  </w:pPr>
                  <w:r>
                    <w:rPr>
                      <w:rFonts w:ascii="Calibri"/>
                      <w:color w:val="231F20"/>
                      <w:spacing w:val="-4"/>
                    </w:rPr>
                    <w:t>Tull</w:t>
                  </w:r>
                </w:p>
              </w:txbxContent>
            </v:textbox>
            <w10:wrap type="none"/>
          </v:shape>
        </w:pict>
      </w:r>
      <w:r>
        <w:rPr>
          <w:rFonts w:ascii="Calibri"/>
          <w:color w:val="231F20"/>
        </w:rPr>
        <w:t>Melissa</w:t>
      </w:r>
      <w:r>
        <w:rPr>
          <w:rFonts w:ascii="Calibri"/>
          <w:color w:val="231F20"/>
          <w:spacing w:val="-12"/>
        </w:rPr>
        <w:t> </w:t>
      </w:r>
      <w:r>
        <w:rPr>
          <w:rFonts w:ascii="Calibri"/>
          <w:color w:val="231F20"/>
        </w:rPr>
        <w:t>Tul </w:t>
      </w:r>
      <w:r>
        <w:rPr>
          <w:rFonts w:ascii="Calibri"/>
          <w:color w:val="231F20"/>
          <w:spacing w:val="-2"/>
        </w:rPr>
        <w:t>Controller</w:t>
      </w:r>
    </w:p>
    <w:p>
      <w:pPr>
        <w:pStyle w:val="BodyText"/>
        <w:ind w:left="900"/>
        <w:rPr>
          <w:rFonts w:ascii="Calibri"/>
        </w:rPr>
      </w:pPr>
      <w:r>
        <w:rPr>
          <w:rFonts w:ascii="Calibri"/>
          <w:color w:val="231F20"/>
        </w:rPr>
        <w:t>New</w:t>
      </w:r>
      <w:r>
        <w:rPr>
          <w:rFonts w:ascii="Calibri"/>
          <w:color w:val="231F20"/>
          <w:spacing w:val="-4"/>
        </w:rPr>
        <w:t> </w:t>
      </w:r>
      <w:r>
        <w:rPr>
          <w:rFonts w:ascii="Calibri"/>
          <w:color w:val="231F20"/>
        </w:rPr>
        <w:t>Mexico</w:t>
      </w:r>
      <w:r>
        <w:rPr>
          <w:rFonts w:ascii="Calibri"/>
          <w:color w:val="231F20"/>
          <w:spacing w:val="-5"/>
        </w:rPr>
        <w:t> </w:t>
      </w:r>
      <w:r>
        <w:rPr>
          <w:rFonts w:ascii="Calibri"/>
          <w:color w:val="231F20"/>
        </w:rPr>
        <w:t>Institute</w:t>
      </w:r>
      <w:r>
        <w:rPr>
          <w:rFonts w:ascii="Calibri"/>
          <w:color w:val="231F20"/>
          <w:spacing w:val="-3"/>
        </w:rPr>
        <w:t> </w:t>
      </w:r>
      <w:r>
        <w:rPr>
          <w:rFonts w:ascii="Calibri"/>
          <w:color w:val="231F20"/>
        </w:rPr>
        <w:t>of</w:t>
      </w:r>
      <w:r>
        <w:rPr>
          <w:rFonts w:ascii="Calibri"/>
          <w:color w:val="231F20"/>
          <w:spacing w:val="-4"/>
        </w:rPr>
        <w:t> </w:t>
      </w:r>
      <w:r>
        <w:rPr>
          <w:rFonts w:ascii="Calibri"/>
          <w:color w:val="231F20"/>
        </w:rPr>
        <w:t>Mining</w:t>
      </w:r>
      <w:r>
        <w:rPr>
          <w:rFonts w:ascii="Calibri"/>
          <w:color w:val="231F20"/>
          <w:spacing w:val="-3"/>
        </w:rPr>
        <w:t> </w:t>
      </w:r>
      <w:r>
        <w:rPr>
          <w:rFonts w:ascii="Calibri"/>
          <w:color w:val="231F20"/>
        </w:rPr>
        <w:t>and</w:t>
      </w:r>
      <w:r>
        <w:rPr>
          <w:rFonts w:ascii="Calibri"/>
          <w:color w:val="231F20"/>
          <w:spacing w:val="-3"/>
        </w:rPr>
        <w:t> </w:t>
      </w:r>
      <w:r>
        <w:rPr>
          <w:rFonts w:ascii="Calibri"/>
          <w:color w:val="231F20"/>
          <w:spacing w:val="-2"/>
        </w:rPr>
        <w:t>Technology</w:t>
      </w:r>
    </w:p>
    <w:p>
      <w:pPr>
        <w:spacing w:after="0"/>
        <w:rPr>
          <w:rFonts w:ascii="Calibri"/>
        </w:rPr>
        <w:sectPr>
          <w:headerReference w:type="default" r:id="rId96"/>
          <w:footerReference w:type="default" r:id="rId97"/>
          <w:pgSz w:w="12240" w:h="15840"/>
          <w:pgMar w:header="0" w:footer="773" w:top="700" w:bottom="960" w:left="540" w:right="500"/>
        </w:sectPr>
      </w:pPr>
    </w:p>
    <w:p>
      <w:pPr>
        <w:pStyle w:val="Heading2"/>
        <w:spacing w:before="80"/>
        <w:ind w:left="0" w:right="35"/>
        <w:jc w:val="center"/>
      </w:pPr>
      <w:r>
        <w:rPr>
          <w:color w:val="231F20"/>
        </w:rPr>
        <w:t>New</w:t>
      </w:r>
      <w:r>
        <w:rPr>
          <w:color w:val="231F20"/>
          <w:spacing w:val="-8"/>
        </w:rPr>
        <w:t> </w:t>
      </w:r>
      <w:r>
        <w:rPr>
          <w:color w:val="231F20"/>
        </w:rPr>
        <w:t>Mexico</w:t>
      </w:r>
      <w:r>
        <w:rPr>
          <w:color w:val="231F20"/>
          <w:spacing w:val="-7"/>
        </w:rPr>
        <w:t> </w:t>
      </w:r>
      <w:r>
        <w:rPr>
          <w:color w:val="231F20"/>
        </w:rPr>
        <w:t>Institute</w:t>
      </w:r>
      <w:r>
        <w:rPr>
          <w:color w:val="231F20"/>
          <w:spacing w:val="-7"/>
        </w:rPr>
        <w:t> </w:t>
      </w:r>
      <w:r>
        <w:rPr>
          <w:color w:val="231F20"/>
        </w:rPr>
        <w:t>of</w:t>
      </w:r>
      <w:r>
        <w:rPr>
          <w:color w:val="231F20"/>
          <w:spacing w:val="-7"/>
        </w:rPr>
        <w:t> </w:t>
      </w:r>
      <w:r>
        <w:rPr>
          <w:color w:val="231F20"/>
        </w:rPr>
        <w:t>Mining</w:t>
      </w:r>
      <w:r>
        <w:rPr>
          <w:color w:val="231F20"/>
          <w:spacing w:val="-7"/>
        </w:rPr>
        <w:t> </w:t>
      </w:r>
      <w:r>
        <w:rPr>
          <w:color w:val="231F20"/>
        </w:rPr>
        <w:t>and</w:t>
      </w:r>
      <w:r>
        <w:rPr>
          <w:color w:val="231F20"/>
          <w:spacing w:val="-7"/>
        </w:rPr>
        <w:t> </w:t>
      </w:r>
      <w:r>
        <w:rPr>
          <w:color w:val="231F20"/>
          <w:spacing w:val="-2"/>
        </w:rPr>
        <w:t>Technology</w:t>
      </w:r>
    </w:p>
    <w:p>
      <w:pPr>
        <w:pStyle w:val="Heading3"/>
        <w:ind w:right="39"/>
      </w:pPr>
      <w:r>
        <w:rPr>
          <w:color w:val="231F20"/>
        </w:rPr>
        <w:t>Exit </w:t>
      </w:r>
      <w:r>
        <w:rPr>
          <w:color w:val="231F20"/>
          <w:spacing w:val="-2"/>
        </w:rPr>
        <w:t>Conference</w:t>
      </w:r>
    </w:p>
    <w:p>
      <w:pPr>
        <w:tabs>
          <w:tab w:pos="3009" w:val="left" w:leader="none"/>
          <w:tab w:pos="9419" w:val="left" w:leader="none"/>
        </w:tabs>
        <w:spacing w:before="0"/>
        <w:ind w:left="0" w:right="37" w:firstLine="0"/>
        <w:jc w:val="center"/>
        <w:rPr>
          <w:b/>
          <w:sz w:val="24"/>
        </w:rPr>
      </w:pPr>
      <w:r>
        <w:rPr>
          <w:b/>
          <w:color w:val="231F20"/>
          <w:sz w:val="24"/>
          <w:u w:val="thick" w:color="231F20"/>
        </w:rPr>
        <w:tab/>
        <w:t>For</w:t>
      </w:r>
      <w:r>
        <w:rPr>
          <w:b/>
          <w:color w:val="231F20"/>
          <w:spacing w:val="-1"/>
          <w:sz w:val="24"/>
          <w:u w:val="thick" w:color="231F20"/>
        </w:rPr>
        <w:t> </w:t>
      </w:r>
      <w:r>
        <w:rPr>
          <w:b/>
          <w:color w:val="231F20"/>
          <w:sz w:val="24"/>
          <w:u w:val="thick" w:color="231F20"/>
        </w:rPr>
        <w:t>Year</w:t>
      </w:r>
      <w:r>
        <w:rPr>
          <w:b/>
          <w:color w:val="231F20"/>
          <w:spacing w:val="-1"/>
          <w:sz w:val="24"/>
          <w:u w:val="thick" w:color="231F20"/>
        </w:rPr>
        <w:t> </w:t>
      </w:r>
      <w:r>
        <w:rPr>
          <w:b/>
          <w:color w:val="231F20"/>
          <w:sz w:val="24"/>
          <w:u w:val="thick" w:color="231F20"/>
        </w:rPr>
        <w:t>Ended</w:t>
      </w:r>
      <w:r>
        <w:rPr>
          <w:b/>
          <w:color w:val="231F20"/>
          <w:spacing w:val="-1"/>
          <w:sz w:val="24"/>
          <w:u w:val="thick" w:color="231F20"/>
        </w:rPr>
        <w:t> </w:t>
      </w:r>
      <w:r>
        <w:rPr>
          <w:b/>
          <w:color w:val="231F20"/>
          <w:sz w:val="24"/>
          <w:u w:val="thick" w:color="231F20"/>
        </w:rPr>
        <w:t>June</w:t>
      </w:r>
      <w:r>
        <w:rPr>
          <w:b/>
          <w:color w:val="231F20"/>
          <w:spacing w:val="-1"/>
          <w:sz w:val="24"/>
          <w:u w:val="thick" w:color="231F20"/>
        </w:rPr>
        <w:t> </w:t>
      </w:r>
      <w:r>
        <w:rPr>
          <w:b/>
          <w:color w:val="231F20"/>
          <w:sz w:val="24"/>
          <w:u w:val="thick" w:color="231F20"/>
        </w:rPr>
        <w:t>30,</w:t>
      </w:r>
      <w:r>
        <w:rPr>
          <w:b/>
          <w:color w:val="231F20"/>
          <w:spacing w:val="-1"/>
          <w:sz w:val="24"/>
          <w:u w:val="thick" w:color="231F20"/>
        </w:rPr>
        <w:t> </w:t>
      </w:r>
      <w:r>
        <w:rPr>
          <w:b/>
          <w:color w:val="231F20"/>
          <w:spacing w:val="-4"/>
          <w:sz w:val="24"/>
          <w:u w:val="thick" w:color="231F20"/>
        </w:rPr>
        <w:t>2022</w:t>
      </w:r>
      <w:r>
        <w:rPr>
          <w:b/>
          <w:color w:val="231F20"/>
          <w:sz w:val="24"/>
          <w:u w:val="thick" w:color="231F20"/>
        </w:rPr>
        <w:tab/>
      </w:r>
    </w:p>
    <w:p>
      <w:pPr>
        <w:pStyle w:val="BodyText"/>
        <w:rPr>
          <w:b/>
        </w:rPr>
      </w:pPr>
    </w:p>
    <w:p>
      <w:pPr>
        <w:pStyle w:val="BodyText"/>
        <w:spacing w:before="6"/>
        <w:rPr>
          <w:b/>
          <w:sz w:val="22"/>
        </w:rPr>
      </w:pPr>
    </w:p>
    <w:p>
      <w:pPr>
        <w:pStyle w:val="BodyText"/>
        <w:spacing w:line="276" w:lineRule="auto"/>
        <w:ind w:left="899" w:right="951"/>
      </w:pPr>
      <w:r>
        <w:rPr>
          <w:color w:val="231F20"/>
        </w:rPr>
        <w:t>An</w:t>
      </w:r>
      <w:r>
        <w:rPr>
          <w:color w:val="231F20"/>
          <w:spacing w:val="-2"/>
        </w:rPr>
        <w:t> </w:t>
      </w:r>
      <w:r>
        <w:rPr>
          <w:color w:val="231F20"/>
        </w:rPr>
        <w:t>exit</w:t>
      </w:r>
      <w:r>
        <w:rPr>
          <w:color w:val="231F20"/>
          <w:spacing w:val="-2"/>
        </w:rPr>
        <w:t> </w:t>
      </w:r>
      <w:r>
        <w:rPr>
          <w:color w:val="231F20"/>
        </w:rPr>
        <w:t>conference</w:t>
      </w:r>
      <w:r>
        <w:rPr>
          <w:color w:val="231F20"/>
          <w:spacing w:val="-2"/>
        </w:rPr>
        <w:t> </w:t>
      </w:r>
      <w:r>
        <w:rPr>
          <w:color w:val="231F20"/>
        </w:rPr>
        <w:t>was</w:t>
      </w:r>
      <w:r>
        <w:rPr>
          <w:color w:val="231F20"/>
          <w:spacing w:val="-2"/>
        </w:rPr>
        <w:t> </w:t>
      </w:r>
      <w:r>
        <w:rPr>
          <w:color w:val="231F20"/>
        </w:rPr>
        <w:t>held</w:t>
      </w:r>
      <w:r>
        <w:rPr>
          <w:color w:val="231F20"/>
          <w:spacing w:val="-2"/>
        </w:rPr>
        <w:t> </w:t>
      </w:r>
      <w:r>
        <w:rPr>
          <w:color w:val="231F20"/>
        </w:rPr>
        <w:t>on</w:t>
      </w:r>
      <w:r>
        <w:rPr>
          <w:color w:val="231F20"/>
          <w:spacing w:val="-2"/>
        </w:rPr>
        <w:t> </w:t>
      </w:r>
      <w:r>
        <w:rPr>
          <w:color w:val="231F20"/>
        </w:rPr>
        <w:t>October</w:t>
      </w:r>
      <w:r>
        <w:rPr>
          <w:color w:val="231F20"/>
          <w:spacing w:val="-3"/>
        </w:rPr>
        <w:t> </w:t>
      </w:r>
      <w:r>
        <w:rPr>
          <w:color w:val="231F20"/>
        </w:rPr>
        <w:t>28,</w:t>
      </w:r>
      <w:r>
        <w:rPr>
          <w:color w:val="231F20"/>
          <w:spacing w:val="-2"/>
        </w:rPr>
        <w:t> </w:t>
      </w:r>
      <w:r>
        <w:rPr>
          <w:color w:val="231F20"/>
        </w:rPr>
        <w:t>2022,</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New</w:t>
      </w:r>
      <w:r>
        <w:rPr>
          <w:color w:val="231F20"/>
          <w:spacing w:val="-2"/>
        </w:rPr>
        <w:t> </w:t>
      </w:r>
      <w:r>
        <w:rPr>
          <w:color w:val="231F20"/>
        </w:rPr>
        <w:t>Mexico</w:t>
      </w:r>
      <w:r>
        <w:rPr>
          <w:color w:val="231F20"/>
          <w:spacing w:val="-2"/>
        </w:rPr>
        <w:t> </w:t>
      </w:r>
      <w:r>
        <w:rPr>
          <w:color w:val="231F20"/>
        </w:rPr>
        <w:t>Institute</w:t>
      </w:r>
      <w:r>
        <w:rPr>
          <w:color w:val="231F20"/>
          <w:spacing w:val="-2"/>
        </w:rPr>
        <w:t> </w:t>
      </w:r>
      <w:r>
        <w:rPr>
          <w:color w:val="231F20"/>
        </w:rPr>
        <w:t>of</w:t>
      </w:r>
      <w:r>
        <w:rPr>
          <w:color w:val="231F20"/>
          <w:spacing w:val="-3"/>
        </w:rPr>
        <w:t> </w:t>
      </w:r>
      <w:r>
        <w:rPr>
          <w:color w:val="231F20"/>
        </w:rPr>
        <w:t>Mining</w:t>
      </w:r>
      <w:r>
        <w:rPr>
          <w:color w:val="231F20"/>
          <w:spacing w:val="-2"/>
        </w:rPr>
        <w:t> </w:t>
      </w:r>
      <w:r>
        <w:rPr>
          <w:color w:val="231F20"/>
        </w:rPr>
        <w:t>and</w:t>
      </w:r>
      <w:r>
        <w:rPr>
          <w:color w:val="231F20"/>
          <w:spacing w:val="-2"/>
        </w:rPr>
        <w:t> </w:t>
      </w:r>
      <w:r>
        <w:rPr>
          <w:color w:val="231F20"/>
        </w:rPr>
        <w:t>Technology and all component units with the following in attendance:</w:t>
      </w:r>
    </w:p>
    <w:p>
      <w:pPr>
        <w:pStyle w:val="BodyText"/>
        <w:rPr>
          <w:sz w:val="22"/>
        </w:rPr>
      </w:pPr>
    </w:p>
    <w:p>
      <w:pPr>
        <w:pStyle w:val="BodyText"/>
        <w:rPr>
          <w:sz w:val="24"/>
        </w:rPr>
      </w:pPr>
    </w:p>
    <w:p>
      <w:pPr>
        <w:pStyle w:val="BodyText"/>
        <w:spacing w:line="276" w:lineRule="auto"/>
        <w:ind w:left="899" w:right="6382"/>
      </w:pPr>
      <w:r>
        <w:rPr>
          <w:color w:val="231F20"/>
        </w:rPr>
        <w:t>Jerry</w:t>
      </w:r>
      <w:r>
        <w:rPr>
          <w:color w:val="231F20"/>
          <w:spacing w:val="-13"/>
        </w:rPr>
        <w:t> </w:t>
      </w:r>
      <w:r>
        <w:rPr>
          <w:color w:val="231F20"/>
        </w:rPr>
        <w:t>Armijo,</w:t>
      </w:r>
      <w:r>
        <w:rPr>
          <w:color w:val="231F20"/>
          <w:spacing w:val="-14"/>
        </w:rPr>
        <w:t> </w:t>
      </w:r>
      <w:r>
        <w:rPr>
          <w:color w:val="231F20"/>
        </w:rPr>
        <w:t>Regent,</w:t>
      </w:r>
      <w:r>
        <w:rPr>
          <w:color w:val="231F20"/>
          <w:spacing w:val="-13"/>
        </w:rPr>
        <w:t> </w:t>
      </w:r>
      <w:r>
        <w:rPr>
          <w:color w:val="231F20"/>
        </w:rPr>
        <w:t>Secretary/Treasurer Dr. Stephen Wells, President</w:t>
      </w:r>
    </w:p>
    <w:p>
      <w:pPr>
        <w:pStyle w:val="BodyText"/>
        <w:spacing w:line="229" w:lineRule="exact"/>
        <w:ind w:left="899"/>
      </w:pPr>
      <w:r>
        <w:rPr>
          <w:color w:val="231F20"/>
        </w:rPr>
        <w:t>Dr.</w:t>
      </w:r>
      <w:r>
        <w:rPr>
          <w:color w:val="231F20"/>
          <w:spacing w:val="-9"/>
        </w:rPr>
        <w:t> </w:t>
      </w:r>
      <w:r>
        <w:rPr>
          <w:color w:val="231F20"/>
        </w:rPr>
        <w:t>Cleve</w:t>
      </w:r>
      <w:r>
        <w:rPr>
          <w:color w:val="231F20"/>
          <w:spacing w:val="-7"/>
        </w:rPr>
        <w:t> </w:t>
      </w:r>
      <w:r>
        <w:rPr>
          <w:color w:val="231F20"/>
        </w:rPr>
        <w:t>McDaniel,</w:t>
      </w:r>
      <w:r>
        <w:rPr>
          <w:color w:val="231F20"/>
          <w:spacing w:val="-6"/>
        </w:rPr>
        <w:t> </w:t>
      </w:r>
      <w:r>
        <w:rPr>
          <w:color w:val="231F20"/>
        </w:rPr>
        <w:t>Vice</w:t>
      </w:r>
      <w:r>
        <w:rPr>
          <w:color w:val="231F20"/>
          <w:spacing w:val="-7"/>
        </w:rPr>
        <w:t> </w:t>
      </w:r>
      <w:r>
        <w:rPr>
          <w:color w:val="231F20"/>
        </w:rPr>
        <w:t>President</w:t>
      </w:r>
      <w:r>
        <w:rPr>
          <w:color w:val="231F20"/>
          <w:spacing w:val="-7"/>
        </w:rPr>
        <w:t> </w:t>
      </w:r>
      <w:r>
        <w:rPr>
          <w:color w:val="231F20"/>
        </w:rPr>
        <w:t>for</w:t>
      </w:r>
      <w:r>
        <w:rPr>
          <w:color w:val="231F20"/>
          <w:spacing w:val="-7"/>
        </w:rPr>
        <w:t> </w:t>
      </w:r>
      <w:r>
        <w:rPr>
          <w:color w:val="231F20"/>
        </w:rPr>
        <w:t>Administration</w:t>
      </w:r>
      <w:r>
        <w:rPr>
          <w:color w:val="231F20"/>
          <w:spacing w:val="-7"/>
        </w:rPr>
        <w:t> </w:t>
      </w:r>
      <w:r>
        <w:rPr>
          <w:color w:val="231F20"/>
        </w:rPr>
        <w:t>and</w:t>
      </w:r>
      <w:r>
        <w:rPr>
          <w:color w:val="231F20"/>
          <w:spacing w:val="-6"/>
        </w:rPr>
        <w:t> </w:t>
      </w:r>
      <w:r>
        <w:rPr>
          <w:color w:val="231F20"/>
          <w:spacing w:val="-2"/>
        </w:rPr>
        <w:t>Finance</w:t>
      </w:r>
    </w:p>
    <w:p>
      <w:pPr>
        <w:pStyle w:val="BodyText"/>
        <w:spacing w:line="276" w:lineRule="auto" w:before="35"/>
        <w:ind w:left="899" w:right="1533"/>
      </w:pPr>
      <w:r>
        <w:rPr>
          <w:color w:val="231F20"/>
        </w:rPr>
        <w:t>Shaojie</w:t>
      </w:r>
      <w:r>
        <w:rPr>
          <w:color w:val="231F20"/>
          <w:spacing w:val="-4"/>
        </w:rPr>
        <w:t> </w:t>
      </w:r>
      <w:r>
        <w:rPr>
          <w:color w:val="231F20"/>
        </w:rPr>
        <w:t>(Jenny)</w:t>
      </w:r>
      <w:r>
        <w:rPr>
          <w:color w:val="231F20"/>
          <w:spacing w:val="-4"/>
        </w:rPr>
        <w:t> </w:t>
      </w:r>
      <w:r>
        <w:rPr>
          <w:color w:val="231F20"/>
        </w:rPr>
        <w:t>Ma,</w:t>
      </w:r>
      <w:r>
        <w:rPr>
          <w:color w:val="231F20"/>
          <w:spacing w:val="-4"/>
        </w:rPr>
        <w:t> </w:t>
      </w:r>
      <w:r>
        <w:rPr>
          <w:color w:val="231F20"/>
        </w:rPr>
        <w:t>Associate</w:t>
      </w:r>
      <w:r>
        <w:rPr>
          <w:color w:val="231F20"/>
          <w:spacing w:val="-4"/>
        </w:rPr>
        <w:t> </w:t>
      </w:r>
      <w:r>
        <w:rPr>
          <w:color w:val="231F20"/>
        </w:rPr>
        <w:t>Vice</w:t>
      </w:r>
      <w:r>
        <w:rPr>
          <w:color w:val="231F20"/>
          <w:spacing w:val="-4"/>
        </w:rPr>
        <w:t> </w:t>
      </w:r>
      <w:r>
        <w:rPr>
          <w:color w:val="231F20"/>
        </w:rPr>
        <w:t>President</w:t>
      </w:r>
      <w:r>
        <w:rPr>
          <w:color w:val="231F20"/>
          <w:spacing w:val="-4"/>
        </w:rPr>
        <w:t> </w:t>
      </w:r>
      <w:r>
        <w:rPr>
          <w:color w:val="231F20"/>
        </w:rPr>
        <w:t>for</w:t>
      </w:r>
      <w:r>
        <w:rPr>
          <w:color w:val="231F20"/>
          <w:spacing w:val="-4"/>
        </w:rPr>
        <w:t> </w:t>
      </w:r>
      <w:r>
        <w:rPr>
          <w:color w:val="231F20"/>
        </w:rPr>
        <w:t>Administration</w:t>
      </w:r>
      <w:r>
        <w:rPr>
          <w:color w:val="231F20"/>
          <w:spacing w:val="-4"/>
        </w:rPr>
        <w:t> </w:t>
      </w:r>
      <w:r>
        <w:rPr>
          <w:color w:val="231F20"/>
        </w:rPr>
        <w:t>and</w:t>
      </w:r>
      <w:r>
        <w:rPr>
          <w:color w:val="231F20"/>
          <w:spacing w:val="-4"/>
        </w:rPr>
        <w:t> </w:t>
      </w:r>
      <w:r>
        <w:rPr>
          <w:color w:val="231F20"/>
        </w:rPr>
        <w:t>Finance/</w:t>
      </w:r>
      <w:r>
        <w:rPr>
          <w:color w:val="231F20"/>
          <w:spacing w:val="-4"/>
        </w:rPr>
        <w:t> </w:t>
      </w:r>
      <w:r>
        <w:rPr>
          <w:color w:val="231F20"/>
        </w:rPr>
        <w:t>Budget</w:t>
      </w:r>
      <w:r>
        <w:rPr>
          <w:color w:val="231F20"/>
          <w:spacing w:val="-4"/>
        </w:rPr>
        <w:t> </w:t>
      </w:r>
      <w:r>
        <w:rPr>
          <w:color w:val="231F20"/>
        </w:rPr>
        <w:t>Director Kenneth Aerts, Director of Financial Aid</w:t>
      </w:r>
    </w:p>
    <w:p>
      <w:pPr>
        <w:pStyle w:val="BodyText"/>
        <w:ind w:left="899"/>
      </w:pPr>
      <w:r>
        <w:rPr>
          <w:color w:val="231F20"/>
        </w:rPr>
        <w:t>Gayle</w:t>
      </w:r>
      <w:r>
        <w:rPr>
          <w:color w:val="231F20"/>
          <w:spacing w:val="-3"/>
        </w:rPr>
        <w:t> </w:t>
      </w:r>
      <w:r>
        <w:rPr>
          <w:color w:val="231F20"/>
        </w:rPr>
        <w:t>Bailey,</w:t>
      </w:r>
      <w:r>
        <w:rPr>
          <w:color w:val="231F20"/>
          <w:spacing w:val="-4"/>
        </w:rPr>
        <w:t> </w:t>
      </w:r>
      <w:r>
        <w:rPr>
          <w:color w:val="231F20"/>
        </w:rPr>
        <w:t>Director</w:t>
      </w:r>
      <w:r>
        <w:rPr>
          <w:color w:val="231F20"/>
          <w:spacing w:val="-3"/>
        </w:rPr>
        <w:t> </w:t>
      </w:r>
      <w:r>
        <w:rPr>
          <w:color w:val="231F20"/>
        </w:rPr>
        <w:t>of</w:t>
      </w:r>
      <w:r>
        <w:rPr>
          <w:color w:val="231F20"/>
          <w:spacing w:val="-3"/>
        </w:rPr>
        <w:t> </w:t>
      </w:r>
      <w:r>
        <w:rPr>
          <w:color w:val="231F20"/>
        </w:rPr>
        <w:t>Sponsored</w:t>
      </w:r>
      <w:r>
        <w:rPr>
          <w:color w:val="231F20"/>
          <w:spacing w:val="-2"/>
        </w:rPr>
        <w:t> Projects</w:t>
      </w:r>
    </w:p>
    <w:p>
      <w:pPr>
        <w:pStyle w:val="BodyText"/>
        <w:spacing w:line="276" w:lineRule="auto" w:before="34"/>
        <w:ind w:left="899" w:right="3528"/>
      </w:pPr>
      <w:r>
        <w:rPr>
          <w:color w:val="231F20"/>
        </w:rPr>
        <w:t>Daniel</w:t>
      </w:r>
      <w:r>
        <w:rPr>
          <w:color w:val="231F20"/>
          <w:spacing w:val="-7"/>
        </w:rPr>
        <w:t> </w:t>
      </w:r>
      <w:r>
        <w:rPr>
          <w:color w:val="231F20"/>
        </w:rPr>
        <w:t>Lunceford,</w:t>
      </w:r>
      <w:r>
        <w:rPr>
          <w:color w:val="231F20"/>
          <w:spacing w:val="-7"/>
        </w:rPr>
        <w:t> </w:t>
      </w:r>
      <w:r>
        <w:rPr>
          <w:color w:val="231F20"/>
        </w:rPr>
        <w:t>Director,</w:t>
      </w:r>
      <w:r>
        <w:rPr>
          <w:color w:val="231F20"/>
          <w:spacing w:val="-8"/>
        </w:rPr>
        <w:t> </w:t>
      </w:r>
      <w:r>
        <w:rPr>
          <w:color w:val="231F20"/>
        </w:rPr>
        <w:t>Information</w:t>
      </w:r>
      <w:r>
        <w:rPr>
          <w:color w:val="231F20"/>
          <w:spacing w:val="-7"/>
        </w:rPr>
        <w:t> </w:t>
      </w:r>
      <w:r>
        <w:rPr>
          <w:color w:val="231F20"/>
        </w:rPr>
        <w:t>Technology</w:t>
      </w:r>
      <w:r>
        <w:rPr>
          <w:color w:val="231F20"/>
          <w:spacing w:val="-7"/>
        </w:rPr>
        <w:t> </w:t>
      </w:r>
      <w:r>
        <w:rPr>
          <w:color w:val="231F20"/>
        </w:rPr>
        <w:t>and</w:t>
      </w:r>
      <w:r>
        <w:rPr>
          <w:color w:val="231F20"/>
          <w:spacing w:val="-7"/>
        </w:rPr>
        <w:t> </w:t>
      </w:r>
      <w:r>
        <w:rPr>
          <w:color w:val="231F20"/>
        </w:rPr>
        <w:t>Communications Melissa Tull, Controller</w:t>
      </w:r>
    </w:p>
    <w:p>
      <w:pPr>
        <w:pStyle w:val="BodyText"/>
        <w:spacing w:line="276" w:lineRule="auto" w:before="1"/>
        <w:ind w:left="899" w:right="4784"/>
      </w:pPr>
      <w:r>
        <w:rPr>
          <w:color w:val="231F20"/>
        </w:rPr>
        <w:t>Emma Aafloy, Associate Director of Budget and Analysis Angie</w:t>
      </w:r>
      <w:r>
        <w:rPr>
          <w:color w:val="231F20"/>
          <w:spacing w:val="-7"/>
        </w:rPr>
        <w:t> </w:t>
      </w:r>
      <w:r>
        <w:rPr>
          <w:color w:val="231F20"/>
        </w:rPr>
        <w:t>Gonzales,</w:t>
      </w:r>
      <w:r>
        <w:rPr>
          <w:color w:val="231F20"/>
          <w:spacing w:val="-7"/>
        </w:rPr>
        <w:t> </w:t>
      </w:r>
      <w:r>
        <w:rPr>
          <w:color w:val="231F20"/>
        </w:rPr>
        <w:t>Associate</w:t>
      </w:r>
      <w:r>
        <w:rPr>
          <w:color w:val="231F20"/>
          <w:spacing w:val="-8"/>
        </w:rPr>
        <w:t> </w:t>
      </w:r>
      <w:r>
        <w:rPr>
          <w:color w:val="231F20"/>
        </w:rPr>
        <w:t>Director</w:t>
      </w:r>
      <w:r>
        <w:rPr>
          <w:color w:val="231F20"/>
          <w:spacing w:val="-7"/>
        </w:rPr>
        <w:t> </w:t>
      </w:r>
      <w:r>
        <w:rPr>
          <w:color w:val="231F20"/>
        </w:rPr>
        <w:t>of</w:t>
      </w:r>
      <w:r>
        <w:rPr>
          <w:color w:val="231F20"/>
          <w:spacing w:val="-7"/>
        </w:rPr>
        <w:t> </w:t>
      </w:r>
      <w:r>
        <w:rPr>
          <w:color w:val="231F20"/>
        </w:rPr>
        <w:t>Human</w:t>
      </w:r>
      <w:r>
        <w:rPr>
          <w:color w:val="231F20"/>
          <w:spacing w:val="-7"/>
        </w:rPr>
        <w:t> </w:t>
      </w:r>
      <w:r>
        <w:rPr>
          <w:color w:val="231F20"/>
        </w:rPr>
        <w:t>Resources Carrie Marsyla, Director, Cost Accounting and Reporting JoAnn Salome, Director, Human Resources</w:t>
      </w:r>
    </w:p>
    <w:p>
      <w:pPr>
        <w:pStyle w:val="BodyText"/>
        <w:rPr>
          <w:sz w:val="22"/>
        </w:rPr>
      </w:pPr>
    </w:p>
    <w:p>
      <w:pPr>
        <w:pStyle w:val="BodyText"/>
        <w:spacing w:before="10"/>
        <w:rPr>
          <w:sz w:val="23"/>
        </w:rPr>
      </w:pPr>
    </w:p>
    <w:p>
      <w:pPr>
        <w:pStyle w:val="Heading4"/>
        <w:ind w:left="899"/>
      </w:pPr>
      <w:r>
        <w:rPr>
          <w:color w:val="231F20"/>
        </w:rPr>
        <w:t>Moss</w:t>
      </w:r>
      <w:r>
        <w:rPr>
          <w:color w:val="231F20"/>
          <w:spacing w:val="-5"/>
        </w:rPr>
        <w:t> </w:t>
      </w:r>
      <w:r>
        <w:rPr>
          <w:color w:val="231F20"/>
        </w:rPr>
        <w:t>Adams</w:t>
      </w:r>
      <w:r>
        <w:rPr>
          <w:color w:val="231F20"/>
          <w:spacing w:val="-5"/>
        </w:rPr>
        <w:t> LLP</w:t>
      </w:r>
    </w:p>
    <w:p>
      <w:pPr>
        <w:pStyle w:val="BodyText"/>
        <w:spacing w:before="35"/>
        <w:ind w:left="899"/>
      </w:pPr>
      <w:r>
        <w:rPr>
          <w:color w:val="231F20"/>
        </w:rPr>
        <w:t>Lisa</w:t>
      </w:r>
      <w:r>
        <w:rPr>
          <w:color w:val="231F20"/>
          <w:spacing w:val="-5"/>
        </w:rPr>
        <w:t> </w:t>
      </w:r>
      <w:r>
        <w:rPr>
          <w:color w:val="231F20"/>
        </w:rPr>
        <w:t>Todd,</w:t>
      </w:r>
      <w:r>
        <w:rPr>
          <w:color w:val="231F20"/>
          <w:spacing w:val="-4"/>
        </w:rPr>
        <w:t> </w:t>
      </w:r>
      <w:r>
        <w:rPr>
          <w:color w:val="231F20"/>
        </w:rPr>
        <w:t>CPA,</w:t>
      </w:r>
      <w:r>
        <w:rPr>
          <w:color w:val="231F20"/>
          <w:spacing w:val="-4"/>
        </w:rPr>
        <w:t> </w:t>
      </w:r>
      <w:r>
        <w:rPr>
          <w:color w:val="231F20"/>
          <w:spacing w:val="-2"/>
        </w:rPr>
        <w:t>Partner</w:t>
      </w:r>
    </w:p>
    <w:p>
      <w:pPr>
        <w:pStyle w:val="BodyText"/>
        <w:spacing w:before="34"/>
        <w:ind w:left="899"/>
      </w:pPr>
      <w:r>
        <w:rPr>
          <w:color w:val="231F20"/>
        </w:rPr>
        <w:t>Kevin</w:t>
      </w:r>
      <w:r>
        <w:rPr>
          <w:color w:val="231F20"/>
          <w:spacing w:val="-7"/>
        </w:rPr>
        <w:t> </w:t>
      </w:r>
      <w:r>
        <w:rPr>
          <w:color w:val="231F20"/>
        </w:rPr>
        <w:t>Jankowski,</w:t>
      </w:r>
      <w:r>
        <w:rPr>
          <w:color w:val="231F20"/>
          <w:spacing w:val="-6"/>
        </w:rPr>
        <w:t> </w:t>
      </w:r>
      <w:r>
        <w:rPr>
          <w:color w:val="231F20"/>
        </w:rPr>
        <w:t>CPA,</w:t>
      </w:r>
      <w:r>
        <w:rPr>
          <w:color w:val="231F20"/>
          <w:spacing w:val="-6"/>
        </w:rPr>
        <w:t> </w:t>
      </w:r>
      <w:r>
        <w:rPr>
          <w:color w:val="231F20"/>
          <w:spacing w:val="-2"/>
        </w:rPr>
        <w:t>Manager</w:t>
      </w:r>
    </w:p>
    <w:p>
      <w:pPr>
        <w:pStyle w:val="BodyText"/>
        <w:rPr>
          <w:sz w:val="22"/>
        </w:rPr>
      </w:pPr>
    </w:p>
    <w:p>
      <w:pPr>
        <w:pStyle w:val="BodyText"/>
        <w:rPr>
          <w:sz w:val="27"/>
        </w:rPr>
      </w:pPr>
    </w:p>
    <w:p>
      <w:pPr>
        <w:pStyle w:val="BodyText"/>
        <w:spacing w:line="276" w:lineRule="auto"/>
        <w:ind w:left="899" w:right="1027"/>
      </w:pPr>
      <w:r>
        <w:rPr>
          <w:color w:val="231F20"/>
        </w:rPr>
        <w:t>The</w:t>
      </w:r>
      <w:r>
        <w:rPr>
          <w:color w:val="231F20"/>
          <w:spacing w:val="-3"/>
        </w:rPr>
        <w:t> </w:t>
      </w:r>
      <w:r>
        <w:rPr>
          <w:color w:val="231F20"/>
        </w:rPr>
        <w:t>financial</w:t>
      </w:r>
      <w:r>
        <w:rPr>
          <w:color w:val="231F20"/>
          <w:spacing w:val="-4"/>
        </w:rPr>
        <w:t> </w:t>
      </w:r>
      <w:r>
        <w:rPr>
          <w:color w:val="231F20"/>
        </w:rPr>
        <w:t>statements</w:t>
      </w:r>
      <w:r>
        <w:rPr>
          <w:color w:val="231F20"/>
          <w:spacing w:val="-3"/>
        </w:rPr>
        <w:t> </w:t>
      </w:r>
      <w:r>
        <w:rPr>
          <w:color w:val="231F20"/>
        </w:rPr>
        <w:t>were</w:t>
      </w:r>
      <w:r>
        <w:rPr>
          <w:color w:val="231F20"/>
          <w:spacing w:val="-3"/>
        </w:rPr>
        <w:t> </w:t>
      </w:r>
      <w:r>
        <w:rPr>
          <w:color w:val="231F20"/>
        </w:rPr>
        <w:t>prepared</w:t>
      </w:r>
      <w:r>
        <w:rPr>
          <w:color w:val="231F20"/>
          <w:spacing w:val="-3"/>
        </w:rPr>
        <w:t> </w:t>
      </w:r>
      <w:r>
        <w:rPr>
          <w:color w:val="231F20"/>
        </w:rPr>
        <w:t>by</w:t>
      </w:r>
      <w:r>
        <w:rPr>
          <w:color w:val="231F20"/>
          <w:spacing w:val="-3"/>
        </w:rPr>
        <w:t> </w:t>
      </w:r>
      <w:r>
        <w:rPr>
          <w:color w:val="231F20"/>
        </w:rPr>
        <w:t>Moss</w:t>
      </w:r>
      <w:r>
        <w:rPr>
          <w:color w:val="231F20"/>
          <w:spacing w:val="-3"/>
        </w:rPr>
        <w:t> </w:t>
      </w:r>
      <w:r>
        <w:rPr>
          <w:color w:val="231F20"/>
        </w:rPr>
        <w:t>Adams</w:t>
      </w:r>
      <w:r>
        <w:rPr>
          <w:color w:val="231F20"/>
          <w:spacing w:val="-3"/>
        </w:rPr>
        <w:t> </w:t>
      </w:r>
      <w:r>
        <w:rPr>
          <w:color w:val="231F20"/>
        </w:rPr>
        <w:t>LLP,</w:t>
      </w:r>
      <w:r>
        <w:rPr>
          <w:color w:val="231F20"/>
          <w:spacing w:val="-3"/>
        </w:rPr>
        <w:t> </w:t>
      </w:r>
      <w:r>
        <w:rPr>
          <w:color w:val="231F20"/>
        </w:rPr>
        <w:t>with</w:t>
      </w:r>
      <w:r>
        <w:rPr>
          <w:color w:val="231F20"/>
          <w:spacing w:val="-4"/>
        </w:rPr>
        <w:t> </w:t>
      </w:r>
      <w:r>
        <w:rPr>
          <w:color w:val="231F20"/>
        </w:rPr>
        <w:t>the</w:t>
      </w:r>
      <w:r>
        <w:rPr>
          <w:color w:val="231F20"/>
          <w:spacing w:val="-3"/>
        </w:rPr>
        <w:t> </w:t>
      </w:r>
      <w:r>
        <w:rPr>
          <w:color w:val="231F20"/>
        </w:rPr>
        <w:t>assistance</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Institute.</w:t>
      </w:r>
      <w:r>
        <w:rPr>
          <w:color w:val="231F20"/>
          <w:spacing w:val="-3"/>
        </w:rPr>
        <w:t> </w:t>
      </w:r>
      <w:r>
        <w:rPr>
          <w:color w:val="231F20"/>
        </w:rPr>
        <w:t>The Institute is responsible for the contents of these financial statements.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r>
        <w:rPr/>
        <w:pict>
          <v:rect style="position:absolute;margin-left:70.5pt;margin-top:10.45068pt;width:471.001pt;height:1.5pt;mso-position-horizontal-relative:page;mso-position-vertical-relative:paragraph;z-index:-15573504;mso-wrap-distance-left:0;mso-wrap-distance-right:0" id="docshape676" filled="true" fillcolor="#231f20" stroked="false">
            <v:fill type="solid"/>
            <w10:wrap type="topAndBottom"/>
          </v:rect>
        </w:pict>
      </w:r>
    </w:p>
    <w:sectPr>
      <w:headerReference w:type="default" r:id="rId104"/>
      <w:footerReference w:type="default" r:id="rId105"/>
      <w:pgSz w:w="12240" w:h="15840"/>
      <w:pgMar w:header="0" w:footer="778" w:top="760" w:bottom="960" w:left="54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Symbol">
    <w:altName w:val="Symbol"/>
    <w:charset w:val="2"/>
    <w:family w:val="roman"/>
    <w:pitch w:val="variable"/>
  </w:font>
  <w:font w:name="Calibri">
    <w:altName w:val="Calibri"/>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3.860596pt;margin-top:742.090576pt;width:4.25pt;height:13.2pt;mso-position-horizontal-relative:page;mso-position-vertical-relative:page;z-index:-28384768" type="#_x0000_t202" id="docshape15" filled="false" stroked="false">
          <v:textbox inset="0,0,0,0">
            <w:txbxContent>
              <w:p>
                <w:pPr>
                  <w:pStyle w:val="BodyText"/>
                  <w:spacing w:before="14"/>
                  <w:ind w:left="20"/>
                </w:pPr>
                <w:r>
                  <w:rPr>
                    <w:color w:val="231F20"/>
                    <w:w w:val="100"/>
                  </w:rPr>
                  <w:t>i</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4.499001pt;margin-top:547.140991pt;width:723.001pt;height:1.5pt;mso-position-horizontal-relative:page;mso-position-vertical-relative:page;z-index:-28370944" id="docshape412" filled="true" fillcolor="#231f20" stroked="false">
          <v:fill type="solid"/>
          <w10:wrap type="none"/>
        </v:rect>
      </w:pict>
    </w:r>
    <w:r>
      <w:rPr/>
      <w:pict>
        <v:shape style="position:absolute;margin-left:387.419189pt;margin-top:562.090271pt;width:18.2pt;height:13.2pt;mso-position-horizontal-relative:page;mso-position-vertical-relative:page;z-index:-28370432" type="#_x0000_t202" id="docshape413"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76</w:t>
                </w:r>
                <w:r>
                  <w:rPr>
                    <w:color w:val="231F20"/>
                    <w:spacing w:val="-5"/>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69408" id="docshape418" filled="true" fillcolor="#231f20" stroked="false">
          <v:fill type="solid"/>
          <w10:wrap type="none"/>
        </v:rect>
      </w:pict>
    </w:r>
    <w:r>
      <w:rPr/>
      <w:pict>
        <v:shape style="position:absolute;margin-left:297.420593pt;margin-top:742.090576pt;width:18.2pt;height:13.2pt;mso-position-horizontal-relative:page;mso-position-vertical-relative:page;z-index:-28368896" type="#_x0000_t202" id="docshape419"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78</w:t>
                </w:r>
                <w:r>
                  <w:rPr>
                    <w:color w:val="231F20"/>
                    <w:spacing w:val="-5"/>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67872" id="docshape422" filled="true" fillcolor="#231f20" stroked="false">
          <v:fill type="solid"/>
          <w10:wrap type="none"/>
        </v:rect>
      </w:pict>
    </w:r>
    <w:r>
      <w:rPr/>
      <w:pict>
        <v:shape style="position:absolute;margin-left:297.420593pt;margin-top:742.090576pt;width:18.2pt;height:13.2pt;mso-position-horizontal-relative:page;mso-position-vertical-relative:page;z-index:-28367360" type="#_x0000_t202" id="docshape423"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79</w:t>
                </w:r>
                <w:r>
                  <w:rPr>
                    <w:color w:val="231F20"/>
                    <w:spacing w:val="-5"/>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66336" id="docshape432" filled="true" fillcolor="#231f20" stroked="false">
          <v:fill type="solid"/>
          <w10:wrap type="none"/>
        </v:rect>
      </w:pict>
    </w:r>
    <w:r>
      <w:rPr/>
      <w:pict>
        <v:shape style="position:absolute;margin-left:297.420593pt;margin-top:742.090576pt;width:18.2pt;height:13.2pt;mso-position-horizontal-relative:page;mso-position-vertical-relative:page;z-index:-28365824" type="#_x0000_t202" id="docshape433"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80</w:t>
                </w:r>
                <w:r>
                  <w:rPr>
                    <w:color w:val="231F20"/>
                    <w:spacing w:val="-5"/>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64800" id="docshape444" filled="true" fillcolor="#231f20" stroked="false">
          <v:fill type="solid"/>
          <w10:wrap type="none"/>
        </v:rect>
      </w:pict>
    </w:r>
    <w:r>
      <w:rPr/>
      <w:pict>
        <v:shape style="position:absolute;margin-left:297.420593pt;margin-top:742.090576pt;width:18.2pt;height:13.2pt;mso-position-horizontal-relative:page;mso-position-vertical-relative:page;z-index:-28364288" type="#_x0000_t202" id="docshape445"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82</w:t>
                </w:r>
                <w:r>
                  <w:rPr>
                    <w:color w:val="231F20"/>
                    <w:spacing w:val="-5"/>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63264" id="docshape453" filled="true" fillcolor="#231f20" stroked="false">
          <v:fill type="solid"/>
          <w10:wrap type="none"/>
        </v:rect>
      </w:pict>
    </w:r>
    <w:r>
      <w:rPr/>
      <w:pict>
        <v:shape style="position:absolute;margin-left:297.420593pt;margin-top:742.090576pt;width:18.2pt;height:13.2pt;mso-position-horizontal-relative:page;mso-position-vertical-relative:page;z-index:-28362752" type="#_x0000_t202" id="docshape454"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84</w:t>
                </w:r>
                <w:r>
                  <w:rPr>
                    <w:color w:val="231F20"/>
                    <w:spacing w:val="-5"/>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61728" id="docshape458" filled="true" fillcolor="#231f20" stroked="false">
          <v:fill type="solid"/>
          <w10:wrap type="none"/>
        </v:rect>
      </w:pict>
    </w:r>
    <w:r>
      <w:rPr/>
      <w:pict>
        <v:shape style="position:absolute;margin-left:297.420593pt;margin-top:742.090576pt;width:18.2pt;height:13.2pt;mso-position-horizontal-relative:page;mso-position-vertical-relative:page;z-index:-28361216" type="#_x0000_t202" id="docshape459"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86</w:t>
                </w:r>
                <w:r>
                  <w:rPr>
                    <w:color w:val="231F20"/>
                    <w:spacing w:val="-5"/>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60192" id="docshape493" filled="true" fillcolor="#231f20" stroked="false">
          <v:fill type="solid"/>
          <w10:wrap type="none"/>
        </v:rect>
      </w:pict>
    </w:r>
    <w:r>
      <w:rPr/>
      <w:pict>
        <v:shape style="position:absolute;margin-left:297.420593pt;margin-top:742.090576pt;width:18.2pt;height:13.2pt;mso-position-horizontal-relative:page;mso-position-vertical-relative:page;z-index:-28359680" type="#_x0000_t202" id="docshape494"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88</w:t>
                </w:r>
                <w:r>
                  <w:rPr>
                    <w:color w:val="231F20"/>
                    <w:spacing w:val="-5"/>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00.181610pt;margin-top:743.830688pt;width:12.6pt;height:13.2pt;mso-position-horizontal-relative:page;mso-position-vertical-relative:page;z-index:-28384256" type="#_x0000_t202" id="docshape17" filled="false" stroked="false">
          <v:textbox inset="0,0,0,0">
            <w:txbxContent>
              <w:p>
                <w:pPr>
                  <w:pStyle w:val="BodyText"/>
                  <w:spacing w:before="14"/>
                  <w:ind w:left="60"/>
                </w:pPr>
                <w:r>
                  <w:rPr>
                    <w:color w:val="231F20"/>
                    <w:w w:val="100"/>
                  </w:rPr>
                  <w:fldChar w:fldCharType="begin"/>
                </w:r>
                <w:r>
                  <w:rPr>
                    <w:color w:val="231F20"/>
                    <w:w w:val="100"/>
                  </w:rPr>
                  <w:instrText> PAGE </w:instrText>
                </w:r>
                <w:r>
                  <w:rPr>
                    <w:color w:val="231F20"/>
                    <w:w w:val="100"/>
                  </w:rPr>
                  <w:fldChar w:fldCharType="separate"/>
                </w:r>
                <w:r>
                  <w:rPr>
                    <w:color w:val="231F20"/>
                    <w:w w:val="100"/>
                  </w:rPr>
                  <w:t>1</w:t>
                </w:r>
                <w:r>
                  <w:rPr>
                    <w:color w:val="231F20"/>
                    <w:w w:val="10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4.499001pt;margin-top:547.140991pt;width:723.001pt;height:1.5pt;mso-position-horizontal-relative:page;mso-position-vertical-relative:page;z-index:-28358656" id="docshape507" filled="true" fillcolor="#231f20" stroked="false">
          <v:fill type="solid"/>
          <w10:wrap type="none"/>
        </v:rect>
      </w:pict>
    </w:r>
    <w:r>
      <w:rPr/>
      <w:pict>
        <v:shape style="position:absolute;margin-left:387.419189pt;margin-top:562.090271pt;width:18.2pt;height:13.2pt;mso-position-horizontal-relative:page;mso-position-vertical-relative:page;z-index:-28358144" type="#_x0000_t202" id="docshape508"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89</w:t>
                </w:r>
                <w:r>
                  <w:rPr>
                    <w:color w:val="231F20"/>
                    <w:spacing w:val="-5"/>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4.499001pt;margin-top:547.140991pt;width:723.001pt;height:1.5pt;mso-position-horizontal-relative:page;mso-position-vertical-relative:page;z-index:-28356608" id="docshape555" filled="true" fillcolor="#231f20" stroked="false">
          <v:fill type="solid"/>
          <w10:wrap type="none"/>
        </v:rect>
      </w:pict>
    </w:r>
    <w:r>
      <w:rPr/>
      <w:pict>
        <v:shape style="position:absolute;margin-left:387.419189pt;margin-top:562.090271pt;width:18.2pt;height:13.2pt;mso-position-horizontal-relative:page;mso-position-vertical-relative:page;z-index:-28356096" type="#_x0000_t202" id="docshape556"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92</w:t>
                </w:r>
                <w:r>
                  <w:rPr>
                    <w:color w:val="231F20"/>
                    <w:spacing w:val="-5"/>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660614pt;margin-top:743.830688pt;width:23.75pt;height:13.2pt;mso-position-horizontal-relative:page;mso-position-vertical-relative:page;z-index:-28355584" type="#_x0000_t202" id="docshape573"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100</w:t>
                </w:r>
                <w:r>
                  <w:rPr>
                    <w:color w:val="231F20"/>
                    <w:spacing w:val="-5"/>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660614pt;margin-top:743.830688pt;width:23.75pt;height:13.2pt;mso-position-horizontal-relative:page;mso-position-vertical-relative:page;z-index:-28355072" type="#_x0000_t202" id="docshape575"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100</w:t>
                </w:r>
                <w:r>
                  <w:rPr>
                    <w:color w:val="231F20"/>
                    <w:spacing w:val="-5"/>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660614pt;margin-top:743.830688pt;width:23.75pt;height:13.2pt;mso-position-horizontal-relative:page;mso-position-vertical-relative:page;z-index:-28354560" type="#_x0000_t202" id="docshape589"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101</w:t>
                </w:r>
                <w:r>
                  <w:rPr>
                    <w:color w:val="231F20"/>
                    <w:spacing w:val="-5"/>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660614pt;margin-top:743.830688pt;width:23.75pt;height:13.2pt;mso-position-horizontal-relative:page;mso-position-vertical-relative:page;z-index:-28354048" type="#_x0000_t202" id="docshape590"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102</w:t>
                </w:r>
                <w:r>
                  <w:rPr>
                    <w:color w:val="231F20"/>
                    <w:spacing w:val="-5"/>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660614pt;margin-top:743.830688pt;width:23.75pt;height:13.2pt;mso-position-horizontal-relative:page;mso-position-vertical-relative:page;z-index:-28353536" type="#_x0000_t202" id="docshape604"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103</w:t>
                </w:r>
                <w:r>
                  <w:rPr>
                    <w:color w:val="231F20"/>
                    <w:spacing w:val="-5"/>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660614pt;margin-top:743.830688pt;width:23.75pt;height:13.2pt;mso-position-horizontal-relative:page;mso-position-vertical-relative:page;z-index:-28353024" type="#_x0000_t202" id="docshape605"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104</w:t>
                </w:r>
                <w:r>
                  <w:rPr>
                    <w:color w:val="231F20"/>
                    <w:spacing w:val="-5"/>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52000" id="docshape607" filled="true" fillcolor="#231f20" stroked="false">
          <v:fill type="solid"/>
          <w10:wrap type="none"/>
        </v:rect>
      </w:pict>
    </w:r>
    <w:r>
      <w:rPr/>
      <w:pict>
        <v:shape style="position:absolute;margin-left:294.660614pt;margin-top:742.090576pt;width:23.75pt;height:13.2pt;mso-position-horizontal-relative:page;mso-position-vertical-relative:page;z-index:-28351488" type="#_x0000_t202" id="docshape608"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105</w:t>
                </w:r>
                <w:r>
                  <w:rPr>
                    <w:color w:val="231F20"/>
                    <w:spacing w:val="-5"/>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49952" id="docshape640" filled="true" fillcolor="#231f20" stroked="false">
          <v:fill type="solid"/>
          <w10:wrap type="none"/>
        </v:rect>
      </w:pict>
    </w:r>
    <w:r>
      <w:rPr/>
      <w:pict>
        <v:shape style="position:absolute;margin-left:294.660614pt;margin-top:742.090576pt;width:23.75pt;height:13.2pt;mso-position-horizontal-relative:page;mso-position-vertical-relative:page;z-index:-28349440" type="#_x0000_t202" id="docshape641"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110</w:t>
                </w:r>
                <w:r>
                  <w:rPr>
                    <w:color w:val="231F20"/>
                    <w:spacing w:val="-5"/>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83232" id="docshape32" filled="true" fillcolor="#231f20" stroked="false">
          <v:fill type="solid"/>
          <w10:wrap type="none"/>
        </v:rect>
      </w:pict>
    </w:r>
    <w:r>
      <w:rPr/>
      <w:pict>
        <v:shape style="position:absolute;margin-left:300.180511pt;margin-top:742.090576pt;width:12.6pt;height:13.2pt;mso-position-horizontal-relative:page;mso-position-vertical-relative:page;z-index:-28382720" type="#_x0000_t202" id="docshape33" filled="false" stroked="false">
          <v:textbox inset="0,0,0,0">
            <w:txbxContent>
              <w:p>
                <w:pPr>
                  <w:pStyle w:val="BodyText"/>
                  <w:spacing w:before="14"/>
                  <w:ind w:left="60"/>
                </w:pPr>
                <w:r>
                  <w:rPr>
                    <w:color w:val="231F20"/>
                    <w:w w:val="100"/>
                  </w:rPr>
                  <w:fldChar w:fldCharType="begin"/>
                </w:r>
                <w:r>
                  <w:rPr>
                    <w:color w:val="231F20"/>
                    <w:w w:val="100"/>
                  </w:rPr>
                  <w:instrText> PAGE </w:instrText>
                </w:r>
                <w:r>
                  <w:rPr>
                    <w:color w:val="231F20"/>
                    <w:w w:val="100"/>
                  </w:rPr>
                  <w:fldChar w:fldCharType="separate"/>
                </w:r>
                <w:r>
                  <w:rPr>
                    <w:color w:val="231F20"/>
                    <w:w w:val="100"/>
                  </w:rPr>
                  <w:t>5</w:t>
                </w:r>
                <w:r>
                  <w:rPr>
                    <w:color w:val="231F20"/>
                    <w:w w:val="100"/>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48416" id="docshape658" filled="true" fillcolor="#231f20" stroked="false">
          <v:fill type="solid"/>
          <w10:wrap type="none"/>
        </v:rect>
      </w:pict>
    </w:r>
    <w:r>
      <w:rPr/>
      <w:pict>
        <v:shape style="position:absolute;margin-left:294.660614pt;margin-top:742.090576pt;width:23.75pt;height:13.2pt;mso-position-horizontal-relative:page;mso-position-vertical-relative:page;z-index:-28347904" type="#_x0000_t202" id="docshape659"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115</w:t>
                </w:r>
                <w:r>
                  <w:rPr>
                    <w:color w:val="231F20"/>
                    <w:spacing w:val="-5"/>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5.14859pt;margin-top:742.610657pt;width:23.75pt;height:13.2pt;mso-position-horizontal-relative:page;mso-position-vertical-relative:page;z-index:-28347392" type="#_x0000_t202" id="docshape661"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116</w:t>
                </w:r>
                <w:r>
                  <w:rPr>
                    <w:color w:val="231F20"/>
                    <w:spacing w:val="-5"/>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138611pt;margin-top:742.34668pt;width:23.75pt;height:13.2pt;mso-position-horizontal-relative:page;mso-position-vertical-relative:page;z-index:-28346880" type="#_x0000_t202" id="docshape662"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117</w:t>
                </w:r>
                <w:r>
                  <w:rPr>
                    <w:color w:val="231F20"/>
                    <w:spacing w:val="-5"/>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4.660614pt;margin-top:742.090576pt;width:23.75pt;height:13.2pt;mso-position-horizontal-relative:page;mso-position-vertical-relative:page;z-index:-28346368" type="#_x0000_t202" id="docshape675"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118</w:t>
                </w:r>
                <w:r>
                  <w:rPr>
                    <w:color w:val="231F20"/>
                    <w:spacing w:val="-5"/>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81184" id="docshape37" filled="true" fillcolor="#231f20" stroked="false">
          <v:fill type="solid"/>
          <w10:wrap type="none"/>
        </v:rect>
      </w:pict>
    </w:r>
    <w:r>
      <w:rPr/>
      <w:pict>
        <v:shape style="position:absolute;margin-left:297.420593pt;margin-top:742.090576pt;width:18.2pt;height:13.2pt;mso-position-horizontal-relative:page;mso-position-vertical-relative:page;z-index:-28380672" type="#_x0000_t202" id="docshape38"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w:t>
                </w:r>
                <w:r>
                  <w:rPr>
                    <w:color w:val="231F20"/>
                    <w:spacing w:val="-5"/>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79648" id="docshape216" filled="true" fillcolor="#231f20" stroked="false">
          <v:fill type="solid"/>
          <w10:wrap type="none"/>
        </v:rect>
      </w:pict>
    </w:r>
    <w:r>
      <w:rPr/>
      <w:pict>
        <v:shape style="position:absolute;margin-left:182.720306pt;margin-top:728.890686pt;width:246.5pt;height:26.4pt;mso-position-horizontal-relative:page;mso-position-vertical-relative:page;z-index:-28379136" type="#_x0000_t202" id="docshape217" filled="false" stroked="false">
          <v:textbox inset="0,0,0,0">
            <w:txbxContent>
              <w:p>
                <w:pPr>
                  <w:pStyle w:val="BodyText"/>
                  <w:spacing w:before="14"/>
                  <w:ind w:left="26" w:right="26"/>
                  <w:jc w:val="center"/>
                </w:pPr>
                <w:r>
                  <w:rPr>
                    <w:color w:val="231F20"/>
                  </w:rPr>
                  <w:t>See</w:t>
                </w:r>
                <w:r>
                  <w:rPr>
                    <w:color w:val="231F20"/>
                    <w:spacing w:val="-6"/>
                  </w:rPr>
                  <w:t> </w:t>
                </w:r>
                <w:r>
                  <w:rPr>
                    <w:color w:val="231F20"/>
                  </w:rPr>
                  <w:t>accompanying</w:t>
                </w:r>
                <w:r>
                  <w:rPr>
                    <w:color w:val="231F20"/>
                    <w:spacing w:val="-6"/>
                  </w:rPr>
                  <w:t> </w:t>
                </w:r>
                <w:r>
                  <w:rPr>
                    <w:color w:val="231F20"/>
                  </w:rPr>
                  <w:t>notes</w:t>
                </w:r>
                <w:r>
                  <w:rPr>
                    <w:color w:val="231F20"/>
                    <w:spacing w:val="-5"/>
                  </w:rPr>
                  <w:t> </w:t>
                </w:r>
                <w:r>
                  <w:rPr>
                    <w:color w:val="231F20"/>
                  </w:rPr>
                  <w:t>to</w:t>
                </w:r>
                <w:r>
                  <w:rPr>
                    <w:color w:val="231F20"/>
                    <w:spacing w:val="-5"/>
                  </w:rPr>
                  <w:t> </w:t>
                </w:r>
                <w:r>
                  <w:rPr>
                    <w:color w:val="231F20"/>
                  </w:rPr>
                  <w:t>these</w:t>
                </w:r>
                <w:r>
                  <w:rPr>
                    <w:color w:val="231F20"/>
                    <w:spacing w:val="-6"/>
                  </w:rPr>
                  <w:t> </w:t>
                </w:r>
                <w:r>
                  <w:rPr>
                    <w:color w:val="231F20"/>
                  </w:rPr>
                  <w:t>financial</w:t>
                </w:r>
                <w:r>
                  <w:rPr>
                    <w:color w:val="231F20"/>
                    <w:spacing w:val="-5"/>
                  </w:rPr>
                  <w:t> </w:t>
                </w:r>
                <w:r>
                  <w:rPr>
                    <w:color w:val="231F20"/>
                    <w:spacing w:val="-2"/>
                  </w:rPr>
                  <w:t>statements.</w:t>
                </w:r>
              </w:p>
              <w:p>
                <w:pPr>
                  <w:pStyle w:val="BodyText"/>
                  <w:spacing w:before="34"/>
                  <w:ind w:left="26" w:right="25"/>
                  <w:jc w:val="center"/>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16</w:t>
                </w:r>
                <w:r>
                  <w:rPr>
                    <w:color w:val="231F20"/>
                    <w:spacing w:val="-5"/>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77600" id="docshape225" filled="true" fillcolor="#231f20" stroked="false">
          <v:fill type="solid"/>
          <w10:wrap type="none"/>
        </v:rect>
      </w:pict>
    </w:r>
    <w:r>
      <w:rPr/>
      <w:pict>
        <v:shape style="position:absolute;margin-left:182.720306pt;margin-top:728.890686pt;width:246.5pt;height:26.4pt;mso-position-horizontal-relative:page;mso-position-vertical-relative:page;z-index:-28377088" type="#_x0000_t202" id="docshape226" filled="false" stroked="false">
          <v:textbox inset="0,0,0,0">
            <w:txbxContent>
              <w:p>
                <w:pPr>
                  <w:pStyle w:val="BodyText"/>
                  <w:spacing w:before="14"/>
                  <w:ind w:left="26" w:right="26"/>
                  <w:jc w:val="center"/>
                </w:pPr>
                <w:r>
                  <w:rPr>
                    <w:color w:val="231F20"/>
                  </w:rPr>
                  <w:t>See</w:t>
                </w:r>
                <w:r>
                  <w:rPr>
                    <w:color w:val="231F20"/>
                    <w:spacing w:val="-6"/>
                  </w:rPr>
                  <w:t> </w:t>
                </w:r>
                <w:r>
                  <w:rPr>
                    <w:color w:val="231F20"/>
                  </w:rPr>
                  <w:t>accompanying</w:t>
                </w:r>
                <w:r>
                  <w:rPr>
                    <w:color w:val="231F20"/>
                    <w:spacing w:val="-6"/>
                  </w:rPr>
                  <w:t> </w:t>
                </w:r>
                <w:r>
                  <w:rPr>
                    <w:color w:val="231F20"/>
                  </w:rPr>
                  <w:t>notes</w:t>
                </w:r>
                <w:r>
                  <w:rPr>
                    <w:color w:val="231F20"/>
                    <w:spacing w:val="-5"/>
                  </w:rPr>
                  <w:t> </w:t>
                </w:r>
                <w:r>
                  <w:rPr>
                    <w:color w:val="231F20"/>
                  </w:rPr>
                  <w:t>to</w:t>
                </w:r>
                <w:r>
                  <w:rPr>
                    <w:color w:val="231F20"/>
                    <w:spacing w:val="-5"/>
                  </w:rPr>
                  <w:t> </w:t>
                </w:r>
                <w:r>
                  <w:rPr>
                    <w:color w:val="231F20"/>
                  </w:rPr>
                  <w:t>these</w:t>
                </w:r>
                <w:r>
                  <w:rPr>
                    <w:color w:val="231F20"/>
                    <w:spacing w:val="-6"/>
                  </w:rPr>
                  <w:t> </w:t>
                </w:r>
                <w:r>
                  <w:rPr>
                    <w:color w:val="231F20"/>
                  </w:rPr>
                  <w:t>financial</w:t>
                </w:r>
                <w:r>
                  <w:rPr>
                    <w:color w:val="231F20"/>
                    <w:spacing w:val="-5"/>
                  </w:rPr>
                  <w:t> </w:t>
                </w:r>
                <w:r>
                  <w:rPr>
                    <w:color w:val="231F20"/>
                    <w:spacing w:val="-2"/>
                  </w:rPr>
                  <w:t>statements.</w:t>
                </w:r>
              </w:p>
              <w:p>
                <w:pPr>
                  <w:pStyle w:val="BodyText"/>
                  <w:spacing w:before="34"/>
                  <w:ind w:left="26" w:right="25"/>
                  <w:jc w:val="center"/>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18</w:t>
                </w:r>
                <w:r>
                  <w:rPr>
                    <w:color w:val="231F20"/>
                    <w:spacing w:val="-5"/>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76064" id="docshape228" filled="true" fillcolor="#231f20" stroked="false">
          <v:fill type="solid"/>
          <w10:wrap type="none"/>
        </v:rect>
      </w:pict>
    </w:r>
    <w:r>
      <w:rPr/>
      <w:pict>
        <v:shape style="position:absolute;margin-left:182.720306pt;margin-top:728.890686pt;width:246.5pt;height:26.4pt;mso-position-horizontal-relative:page;mso-position-vertical-relative:page;z-index:-28375552" type="#_x0000_t202" id="docshape229" filled="false" stroked="false">
          <v:textbox inset="0,0,0,0">
            <w:txbxContent>
              <w:p>
                <w:pPr>
                  <w:pStyle w:val="BodyText"/>
                  <w:spacing w:before="14"/>
                  <w:ind w:left="26" w:right="26"/>
                  <w:jc w:val="center"/>
                </w:pPr>
                <w:r>
                  <w:rPr>
                    <w:color w:val="231F20"/>
                  </w:rPr>
                  <w:t>See</w:t>
                </w:r>
                <w:r>
                  <w:rPr>
                    <w:color w:val="231F20"/>
                    <w:spacing w:val="-6"/>
                  </w:rPr>
                  <w:t> </w:t>
                </w:r>
                <w:r>
                  <w:rPr>
                    <w:color w:val="231F20"/>
                  </w:rPr>
                  <w:t>accompanying</w:t>
                </w:r>
                <w:r>
                  <w:rPr>
                    <w:color w:val="231F20"/>
                    <w:spacing w:val="-6"/>
                  </w:rPr>
                  <w:t> </w:t>
                </w:r>
                <w:r>
                  <w:rPr>
                    <w:color w:val="231F20"/>
                  </w:rPr>
                  <w:t>notes</w:t>
                </w:r>
                <w:r>
                  <w:rPr>
                    <w:color w:val="231F20"/>
                    <w:spacing w:val="-5"/>
                  </w:rPr>
                  <w:t> </w:t>
                </w:r>
                <w:r>
                  <w:rPr>
                    <w:color w:val="231F20"/>
                  </w:rPr>
                  <w:t>to</w:t>
                </w:r>
                <w:r>
                  <w:rPr>
                    <w:color w:val="231F20"/>
                    <w:spacing w:val="-5"/>
                  </w:rPr>
                  <w:t> </w:t>
                </w:r>
                <w:r>
                  <w:rPr>
                    <w:color w:val="231F20"/>
                  </w:rPr>
                  <w:t>these</w:t>
                </w:r>
                <w:r>
                  <w:rPr>
                    <w:color w:val="231F20"/>
                    <w:spacing w:val="-6"/>
                  </w:rPr>
                  <w:t> </w:t>
                </w:r>
                <w:r>
                  <w:rPr>
                    <w:color w:val="231F20"/>
                  </w:rPr>
                  <w:t>financial</w:t>
                </w:r>
                <w:r>
                  <w:rPr>
                    <w:color w:val="231F20"/>
                    <w:spacing w:val="-5"/>
                  </w:rPr>
                  <w:t> </w:t>
                </w:r>
                <w:r>
                  <w:rPr>
                    <w:color w:val="231F20"/>
                    <w:spacing w:val="-2"/>
                  </w:rPr>
                  <w:t>statements.</w:t>
                </w:r>
              </w:p>
              <w:p>
                <w:pPr>
                  <w:pStyle w:val="BodyText"/>
                  <w:spacing w:before="34"/>
                  <w:ind w:left="26" w:right="25"/>
                  <w:jc w:val="center"/>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19</w:t>
                </w:r>
                <w:r>
                  <w:rPr>
                    <w:color w:val="231F20"/>
                    <w:spacing w:val="-5"/>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74528" id="docshape235" filled="true" fillcolor="#231f20" stroked="false">
          <v:fill type="solid"/>
          <w10:wrap type="none"/>
        </v:rect>
      </w:pict>
    </w:r>
    <w:r>
      <w:rPr/>
      <w:pict>
        <v:shape style="position:absolute;margin-left:182.720306pt;margin-top:728.890686pt;width:246.5pt;height:26.4pt;mso-position-horizontal-relative:page;mso-position-vertical-relative:page;z-index:-28374016" type="#_x0000_t202" id="docshape236" filled="false" stroked="false">
          <v:textbox inset="0,0,0,0">
            <w:txbxContent>
              <w:p>
                <w:pPr>
                  <w:pStyle w:val="BodyText"/>
                  <w:spacing w:before="14"/>
                  <w:ind w:left="26" w:right="26"/>
                  <w:jc w:val="center"/>
                </w:pPr>
                <w:r>
                  <w:rPr>
                    <w:color w:val="231F20"/>
                  </w:rPr>
                  <w:t>See</w:t>
                </w:r>
                <w:r>
                  <w:rPr>
                    <w:color w:val="231F20"/>
                    <w:spacing w:val="-6"/>
                  </w:rPr>
                  <w:t> </w:t>
                </w:r>
                <w:r>
                  <w:rPr>
                    <w:color w:val="231F20"/>
                  </w:rPr>
                  <w:t>accompanying</w:t>
                </w:r>
                <w:r>
                  <w:rPr>
                    <w:color w:val="231F20"/>
                    <w:spacing w:val="-6"/>
                  </w:rPr>
                  <w:t> </w:t>
                </w:r>
                <w:r>
                  <w:rPr>
                    <w:color w:val="231F20"/>
                  </w:rPr>
                  <w:t>notes</w:t>
                </w:r>
                <w:r>
                  <w:rPr>
                    <w:color w:val="231F20"/>
                    <w:spacing w:val="-5"/>
                  </w:rPr>
                  <w:t> </w:t>
                </w:r>
                <w:r>
                  <w:rPr>
                    <w:color w:val="231F20"/>
                  </w:rPr>
                  <w:t>to</w:t>
                </w:r>
                <w:r>
                  <w:rPr>
                    <w:color w:val="231F20"/>
                    <w:spacing w:val="-5"/>
                  </w:rPr>
                  <w:t> </w:t>
                </w:r>
                <w:r>
                  <w:rPr>
                    <w:color w:val="231F20"/>
                  </w:rPr>
                  <w:t>these</w:t>
                </w:r>
                <w:r>
                  <w:rPr>
                    <w:color w:val="231F20"/>
                    <w:spacing w:val="-6"/>
                  </w:rPr>
                  <w:t> </w:t>
                </w:r>
                <w:r>
                  <w:rPr>
                    <w:color w:val="231F20"/>
                  </w:rPr>
                  <w:t>financial</w:t>
                </w:r>
                <w:r>
                  <w:rPr>
                    <w:color w:val="231F20"/>
                    <w:spacing w:val="-5"/>
                  </w:rPr>
                  <w:t> </w:t>
                </w:r>
                <w:r>
                  <w:rPr>
                    <w:color w:val="231F20"/>
                    <w:spacing w:val="-2"/>
                  </w:rPr>
                  <w:t>statements.</w:t>
                </w:r>
              </w:p>
              <w:p>
                <w:pPr>
                  <w:pStyle w:val="BodyText"/>
                  <w:spacing w:before="34"/>
                  <w:ind w:left="26" w:right="25"/>
                  <w:jc w:val="center"/>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20</w:t>
                </w:r>
                <w:r>
                  <w:rPr>
                    <w:color w:val="231F20"/>
                    <w:spacing w:val="-5"/>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727.140991pt;width:471.001pt;height:1.5pt;mso-position-horizontal-relative:page;mso-position-vertical-relative:page;z-index:-28372480" id="docshape257" filled="true" fillcolor="#231f20" stroked="false">
          <v:fill type="solid"/>
          <w10:wrap type="none"/>
        </v:rect>
      </w:pict>
    </w:r>
    <w:r>
      <w:rPr/>
      <w:pict>
        <v:shape style="position:absolute;margin-left:297.420593pt;margin-top:742.090576pt;width:18.2pt;height:13.2pt;mso-position-horizontal-relative:page;mso-position-vertical-relative:page;z-index:-28371968" type="#_x0000_t202" id="docshape258" filled="false" stroked="false">
          <v:textbox inset="0,0,0,0">
            <w:txbxContent>
              <w:p>
                <w:pPr>
                  <w:pStyle w:val="BodyText"/>
                  <w:spacing w:before="14"/>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22</w:t>
                </w:r>
                <w:r>
                  <w:rPr>
                    <w:color w:val="231F20"/>
                    <w:spacing w:val="-5"/>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48.68438pt;width:317.850pt;height:17.650pt;mso-position-horizontal-relative:page;mso-position-vertical-relative:page;z-index:-28383744" type="#_x0000_t202" id="docshape31"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62.484379pt;width:317.850pt;height:17.650pt;mso-position-horizontal-relative:page;mso-position-vertical-relative:page;z-index:-28369920" type="#_x0000_t202" id="docshape417"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48.68438pt;width:317.850pt;height:17.650pt;mso-position-horizontal-relative:page;mso-position-vertical-relative:page;z-index:-28368384" type="#_x0000_t202" id="docshape421"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62.484379pt;width:317.850pt;height:17.650pt;mso-position-horizontal-relative:page;mso-position-vertical-relative:page;z-index:-28366848" type="#_x0000_t202" id="docshape431"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62.484379pt;width:317.850pt;height:17.650pt;mso-position-horizontal-relative:page;mso-position-vertical-relative:page;z-index:-28365312" type="#_x0000_t202" id="docshape443"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48.68438pt;width:317.850pt;height:17.650pt;mso-position-horizontal-relative:page;mso-position-vertical-relative:page;z-index:-28363776" type="#_x0000_t202" id="docshape452"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62.484379pt;width:317.850pt;height:17.650pt;mso-position-horizontal-relative:page;mso-position-vertical-relative:page;z-index:-28362240" type="#_x0000_t202" id="docshape457"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960297pt;margin-top:48.68438pt;width:336.2pt;height:31.5pt;mso-position-horizontal-relative:page;mso-position-vertical-relative:page;z-index:-28360704" type="#_x0000_t202" id="docshape492" filled="false" stroked="false">
          <v:textbox inset="0,0,0,0">
            <w:txbxContent>
              <w:p>
                <w:pPr>
                  <w:spacing w:before="10"/>
                  <w:ind w:left="18" w:right="18" w:firstLine="0"/>
                  <w:jc w:val="center"/>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p>
                <w:pPr>
                  <w:spacing w:before="1"/>
                  <w:ind w:left="18" w:right="18" w:firstLine="0"/>
                  <w:jc w:val="center"/>
                  <w:rPr>
                    <w:b/>
                    <w:sz w:val="24"/>
                  </w:rPr>
                </w:pPr>
                <w:r>
                  <w:rPr>
                    <w:b/>
                    <w:color w:val="231F20"/>
                    <w:sz w:val="24"/>
                  </w:rPr>
                  <w:t>Schedule</w:t>
                </w:r>
                <w:r>
                  <w:rPr>
                    <w:b/>
                    <w:color w:val="231F20"/>
                    <w:spacing w:val="-6"/>
                    <w:sz w:val="24"/>
                  </w:rPr>
                  <w:t> </w:t>
                </w:r>
                <w:r>
                  <w:rPr>
                    <w:b/>
                    <w:color w:val="231F20"/>
                    <w:sz w:val="24"/>
                  </w:rPr>
                  <w:t>of</w:t>
                </w:r>
                <w:r>
                  <w:rPr>
                    <w:b/>
                    <w:color w:val="231F20"/>
                    <w:spacing w:val="-3"/>
                    <w:sz w:val="24"/>
                  </w:rPr>
                  <w:t> </w:t>
                </w:r>
                <w:r>
                  <w:rPr>
                    <w:b/>
                    <w:color w:val="231F20"/>
                    <w:sz w:val="24"/>
                  </w:rPr>
                  <w:t>Individual</w:t>
                </w:r>
                <w:r>
                  <w:rPr>
                    <w:b/>
                    <w:color w:val="231F20"/>
                    <w:spacing w:val="-3"/>
                    <w:sz w:val="24"/>
                  </w:rPr>
                  <w:t> </w:t>
                </w:r>
                <w:r>
                  <w:rPr>
                    <w:b/>
                    <w:color w:val="231F20"/>
                    <w:sz w:val="24"/>
                  </w:rPr>
                  <w:t>Deposit</w:t>
                </w:r>
                <w:r>
                  <w:rPr>
                    <w:b/>
                    <w:color w:val="231F20"/>
                    <w:spacing w:val="-3"/>
                    <w:sz w:val="24"/>
                  </w:rPr>
                  <w:t> </w:t>
                </w:r>
                <w:r>
                  <w:rPr>
                    <w:b/>
                    <w:color w:val="231F20"/>
                    <w:sz w:val="24"/>
                  </w:rPr>
                  <w:t>and</w:t>
                </w:r>
                <w:r>
                  <w:rPr>
                    <w:b/>
                    <w:color w:val="231F20"/>
                    <w:spacing w:val="-3"/>
                    <w:sz w:val="24"/>
                  </w:rPr>
                  <w:t> </w:t>
                </w:r>
                <w:r>
                  <w:rPr>
                    <w:b/>
                    <w:color w:val="231F20"/>
                    <w:sz w:val="24"/>
                  </w:rPr>
                  <w:t>Investment</w:t>
                </w:r>
                <w:r>
                  <w:rPr>
                    <w:b/>
                    <w:color w:val="231F20"/>
                    <w:spacing w:val="-3"/>
                    <w:sz w:val="24"/>
                  </w:rPr>
                  <w:t> </w:t>
                </w:r>
                <w:r>
                  <w:rPr>
                    <w:b/>
                    <w:color w:val="231F20"/>
                    <w:sz w:val="24"/>
                  </w:rPr>
                  <w:t>Accounts</w:t>
                </w:r>
                <w:r>
                  <w:rPr>
                    <w:b/>
                    <w:color w:val="231F20"/>
                    <w:spacing w:val="-3"/>
                    <w:sz w:val="24"/>
                  </w:rPr>
                  <w:t> </w:t>
                </w:r>
                <w:r>
                  <w:rPr>
                    <w:b/>
                    <w:color w:val="231F20"/>
                    <w:spacing w:val="-10"/>
                    <w:sz w:val="24"/>
                  </w:rPr>
                  <w:t>–</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138901pt;margin-top:41.484379pt;width:317.850pt;height:17.650pt;mso-position-horizontal-relative:page;mso-position-vertical-relative:page;z-index:-28359168" type="#_x0000_t202" id="docshape506"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4.499001pt;margin-top:90.839996pt;width:723.001pt;height:1.5pt;mso-position-horizontal-relative:page;mso-position-vertical-relative:page;z-index:-28357632" id="docshape553" filled="true" fillcolor="#231f20" stroked="false">
          <v:fill type="solid"/>
          <w10:wrap type="none"/>
        </v:rect>
      </w:pict>
    </w:r>
    <w:r>
      <w:rPr/>
      <w:pict>
        <v:shape style="position:absolute;margin-left:191.598801pt;margin-top:45.68438pt;width:408.95pt;height:45.25pt;mso-position-horizontal-relative:page;mso-position-vertical-relative:page;z-index:-28357120" type="#_x0000_t202" id="docshape554" filled="false" stroked="false">
          <v:textbox inset="0,0,0,0">
            <w:txbxContent>
              <w:p>
                <w:pPr>
                  <w:spacing w:before="10"/>
                  <w:ind w:left="19" w:right="19" w:firstLine="0"/>
                  <w:jc w:val="center"/>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p>
                <w:pPr>
                  <w:spacing w:before="0"/>
                  <w:ind w:left="20" w:right="19" w:firstLine="0"/>
                  <w:jc w:val="center"/>
                  <w:rPr>
                    <w:b/>
                    <w:sz w:val="24"/>
                  </w:rPr>
                </w:pPr>
                <w:r>
                  <w:rPr>
                    <w:b/>
                    <w:color w:val="231F20"/>
                    <w:sz w:val="24"/>
                  </w:rPr>
                  <w:t>Schedule</w:t>
                </w:r>
                <w:r>
                  <w:rPr>
                    <w:b/>
                    <w:color w:val="231F20"/>
                    <w:spacing w:val="-4"/>
                    <w:sz w:val="24"/>
                  </w:rPr>
                  <w:t> </w:t>
                </w:r>
                <w:r>
                  <w:rPr>
                    <w:b/>
                    <w:color w:val="231F20"/>
                    <w:sz w:val="24"/>
                  </w:rPr>
                  <w:t>of</w:t>
                </w:r>
                <w:r>
                  <w:rPr>
                    <w:b/>
                    <w:color w:val="231F20"/>
                    <w:spacing w:val="-4"/>
                    <w:sz w:val="24"/>
                  </w:rPr>
                  <w:t> </w:t>
                </w:r>
                <w:r>
                  <w:rPr>
                    <w:b/>
                    <w:color w:val="231F20"/>
                    <w:sz w:val="24"/>
                  </w:rPr>
                  <w:t>Expenditures</w:t>
                </w:r>
                <w:r>
                  <w:rPr>
                    <w:b/>
                    <w:color w:val="231F20"/>
                    <w:spacing w:val="-4"/>
                    <w:sz w:val="24"/>
                  </w:rPr>
                  <w:t> </w:t>
                </w:r>
                <w:r>
                  <w:rPr>
                    <w:b/>
                    <w:color w:val="231F20"/>
                    <w:sz w:val="24"/>
                  </w:rPr>
                  <w:t>of</w:t>
                </w:r>
                <w:r>
                  <w:rPr>
                    <w:b/>
                    <w:color w:val="231F20"/>
                    <w:spacing w:val="-4"/>
                    <w:sz w:val="24"/>
                  </w:rPr>
                  <w:t> </w:t>
                </w:r>
                <w:r>
                  <w:rPr>
                    <w:b/>
                    <w:color w:val="231F20"/>
                    <w:sz w:val="24"/>
                  </w:rPr>
                  <w:t>Federal</w:t>
                </w:r>
                <w:r>
                  <w:rPr>
                    <w:b/>
                    <w:color w:val="231F20"/>
                    <w:spacing w:val="-5"/>
                    <w:sz w:val="24"/>
                  </w:rPr>
                  <w:t> </w:t>
                </w:r>
                <w:r>
                  <w:rPr>
                    <w:b/>
                    <w:color w:val="231F20"/>
                    <w:sz w:val="24"/>
                  </w:rPr>
                  <w:t>Awards</w:t>
                </w:r>
                <w:r>
                  <w:rPr>
                    <w:b/>
                    <w:color w:val="231F20"/>
                    <w:spacing w:val="-4"/>
                    <w:sz w:val="24"/>
                  </w:rPr>
                  <w:t> </w:t>
                </w:r>
                <w:r>
                  <w:rPr>
                    <w:b/>
                    <w:color w:val="231F20"/>
                    <w:sz w:val="24"/>
                  </w:rPr>
                  <w:t>(Schedule</w:t>
                </w:r>
                <w:r>
                  <w:rPr>
                    <w:b/>
                    <w:color w:val="231F20"/>
                    <w:spacing w:val="-4"/>
                    <w:sz w:val="24"/>
                  </w:rPr>
                  <w:t> </w:t>
                </w:r>
                <w:r>
                  <w:rPr>
                    <w:b/>
                    <w:color w:val="231F20"/>
                    <w:sz w:val="24"/>
                  </w:rPr>
                  <w:t>10</w:t>
                </w:r>
                <w:r>
                  <w:rPr>
                    <w:b/>
                    <w:color w:val="231F20"/>
                    <w:spacing w:val="-4"/>
                    <w:sz w:val="24"/>
                  </w:rPr>
                  <w:t> </w:t>
                </w:r>
                <w:r>
                  <w:rPr>
                    <w:b/>
                    <w:color w:val="231F20"/>
                    <w:sz w:val="24"/>
                  </w:rPr>
                  <w:t>–</w:t>
                </w:r>
                <w:r>
                  <w:rPr>
                    <w:b/>
                    <w:color w:val="231F20"/>
                    <w:spacing w:val="-4"/>
                    <w:sz w:val="24"/>
                  </w:rPr>
                  <w:t> </w:t>
                </w:r>
                <w:r>
                  <w:rPr>
                    <w:b/>
                    <w:color w:val="231F20"/>
                    <w:sz w:val="24"/>
                  </w:rPr>
                  <w:t>continued) For Year Ended June 30, 2022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93.839996pt;width:471.001pt;height:1.5pt;mso-position-horizontal-relative:page;mso-position-vertical-relative:page;z-index:-28382208" id="docshape35" filled="true" fillcolor="#231f20" stroked="false">
          <v:fill type="solid"/>
          <w10:wrap type="none"/>
        </v:rect>
      </w:pict>
    </w:r>
    <w:r>
      <w:rPr/>
      <w:pict>
        <v:shape style="position:absolute;margin-left:147.140305pt;margin-top:48.68438pt;width:317.850pt;height:45.3pt;mso-position-horizontal-relative:page;mso-position-vertical-relative:page;z-index:-28381696" type="#_x0000_t202" id="docshape36" filled="false" stroked="false">
          <v:textbox inset="0,0,0,0">
            <w:txbxContent>
              <w:p>
                <w:pPr>
                  <w:spacing w:before="10"/>
                  <w:ind w:left="19" w:right="18" w:firstLine="0"/>
                  <w:jc w:val="center"/>
                  <w:rPr>
                    <w:b/>
                    <w:sz w:val="24"/>
                  </w:rPr>
                </w:pPr>
                <w:r>
                  <w:rPr>
                    <w:b/>
                    <w:color w:val="231F20"/>
                    <w:sz w:val="28"/>
                  </w:rPr>
                  <w:t>New</w:t>
                </w:r>
                <w:r>
                  <w:rPr>
                    <w:b/>
                    <w:color w:val="231F20"/>
                    <w:spacing w:val="-6"/>
                    <w:sz w:val="28"/>
                  </w:rPr>
                  <w:t> </w:t>
                </w:r>
                <w:r>
                  <w:rPr>
                    <w:b/>
                    <w:color w:val="231F20"/>
                    <w:sz w:val="28"/>
                  </w:rPr>
                  <w:t>Mexico</w:t>
                </w:r>
                <w:r>
                  <w:rPr>
                    <w:b/>
                    <w:color w:val="231F20"/>
                    <w:spacing w:val="-6"/>
                    <w:sz w:val="28"/>
                  </w:rPr>
                  <w:t> </w:t>
                </w:r>
                <w:r>
                  <w:rPr>
                    <w:b/>
                    <w:color w:val="231F20"/>
                    <w:sz w:val="28"/>
                  </w:rPr>
                  <w:t>Institute</w:t>
                </w:r>
                <w:r>
                  <w:rPr>
                    <w:b/>
                    <w:color w:val="231F20"/>
                    <w:spacing w:val="-6"/>
                    <w:sz w:val="28"/>
                  </w:rPr>
                  <w:t> </w:t>
                </w:r>
                <w:r>
                  <w:rPr>
                    <w:b/>
                    <w:color w:val="231F20"/>
                    <w:sz w:val="28"/>
                  </w:rPr>
                  <w:t>of</w:t>
                </w:r>
                <w:r>
                  <w:rPr>
                    <w:b/>
                    <w:color w:val="231F20"/>
                    <w:spacing w:val="-6"/>
                    <w:sz w:val="28"/>
                  </w:rPr>
                  <w:t> </w:t>
                </w:r>
                <w:r>
                  <w:rPr>
                    <w:b/>
                    <w:color w:val="231F20"/>
                    <w:sz w:val="28"/>
                  </w:rPr>
                  <w:t>Mining</w:t>
                </w:r>
                <w:r>
                  <w:rPr>
                    <w:b/>
                    <w:color w:val="231F20"/>
                    <w:spacing w:val="-6"/>
                    <w:sz w:val="28"/>
                  </w:rPr>
                  <w:t> </w:t>
                </w:r>
                <w:r>
                  <w:rPr>
                    <w:b/>
                    <w:color w:val="231F20"/>
                    <w:sz w:val="28"/>
                  </w:rPr>
                  <w:t>and</w:t>
                </w:r>
                <w:r>
                  <w:rPr>
                    <w:b/>
                    <w:color w:val="231F20"/>
                    <w:spacing w:val="-6"/>
                    <w:sz w:val="28"/>
                  </w:rPr>
                  <w:t> </w:t>
                </w:r>
                <w:r>
                  <w:rPr>
                    <w:b/>
                    <w:color w:val="231F20"/>
                    <w:sz w:val="28"/>
                  </w:rPr>
                  <w:t>Technology </w:t>
                </w:r>
                <w:r>
                  <w:rPr>
                    <w:b/>
                    <w:color w:val="231F20"/>
                    <w:sz w:val="24"/>
                  </w:rPr>
                  <w:t>Management’s Discussion and Analysis (continued) Year Ended June 30, 2022</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41.484379pt;width:317.850pt;height:17.650pt;mso-position-horizontal-relative:page;mso-position-vertical-relative:page;z-index:-28352512" type="#_x0000_t202" id="docshape606"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92.940002pt;width:471.001pt;height:1.5pt;mso-position-horizontal-relative:page;mso-position-vertical-relative:page;z-index:-28350976" id="docshape638" filled="true" fillcolor="#231f20" stroked="false">
          <v:fill type="solid"/>
          <w10:wrap type="none"/>
        </v:rect>
      </w:pict>
    </w:r>
    <w:r>
      <w:rPr/>
      <w:pict>
        <v:shape style="position:absolute;margin-left:144.680298pt;margin-top:48.68438pt;width:322.8pt;height:45.3pt;mso-position-horizontal-relative:page;mso-position-vertical-relative:page;z-index:-28350464" type="#_x0000_t202" id="docshape639" filled="false" stroked="false">
          <v:textbox inset="0,0,0,0">
            <w:txbxContent>
              <w:p>
                <w:pPr>
                  <w:spacing w:before="10"/>
                  <w:ind w:left="20" w:right="18" w:hanging="1"/>
                  <w:jc w:val="center"/>
                  <w:rPr>
                    <w:b/>
                    <w:sz w:val="24"/>
                  </w:rPr>
                </w:pPr>
                <w:r>
                  <w:rPr>
                    <w:b/>
                    <w:color w:val="231F20"/>
                    <w:sz w:val="28"/>
                  </w:rPr>
                  <w:t>New Mexico Institute of Mining and Technology </w:t>
                </w:r>
                <w:r>
                  <w:rPr>
                    <w:b/>
                    <w:color w:val="231F20"/>
                    <w:sz w:val="24"/>
                  </w:rPr>
                  <w:t>Schedule</w:t>
                </w:r>
                <w:r>
                  <w:rPr>
                    <w:b/>
                    <w:color w:val="231F20"/>
                    <w:spacing w:val="-6"/>
                    <w:sz w:val="24"/>
                  </w:rPr>
                  <w:t> </w:t>
                </w:r>
                <w:r>
                  <w:rPr>
                    <w:b/>
                    <w:color w:val="231F20"/>
                    <w:sz w:val="24"/>
                  </w:rPr>
                  <w:t>of</w:t>
                </w:r>
                <w:r>
                  <w:rPr>
                    <w:b/>
                    <w:color w:val="231F20"/>
                    <w:spacing w:val="-6"/>
                    <w:sz w:val="24"/>
                  </w:rPr>
                  <w:t> </w:t>
                </w:r>
                <w:r>
                  <w:rPr>
                    <w:b/>
                    <w:color w:val="231F20"/>
                    <w:sz w:val="24"/>
                  </w:rPr>
                  <w:t>Findings</w:t>
                </w:r>
                <w:r>
                  <w:rPr>
                    <w:b/>
                    <w:color w:val="231F20"/>
                    <w:spacing w:val="-6"/>
                    <w:sz w:val="24"/>
                  </w:rPr>
                  <w:t> </w:t>
                </w:r>
                <w:r>
                  <w:rPr>
                    <w:b/>
                    <w:color w:val="231F20"/>
                    <w:sz w:val="24"/>
                  </w:rPr>
                  <w:t>and</w:t>
                </w:r>
                <w:r>
                  <w:rPr>
                    <w:b/>
                    <w:color w:val="231F20"/>
                    <w:spacing w:val="-6"/>
                    <w:sz w:val="24"/>
                  </w:rPr>
                  <w:t> </w:t>
                </w:r>
                <w:r>
                  <w:rPr>
                    <w:b/>
                    <w:color w:val="231F20"/>
                    <w:sz w:val="24"/>
                  </w:rPr>
                  <w:t>Questioned</w:t>
                </w:r>
                <w:r>
                  <w:rPr>
                    <w:b/>
                    <w:color w:val="231F20"/>
                    <w:spacing w:val="-6"/>
                    <w:sz w:val="24"/>
                  </w:rPr>
                  <w:t> </w:t>
                </w:r>
                <w:r>
                  <w:rPr>
                    <w:b/>
                    <w:color w:val="231F20"/>
                    <w:sz w:val="24"/>
                  </w:rPr>
                  <w:t>Costs</w:t>
                </w:r>
                <w:r>
                  <w:rPr>
                    <w:b/>
                    <w:color w:val="231F20"/>
                    <w:spacing w:val="-6"/>
                    <w:sz w:val="24"/>
                  </w:rPr>
                  <w:t> </w:t>
                </w:r>
                <w:r>
                  <w:rPr>
                    <w:b/>
                    <w:color w:val="231F20"/>
                    <w:sz w:val="24"/>
                  </w:rPr>
                  <w:t>(continued) For Year Ended June 30, 2022</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41.484379pt;width:317.850pt;height:17.650pt;mso-position-horizontal-relative:page;mso-position-vertical-relative:page;z-index:-28348928" type="#_x0000_t202" id="docshape657"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62.484379pt;width:317.850pt;height:17.650pt;mso-position-horizontal-relative:page;mso-position-vertical-relative:page;z-index:-28380160" type="#_x0000_t202" id="docshape215"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107.639999pt;width:471.001pt;height:1.5pt;mso-position-horizontal-relative:page;mso-position-vertical-relative:page;z-index:-28378624" id="docshape223" filled="true" fillcolor="#231f20" stroked="false">
          <v:fill type="solid"/>
          <w10:wrap type="none"/>
        </v:rect>
      </w:pict>
    </w:r>
    <w:r>
      <w:rPr/>
      <w:pict>
        <v:shape style="position:absolute;margin-left:117.620201pt;margin-top:48.68438pt;width:376.95pt;height:59.1pt;mso-position-horizontal-relative:page;mso-position-vertical-relative:page;z-index:-28378112" type="#_x0000_t202" id="docshape224" filled="false" stroked="false">
          <v:textbox inset="0,0,0,0">
            <w:txbxContent>
              <w:p>
                <w:pPr>
                  <w:spacing w:before="10"/>
                  <w:ind w:left="20" w:right="18" w:hanging="1"/>
                  <w:jc w:val="center"/>
                  <w:rPr>
                    <w:b/>
                    <w:sz w:val="24"/>
                  </w:rPr>
                </w:pPr>
                <w:r>
                  <w:rPr>
                    <w:b/>
                    <w:color w:val="231F20"/>
                    <w:sz w:val="28"/>
                  </w:rPr>
                  <w:t>New Mexico Institute of Mining and Technology </w:t>
                </w:r>
                <w:r>
                  <w:rPr>
                    <w:b/>
                    <w:color w:val="231F20"/>
                    <w:sz w:val="24"/>
                  </w:rPr>
                  <w:t>Statement</w:t>
                </w:r>
                <w:r>
                  <w:rPr>
                    <w:b/>
                    <w:color w:val="231F20"/>
                    <w:spacing w:val="-4"/>
                    <w:sz w:val="24"/>
                  </w:rPr>
                  <w:t> </w:t>
                </w:r>
                <w:r>
                  <w:rPr>
                    <w:b/>
                    <w:color w:val="231F20"/>
                    <w:sz w:val="24"/>
                  </w:rPr>
                  <w:t>of</w:t>
                </w:r>
                <w:r>
                  <w:rPr>
                    <w:b/>
                    <w:color w:val="231F20"/>
                    <w:spacing w:val="-4"/>
                    <w:sz w:val="24"/>
                  </w:rPr>
                  <w:t> </w:t>
                </w:r>
                <w:r>
                  <w:rPr>
                    <w:b/>
                    <w:color w:val="231F20"/>
                    <w:sz w:val="24"/>
                  </w:rPr>
                  <w:t>Revenues,</w:t>
                </w:r>
                <w:r>
                  <w:rPr>
                    <w:b/>
                    <w:color w:val="231F20"/>
                    <w:spacing w:val="-4"/>
                    <w:sz w:val="24"/>
                  </w:rPr>
                  <w:t> </w:t>
                </w:r>
                <w:r>
                  <w:rPr>
                    <w:b/>
                    <w:color w:val="231F20"/>
                    <w:sz w:val="24"/>
                  </w:rPr>
                  <w:t>Expenses,</w:t>
                </w:r>
                <w:r>
                  <w:rPr>
                    <w:b/>
                    <w:color w:val="231F20"/>
                    <w:spacing w:val="-4"/>
                    <w:sz w:val="24"/>
                  </w:rPr>
                  <w:t> </w:t>
                </w:r>
                <w:r>
                  <w:rPr>
                    <w:b/>
                    <w:color w:val="231F20"/>
                    <w:sz w:val="24"/>
                  </w:rPr>
                  <w:t>and</w:t>
                </w:r>
                <w:r>
                  <w:rPr>
                    <w:b/>
                    <w:color w:val="231F20"/>
                    <w:spacing w:val="-4"/>
                    <w:sz w:val="24"/>
                  </w:rPr>
                  <w:t> </w:t>
                </w:r>
                <w:r>
                  <w:rPr>
                    <w:b/>
                    <w:color w:val="231F20"/>
                    <w:sz w:val="24"/>
                  </w:rPr>
                  <w:t>Changes</w:t>
                </w:r>
                <w:r>
                  <w:rPr>
                    <w:b/>
                    <w:color w:val="231F20"/>
                    <w:spacing w:val="-4"/>
                    <w:sz w:val="24"/>
                  </w:rPr>
                  <w:t> </w:t>
                </w:r>
                <w:r>
                  <w:rPr>
                    <w:b/>
                    <w:color w:val="231F20"/>
                    <w:sz w:val="24"/>
                  </w:rPr>
                  <w:t>in</w:t>
                </w:r>
                <w:r>
                  <w:rPr>
                    <w:b/>
                    <w:color w:val="231F20"/>
                    <w:spacing w:val="-4"/>
                    <w:sz w:val="24"/>
                  </w:rPr>
                  <w:t> </w:t>
                </w:r>
                <w:r>
                  <w:rPr>
                    <w:b/>
                    <w:color w:val="231F20"/>
                    <w:sz w:val="24"/>
                  </w:rPr>
                  <w:t>Net</w:t>
                </w:r>
                <w:r>
                  <w:rPr>
                    <w:b/>
                    <w:color w:val="231F20"/>
                    <w:spacing w:val="-4"/>
                    <w:sz w:val="24"/>
                  </w:rPr>
                  <w:t> </w:t>
                </w:r>
                <w:r>
                  <w:rPr>
                    <w:b/>
                    <w:color w:val="231F20"/>
                    <w:sz w:val="24"/>
                  </w:rPr>
                  <w:t>Position</w:t>
                </w:r>
                <w:r>
                  <w:rPr>
                    <w:b/>
                    <w:color w:val="231F20"/>
                    <w:spacing w:val="-4"/>
                    <w:sz w:val="24"/>
                  </w:rPr>
                  <w:t> </w:t>
                </w:r>
                <w:r>
                  <w:rPr>
                    <w:b/>
                    <w:color w:val="231F20"/>
                    <w:sz w:val="24"/>
                  </w:rPr>
                  <w:t>– Proprietary Funds</w:t>
                </w:r>
              </w:p>
              <w:p>
                <w:pPr>
                  <w:spacing w:before="1"/>
                  <w:ind w:left="1850" w:right="1850" w:firstLine="0"/>
                  <w:jc w:val="center"/>
                  <w:rPr>
                    <w:b/>
                    <w:sz w:val="24"/>
                  </w:rPr>
                </w:pPr>
                <w:r>
                  <w:rPr>
                    <w:b/>
                    <w:color w:val="231F20"/>
                    <w:sz w:val="24"/>
                  </w:rPr>
                  <w:t>For</w:t>
                </w:r>
                <w:r>
                  <w:rPr>
                    <w:b/>
                    <w:color w:val="231F20"/>
                    <w:spacing w:val="-3"/>
                    <w:sz w:val="24"/>
                  </w:rPr>
                  <w:t> </w:t>
                </w:r>
                <w:r>
                  <w:rPr>
                    <w:b/>
                    <w:color w:val="231F20"/>
                    <w:sz w:val="24"/>
                  </w:rPr>
                  <w:t>the</w:t>
                </w:r>
                <w:r>
                  <w:rPr>
                    <w:b/>
                    <w:color w:val="231F20"/>
                    <w:spacing w:val="-2"/>
                    <w:sz w:val="24"/>
                  </w:rPr>
                  <w:t> </w:t>
                </w:r>
                <w:r>
                  <w:rPr>
                    <w:b/>
                    <w:color w:val="231F20"/>
                    <w:sz w:val="24"/>
                  </w:rPr>
                  <w:t>Year</w:t>
                </w:r>
                <w:r>
                  <w:rPr>
                    <w:b/>
                    <w:color w:val="231F20"/>
                    <w:spacing w:val="-2"/>
                    <w:sz w:val="24"/>
                  </w:rPr>
                  <w:t> </w:t>
                </w:r>
                <w:r>
                  <w:rPr>
                    <w:b/>
                    <w:color w:val="231F20"/>
                    <w:sz w:val="24"/>
                  </w:rPr>
                  <w:t>Ended</w:t>
                </w:r>
                <w:r>
                  <w:rPr>
                    <w:b/>
                    <w:color w:val="231F20"/>
                    <w:spacing w:val="-3"/>
                    <w:sz w:val="24"/>
                  </w:rPr>
                  <w:t> </w:t>
                </w:r>
                <w:r>
                  <w:rPr>
                    <w:b/>
                    <w:color w:val="231F20"/>
                    <w:sz w:val="24"/>
                  </w:rPr>
                  <w:t>June</w:t>
                </w:r>
                <w:r>
                  <w:rPr>
                    <w:b/>
                    <w:color w:val="231F20"/>
                    <w:spacing w:val="-2"/>
                    <w:sz w:val="24"/>
                  </w:rPr>
                  <w:t> </w:t>
                </w:r>
                <w:r>
                  <w:rPr>
                    <w:b/>
                    <w:color w:val="231F20"/>
                    <w:sz w:val="24"/>
                  </w:rPr>
                  <w:t>30,</w:t>
                </w:r>
                <w:r>
                  <w:rPr>
                    <w:b/>
                    <w:color w:val="231F20"/>
                    <w:spacing w:val="-2"/>
                    <w:sz w:val="24"/>
                  </w:rPr>
                  <w:t> </w:t>
                </w:r>
                <w:r>
                  <w:rPr>
                    <w:b/>
                    <w:color w:val="231F20"/>
                    <w:spacing w:val="-4"/>
                    <w:sz w:val="24"/>
                  </w:rPr>
                  <w:t>2022</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48.68438pt;width:317.850pt;height:17.650pt;mso-position-horizontal-relative:page;mso-position-vertical-relative:page;z-index:-28376576" type="#_x0000_t202" id="docshape227"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47.140305pt;margin-top:62.484379pt;width:317.850pt;height:17.650pt;mso-position-horizontal-relative:page;mso-position-vertical-relative:page;z-index:-28375040" type="#_x0000_t202" id="docshape234"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pt;margin-top:94.440002pt;width:471.001pt;height:1.5pt;mso-position-horizontal-relative:page;mso-position-vertical-relative:page;z-index:-28373504" id="docshape255" filled="true" fillcolor="#231f20" stroked="false">
          <v:fill type="solid"/>
          <w10:wrap type="none"/>
        </v:rect>
      </w:pict>
    </w:r>
    <w:r>
      <w:rPr/>
      <w:pict>
        <v:shape style="position:absolute;margin-left:147.140305pt;margin-top:63.084476pt;width:317.850pt;height:31.45pt;mso-position-horizontal-relative:page;mso-position-vertical-relative:page;z-index:-28372992" type="#_x0000_t202" id="docshape256" filled="false" stroked="false">
          <v:textbox inset="0,0,0,0">
            <w:txbxContent>
              <w:p>
                <w:pPr>
                  <w:spacing w:before="10"/>
                  <w:ind w:left="18" w:right="18" w:firstLine="0"/>
                  <w:jc w:val="center"/>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p>
                <w:pPr>
                  <w:spacing w:before="0"/>
                  <w:ind w:left="18" w:right="18" w:firstLine="0"/>
                  <w:jc w:val="center"/>
                  <w:rPr>
                    <w:b/>
                    <w:sz w:val="24"/>
                  </w:rPr>
                </w:pPr>
                <w:r>
                  <w:rPr>
                    <w:b/>
                    <w:color w:val="231F20"/>
                    <w:sz w:val="24"/>
                  </w:rPr>
                  <w:t>Notes</w:t>
                </w:r>
                <w:r>
                  <w:rPr>
                    <w:b/>
                    <w:color w:val="231F20"/>
                    <w:spacing w:val="-2"/>
                    <w:sz w:val="24"/>
                  </w:rPr>
                  <w:t> </w:t>
                </w:r>
                <w:r>
                  <w:rPr>
                    <w:b/>
                    <w:color w:val="231F20"/>
                    <w:sz w:val="24"/>
                  </w:rPr>
                  <w:t>to</w:t>
                </w:r>
                <w:r>
                  <w:rPr>
                    <w:b/>
                    <w:color w:val="231F20"/>
                    <w:spacing w:val="-1"/>
                    <w:sz w:val="24"/>
                  </w:rPr>
                  <w:t> </w:t>
                </w:r>
                <w:r>
                  <w:rPr>
                    <w:b/>
                    <w:color w:val="231F20"/>
                    <w:sz w:val="24"/>
                  </w:rPr>
                  <w:t>Financial</w:t>
                </w:r>
                <w:r>
                  <w:rPr>
                    <w:b/>
                    <w:color w:val="231F20"/>
                    <w:spacing w:val="-1"/>
                    <w:sz w:val="24"/>
                  </w:rPr>
                  <w:t> </w:t>
                </w:r>
                <w:r>
                  <w:rPr>
                    <w:b/>
                    <w:color w:val="231F20"/>
                    <w:spacing w:val="-2"/>
                    <w:sz w:val="24"/>
                  </w:rPr>
                  <w:t>Statements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37.138901pt;margin-top:48.68438pt;width:317.850pt;height:17.650pt;mso-position-horizontal-relative:page;mso-position-vertical-relative:page;z-index:-28371456" type="#_x0000_t202" id="docshape411" filled="false" stroked="false">
          <v:textbox inset="0,0,0,0">
            <w:txbxContent>
              <w:p>
                <w:pPr>
                  <w:spacing w:before="10"/>
                  <w:ind w:left="20" w:right="0" w:firstLine="0"/>
                  <w:jc w:val="left"/>
                  <w:rPr>
                    <w:b/>
                    <w:sz w:val="28"/>
                  </w:rPr>
                </w:pPr>
                <w:r>
                  <w:rPr>
                    <w:b/>
                    <w:color w:val="231F20"/>
                    <w:sz w:val="28"/>
                  </w:rPr>
                  <w:t>New</w:t>
                </w:r>
                <w:r>
                  <w:rPr>
                    <w:b/>
                    <w:color w:val="231F20"/>
                    <w:spacing w:val="-8"/>
                    <w:sz w:val="28"/>
                  </w:rPr>
                  <w:t> </w:t>
                </w:r>
                <w:r>
                  <w:rPr>
                    <w:b/>
                    <w:color w:val="231F20"/>
                    <w:sz w:val="28"/>
                  </w:rPr>
                  <w:t>Mexico</w:t>
                </w:r>
                <w:r>
                  <w:rPr>
                    <w:b/>
                    <w:color w:val="231F20"/>
                    <w:spacing w:val="-7"/>
                    <w:sz w:val="28"/>
                  </w:rPr>
                  <w:t> </w:t>
                </w:r>
                <w:r>
                  <w:rPr>
                    <w:b/>
                    <w:color w:val="231F20"/>
                    <w:sz w:val="28"/>
                  </w:rPr>
                  <w:t>Institute</w:t>
                </w:r>
                <w:r>
                  <w:rPr>
                    <w:b/>
                    <w:color w:val="231F20"/>
                    <w:spacing w:val="-7"/>
                    <w:sz w:val="28"/>
                  </w:rPr>
                  <w:t> </w:t>
                </w:r>
                <w:r>
                  <w:rPr>
                    <w:b/>
                    <w:color w:val="231F20"/>
                    <w:sz w:val="28"/>
                  </w:rPr>
                  <w:t>of</w:t>
                </w:r>
                <w:r>
                  <w:rPr>
                    <w:b/>
                    <w:color w:val="231F20"/>
                    <w:spacing w:val="-7"/>
                    <w:sz w:val="28"/>
                  </w:rPr>
                  <w:t> </w:t>
                </w:r>
                <w:r>
                  <w:rPr>
                    <w:b/>
                    <w:color w:val="231F20"/>
                    <w:sz w:val="28"/>
                  </w:rPr>
                  <w:t>Mining</w:t>
                </w:r>
                <w:r>
                  <w:rPr>
                    <w:b/>
                    <w:color w:val="231F20"/>
                    <w:spacing w:val="-7"/>
                    <w:sz w:val="28"/>
                  </w:rPr>
                  <w:t> </w:t>
                </w:r>
                <w:r>
                  <w:rPr>
                    <w:b/>
                    <w:color w:val="231F20"/>
                    <w:sz w:val="28"/>
                  </w:rPr>
                  <w:t>and</w:t>
                </w:r>
                <w:r>
                  <w:rPr>
                    <w:b/>
                    <w:color w:val="231F20"/>
                    <w:spacing w:val="-7"/>
                    <w:sz w:val="28"/>
                  </w:rPr>
                  <w:t> </w:t>
                </w:r>
                <w:r>
                  <w:rPr>
                    <w:b/>
                    <w:color w:val="231F20"/>
                    <w:spacing w:val="-2"/>
                    <w:sz w:val="28"/>
                  </w:rPr>
                  <w:t>Technology</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2880" w:hanging="721"/>
        <w:jc w:val="left"/>
      </w:pPr>
      <w:rPr>
        <w:rFonts w:hint="default" w:ascii="Arial" w:hAnsi="Arial" w:eastAsia="Arial" w:cs="Arial"/>
        <w:b w:val="0"/>
        <w:bCs w:val="0"/>
        <w:i w:val="0"/>
        <w:iCs w:val="0"/>
        <w:color w:val="231F20"/>
        <w:w w:val="100"/>
        <w:sz w:val="20"/>
        <w:szCs w:val="20"/>
        <w:lang w:val="en-US" w:eastAsia="en-US" w:bidi="ar-SA"/>
      </w:rPr>
    </w:lvl>
    <w:lvl w:ilvl="1">
      <w:start w:val="0"/>
      <w:numFmt w:val="bullet"/>
      <w:lvlText w:val="•"/>
      <w:lvlJc w:val="left"/>
      <w:pPr>
        <w:ind w:left="3758" w:hanging="721"/>
      </w:pPr>
      <w:rPr>
        <w:rFonts w:hint="default"/>
        <w:lang w:val="en-US" w:eastAsia="en-US" w:bidi="ar-SA"/>
      </w:rPr>
    </w:lvl>
    <w:lvl w:ilvl="2">
      <w:start w:val="0"/>
      <w:numFmt w:val="bullet"/>
      <w:lvlText w:val="•"/>
      <w:lvlJc w:val="left"/>
      <w:pPr>
        <w:ind w:left="4636" w:hanging="721"/>
      </w:pPr>
      <w:rPr>
        <w:rFonts w:hint="default"/>
        <w:lang w:val="en-US" w:eastAsia="en-US" w:bidi="ar-SA"/>
      </w:rPr>
    </w:lvl>
    <w:lvl w:ilvl="3">
      <w:start w:val="0"/>
      <w:numFmt w:val="bullet"/>
      <w:lvlText w:val="•"/>
      <w:lvlJc w:val="left"/>
      <w:pPr>
        <w:ind w:left="5514" w:hanging="721"/>
      </w:pPr>
      <w:rPr>
        <w:rFonts w:hint="default"/>
        <w:lang w:val="en-US" w:eastAsia="en-US" w:bidi="ar-SA"/>
      </w:rPr>
    </w:lvl>
    <w:lvl w:ilvl="4">
      <w:start w:val="0"/>
      <w:numFmt w:val="bullet"/>
      <w:lvlText w:val="•"/>
      <w:lvlJc w:val="left"/>
      <w:pPr>
        <w:ind w:left="6392" w:hanging="721"/>
      </w:pPr>
      <w:rPr>
        <w:rFonts w:hint="default"/>
        <w:lang w:val="en-US" w:eastAsia="en-US" w:bidi="ar-SA"/>
      </w:rPr>
    </w:lvl>
    <w:lvl w:ilvl="5">
      <w:start w:val="0"/>
      <w:numFmt w:val="bullet"/>
      <w:lvlText w:val="•"/>
      <w:lvlJc w:val="left"/>
      <w:pPr>
        <w:ind w:left="7270" w:hanging="721"/>
      </w:pPr>
      <w:rPr>
        <w:rFonts w:hint="default"/>
        <w:lang w:val="en-US" w:eastAsia="en-US" w:bidi="ar-SA"/>
      </w:rPr>
    </w:lvl>
    <w:lvl w:ilvl="6">
      <w:start w:val="0"/>
      <w:numFmt w:val="bullet"/>
      <w:lvlText w:val="•"/>
      <w:lvlJc w:val="left"/>
      <w:pPr>
        <w:ind w:left="8148" w:hanging="721"/>
      </w:pPr>
      <w:rPr>
        <w:rFonts w:hint="default"/>
        <w:lang w:val="en-US" w:eastAsia="en-US" w:bidi="ar-SA"/>
      </w:rPr>
    </w:lvl>
    <w:lvl w:ilvl="7">
      <w:start w:val="0"/>
      <w:numFmt w:val="bullet"/>
      <w:lvlText w:val="•"/>
      <w:lvlJc w:val="left"/>
      <w:pPr>
        <w:ind w:left="9026" w:hanging="721"/>
      </w:pPr>
      <w:rPr>
        <w:rFonts w:hint="default"/>
        <w:lang w:val="en-US" w:eastAsia="en-US" w:bidi="ar-SA"/>
      </w:rPr>
    </w:lvl>
    <w:lvl w:ilvl="8">
      <w:start w:val="0"/>
      <w:numFmt w:val="bullet"/>
      <w:lvlText w:val="•"/>
      <w:lvlJc w:val="left"/>
      <w:pPr>
        <w:ind w:left="9904" w:hanging="721"/>
      </w:pPr>
      <w:rPr>
        <w:rFonts w:hint="default"/>
        <w:lang w:val="en-US" w:eastAsia="en-US" w:bidi="ar-SA"/>
      </w:rPr>
    </w:lvl>
  </w:abstractNum>
  <w:abstractNum w:abstractNumId="17">
    <w:multiLevelType w:val="hybridMultilevel"/>
    <w:lvl w:ilvl="0">
      <w:start w:val="0"/>
      <w:numFmt w:val="bullet"/>
      <w:lvlText w:val=""/>
      <w:lvlJc w:val="left"/>
      <w:pPr>
        <w:ind w:left="1620" w:hanging="361"/>
      </w:pPr>
      <w:rPr>
        <w:rFonts w:hint="default" w:ascii="Symbol" w:hAnsi="Symbol" w:eastAsia="Symbol" w:cs="Symbol"/>
        <w:b w:val="0"/>
        <w:bCs w:val="0"/>
        <w:i w:val="0"/>
        <w:iCs w:val="0"/>
        <w:color w:val="231F20"/>
        <w:w w:val="100"/>
        <w:sz w:val="20"/>
        <w:szCs w:val="20"/>
        <w:lang w:val="en-US" w:eastAsia="en-US" w:bidi="ar-SA"/>
      </w:rPr>
    </w:lvl>
    <w:lvl w:ilvl="1">
      <w:start w:val="0"/>
      <w:numFmt w:val="bullet"/>
      <w:lvlText w:val="•"/>
      <w:lvlJc w:val="left"/>
      <w:pPr>
        <w:ind w:left="2578" w:hanging="361"/>
      </w:pPr>
      <w:rPr>
        <w:rFonts w:hint="default"/>
        <w:lang w:val="en-US" w:eastAsia="en-US" w:bidi="ar-SA"/>
      </w:rPr>
    </w:lvl>
    <w:lvl w:ilvl="2">
      <w:start w:val="0"/>
      <w:numFmt w:val="bullet"/>
      <w:lvlText w:val="•"/>
      <w:lvlJc w:val="left"/>
      <w:pPr>
        <w:ind w:left="3536" w:hanging="361"/>
      </w:pPr>
      <w:rPr>
        <w:rFonts w:hint="default"/>
        <w:lang w:val="en-US" w:eastAsia="en-US" w:bidi="ar-SA"/>
      </w:rPr>
    </w:lvl>
    <w:lvl w:ilvl="3">
      <w:start w:val="0"/>
      <w:numFmt w:val="bullet"/>
      <w:lvlText w:val="•"/>
      <w:lvlJc w:val="left"/>
      <w:pPr>
        <w:ind w:left="4494" w:hanging="361"/>
      </w:pPr>
      <w:rPr>
        <w:rFonts w:hint="default"/>
        <w:lang w:val="en-US" w:eastAsia="en-US" w:bidi="ar-SA"/>
      </w:rPr>
    </w:lvl>
    <w:lvl w:ilvl="4">
      <w:start w:val="0"/>
      <w:numFmt w:val="bullet"/>
      <w:lvlText w:val="•"/>
      <w:lvlJc w:val="left"/>
      <w:pPr>
        <w:ind w:left="5452" w:hanging="361"/>
      </w:pPr>
      <w:rPr>
        <w:rFonts w:hint="default"/>
        <w:lang w:val="en-US" w:eastAsia="en-US" w:bidi="ar-SA"/>
      </w:rPr>
    </w:lvl>
    <w:lvl w:ilvl="5">
      <w:start w:val="0"/>
      <w:numFmt w:val="bullet"/>
      <w:lvlText w:val="•"/>
      <w:lvlJc w:val="left"/>
      <w:pPr>
        <w:ind w:left="6410" w:hanging="361"/>
      </w:pPr>
      <w:rPr>
        <w:rFonts w:hint="default"/>
        <w:lang w:val="en-US" w:eastAsia="en-US" w:bidi="ar-SA"/>
      </w:rPr>
    </w:lvl>
    <w:lvl w:ilvl="6">
      <w:start w:val="0"/>
      <w:numFmt w:val="bullet"/>
      <w:lvlText w:val="•"/>
      <w:lvlJc w:val="left"/>
      <w:pPr>
        <w:ind w:left="7368" w:hanging="361"/>
      </w:pPr>
      <w:rPr>
        <w:rFonts w:hint="default"/>
        <w:lang w:val="en-US" w:eastAsia="en-US" w:bidi="ar-SA"/>
      </w:rPr>
    </w:lvl>
    <w:lvl w:ilvl="7">
      <w:start w:val="0"/>
      <w:numFmt w:val="bullet"/>
      <w:lvlText w:val="•"/>
      <w:lvlJc w:val="left"/>
      <w:pPr>
        <w:ind w:left="8326" w:hanging="361"/>
      </w:pPr>
      <w:rPr>
        <w:rFonts w:hint="default"/>
        <w:lang w:val="en-US" w:eastAsia="en-US" w:bidi="ar-SA"/>
      </w:rPr>
    </w:lvl>
    <w:lvl w:ilvl="8">
      <w:start w:val="0"/>
      <w:numFmt w:val="bullet"/>
      <w:lvlText w:val="•"/>
      <w:lvlJc w:val="left"/>
      <w:pPr>
        <w:ind w:left="9284" w:hanging="361"/>
      </w:pPr>
      <w:rPr>
        <w:rFonts w:hint="default"/>
        <w:lang w:val="en-US" w:eastAsia="en-US" w:bidi="ar-SA"/>
      </w:rPr>
    </w:lvl>
  </w:abstractNum>
  <w:abstractNum w:abstractNumId="16">
    <w:multiLevelType w:val="hybridMultilevel"/>
    <w:lvl w:ilvl="0">
      <w:start w:val="0"/>
      <w:numFmt w:val="bullet"/>
      <w:lvlText w:val=""/>
      <w:lvlJc w:val="left"/>
      <w:pPr>
        <w:ind w:left="1620" w:hanging="361"/>
      </w:pPr>
      <w:rPr>
        <w:rFonts w:hint="default" w:ascii="Symbol" w:hAnsi="Symbol" w:eastAsia="Symbol" w:cs="Symbol"/>
        <w:b w:val="0"/>
        <w:bCs w:val="0"/>
        <w:i w:val="0"/>
        <w:iCs w:val="0"/>
        <w:color w:val="231F20"/>
        <w:w w:val="100"/>
        <w:sz w:val="20"/>
        <w:szCs w:val="20"/>
        <w:lang w:val="en-US" w:eastAsia="en-US" w:bidi="ar-SA"/>
      </w:rPr>
    </w:lvl>
    <w:lvl w:ilvl="1">
      <w:start w:val="0"/>
      <w:numFmt w:val="bullet"/>
      <w:lvlText w:val="•"/>
      <w:lvlJc w:val="left"/>
      <w:pPr>
        <w:ind w:left="2578" w:hanging="361"/>
      </w:pPr>
      <w:rPr>
        <w:rFonts w:hint="default"/>
        <w:lang w:val="en-US" w:eastAsia="en-US" w:bidi="ar-SA"/>
      </w:rPr>
    </w:lvl>
    <w:lvl w:ilvl="2">
      <w:start w:val="0"/>
      <w:numFmt w:val="bullet"/>
      <w:lvlText w:val="•"/>
      <w:lvlJc w:val="left"/>
      <w:pPr>
        <w:ind w:left="3536" w:hanging="361"/>
      </w:pPr>
      <w:rPr>
        <w:rFonts w:hint="default"/>
        <w:lang w:val="en-US" w:eastAsia="en-US" w:bidi="ar-SA"/>
      </w:rPr>
    </w:lvl>
    <w:lvl w:ilvl="3">
      <w:start w:val="0"/>
      <w:numFmt w:val="bullet"/>
      <w:lvlText w:val="•"/>
      <w:lvlJc w:val="left"/>
      <w:pPr>
        <w:ind w:left="4494" w:hanging="361"/>
      </w:pPr>
      <w:rPr>
        <w:rFonts w:hint="default"/>
        <w:lang w:val="en-US" w:eastAsia="en-US" w:bidi="ar-SA"/>
      </w:rPr>
    </w:lvl>
    <w:lvl w:ilvl="4">
      <w:start w:val="0"/>
      <w:numFmt w:val="bullet"/>
      <w:lvlText w:val="•"/>
      <w:lvlJc w:val="left"/>
      <w:pPr>
        <w:ind w:left="5452" w:hanging="361"/>
      </w:pPr>
      <w:rPr>
        <w:rFonts w:hint="default"/>
        <w:lang w:val="en-US" w:eastAsia="en-US" w:bidi="ar-SA"/>
      </w:rPr>
    </w:lvl>
    <w:lvl w:ilvl="5">
      <w:start w:val="0"/>
      <w:numFmt w:val="bullet"/>
      <w:lvlText w:val="•"/>
      <w:lvlJc w:val="left"/>
      <w:pPr>
        <w:ind w:left="6410" w:hanging="361"/>
      </w:pPr>
      <w:rPr>
        <w:rFonts w:hint="default"/>
        <w:lang w:val="en-US" w:eastAsia="en-US" w:bidi="ar-SA"/>
      </w:rPr>
    </w:lvl>
    <w:lvl w:ilvl="6">
      <w:start w:val="0"/>
      <w:numFmt w:val="bullet"/>
      <w:lvlText w:val="•"/>
      <w:lvlJc w:val="left"/>
      <w:pPr>
        <w:ind w:left="7368" w:hanging="361"/>
      </w:pPr>
      <w:rPr>
        <w:rFonts w:hint="default"/>
        <w:lang w:val="en-US" w:eastAsia="en-US" w:bidi="ar-SA"/>
      </w:rPr>
    </w:lvl>
    <w:lvl w:ilvl="7">
      <w:start w:val="0"/>
      <w:numFmt w:val="bullet"/>
      <w:lvlText w:val="•"/>
      <w:lvlJc w:val="left"/>
      <w:pPr>
        <w:ind w:left="8326" w:hanging="361"/>
      </w:pPr>
      <w:rPr>
        <w:rFonts w:hint="default"/>
        <w:lang w:val="en-US" w:eastAsia="en-US" w:bidi="ar-SA"/>
      </w:rPr>
    </w:lvl>
    <w:lvl w:ilvl="8">
      <w:start w:val="0"/>
      <w:numFmt w:val="bullet"/>
      <w:lvlText w:val="•"/>
      <w:lvlJc w:val="left"/>
      <w:pPr>
        <w:ind w:left="9284" w:hanging="361"/>
      </w:pPr>
      <w:rPr>
        <w:rFonts w:hint="default"/>
        <w:lang w:val="en-US" w:eastAsia="en-US" w:bidi="ar-SA"/>
      </w:rPr>
    </w:lvl>
  </w:abstractNum>
  <w:abstractNum w:abstractNumId="15">
    <w:multiLevelType w:val="hybridMultilevel"/>
    <w:lvl w:ilvl="0">
      <w:start w:val="1"/>
      <w:numFmt w:val="lowerRoman"/>
      <w:lvlText w:val="(%1)"/>
      <w:lvlJc w:val="left"/>
      <w:pPr>
        <w:ind w:left="1853" w:hanging="234"/>
        <w:jc w:val="left"/>
      </w:pPr>
      <w:rPr>
        <w:rFonts w:hint="default" w:ascii="Arial" w:hAnsi="Arial" w:eastAsia="Arial" w:cs="Arial"/>
        <w:b w:val="0"/>
        <w:bCs w:val="0"/>
        <w:i w:val="0"/>
        <w:iCs w:val="0"/>
        <w:color w:val="231F20"/>
        <w:w w:val="100"/>
        <w:sz w:val="20"/>
        <w:szCs w:val="20"/>
        <w:lang w:val="en-US" w:eastAsia="en-US" w:bidi="ar-SA"/>
      </w:rPr>
    </w:lvl>
    <w:lvl w:ilvl="1">
      <w:start w:val="0"/>
      <w:numFmt w:val="bullet"/>
      <w:lvlText w:val="•"/>
      <w:lvlJc w:val="left"/>
      <w:pPr>
        <w:ind w:left="2794" w:hanging="234"/>
      </w:pPr>
      <w:rPr>
        <w:rFonts w:hint="default"/>
        <w:lang w:val="en-US" w:eastAsia="en-US" w:bidi="ar-SA"/>
      </w:rPr>
    </w:lvl>
    <w:lvl w:ilvl="2">
      <w:start w:val="0"/>
      <w:numFmt w:val="bullet"/>
      <w:lvlText w:val="•"/>
      <w:lvlJc w:val="left"/>
      <w:pPr>
        <w:ind w:left="3728" w:hanging="234"/>
      </w:pPr>
      <w:rPr>
        <w:rFonts w:hint="default"/>
        <w:lang w:val="en-US" w:eastAsia="en-US" w:bidi="ar-SA"/>
      </w:rPr>
    </w:lvl>
    <w:lvl w:ilvl="3">
      <w:start w:val="0"/>
      <w:numFmt w:val="bullet"/>
      <w:lvlText w:val="•"/>
      <w:lvlJc w:val="left"/>
      <w:pPr>
        <w:ind w:left="4662" w:hanging="234"/>
      </w:pPr>
      <w:rPr>
        <w:rFonts w:hint="default"/>
        <w:lang w:val="en-US" w:eastAsia="en-US" w:bidi="ar-SA"/>
      </w:rPr>
    </w:lvl>
    <w:lvl w:ilvl="4">
      <w:start w:val="0"/>
      <w:numFmt w:val="bullet"/>
      <w:lvlText w:val="•"/>
      <w:lvlJc w:val="left"/>
      <w:pPr>
        <w:ind w:left="5596" w:hanging="234"/>
      </w:pPr>
      <w:rPr>
        <w:rFonts w:hint="default"/>
        <w:lang w:val="en-US" w:eastAsia="en-US" w:bidi="ar-SA"/>
      </w:rPr>
    </w:lvl>
    <w:lvl w:ilvl="5">
      <w:start w:val="0"/>
      <w:numFmt w:val="bullet"/>
      <w:lvlText w:val="•"/>
      <w:lvlJc w:val="left"/>
      <w:pPr>
        <w:ind w:left="6530" w:hanging="234"/>
      </w:pPr>
      <w:rPr>
        <w:rFonts w:hint="default"/>
        <w:lang w:val="en-US" w:eastAsia="en-US" w:bidi="ar-SA"/>
      </w:rPr>
    </w:lvl>
    <w:lvl w:ilvl="6">
      <w:start w:val="0"/>
      <w:numFmt w:val="bullet"/>
      <w:lvlText w:val="•"/>
      <w:lvlJc w:val="left"/>
      <w:pPr>
        <w:ind w:left="7464" w:hanging="234"/>
      </w:pPr>
      <w:rPr>
        <w:rFonts w:hint="default"/>
        <w:lang w:val="en-US" w:eastAsia="en-US" w:bidi="ar-SA"/>
      </w:rPr>
    </w:lvl>
    <w:lvl w:ilvl="7">
      <w:start w:val="0"/>
      <w:numFmt w:val="bullet"/>
      <w:lvlText w:val="•"/>
      <w:lvlJc w:val="left"/>
      <w:pPr>
        <w:ind w:left="8398" w:hanging="234"/>
      </w:pPr>
      <w:rPr>
        <w:rFonts w:hint="default"/>
        <w:lang w:val="en-US" w:eastAsia="en-US" w:bidi="ar-SA"/>
      </w:rPr>
    </w:lvl>
    <w:lvl w:ilvl="8">
      <w:start w:val="0"/>
      <w:numFmt w:val="bullet"/>
      <w:lvlText w:val="•"/>
      <w:lvlJc w:val="left"/>
      <w:pPr>
        <w:ind w:left="9332" w:hanging="234"/>
      </w:pPr>
      <w:rPr>
        <w:rFonts w:hint="default"/>
        <w:lang w:val="en-US" w:eastAsia="en-US" w:bidi="ar-SA"/>
      </w:rPr>
    </w:lvl>
  </w:abstractNum>
  <w:abstractNum w:abstractNumId="14">
    <w:multiLevelType w:val="hybridMultilevel"/>
    <w:lvl w:ilvl="0">
      <w:start w:val="0"/>
      <w:numFmt w:val="bullet"/>
      <w:lvlText w:val=""/>
      <w:lvlJc w:val="left"/>
      <w:pPr>
        <w:ind w:left="1260" w:hanging="361"/>
      </w:pPr>
      <w:rPr>
        <w:rFonts w:hint="default" w:ascii="Symbol" w:hAnsi="Symbol" w:eastAsia="Symbol" w:cs="Symbol"/>
        <w:b w:val="0"/>
        <w:bCs w:val="0"/>
        <w:i w:val="0"/>
        <w:iCs w:val="0"/>
        <w:color w:val="231F20"/>
        <w:w w:val="100"/>
        <w:sz w:val="20"/>
        <w:szCs w:val="20"/>
        <w:lang w:val="en-US" w:eastAsia="en-US" w:bidi="ar-SA"/>
      </w:rPr>
    </w:lvl>
    <w:lvl w:ilvl="1">
      <w:start w:val="0"/>
      <w:numFmt w:val="bullet"/>
      <w:lvlText w:val="•"/>
      <w:lvlJc w:val="left"/>
      <w:pPr>
        <w:ind w:left="1586" w:hanging="361"/>
      </w:pPr>
      <w:rPr>
        <w:rFonts w:hint="default"/>
        <w:lang w:val="en-US" w:eastAsia="en-US" w:bidi="ar-SA"/>
      </w:rPr>
    </w:lvl>
    <w:lvl w:ilvl="2">
      <w:start w:val="0"/>
      <w:numFmt w:val="bullet"/>
      <w:lvlText w:val="•"/>
      <w:lvlJc w:val="left"/>
      <w:pPr>
        <w:ind w:left="1912" w:hanging="361"/>
      </w:pPr>
      <w:rPr>
        <w:rFonts w:hint="default"/>
        <w:lang w:val="en-US" w:eastAsia="en-US" w:bidi="ar-SA"/>
      </w:rPr>
    </w:lvl>
    <w:lvl w:ilvl="3">
      <w:start w:val="0"/>
      <w:numFmt w:val="bullet"/>
      <w:lvlText w:val="•"/>
      <w:lvlJc w:val="left"/>
      <w:pPr>
        <w:ind w:left="2239" w:hanging="361"/>
      </w:pPr>
      <w:rPr>
        <w:rFonts w:hint="default"/>
        <w:lang w:val="en-US" w:eastAsia="en-US" w:bidi="ar-SA"/>
      </w:rPr>
    </w:lvl>
    <w:lvl w:ilvl="4">
      <w:start w:val="0"/>
      <w:numFmt w:val="bullet"/>
      <w:lvlText w:val="•"/>
      <w:lvlJc w:val="left"/>
      <w:pPr>
        <w:ind w:left="2565" w:hanging="361"/>
      </w:pPr>
      <w:rPr>
        <w:rFonts w:hint="default"/>
        <w:lang w:val="en-US" w:eastAsia="en-US" w:bidi="ar-SA"/>
      </w:rPr>
    </w:lvl>
    <w:lvl w:ilvl="5">
      <w:start w:val="0"/>
      <w:numFmt w:val="bullet"/>
      <w:lvlText w:val="•"/>
      <w:lvlJc w:val="left"/>
      <w:pPr>
        <w:ind w:left="2892" w:hanging="361"/>
      </w:pPr>
      <w:rPr>
        <w:rFonts w:hint="default"/>
        <w:lang w:val="en-US" w:eastAsia="en-US" w:bidi="ar-SA"/>
      </w:rPr>
    </w:lvl>
    <w:lvl w:ilvl="6">
      <w:start w:val="0"/>
      <w:numFmt w:val="bullet"/>
      <w:lvlText w:val="•"/>
      <w:lvlJc w:val="left"/>
      <w:pPr>
        <w:ind w:left="3218" w:hanging="361"/>
      </w:pPr>
      <w:rPr>
        <w:rFonts w:hint="default"/>
        <w:lang w:val="en-US" w:eastAsia="en-US" w:bidi="ar-SA"/>
      </w:rPr>
    </w:lvl>
    <w:lvl w:ilvl="7">
      <w:start w:val="0"/>
      <w:numFmt w:val="bullet"/>
      <w:lvlText w:val="•"/>
      <w:lvlJc w:val="left"/>
      <w:pPr>
        <w:ind w:left="3545" w:hanging="361"/>
      </w:pPr>
      <w:rPr>
        <w:rFonts w:hint="default"/>
        <w:lang w:val="en-US" w:eastAsia="en-US" w:bidi="ar-SA"/>
      </w:rPr>
    </w:lvl>
    <w:lvl w:ilvl="8">
      <w:start w:val="0"/>
      <w:numFmt w:val="bullet"/>
      <w:lvlText w:val="•"/>
      <w:lvlJc w:val="left"/>
      <w:pPr>
        <w:ind w:left="3871" w:hanging="361"/>
      </w:pPr>
      <w:rPr>
        <w:rFonts w:hint="default"/>
        <w:lang w:val="en-US" w:eastAsia="en-US" w:bidi="ar-SA"/>
      </w:rPr>
    </w:lvl>
  </w:abstractNum>
  <w:abstractNum w:abstractNumId="13">
    <w:multiLevelType w:val="hybridMultilevel"/>
    <w:lvl w:ilvl="0">
      <w:start w:val="0"/>
      <w:numFmt w:val="bullet"/>
      <w:lvlText w:val=""/>
      <w:lvlJc w:val="left"/>
      <w:pPr>
        <w:ind w:left="1439" w:hanging="360"/>
      </w:pPr>
      <w:rPr>
        <w:rFonts w:hint="default" w:ascii="Symbol" w:hAnsi="Symbol" w:eastAsia="Symbol" w:cs="Symbol"/>
        <w:b w:val="0"/>
        <w:bCs w:val="0"/>
        <w:i w:val="0"/>
        <w:iCs w:val="0"/>
        <w:color w:val="004F50"/>
        <w:w w:val="100"/>
        <w:sz w:val="20"/>
        <w:szCs w:val="20"/>
        <w:lang w:val="en-US" w:eastAsia="en-US" w:bidi="ar-SA"/>
      </w:rPr>
    </w:lvl>
    <w:lvl w:ilvl="1">
      <w:start w:val="0"/>
      <w:numFmt w:val="bullet"/>
      <w:lvlText w:val="•"/>
      <w:lvlJc w:val="left"/>
      <w:pPr>
        <w:ind w:left="2416" w:hanging="360"/>
      </w:pPr>
      <w:rPr>
        <w:rFonts w:hint="default"/>
        <w:lang w:val="en-US" w:eastAsia="en-US" w:bidi="ar-SA"/>
      </w:rPr>
    </w:lvl>
    <w:lvl w:ilvl="2">
      <w:start w:val="0"/>
      <w:numFmt w:val="bullet"/>
      <w:lvlText w:val="•"/>
      <w:lvlJc w:val="left"/>
      <w:pPr>
        <w:ind w:left="3392" w:hanging="360"/>
      </w:pPr>
      <w:rPr>
        <w:rFonts w:hint="default"/>
        <w:lang w:val="en-US" w:eastAsia="en-US" w:bidi="ar-SA"/>
      </w:rPr>
    </w:lvl>
    <w:lvl w:ilvl="3">
      <w:start w:val="0"/>
      <w:numFmt w:val="bullet"/>
      <w:lvlText w:val="•"/>
      <w:lvlJc w:val="left"/>
      <w:pPr>
        <w:ind w:left="4368" w:hanging="360"/>
      </w:pPr>
      <w:rPr>
        <w:rFonts w:hint="default"/>
        <w:lang w:val="en-US" w:eastAsia="en-US" w:bidi="ar-SA"/>
      </w:rPr>
    </w:lvl>
    <w:lvl w:ilvl="4">
      <w:start w:val="0"/>
      <w:numFmt w:val="bullet"/>
      <w:lvlText w:val="•"/>
      <w:lvlJc w:val="left"/>
      <w:pPr>
        <w:ind w:left="5344"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296" w:hanging="360"/>
      </w:pPr>
      <w:rPr>
        <w:rFonts w:hint="default"/>
        <w:lang w:val="en-US" w:eastAsia="en-US" w:bidi="ar-SA"/>
      </w:rPr>
    </w:lvl>
    <w:lvl w:ilvl="7">
      <w:start w:val="0"/>
      <w:numFmt w:val="bullet"/>
      <w:lvlText w:val="•"/>
      <w:lvlJc w:val="left"/>
      <w:pPr>
        <w:ind w:left="8272" w:hanging="360"/>
      </w:pPr>
      <w:rPr>
        <w:rFonts w:hint="default"/>
        <w:lang w:val="en-US" w:eastAsia="en-US" w:bidi="ar-SA"/>
      </w:rPr>
    </w:lvl>
    <w:lvl w:ilvl="8">
      <w:start w:val="0"/>
      <w:numFmt w:val="bullet"/>
      <w:lvlText w:val="•"/>
      <w:lvlJc w:val="left"/>
      <w:pPr>
        <w:ind w:left="9248" w:hanging="360"/>
      </w:pPr>
      <w:rPr>
        <w:rFonts w:hint="default"/>
        <w:lang w:val="en-US" w:eastAsia="en-US" w:bidi="ar-SA"/>
      </w:rPr>
    </w:lvl>
  </w:abstractNum>
  <w:abstractNum w:abstractNumId="11">
    <w:multiLevelType w:val="hybridMultilevel"/>
    <w:lvl w:ilvl="0">
      <w:start w:val="0"/>
      <w:numFmt w:val="bullet"/>
      <w:lvlText w:val=""/>
      <w:lvlJc w:val="left"/>
      <w:pPr>
        <w:ind w:left="3150" w:hanging="361"/>
      </w:pPr>
      <w:rPr>
        <w:rFonts w:hint="default" w:ascii="Symbol" w:hAnsi="Symbol" w:eastAsia="Symbol" w:cs="Symbol"/>
        <w:b w:val="0"/>
        <w:bCs w:val="0"/>
        <w:i w:val="0"/>
        <w:iCs w:val="0"/>
        <w:color w:val="231F20"/>
        <w:w w:val="100"/>
        <w:sz w:val="20"/>
        <w:szCs w:val="20"/>
        <w:lang w:val="en-US" w:eastAsia="en-US" w:bidi="ar-SA"/>
      </w:rPr>
    </w:lvl>
    <w:lvl w:ilvl="1">
      <w:start w:val="0"/>
      <w:numFmt w:val="bullet"/>
      <w:lvlText w:val="•"/>
      <w:lvlJc w:val="left"/>
      <w:pPr>
        <w:ind w:left="4010" w:hanging="361"/>
      </w:pPr>
      <w:rPr>
        <w:rFonts w:hint="default"/>
        <w:lang w:val="en-US" w:eastAsia="en-US" w:bidi="ar-SA"/>
      </w:rPr>
    </w:lvl>
    <w:lvl w:ilvl="2">
      <w:start w:val="0"/>
      <w:numFmt w:val="bullet"/>
      <w:lvlText w:val="•"/>
      <w:lvlJc w:val="left"/>
      <w:pPr>
        <w:ind w:left="4860" w:hanging="361"/>
      </w:pPr>
      <w:rPr>
        <w:rFonts w:hint="default"/>
        <w:lang w:val="en-US" w:eastAsia="en-US" w:bidi="ar-SA"/>
      </w:rPr>
    </w:lvl>
    <w:lvl w:ilvl="3">
      <w:start w:val="0"/>
      <w:numFmt w:val="bullet"/>
      <w:lvlText w:val="•"/>
      <w:lvlJc w:val="left"/>
      <w:pPr>
        <w:ind w:left="5710" w:hanging="361"/>
      </w:pPr>
      <w:rPr>
        <w:rFonts w:hint="default"/>
        <w:lang w:val="en-US" w:eastAsia="en-US" w:bidi="ar-SA"/>
      </w:rPr>
    </w:lvl>
    <w:lvl w:ilvl="4">
      <w:start w:val="0"/>
      <w:numFmt w:val="bullet"/>
      <w:lvlText w:val="•"/>
      <w:lvlJc w:val="left"/>
      <w:pPr>
        <w:ind w:left="6560" w:hanging="361"/>
      </w:pPr>
      <w:rPr>
        <w:rFonts w:hint="default"/>
        <w:lang w:val="en-US" w:eastAsia="en-US" w:bidi="ar-SA"/>
      </w:rPr>
    </w:lvl>
    <w:lvl w:ilvl="5">
      <w:start w:val="0"/>
      <w:numFmt w:val="bullet"/>
      <w:lvlText w:val="•"/>
      <w:lvlJc w:val="left"/>
      <w:pPr>
        <w:ind w:left="7410" w:hanging="361"/>
      </w:pPr>
      <w:rPr>
        <w:rFonts w:hint="default"/>
        <w:lang w:val="en-US" w:eastAsia="en-US" w:bidi="ar-SA"/>
      </w:rPr>
    </w:lvl>
    <w:lvl w:ilvl="6">
      <w:start w:val="0"/>
      <w:numFmt w:val="bullet"/>
      <w:lvlText w:val="•"/>
      <w:lvlJc w:val="left"/>
      <w:pPr>
        <w:ind w:left="8260" w:hanging="361"/>
      </w:pPr>
      <w:rPr>
        <w:rFonts w:hint="default"/>
        <w:lang w:val="en-US" w:eastAsia="en-US" w:bidi="ar-SA"/>
      </w:rPr>
    </w:lvl>
    <w:lvl w:ilvl="7">
      <w:start w:val="0"/>
      <w:numFmt w:val="bullet"/>
      <w:lvlText w:val="•"/>
      <w:lvlJc w:val="left"/>
      <w:pPr>
        <w:ind w:left="9110" w:hanging="361"/>
      </w:pPr>
      <w:rPr>
        <w:rFonts w:hint="default"/>
        <w:lang w:val="en-US" w:eastAsia="en-US" w:bidi="ar-SA"/>
      </w:rPr>
    </w:lvl>
    <w:lvl w:ilvl="8">
      <w:start w:val="0"/>
      <w:numFmt w:val="bullet"/>
      <w:lvlText w:val="•"/>
      <w:lvlJc w:val="left"/>
      <w:pPr>
        <w:ind w:left="9960" w:hanging="361"/>
      </w:pPr>
      <w:rPr>
        <w:rFonts w:hint="default"/>
        <w:lang w:val="en-US" w:eastAsia="en-US" w:bidi="ar-SA"/>
      </w:rPr>
    </w:lvl>
  </w:abstractNum>
  <w:abstractNum w:abstractNumId="10">
    <w:multiLevelType w:val="hybridMultilevel"/>
    <w:lvl w:ilvl="0">
      <w:start w:val="0"/>
      <w:numFmt w:val="bullet"/>
      <w:lvlText w:val=""/>
      <w:lvlJc w:val="left"/>
      <w:pPr>
        <w:ind w:left="1800" w:hanging="361"/>
      </w:pPr>
      <w:rPr>
        <w:rFonts w:hint="default" w:ascii="Symbol" w:hAnsi="Symbol" w:eastAsia="Symbol" w:cs="Symbol"/>
        <w:b w:val="0"/>
        <w:bCs w:val="0"/>
        <w:i w:val="0"/>
        <w:iCs w:val="0"/>
        <w:color w:val="231F20"/>
        <w:w w:val="100"/>
        <w:sz w:val="20"/>
        <w:szCs w:val="20"/>
        <w:lang w:val="en-US" w:eastAsia="en-US" w:bidi="ar-SA"/>
      </w:rPr>
    </w:lvl>
    <w:lvl w:ilvl="1">
      <w:start w:val="0"/>
      <w:numFmt w:val="bullet"/>
      <w:lvlText w:val="•"/>
      <w:lvlJc w:val="left"/>
      <w:pPr>
        <w:ind w:left="2786" w:hanging="361"/>
      </w:pPr>
      <w:rPr>
        <w:rFonts w:hint="default"/>
        <w:lang w:val="en-US" w:eastAsia="en-US" w:bidi="ar-SA"/>
      </w:rPr>
    </w:lvl>
    <w:lvl w:ilvl="2">
      <w:start w:val="0"/>
      <w:numFmt w:val="bullet"/>
      <w:lvlText w:val="•"/>
      <w:lvlJc w:val="left"/>
      <w:pPr>
        <w:ind w:left="3772" w:hanging="361"/>
      </w:pPr>
      <w:rPr>
        <w:rFonts w:hint="default"/>
        <w:lang w:val="en-US" w:eastAsia="en-US" w:bidi="ar-SA"/>
      </w:rPr>
    </w:lvl>
    <w:lvl w:ilvl="3">
      <w:start w:val="0"/>
      <w:numFmt w:val="bullet"/>
      <w:lvlText w:val="•"/>
      <w:lvlJc w:val="left"/>
      <w:pPr>
        <w:ind w:left="4758" w:hanging="361"/>
      </w:pPr>
      <w:rPr>
        <w:rFonts w:hint="default"/>
        <w:lang w:val="en-US" w:eastAsia="en-US" w:bidi="ar-SA"/>
      </w:rPr>
    </w:lvl>
    <w:lvl w:ilvl="4">
      <w:start w:val="0"/>
      <w:numFmt w:val="bullet"/>
      <w:lvlText w:val="•"/>
      <w:lvlJc w:val="left"/>
      <w:pPr>
        <w:ind w:left="5744" w:hanging="361"/>
      </w:pPr>
      <w:rPr>
        <w:rFonts w:hint="default"/>
        <w:lang w:val="en-US" w:eastAsia="en-US" w:bidi="ar-SA"/>
      </w:rPr>
    </w:lvl>
    <w:lvl w:ilvl="5">
      <w:start w:val="0"/>
      <w:numFmt w:val="bullet"/>
      <w:lvlText w:val="•"/>
      <w:lvlJc w:val="left"/>
      <w:pPr>
        <w:ind w:left="6730" w:hanging="361"/>
      </w:pPr>
      <w:rPr>
        <w:rFonts w:hint="default"/>
        <w:lang w:val="en-US" w:eastAsia="en-US" w:bidi="ar-SA"/>
      </w:rPr>
    </w:lvl>
    <w:lvl w:ilvl="6">
      <w:start w:val="0"/>
      <w:numFmt w:val="bullet"/>
      <w:lvlText w:val="•"/>
      <w:lvlJc w:val="left"/>
      <w:pPr>
        <w:ind w:left="7716" w:hanging="361"/>
      </w:pPr>
      <w:rPr>
        <w:rFonts w:hint="default"/>
        <w:lang w:val="en-US" w:eastAsia="en-US" w:bidi="ar-SA"/>
      </w:rPr>
    </w:lvl>
    <w:lvl w:ilvl="7">
      <w:start w:val="0"/>
      <w:numFmt w:val="bullet"/>
      <w:lvlText w:val="•"/>
      <w:lvlJc w:val="left"/>
      <w:pPr>
        <w:ind w:left="8702" w:hanging="361"/>
      </w:pPr>
      <w:rPr>
        <w:rFonts w:hint="default"/>
        <w:lang w:val="en-US" w:eastAsia="en-US" w:bidi="ar-SA"/>
      </w:rPr>
    </w:lvl>
    <w:lvl w:ilvl="8">
      <w:start w:val="0"/>
      <w:numFmt w:val="bullet"/>
      <w:lvlText w:val="•"/>
      <w:lvlJc w:val="left"/>
      <w:pPr>
        <w:ind w:left="9688" w:hanging="361"/>
      </w:pPr>
      <w:rPr>
        <w:rFonts w:hint="default"/>
        <w:lang w:val="en-US" w:eastAsia="en-US" w:bidi="ar-SA"/>
      </w:rPr>
    </w:lvl>
  </w:abstractNum>
  <w:abstractNum w:abstractNumId="9">
    <w:multiLevelType w:val="hybridMultilevel"/>
    <w:lvl w:ilvl="0">
      <w:start w:val="0"/>
      <w:numFmt w:val="bullet"/>
      <w:lvlText w:val=""/>
      <w:lvlJc w:val="left"/>
      <w:pPr>
        <w:ind w:left="2159" w:hanging="361"/>
      </w:pPr>
      <w:rPr>
        <w:rFonts w:hint="default" w:ascii="Symbol" w:hAnsi="Symbol" w:eastAsia="Symbol" w:cs="Symbol"/>
        <w:b w:val="0"/>
        <w:bCs w:val="0"/>
        <w:i w:val="0"/>
        <w:iCs w:val="0"/>
        <w:color w:val="231F20"/>
        <w:w w:val="100"/>
        <w:sz w:val="20"/>
        <w:szCs w:val="20"/>
        <w:lang w:val="en-US" w:eastAsia="en-US" w:bidi="ar-SA"/>
      </w:rPr>
    </w:lvl>
    <w:lvl w:ilvl="1">
      <w:start w:val="0"/>
      <w:numFmt w:val="bullet"/>
      <w:lvlText w:val="•"/>
      <w:lvlJc w:val="left"/>
      <w:pPr>
        <w:ind w:left="3110" w:hanging="361"/>
      </w:pPr>
      <w:rPr>
        <w:rFonts w:hint="default"/>
        <w:lang w:val="en-US" w:eastAsia="en-US" w:bidi="ar-SA"/>
      </w:rPr>
    </w:lvl>
    <w:lvl w:ilvl="2">
      <w:start w:val="0"/>
      <w:numFmt w:val="bullet"/>
      <w:lvlText w:val="•"/>
      <w:lvlJc w:val="left"/>
      <w:pPr>
        <w:ind w:left="4060" w:hanging="361"/>
      </w:pPr>
      <w:rPr>
        <w:rFonts w:hint="default"/>
        <w:lang w:val="en-US" w:eastAsia="en-US" w:bidi="ar-SA"/>
      </w:rPr>
    </w:lvl>
    <w:lvl w:ilvl="3">
      <w:start w:val="0"/>
      <w:numFmt w:val="bullet"/>
      <w:lvlText w:val="•"/>
      <w:lvlJc w:val="left"/>
      <w:pPr>
        <w:ind w:left="5010" w:hanging="361"/>
      </w:pPr>
      <w:rPr>
        <w:rFonts w:hint="default"/>
        <w:lang w:val="en-US" w:eastAsia="en-US" w:bidi="ar-SA"/>
      </w:rPr>
    </w:lvl>
    <w:lvl w:ilvl="4">
      <w:start w:val="0"/>
      <w:numFmt w:val="bullet"/>
      <w:lvlText w:val="•"/>
      <w:lvlJc w:val="left"/>
      <w:pPr>
        <w:ind w:left="5960" w:hanging="361"/>
      </w:pPr>
      <w:rPr>
        <w:rFonts w:hint="default"/>
        <w:lang w:val="en-US" w:eastAsia="en-US" w:bidi="ar-SA"/>
      </w:rPr>
    </w:lvl>
    <w:lvl w:ilvl="5">
      <w:start w:val="0"/>
      <w:numFmt w:val="bullet"/>
      <w:lvlText w:val="•"/>
      <w:lvlJc w:val="left"/>
      <w:pPr>
        <w:ind w:left="6910" w:hanging="361"/>
      </w:pPr>
      <w:rPr>
        <w:rFonts w:hint="default"/>
        <w:lang w:val="en-US" w:eastAsia="en-US" w:bidi="ar-SA"/>
      </w:rPr>
    </w:lvl>
    <w:lvl w:ilvl="6">
      <w:start w:val="0"/>
      <w:numFmt w:val="bullet"/>
      <w:lvlText w:val="•"/>
      <w:lvlJc w:val="left"/>
      <w:pPr>
        <w:ind w:left="7860" w:hanging="361"/>
      </w:pPr>
      <w:rPr>
        <w:rFonts w:hint="default"/>
        <w:lang w:val="en-US" w:eastAsia="en-US" w:bidi="ar-SA"/>
      </w:rPr>
    </w:lvl>
    <w:lvl w:ilvl="7">
      <w:start w:val="0"/>
      <w:numFmt w:val="bullet"/>
      <w:lvlText w:val="•"/>
      <w:lvlJc w:val="left"/>
      <w:pPr>
        <w:ind w:left="8810" w:hanging="361"/>
      </w:pPr>
      <w:rPr>
        <w:rFonts w:hint="default"/>
        <w:lang w:val="en-US" w:eastAsia="en-US" w:bidi="ar-SA"/>
      </w:rPr>
    </w:lvl>
    <w:lvl w:ilvl="8">
      <w:start w:val="0"/>
      <w:numFmt w:val="bullet"/>
      <w:lvlText w:val="•"/>
      <w:lvlJc w:val="left"/>
      <w:pPr>
        <w:ind w:left="9760" w:hanging="361"/>
      </w:pPr>
      <w:rPr>
        <w:rFonts w:hint="default"/>
        <w:lang w:val="en-US" w:eastAsia="en-US" w:bidi="ar-SA"/>
      </w:rPr>
    </w:lvl>
  </w:abstractNum>
  <w:abstractNum w:abstractNumId="8">
    <w:multiLevelType w:val="hybridMultilevel"/>
    <w:lvl w:ilvl="0">
      <w:start w:val="0"/>
      <w:numFmt w:val="bullet"/>
      <w:lvlText w:val="•"/>
      <w:lvlJc w:val="left"/>
      <w:pPr>
        <w:ind w:left="1800" w:hanging="361"/>
      </w:pPr>
      <w:rPr>
        <w:rFonts w:hint="default" w:ascii="Arial" w:hAnsi="Arial" w:eastAsia="Arial" w:cs="Arial"/>
        <w:b w:val="0"/>
        <w:bCs w:val="0"/>
        <w:i w:val="0"/>
        <w:iCs w:val="0"/>
        <w:color w:val="231F20"/>
        <w:w w:val="100"/>
        <w:sz w:val="20"/>
        <w:szCs w:val="20"/>
        <w:lang w:val="en-US" w:eastAsia="en-US" w:bidi="ar-SA"/>
      </w:rPr>
    </w:lvl>
    <w:lvl w:ilvl="1">
      <w:start w:val="0"/>
      <w:numFmt w:val="bullet"/>
      <w:lvlText w:val="•"/>
      <w:lvlJc w:val="left"/>
      <w:pPr>
        <w:ind w:left="2786" w:hanging="361"/>
      </w:pPr>
      <w:rPr>
        <w:rFonts w:hint="default"/>
        <w:lang w:val="en-US" w:eastAsia="en-US" w:bidi="ar-SA"/>
      </w:rPr>
    </w:lvl>
    <w:lvl w:ilvl="2">
      <w:start w:val="0"/>
      <w:numFmt w:val="bullet"/>
      <w:lvlText w:val="•"/>
      <w:lvlJc w:val="left"/>
      <w:pPr>
        <w:ind w:left="3772" w:hanging="361"/>
      </w:pPr>
      <w:rPr>
        <w:rFonts w:hint="default"/>
        <w:lang w:val="en-US" w:eastAsia="en-US" w:bidi="ar-SA"/>
      </w:rPr>
    </w:lvl>
    <w:lvl w:ilvl="3">
      <w:start w:val="0"/>
      <w:numFmt w:val="bullet"/>
      <w:lvlText w:val="•"/>
      <w:lvlJc w:val="left"/>
      <w:pPr>
        <w:ind w:left="4758" w:hanging="361"/>
      </w:pPr>
      <w:rPr>
        <w:rFonts w:hint="default"/>
        <w:lang w:val="en-US" w:eastAsia="en-US" w:bidi="ar-SA"/>
      </w:rPr>
    </w:lvl>
    <w:lvl w:ilvl="4">
      <w:start w:val="0"/>
      <w:numFmt w:val="bullet"/>
      <w:lvlText w:val="•"/>
      <w:lvlJc w:val="left"/>
      <w:pPr>
        <w:ind w:left="5744" w:hanging="361"/>
      </w:pPr>
      <w:rPr>
        <w:rFonts w:hint="default"/>
        <w:lang w:val="en-US" w:eastAsia="en-US" w:bidi="ar-SA"/>
      </w:rPr>
    </w:lvl>
    <w:lvl w:ilvl="5">
      <w:start w:val="0"/>
      <w:numFmt w:val="bullet"/>
      <w:lvlText w:val="•"/>
      <w:lvlJc w:val="left"/>
      <w:pPr>
        <w:ind w:left="6730" w:hanging="361"/>
      </w:pPr>
      <w:rPr>
        <w:rFonts w:hint="default"/>
        <w:lang w:val="en-US" w:eastAsia="en-US" w:bidi="ar-SA"/>
      </w:rPr>
    </w:lvl>
    <w:lvl w:ilvl="6">
      <w:start w:val="0"/>
      <w:numFmt w:val="bullet"/>
      <w:lvlText w:val="•"/>
      <w:lvlJc w:val="left"/>
      <w:pPr>
        <w:ind w:left="7716" w:hanging="361"/>
      </w:pPr>
      <w:rPr>
        <w:rFonts w:hint="default"/>
        <w:lang w:val="en-US" w:eastAsia="en-US" w:bidi="ar-SA"/>
      </w:rPr>
    </w:lvl>
    <w:lvl w:ilvl="7">
      <w:start w:val="0"/>
      <w:numFmt w:val="bullet"/>
      <w:lvlText w:val="•"/>
      <w:lvlJc w:val="left"/>
      <w:pPr>
        <w:ind w:left="8702" w:hanging="361"/>
      </w:pPr>
      <w:rPr>
        <w:rFonts w:hint="default"/>
        <w:lang w:val="en-US" w:eastAsia="en-US" w:bidi="ar-SA"/>
      </w:rPr>
    </w:lvl>
    <w:lvl w:ilvl="8">
      <w:start w:val="0"/>
      <w:numFmt w:val="bullet"/>
      <w:lvlText w:val="•"/>
      <w:lvlJc w:val="left"/>
      <w:pPr>
        <w:ind w:left="9688" w:hanging="361"/>
      </w:pPr>
      <w:rPr>
        <w:rFonts w:hint="default"/>
        <w:lang w:val="en-US" w:eastAsia="en-US" w:bidi="ar-SA"/>
      </w:rPr>
    </w:lvl>
  </w:abstractNum>
  <w:abstractNum w:abstractNumId="7">
    <w:multiLevelType w:val="hybridMultilevel"/>
    <w:lvl w:ilvl="0">
      <w:start w:val="0"/>
      <w:numFmt w:val="bullet"/>
      <w:lvlText w:val=""/>
      <w:lvlJc w:val="left"/>
      <w:pPr>
        <w:ind w:left="3150" w:hanging="361"/>
      </w:pPr>
      <w:rPr>
        <w:rFonts w:hint="default" w:ascii="Symbol" w:hAnsi="Symbol" w:eastAsia="Symbol" w:cs="Symbol"/>
        <w:b w:val="0"/>
        <w:bCs w:val="0"/>
        <w:i w:val="0"/>
        <w:iCs w:val="0"/>
        <w:color w:val="231F20"/>
        <w:w w:val="100"/>
        <w:sz w:val="20"/>
        <w:szCs w:val="20"/>
        <w:lang w:val="en-US" w:eastAsia="en-US" w:bidi="ar-SA"/>
      </w:rPr>
    </w:lvl>
    <w:lvl w:ilvl="1">
      <w:start w:val="0"/>
      <w:numFmt w:val="bullet"/>
      <w:lvlText w:val="•"/>
      <w:lvlJc w:val="left"/>
      <w:pPr>
        <w:ind w:left="4010" w:hanging="361"/>
      </w:pPr>
      <w:rPr>
        <w:rFonts w:hint="default"/>
        <w:lang w:val="en-US" w:eastAsia="en-US" w:bidi="ar-SA"/>
      </w:rPr>
    </w:lvl>
    <w:lvl w:ilvl="2">
      <w:start w:val="0"/>
      <w:numFmt w:val="bullet"/>
      <w:lvlText w:val="•"/>
      <w:lvlJc w:val="left"/>
      <w:pPr>
        <w:ind w:left="4860" w:hanging="361"/>
      </w:pPr>
      <w:rPr>
        <w:rFonts w:hint="default"/>
        <w:lang w:val="en-US" w:eastAsia="en-US" w:bidi="ar-SA"/>
      </w:rPr>
    </w:lvl>
    <w:lvl w:ilvl="3">
      <w:start w:val="0"/>
      <w:numFmt w:val="bullet"/>
      <w:lvlText w:val="•"/>
      <w:lvlJc w:val="left"/>
      <w:pPr>
        <w:ind w:left="5710" w:hanging="361"/>
      </w:pPr>
      <w:rPr>
        <w:rFonts w:hint="default"/>
        <w:lang w:val="en-US" w:eastAsia="en-US" w:bidi="ar-SA"/>
      </w:rPr>
    </w:lvl>
    <w:lvl w:ilvl="4">
      <w:start w:val="0"/>
      <w:numFmt w:val="bullet"/>
      <w:lvlText w:val="•"/>
      <w:lvlJc w:val="left"/>
      <w:pPr>
        <w:ind w:left="6560" w:hanging="361"/>
      </w:pPr>
      <w:rPr>
        <w:rFonts w:hint="default"/>
        <w:lang w:val="en-US" w:eastAsia="en-US" w:bidi="ar-SA"/>
      </w:rPr>
    </w:lvl>
    <w:lvl w:ilvl="5">
      <w:start w:val="0"/>
      <w:numFmt w:val="bullet"/>
      <w:lvlText w:val="•"/>
      <w:lvlJc w:val="left"/>
      <w:pPr>
        <w:ind w:left="7410" w:hanging="361"/>
      </w:pPr>
      <w:rPr>
        <w:rFonts w:hint="default"/>
        <w:lang w:val="en-US" w:eastAsia="en-US" w:bidi="ar-SA"/>
      </w:rPr>
    </w:lvl>
    <w:lvl w:ilvl="6">
      <w:start w:val="0"/>
      <w:numFmt w:val="bullet"/>
      <w:lvlText w:val="•"/>
      <w:lvlJc w:val="left"/>
      <w:pPr>
        <w:ind w:left="8260" w:hanging="361"/>
      </w:pPr>
      <w:rPr>
        <w:rFonts w:hint="default"/>
        <w:lang w:val="en-US" w:eastAsia="en-US" w:bidi="ar-SA"/>
      </w:rPr>
    </w:lvl>
    <w:lvl w:ilvl="7">
      <w:start w:val="0"/>
      <w:numFmt w:val="bullet"/>
      <w:lvlText w:val="•"/>
      <w:lvlJc w:val="left"/>
      <w:pPr>
        <w:ind w:left="9110" w:hanging="361"/>
      </w:pPr>
      <w:rPr>
        <w:rFonts w:hint="default"/>
        <w:lang w:val="en-US" w:eastAsia="en-US" w:bidi="ar-SA"/>
      </w:rPr>
    </w:lvl>
    <w:lvl w:ilvl="8">
      <w:start w:val="0"/>
      <w:numFmt w:val="bullet"/>
      <w:lvlText w:val="•"/>
      <w:lvlJc w:val="left"/>
      <w:pPr>
        <w:ind w:left="9960" w:hanging="361"/>
      </w:pPr>
      <w:rPr>
        <w:rFonts w:hint="default"/>
        <w:lang w:val="en-US" w:eastAsia="en-US" w:bidi="ar-SA"/>
      </w:rPr>
    </w:lvl>
  </w:abstractNum>
  <w:abstractNum w:abstractNumId="6">
    <w:multiLevelType w:val="hybridMultilevel"/>
    <w:lvl w:ilvl="0">
      <w:start w:val="1"/>
      <w:numFmt w:val="lowerLetter"/>
      <w:lvlText w:val="%1)"/>
      <w:lvlJc w:val="left"/>
      <w:pPr>
        <w:ind w:left="2160" w:hanging="361"/>
        <w:jc w:val="left"/>
      </w:pPr>
      <w:rPr>
        <w:rFonts w:hint="default" w:ascii="Arial" w:hAnsi="Arial" w:eastAsia="Arial" w:cs="Arial"/>
        <w:b w:val="0"/>
        <w:bCs w:val="0"/>
        <w:i w:val="0"/>
        <w:iCs w:val="0"/>
        <w:color w:val="231F20"/>
        <w:spacing w:val="-1"/>
        <w:w w:val="100"/>
        <w:sz w:val="20"/>
        <w:szCs w:val="20"/>
        <w:lang w:val="en-US" w:eastAsia="en-US" w:bidi="ar-SA"/>
      </w:rPr>
    </w:lvl>
    <w:lvl w:ilvl="1">
      <w:start w:val="0"/>
      <w:numFmt w:val="bullet"/>
      <w:lvlText w:val="•"/>
      <w:lvlJc w:val="left"/>
      <w:pPr>
        <w:ind w:left="3110" w:hanging="361"/>
      </w:pPr>
      <w:rPr>
        <w:rFonts w:hint="default"/>
        <w:lang w:val="en-US" w:eastAsia="en-US" w:bidi="ar-SA"/>
      </w:rPr>
    </w:lvl>
    <w:lvl w:ilvl="2">
      <w:start w:val="0"/>
      <w:numFmt w:val="bullet"/>
      <w:lvlText w:val="•"/>
      <w:lvlJc w:val="left"/>
      <w:pPr>
        <w:ind w:left="4060" w:hanging="361"/>
      </w:pPr>
      <w:rPr>
        <w:rFonts w:hint="default"/>
        <w:lang w:val="en-US" w:eastAsia="en-US" w:bidi="ar-SA"/>
      </w:rPr>
    </w:lvl>
    <w:lvl w:ilvl="3">
      <w:start w:val="0"/>
      <w:numFmt w:val="bullet"/>
      <w:lvlText w:val="•"/>
      <w:lvlJc w:val="left"/>
      <w:pPr>
        <w:ind w:left="5010" w:hanging="361"/>
      </w:pPr>
      <w:rPr>
        <w:rFonts w:hint="default"/>
        <w:lang w:val="en-US" w:eastAsia="en-US" w:bidi="ar-SA"/>
      </w:rPr>
    </w:lvl>
    <w:lvl w:ilvl="4">
      <w:start w:val="0"/>
      <w:numFmt w:val="bullet"/>
      <w:lvlText w:val="•"/>
      <w:lvlJc w:val="left"/>
      <w:pPr>
        <w:ind w:left="5960" w:hanging="361"/>
      </w:pPr>
      <w:rPr>
        <w:rFonts w:hint="default"/>
        <w:lang w:val="en-US" w:eastAsia="en-US" w:bidi="ar-SA"/>
      </w:rPr>
    </w:lvl>
    <w:lvl w:ilvl="5">
      <w:start w:val="0"/>
      <w:numFmt w:val="bullet"/>
      <w:lvlText w:val="•"/>
      <w:lvlJc w:val="left"/>
      <w:pPr>
        <w:ind w:left="6910" w:hanging="361"/>
      </w:pPr>
      <w:rPr>
        <w:rFonts w:hint="default"/>
        <w:lang w:val="en-US" w:eastAsia="en-US" w:bidi="ar-SA"/>
      </w:rPr>
    </w:lvl>
    <w:lvl w:ilvl="6">
      <w:start w:val="0"/>
      <w:numFmt w:val="bullet"/>
      <w:lvlText w:val="•"/>
      <w:lvlJc w:val="left"/>
      <w:pPr>
        <w:ind w:left="7860" w:hanging="361"/>
      </w:pPr>
      <w:rPr>
        <w:rFonts w:hint="default"/>
        <w:lang w:val="en-US" w:eastAsia="en-US" w:bidi="ar-SA"/>
      </w:rPr>
    </w:lvl>
    <w:lvl w:ilvl="7">
      <w:start w:val="0"/>
      <w:numFmt w:val="bullet"/>
      <w:lvlText w:val="•"/>
      <w:lvlJc w:val="left"/>
      <w:pPr>
        <w:ind w:left="8810" w:hanging="361"/>
      </w:pPr>
      <w:rPr>
        <w:rFonts w:hint="default"/>
        <w:lang w:val="en-US" w:eastAsia="en-US" w:bidi="ar-SA"/>
      </w:rPr>
    </w:lvl>
    <w:lvl w:ilvl="8">
      <w:start w:val="0"/>
      <w:numFmt w:val="bullet"/>
      <w:lvlText w:val="•"/>
      <w:lvlJc w:val="left"/>
      <w:pPr>
        <w:ind w:left="9760" w:hanging="361"/>
      </w:pPr>
      <w:rPr>
        <w:rFonts w:hint="default"/>
        <w:lang w:val="en-US" w:eastAsia="en-US" w:bidi="ar-SA"/>
      </w:rPr>
    </w:lvl>
  </w:abstractNum>
  <w:abstractNum w:abstractNumId="5">
    <w:multiLevelType w:val="hybridMultilevel"/>
    <w:lvl w:ilvl="0">
      <w:start w:val="1"/>
      <w:numFmt w:val="lowerLetter"/>
      <w:lvlText w:val="%1)"/>
      <w:lvlJc w:val="left"/>
      <w:pPr>
        <w:ind w:left="2160" w:hanging="361"/>
        <w:jc w:val="left"/>
      </w:pPr>
      <w:rPr>
        <w:rFonts w:hint="default" w:ascii="Arial" w:hAnsi="Arial" w:eastAsia="Arial" w:cs="Arial"/>
        <w:b w:val="0"/>
        <w:bCs w:val="0"/>
        <w:i w:val="0"/>
        <w:iCs w:val="0"/>
        <w:color w:val="231F20"/>
        <w:spacing w:val="-1"/>
        <w:w w:val="100"/>
        <w:sz w:val="20"/>
        <w:szCs w:val="20"/>
        <w:lang w:val="en-US" w:eastAsia="en-US" w:bidi="ar-SA"/>
      </w:rPr>
    </w:lvl>
    <w:lvl w:ilvl="1">
      <w:start w:val="0"/>
      <w:numFmt w:val="bullet"/>
      <w:lvlText w:val="•"/>
      <w:lvlJc w:val="left"/>
      <w:pPr>
        <w:ind w:left="3110" w:hanging="361"/>
      </w:pPr>
      <w:rPr>
        <w:rFonts w:hint="default"/>
        <w:lang w:val="en-US" w:eastAsia="en-US" w:bidi="ar-SA"/>
      </w:rPr>
    </w:lvl>
    <w:lvl w:ilvl="2">
      <w:start w:val="0"/>
      <w:numFmt w:val="bullet"/>
      <w:lvlText w:val="•"/>
      <w:lvlJc w:val="left"/>
      <w:pPr>
        <w:ind w:left="4060" w:hanging="361"/>
      </w:pPr>
      <w:rPr>
        <w:rFonts w:hint="default"/>
        <w:lang w:val="en-US" w:eastAsia="en-US" w:bidi="ar-SA"/>
      </w:rPr>
    </w:lvl>
    <w:lvl w:ilvl="3">
      <w:start w:val="0"/>
      <w:numFmt w:val="bullet"/>
      <w:lvlText w:val="•"/>
      <w:lvlJc w:val="left"/>
      <w:pPr>
        <w:ind w:left="5010" w:hanging="361"/>
      </w:pPr>
      <w:rPr>
        <w:rFonts w:hint="default"/>
        <w:lang w:val="en-US" w:eastAsia="en-US" w:bidi="ar-SA"/>
      </w:rPr>
    </w:lvl>
    <w:lvl w:ilvl="4">
      <w:start w:val="0"/>
      <w:numFmt w:val="bullet"/>
      <w:lvlText w:val="•"/>
      <w:lvlJc w:val="left"/>
      <w:pPr>
        <w:ind w:left="5960" w:hanging="361"/>
      </w:pPr>
      <w:rPr>
        <w:rFonts w:hint="default"/>
        <w:lang w:val="en-US" w:eastAsia="en-US" w:bidi="ar-SA"/>
      </w:rPr>
    </w:lvl>
    <w:lvl w:ilvl="5">
      <w:start w:val="0"/>
      <w:numFmt w:val="bullet"/>
      <w:lvlText w:val="•"/>
      <w:lvlJc w:val="left"/>
      <w:pPr>
        <w:ind w:left="6910" w:hanging="361"/>
      </w:pPr>
      <w:rPr>
        <w:rFonts w:hint="default"/>
        <w:lang w:val="en-US" w:eastAsia="en-US" w:bidi="ar-SA"/>
      </w:rPr>
    </w:lvl>
    <w:lvl w:ilvl="6">
      <w:start w:val="0"/>
      <w:numFmt w:val="bullet"/>
      <w:lvlText w:val="•"/>
      <w:lvlJc w:val="left"/>
      <w:pPr>
        <w:ind w:left="7860" w:hanging="361"/>
      </w:pPr>
      <w:rPr>
        <w:rFonts w:hint="default"/>
        <w:lang w:val="en-US" w:eastAsia="en-US" w:bidi="ar-SA"/>
      </w:rPr>
    </w:lvl>
    <w:lvl w:ilvl="7">
      <w:start w:val="0"/>
      <w:numFmt w:val="bullet"/>
      <w:lvlText w:val="•"/>
      <w:lvlJc w:val="left"/>
      <w:pPr>
        <w:ind w:left="8810" w:hanging="361"/>
      </w:pPr>
      <w:rPr>
        <w:rFonts w:hint="default"/>
        <w:lang w:val="en-US" w:eastAsia="en-US" w:bidi="ar-SA"/>
      </w:rPr>
    </w:lvl>
    <w:lvl w:ilvl="8">
      <w:start w:val="0"/>
      <w:numFmt w:val="bullet"/>
      <w:lvlText w:val="•"/>
      <w:lvlJc w:val="left"/>
      <w:pPr>
        <w:ind w:left="9760" w:hanging="361"/>
      </w:pPr>
      <w:rPr>
        <w:rFonts w:hint="default"/>
        <w:lang w:val="en-US" w:eastAsia="en-US" w:bidi="ar-SA"/>
      </w:rPr>
    </w:lvl>
  </w:abstractNum>
  <w:abstractNum w:abstractNumId="4">
    <w:multiLevelType w:val="hybridMultilevel"/>
    <w:lvl w:ilvl="0">
      <w:start w:val="1"/>
      <w:numFmt w:val="upperLetter"/>
      <w:lvlText w:val="(%1)"/>
      <w:lvlJc w:val="left"/>
      <w:pPr>
        <w:ind w:left="1773" w:hanging="334"/>
        <w:jc w:val="left"/>
      </w:pPr>
      <w:rPr>
        <w:rFonts w:hint="default" w:ascii="Arial" w:hAnsi="Arial" w:eastAsia="Arial" w:cs="Arial"/>
        <w:b/>
        <w:bCs/>
        <w:i w:val="0"/>
        <w:iCs w:val="0"/>
        <w:color w:val="231F20"/>
        <w:w w:val="100"/>
        <w:sz w:val="20"/>
        <w:szCs w:val="20"/>
        <w:lang w:val="en-US" w:eastAsia="en-US" w:bidi="ar-SA"/>
      </w:rPr>
    </w:lvl>
    <w:lvl w:ilvl="1">
      <w:start w:val="0"/>
      <w:numFmt w:val="bullet"/>
      <w:lvlText w:val=""/>
      <w:lvlJc w:val="left"/>
      <w:pPr>
        <w:ind w:left="2159" w:hanging="361"/>
      </w:pPr>
      <w:rPr>
        <w:rFonts w:hint="default" w:ascii="Symbol" w:hAnsi="Symbol" w:eastAsia="Symbol" w:cs="Symbol"/>
        <w:b w:val="0"/>
        <w:bCs w:val="0"/>
        <w:i w:val="0"/>
        <w:iCs w:val="0"/>
        <w:color w:val="231F20"/>
        <w:w w:val="100"/>
        <w:sz w:val="20"/>
        <w:szCs w:val="20"/>
        <w:lang w:val="en-US" w:eastAsia="en-US" w:bidi="ar-SA"/>
      </w:rPr>
    </w:lvl>
    <w:lvl w:ilvl="2">
      <w:start w:val="0"/>
      <w:numFmt w:val="bullet"/>
      <w:lvlText w:val="•"/>
      <w:lvlJc w:val="left"/>
      <w:pPr>
        <w:ind w:left="3215" w:hanging="361"/>
      </w:pPr>
      <w:rPr>
        <w:rFonts w:hint="default"/>
        <w:lang w:val="en-US" w:eastAsia="en-US" w:bidi="ar-SA"/>
      </w:rPr>
    </w:lvl>
    <w:lvl w:ilvl="3">
      <w:start w:val="0"/>
      <w:numFmt w:val="bullet"/>
      <w:lvlText w:val="•"/>
      <w:lvlJc w:val="left"/>
      <w:pPr>
        <w:ind w:left="4271" w:hanging="361"/>
      </w:pPr>
      <w:rPr>
        <w:rFonts w:hint="default"/>
        <w:lang w:val="en-US" w:eastAsia="en-US" w:bidi="ar-SA"/>
      </w:rPr>
    </w:lvl>
    <w:lvl w:ilvl="4">
      <w:start w:val="0"/>
      <w:numFmt w:val="bullet"/>
      <w:lvlText w:val="•"/>
      <w:lvlJc w:val="left"/>
      <w:pPr>
        <w:ind w:left="5326" w:hanging="361"/>
      </w:pPr>
      <w:rPr>
        <w:rFonts w:hint="default"/>
        <w:lang w:val="en-US" w:eastAsia="en-US" w:bidi="ar-SA"/>
      </w:rPr>
    </w:lvl>
    <w:lvl w:ilvl="5">
      <w:start w:val="0"/>
      <w:numFmt w:val="bullet"/>
      <w:lvlText w:val="•"/>
      <w:lvlJc w:val="left"/>
      <w:pPr>
        <w:ind w:left="6382" w:hanging="361"/>
      </w:pPr>
      <w:rPr>
        <w:rFonts w:hint="default"/>
        <w:lang w:val="en-US" w:eastAsia="en-US" w:bidi="ar-SA"/>
      </w:rPr>
    </w:lvl>
    <w:lvl w:ilvl="6">
      <w:start w:val="0"/>
      <w:numFmt w:val="bullet"/>
      <w:lvlText w:val="•"/>
      <w:lvlJc w:val="left"/>
      <w:pPr>
        <w:ind w:left="7437" w:hanging="361"/>
      </w:pPr>
      <w:rPr>
        <w:rFonts w:hint="default"/>
        <w:lang w:val="en-US" w:eastAsia="en-US" w:bidi="ar-SA"/>
      </w:rPr>
    </w:lvl>
    <w:lvl w:ilvl="7">
      <w:start w:val="0"/>
      <w:numFmt w:val="bullet"/>
      <w:lvlText w:val="•"/>
      <w:lvlJc w:val="left"/>
      <w:pPr>
        <w:ind w:left="8493" w:hanging="361"/>
      </w:pPr>
      <w:rPr>
        <w:rFonts w:hint="default"/>
        <w:lang w:val="en-US" w:eastAsia="en-US" w:bidi="ar-SA"/>
      </w:rPr>
    </w:lvl>
    <w:lvl w:ilvl="8">
      <w:start w:val="0"/>
      <w:numFmt w:val="bullet"/>
      <w:lvlText w:val="•"/>
      <w:lvlJc w:val="left"/>
      <w:pPr>
        <w:ind w:left="9548" w:hanging="361"/>
      </w:pPr>
      <w:rPr>
        <w:rFonts w:hint="default"/>
        <w:lang w:val="en-US" w:eastAsia="en-US" w:bidi="ar-SA"/>
      </w:rPr>
    </w:lvl>
  </w:abstractNum>
  <w:abstractNum w:abstractNumId="3">
    <w:multiLevelType w:val="hybridMultilevel"/>
    <w:lvl w:ilvl="0">
      <w:start w:val="0"/>
      <w:numFmt w:val="bullet"/>
      <w:lvlText w:val=""/>
      <w:lvlJc w:val="left"/>
      <w:pPr>
        <w:ind w:left="1800" w:hanging="361"/>
      </w:pPr>
      <w:rPr>
        <w:rFonts w:hint="default" w:ascii="Symbol" w:hAnsi="Symbol" w:eastAsia="Symbol" w:cs="Symbol"/>
        <w:b w:val="0"/>
        <w:bCs w:val="0"/>
        <w:i w:val="0"/>
        <w:iCs w:val="0"/>
        <w:color w:val="231F20"/>
        <w:w w:val="100"/>
        <w:sz w:val="20"/>
        <w:szCs w:val="20"/>
        <w:lang w:val="en-US" w:eastAsia="en-US" w:bidi="ar-SA"/>
      </w:rPr>
    </w:lvl>
    <w:lvl w:ilvl="1">
      <w:start w:val="0"/>
      <w:numFmt w:val="bullet"/>
      <w:lvlText w:val="•"/>
      <w:lvlJc w:val="left"/>
      <w:pPr>
        <w:ind w:left="2786" w:hanging="361"/>
      </w:pPr>
      <w:rPr>
        <w:rFonts w:hint="default"/>
        <w:lang w:val="en-US" w:eastAsia="en-US" w:bidi="ar-SA"/>
      </w:rPr>
    </w:lvl>
    <w:lvl w:ilvl="2">
      <w:start w:val="0"/>
      <w:numFmt w:val="bullet"/>
      <w:lvlText w:val="•"/>
      <w:lvlJc w:val="left"/>
      <w:pPr>
        <w:ind w:left="3772" w:hanging="361"/>
      </w:pPr>
      <w:rPr>
        <w:rFonts w:hint="default"/>
        <w:lang w:val="en-US" w:eastAsia="en-US" w:bidi="ar-SA"/>
      </w:rPr>
    </w:lvl>
    <w:lvl w:ilvl="3">
      <w:start w:val="0"/>
      <w:numFmt w:val="bullet"/>
      <w:lvlText w:val="•"/>
      <w:lvlJc w:val="left"/>
      <w:pPr>
        <w:ind w:left="4758" w:hanging="361"/>
      </w:pPr>
      <w:rPr>
        <w:rFonts w:hint="default"/>
        <w:lang w:val="en-US" w:eastAsia="en-US" w:bidi="ar-SA"/>
      </w:rPr>
    </w:lvl>
    <w:lvl w:ilvl="4">
      <w:start w:val="0"/>
      <w:numFmt w:val="bullet"/>
      <w:lvlText w:val="•"/>
      <w:lvlJc w:val="left"/>
      <w:pPr>
        <w:ind w:left="5744" w:hanging="361"/>
      </w:pPr>
      <w:rPr>
        <w:rFonts w:hint="default"/>
        <w:lang w:val="en-US" w:eastAsia="en-US" w:bidi="ar-SA"/>
      </w:rPr>
    </w:lvl>
    <w:lvl w:ilvl="5">
      <w:start w:val="0"/>
      <w:numFmt w:val="bullet"/>
      <w:lvlText w:val="•"/>
      <w:lvlJc w:val="left"/>
      <w:pPr>
        <w:ind w:left="6730" w:hanging="361"/>
      </w:pPr>
      <w:rPr>
        <w:rFonts w:hint="default"/>
        <w:lang w:val="en-US" w:eastAsia="en-US" w:bidi="ar-SA"/>
      </w:rPr>
    </w:lvl>
    <w:lvl w:ilvl="6">
      <w:start w:val="0"/>
      <w:numFmt w:val="bullet"/>
      <w:lvlText w:val="•"/>
      <w:lvlJc w:val="left"/>
      <w:pPr>
        <w:ind w:left="7716" w:hanging="361"/>
      </w:pPr>
      <w:rPr>
        <w:rFonts w:hint="default"/>
        <w:lang w:val="en-US" w:eastAsia="en-US" w:bidi="ar-SA"/>
      </w:rPr>
    </w:lvl>
    <w:lvl w:ilvl="7">
      <w:start w:val="0"/>
      <w:numFmt w:val="bullet"/>
      <w:lvlText w:val="•"/>
      <w:lvlJc w:val="left"/>
      <w:pPr>
        <w:ind w:left="8702" w:hanging="361"/>
      </w:pPr>
      <w:rPr>
        <w:rFonts w:hint="default"/>
        <w:lang w:val="en-US" w:eastAsia="en-US" w:bidi="ar-SA"/>
      </w:rPr>
    </w:lvl>
    <w:lvl w:ilvl="8">
      <w:start w:val="0"/>
      <w:numFmt w:val="bullet"/>
      <w:lvlText w:val="•"/>
      <w:lvlJc w:val="left"/>
      <w:pPr>
        <w:ind w:left="9688" w:hanging="361"/>
      </w:pPr>
      <w:rPr>
        <w:rFonts w:hint="default"/>
        <w:lang w:val="en-US" w:eastAsia="en-US" w:bidi="ar-SA"/>
      </w:rPr>
    </w:lvl>
  </w:abstractNum>
  <w:abstractNum w:abstractNumId="2">
    <w:multiLevelType w:val="hybridMultilevel"/>
    <w:lvl w:ilvl="0">
      <w:start w:val="0"/>
      <w:numFmt w:val="bullet"/>
      <w:lvlText w:val=""/>
      <w:lvlJc w:val="left"/>
      <w:pPr>
        <w:ind w:left="2159" w:hanging="361"/>
      </w:pPr>
      <w:rPr>
        <w:rFonts w:hint="default" w:ascii="Symbol" w:hAnsi="Symbol" w:eastAsia="Symbol" w:cs="Symbol"/>
        <w:b w:val="0"/>
        <w:bCs w:val="0"/>
        <w:i w:val="0"/>
        <w:iCs w:val="0"/>
        <w:color w:val="231F20"/>
        <w:w w:val="100"/>
        <w:sz w:val="20"/>
        <w:szCs w:val="20"/>
        <w:lang w:val="en-US" w:eastAsia="en-US" w:bidi="ar-SA"/>
      </w:rPr>
    </w:lvl>
    <w:lvl w:ilvl="1">
      <w:start w:val="0"/>
      <w:numFmt w:val="bullet"/>
      <w:lvlText w:val="•"/>
      <w:lvlJc w:val="left"/>
      <w:pPr>
        <w:ind w:left="3110" w:hanging="361"/>
      </w:pPr>
      <w:rPr>
        <w:rFonts w:hint="default"/>
        <w:lang w:val="en-US" w:eastAsia="en-US" w:bidi="ar-SA"/>
      </w:rPr>
    </w:lvl>
    <w:lvl w:ilvl="2">
      <w:start w:val="0"/>
      <w:numFmt w:val="bullet"/>
      <w:lvlText w:val="•"/>
      <w:lvlJc w:val="left"/>
      <w:pPr>
        <w:ind w:left="4060" w:hanging="361"/>
      </w:pPr>
      <w:rPr>
        <w:rFonts w:hint="default"/>
        <w:lang w:val="en-US" w:eastAsia="en-US" w:bidi="ar-SA"/>
      </w:rPr>
    </w:lvl>
    <w:lvl w:ilvl="3">
      <w:start w:val="0"/>
      <w:numFmt w:val="bullet"/>
      <w:lvlText w:val="•"/>
      <w:lvlJc w:val="left"/>
      <w:pPr>
        <w:ind w:left="5010" w:hanging="361"/>
      </w:pPr>
      <w:rPr>
        <w:rFonts w:hint="default"/>
        <w:lang w:val="en-US" w:eastAsia="en-US" w:bidi="ar-SA"/>
      </w:rPr>
    </w:lvl>
    <w:lvl w:ilvl="4">
      <w:start w:val="0"/>
      <w:numFmt w:val="bullet"/>
      <w:lvlText w:val="•"/>
      <w:lvlJc w:val="left"/>
      <w:pPr>
        <w:ind w:left="5960" w:hanging="361"/>
      </w:pPr>
      <w:rPr>
        <w:rFonts w:hint="default"/>
        <w:lang w:val="en-US" w:eastAsia="en-US" w:bidi="ar-SA"/>
      </w:rPr>
    </w:lvl>
    <w:lvl w:ilvl="5">
      <w:start w:val="0"/>
      <w:numFmt w:val="bullet"/>
      <w:lvlText w:val="•"/>
      <w:lvlJc w:val="left"/>
      <w:pPr>
        <w:ind w:left="6910" w:hanging="361"/>
      </w:pPr>
      <w:rPr>
        <w:rFonts w:hint="default"/>
        <w:lang w:val="en-US" w:eastAsia="en-US" w:bidi="ar-SA"/>
      </w:rPr>
    </w:lvl>
    <w:lvl w:ilvl="6">
      <w:start w:val="0"/>
      <w:numFmt w:val="bullet"/>
      <w:lvlText w:val="•"/>
      <w:lvlJc w:val="left"/>
      <w:pPr>
        <w:ind w:left="7860" w:hanging="361"/>
      </w:pPr>
      <w:rPr>
        <w:rFonts w:hint="default"/>
        <w:lang w:val="en-US" w:eastAsia="en-US" w:bidi="ar-SA"/>
      </w:rPr>
    </w:lvl>
    <w:lvl w:ilvl="7">
      <w:start w:val="0"/>
      <w:numFmt w:val="bullet"/>
      <w:lvlText w:val="•"/>
      <w:lvlJc w:val="left"/>
      <w:pPr>
        <w:ind w:left="8810" w:hanging="361"/>
      </w:pPr>
      <w:rPr>
        <w:rFonts w:hint="default"/>
        <w:lang w:val="en-US" w:eastAsia="en-US" w:bidi="ar-SA"/>
      </w:rPr>
    </w:lvl>
    <w:lvl w:ilvl="8">
      <w:start w:val="0"/>
      <w:numFmt w:val="bullet"/>
      <w:lvlText w:val="•"/>
      <w:lvlJc w:val="left"/>
      <w:pPr>
        <w:ind w:left="9760" w:hanging="361"/>
      </w:pPr>
      <w:rPr>
        <w:rFonts w:hint="default"/>
        <w:lang w:val="en-US" w:eastAsia="en-US" w:bidi="ar-SA"/>
      </w:rPr>
    </w:lvl>
  </w:abstractNum>
  <w:abstractNum w:abstractNumId="1">
    <w:multiLevelType w:val="hybridMultilevel"/>
    <w:lvl w:ilvl="0">
      <w:start w:val="0"/>
      <w:numFmt w:val="bullet"/>
      <w:lvlText w:val=""/>
      <w:lvlJc w:val="left"/>
      <w:pPr>
        <w:ind w:left="1979" w:hanging="360"/>
      </w:pPr>
      <w:rPr>
        <w:rFonts w:hint="default" w:ascii="Symbol" w:hAnsi="Symbol" w:eastAsia="Symbol" w:cs="Symbol"/>
        <w:b w:val="0"/>
        <w:bCs w:val="0"/>
        <w:i w:val="0"/>
        <w:iCs w:val="0"/>
        <w:color w:val="004F50"/>
        <w:w w:val="100"/>
        <w:sz w:val="20"/>
        <w:szCs w:val="20"/>
        <w:lang w:val="en-US" w:eastAsia="en-US" w:bidi="ar-SA"/>
      </w:rPr>
    </w:lvl>
    <w:lvl w:ilvl="1">
      <w:start w:val="0"/>
      <w:numFmt w:val="bullet"/>
      <w:lvlText w:val="•"/>
      <w:lvlJc w:val="left"/>
      <w:pPr>
        <w:ind w:left="2948" w:hanging="360"/>
      </w:pPr>
      <w:rPr>
        <w:rFonts w:hint="default"/>
        <w:lang w:val="en-US" w:eastAsia="en-US" w:bidi="ar-SA"/>
      </w:rPr>
    </w:lvl>
    <w:lvl w:ilvl="2">
      <w:start w:val="0"/>
      <w:numFmt w:val="bullet"/>
      <w:lvlText w:val="•"/>
      <w:lvlJc w:val="left"/>
      <w:pPr>
        <w:ind w:left="3916" w:hanging="360"/>
      </w:pPr>
      <w:rPr>
        <w:rFonts w:hint="default"/>
        <w:lang w:val="en-US" w:eastAsia="en-US" w:bidi="ar-SA"/>
      </w:rPr>
    </w:lvl>
    <w:lvl w:ilvl="3">
      <w:start w:val="0"/>
      <w:numFmt w:val="bullet"/>
      <w:lvlText w:val="•"/>
      <w:lvlJc w:val="left"/>
      <w:pPr>
        <w:ind w:left="4884" w:hanging="360"/>
      </w:pPr>
      <w:rPr>
        <w:rFonts w:hint="default"/>
        <w:lang w:val="en-US" w:eastAsia="en-US" w:bidi="ar-SA"/>
      </w:rPr>
    </w:lvl>
    <w:lvl w:ilvl="4">
      <w:start w:val="0"/>
      <w:numFmt w:val="bullet"/>
      <w:lvlText w:val="•"/>
      <w:lvlJc w:val="left"/>
      <w:pPr>
        <w:ind w:left="5852" w:hanging="360"/>
      </w:pPr>
      <w:rPr>
        <w:rFonts w:hint="default"/>
        <w:lang w:val="en-US" w:eastAsia="en-US" w:bidi="ar-SA"/>
      </w:rPr>
    </w:lvl>
    <w:lvl w:ilvl="5">
      <w:start w:val="0"/>
      <w:numFmt w:val="bullet"/>
      <w:lvlText w:val="•"/>
      <w:lvlJc w:val="left"/>
      <w:pPr>
        <w:ind w:left="6820" w:hanging="360"/>
      </w:pPr>
      <w:rPr>
        <w:rFonts w:hint="default"/>
        <w:lang w:val="en-US" w:eastAsia="en-US" w:bidi="ar-SA"/>
      </w:rPr>
    </w:lvl>
    <w:lvl w:ilvl="6">
      <w:start w:val="0"/>
      <w:numFmt w:val="bullet"/>
      <w:lvlText w:val="•"/>
      <w:lvlJc w:val="left"/>
      <w:pPr>
        <w:ind w:left="7788" w:hanging="360"/>
      </w:pPr>
      <w:rPr>
        <w:rFonts w:hint="default"/>
        <w:lang w:val="en-US" w:eastAsia="en-US" w:bidi="ar-SA"/>
      </w:rPr>
    </w:lvl>
    <w:lvl w:ilvl="7">
      <w:start w:val="0"/>
      <w:numFmt w:val="bullet"/>
      <w:lvlText w:val="•"/>
      <w:lvlJc w:val="left"/>
      <w:pPr>
        <w:ind w:left="8756" w:hanging="360"/>
      </w:pPr>
      <w:rPr>
        <w:rFonts w:hint="default"/>
        <w:lang w:val="en-US" w:eastAsia="en-US" w:bidi="ar-SA"/>
      </w:rPr>
    </w:lvl>
    <w:lvl w:ilvl="8">
      <w:start w:val="0"/>
      <w:numFmt w:val="bullet"/>
      <w:lvlText w:val="•"/>
      <w:lvlJc w:val="left"/>
      <w:pPr>
        <w:ind w:left="9724" w:hanging="360"/>
      </w:pPr>
      <w:rPr>
        <w:rFonts w:hint="default"/>
        <w:lang w:val="en-US" w:eastAsia="en-US" w:bidi="ar-SA"/>
      </w:rPr>
    </w:lvl>
  </w:abstractNum>
  <w:abstractNum w:abstractNumId="0">
    <w:multiLevelType w:val="hybridMultilevel"/>
    <w:lvl w:ilvl="0">
      <w:start w:val="0"/>
      <w:numFmt w:val="bullet"/>
      <w:lvlText w:val="•"/>
      <w:lvlJc w:val="left"/>
      <w:pPr>
        <w:ind w:left="795" w:hanging="266"/>
      </w:pPr>
      <w:rPr>
        <w:rFonts w:hint="default" w:ascii="Times New Roman" w:hAnsi="Times New Roman" w:eastAsia="Times New Roman" w:cs="Times New Roman"/>
        <w:b w:val="0"/>
        <w:bCs w:val="0"/>
        <w:i w:val="0"/>
        <w:iCs w:val="0"/>
        <w:color w:val="546754"/>
        <w:w w:val="60"/>
        <w:sz w:val="9"/>
        <w:szCs w:val="9"/>
        <w:lang w:val="en-US" w:eastAsia="en-US" w:bidi="ar-SA"/>
      </w:rPr>
    </w:lvl>
    <w:lvl w:ilvl="1">
      <w:start w:val="0"/>
      <w:numFmt w:val="bullet"/>
      <w:lvlText w:val="•"/>
      <w:lvlJc w:val="left"/>
      <w:pPr>
        <w:ind w:left="1600" w:hanging="266"/>
      </w:pPr>
      <w:rPr>
        <w:rFonts w:hint="default"/>
        <w:lang w:val="en-US" w:eastAsia="en-US" w:bidi="ar-SA"/>
      </w:rPr>
    </w:lvl>
    <w:lvl w:ilvl="2">
      <w:start w:val="0"/>
      <w:numFmt w:val="bullet"/>
      <w:lvlText w:val="•"/>
      <w:lvlJc w:val="left"/>
      <w:pPr>
        <w:ind w:left="2401" w:hanging="266"/>
      </w:pPr>
      <w:rPr>
        <w:rFonts w:hint="default"/>
        <w:lang w:val="en-US" w:eastAsia="en-US" w:bidi="ar-SA"/>
      </w:rPr>
    </w:lvl>
    <w:lvl w:ilvl="3">
      <w:start w:val="0"/>
      <w:numFmt w:val="bullet"/>
      <w:lvlText w:val="•"/>
      <w:lvlJc w:val="left"/>
      <w:pPr>
        <w:ind w:left="3202" w:hanging="266"/>
      </w:pPr>
      <w:rPr>
        <w:rFonts w:hint="default"/>
        <w:lang w:val="en-US" w:eastAsia="en-US" w:bidi="ar-SA"/>
      </w:rPr>
    </w:lvl>
    <w:lvl w:ilvl="4">
      <w:start w:val="0"/>
      <w:numFmt w:val="bullet"/>
      <w:lvlText w:val="•"/>
      <w:lvlJc w:val="left"/>
      <w:pPr>
        <w:ind w:left="4003" w:hanging="266"/>
      </w:pPr>
      <w:rPr>
        <w:rFonts w:hint="default"/>
        <w:lang w:val="en-US" w:eastAsia="en-US" w:bidi="ar-SA"/>
      </w:rPr>
    </w:lvl>
    <w:lvl w:ilvl="5">
      <w:start w:val="0"/>
      <w:numFmt w:val="bullet"/>
      <w:lvlText w:val="•"/>
      <w:lvlJc w:val="left"/>
      <w:pPr>
        <w:ind w:left="4804" w:hanging="266"/>
      </w:pPr>
      <w:rPr>
        <w:rFonts w:hint="default"/>
        <w:lang w:val="en-US" w:eastAsia="en-US" w:bidi="ar-SA"/>
      </w:rPr>
    </w:lvl>
    <w:lvl w:ilvl="6">
      <w:start w:val="0"/>
      <w:numFmt w:val="bullet"/>
      <w:lvlText w:val="•"/>
      <w:lvlJc w:val="left"/>
      <w:pPr>
        <w:ind w:left="5605" w:hanging="266"/>
      </w:pPr>
      <w:rPr>
        <w:rFonts w:hint="default"/>
        <w:lang w:val="en-US" w:eastAsia="en-US" w:bidi="ar-SA"/>
      </w:rPr>
    </w:lvl>
    <w:lvl w:ilvl="7">
      <w:start w:val="0"/>
      <w:numFmt w:val="bullet"/>
      <w:lvlText w:val="•"/>
      <w:lvlJc w:val="left"/>
      <w:pPr>
        <w:ind w:left="6406" w:hanging="266"/>
      </w:pPr>
      <w:rPr>
        <w:rFonts w:hint="default"/>
        <w:lang w:val="en-US" w:eastAsia="en-US" w:bidi="ar-SA"/>
      </w:rPr>
    </w:lvl>
    <w:lvl w:ilvl="8">
      <w:start w:val="0"/>
      <w:numFmt w:val="bullet"/>
      <w:lvlText w:val="•"/>
      <w:lvlJc w:val="left"/>
      <w:pPr>
        <w:ind w:left="7207" w:hanging="266"/>
      </w:pPr>
      <w:rPr>
        <w:rFonts w:hint="default"/>
        <w:lang w:val="en-US" w:eastAsia="en-US" w:bidi="ar-SA"/>
      </w:rPr>
    </w:lvl>
  </w:abstractNum>
  <w:num w:numId="13">
    <w:abstractNumId w:val="12"/>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98"/>
      <w:ind w:left="1440"/>
    </w:pPr>
    <w:rPr>
      <w:rFonts w:ascii="Arial" w:hAnsi="Arial" w:eastAsia="Arial" w:cs="Arial"/>
      <w:b/>
      <w:bCs/>
      <w:sz w:val="20"/>
      <w:szCs w:val="20"/>
      <w:lang w:val="en-US" w:eastAsia="en-US" w:bidi="ar-SA"/>
    </w:rPr>
  </w:style>
  <w:style w:styleId="TOC2" w:type="paragraph">
    <w:name w:val="TOC 2"/>
    <w:basedOn w:val="Normal"/>
    <w:uiPriority w:val="1"/>
    <w:qFormat/>
    <w:pPr>
      <w:spacing w:before="34"/>
      <w:ind w:left="1728"/>
    </w:pPr>
    <w:rPr>
      <w:rFonts w:ascii="Arial" w:hAnsi="Arial" w:eastAsia="Arial" w:cs="Arial"/>
      <w:sz w:val="20"/>
      <w:szCs w:val="20"/>
      <w:lang w:val="en-US" w:eastAsia="en-US" w:bidi="ar-SA"/>
    </w:rPr>
  </w:style>
  <w:style w:styleId="TOC3" w:type="paragraph">
    <w:name w:val="TOC 3"/>
    <w:basedOn w:val="Normal"/>
    <w:uiPriority w:val="1"/>
    <w:qFormat/>
    <w:pPr>
      <w:spacing w:before="34"/>
      <w:ind w:left="2016"/>
    </w:pPr>
    <w:rPr>
      <w:rFonts w:ascii="Arial" w:hAnsi="Arial" w:eastAsia="Arial" w:cs="Arial"/>
      <w:sz w:val="20"/>
      <w:szCs w:val="20"/>
      <w:lang w:val="en-US" w:eastAsia="en-US" w:bidi="ar-SA"/>
    </w:rPr>
  </w:style>
  <w:style w:styleId="TOC4" w:type="paragraph">
    <w:name w:val="TOC 4"/>
    <w:basedOn w:val="Normal"/>
    <w:uiPriority w:val="1"/>
    <w:qFormat/>
    <w:pPr>
      <w:spacing w:before="35"/>
      <w:ind w:left="2071"/>
    </w:pPr>
    <w:rPr>
      <w:rFonts w:ascii="Arial" w:hAnsi="Arial" w:eastAsia="Arial" w:cs="Arial"/>
      <w:sz w:val="20"/>
      <w:szCs w:val="20"/>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90"/>
      <w:ind w:left="579"/>
      <w:jc w:val="center"/>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spacing w:before="10"/>
      <w:ind w:left="20"/>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spacing w:before="1"/>
      <w:jc w:val="center"/>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ind w:left="1440"/>
      <w:outlineLvl w:val="4"/>
    </w:pPr>
    <w:rPr>
      <w:rFonts w:ascii="Arial" w:hAnsi="Arial" w:eastAsia="Arial" w:cs="Arial"/>
      <w:b/>
      <w:bCs/>
      <w:sz w:val="20"/>
      <w:szCs w:val="20"/>
      <w:lang w:val="en-US" w:eastAsia="en-US" w:bidi="ar-SA"/>
    </w:rPr>
  </w:style>
  <w:style w:styleId="Title" w:type="paragraph">
    <w:name w:val="Title"/>
    <w:basedOn w:val="Normal"/>
    <w:uiPriority w:val="1"/>
    <w:qFormat/>
    <w:pPr>
      <w:spacing w:before="102"/>
      <w:ind w:left="4551"/>
    </w:pPr>
    <w:rPr>
      <w:rFonts w:ascii="Times New Roman" w:hAnsi="Times New Roman" w:eastAsia="Times New Roman" w:cs="Times New Roman"/>
      <w:sz w:val="43"/>
      <w:szCs w:val="43"/>
      <w:lang w:val="en-US" w:eastAsia="en-US" w:bidi="ar-SA"/>
    </w:rPr>
  </w:style>
  <w:style w:styleId="ListParagraph" w:type="paragraph">
    <w:name w:val="List Paragraph"/>
    <w:basedOn w:val="Normal"/>
    <w:uiPriority w:val="1"/>
    <w:qFormat/>
    <w:pPr>
      <w:ind w:left="2160" w:hanging="361"/>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header" Target="header1.xml"/><Relationship Id="rId22" Type="http://schemas.openxmlformats.org/officeDocument/2006/relationships/footer" Target="footer3.xml"/><Relationship Id="rId23" Type="http://schemas.openxmlformats.org/officeDocument/2006/relationships/header" Target="header2.xml"/><Relationship Id="rId24" Type="http://schemas.openxmlformats.org/officeDocument/2006/relationships/footer" Target="footer4.xm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header" Target="header3.xml"/><Relationship Id="rId36" Type="http://schemas.openxmlformats.org/officeDocument/2006/relationships/footer" Target="footer5.xml"/><Relationship Id="rId37" Type="http://schemas.openxmlformats.org/officeDocument/2006/relationships/header" Target="header4.xml"/><Relationship Id="rId38" Type="http://schemas.openxmlformats.org/officeDocument/2006/relationships/footer" Target="footer6.xml"/><Relationship Id="rId39" Type="http://schemas.openxmlformats.org/officeDocument/2006/relationships/header" Target="header5.xml"/><Relationship Id="rId40" Type="http://schemas.openxmlformats.org/officeDocument/2006/relationships/footer" Target="footer7.xml"/><Relationship Id="rId41" Type="http://schemas.openxmlformats.org/officeDocument/2006/relationships/header" Target="header6.xml"/><Relationship Id="rId42" Type="http://schemas.openxmlformats.org/officeDocument/2006/relationships/footer" Target="footer8.xml"/><Relationship Id="rId43" Type="http://schemas.openxmlformats.org/officeDocument/2006/relationships/header" Target="header7.xml"/><Relationship Id="rId44" Type="http://schemas.openxmlformats.org/officeDocument/2006/relationships/footer" Target="footer9.xml"/><Relationship Id="rId45" Type="http://schemas.openxmlformats.org/officeDocument/2006/relationships/hyperlink" Target="http://www.saonm.org/" TargetMode="External"/><Relationship Id="rId46" Type="http://schemas.openxmlformats.org/officeDocument/2006/relationships/hyperlink" Target="http://www.nmerb.org/Annual_reports.html" TargetMode="External"/><Relationship Id="rId47" Type="http://schemas.openxmlformats.org/officeDocument/2006/relationships/hyperlink" Target="http://www.sic.state.nm.us/" TargetMode="External"/><Relationship Id="rId48" Type="http://schemas.openxmlformats.org/officeDocument/2006/relationships/header" Target="header8.xml"/><Relationship Id="rId49" Type="http://schemas.openxmlformats.org/officeDocument/2006/relationships/footer" Target="footer10.xml"/><Relationship Id="rId50" Type="http://schemas.openxmlformats.org/officeDocument/2006/relationships/header" Target="header9.xml"/><Relationship Id="rId51" Type="http://schemas.openxmlformats.org/officeDocument/2006/relationships/footer" Target="footer11.xml"/><Relationship Id="rId52" Type="http://schemas.openxmlformats.org/officeDocument/2006/relationships/header" Target="header10.xml"/><Relationship Id="rId53" Type="http://schemas.openxmlformats.org/officeDocument/2006/relationships/footer" Target="footer12.xml"/><Relationship Id="rId54" Type="http://schemas.openxmlformats.org/officeDocument/2006/relationships/header" Target="header11.xml"/><Relationship Id="rId55" Type="http://schemas.openxmlformats.org/officeDocument/2006/relationships/footer" Target="footer13.xml"/><Relationship Id="rId56" Type="http://schemas.openxmlformats.org/officeDocument/2006/relationships/header" Target="header12.xml"/><Relationship Id="rId57" Type="http://schemas.openxmlformats.org/officeDocument/2006/relationships/footer" Target="footer14.xml"/><Relationship Id="rId58" Type="http://schemas.openxmlformats.org/officeDocument/2006/relationships/header" Target="header13.xml"/><Relationship Id="rId59" Type="http://schemas.openxmlformats.org/officeDocument/2006/relationships/footer" Target="footer15.xml"/><Relationship Id="rId60" Type="http://schemas.openxmlformats.org/officeDocument/2006/relationships/header" Target="header14.xml"/><Relationship Id="rId61" Type="http://schemas.openxmlformats.org/officeDocument/2006/relationships/footer" Target="footer16.xml"/><Relationship Id="rId62" Type="http://schemas.openxmlformats.org/officeDocument/2006/relationships/header" Target="header15.xml"/><Relationship Id="rId63" Type="http://schemas.openxmlformats.org/officeDocument/2006/relationships/footer" Target="footer17.xml"/><Relationship Id="rId64" Type="http://schemas.openxmlformats.org/officeDocument/2006/relationships/header" Target="header16.xml"/><Relationship Id="rId65" Type="http://schemas.openxmlformats.org/officeDocument/2006/relationships/footer" Target="footer18.xml"/><Relationship Id="rId66" Type="http://schemas.openxmlformats.org/officeDocument/2006/relationships/header" Target="header17.xml"/><Relationship Id="rId67" Type="http://schemas.openxmlformats.org/officeDocument/2006/relationships/footer" Target="footer19.xml"/><Relationship Id="rId68" Type="http://schemas.openxmlformats.org/officeDocument/2006/relationships/header" Target="header18.xml"/><Relationship Id="rId69" Type="http://schemas.openxmlformats.org/officeDocument/2006/relationships/footer" Target="footer20.xml"/><Relationship Id="rId70" Type="http://schemas.openxmlformats.org/officeDocument/2006/relationships/header" Target="header19.xml"/><Relationship Id="rId71" Type="http://schemas.openxmlformats.org/officeDocument/2006/relationships/footer" Target="footer21.xml"/><Relationship Id="rId72" Type="http://schemas.openxmlformats.org/officeDocument/2006/relationships/header" Target="header20.xml"/><Relationship Id="rId73" Type="http://schemas.openxmlformats.org/officeDocument/2006/relationships/footer" Target="footer22.xml"/><Relationship Id="rId74" Type="http://schemas.openxmlformats.org/officeDocument/2006/relationships/header" Target="header21.xml"/><Relationship Id="rId75" Type="http://schemas.openxmlformats.org/officeDocument/2006/relationships/footer" Target="footer23.xml"/><Relationship Id="rId76" Type="http://schemas.openxmlformats.org/officeDocument/2006/relationships/header" Target="header22.xml"/><Relationship Id="rId77" Type="http://schemas.openxmlformats.org/officeDocument/2006/relationships/footer" Target="footer24.xml"/><Relationship Id="rId78" Type="http://schemas.openxmlformats.org/officeDocument/2006/relationships/header" Target="header23.xml"/><Relationship Id="rId79" Type="http://schemas.openxmlformats.org/officeDocument/2006/relationships/footer" Target="footer25.xml"/><Relationship Id="rId80" Type="http://schemas.openxmlformats.org/officeDocument/2006/relationships/header" Target="header24.xml"/><Relationship Id="rId81" Type="http://schemas.openxmlformats.org/officeDocument/2006/relationships/footer" Target="footer26.xml"/><Relationship Id="rId82" Type="http://schemas.openxmlformats.org/officeDocument/2006/relationships/header" Target="header25.xml"/><Relationship Id="rId83" Type="http://schemas.openxmlformats.org/officeDocument/2006/relationships/footer" Target="footer27.xml"/><Relationship Id="rId84" Type="http://schemas.openxmlformats.org/officeDocument/2006/relationships/header" Target="header26.xml"/><Relationship Id="rId85" Type="http://schemas.openxmlformats.org/officeDocument/2006/relationships/footer" Target="footer28.xml"/><Relationship Id="rId86" Type="http://schemas.openxmlformats.org/officeDocument/2006/relationships/image" Target="media/image25.png"/><Relationship Id="rId87" Type="http://schemas.openxmlformats.org/officeDocument/2006/relationships/image" Target="media/image26.png"/><Relationship Id="rId88" Type="http://schemas.openxmlformats.org/officeDocument/2006/relationships/image" Target="media/image27.png"/><Relationship Id="rId89" Type="http://schemas.openxmlformats.org/officeDocument/2006/relationships/header" Target="header27.xml"/><Relationship Id="rId90" Type="http://schemas.openxmlformats.org/officeDocument/2006/relationships/footer" Target="footer29.xml"/><Relationship Id="rId91" Type="http://schemas.openxmlformats.org/officeDocument/2006/relationships/header" Target="header28.xml"/><Relationship Id="rId92" Type="http://schemas.openxmlformats.org/officeDocument/2006/relationships/footer" Target="footer30.xml"/><Relationship Id="rId93" Type="http://schemas.openxmlformats.org/officeDocument/2006/relationships/header" Target="header29.xml"/><Relationship Id="rId94" Type="http://schemas.openxmlformats.org/officeDocument/2006/relationships/footer" Target="footer31.xml"/><Relationship Id="rId95" Type="http://schemas.openxmlformats.org/officeDocument/2006/relationships/image" Target="media/image28.jpeg"/><Relationship Id="rId96" Type="http://schemas.openxmlformats.org/officeDocument/2006/relationships/header" Target="header30.xml"/><Relationship Id="rId97" Type="http://schemas.openxmlformats.org/officeDocument/2006/relationships/footer" Target="footer32.xml"/><Relationship Id="rId98" Type="http://schemas.openxmlformats.org/officeDocument/2006/relationships/image" Target="media/image29.png"/><Relationship Id="rId99" Type="http://schemas.openxmlformats.org/officeDocument/2006/relationships/image" Target="media/image30.png"/><Relationship Id="rId100" Type="http://schemas.openxmlformats.org/officeDocument/2006/relationships/image" Target="media/image31.png"/><Relationship Id="rId101" Type="http://schemas.openxmlformats.org/officeDocument/2006/relationships/image" Target="media/image32.png"/><Relationship Id="rId102" Type="http://schemas.openxmlformats.org/officeDocument/2006/relationships/image" Target="media/image33.png"/><Relationship Id="rId103" Type="http://schemas.openxmlformats.org/officeDocument/2006/relationships/image" Target="media/image34.png"/><Relationship Id="rId104" Type="http://schemas.openxmlformats.org/officeDocument/2006/relationships/header" Target="header31.xml"/><Relationship Id="rId105" Type="http://schemas.openxmlformats.org/officeDocument/2006/relationships/footer" Target="footer33.xml"/><Relationship Id="rId10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BethB</dc:creator>
  <dc:title>Microsoft Word - {5F0C21D5-0A91-497D-8DE9-BB2F391D1AC8}</dc:title>
  <dcterms:created xsi:type="dcterms:W3CDTF">2023-07-03T19:09:55Z</dcterms:created>
  <dcterms:modified xsi:type="dcterms:W3CDTF">2023-07-03T19:09:55Z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2022-11-23T00:00:00Z</vt:filetime>
  </property>
  <property fmtid="{D5CDD505-2E9C-101B-9397-08002B2CF9AE}" pid="3" name="Creator">
    <vt:lpwstr>PScript5.dll Version 5.2.2</vt:lpwstr>
  </property>
  <property fmtid="{D5CDD505-2E9C-101B-9397-08002B2CF9AE}" pid="4" name="LastSaved">
    <vt:filetime>2023-07-03T00:00:00Z</vt:filetime>
  </property>
  <property fmtid="{D5CDD505-2E9C-101B-9397-08002B2CF9AE}" pid="5" name="Producer">
    <vt:lpwstr>Acrobat Distiller 22.0 (Windows)</vt:lpwstr>
  </property>
</Properties>
</file>